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932E7" w:rsidTr="004C5120">
        <w:tc>
          <w:tcPr>
            <w:tcW w:w="10089" w:type="dxa"/>
          </w:tcPr>
          <w:p w:rsidR="00276D21" w:rsidRPr="004C5120" w:rsidRDefault="00276D21" w:rsidP="004C5120">
            <w:pPr>
              <w:spacing w:before="380" w:line="280" w:lineRule="exact"/>
              <w:jc w:val="right"/>
              <w:rPr>
                <w:rFonts w:ascii="Tahoma" w:hAnsi="Tahoma" w:cs="Tahoma"/>
                <w:b/>
                <w:bCs/>
                <w:iCs/>
                <w:color w:val="509141"/>
                <w:sz w:val="32"/>
                <w:szCs w:val="32"/>
                <w:lang w:val="en-US"/>
              </w:rPr>
            </w:pPr>
          </w:p>
          <w:p w:rsidR="00FE79FE" w:rsidRPr="004C5120" w:rsidRDefault="00FE79FE" w:rsidP="00F947E5">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00CE2594">
              <w:rPr>
                <w:rFonts w:ascii="Tahoma" w:hAnsi="Tahoma" w:cs="Tahoma"/>
                <w:b/>
                <w:bCs/>
                <w:iCs/>
                <w:color w:val="509141"/>
                <w:sz w:val="36"/>
                <w:szCs w:val="36"/>
                <w:lang w:val="en-US"/>
              </w:rPr>
              <w:t xml:space="preserve"> </w:t>
            </w:r>
            <w:r w:rsidRPr="004C5120">
              <w:rPr>
                <w:rFonts w:ascii="Tahoma" w:hAnsi="Tahoma" w:cs="Tahoma"/>
                <w:b/>
                <w:bCs/>
                <w:iCs/>
                <w:color w:val="509141"/>
                <w:sz w:val="36"/>
                <w:szCs w:val="36"/>
                <w:lang w:val="en-US"/>
              </w:rPr>
              <w:t>ITU-R</w:t>
            </w:r>
            <w:r w:rsidR="00CE2594">
              <w:rPr>
                <w:rFonts w:ascii="Tahoma" w:hAnsi="Tahoma" w:cs="Tahoma"/>
                <w:b/>
                <w:bCs/>
                <w:iCs/>
                <w:color w:val="509141"/>
                <w:sz w:val="36"/>
                <w:szCs w:val="36"/>
                <w:lang w:val="en-US"/>
              </w:rPr>
              <w:t xml:space="preserve"> </w:t>
            </w:r>
            <w:r w:rsidR="00F23979">
              <w:rPr>
                <w:rFonts w:ascii="Tahoma" w:hAnsi="Tahoma" w:cs="Tahoma"/>
                <w:b/>
                <w:bCs/>
                <w:iCs/>
                <w:color w:val="509141"/>
                <w:sz w:val="36"/>
                <w:szCs w:val="36"/>
                <w:lang w:val="en-US"/>
              </w:rPr>
              <w:t>S</w:t>
            </w:r>
            <w:r w:rsidRPr="004C5120">
              <w:rPr>
                <w:rFonts w:ascii="Tahoma" w:hAnsi="Tahoma" w:cs="Tahoma"/>
                <w:b/>
                <w:bCs/>
                <w:iCs/>
                <w:color w:val="509141"/>
                <w:sz w:val="36"/>
                <w:szCs w:val="36"/>
                <w:lang w:val="en-US"/>
              </w:rPr>
              <w:t>.</w:t>
            </w:r>
            <w:r w:rsidR="006338C0">
              <w:rPr>
                <w:rFonts w:ascii="Tahoma" w:hAnsi="Tahoma" w:cs="Tahoma"/>
                <w:b/>
                <w:bCs/>
                <w:iCs/>
                <w:color w:val="509141"/>
                <w:sz w:val="36"/>
                <w:szCs w:val="36"/>
                <w:lang w:val="en-US"/>
              </w:rPr>
              <w:t>23</w:t>
            </w:r>
            <w:r w:rsidR="004932E7">
              <w:rPr>
                <w:rFonts w:ascii="Tahoma" w:hAnsi="Tahoma" w:cs="Tahoma"/>
                <w:b/>
                <w:bCs/>
                <w:iCs/>
                <w:color w:val="509141"/>
                <w:sz w:val="36"/>
                <w:szCs w:val="36"/>
                <w:lang w:val="en-US"/>
              </w:rPr>
              <w:t>6</w:t>
            </w:r>
            <w:r w:rsidR="00F947E5">
              <w:rPr>
                <w:rFonts w:ascii="Tahoma" w:hAnsi="Tahoma" w:cs="Tahoma"/>
                <w:b/>
                <w:bCs/>
                <w:iCs/>
                <w:color w:val="509141"/>
                <w:sz w:val="36"/>
                <w:szCs w:val="36"/>
                <w:lang w:val="en-US"/>
              </w:rPr>
              <w:t>4</w:t>
            </w:r>
            <w:r w:rsidR="006338C0">
              <w:rPr>
                <w:rFonts w:ascii="Tahoma" w:hAnsi="Tahoma" w:cs="Tahoma"/>
                <w:b/>
                <w:bCs/>
                <w:iCs/>
                <w:color w:val="509141"/>
                <w:sz w:val="36"/>
                <w:szCs w:val="36"/>
                <w:lang w:val="en-US"/>
              </w:rPr>
              <w:t>-0</w:t>
            </w:r>
          </w:p>
          <w:p w:rsidR="00FE79FE" w:rsidRPr="004C5120" w:rsidRDefault="00FE79FE" w:rsidP="00FC7A2D">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FC7A2D">
              <w:rPr>
                <w:rFonts w:ascii="Tahoma" w:hAnsi="Tahoma" w:cs="Tahoma"/>
                <w:b/>
                <w:bCs/>
                <w:iCs/>
                <w:color w:val="509141"/>
                <w:szCs w:val="24"/>
                <w:lang w:val="en-US"/>
              </w:rPr>
              <w:t>06</w:t>
            </w:r>
            <w:r w:rsidRPr="004C5120">
              <w:rPr>
                <w:rFonts w:ascii="Tahoma" w:hAnsi="Tahoma" w:cs="Tahoma"/>
                <w:b/>
                <w:bCs/>
                <w:iCs/>
                <w:color w:val="509141"/>
                <w:szCs w:val="24"/>
                <w:lang w:val="en-US"/>
              </w:rPr>
              <w:t>/</w:t>
            </w:r>
            <w:r w:rsidR="006338C0">
              <w:rPr>
                <w:rFonts w:ascii="Tahoma" w:hAnsi="Tahoma" w:cs="Tahoma"/>
                <w:b/>
                <w:bCs/>
                <w:iCs/>
                <w:color w:val="509141"/>
                <w:szCs w:val="24"/>
                <w:lang w:val="en-US"/>
              </w:rPr>
              <w:t>201</w:t>
            </w:r>
            <w:r w:rsidR="00F06BA4">
              <w:rPr>
                <w:rFonts w:ascii="Tahoma" w:hAnsi="Tahoma" w:cs="Tahoma"/>
                <w:b/>
                <w:bCs/>
                <w:iCs/>
                <w:color w:val="509141"/>
                <w:szCs w:val="24"/>
                <w:lang w:val="en-US"/>
              </w:rPr>
              <w:t>5</w:t>
            </w:r>
            <w:r w:rsidRPr="004C5120">
              <w:rPr>
                <w:rFonts w:ascii="Tahoma" w:hAnsi="Tahoma" w:cs="Tahoma"/>
                <w:b/>
                <w:bCs/>
                <w:iCs/>
                <w:color w:val="509141"/>
                <w:szCs w:val="24"/>
                <w:lang w:val="en-US"/>
              </w:rPr>
              <w:t>)</w:t>
            </w:r>
          </w:p>
        </w:tc>
      </w:tr>
      <w:tr w:rsidR="00FE79FE" w:rsidRPr="00484CB0"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FE79FE" w:rsidRPr="00F947E5" w:rsidRDefault="00F947E5" w:rsidP="00AA79D0">
            <w:pPr>
              <w:spacing w:before="80" w:line="500" w:lineRule="exact"/>
              <w:jc w:val="right"/>
              <w:rPr>
                <w:rFonts w:ascii="Tahoma" w:hAnsi="Tahoma" w:cs="Tahoma"/>
                <w:b/>
                <w:bCs/>
                <w:iCs/>
                <w:color w:val="509141"/>
                <w:sz w:val="44"/>
                <w:szCs w:val="44"/>
                <w:lang w:val="en-US"/>
              </w:rPr>
            </w:pPr>
            <w:r w:rsidRPr="00F947E5">
              <w:rPr>
                <w:rFonts w:ascii="Tahoma" w:hAnsi="Tahoma" w:cs="Tahoma"/>
                <w:b/>
                <w:bCs/>
                <w:iCs/>
                <w:color w:val="509141"/>
                <w:sz w:val="44"/>
                <w:szCs w:val="44"/>
                <w:lang w:val="en-US"/>
              </w:rPr>
              <w:t xml:space="preserve">GSO FSS deployment characteristics </w:t>
            </w:r>
            <w:r w:rsidR="00AA79D0">
              <w:rPr>
                <w:rFonts w:ascii="Tahoma" w:hAnsi="Tahoma" w:cs="Tahoma"/>
                <w:b/>
                <w:bCs/>
                <w:iCs/>
                <w:color w:val="509141"/>
                <w:sz w:val="44"/>
                <w:szCs w:val="44"/>
                <w:lang w:val="en-US"/>
              </w:rPr>
              <w:br/>
            </w:r>
            <w:r w:rsidRPr="00F947E5">
              <w:rPr>
                <w:rFonts w:ascii="Tahoma" w:hAnsi="Tahoma" w:cs="Tahoma"/>
                <w:b/>
                <w:bCs/>
                <w:iCs/>
                <w:color w:val="509141"/>
                <w:sz w:val="44"/>
                <w:szCs w:val="44"/>
                <w:lang w:val="en-US"/>
              </w:rPr>
              <w:t>in the 14-14.5 GHz band</w:t>
            </w:r>
          </w:p>
        </w:tc>
      </w:tr>
      <w:tr w:rsidR="00FE79FE" w:rsidRPr="00484CB0" w:rsidTr="004C5120">
        <w:tc>
          <w:tcPr>
            <w:tcW w:w="10089" w:type="dxa"/>
          </w:tcPr>
          <w:p w:rsidR="004932E7" w:rsidRDefault="004932E7" w:rsidP="004C5120">
            <w:pPr>
              <w:spacing w:before="80" w:after="180" w:line="360" w:lineRule="exact"/>
              <w:jc w:val="right"/>
              <w:rPr>
                <w:rFonts w:ascii="Tahoma" w:hAnsi="Tahoma" w:cs="Tahoma"/>
                <w:b/>
                <w:bCs/>
                <w:iCs/>
                <w:color w:val="509141"/>
                <w:sz w:val="36"/>
                <w:szCs w:val="36"/>
                <w:lang w:val="en-US"/>
              </w:rPr>
            </w:pPr>
          </w:p>
          <w:p w:rsidR="004932E7" w:rsidRDefault="004932E7" w:rsidP="004C5120">
            <w:pPr>
              <w:spacing w:before="80" w:after="180" w:line="360" w:lineRule="exact"/>
              <w:jc w:val="right"/>
              <w:rPr>
                <w:rFonts w:ascii="Tahoma" w:hAnsi="Tahoma" w:cs="Tahoma"/>
                <w:b/>
                <w:bCs/>
                <w:iCs/>
                <w:color w:val="509141"/>
                <w:sz w:val="36"/>
                <w:szCs w:val="36"/>
                <w:lang w:val="en-US"/>
              </w:rPr>
            </w:pPr>
          </w:p>
          <w:p w:rsidR="004932E7" w:rsidRDefault="004932E7" w:rsidP="004C5120">
            <w:pPr>
              <w:spacing w:before="80" w:after="180" w:line="360" w:lineRule="exact"/>
              <w:jc w:val="right"/>
              <w:rPr>
                <w:rFonts w:ascii="Tahoma" w:hAnsi="Tahoma" w:cs="Tahoma"/>
                <w:b/>
                <w:bCs/>
                <w:iCs/>
                <w:color w:val="509141"/>
                <w:sz w:val="36"/>
                <w:szCs w:val="36"/>
                <w:lang w:val="en-US"/>
              </w:rPr>
            </w:pPr>
          </w:p>
          <w:p w:rsidR="004932E7" w:rsidRDefault="004932E7" w:rsidP="004C5120">
            <w:pPr>
              <w:spacing w:before="80" w:after="180" w:line="360" w:lineRule="exact"/>
              <w:jc w:val="right"/>
              <w:rPr>
                <w:rFonts w:ascii="Tahoma" w:hAnsi="Tahoma" w:cs="Tahoma"/>
                <w:b/>
                <w:bCs/>
                <w:iCs/>
                <w:color w:val="509141"/>
                <w:sz w:val="36"/>
                <w:szCs w:val="36"/>
                <w:lang w:val="en-US"/>
              </w:rPr>
            </w:pPr>
          </w:p>
          <w:p w:rsidR="004932E7" w:rsidRDefault="004932E7" w:rsidP="004C5120">
            <w:pPr>
              <w:spacing w:before="80" w:after="180" w:line="360" w:lineRule="exact"/>
              <w:jc w:val="right"/>
              <w:rPr>
                <w:rFonts w:ascii="Tahoma" w:hAnsi="Tahoma" w:cs="Tahoma"/>
                <w:b/>
                <w:bCs/>
                <w:iCs/>
                <w:color w:val="509141"/>
                <w:sz w:val="36"/>
                <w:szCs w:val="36"/>
                <w:lang w:val="en-US"/>
              </w:rPr>
            </w:pPr>
          </w:p>
          <w:p w:rsidR="00013002" w:rsidRPr="004C5120" w:rsidRDefault="00B81687" w:rsidP="004C5120">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S</w:t>
            </w:r>
            <w:r w:rsidR="00FE79FE" w:rsidRPr="004C5120">
              <w:rPr>
                <w:rFonts w:ascii="Tahoma" w:hAnsi="Tahoma" w:cs="Tahoma"/>
                <w:b/>
                <w:bCs/>
                <w:iCs/>
                <w:color w:val="509141"/>
                <w:sz w:val="36"/>
                <w:szCs w:val="36"/>
                <w:lang w:val="en-US"/>
              </w:rPr>
              <w:t xml:space="preserve"> Series</w:t>
            </w:r>
          </w:p>
          <w:p w:rsidR="00FE79FE" w:rsidRPr="00B81687" w:rsidRDefault="00C41FA1" w:rsidP="00AF0C96">
            <w:pPr>
              <w:spacing w:before="80" w:line="42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Fixed-</w:t>
            </w:r>
            <w:r w:rsidR="00B81687" w:rsidRPr="00B81687">
              <w:rPr>
                <w:rFonts w:ascii="Tahoma" w:hAnsi="Tahoma" w:cs="Tahoma"/>
                <w:b/>
                <w:bCs/>
                <w:iCs/>
                <w:color w:val="509141"/>
                <w:sz w:val="36"/>
                <w:szCs w:val="36"/>
                <w:lang w:val="en-US"/>
              </w:rPr>
              <w:t>satellite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414455458"/>
      <w:bookmarkStart w:id="2" w:name="_Toc428363208"/>
      <w:bookmarkStart w:id="3" w:name="_Toc428371883"/>
      <w:bookmarkStart w:id="4" w:name="_Toc428545727"/>
      <w:r>
        <w:rPr>
          <w:szCs w:val="24"/>
          <w:lang w:val="en-US"/>
        </w:rPr>
        <w:t>Policy on Intellectual Property Right (IPR)</w:t>
      </w:r>
      <w:bookmarkEnd w:id="1"/>
      <w:bookmarkEnd w:id="2"/>
      <w:bookmarkEnd w:id="3"/>
      <w:bookmarkEnd w:id="4"/>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sz w:val="20"/>
            <w:lang w:val="en-US"/>
          </w:rPr>
          <w:t>http://www.itu.int/ITU</w:t>
        </w:r>
        <w:r w:rsidR="009030CC">
          <w:rPr>
            <w:sz w:val="20"/>
            <w:lang w:val="en-US"/>
          </w:rPr>
          <w:t>-</w:t>
        </w:r>
        <w:r>
          <w:rPr>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484CB0" w:rsidTr="00956823">
        <w:tc>
          <w:tcPr>
            <w:tcW w:w="9321" w:type="dxa"/>
            <w:gridSpan w:val="2"/>
            <w:tcBorders>
              <w:top w:val="single" w:sz="12" w:space="0" w:color="000080"/>
              <w:left w:val="single" w:sz="12" w:space="0" w:color="000080"/>
              <w:bottom w:val="nil"/>
              <w:right w:val="single" w:sz="12" w:space="0" w:color="000080"/>
            </w:tcBorders>
          </w:tcPr>
          <w:p w:rsidR="00CB5D73" w:rsidRPr="00C7761D" w:rsidRDefault="00CB5D73" w:rsidP="00CB5D73">
            <w:pPr>
              <w:pStyle w:val="ChapNo"/>
              <w:spacing w:before="240"/>
              <w:rPr>
                <w:sz w:val="22"/>
                <w:szCs w:val="22"/>
                <w:lang w:val="en-US"/>
              </w:rPr>
            </w:pPr>
            <w:r w:rsidRPr="00C7761D">
              <w:rPr>
                <w:sz w:val="22"/>
                <w:szCs w:val="22"/>
                <w:lang w:val="en-US"/>
              </w:rPr>
              <w:t>Series of ITU-R Reports</w:t>
            </w:r>
          </w:p>
          <w:p w:rsidR="00CB60A4" w:rsidRDefault="00CB60A4" w:rsidP="00CB5D7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b w:val="0"/>
                  <w:bCs/>
                  <w:sz w:val="18"/>
                  <w:szCs w:val="18"/>
                  <w:lang w:val="en-US"/>
                </w:rPr>
                <w:t>http://www.itu.int/publ</w:t>
              </w:r>
              <w:r w:rsidR="00505FB4" w:rsidRPr="00F103A9">
                <w:rPr>
                  <w:b w:val="0"/>
                  <w:bCs/>
                  <w:sz w:val="18"/>
                  <w:szCs w:val="18"/>
                  <w:lang w:val="en-US"/>
                </w:rPr>
                <w:t>/R-REP/en</w:t>
              </w:r>
            </w:hyperlink>
            <w:r w:rsidRPr="00F103A9">
              <w:rPr>
                <w:b w:val="0"/>
                <w:sz w:val="18"/>
                <w:szCs w:val="18"/>
                <w:lang w:val="en-US"/>
              </w:rPr>
              <w:t>)</w:t>
            </w:r>
          </w:p>
        </w:tc>
      </w:tr>
      <w:tr w:rsidR="00CB60A4" w:rsidTr="00956823">
        <w:tc>
          <w:tcPr>
            <w:tcW w:w="1138"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183"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183"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484CB0" w:rsidTr="00956823">
        <w:tc>
          <w:tcPr>
            <w:tcW w:w="1138"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183"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183"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56823">
        <w:tc>
          <w:tcPr>
            <w:tcW w:w="1138"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183"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183"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956823" w:rsidTr="00956823">
        <w:tc>
          <w:tcPr>
            <w:tcW w:w="1138" w:type="dxa"/>
            <w:tcBorders>
              <w:top w:val="nil"/>
              <w:left w:val="single" w:sz="12" w:space="0" w:color="000080"/>
              <w:bottom w:val="nil"/>
              <w:right w:val="nil"/>
            </w:tcBorders>
          </w:tcPr>
          <w:p w:rsidR="00956823" w:rsidRDefault="00956823">
            <w:pPr>
              <w:spacing w:before="30" w:after="30"/>
              <w:ind w:left="57"/>
              <w:jc w:val="left"/>
              <w:rPr>
                <w:b/>
                <w:bCs/>
                <w:sz w:val="20"/>
                <w:lang w:val="fr-CH"/>
              </w:rPr>
            </w:pPr>
            <w:r>
              <w:rPr>
                <w:b/>
                <w:bCs/>
                <w:sz w:val="20"/>
                <w:lang w:val="fr-CH"/>
              </w:rPr>
              <w:t>M</w:t>
            </w:r>
          </w:p>
        </w:tc>
        <w:tc>
          <w:tcPr>
            <w:tcW w:w="8183" w:type="dxa"/>
            <w:tcBorders>
              <w:top w:val="nil"/>
              <w:left w:val="nil"/>
              <w:bottom w:val="nil"/>
              <w:right w:val="single" w:sz="12" w:space="0" w:color="000080"/>
            </w:tcBorders>
          </w:tcPr>
          <w:p w:rsidR="00956823" w:rsidRPr="0077613C" w:rsidRDefault="0095682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77613C">
              <w:rPr>
                <w:sz w:val="20"/>
              </w:rPr>
              <w:t>Mobile, radiodetermination, amateur and related satellite services</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183"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183"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183"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956823" w:rsidRPr="008D3D8D" w:rsidTr="00956823">
        <w:tc>
          <w:tcPr>
            <w:tcW w:w="1138" w:type="dxa"/>
            <w:tcBorders>
              <w:top w:val="nil"/>
              <w:left w:val="single" w:sz="12" w:space="0" w:color="000080"/>
              <w:bottom w:val="nil"/>
              <w:right w:val="nil"/>
            </w:tcBorders>
            <w:shd w:val="clear" w:color="auto" w:fill="F3F3F3"/>
          </w:tcPr>
          <w:p w:rsidR="00956823" w:rsidRPr="002F00DE" w:rsidRDefault="00956823" w:rsidP="00FA4FF9">
            <w:pPr>
              <w:spacing w:before="30" w:after="30"/>
              <w:ind w:left="57"/>
              <w:jc w:val="left"/>
              <w:rPr>
                <w:b/>
                <w:bCs/>
                <w:color w:val="000080"/>
                <w:sz w:val="20"/>
                <w:lang w:val="en-US"/>
              </w:rPr>
            </w:pPr>
            <w:r>
              <w:rPr>
                <w:b/>
                <w:bCs/>
                <w:color w:val="000080"/>
                <w:sz w:val="20"/>
                <w:lang w:val="en-US"/>
              </w:rPr>
              <w:t>S</w:t>
            </w:r>
          </w:p>
        </w:tc>
        <w:tc>
          <w:tcPr>
            <w:tcW w:w="8183" w:type="dxa"/>
            <w:tcBorders>
              <w:top w:val="nil"/>
              <w:left w:val="nil"/>
              <w:bottom w:val="nil"/>
              <w:right w:val="single" w:sz="12" w:space="0" w:color="000080"/>
            </w:tcBorders>
            <w:shd w:val="clear" w:color="auto" w:fill="F3F3F3"/>
          </w:tcPr>
          <w:p w:rsidR="00956823" w:rsidRPr="002F00DE" w:rsidRDefault="00956823" w:rsidP="00FA4FF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Pr>
                <w:sz w:val="20"/>
                <w:lang w:val="en-US"/>
              </w:rPr>
              <w:t>Fixed-satellite service</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183"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484CB0"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183"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rsidTr="00956823">
        <w:tc>
          <w:tcPr>
            <w:tcW w:w="1138"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183"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484CB0"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A3E0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F07FEF">
        <w:rPr>
          <w:sz w:val="20"/>
          <w:lang w:val="en-US"/>
        </w:rPr>
        <w:t>5</w:t>
      </w:r>
    </w:p>
    <w:p w:rsidR="00CB60A4" w:rsidRDefault="00CB60A4" w:rsidP="005A3E0C">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w:t>
      </w:r>
      <w:r w:rsidR="00AD41F7">
        <w:rPr>
          <w:sz w:val="20"/>
          <w:lang w:val="en-US"/>
        </w:rPr>
        <w:t>1</w:t>
      </w:r>
      <w:r w:rsidR="00F07FEF">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DC59F0">
          <w:pgSz w:w="11907" w:h="16834" w:code="9"/>
          <w:pgMar w:top="1418" w:right="1134" w:bottom="1134" w:left="1134" w:header="720" w:footer="482" w:gutter="0"/>
          <w:paperSrc w:first="15" w:other="15"/>
          <w:pgNumType w:fmt="lowerRoman" w:start="2"/>
          <w:cols w:space="720"/>
        </w:sectPr>
      </w:pPr>
    </w:p>
    <w:p w:rsidR="006338C0" w:rsidRPr="008D3D8D" w:rsidRDefault="00934ED7" w:rsidP="00F947E5">
      <w:pPr>
        <w:pStyle w:val="RepNo"/>
        <w:spacing w:before="0"/>
        <w:rPr>
          <w:lang w:val="en-US"/>
        </w:rPr>
      </w:pPr>
      <w:bookmarkStart w:id="6" w:name="irecnoe"/>
      <w:bookmarkEnd w:id="6"/>
      <w:r w:rsidRPr="008D3D8D">
        <w:rPr>
          <w:lang w:val="en-US"/>
        </w:rPr>
        <w:lastRenderedPageBreak/>
        <w:t>R</w:t>
      </w:r>
      <w:r w:rsidR="008D3D8D" w:rsidRPr="008D3D8D">
        <w:rPr>
          <w:lang w:val="en-US"/>
        </w:rPr>
        <w:t>EPORT</w:t>
      </w:r>
      <w:r w:rsidR="00CE2594">
        <w:rPr>
          <w:lang w:val="en-US"/>
        </w:rPr>
        <w:t xml:space="preserve"> </w:t>
      </w:r>
      <w:r w:rsidRPr="00CB5D73">
        <w:rPr>
          <w:rStyle w:val="href"/>
          <w:lang w:val="en-US"/>
        </w:rPr>
        <w:t>ITU-R</w:t>
      </w:r>
      <w:r w:rsidR="00CE2594">
        <w:rPr>
          <w:rStyle w:val="href"/>
          <w:lang w:val="en-US"/>
        </w:rPr>
        <w:t xml:space="preserve"> </w:t>
      </w:r>
      <w:r w:rsidR="00F23979">
        <w:rPr>
          <w:rStyle w:val="href"/>
          <w:lang w:val="en-US"/>
        </w:rPr>
        <w:t>S</w:t>
      </w:r>
      <w:r w:rsidR="008D3D8D" w:rsidRPr="00CB5D73">
        <w:rPr>
          <w:rStyle w:val="href"/>
          <w:lang w:val="en-US"/>
        </w:rPr>
        <w:t>.</w:t>
      </w:r>
      <w:r w:rsidR="006338C0" w:rsidRPr="00CB5D73">
        <w:rPr>
          <w:rStyle w:val="href"/>
          <w:lang w:val="en-US"/>
        </w:rPr>
        <w:t>23</w:t>
      </w:r>
      <w:r w:rsidR="004932E7">
        <w:rPr>
          <w:rStyle w:val="href"/>
          <w:lang w:val="en-US"/>
        </w:rPr>
        <w:t>6</w:t>
      </w:r>
      <w:r w:rsidR="00F947E5">
        <w:rPr>
          <w:rStyle w:val="href"/>
          <w:lang w:val="en-US"/>
        </w:rPr>
        <w:t>4</w:t>
      </w:r>
      <w:r w:rsidR="006338C0" w:rsidRPr="00CB5D73">
        <w:rPr>
          <w:rStyle w:val="href"/>
          <w:lang w:val="en-US"/>
        </w:rPr>
        <w:t>-0</w:t>
      </w:r>
    </w:p>
    <w:p w:rsidR="006338C0" w:rsidRPr="00F947E5" w:rsidRDefault="00F947E5" w:rsidP="00956823">
      <w:pPr>
        <w:pStyle w:val="Reptitle"/>
        <w:rPr>
          <w:lang w:val="en-US"/>
        </w:rPr>
      </w:pPr>
      <w:bookmarkStart w:id="7" w:name="recibido"/>
      <w:bookmarkStart w:id="8" w:name="dbreak"/>
      <w:bookmarkEnd w:id="7"/>
      <w:bookmarkEnd w:id="8"/>
      <w:r w:rsidRPr="00F947E5">
        <w:rPr>
          <w:rFonts w:ascii="Times New Roman Bold" w:hAnsi="Times New Roman Bold" w:cs="Times New Roman Bold"/>
          <w:bCs/>
          <w:lang w:val="en-US"/>
        </w:rPr>
        <w:t>GSO FSS deployment characteristics in the 14-14.5 GHz band</w:t>
      </w:r>
    </w:p>
    <w:p w:rsidR="006338C0" w:rsidRDefault="006338C0" w:rsidP="00956823">
      <w:pPr>
        <w:pStyle w:val="Repdate"/>
        <w:rPr>
          <w:lang w:val="en-US"/>
        </w:rPr>
      </w:pPr>
      <w:r>
        <w:rPr>
          <w:lang w:val="en-US"/>
        </w:rPr>
        <w:t>(201</w:t>
      </w:r>
      <w:r w:rsidR="00956823">
        <w:rPr>
          <w:lang w:val="en-US"/>
        </w:rPr>
        <w:t>5</w:t>
      </w:r>
      <w:r>
        <w:rPr>
          <w:lang w:val="en-US"/>
        </w:rPr>
        <w:t>)</w:t>
      </w:r>
    </w:p>
    <w:p w:rsidR="006338C0" w:rsidRPr="001A2455" w:rsidRDefault="006338C0" w:rsidP="006338C0">
      <w:pPr>
        <w:spacing w:before="480"/>
        <w:jc w:val="center"/>
        <w:rPr>
          <w:lang w:val="en-US" w:eastAsia="ja-JP"/>
        </w:rPr>
      </w:pPr>
      <w:r w:rsidRPr="001A2455">
        <w:rPr>
          <w:lang w:val="en-US" w:eastAsia="ja-JP"/>
        </w:rPr>
        <w:t>TABLE OF CONTENTS</w:t>
      </w:r>
    </w:p>
    <w:p w:rsidR="00DF234F" w:rsidRPr="00DF234F" w:rsidRDefault="00DF234F" w:rsidP="00DF234F">
      <w:pPr>
        <w:pStyle w:val="toc0"/>
        <w:ind w:right="992"/>
        <w:rPr>
          <w:noProof/>
          <w:lang w:val="en-US"/>
        </w:rPr>
      </w:pPr>
      <w:bookmarkStart w:id="9" w:name="_Toc414354347"/>
      <w:r>
        <w:rPr>
          <w:lang w:val="en-US"/>
        </w:rPr>
        <w:tab/>
        <w:t>Page</w:t>
      </w:r>
    </w:p>
    <w:bookmarkEnd w:id="9"/>
    <w:p w:rsidR="00DA5A84" w:rsidRDefault="00CB7BC1" w:rsidP="00DA5A84">
      <w:pPr>
        <w:pStyle w:val="TOC1"/>
        <w:rPr>
          <w:rFonts w:asciiTheme="minorHAnsi" w:eastAsiaTheme="minorEastAsia" w:hAnsiTheme="minorHAnsi" w:cstheme="minorBidi"/>
          <w:noProof/>
          <w:sz w:val="22"/>
          <w:szCs w:val="22"/>
          <w:lang w:eastAsia="zh-CN"/>
        </w:rPr>
      </w:pPr>
      <w:r w:rsidRPr="00CB7BC1">
        <w:fldChar w:fldCharType="begin"/>
      </w:r>
      <w:r w:rsidRPr="00CB7BC1">
        <w:instrText xml:space="preserve"> TOC \o "1-3" \h \z \u </w:instrText>
      </w:r>
      <w:r w:rsidRPr="00CB7BC1">
        <w:fldChar w:fldCharType="separate"/>
      </w:r>
      <w:hyperlink w:anchor="_Toc428545728" w:history="1">
        <w:r w:rsidR="00DA5A84" w:rsidRPr="00402385">
          <w:rPr>
            <w:rStyle w:val="Hyperlink"/>
            <w:noProof/>
          </w:rPr>
          <w:t>1</w:t>
        </w:r>
        <w:r w:rsidR="00DA5A84">
          <w:rPr>
            <w:rFonts w:asciiTheme="minorHAnsi" w:eastAsiaTheme="minorEastAsia" w:hAnsiTheme="minorHAnsi" w:cstheme="minorBidi"/>
            <w:noProof/>
            <w:sz w:val="22"/>
            <w:szCs w:val="22"/>
            <w:lang w:eastAsia="zh-CN"/>
          </w:rPr>
          <w:tab/>
        </w:r>
        <w:r w:rsidR="00DA5A84" w:rsidRPr="00402385">
          <w:rPr>
            <w:rStyle w:val="Hyperlink"/>
            <w:noProof/>
          </w:rPr>
          <w:t>General FSS characteristics</w:t>
        </w:r>
        <w:r w:rsidR="00DA5A84">
          <w:rPr>
            <w:noProof/>
            <w:webHidden/>
          </w:rPr>
          <w:tab/>
        </w:r>
        <w:r w:rsidR="00DA5A84">
          <w:rPr>
            <w:noProof/>
            <w:webHidden/>
          </w:rPr>
          <w:tab/>
        </w:r>
        <w:r w:rsidR="00DA5A84">
          <w:rPr>
            <w:noProof/>
            <w:webHidden/>
          </w:rPr>
          <w:fldChar w:fldCharType="begin"/>
        </w:r>
        <w:r w:rsidR="00DA5A84">
          <w:rPr>
            <w:noProof/>
            <w:webHidden/>
          </w:rPr>
          <w:instrText xml:space="preserve"> PAGEREF _Toc428545728 \h </w:instrText>
        </w:r>
        <w:r w:rsidR="00DA5A84">
          <w:rPr>
            <w:noProof/>
            <w:webHidden/>
          </w:rPr>
        </w:r>
        <w:r w:rsidR="00DA5A84">
          <w:rPr>
            <w:noProof/>
            <w:webHidden/>
          </w:rPr>
          <w:fldChar w:fldCharType="separate"/>
        </w:r>
        <w:r w:rsidR="006775A3">
          <w:rPr>
            <w:noProof/>
            <w:webHidden/>
          </w:rPr>
          <w:t>2</w:t>
        </w:r>
        <w:r w:rsidR="00DA5A84">
          <w:rPr>
            <w:noProof/>
            <w:webHidden/>
          </w:rPr>
          <w:fldChar w:fldCharType="end"/>
        </w:r>
      </w:hyperlink>
    </w:p>
    <w:p w:rsidR="00DA5A84" w:rsidRPr="00DA5A84" w:rsidRDefault="006775A3">
      <w:pPr>
        <w:pStyle w:val="TOC2"/>
        <w:rPr>
          <w:rFonts w:asciiTheme="minorHAnsi" w:eastAsiaTheme="minorEastAsia" w:hAnsiTheme="minorHAnsi" w:cstheme="minorBidi"/>
          <w:noProof/>
          <w:sz w:val="22"/>
          <w:szCs w:val="22"/>
          <w:lang w:eastAsia="zh-CN"/>
        </w:rPr>
      </w:pPr>
      <w:hyperlink w:anchor="_Toc428545729" w:history="1">
        <w:r w:rsidR="00DA5A84" w:rsidRPr="00DA5A84">
          <w:rPr>
            <w:rStyle w:val="Hyperlink"/>
            <w:noProof/>
          </w:rPr>
          <w:t>1.1</w:t>
        </w:r>
        <w:r w:rsidR="00DA5A84" w:rsidRPr="00DA5A84">
          <w:rPr>
            <w:rFonts w:asciiTheme="minorHAnsi" w:eastAsiaTheme="minorEastAsia" w:hAnsiTheme="minorHAnsi" w:cstheme="minorBidi"/>
            <w:noProof/>
            <w:sz w:val="22"/>
            <w:szCs w:val="22"/>
            <w:lang w:eastAsia="zh-CN"/>
          </w:rPr>
          <w:tab/>
        </w:r>
        <w:r w:rsidR="00DA5A84" w:rsidRPr="00DA5A84">
          <w:rPr>
            <w:rStyle w:val="Hyperlink"/>
            <w:noProof/>
          </w:rPr>
          <w:t>Very small aperture terminals transmission type</w:t>
        </w:r>
        <w:r w:rsidR="00DA5A84" w:rsidRPr="00DA5A84">
          <w:rPr>
            <w:noProof/>
            <w:webHidden/>
          </w:rPr>
          <w:tab/>
        </w:r>
        <w:r w:rsidR="00DA5A84">
          <w:rPr>
            <w:noProof/>
            <w:webHidden/>
          </w:rPr>
          <w:tab/>
        </w:r>
        <w:r w:rsidR="00DA5A84" w:rsidRPr="00DA5A84">
          <w:rPr>
            <w:noProof/>
            <w:webHidden/>
          </w:rPr>
          <w:fldChar w:fldCharType="begin"/>
        </w:r>
        <w:r w:rsidR="00DA5A84" w:rsidRPr="00DA5A84">
          <w:rPr>
            <w:noProof/>
            <w:webHidden/>
          </w:rPr>
          <w:instrText xml:space="preserve"> PAGEREF _Toc428545729 \h </w:instrText>
        </w:r>
        <w:r w:rsidR="00DA5A84" w:rsidRPr="00DA5A84">
          <w:rPr>
            <w:noProof/>
            <w:webHidden/>
          </w:rPr>
        </w:r>
        <w:r w:rsidR="00DA5A84" w:rsidRPr="00DA5A84">
          <w:rPr>
            <w:noProof/>
            <w:webHidden/>
          </w:rPr>
          <w:fldChar w:fldCharType="separate"/>
        </w:r>
        <w:r>
          <w:rPr>
            <w:noProof/>
            <w:webHidden/>
          </w:rPr>
          <w:t>2</w:t>
        </w:r>
        <w:r w:rsidR="00DA5A84" w:rsidRPr="00DA5A84">
          <w:rPr>
            <w:noProof/>
            <w:webHidden/>
          </w:rPr>
          <w:fldChar w:fldCharType="end"/>
        </w:r>
      </w:hyperlink>
    </w:p>
    <w:p w:rsidR="00DA5A84" w:rsidRPr="00DA5A84" w:rsidRDefault="006775A3">
      <w:pPr>
        <w:pStyle w:val="TOC2"/>
        <w:rPr>
          <w:rFonts w:asciiTheme="minorHAnsi" w:eastAsiaTheme="minorEastAsia" w:hAnsiTheme="minorHAnsi" w:cstheme="minorBidi"/>
          <w:noProof/>
          <w:sz w:val="22"/>
          <w:szCs w:val="22"/>
          <w:lang w:eastAsia="zh-CN"/>
        </w:rPr>
      </w:pPr>
      <w:hyperlink w:anchor="_Toc428545730" w:history="1">
        <w:r w:rsidR="00DA5A84" w:rsidRPr="00DA5A84">
          <w:rPr>
            <w:rStyle w:val="Hyperlink"/>
            <w:noProof/>
          </w:rPr>
          <w:t>1.2</w:t>
        </w:r>
        <w:r w:rsidR="00DA5A84" w:rsidRPr="00DA5A84">
          <w:rPr>
            <w:rFonts w:asciiTheme="minorHAnsi" w:eastAsiaTheme="minorEastAsia" w:hAnsiTheme="minorHAnsi" w:cstheme="minorBidi"/>
            <w:noProof/>
            <w:sz w:val="22"/>
            <w:szCs w:val="22"/>
            <w:lang w:eastAsia="zh-CN"/>
          </w:rPr>
          <w:tab/>
        </w:r>
        <w:r w:rsidR="00DA5A84" w:rsidRPr="00DA5A84">
          <w:rPr>
            <w:rStyle w:val="Hyperlink"/>
            <w:noProof/>
          </w:rPr>
          <w:t>Wideband transmission type</w:t>
        </w:r>
        <w:r w:rsidR="00DA5A84" w:rsidRPr="00DA5A84">
          <w:rPr>
            <w:noProof/>
            <w:webHidden/>
          </w:rPr>
          <w:tab/>
        </w:r>
        <w:r w:rsidR="00DA5A84">
          <w:rPr>
            <w:noProof/>
            <w:webHidden/>
          </w:rPr>
          <w:tab/>
        </w:r>
        <w:r w:rsidR="00DA5A84" w:rsidRPr="00DA5A84">
          <w:rPr>
            <w:noProof/>
            <w:webHidden/>
          </w:rPr>
          <w:fldChar w:fldCharType="begin"/>
        </w:r>
        <w:r w:rsidR="00DA5A84" w:rsidRPr="00DA5A84">
          <w:rPr>
            <w:noProof/>
            <w:webHidden/>
          </w:rPr>
          <w:instrText xml:space="preserve"> PAGEREF _Toc428545730 \h </w:instrText>
        </w:r>
        <w:r w:rsidR="00DA5A84" w:rsidRPr="00DA5A84">
          <w:rPr>
            <w:noProof/>
            <w:webHidden/>
          </w:rPr>
        </w:r>
        <w:r w:rsidR="00DA5A84" w:rsidRPr="00DA5A84">
          <w:rPr>
            <w:noProof/>
            <w:webHidden/>
          </w:rPr>
          <w:fldChar w:fldCharType="separate"/>
        </w:r>
        <w:r>
          <w:rPr>
            <w:noProof/>
            <w:webHidden/>
          </w:rPr>
          <w:t>2</w:t>
        </w:r>
        <w:r w:rsidR="00DA5A84" w:rsidRPr="00DA5A84">
          <w:rPr>
            <w:noProof/>
            <w:webHidden/>
          </w:rPr>
          <w:fldChar w:fldCharType="end"/>
        </w:r>
      </w:hyperlink>
    </w:p>
    <w:p w:rsidR="00DA5A84" w:rsidRPr="00DA5A84" w:rsidRDefault="006775A3">
      <w:pPr>
        <w:pStyle w:val="TOC2"/>
        <w:rPr>
          <w:rFonts w:asciiTheme="minorHAnsi" w:eastAsiaTheme="minorEastAsia" w:hAnsiTheme="minorHAnsi" w:cstheme="minorBidi"/>
          <w:noProof/>
          <w:sz w:val="22"/>
          <w:szCs w:val="22"/>
          <w:lang w:eastAsia="zh-CN"/>
        </w:rPr>
      </w:pPr>
      <w:hyperlink w:anchor="_Toc428545731" w:history="1">
        <w:r w:rsidR="00DA5A84" w:rsidRPr="00DA5A84">
          <w:rPr>
            <w:rStyle w:val="Hyperlink"/>
            <w:noProof/>
          </w:rPr>
          <w:t>1.3</w:t>
        </w:r>
        <w:r w:rsidR="00DA5A84" w:rsidRPr="00DA5A84">
          <w:rPr>
            <w:rFonts w:asciiTheme="minorHAnsi" w:eastAsiaTheme="minorEastAsia" w:hAnsiTheme="minorHAnsi" w:cstheme="minorBidi"/>
            <w:noProof/>
            <w:sz w:val="22"/>
            <w:szCs w:val="22"/>
            <w:lang w:eastAsia="zh-CN"/>
          </w:rPr>
          <w:tab/>
        </w:r>
        <w:r w:rsidR="00DA5A84" w:rsidRPr="00DA5A84">
          <w:rPr>
            <w:rStyle w:val="Hyperlink"/>
            <w:noProof/>
          </w:rPr>
          <w:t>Point-to-Point transmission type</w:t>
        </w:r>
        <w:r w:rsidR="00DA5A84" w:rsidRPr="00DA5A84">
          <w:rPr>
            <w:noProof/>
            <w:webHidden/>
          </w:rPr>
          <w:tab/>
        </w:r>
        <w:r w:rsidR="00DA5A84">
          <w:rPr>
            <w:noProof/>
            <w:webHidden/>
          </w:rPr>
          <w:tab/>
        </w:r>
        <w:r w:rsidR="00DA5A84" w:rsidRPr="00DA5A84">
          <w:rPr>
            <w:noProof/>
            <w:webHidden/>
          </w:rPr>
          <w:fldChar w:fldCharType="begin"/>
        </w:r>
        <w:r w:rsidR="00DA5A84" w:rsidRPr="00DA5A84">
          <w:rPr>
            <w:noProof/>
            <w:webHidden/>
          </w:rPr>
          <w:instrText xml:space="preserve"> PAGEREF _Toc428545731 \h </w:instrText>
        </w:r>
        <w:r w:rsidR="00DA5A84" w:rsidRPr="00DA5A84">
          <w:rPr>
            <w:noProof/>
            <w:webHidden/>
          </w:rPr>
        </w:r>
        <w:r w:rsidR="00DA5A84" w:rsidRPr="00DA5A84">
          <w:rPr>
            <w:noProof/>
            <w:webHidden/>
          </w:rPr>
          <w:fldChar w:fldCharType="separate"/>
        </w:r>
        <w:r>
          <w:rPr>
            <w:noProof/>
            <w:webHidden/>
          </w:rPr>
          <w:t>3</w:t>
        </w:r>
        <w:r w:rsidR="00DA5A84" w:rsidRPr="00DA5A84">
          <w:rPr>
            <w:noProof/>
            <w:webHidden/>
          </w:rPr>
          <w:fldChar w:fldCharType="end"/>
        </w:r>
      </w:hyperlink>
    </w:p>
    <w:p w:rsidR="00DA5A84" w:rsidRPr="00DA5A84" w:rsidRDefault="006775A3">
      <w:pPr>
        <w:pStyle w:val="TOC1"/>
        <w:rPr>
          <w:rFonts w:asciiTheme="minorHAnsi" w:eastAsiaTheme="minorEastAsia" w:hAnsiTheme="minorHAnsi" w:cstheme="minorBidi"/>
          <w:noProof/>
          <w:sz w:val="22"/>
          <w:szCs w:val="22"/>
          <w:lang w:eastAsia="zh-CN"/>
        </w:rPr>
      </w:pPr>
      <w:hyperlink w:anchor="_Toc428545732" w:history="1">
        <w:r w:rsidR="00DA5A84" w:rsidRPr="00DA5A84">
          <w:rPr>
            <w:rStyle w:val="Hyperlink"/>
            <w:noProof/>
          </w:rPr>
          <w:t>2</w:t>
        </w:r>
        <w:r w:rsidR="00DA5A84" w:rsidRPr="00DA5A84">
          <w:rPr>
            <w:rFonts w:asciiTheme="minorHAnsi" w:eastAsiaTheme="minorEastAsia" w:hAnsiTheme="minorHAnsi" w:cstheme="minorBidi"/>
            <w:noProof/>
            <w:sz w:val="22"/>
            <w:szCs w:val="22"/>
            <w:lang w:eastAsia="zh-CN"/>
          </w:rPr>
          <w:tab/>
        </w:r>
        <w:r w:rsidR="00DA5A84" w:rsidRPr="00DA5A84">
          <w:rPr>
            <w:rStyle w:val="Hyperlink"/>
            <w:noProof/>
          </w:rPr>
          <w:t>FSS characteristics for single-entry analysis</w:t>
        </w:r>
        <w:r w:rsidR="00DA5A84" w:rsidRPr="00DA5A84">
          <w:rPr>
            <w:noProof/>
            <w:webHidden/>
          </w:rPr>
          <w:tab/>
        </w:r>
        <w:r w:rsidR="00DA5A84">
          <w:rPr>
            <w:noProof/>
            <w:webHidden/>
          </w:rPr>
          <w:tab/>
        </w:r>
        <w:r w:rsidR="00DA5A84" w:rsidRPr="00DA5A84">
          <w:rPr>
            <w:noProof/>
            <w:webHidden/>
          </w:rPr>
          <w:fldChar w:fldCharType="begin"/>
        </w:r>
        <w:r w:rsidR="00DA5A84" w:rsidRPr="00DA5A84">
          <w:rPr>
            <w:noProof/>
            <w:webHidden/>
          </w:rPr>
          <w:instrText xml:space="preserve"> PAGEREF _Toc428545732 \h </w:instrText>
        </w:r>
        <w:r w:rsidR="00DA5A84" w:rsidRPr="00DA5A84">
          <w:rPr>
            <w:noProof/>
            <w:webHidden/>
          </w:rPr>
        </w:r>
        <w:r w:rsidR="00DA5A84" w:rsidRPr="00DA5A84">
          <w:rPr>
            <w:noProof/>
            <w:webHidden/>
          </w:rPr>
          <w:fldChar w:fldCharType="separate"/>
        </w:r>
        <w:r>
          <w:rPr>
            <w:noProof/>
            <w:webHidden/>
          </w:rPr>
          <w:t>3</w:t>
        </w:r>
        <w:r w:rsidR="00DA5A84" w:rsidRPr="00DA5A84">
          <w:rPr>
            <w:noProof/>
            <w:webHidden/>
          </w:rPr>
          <w:fldChar w:fldCharType="end"/>
        </w:r>
      </w:hyperlink>
    </w:p>
    <w:p w:rsidR="00DA5A84" w:rsidRPr="00DA5A84" w:rsidRDefault="006775A3">
      <w:pPr>
        <w:pStyle w:val="TOC1"/>
        <w:rPr>
          <w:rFonts w:asciiTheme="minorHAnsi" w:eastAsiaTheme="minorEastAsia" w:hAnsiTheme="minorHAnsi" w:cstheme="minorBidi"/>
          <w:noProof/>
          <w:sz w:val="22"/>
          <w:szCs w:val="22"/>
          <w:lang w:eastAsia="zh-CN"/>
        </w:rPr>
      </w:pPr>
      <w:hyperlink w:anchor="_Toc428545733" w:history="1">
        <w:r w:rsidR="00DA5A84" w:rsidRPr="00DA5A84">
          <w:rPr>
            <w:rStyle w:val="Hyperlink"/>
            <w:noProof/>
          </w:rPr>
          <w:t>3</w:t>
        </w:r>
        <w:r w:rsidR="00DA5A84" w:rsidRPr="00DA5A84">
          <w:rPr>
            <w:rFonts w:asciiTheme="minorHAnsi" w:eastAsiaTheme="minorEastAsia" w:hAnsiTheme="minorHAnsi" w:cstheme="minorBidi"/>
            <w:noProof/>
            <w:sz w:val="22"/>
            <w:szCs w:val="22"/>
            <w:lang w:eastAsia="zh-CN"/>
          </w:rPr>
          <w:tab/>
        </w:r>
        <w:r w:rsidR="00DA5A84" w:rsidRPr="00DA5A84">
          <w:rPr>
            <w:rStyle w:val="Hyperlink"/>
            <w:noProof/>
          </w:rPr>
          <w:t>Characteristics for cumulative analysis</w:t>
        </w:r>
        <w:r w:rsidR="00DA5A84" w:rsidRPr="00DA5A84">
          <w:rPr>
            <w:noProof/>
            <w:webHidden/>
          </w:rPr>
          <w:tab/>
        </w:r>
        <w:r w:rsidR="00DA5A84">
          <w:rPr>
            <w:noProof/>
            <w:webHidden/>
          </w:rPr>
          <w:tab/>
        </w:r>
        <w:r w:rsidR="00DA5A84" w:rsidRPr="00DA5A84">
          <w:rPr>
            <w:noProof/>
            <w:webHidden/>
          </w:rPr>
          <w:fldChar w:fldCharType="begin"/>
        </w:r>
        <w:r w:rsidR="00DA5A84" w:rsidRPr="00DA5A84">
          <w:rPr>
            <w:noProof/>
            <w:webHidden/>
          </w:rPr>
          <w:instrText xml:space="preserve"> PAGEREF _Toc428545733 \h </w:instrText>
        </w:r>
        <w:r w:rsidR="00DA5A84" w:rsidRPr="00DA5A84">
          <w:rPr>
            <w:noProof/>
            <w:webHidden/>
          </w:rPr>
        </w:r>
        <w:r w:rsidR="00DA5A84" w:rsidRPr="00DA5A84">
          <w:rPr>
            <w:noProof/>
            <w:webHidden/>
          </w:rPr>
          <w:fldChar w:fldCharType="separate"/>
        </w:r>
        <w:r>
          <w:rPr>
            <w:noProof/>
            <w:webHidden/>
          </w:rPr>
          <w:t>4</w:t>
        </w:r>
        <w:r w:rsidR="00DA5A84" w:rsidRPr="00DA5A84">
          <w:rPr>
            <w:noProof/>
            <w:webHidden/>
          </w:rPr>
          <w:fldChar w:fldCharType="end"/>
        </w:r>
      </w:hyperlink>
    </w:p>
    <w:p w:rsidR="00DA5A84" w:rsidRPr="00DA5A84" w:rsidRDefault="006775A3">
      <w:pPr>
        <w:pStyle w:val="TOC2"/>
        <w:rPr>
          <w:rFonts w:asciiTheme="minorHAnsi" w:eastAsiaTheme="minorEastAsia" w:hAnsiTheme="minorHAnsi" w:cstheme="minorBidi"/>
          <w:noProof/>
          <w:sz w:val="22"/>
          <w:szCs w:val="22"/>
          <w:lang w:eastAsia="zh-CN"/>
        </w:rPr>
      </w:pPr>
      <w:hyperlink w:anchor="_Toc428545734" w:history="1">
        <w:r w:rsidR="00DA5A84" w:rsidRPr="00DA5A84">
          <w:rPr>
            <w:rStyle w:val="Hyperlink"/>
            <w:noProof/>
          </w:rPr>
          <w:t>3.1</w:t>
        </w:r>
        <w:r w:rsidR="00DA5A84" w:rsidRPr="00DA5A84">
          <w:rPr>
            <w:rFonts w:asciiTheme="minorHAnsi" w:eastAsiaTheme="minorEastAsia" w:hAnsiTheme="minorHAnsi" w:cstheme="minorBidi"/>
            <w:noProof/>
            <w:sz w:val="22"/>
            <w:szCs w:val="22"/>
            <w:lang w:eastAsia="zh-CN"/>
          </w:rPr>
          <w:tab/>
        </w:r>
        <w:r w:rsidR="00DA5A84" w:rsidRPr="00DA5A84">
          <w:rPr>
            <w:rStyle w:val="Hyperlink"/>
            <w:noProof/>
          </w:rPr>
          <w:t>Spectrum usage by FSS transmissions</w:t>
        </w:r>
        <w:r w:rsidR="00DA5A84" w:rsidRPr="00DA5A84">
          <w:rPr>
            <w:noProof/>
            <w:webHidden/>
          </w:rPr>
          <w:tab/>
        </w:r>
        <w:r w:rsidR="00DA5A84">
          <w:rPr>
            <w:noProof/>
            <w:webHidden/>
          </w:rPr>
          <w:tab/>
        </w:r>
        <w:r w:rsidR="00DA5A84" w:rsidRPr="00DA5A84">
          <w:rPr>
            <w:noProof/>
            <w:webHidden/>
          </w:rPr>
          <w:fldChar w:fldCharType="begin"/>
        </w:r>
        <w:r w:rsidR="00DA5A84" w:rsidRPr="00DA5A84">
          <w:rPr>
            <w:noProof/>
            <w:webHidden/>
          </w:rPr>
          <w:instrText xml:space="preserve"> PAGEREF _Toc428545734 \h </w:instrText>
        </w:r>
        <w:r w:rsidR="00DA5A84" w:rsidRPr="00DA5A84">
          <w:rPr>
            <w:noProof/>
            <w:webHidden/>
          </w:rPr>
        </w:r>
        <w:r w:rsidR="00DA5A84" w:rsidRPr="00DA5A84">
          <w:rPr>
            <w:noProof/>
            <w:webHidden/>
          </w:rPr>
          <w:fldChar w:fldCharType="separate"/>
        </w:r>
        <w:r>
          <w:rPr>
            <w:noProof/>
            <w:webHidden/>
          </w:rPr>
          <w:t>4</w:t>
        </w:r>
        <w:r w:rsidR="00DA5A84" w:rsidRPr="00DA5A84">
          <w:rPr>
            <w:noProof/>
            <w:webHidden/>
          </w:rPr>
          <w:fldChar w:fldCharType="end"/>
        </w:r>
      </w:hyperlink>
    </w:p>
    <w:p w:rsidR="00DA5A84" w:rsidRPr="00DA5A84" w:rsidRDefault="006775A3">
      <w:pPr>
        <w:pStyle w:val="TOC2"/>
        <w:rPr>
          <w:rFonts w:asciiTheme="minorHAnsi" w:eastAsiaTheme="minorEastAsia" w:hAnsiTheme="minorHAnsi" w:cstheme="minorBidi"/>
          <w:noProof/>
          <w:sz w:val="22"/>
          <w:szCs w:val="22"/>
          <w:lang w:eastAsia="zh-CN"/>
        </w:rPr>
      </w:pPr>
      <w:hyperlink w:anchor="_Toc428545737" w:history="1">
        <w:r w:rsidR="00DA5A84" w:rsidRPr="00DA5A84">
          <w:rPr>
            <w:rStyle w:val="Hyperlink"/>
            <w:noProof/>
          </w:rPr>
          <w:t>3.2</w:t>
        </w:r>
        <w:r w:rsidR="00DA5A84" w:rsidRPr="00DA5A84">
          <w:rPr>
            <w:rFonts w:asciiTheme="minorHAnsi" w:eastAsiaTheme="minorEastAsia" w:hAnsiTheme="minorHAnsi" w:cstheme="minorBidi"/>
            <w:noProof/>
            <w:sz w:val="22"/>
            <w:szCs w:val="22"/>
            <w:lang w:eastAsia="zh-CN"/>
          </w:rPr>
          <w:tab/>
        </w:r>
        <w:r w:rsidR="00DA5A84" w:rsidRPr="00DA5A84">
          <w:rPr>
            <w:rStyle w:val="Hyperlink"/>
            <w:noProof/>
          </w:rPr>
          <w:t>E.i.r.p. and PSD density per transmission type</w:t>
        </w:r>
        <w:r w:rsidR="00DA5A84" w:rsidRPr="00DA5A84">
          <w:rPr>
            <w:noProof/>
            <w:webHidden/>
          </w:rPr>
          <w:tab/>
        </w:r>
        <w:r w:rsidR="00DA5A84">
          <w:rPr>
            <w:noProof/>
            <w:webHidden/>
          </w:rPr>
          <w:tab/>
        </w:r>
        <w:r w:rsidR="00DA5A84" w:rsidRPr="00DA5A84">
          <w:rPr>
            <w:noProof/>
            <w:webHidden/>
          </w:rPr>
          <w:fldChar w:fldCharType="begin"/>
        </w:r>
        <w:r w:rsidR="00DA5A84" w:rsidRPr="00DA5A84">
          <w:rPr>
            <w:noProof/>
            <w:webHidden/>
          </w:rPr>
          <w:instrText xml:space="preserve"> PAGEREF _Toc428545737 \h </w:instrText>
        </w:r>
        <w:r w:rsidR="00DA5A84" w:rsidRPr="00DA5A84">
          <w:rPr>
            <w:noProof/>
            <w:webHidden/>
          </w:rPr>
        </w:r>
        <w:r w:rsidR="00DA5A84" w:rsidRPr="00DA5A84">
          <w:rPr>
            <w:noProof/>
            <w:webHidden/>
          </w:rPr>
          <w:fldChar w:fldCharType="separate"/>
        </w:r>
        <w:r>
          <w:rPr>
            <w:noProof/>
            <w:webHidden/>
          </w:rPr>
          <w:t>7</w:t>
        </w:r>
        <w:r w:rsidR="00DA5A84" w:rsidRPr="00DA5A84">
          <w:rPr>
            <w:noProof/>
            <w:webHidden/>
          </w:rPr>
          <w:fldChar w:fldCharType="end"/>
        </w:r>
      </w:hyperlink>
    </w:p>
    <w:p w:rsidR="00DA5A84" w:rsidRDefault="006775A3">
      <w:pPr>
        <w:pStyle w:val="TOC2"/>
        <w:rPr>
          <w:rFonts w:asciiTheme="minorHAnsi" w:eastAsiaTheme="minorEastAsia" w:hAnsiTheme="minorHAnsi" w:cstheme="minorBidi"/>
          <w:noProof/>
          <w:sz w:val="22"/>
          <w:szCs w:val="22"/>
          <w:lang w:eastAsia="zh-CN"/>
        </w:rPr>
      </w:pPr>
      <w:hyperlink w:anchor="_Toc428545738" w:history="1">
        <w:r w:rsidR="00DA5A84" w:rsidRPr="00402385">
          <w:rPr>
            <w:rStyle w:val="Hyperlink"/>
            <w:noProof/>
          </w:rPr>
          <w:t>3.3</w:t>
        </w:r>
        <w:r w:rsidR="00DA5A84">
          <w:rPr>
            <w:rFonts w:asciiTheme="minorHAnsi" w:eastAsiaTheme="minorEastAsia" w:hAnsiTheme="minorHAnsi" w:cstheme="minorBidi"/>
            <w:noProof/>
            <w:sz w:val="22"/>
            <w:szCs w:val="22"/>
            <w:lang w:eastAsia="zh-CN"/>
          </w:rPr>
          <w:tab/>
        </w:r>
        <w:r w:rsidR="00DA5A84" w:rsidRPr="00402385">
          <w:rPr>
            <w:rStyle w:val="Hyperlink"/>
            <w:noProof/>
          </w:rPr>
          <w:t>Transmission bandwidth distribution</w:t>
        </w:r>
        <w:r w:rsidR="00DA5A84">
          <w:rPr>
            <w:noProof/>
            <w:webHidden/>
          </w:rPr>
          <w:tab/>
        </w:r>
        <w:r w:rsidR="00DA5A84">
          <w:rPr>
            <w:noProof/>
            <w:webHidden/>
          </w:rPr>
          <w:tab/>
        </w:r>
        <w:r w:rsidR="00DA5A84">
          <w:rPr>
            <w:noProof/>
            <w:webHidden/>
          </w:rPr>
          <w:fldChar w:fldCharType="begin"/>
        </w:r>
        <w:r w:rsidR="00DA5A84">
          <w:rPr>
            <w:noProof/>
            <w:webHidden/>
          </w:rPr>
          <w:instrText xml:space="preserve"> PAGEREF _Toc428545738 \h </w:instrText>
        </w:r>
        <w:r w:rsidR="00DA5A84">
          <w:rPr>
            <w:noProof/>
            <w:webHidden/>
          </w:rPr>
        </w:r>
        <w:r w:rsidR="00DA5A84">
          <w:rPr>
            <w:noProof/>
            <w:webHidden/>
          </w:rPr>
          <w:fldChar w:fldCharType="separate"/>
        </w:r>
        <w:r>
          <w:rPr>
            <w:noProof/>
            <w:webHidden/>
          </w:rPr>
          <w:t>11</w:t>
        </w:r>
        <w:r w:rsidR="00DA5A84">
          <w:rPr>
            <w:noProof/>
            <w:webHidden/>
          </w:rPr>
          <w:fldChar w:fldCharType="end"/>
        </w:r>
      </w:hyperlink>
    </w:p>
    <w:p w:rsidR="00DA5A84" w:rsidRDefault="006775A3">
      <w:pPr>
        <w:pStyle w:val="TOC2"/>
        <w:rPr>
          <w:rFonts w:asciiTheme="minorHAnsi" w:eastAsiaTheme="minorEastAsia" w:hAnsiTheme="minorHAnsi" w:cstheme="minorBidi"/>
          <w:noProof/>
          <w:sz w:val="22"/>
          <w:szCs w:val="22"/>
          <w:lang w:eastAsia="zh-CN"/>
        </w:rPr>
      </w:pPr>
      <w:hyperlink w:anchor="_Toc428545739" w:history="1">
        <w:r w:rsidR="00DA5A84" w:rsidRPr="00402385">
          <w:rPr>
            <w:rStyle w:val="Hyperlink"/>
            <w:noProof/>
          </w:rPr>
          <w:t>3.4</w:t>
        </w:r>
        <w:r w:rsidR="00DA5A84">
          <w:rPr>
            <w:rFonts w:asciiTheme="minorHAnsi" w:eastAsiaTheme="minorEastAsia" w:hAnsiTheme="minorHAnsi" w:cstheme="minorBidi"/>
            <w:noProof/>
            <w:sz w:val="22"/>
            <w:szCs w:val="22"/>
            <w:lang w:eastAsia="zh-CN"/>
          </w:rPr>
          <w:tab/>
        </w:r>
        <w:r w:rsidR="00DA5A84" w:rsidRPr="00402385">
          <w:rPr>
            <w:rStyle w:val="Hyperlink"/>
            <w:noProof/>
          </w:rPr>
          <w:t>Dual polarization operation</w:t>
        </w:r>
        <w:r w:rsidR="00DA5A84">
          <w:rPr>
            <w:noProof/>
            <w:webHidden/>
          </w:rPr>
          <w:tab/>
        </w:r>
        <w:r w:rsidR="00DA5A84">
          <w:rPr>
            <w:noProof/>
            <w:webHidden/>
          </w:rPr>
          <w:tab/>
        </w:r>
        <w:r w:rsidR="00DA5A84">
          <w:rPr>
            <w:noProof/>
            <w:webHidden/>
          </w:rPr>
          <w:fldChar w:fldCharType="begin"/>
        </w:r>
        <w:r w:rsidR="00DA5A84">
          <w:rPr>
            <w:noProof/>
            <w:webHidden/>
          </w:rPr>
          <w:instrText xml:space="preserve"> PAGEREF _Toc428545739 \h </w:instrText>
        </w:r>
        <w:r w:rsidR="00DA5A84">
          <w:rPr>
            <w:noProof/>
            <w:webHidden/>
          </w:rPr>
        </w:r>
        <w:r w:rsidR="00DA5A84">
          <w:rPr>
            <w:noProof/>
            <w:webHidden/>
          </w:rPr>
          <w:fldChar w:fldCharType="separate"/>
        </w:r>
        <w:r>
          <w:rPr>
            <w:noProof/>
            <w:webHidden/>
          </w:rPr>
          <w:t>13</w:t>
        </w:r>
        <w:r w:rsidR="00DA5A84">
          <w:rPr>
            <w:noProof/>
            <w:webHidden/>
          </w:rPr>
          <w:fldChar w:fldCharType="end"/>
        </w:r>
      </w:hyperlink>
    </w:p>
    <w:p w:rsidR="00DA5A84" w:rsidRDefault="006775A3">
      <w:pPr>
        <w:pStyle w:val="TOC2"/>
        <w:rPr>
          <w:rFonts w:asciiTheme="minorHAnsi" w:eastAsiaTheme="minorEastAsia" w:hAnsiTheme="minorHAnsi" w:cstheme="minorBidi"/>
          <w:noProof/>
          <w:sz w:val="22"/>
          <w:szCs w:val="22"/>
          <w:lang w:eastAsia="zh-CN"/>
        </w:rPr>
      </w:pPr>
      <w:hyperlink w:anchor="_Toc428545740" w:history="1">
        <w:r w:rsidR="00DA5A84" w:rsidRPr="00402385">
          <w:rPr>
            <w:rStyle w:val="Hyperlink"/>
            <w:noProof/>
          </w:rPr>
          <w:t>3.5</w:t>
        </w:r>
        <w:r w:rsidR="00DA5A84">
          <w:rPr>
            <w:rFonts w:asciiTheme="minorHAnsi" w:eastAsiaTheme="minorEastAsia" w:hAnsiTheme="minorHAnsi" w:cstheme="minorBidi"/>
            <w:noProof/>
            <w:sz w:val="22"/>
            <w:szCs w:val="22"/>
            <w:lang w:eastAsia="zh-CN"/>
          </w:rPr>
          <w:tab/>
        </w:r>
        <w:r w:rsidR="00DA5A84" w:rsidRPr="00402385">
          <w:rPr>
            <w:rStyle w:val="Hyperlink"/>
            <w:noProof/>
          </w:rPr>
          <w:t>Satellite transponder loading</w:t>
        </w:r>
        <w:r w:rsidR="00DA5A84">
          <w:rPr>
            <w:noProof/>
            <w:webHidden/>
          </w:rPr>
          <w:tab/>
        </w:r>
        <w:r w:rsidR="00DA5A84">
          <w:rPr>
            <w:noProof/>
            <w:webHidden/>
          </w:rPr>
          <w:tab/>
        </w:r>
        <w:r w:rsidR="00DA5A84">
          <w:rPr>
            <w:noProof/>
            <w:webHidden/>
          </w:rPr>
          <w:fldChar w:fldCharType="begin"/>
        </w:r>
        <w:r w:rsidR="00DA5A84">
          <w:rPr>
            <w:noProof/>
            <w:webHidden/>
          </w:rPr>
          <w:instrText xml:space="preserve"> PAGEREF _Toc428545740 \h </w:instrText>
        </w:r>
        <w:r w:rsidR="00DA5A84">
          <w:rPr>
            <w:noProof/>
            <w:webHidden/>
          </w:rPr>
        </w:r>
        <w:r w:rsidR="00DA5A84">
          <w:rPr>
            <w:noProof/>
            <w:webHidden/>
          </w:rPr>
          <w:fldChar w:fldCharType="separate"/>
        </w:r>
        <w:r>
          <w:rPr>
            <w:noProof/>
            <w:webHidden/>
          </w:rPr>
          <w:t>14</w:t>
        </w:r>
        <w:r w:rsidR="00DA5A84">
          <w:rPr>
            <w:noProof/>
            <w:webHidden/>
          </w:rPr>
          <w:fldChar w:fldCharType="end"/>
        </w:r>
      </w:hyperlink>
    </w:p>
    <w:p w:rsidR="00DA5A84" w:rsidRDefault="006775A3">
      <w:pPr>
        <w:pStyle w:val="TOC2"/>
        <w:rPr>
          <w:rFonts w:asciiTheme="minorHAnsi" w:eastAsiaTheme="minorEastAsia" w:hAnsiTheme="minorHAnsi" w:cstheme="minorBidi"/>
          <w:noProof/>
          <w:sz w:val="22"/>
          <w:szCs w:val="22"/>
          <w:lang w:eastAsia="zh-CN"/>
        </w:rPr>
      </w:pPr>
      <w:hyperlink w:anchor="_Toc428545741" w:history="1">
        <w:r w:rsidR="00DA5A84" w:rsidRPr="00402385">
          <w:rPr>
            <w:rStyle w:val="Hyperlink"/>
            <w:noProof/>
          </w:rPr>
          <w:t>3.6</w:t>
        </w:r>
        <w:r w:rsidR="00DA5A84">
          <w:rPr>
            <w:rFonts w:asciiTheme="minorHAnsi" w:eastAsiaTheme="minorEastAsia" w:hAnsiTheme="minorHAnsi" w:cstheme="minorBidi"/>
            <w:noProof/>
            <w:sz w:val="22"/>
            <w:szCs w:val="22"/>
            <w:lang w:eastAsia="zh-CN"/>
          </w:rPr>
          <w:tab/>
        </w:r>
        <w:r w:rsidR="00DA5A84" w:rsidRPr="00402385">
          <w:rPr>
            <w:rStyle w:val="Hyperlink"/>
            <w:noProof/>
          </w:rPr>
          <w:t>Total number of transmissions in the simulation</w:t>
        </w:r>
        <w:r w:rsidR="00DA5A84">
          <w:rPr>
            <w:noProof/>
            <w:webHidden/>
          </w:rPr>
          <w:tab/>
        </w:r>
        <w:r w:rsidR="00DA5A84">
          <w:rPr>
            <w:noProof/>
            <w:webHidden/>
          </w:rPr>
          <w:tab/>
        </w:r>
        <w:r w:rsidR="00DA5A84">
          <w:rPr>
            <w:noProof/>
            <w:webHidden/>
          </w:rPr>
          <w:fldChar w:fldCharType="begin"/>
        </w:r>
        <w:r w:rsidR="00DA5A84">
          <w:rPr>
            <w:noProof/>
            <w:webHidden/>
          </w:rPr>
          <w:instrText xml:space="preserve"> PAGEREF _Toc428545741 \h </w:instrText>
        </w:r>
        <w:r w:rsidR="00DA5A84">
          <w:rPr>
            <w:noProof/>
            <w:webHidden/>
          </w:rPr>
        </w:r>
        <w:r w:rsidR="00DA5A84">
          <w:rPr>
            <w:noProof/>
            <w:webHidden/>
          </w:rPr>
          <w:fldChar w:fldCharType="separate"/>
        </w:r>
        <w:r>
          <w:rPr>
            <w:noProof/>
            <w:webHidden/>
          </w:rPr>
          <w:t>14</w:t>
        </w:r>
        <w:r w:rsidR="00DA5A84">
          <w:rPr>
            <w:noProof/>
            <w:webHidden/>
          </w:rPr>
          <w:fldChar w:fldCharType="end"/>
        </w:r>
      </w:hyperlink>
    </w:p>
    <w:p w:rsidR="00DA5A84" w:rsidRDefault="006775A3">
      <w:pPr>
        <w:pStyle w:val="TOC2"/>
        <w:rPr>
          <w:rFonts w:asciiTheme="minorHAnsi" w:eastAsiaTheme="minorEastAsia" w:hAnsiTheme="minorHAnsi" w:cstheme="minorBidi"/>
          <w:noProof/>
          <w:sz w:val="22"/>
          <w:szCs w:val="22"/>
          <w:lang w:eastAsia="zh-CN"/>
        </w:rPr>
      </w:pPr>
      <w:hyperlink w:anchor="_Toc428545742" w:history="1">
        <w:r w:rsidR="00DA5A84" w:rsidRPr="00402385">
          <w:rPr>
            <w:rStyle w:val="Hyperlink"/>
            <w:noProof/>
          </w:rPr>
          <w:t>3.7</w:t>
        </w:r>
        <w:r w:rsidR="00DA5A84">
          <w:rPr>
            <w:rFonts w:asciiTheme="minorHAnsi" w:eastAsiaTheme="minorEastAsia" w:hAnsiTheme="minorHAnsi" w:cstheme="minorBidi"/>
            <w:noProof/>
            <w:sz w:val="22"/>
            <w:szCs w:val="22"/>
            <w:lang w:eastAsia="zh-CN"/>
          </w:rPr>
          <w:tab/>
        </w:r>
        <w:r w:rsidR="00DA5A84" w:rsidRPr="00402385">
          <w:rPr>
            <w:rStyle w:val="Hyperlink"/>
            <w:noProof/>
          </w:rPr>
          <w:t>GSO FSS satellite locations and distributions</w:t>
        </w:r>
        <w:r w:rsidR="00DA5A84">
          <w:rPr>
            <w:noProof/>
            <w:webHidden/>
          </w:rPr>
          <w:tab/>
        </w:r>
        <w:r w:rsidR="00DA5A84">
          <w:rPr>
            <w:noProof/>
            <w:webHidden/>
          </w:rPr>
          <w:tab/>
        </w:r>
        <w:r w:rsidR="00DA5A84">
          <w:rPr>
            <w:noProof/>
            <w:webHidden/>
          </w:rPr>
          <w:fldChar w:fldCharType="begin"/>
        </w:r>
        <w:r w:rsidR="00DA5A84">
          <w:rPr>
            <w:noProof/>
            <w:webHidden/>
          </w:rPr>
          <w:instrText xml:space="preserve"> PAGEREF _Toc428545742 \h </w:instrText>
        </w:r>
        <w:r w:rsidR="00DA5A84">
          <w:rPr>
            <w:noProof/>
            <w:webHidden/>
          </w:rPr>
        </w:r>
        <w:r w:rsidR="00DA5A84">
          <w:rPr>
            <w:noProof/>
            <w:webHidden/>
          </w:rPr>
          <w:fldChar w:fldCharType="separate"/>
        </w:r>
        <w:r>
          <w:rPr>
            <w:noProof/>
            <w:webHidden/>
          </w:rPr>
          <w:t>15</w:t>
        </w:r>
        <w:r w:rsidR="00DA5A84">
          <w:rPr>
            <w:noProof/>
            <w:webHidden/>
          </w:rPr>
          <w:fldChar w:fldCharType="end"/>
        </w:r>
      </w:hyperlink>
    </w:p>
    <w:p w:rsidR="00DA5A84" w:rsidRDefault="006775A3">
      <w:pPr>
        <w:pStyle w:val="TOC2"/>
        <w:rPr>
          <w:rFonts w:asciiTheme="minorHAnsi" w:eastAsiaTheme="minorEastAsia" w:hAnsiTheme="minorHAnsi" w:cstheme="minorBidi"/>
          <w:noProof/>
          <w:sz w:val="22"/>
          <w:szCs w:val="22"/>
          <w:lang w:eastAsia="zh-CN"/>
        </w:rPr>
      </w:pPr>
      <w:hyperlink w:anchor="_Toc428545743" w:history="1">
        <w:r w:rsidR="00DA5A84" w:rsidRPr="00402385">
          <w:rPr>
            <w:rStyle w:val="Hyperlink"/>
            <w:noProof/>
          </w:rPr>
          <w:t>3.8</w:t>
        </w:r>
        <w:r w:rsidR="00DA5A84">
          <w:rPr>
            <w:rFonts w:asciiTheme="minorHAnsi" w:eastAsiaTheme="minorEastAsia" w:hAnsiTheme="minorHAnsi" w:cstheme="minorBidi"/>
            <w:noProof/>
            <w:sz w:val="22"/>
            <w:szCs w:val="22"/>
            <w:lang w:eastAsia="zh-CN"/>
          </w:rPr>
          <w:tab/>
        </w:r>
        <w:r w:rsidR="00DA5A84" w:rsidRPr="00402385">
          <w:rPr>
            <w:rStyle w:val="Hyperlink"/>
            <w:noProof/>
          </w:rPr>
          <w:t>FSS earth station deployment methodology</w:t>
        </w:r>
        <w:r w:rsidR="00DA5A84">
          <w:rPr>
            <w:noProof/>
            <w:webHidden/>
          </w:rPr>
          <w:tab/>
        </w:r>
        <w:r w:rsidR="00DA5A84">
          <w:rPr>
            <w:noProof/>
            <w:webHidden/>
          </w:rPr>
          <w:tab/>
        </w:r>
        <w:r w:rsidR="00DA5A84">
          <w:rPr>
            <w:noProof/>
            <w:webHidden/>
          </w:rPr>
          <w:fldChar w:fldCharType="begin"/>
        </w:r>
        <w:r w:rsidR="00DA5A84">
          <w:rPr>
            <w:noProof/>
            <w:webHidden/>
          </w:rPr>
          <w:instrText xml:space="preserve"> PAGEREF _Toc428545743 \h </w:instrText>
        </w:r>
        <w:r w:rsidR="00DA5A84">
          <w:rPr>
            <w:noProof/>
            <w:webHidden/>
          </w:rPr>
        </w:r>
        <w:r w:rsidR="00DA5A84">
          <w:rPr>
            <w:noProof/>
            <w:webHidden/>
          </w:rPr>
          <w:fldChar w:fldCharType="separate"/>
        </w:r>
        <w:r>
          <w:rPr>
            <w:noProof/>
            <w:webHidden/>
          </w:rPr>
          <w:t>15</w:t>
        </w:r>
        <w:r w:rsidR="00DA5A84">
          <w:rPr>
            <w:noProof/>
            <w:webHidden/>
          </w:rPr>
          <w:fldChar w:fldCharType="end"/>
        </w:r>
      </w:hyperlink>
    </w:p>
    <w:p w:rsidR="006C5CDB" w:rsidRPr="006C5CDB" w:rsidRDefault="00CB7BC1" w:rsidP="00CB7BC1">
      <w:pPr>
        <w:overflowPunct/>
        <w:autoSpaceDE/>
        <w:autoSpaceDN/>
        <w:adjustRightInd/>
        <w:spacing w:before="0"/>
        <w:textAlignment w:val="auto"/>
        <w:rPr>
          <w:rStyle w:val="Hyperlink"/>
          <w:noProof/>
          <w:color w:val="auto"/>
          <w:lang w:val="en-US"/>
        </w:rPr>
      </w:pPr>
      <w:r w:rsidRPr="00CB7BC1">
        <w:fldChar w:fldCharType="end"/>
      </w:r>
      <w:r w:rsidR="006C5CDB" w:rsidRPr="006C5CDB">
        <w:rPr>
          <w:rStyle w:val="Hyperlink"/>
          <w:noProof/>
          <w:color w:val="auto"/>
          <w:lang w:val="en-US"/>
        </w:rPr>
        <w:br w:type="page"/>
      </w:r>
      <w:bookmarkStart w:id="10" w:name="_GoBack"/>
      <w:bookmarkEnd w:id="10"/>
    </w:p>
    <w:p w:rsidR="00DA5A84" w:rsidRPr="00DA5A84" w:rsidRDefault="00DA5A84" w:rsidP="00DA5A84">
      <w:pPr>
        <w:pStyle w:val="Heading1"/>
        <w:rPr>
          <w:lang w:val="en-US"/>
        </w:rPr>
      </w:pPr>
      <w:bookmarkStart w:id="11" w:name="_Toc428545728"/>
      <w:r w:rsidRPr="00DA5A84">
        <w:rPr>
          <w:lang w:val="en-US"/>
        </w:rPr>
        <w:lastRenderedPageBreak/>
        <w:t>1</w:t>
      </w:r>
      <w:r w:rsidRPr="00DA5A84">
        <w:rPr>
          <w:lang w:val="en-US"/>
        </w:rPr>
        <w:tab/>
        <w:t>General FSS characteristics</w:t>
      </w:r>
      <w:bookmarkEnd w:id="11"/>
    </w:p>
    <w:p w:rsidR="00CB7BC1" w:rsidRPr="00CB7BC1" w:rsidRDefault="00CB7BC1" w:rsidP="00AA79D0">
      <w:pPr>
        <w:rPr>
          <w:lang w:val="en-US"/>
        </w:rPr>
      </w:pPr>
      <w:r w:rsidRPr="00CB7BC1">
        <w:rPr>
          <w:lang w:val="en-US"/>
        </w:rPr>
        <w:t>This Report provides an estimate of the current GSO FSS deployment characteristics in the 14</w:t>
      </w:r>
      <w:r w:rsidR="00AA79D0">
        <w:rPr>
          <w:lang w:val="en-US"/>
        </w:rPr>
        <w:noBreakHyphen/>
      </w:r>
      <w:r w:rsidRPr="00CB7BC1">
        <w:rPr>
          <w:lang w:val="en-US"/>
        </w:rPr>
        <w:t>14.5</w:t>
      </w:r>
      <w:r w:rsidR="00AA79D0">
        <w:rPr>
          <w:lang w:val="en-US"/>
        </w:rPr>
        <w:t> </w:t>
      </w:r>
      <w:r w:rsidRPr="00CB7BC1">
        <w:rPr>
          <w:lang w:val="en-US"/>
        </w:rPr>
        <w:t xml:space="preserve">GHz band. </w:t>
      </w:r>
      <w:r w:rsidRPr="00CB7BC1">
        <w:rPr>
          <w:szCs w:val="24"/>
          <w:lang w:val="en-US"/>
        </w:rPr>
        <w:t xml:space="preserve">The FSS earth station deployment models below can be used to estimate how earth stations may be deployed </w:t>
      </w:r>
      <w:r w:rsidRPr="00CB7BC1">
        <w:rPr>
          <w:lang w:val="en-US"/>
        </w:rPr>
        <w:t>in sharing studies between FSS and other radiocommunication s</w:t>
      </w:r>
      <w:r w:rsidR="00AA79D0">
        <w:rPr>
          <w:lang w:val="en-US"/>
        </w:rPr>
        <w:t xml:space="preserve">ervices in the 10-17 GHz band. </w:t>
      </w:r>
      <w:r w:rsidRPr="00CB7BC1">
        <w:rPr>
          <w:lang w:val="en-US"/>
        </w:rPr>
        <w:t>Future GSO FSS deployment characteristics may differ from characteristics provided in this Report.</w:t>
      </w:r>
    </w:p>
    <w:p w:rsidR="00CB7BC1" w:rsidRPr="00CB7BC1" w:rsidRDefault="00CB7BC1" w:rsidP="00CB7BC1">
      <w:pPr>
        <w:rPr>
          <w:lang w:val="en-US"/>
        </w:rPr>
      </w:pPr>
      <w:r w:rsidRPr="00CB7BC1">
        <w:rPr>
          <w:lang w:val="en-US"/>
        </w:rPr>
        <w:t>Non-GSO FSS deployment characteristics were not considered in this Report.</w:t>
      </w:r>
    </w:p>
    <w:p w:rsidR="00CB7BC1" w:rsidRPr="00CB7BC1" w:rsidRDefault="00CB7BC1" w:rsidP="00AA79D0">
      <w:pPr>
        <w:rPr>
          <w:lang w:val="en-US"/>
        </w:rPr>
      </w:pPr>
      <w:r w:rsidRPr="00CB7BC1">
        <w:rPr>
          <w:lang w:val="en-US"/>
        </w:rPr>
        <w:t>The following tables contain characteristics for the FSS in the 10-17 GHz band. They include a sampling of transmitting earth station antenna patterns and characteristics for use in FSS networks. Recommendations ITU-R S.1855 and ITU-R S.728 are used for the off</w:t>
      </w:r>
      <w:r w:rsidRPr="00CB7BC1">
        <w:rPr>
          <w:lang w:val="en-US"/>
        </w:rPr>
        <w:noBreakHyphen/>
        <w:t>axis antenna pattern or off</w:t>
      </w:r>
      <w:r w:rsidR="00AA79D0">
        <w:rPr>
          <w:lang w:val="en-US"/>
        </w:rPr>
        <w:noBreakHyphen/>
      </w:r>
      <w:r w:rsidRPr="00CB7BC1">
        <w:rPr>
          <w:lang w:val="en-US"/>
        </w:rPr>
        <w:t>axis e.i.r.p. density mask, as appropriate. Recommendation ITU-R BO.1213 is considered primarily for modelling the main lobe characteristics of an FSS earth station antenna.</w:t>
      </w:r>
    </w:p>
    <w:p w:rsidR="00CB7BC1" w:rsidRPr="00CB7BC1" w:rsidRDefault="00CB7BC1" w:rsidP="00CB7BC1">
      <w:pPr>
        <w:rPr>
          <w:lang w:val="en-US"/>
        </w:rPr>
      </w:pPr>
      <w:r w:rsidRPr="00CB7BC1">
        <w:rPr>
          <w:lang w:val="en-US"/>
        </w:rPr>
        <w:t xml:space="preserve">The FSS GSO satellite downlink characteristics in the 10-17 GHz band are considered to have the maximum allowable pfd at the Earth’s surface for the frequency band under consideration as specified by </w:t>
      </w:r>
      <w:r w:rsidR="00B04D4C">
        <w:rPr>
          <w:lang w:val="en-US"/>
        </w:rPr>
        <w:t>ITU Radio Regulations (</w:t>
      </w:r>
      <w:r w:rsidRPr="00CB7BC1">
        <w:rPr>
          <w:lang w:val="en-US"/>
        </w:rPr>
        <w:t>RR</w:t>
      </w:r>
      <w:r w:rsidR="00B04D4C">
        <w:rPr>
          <w:lang w:val="en-US"/>
        </w:rPr>
        <w:t>)</w:t>
      </w:r>
      <w:r w:rsidRPr="00CB7BC1">
        <w:rPr>
          <w:lang w:val="en-US"/>
        </w:rPr>
        <w:t xml:space="preserve"> No. </w:t>
      </w:r>
      <w:r w:rsidRPr="00CB7BC1">
        <w:rPr>
          <w:b/>
          <w:bCs/>
          <w:lang w:val="en-US"/>
        </w:rPr>
        <w:t>21.16</w:t>
      </w:r>
      <w:r w:rsidRPr="00CB7BC1">
        <w:rPr>
          <w:lang w:val="en-US"/>
        </w:rPr>
        <w:t>.</w:t>
      </w:r>
    </w:p>
    <w:p w:rsidR="00CB7BC1" w:rsidRPr="00CB7BC1" w:rsidRDefault="00CB7BC1" w:rsidP="00AA79D0">
      <w:pPr>
        <w:rPr>
          <w:lang w:val="en-US"/>
        </w:rPr>
      </w:pPr>
      <w:r w:rsidRPr="00CB7BC1">
        <w:rPr>
          <w:lang w:val="en-US"/>
        </w:rPr>
        <w:t>This pfd level was designed to protect terrestrial systems that share existing FSS frequencies on a co</w:t>
      </w:r>
      <w:r w:rsidR="00AA79D0">
        <w:rPr>
          <w:lang w:val="en-US"/>
        </w:rPr>
        <w:noBreakHyphen/>
      </w:r>
      <w:r w:rsidRPr="00CB7BC1">
        <w:rPr>
          <w:lang w:val="en-US"/>
        </w:rPr>
        <w:t xml:space="preserve">primary basis. Typically, FSS GSO satellite downlink transmissions have e.i.r.p. density levels usually between –35 and –20 dBW/Hz depending on the transmission requirements, which are significantly lower than the –13 dBW/Hz level that would be derived from RR No. </w:t>
      </w:r>
      <w:r w:rsidRPr="00CB7BC1">
        <w:rPr>
          <w:b/>
          <w:bCs/>
          <w:lang w:val="en-US"/>
        </w:rPr>
        <w:t>21.16</w:t>
      </w:r>
      <w:r w:rsidRPr="00CB7BC1">
        <w:rPr>
          <w:lang w:val="en-US"/>
        </w:rPr>
        <w:t>.</w:t>
      </w:r>
      <w:r w:rsidRPr="00CB7BC1">
        <w:rPr>
          <w:iCs/>
          <w:vertAlign w:val="superscript"/>
          <w:lang w:val="en-US"/>
        </w:rPr>
        <w:t xml:space="preserve"> </w:t>
      </w:r>
    </w:p>
    <w:p w:rsidR="00CB7BC1" w:rsidRPr="00CB7BC1" w:rsidRDefault="00CB7BC1" w:rsidP="00AA79D0">
      <w:pPr>
        <w:rPr>
          <w:lang w:val="en-US"/>
        </w:rPr>
      </w:pPr>
      <w:r w:rsidRPr="00CB7BC1">
        <w:rPr>
          <w:lang w:val="en-US"/>
        </w:rPr>
        <w:t>The model contained herein defines three main types of transmissions (VSAT, Wideband, and Point</w:t>
      </w:r>
      <w:r w:rsidR="00AA79D0">
        <w:rPr>
          <w:lang w:val="en-US"/>
        </w:rPr>
        <w:noBreakHyphen/>
      </w:r>
      <w:r w:rsidRPr="00CB7BC1">
        <w:rPr>
          <w:lang w:val="en-US"/>
        </w:rPr>
        <w:t xml:space="preserve">to-Point) currently active on fixed satellite systems and the relative frequency of use of these transmission types. For each of the transmission types, typical earth station characteristics are outlined. </w:t>
      </w:r>
      <w:r w:rsidRPr="00CB7BC1">
        <w:rPr>
          <w:lang w:val="en-US" w:eastAsia="x-none"/>
        </w:rPr>
        <w:t xml:space="preserve">The characteristics in the tables below are taken from a statistical analysis of all the transmissions from 73 active satellites in the 14.0-14.5 GHz band (horizontal and vertical polarization). There was an overall total of 25 937 transmissions which gives an average of 355 transmissions per satellite. The 73 satellites occupy less than 73 orbital locations and therefore the average number of transmissions per orbital location will be greater than the average number of transmissions per satellite. </w:t>
      </w:r>
      <w:r w:rsidRPr="00CB7BC1">
        <w:rPr>
          <w:lang w:val="en-US"/>
        </w:rPr>
        <w:t>The use of transmission types serves to provide an accurate description of FSS earth station operations and their transmissions.</w:t>
      </w:r>
    </w:p>
    <w:p w:rsidR="00CB7BC1" w:rsidRPr="00CB7BC1" w:rsidRDefault="00CB7BC1" w:rsidP="00F002C7">
      <w:pPr>
        <w:pStyle w:val="Heading2"/>
        <w:rPr>
          <w:caps/>
          <w:lang w:val="en-US"/>
        </w:rPr>
      </w:pPr>
      <w:bookmarkStart w:id="12" w:name="_Toc428545729"/>
      <w:r w:rsidRPr="00CB7BC1">
        <w:rPr>
          <w:lang w:val="en-US"/>
        </w:rPr>
        <w:t>1.1</w:t>
      </w:r>
      <w:r w:rsidRPr="00CB7BC1">
        <w:rPr>
          <w:lang w:val="en-US"/>
        </w:rPr>
        <w:tab/>
      </w:r>
      <w:r w:rsidR="009809DD" w:rsidRPr="009809DD">
        <w:rPr>
          <w:lang w:val="en-US"/>
        </w:rPr>
        <w:t>Very small aperture terminals</w:t>
      </w:r>
      <w:r w:rsidRPr="00CB7BC1">
        <w:rPr>
          <w:lang w:val="en-US"/>
        </w:rPr>
        <w:t xml:space="preserve"> transmission type</w:t>
      </w:r>
      <w:bookmarkEnd w:id="12"/>
    </w:p>
    <w:p w:rsidR="00CB7BC1" w:rsidRPr="00CB7BC1" w:rsidRDefault="00CB7BC1" w:rsidP="00CB7BC1">
      <w:pPr>
        <w:rPr>
          <w:lang w:val="en-US"/>
        </w:rPr>
      </w:pPr>
      <w:r w:rsidRPr="00CB7BC1">
        <w:rPr>
          <w:lang w:val="en-US"/>
        </w:rPr>
        <w:t xml:space="preserve">Very small aperture terminals (VSATs) are earth stations with small diameter antennas that commonly transmit carriers </w:t>
      </w:r>
      <w:r w:rsidRPr="00CB7BC1">
        <w:rPr>
          <w:szCs w:val="24"/>
          <w:lang w:val="en-US"/>
        </w:rPr>
        <w:t>with lower e.i.r.p. densities and smaller bandwidths</w:t>
      </w:r>
      <w:r w:rsidRPr="00CB7BC1">
        <w:rPr>
          <w:lang w:val="en-US"/>
        </w:rPr>
        <w:t>. Transmissions by VSATs are typically return links carrying data from remote sites back to a hub station or links between VSAT terminals. VSAT transmissions constitute about 69.3% of uplink FSS transmissions, which represents 15.28% of the total bandwidth.</w:t>
      </w:r>
    </w:p>
    <w:p w:rsidR="00CB7BC1" w:rsidRPr="00CB7BC1" w:rsidRDefault="00CB7BC1" w:rsidP="00CB7BC1">
      <w:pPr>
        <w:rPr>
          <w:lang w:val="en-US"/>
        </w:rPr>
      </w:pPr>
      <w:r w:rsidRPr="00CB7BC1">
        <w:rPr>
          <w:lang w:val="en-US"/>
        </w:rPr>
        <w:t>Transmissions were considered to be of the VSAT transmission type if the transmitting earth station was less than 3 m in diameter and the bandwidth was less than 3 MHz. A total of 17 982 transmissions met the criteria of the VSAT transmission type and the statistical analysis of their characteristics is provided in later sections.</w:t>
      </w:r>
    </w:p>
    <w:p w:rsidR="00CB7BC1" w:rsidRPr="00CB7BC1" w:rsidRDefault="00CB7BC1" w:rsidP="00F002C7">
      <w:pPr>
        <w:pStyle w:val="Heading2"/>
        <w:rPr>
          <w:caps/>
          <w:lang w:val="en-US"/>
        </w:rPr>
      </w:pPr>
      <w:bookmarkStart w:id="13" w:name="_Toc428545730"/>
      <w:r w:rsidRPr="00CB7BC1">
        <w:rPr>
          <w:lang w:val="en-US"/>
        </w:rPr>
        <w:t>1.2</w:t>
      </w:r>
      <w:r w:rsidRPr="00CB7BC1">
        <w:rPr>
          <w:lang w:val="en-US"/>
        </w:rPr>
        <w:tab/>
        <w:t>Wideband transmission type</w:t>
      </w:r>
      <w:bookmarkEnd w:id="13"/>
    </w:p>
    <w:p w:rsidR="00CB7BC1" w:rsidRPr="00CB7BC1" w:rsidRDefault="00CB7BC1" w:rsidP="00143DAB">
      <w:pPr>
        <w:rPr>
          <w:lang w:val="en-US"/>
        </w:rPr>
      </w:pPr>
      <w:r w:rsidRPr="00CB7BC1">
        <w:rPr>
          <w:lang w:val="en-US"/>
        </w:rPr>
        <w:t xml:space="preserve">Wideband transmissions are typically data or video carriers from hub stations. These stations transmit wideband carriers, have large diameters and the ability to transmit higher e.i.r.p. densities. In addition to the hub station transmissions, earth stations used for SNG can also transmit wideband carriers. Although the SNGs have small diameters, some have high gains and can transmit higher e.i.r.p. </w:t>
      </w:r>
      <w:r w:rsidRPr="00CB7BC1">
        <w:rPr>
          <w:lang w:val="en-US"/>
        </w:rPr>
        <w:lastRenderedPageBreak/>
        <w:t>densities. The Wideband transmission type constitutes about 4.9% of uplink FSS transmissions, which represents 56.8% of the total bandwidth.</w:t>
      </w:r>
    </w:p>
    <w:p w:rsidR="00CB7BC1" w:rsidRPr="00CB7BC1" w:rsidRDefault="00CB7BC1" w:rsidP="00CB7BC1">
      <w:pPr>
        <w:rPr>
          <w:b/>
          <w:lang w:val="en-US"/>
        </w:rPr>
      </w:pPr>
      <w:r w:rsidRPr="00CB7BC1">
        <w:rPr>
          <w:lang w:val="en-US"/>
        </w:rPr>
        <w:t>Any transmission in the sample with a bandwidth of 18 MHz or larger was classified as belonging to the Wideband transmission type. The 18 MHz limit was used because it is half of a typical transponder bandwidth. In order for the satellite to receive transmissions with large bandwidths, higher e.i.r.p. must be transmitted. Earth stations with higher gains, including the high-gain SNG terminals, are required to achieve this higher e.i.r.p.. A total of 1 258 transmissions met the criteria of the wideband transmission type and the statistical analysis of their characteristics is provided in later sections.</w:t>
      </w:r>
    </w:p>
    <w:p w:rsidR="00CB7BC1" w:rsidRPr="00CB7BC1" w:rsidRDefault="00CB7BC1" w:rsidP="00F002C7">
      <w:pPr>
        <w:pStyle w:val="Heading2"/>
        <w:rPr>
          <w:caps/>
          <w:lang w:val="en-US"/>
        </w:rPr>
      </w:pPr>
      <w:bookmarkStart w:id="14" w:name="_Toc428545731"/>
      <w:r w:rsidRPr="00CB7BC1">
        <w:rPr>
          <w:lang w:val="en-US"/>
        </w:rPr>
        <w:t>1.3</w:t>
      </w:r>
      <w:r w:rsidRPr="00CB7BC1">
        <w:rPr>
          <w:lang w:val="en-US"/>
        </w:rPr>
        <w:tab/>
        <w:t>Point-to-Point transmission type</w:t>
      </w:r>
      <w:bookmarkEnd w:id="14"/>
    </w:p>
    <w:p w:rsidR="00CB7BC1" w:rsidRPr="00CB7BC1" w:rsidRDefault="00CB7BC1" w:rsidP="00CB7BC1">
      <w:pPr>
        <w:rPr>
          <w:b/>
          <w:lang w:val="en-US"/>
        </w:rPr>
      </w:pPr>
      <w:r w:rsidRPr="00CB7BC1">
        <w:rPr>
          <w:lang w:val="en-US"/>
        </w:rPr>
        <w:t>Point-to-Point transmissions include all other transmissions that are not classified as belonging to the VSAT or Wideband transmission types. The earth stations transmitting Point-to-Point links typically have diameters and e.i.r.p. densities larger than VSATs but smaller than hub stations transmitting wideband carriers. The Point-to-Point transmission type constitutes about 25.8% of uplink FSS transmissions, which represents 27.92% of the total bandwidth.</w:t>
      </w:r>
    </w:p>
    <w:p w:rsidR="00CB7BC1" w:rsidRPr="00CB7BC1" w:rsidRDefault="00CB7BC1" w:rsidP="00ED4B39">
      <w:pPr>
        <w:rPr>
          <w:iCs/>
          <w:szCs w:val="24"/>
          <w:lang w:val="en-US"/>
        </w:rPr>
      </w:pPr>
      <w:r w:rsidRPr="00CB7BC1">
        <w:rPr>
          <w:lang w:val="en-US"/>
        </w:rPr>
        <w:t xml:space="preserve">In the analysis, all transmissions that did not meet the criteria of the VSAT or Wideband transmission types were classified as Point-to-Point links. Transmissions from earth stations in this transmission type have bandwidths less than 18 MHz and varying antenna diameters. </w:t>
      </w:r>
      <w:r w:rsidRPr="00CB7BC1">
        <w:rPr>
          <w:szCs w:val="24"/>
          <w:lang w:val="en-US"/>
        </w:rPr>
        <w:t>A total of</w:t>
      </w:r>
      <w:r w:rsidR="00ED4B39">
        <w:rPr>
          <w:szCs w:val="24"/>
          <w:lang w:val="en-US"/>
        </w:rPr>
        <w:t xml:space="preserve"> </w:t>
      </w:r>
      <w:r w:rsidRPr="00CB7BC1">
        <w:rPr>
          <w:szCs w:val="24"/>
          <w:lang w:val="en-US"/>
        </w:rPr>
        <w:t xml:space="preserve">6 697 transmissions met the criteria of the Point-to-Point transmission type </w:t>
      </w:r>
      <w:r w:rsidRPr="00CB7BC1">
        <w:rPr>
          <w:lang w:val="en-US"/>
        </w:rPr>
        <w:t>and the statistical analysis of their characteristics is provided in later sections</w:t>
      </w:r>
      <w:r w:rsidRPr="00CB7BC1">
        <w:rPr>
          <w:szCs w:val="24"/>
          <w:lang w:val="en-US"/>
        </w:rPr>
        <w:t>.</w:t>
      </w:r>
    </w:p>
    <w:p w:rsidR="00CB7BC1" w:rsidRPr="00CB7BC1" w:rsidRDefault="00CB7BC1" w:rsidP="00F002C7">
      <w:pPr>
        <w:pStyle w:val="Heading1"/>
        <w:rPr>
          <w:caps/>
          <w:lang w:val="en-US"/>
        </w:rPr>
      </w:pPr>
      <w:bookmarkStart w:id="15" w:name="_Toc428545732"/>
      <w:r w:rsidRPr="00CB7BC1">
        <w:rPr>
          <w:lang w:val="en-US"/>
        </w:rPr>
        <w:t>2</w:t>
      </w:r>
      <w:r w:rsidRPr="00CB7BC1">
        <w:rPr>
          <w:lang w:val="en-US"/>
        </w:rPr>
        <w:tab/>
        <w:t>FSS characteristics for single-entry analysis</w:t>
      </w:r>
      <w:bookmarkEnd w:id="15"/>
    </w:p>
    <w:p w:rsidR="00CB7BC1" w:rsidRPr="00CB7BC1" w:rsidRDefault="00CB7BC1" w:rsidP="00CB7BC1">
      <w:pPr>
        <w:rPr>
          <w:lang w:val="en-US"/>
        </w:rPr>
      </w:pPr>
      <w:r w:rsidRPr="00CB7BC1">
        <w:rPr>
          <w:lang w:val="en-US"/>
        </w:rPr>
        <w:t xml:space="preserve">The FSS characteristics, as provided in Table 1, can be used to generate results based on the potential interference from one FSS earth station. The impact of each transmission type should be evaluated individually. </w:t>
      </w:r>
    </w:p>
    <w:p w:rsidR="00CB7BC1" w:rsidRPr="00CB7BC1" w:rsidRDefault="00CB7BC1" w:rsidP="00ED4B39">
      <w:pPr>
        <w:rPr>
          <w:lang w:val="en-US"/>
        </w:rPr>
      </w:pPr>
      <w:r w:rsidRPr="00CB7BC1">
        <w:rPr>
          <w:lang w:val="en-US"/>
        </w:rPr>
        <w:t>The maximum PSD values for the future FSS allocation can be expected to range between –60 and</w:t>
      </w:r>
      <w:r w:rsidR="00ED4B39">
        <w:rPr>
          <w:lang w:val="en-US"/>
        </w:rPr>
        <w:t xml:space="preserve"> </w:t>
      </w:r>
      <w:r w:rsidR="00ED4B39">
        <w:rPr>
          <w:lang w:val="en-US"/>
        </w:rPr>
        <w:br/>
      </w:r>
      <w:r w:rsidRPr="00CB7BC1">
        <w:rPr>
          <w:lang w:val="en-US"/>
        </w:rPr>
        <w:t xml:space="preserve">–47 dBW/Hz depending on the application envisaged. For VSAT transmissions, the application generally requires a PSD of around –50 dBW/Hz. In some cases, this could be exceeded </w:t>
      </w:r>
      <w:r w:rsidRPr="00CB7BC1">
        <w:rPr>
          <w:lang w:val="en-US"/>
        </w:rPr>
        <w:br/>
        <w:t xml:space="preserve">(e.g. –42 dBW/Hz). For the Wideband and Point-to-Point transmission types, the PSD values are typically lower but could go as high as –50 dBW/Hz. </w:t>
      </w:r>
    </w:p>
    <w:p w:rsidR="00143DAB" w:rsidRDefault="00143DAB" w:rsidP="00143DAB">
      <w:pPr>
        <w:pStyle w:val="TableNo"/>
        <w:rPr>
          <w:lang w:val="en-US"/>
        </w:rPr>
      </w:pPr>
      <w:r>
        <w:rPr>
          <w:lang w:val="en-US"/>
        </w:rPr>
        <w:br w:type="page"/>
      </w:r>
    </w:p>
    <w:p w:rsidR="00CB7BC1" w:rsidRPr="00CB7BC1" w:rsidRDefault="00143DAB" w:rsidP="00143DAB">
      <w:pPr>
        <w:pStyle w:val="TableNo"/>
        <w:rPr>
          <w:lang w:val="en-US"/>
        </w:rPr>
      </w:pPr>
      <w:r w:rsidRPr="00CB7BC1">
        <w:rPr>
          <w:lang w:val="en-US"/>
        </w:rPr>
        <w:lastRenderedPageBreak/>
        <w:t xml:space="preserve">TABLE </w:t>
      </w:r>
      <w:r w:rsidR="00CB7BC1" w:rsidRPr="00CB7BC1">
        <w:rPr>
          <w:lang w:val="en-US"/>
        </w:rPr>
        <w:t>1</w:t>
      </w:r>
    </w:p>
    <w:p w:rsidR="00CB7BC1" w:rsidRPr="00B04D4C" w:rsidRDefault="00CB7BC1" w:rsidP="00143DAB">
      <w:pPr>
        <w:pStyle w:val="Tabletitle"/>
        <w:rPr>
          <w:lang w:val="en-US"/>
        </w:rPr>
      </w:pPr>
      <w:r w:rsidRPr="00B04D4C">
        <w:rPr>
          <w:lang w:val="en-US"/>
        </w:rPr>
        <w:t>Single-entry characteristics for the FSS in the 10-17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1"/>
        <w:gridCol w:w="739"/>
        <w:gridCol w:w="575"/>
        <w:gridCol w:w="576"/>
        <w:gridCol w:w="596"/>
        <w:gridCol w:w="591"/>
        <w:gridCol w:w="586"/>
        <w:gridCol w:w="575"/>
        <w:gridCol w:w="575"/>
        <w:gridCol w:w="575"/>
      </w:tblGrid>
      <w:tr w:rsidR="00CB7BC1" w:rsidRPr="00BB0C25" w:rsidTr="00143DAB">
        <w:trPr>
          <w:jc w:val="center"/>
        </w:trPr>
        <w:tc>
          <w:tcPr>
            <w:tcW w:w="9639" w:type="dxa"/>
            <w:gridSpan w:val="10"/>
            <w:shd w:val="clear" w:color="auto" w:fill="auto"/>
            <w:vAlign w:val="center"/>
          </w:tcPr>
          <w:p w:rsidR="00CB7BC1" w:rsidRPr="00BB0C25" w:rsidRDefault="00CB7BC1" w:rsidP="00143DAB">
            <w:pPr>
              <w:pStyle w:val="Tablehead"/>
            </w:pPr>
            <w:r w:rsidRPr="00BB0C25">
              <w:rPr>
                <w:lang w:eastAsia="zh-CN"/>
              </w:rPr>
              <w:t>Earth station</w:t>
            </w:r>
          </w:p>
        </w:tc>
      </w:tr>
      <w:tr w:rsidR="00CB7BC1" w:rsidRPr="00BB0C25" w:rsidTr="00143DAB">
        <w:trPr>
          <w:jc w:val="center"/>
        </w:trPr>
        <w:tc>
          <w:tcPr>
            <w:tcW w:w="4251" w:type="dxa"/>
            <w:shd w:val="clear" w:color="auto" w:fill="auto"/>
            <w:vAlign w:val="center"/>
          </w:tcPr>
          <w:p w:rsidR="00CB7BC1" w:rsidRPr="00BB0C25" w:rsidRDefault="00CB7BC1" w:rsidP="00143DAB">
            <w:pPr>
              <w:pStyle w:val="Tabletext"/>
              <w:rPr>
                <w:lang w:eastAsia="zh-CN"/>
              </w:rPr>
            </w:pPr>
            <w:r w:rsidRPr="00BB0C25">
              <w:rPr>
                <w:lang w:eastAsia="zh-CN"/>
              </w:rPr>
              <w:t>Transmission type</w:t>
            </w:r>
          </w:p>
        </w:tc>
        <w:tc>
          <w:tcPr>
            <w:tcW w:w="1890"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VSAT</w:t>
            </w:r>
          </w:p>
        </w:tc>
        <w:tc>
          <w:tcPr>
            <w:tcW w:w="1773"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Wideband</w:t>
            </w:r>
          </w:p>
        </w:tc>
        <w:tc>
          <w:tcPr>
            <w:tcW w:w="1725"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Point-to-</w:t>
            </w:r>
            <w:r>
              <w:rPr>
                <w:lang w:eastAsia="zh-CN"/>
              </w:rPr>
              <w:t>P</w:t>
            </w:r>
            <w:r w:rsidRPr="00BB0C25">
              <w:rPr>
                <w:lang w:eastAsia="zh-CN"/>
              </w:rPr>
              <w:t>oint</w:t>
            </w:r>
          </w:p>
        </w:tc>
      </w:tr>
      <w:tr w:rsidR="00CB7BC1" w:rsidRPr="00BB0C25" w:rsidTr="00143DAB">
        <w:trPr>
          <w:jc w:val="center"/>
        </w:trPr>
        <w:tc>
          <w:tcPr>
            <w:tcW w:w="4251" w:type="dxa"/>
            <w:shd w:val="clear" w:color="auto" w:fill="auto"/>
            <w:vAlign w:val="center"/>
          </w:tcPr>
          <w:p w:rsidR="00CB7BC1" w:rsidRPr="00BB0C25" w:rsidRDefault="00CB7BC1" w:rsidP="00143DAB">
            <w:pPr>
              <w:pStyle w:val="Tabletext"/>
              <w:rPr>
                <w:lang w:eastAsia="zh-CN"/>
              </w:rPr>
            </w:pPr>
            <w:r w:rsidRPr="00BB0C25">
              <w:rPr>
                <w:lang w:eastAsia="zh-CN"/>
              </w:rPr>
              <w:t>Percentage of total satellite transmissions</w:t>
            </w:r>
          </w:p>
        </w:tc>
        <w:tc>
          <w:tcPr>
            <w:tcW w:w="1890"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69.3</w:t>
            </w:r>
          </w:p>
        </w:tc>
        <w:tc>
          <w:tcPr>
            <w:tcW w:w="1773"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4.9</w:t>
            </w:r>
          </w:p>
        </w:tc>
        <w:tc>
          <w:tcPr>
            <w:tcW w:w="1725"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25.8</w:t>
            </w:r>
          </w:p>
        </w:tc>
      </w:tr>
      <w:tr w:rsidR="00CB7BC1" w:rsidRPr="00BB0C25" w:rsidTr="00143DAB">
        <w:trPr>
          <w:jc w:val="center"/>
        </w:trPr>
        <w:tc>
          <w:tcPr>
            <w:tcW w:w="4251" w:type="dxa"/>
            <w:shd w:val="clear" w:color="auto" w:fill="auto"/>
            <w:vAlign w:val="center"/>
          </w:tcPr>
          <w:p w:rsidR="00CB7BC1" w:rsidRPr="00CB7BC1" w:rsidRDefault="00CB7BC1" w:rsidP="00143DAB">
            <w:pPr>
              <w:pStyle w:val="Tabletext"/>
              <w:rPr>
                <w:lang w:val="en-US"/>
              </w:rPr>
            </w:pPr>
            <w:r w:rsidRPr="00CB7BC1">
              <w:rPr>
                <w:lang w:val="en-US"/>
              </w:rPr>
              <w:t>Range of peak antenna gains</w:t>
            </w:r>
            <w:r w:rsidRPr="00BB0C25">
              <w:rPr>
                <w:position w:val="6"/>
                <w:sz w:val="18"/>
                <w:vertAlign w:val="superscript"/>
              </w:rPr>
              <w:footnoteReference w:id="1"/>
            </w:r>
            <w:r w:rsidRPr="00CB7BC1">
              <w:rPr>
                <w:lang w:val="en-US"/>
              </w:rPr>
              <w:t xml:space="preserve"> (dBi)</w:t>
            </w:r>
          </w:p>
        </w:tc>
        <w:tc>
          <w:tcPr>
            <w:tcW w:w="1890" w:type="dxa"/>
            <w:gridSpan w:val="3"/>
            <w:shd w:val="clear" w:color="auto" w:fill="auto"/>
            <w:vAlign w:val="center"/>
          </w:tcPr>
          <w:p w:rsidR="00CB7BC1" w:rsidRPr="00BB0C25" w:rsidRDefault="00CB7BC1" w:rsidP="00143DAB">
            <w:pPr>
              <w:pStyle w:val="Tabletext"/>
              <w:jc w:val="center"/>
            </w:pPr>
            <w:r w:rsidRPr="00BB0C25">
              <w:t>37.2-50.5</w:t>
            </w:r>
          </w:p>
        </w:tc>
        <w:tc>
          <w:tcPr>
            <w:tcW w:w="1773" w:type="dxa"/>
            <w:gridSpan w:val="3"/>
            <w:shd w:val="clear" w:color="auto" w:fill="auto"/>
            <w:vAlign w:val="center"/>
          </w:tcPr>
          <w:p w:rsidR="00CB7BC1" w:rsidRPr="00BB0C25" w:rsidRDefault="00CB7BC1" w:rsidP="00143DAB">
            <w:pPr>
              <w:pStyle w:val="Tabletext"/>
              <w:jc w:val="center"/>
            </w:pPr>
            <w:r w:rsidRPr="00BB0C25">
              <w:t>51.7-60.8</w:t>
            </w:r>
          </w:p>
        </w:tc>
        <w:tc>
          <w:tcPr>
            <w:tcW w:w="1725" w:type="dxa"/>
            <w:gridSpan w:val="3"/>
            <w:shd w:val="clear" w:color="auto" w:fill="auto"/>
            <w:vAlign w:val="center"/>
          </w:tcPr>
          <w:p w:rsidR="00CB7BC1" w:rsidRPr="00BB0C25" w:rsidRDefault="00CB7BC1" w:rsidP="00143DAB">
            <w:pPr>
              <w:pStyle w:val="Tabletext"/>
              <w:jc w:val="center"/>
            </w:pPr>
            <w:r w:rsidRPr="00BB0C25">
              <w:t>43.9-57.2</w:t>
            </w:r>
          </w:p>
        </w:tc>
      </w:tr>
      <w:tr w:rsidR="00CB7BC1" w:rsidRPr="00BB0C25" w:rsidTr="00143DAB">
        <w:trPr>
          <w:jc w:val="center"/>
        </w:trPr>
        <w:tc>
          <w:tcPr>
            <w:tcW w:w="4251" w:type="dxa"/>
            <w:shd w:val="clear" w:color="auto" w:fill="auto"/>
            <w:vAlign w:val="center"/>
          </w:tcPr>
          <w:p w:rsidR="00CB7BC1" w:rsidRPr="00CB7BC1" w:rsidRDefault="00CB7BC1" w:rsidP="00143DAB">
            <w:pPr>
              <w:pStyle w:val="Tabletext"/>
              <w:rPr>
                <w:lang w:val="en-US"/>
              </w:rPr>
            </w:pPr>
            <w:r w:rsidRPr="00CB7BC1">
              <w:rPr>
                <w:lang w:val="en-US"/>
              </w:rPr>
              <w:t>Range of antenna sizes (m)</w:t>
            </w:r>
          </w:p>
        </w:tc>
        <w:tc>
          <w:tcPr>
            <w:tcW w:w="1890" w:type="dxa"/>
            <w:gridSpan w:val="3"/>
            <w:shd w:val="clear" w:color="auto" w:fill="auto"/>
            <w:vAlign w:val="center"/>
          </w:tcPr>
          <w:p w:rsidR="00CB7BC1" w:rsidRPr="00BB0C25" w:rsidRDefault="00CB7BC1" w:rsidP="00143DAB">
            <w:pPr>
              <w:pStyle w:val="Tabletext"/>
              <w:jc w:val="center"/>
            </w:pPr>
            <w:r w:rsidRPr="00BB0C25">
              <w:t>0.6-2.8</w:t>
            </w:r>
          </w:p>
        </w:tc>
        <w:tc>
          <w:tcPr>
            <w:tcW w:w="1773" w:type="dxa"/>
            <w:gridSpan w:val="3"/>
            <w:shd w:val="clear" w:color="auto" w:fill="auto"/>
            <w:vAlign w:val="center"/>
          </w:tcPr>
          <w:p w:rsidR="00CB7BC1" w:rsidRPr="00BB0C25" w:rsidRDefault="00CB7BC1" w:rsidP="00143DAB">
            <w:pPr>
              <w:pStyle w:val="Tabletext"/>
              <w:jc w:val="center"/>
            </w:pPr>
            <w:r w:rsidRPr="00BB0C25">
              <w:t>3.2-9.1</w:t>
            </w:r>
          </w:p>
        </w:tc>
        <w:tc>
          <w:tcPr>
            <w:tcW w:w="1725" w:type="dxa"/>
            <w:gridSpan w:val="3"/>
            <w:shd w:val="clear" w:color="auto" w:fill="auto"/>
            <w:vAlign w:val="center"/>
          </w:tcPr>
          <w:p w:rsidR="00CB7BC1" w:rsidRPr="00BB0C25" w:rsidRDefault="00CB7BC1" w:rsidP="00143DAB">
            <w:pPr>
              <w:pStyle w:val="Tabletext"/>
              <w:jc w:val="center"/>
            </w:pPr>
            <w:r w:rsidRPr="00BB0C25">
              <w:t>1.3-6.0</w:t>
            </w:r>
          </w:p>
        </w:tc>
      </w:tr>
      <w:tr w:rsidR="00CB7BC1" w:rsidRPr="00BB0C25" w:rsidTr="00143DAB">
        <w:trPr>
          <w:jc w:val="center"/>
        </w:trPr>
        <w:tc>
          <w:tcPr>
            <w:tcW w:w="4251" w:type="dxa"/>
            <w:shd w:val="clear" w:color="auto" w:fill="auto"/>
            <w:vAlign w:val="center"/>
          </w:tcPr>
          <w:p w:rsidR="00CB7BC1" w:rsidRPr="00BB0C25" w:rsidRDefault="00CB7BC1" w:rsidP="00143DAB">
            <w:pPr>
              <w:pStyle w:val="Tabletext"/>
              <w:rPr>
                <w:lang w:eastAsia="zh-CN"/>
              </w:rPr>
            </w:pPr>
            <w:r w:rsidRPr="00BB0C25">
              <w:rPr>
                <w:lang w:eastAsia="zh-CN"/>
              </w:rPr>
              <w:t>3 dB beamwidth at 14 GHz</w:t>
            </w:r>
            <w:r w:rsidRPr="00BB0C25">
              <w:rPr>
                <w:position w:val="6"/>
                <w:sz w:val="18"/>
              </w:rPr>
              <w:footnoteReference w:id="2"/>
            </w:r>
            <w:r w:rsidRPr="00BB0C25">
              <w:rPr>
                <w:lang w:eastAsia="zh-CN"/>
              </w:rPr>
              <w:t xml:space="preserve"> (°)</w:t>
            </w:r>
          </w:p>
        </w:tc>
        <w:tc>
          <w:tcPr>
            <w:tcW w:w="1890"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1.15</w:t>
            </w:r>
          </w:p>
        </w:tc>
        <w:tc>
          <w:tcPr>
            <w:tcW w:w="1773"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0.85</w:t>
            </w:r>
          </w:p>
        </w:tc>
        <w:tc>
          <w:tcPr>
            <w:tcW w:w="1725"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0.74</w:t>
            </w:r>
          </w:p>
        </w:tc>
      </w:tr>
      <w:tr w:rsidR="00CB7BC1" w:rsidRPr="00BB0C25" w:rsidTr="00143DAB">
        <w:trPr>
          <w:jc w:val="center"/>
        </w:trPr>
        <w:tc>
          <w:tcPr>
            <w:tcW w:w="4251" w:type="dxa"/>
            <w:shd w:val="clear" w:color="auto" w:fill="auto"/>
            <w:vAlign w:val="center"/>
          </w:tcPr>
          <w:p w:rsidR="00CB7BC1" w:rsidRPr="00CB7BC1" w:rsidRDefault="00CB7BC1" w:rsidP="00143DAB">
            <w:pPr>
              <w:pStyle w:val="Tabletext"/>
              <w:rPr>
                <w:lang w:val="en-US" w:eastAsia="zh-CN"/>
              </w:rPr>
            </w:pPr>
            <w:r w:rsidRPr="00CB7BC1">
              <w:rPr>
                <w:lang w:val="en-US" w:eastAsia="zh-CN"/>
              </w:rPr>
              <w:t>Maximum power spectral density at antenna port (dBW/Hz)</w:t>
            </w:r>
          </w:p>
        </w:tc>
        <w:tc>
          <w:tcPr>
            <w:tcW w:w="1890" w:type="dxa"/>
            <w:gridSpan w:val="3"/>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–42</w:t>
            </w:r>
            <w:r w:rsidRPr="00BB0C25">
              <w:rPr>
                <w:position w:val="6"/>
                <w:sz w:val="18"/>
                <w:lang w:eastAsia="zh-CN"/>
              </w:rPr>
              <w:footnoteReference w:id="3"/>
            </w:r>
          </w:p>
        </w:tc>
        <w:tc>
          <w:tcPr>
            <w:tcW w:w="1773" w:type="dxa"/>
            <w:gridSpan w:val="3"/>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–49</w:t>
            </w:r>
          </w:p>
        </w:tc>
        <w:tc>
          <w:tcPr>
            <w:tcW w:w="1725" w:type="dxa"/>
            <w:gridSpan w:val="3"/>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–50</w:t>
            </w:r>
            <w:r w:rsidRPr="00BB0C25">
              <w:rPr>
                <w:position w:val="6"/>
                <w:sz w:val="18"/>
                <w:lang w:eastAsia="zh-CN"/>
              </w:rPr>
              <w:footnoteReference w:id="4"/>
            </w:r>
          </w:p>
        </w:tc>
      </w:tr>
      <w:tr w:rsidR="00CB7BC1" w:rsidRPr="00BB0C25" w:rsidTr="00143DAB">
        <w:trPr>
          <w:jc w:val="center"/>
        </w:trPr>
        <w:tc>
          <w:tcPr>
            <w:tcW w:w="4251" w:type="dxa"/>
            <w:shd w:val="clear" w:color="auto" w:fill="auto"/>
            <w:vAlign w:val="center"/>
          </w:tcPr>
          <w:p w:rsidR="00CB7BC1" w:rsidRPr="00CB7BC1" w:rsidRDefault="00CB7BC1" w:rsidP="00143DAB">
            <w:pPr>
              <w:pStyle w:val="Tabletext"/>
              <w:rPr>
                <w:lang w:val="en-US" w:eastAsia="zh-CN"/>
              </w:rPr>
            </w:pPr>
            <w:r w:rsidRPr="00CB7BC1">
              <w:rPr>
                <w:lang w:val="en-US" w:eastAsia="zh-CN"/>
              </w:rPr>
              <w:t>Alternative maximum power spectral density at antenna port (dBW/Hz)</w:t>
            </w:r>
          </w:p>
        </w:tc>
        <w:tc>
          <w:tcPr>
            <w:tcW w:w="739" w:type="dxa"/>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–59</w:t>
            </w:r>
          </w:p>
        </w:tc>
        <w:tc>
          <w:tcPr>
            <w:tcW w:w="575" w:type="dxa"/>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–55</w:t>
            </w:r>
          </w:p>
        </w:tc>
        <w:tc>
          <w:tcPr>
            <w:tcW w:w="576" w:type="dxa"/>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–50</w:t>
            </w:r>
          </w:p>
        </w:tc>
        <w:tc>
          <w:tcPr>
            <w:tcW w:w="596" w:type="dxa"/>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–60</w:t>
            </w:r>
          </w:p>
        </w:tc>
        <w:tc>
          <w:tcPr>
            <w:tcW w:w="591" w:type="dxa"/>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–57</w:t>
            </w:r>
          </w:p>
        </w:tc>
        <w:tc>
          <w:tcPr>
            <w:tcW w:w="586" w:type="dxa"/>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–53</w:t>
            </w:r>
          </w:p>
        </w:tc>
        <w:tc>
          <w:tcPr>
            <w:tcW w:w="575" w:type="dxa"/>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–60</w:t>
            </w:r>
          </w:p>
        </w:tc>
        <w:tc>
          <w:tcPr>
            <w:tcW w:w="575" w:type="dxa"/>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–57</w:t>
            </w:r>
          </w:p>
        </w:tc>
        <w:tc>
          <w:tcPr>
            <w:tcW w:w="575" w:type="dxa"/>
            <w:shd w:val="clear" w:color="auto" w:fill="auto"/>
            <w:tcMar>
              <w:left w:w="28" w:type="dxa"/>
              <w:right w:w="28" w:type="dxa"/>
            </w:tcMar>
            <w:vAlign w:val="center"/>
          </w:tcPr>
          <w:p w:rsidR="00CB7BC1" w:rsidRPr="00BB0C25" w:rsidRDefault="00CB7BC1" w:rsidP="00143DAB">
            <w:pPr>
              <w:pStyle w:val="Tabletext"/>
              <w:jc w:val="center"/>
              <w:rPr>
                <w:lang w:eastAsia="zh-CN"/>
              </w:rPr>
            </w:pPr>
            <w:r w:rsidRPr="00BB0C25">
              <w:rPr>
                <w:lang w:eastAsia="zh-CN"/>
              </w:rPr>
              <w:t>–53</w:t>
            </w:r>
          </w:p>
        </w:tc>
      </w:tr>
      <w:tr w:rsidR="00CB7BC1" w:rsidRPr="00BB0C25" w:rsidTr="00143DAB">
        <w:trPr>
          <w:jc w:val="center"/>
        </w:trPr>
        <w:tc>
          <w:tcPr>
            <w:tcW w:w="4251" w:type="dxa"/>
            <w:shd w:val="clear" w:color="auto" w:fill="auto"/>
            <w:vAlign w:val="center"/>
          </w:tcPr>
          <w:p w:rsidR="00CB7BC1" w:rsidRPr="00CB7BC1" w:rsidRDefault="00CB7BC1" w:rsidP="00143DAB">
            <w:pPr>
              <w:pStyle w:val="Tabletext"/>
              <w:rPr>
                <w:lang w:val="en-US" w:eastAsia="zh-CN"/>
              </w:rPr>
            </w:pPr>
            <w:r w:rsidRPr="00CB7BC1">
              <w:rPr>
                <w:lang w:val="en-US" w:eastAsia="zh-CN"/>
              </w:rPr>
              <w:t>Maximum e.i.r.p. density at the transmit antenna port (dBW/Hz)</w:t>
            </w:r>
            <w:r w:rsidRPr="00BB0C25">
              <w:rPr>
                <w:position w:val="6"/>
                <w:sz w:val="18"/>
                <w:lang w:eastAsia="zh-CN"/>
              </w:rPr>
              <w:footnoteReference w:id="5"/>
            </w:r>
          </w:p>
        </w:tc>
        <w:tc>
          <w:tcPr>
            <w:tcW w:w="1890"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1.5</w:t>
            </w:r>
          </w:p>
        </w:tc>
        <w:tc>
          <w:tcPr>
            <w:tcW w:w="1773"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3.0</w:t>
            </w:r>
          </w:p>
        </w:tc>
        <w:tc>
          <w:tcPr>
            <w:tcW w:w="1725" w:type="dxa"/>
            <w:gridSpan w:val="3"/>
            <w:shd w:val="clear" w:color="auto" w:fill="auto"/>
            <w:vAlign w:val="center"/>
          </w:tcPr>
          <w:p w:rsidR="00CB7BC1" w:rsidRPr="00BB0C25" w:rsidRDefault="00CB7BC1" w:rsidP="00143DAB">
            <w:pPr>
              <w:pStyle w:val="Tabletext"/>
              <w:jc w:val="center"/>
              <w:rPr>
                <w:lang w:eastAsia="zh-CN"/>
              </w:rPr>
            </w:pPr>
            <w:r w:rsidRPr="00BB0C25">
              <w:rPr>
                <w:lang w:eastAsia="zh-CN"/>
              </w:rPr>
              <w:t>3.5</w:t>
            </w:r>
          </w:p>
        </w:tc>
      </w:tr>
      <w:tr w:rsidR="00CB7BC1" w:rsidRPr="00BB0C25" w:rsidTr="00143DAB">
        <w:trPr>
          <w:trHeight w:val="350"/>
          <w:jc w:val="center"/>
        </w:trPr>
        <w:tc>
          <w:tcPr>
            <w:tcW w:w="4251" w:type="dxa"/>
            <w:shd w:val="clear" w:color="auto" w:fill="auto"/>
            <w:vAlign w:val="center"/>
          </w:tcPr>
          <w:p w:rsidR="00CB7BC1" w:rsidRPr="00BB0C25" w:rsidRDefault="00CB7BC1" w:rsidP="00143DAB">
            <w:pPr>
              <w:pStyle w:val="Tabletext"/>
              <w:rPr>
                <w:lang w:eastAsia="zh-CN"/>
              </w:rPr>
            </w:pPr>
            <w:r w:rsidRPr="00BB0C25">
              <w:rPr>
                <w:lang w:eastAsia="zh-CN"/>
              </w:rPr>
              <w:t>Minimum elevation angle</w:t>
            </w:r>
          </w:p>
        </w:tc>
        <w:tc>
          <w:tcPr>
            <w:tcW w:w="5388" w:type="dxa"/>
            <w:gridSpan w:val="9"/>
            <w:shd w:val="clear" w:color="auto" w:fill="auto"/>
            <w:vAlign w:val="center"/>
          </w:tcPr>
          <w:p w:rsidR="00CB7BC1" w:rsidRPr="00BB0C25" w:rsidRDefault="00CB7BC1" w:rsidP="00143DAB">
            <w:pPr>
              <w:pStyle w:val="Tabletext"/>
              <w:jc w:val="center"/>
              <w:rPr>
                <w:lang w:eastAsia="zh-CN"/>
              </w:rPr>
            </w:pPr>
            <w:r w:rsidRPr="00BB0C25">
              <w:rPr>
                <w:lang w:eastAsia="zh-CN"/>
              </w:rPr>
              <w:t>10°</w:t>
            </w:r>
          </w:p>
        </w:tc>
      </w:tr>
      <w:tr w:rsidR="00CB7BC1" w:rsidRPr="00BB0C25" w:rsidTr="00143DAB">
        <w:trPr>
          <w:jc w:val="center"/>
        </w:trPr>
        <w:tc>
          <w:tcPr>
            <w:tcW w:w="4251" w:type="dxa"/>
            <w:shd w:val="clear" w:color="auto" w:fill="auto"/>
            <w:vAlign w:val="center"/>
          </w:tcPr>
          <w:p w:rsidR="00CB7BC1" w:rsidRPr="00BB0C25" w:rsidRDefault="00CB7BC1" w:rsidP="00143DAB">
            <w:pPr>
              <w:pStyle w:val="Tabletext"/>
              <w:rPr>
                <w:lang w:eastAsia="zh-CN"/>
              </w:rPr>
            </w:pPr>
            <w:r w:rsidRPr="00BB0C25">
              <w:rPr>
                <w:lang w:eastAsia="zh-CN"/>
              </w:rPr>
              <w:t>Off-axis radiation pattern</w:t>
            </w:r>
          </w:p>
        </w:tc>
        <w:tc>
          <w:tcPr>
            <w:tcW w:w="1890" w:type="dxa"/>
            <w:gridSpan w:val="3"/>
            <w:shd w:val="clear" w:color="auto" w:fill="auto"/>
            <w:vAlign w:val="center"/>
          </w:tcPr>
          <w:p w:rsidR="00CB7BC1" w:rsidRPr="00BB0C25" w:rsidRDefault="00CB7BC1" w:rsidP="00143DAB">
            <w:pPr>
              <w:pStyle w:val="Tabletext"/>
              <w:jc w:val="center"/>
              <w:rPr>
                <w:lang w:eastAsia="zh-CN"/>
              </w:rPr>
            </w:pPr>
            <w:r w:rsidRPr="006D58F2">
              <w:rPr>
                <w:lang w:eastAsia="zh-CN"/>
              </w:rPr>
              <w:t xml:space="preserve">Rec. ITU-R </w:t>
            </w:r>
            <w:r w:rsidRPr="00BB0C25">
              <w:rPr>
                <w:lang w:eastAsia="zh-CN"/>
              </w:rPr>
              <w:t>S.1855</w:t>
            </w:r>
          </w:p>
        </w:tc>
        <w:tc>
          <w:tcPr>
            <w:tcW w:w="1773" w:type="dxa"/>
            <w:gridSpan w:val="3"/>
            <w:shd w:val="clear" w:color="auto" w:fill="auto"/>
            <w:vAlign w:val="center"/>
          </w:tcPr>
          <w:p w:rsidR="00CB7BC1" w:rsidRPr="00BB0C25" w:rsidRDefault="00CB7BC1" w:rsidP="00143DAB">
            <w:pPr>
              <w:pStyle w:val="Tabletext"/>
              <w:jc w:val="center"/>
              <w:rPr>
                <w:lang w:eastAsia="zh-CN"/>
              </w:rPr>
            </w:pPr>
            <w:r w:rsidRPr="006D58F2">
              <w:rPr>
                <w:lang w:eastAsia="zh-CN"/>
              </w:rPr>
              <w:t xml:space="preserve">Rec. ITU-R </w:t>
            </w:r>
            <w:r w:rsidRPr="00BB0C25">
              <w:rPr>
                <w:lang w:eastAsia="zh-CN"/>
              </w:rPr>
              <w:t>S.580</w:t>
            </w:r>
          </w:p>
        </w:tc>
        <w:tc>
          <w:tcPr>
            <w:tcW w:w="1725" w:type="dxa"/>
            <w:gridSpan w:val="3"/>
            <w:shd w:val="clear" w:color="auto" w:fill="auto"/>
            <w:vAlign w:val="center"/>
          </w:tcPr>
          <w:p w:rsidR="00CB7BC1" w:rsidRPr="00BB0C25" w:rsidRDefault="00CB7BC1" w:rsidP="00143DAB">
            <w:pPr>
              <w:pStyle w:val="Tabletext"/>
              <w:jc w:val="center"/>
              <w:rPr>
                <w:lang w:eastAsia="zh-CN"/>
              </w:rPr>
            </w:pPr>
            <w:r w:rsidRPr="006D58F2">
              <w:rPr>
                <w:lang w:eastAsia="zh-CN"/>
              </w:rPr>
              <w:t xml:space="preserve">Rec. ITU-R </w:t>
            </w:r>
            <w:r w:rsidRPr="00BB0C25">
              <w:rPr>
                <w:lang w:eastAsia="zh-CN"/>
              </w:rPr>
              <w:t>S.580</w:t>
            </w:r>
          </w:p>
        </w:tc>
      </w:tr>
      <w:tr w:rsidR="00CB7BC1" w:rsidRPr="00BB0C25" w:rsidTr="00143DAB">
        <w:trPr>
          <w:jc w:val="center"/>
        </w:trPr>
        <w:tc>
          <w:tcPr>
            <w:tcW w:w="4251" w:type="dxa"/>
            <w:shd w:val="clear" w:color="auto" w:fill="auto"/>
            <w:vAlign w:val="center"/>
          </w:tcPr>
          <w:p w:rsidR="00CB7BC1" w:rsidRPr="00BB0C25" w:rsidRDefault="00CB7BC1" w:rsidP="00143DAB">
            <w:pPr>
              <w:pStyle w:val="Tabletext"/>
              <w:rPr>
                <w:lang w:eastAsia="zh-CN"/>
              </w:rPr>
            </w:pPr>
            <w:r w:rsidRPr="00BB0C25">
              <w:rPr>
                <w:lang w:eastAsia="zh-CN"/>
              </w:rPr>
              <w:t>Off-axis power limits</w:t>
            </w:r>
          </w:p>
        </w:tc>
        <w:tc>
          <w:tcPr>
            <w:tcW w:w="5388" w:type="dxa"/>
            <w:gridSpan w:val="9"/>
            <w:shd w:val="clear" w:color="auto" w:fill="auto"/>
            <w:vAlign w:val="center"/>
          </w:tcPr>
          <w:p w:rsidR="00CB7BC1" w:rsidRPr="00BB0C25" w:rsidRDefault="00CB7BC1" w:rsidP="00143DAB">
            <w:pPr>
              <w:pStyle w:val="Tabletext"/>
              <w:jc w:val="center"/>
              <w:rPr>
                <w:lang w:eastAsia="zh-CN"/>
              </w:rPr>
            </w:pPr>
            <w:r w:rsidRPr="00BB0C25">
              <w:rPr>
                <w:lang w:eastAsia="zh-CN"/>
              </w:rPr>
              <w:t>Rec. ITU-R S.728</w:t>
            </w:r>
            <w:r w:rsidRPr="00BB0C25">
              <w:rPr>
                <w:position w:val="6"/>
                <w:sz w:val="18"/>
                <w:lang w:eastAsia="zh-CN"/>
              </w:rPr>
              <w:footnoteReference w:id="6"/>
            </w:r>
          </w:p>
        </w:tc>
      </w:tr>
      <w:tr w:rsidR="00CB7BC1" w:rsidRPr="00BB0C25" w:rsidTr="00143DAB">
        <w:trPr>
          <w:jc w:val="center"/>
        </w:trPr>
        <w:tc>
          <w:tcPr>
            <w:tcW w:w="4251" w:type="dxa"/>
            <w:shd w:val="clear" w:color="auto" w:fill="auto"/>
            <w:vAlign w:val="center"/>
          </w:tcPr>
          <w:p w:rsidR="00CB7BC1" w:rsidRPr="00BB0C25" w:rsidRDefault="00CB7BC1" w:rsidP="00143DAB">
            <w:pPr>
              <w:pStyle w:val="Tabletext"/>
              <w:rPr>
                <w:lang w:eastAsia="zh-CN"/>
              </w:rPr>
            </w:pPr>
            <w:r w:rsidRPr="00BB0C25">
              <w:rPr>
                <w:lang w:eastAsia="zh-CN"/>
              </w:rPr>
              <w:t>Main lobe characteristics</w:t>
            </w:r>
          </w:p>
        </w:tc>
        <w:tc>
          <w:tcPr>
            <w:tcW w:w="5388" w:type="dxa"/>
            <w:gridSpan w:val="9"/>
            <w:shd w:val="clear" w:color="auto" w:fill="auto"/>
            <w:vAlign w:val="center"/>
          </w:tcPr>
          <w:p w:rsidR="00CB7BC1" w:rsidRPr="00BB0C25" w:rsidRDefault="00CB7BC1" w:rsidP="00143DAB">
            <w:pPr>
              <w:pStyle w:val="Tabletext"/>
              <w:jc w:val="center"/>
              <w:rPr>
                <w:lang w:eastAsia="zh-CN"/>
              </w:rPr>
            </w:pPr>
            <w:r w:rsidRPr="00BB0C25">
              <w:rPr>
                <w:lang w:eastAsia="zh-CN"/>
              </w:rPr>
              <w:t>Rec. ITU-R BO.1213</w:t>
            </w:r>
          </w:p>
        </w:tc>
      </w:tr>
    </w:tbl>
    <w:p w:rsidR="00143DAB" w:rsidRDefault="00143DAB" w:rsidP="00143DAB">
      <w:pPr>
        <w:pStyle w:val="Tablefin"/>
      </w:pPr>
      <w:bookmarkStart w:id="16" w:name="_Toc428545733"/>
    </w:p>
    <w:p w:rsidR="00CB7BC1" w:rsidRPr="00143DAB" w:rsidRDefault="00CB7BC1" w:rsidP="00F002C7">
      <w:pPr>
        <w:pStyle w:val="Heading1"/>
        <w:rPr>
          <w:lang w:val="en-US"/>
        </w:rPr>
      </w:pPr>
      <w:r w:rsidRPr="00143DAB">
        <w:rPr>
          <w:lang w:val="en-US"/>
        </w:rPr>
        <w:t>3</w:t>
      </w:r>
      <w:r w:rsidRPr="00143DAB">
        <w:rPr>
          <w:lang w:val="en-US"/>
        </w:rPr>
        <w:tab/>
        <w:t>Characteristics for cumulative analysis</w:t>
      </w:r>
      <w:bookmarkEnd w:id="16"/>
    </w:p>
    <w:p w:rsidR="00CB7BC1" w:rsidRPr="00143DAB" w:rsidRDefault="00CB7BC1" w:rsidP="00F002C7">
      <w:pPr>
        <w:pStyle w:val="Heading2"/>
        <w:rPr>
          <w:lang w:val="en-US"/>
        </w:rPr>
      </w:pPr>
      <w:bookmarkStart w:id="17" w:name="_Toc428545734"/>
      <w:r w:rsidRPr="00143DAB">
        <w:rPr>
          <w:lang w:val="en-US"/>
        </w:rPr>
        <w:t>3.1</w:t>
      </w:r>
      <w:r w:rsidRPr="00143DAB">
        <w:rPr>
          <w:lang w:val="en-US"/>
        </w:rPr>
        <w:tab/>
        <w:t>Spectrum usage by FSS transmissions</w:t>
      </w:r>
      <w:bookmarkEnd w:id="17"/>
    </w:p>
    <w:p w:rsidR="00CB7BC1" w:rsidRPr="00CB7BC1" w:rsidRDefault="00CB7BC1" w:rsidP="00CB7BC1">
      <w:pPr>
        <w:rPr>
          <w:lang w:val="en-US"/>
        </w:rPr>
      </w:pPr>
      <w:r w:rsidRPr="00CB7BC1">
        <w:rPr>
          <w:lang w:val="en-US"/>
        </w:rPr>
        <w:t>Table 2 provides FSS transmissions in terms of occupied spectrum, assuming that each network will aim at achieving a homogeneous power density at the GSO from all its Earth-to-space transmissions.</w:t>
      </w:r>
    </w:p>
    <w:p w:rsidR="00CB7BC1" w:rsidRPr="00BB0C25" w:rsidRDefault="00143DAB" w:rsidP="00143DAB">
      <w:pPr>
        <w:pStyle w:val="TableNo"/>
      </w:pPr>
      <w:r w:rsidRPr="00BB0C25">
        <w:lastRenderedPageBreak/>
        <w:t xml:space="preserve">TABLE </w:t>
      </w:r>
      <w:r w:rsidR="00CB7BC1" w:rsidRPr="00BB0C25">
        <w:t>2</w:t>
      </w:r>
    </w:p>
    <w:p w:rsidR="00CB7BC1" w:rsidRPr="00BB0C25" w:rsidRDefault="00CB7BC1" w:rsidP="00143DAB">
      <w:pPr>
        <w:pStyle w:val="Tabletitle"/>
      </w:pPr>
      <w:r w:rsidRPr="00BB0C25">
        <w:t>FSS transmission spectrum usage (500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132"/>
        <w:gridCol w:w="2393"/>
        <w:gridCol w:w="1768"/>
        <w:gridCol w:w="1202"/>
        <w:gridCol w:w="1665"/>
      </w:tblGrid>
      <w:tr w:rsidR="00CB7BC1" w:rsidRPr="00BB0C25" w:rsidTr="00CB7BC1">
        <w:trPr>
          <w:jc w:val="center"/>
        </w:trPr>
        <w:tc>
          <w:tcPr>
            <w:tcW w:w="2628" w:type="dxa"/>
            <w:gridSpan w:val="2"/>
            <w:shd w:val="clear" w:color="auto" w:fill="auto"/>
            <w:vAlign w:val="center"/>
          </w:tcPr>
          <w:p w:rsidR="00CB7BC1" w:rsidRPr="00BB0C25" w:rsidRDefault="00CB7BC1" w:rsidP="00143DAB">
            <w:pPr>
              <w:pStyle w:val="Tablehead"/>
            </w:pPr>
            <w:r w:rsidRPr="00BB0C25">
              <w:t>Transmission type</w:t>
            </w:r>
          </w:p>
        </w:tc>
        <w:tc>
          <w:tcPr>
            <w:tcW w:w="2454" w:type="dxa"/>
            <w:shd w:val="clear" w:color="auto" w:fill="auto"/>
            <w:vAlign w:val="center"/>
          </w:tcPr>
          <w:p w:rsidR="00CB7BC1" w:rsidRPr="00CB7BC1" w:rsidRDefault="00CB7BC1" w:rsidP="00143DAB">
            <w:pPr>
              <w:pStyle w:val="Tablehead"/>
              <w:rPr>
                <w:lang w:val="en-US"/>
              </w:rPr>
            </w:pPr>
            <w:r w:rsidRPr="00CB7BC1">
              <w:rPr>
                <w:lang w:val="en-US"/>
              </w:rPr>
              <w:t>Number of transmissions in the FSS model</w:t>
            </w:r>
            <w:r w:rsidRPr="00BB0C25">
              <w:rPr>
                <w:position w:val="6"/>
                <w:sz w:val="18"/>
              </w:rPr>
              <w:footnoteReference w:id="7"/>
            </w:r>
          </w:p>
        </w:tc>
        <w:tc>
          <w:tcPr>
            <w:tcW w:w="1792" w:type="dxa"/>
            <w:shd w:val="clear" w:color="auto" w:fill="auto"/>
            <w:vAlign w:val="center"/>
          </w:tcPr>
          <w:p w:rsidR="00CB7BC1" w:rsidRPr="00CB7BC1" w:rsidRDefault="00CB7BC1" w:rsidP="00143DAB">
            <w:pPr>
              <w:pStyle w:val="Tablehead"/>
              <w:rPr>
                <w:lang w:val="en-US"/>
              </w:rPr>
            </w:pPr>
            <w:r w:rsidRPr="00CB7BC1">
              <w:rPr>
                <w:lang w:val="en-US"/>
              </w:rPr>
              <w:t>Average bandwidth of transmission (MHz)</w:t>
            </w:r>
          </w:p>
        </w:tc>
        <w:tc>
          <w:tcPr>
            <w:tcW w:w="1209" w:type="dxa"/>
            <w:shd w:val="clear" w:color="auto" w:fill="auto"/>
            <w:vAlign w:val="center"/>
          </w:tcPr>
          <w:p w:rsidR="00CB7BC1" w:rsidRPr="00BB0C25" w:rsidRDefault="00CB7BC1" w:rsidP="00143DAB">
            <w:pPr>
              <w:pStyle w:val="Tablehead"/>
            </w:pPr>
            <w:r w:rsidRPr="00BB0C25">
              <w:t>Total spectrum usage</w:t>
            </w:r>
            <w:r w:rsidR="00143DAB">
              <w:br/>
            </w:r>
            <w:r w:rsidRPr="00BB0C25">
              <w:t>(MHz)</w:t>
            </w:r>
          </w:p>
        </w:tc>
        <w:tc>
          <w:tcPr>
            <w:tcW w:w="1693" w:type="dxa"/>
            <w:shd w:val="clear" w:color="auto" w:fill="auto"/>
            <w:vAlign w:val="center"/>
          </w:tcPr>
          <w:p w:rsidR="00CB7BC1" w:rsidRPr="00BB0C25" w:rsidRDefault="00CB7BC1" w:rsidP="00143DAB">
            <w:pPr>
              <w:pStyle w:val="Tablehead"/>
            </w:pPr>
            <w:r w:rsidRPr="00BB0C25">
              <w:t>Percentage of spectrum usage (%)</w:t>
            </w:r>
          </w:p>
        </w:tc>
      </w:tr>
      <w:tr w:rsidR="00CB7BC1" w:rsidRPr="00BB0C25" w:rsidTr="00CB7BC1">
        <w:trPr>
          <w:jc w:val="center"/>
        </w:trPr>
        <w:tc>
          <w:tcPr>
            <w:tcW w:w="1493" w:type="dxa"/>
            <w:vMerge w:val="restart"/>
            <w:shd w:val="clear" w:color="auto" w:fill="auto"/>
            <w:vAlign w:val="center"/>
          </w:tcPr>
          <w:p w:rsidR="00CB7BC1" w:rsidRPr="00BB0C25" w:rsidRDefault="00CB7BC1" w:rsidP="00143DAB">
            <w:pPr>
              <w:pStyle w:val="Tabletext"/>
            </w:pPr>
            <w:r w:rsidRPr="00BB0C25">
              <w:t>VSAT</w:t>
            </w:r>
          </w:p>
        </w:tc>
        <w:tc>
          <w:tcPr>
            <w:tcW w:w="1135" w:type="dxa"/>
          </w:tcPr>
          <w:p w:rsidR="00CB7BC1" w:rsidRPr="00BB0C25" w:rsidRDefault="00CB7BC1" w:rsidP="00143DAB">
            <w:pPr>
              <w:pStyle w:val="Tabletext"/>
              <w:jc w:val="center"/>
            </w:pPr>
            <w:r w:rsidRPr="00BB0C25">
              <w:t>FSS1</w:t>
            </w:r>
          </w:p>
        </w:tc>
        <w:tc>
          <w:tcPr>
            <w:tcW w:w="2454" w:type="dxa"/>
            <w:shd w:val="clear" w:color="auto" w:fill="auto"/>
          </w:tcPr>
          <w:p w:rsidR="00CB7BC1" w:rsidRPr="00BB0C25" w:rsidRDefault="00CB7BC1" w:rsidP="00143DAB">
            <w:pPr>
              <w:pStyle w:val="Tabletext"/>
              <w:jc w:val="center"/>
            </w:pPr>
            <w:r w:rsidRPr="00BB0C25">
              <w:t>10 734</w:t>
            </w:r>
          </w:p>
        </w:tc>
        <w:tc>
          <w:tcPr>
            <w:tcW w:w="1792" w:type="dxa"/>
            <w:shd w:val="clear" w:color="auto" w:fill="auto"/>
          </w:tcPr>
          <w:p w:rsidR="00CB7BC1" w:rsidRPr="00BB0C25" w:rsidRDefault="00CB7BC1" w:rsidP="00143DAB">
            <w:pPr>
              <w:pStyle w:val="Tabletext"/>
              <w:jc w:val="center"/>
            </w:pPr>
            <w:r w:rsidRPr="00BB0C25">
              <w:t>0.5</w:t>
            </w:r>
          </w:p>
        </w:tc>
        <w:tc>
          <w:tcPr>
            <w:tcW w:w="1209" w:type="dxa"/>
            <w:shd w:val="clear" w:color="auto" w:fill="auto"/>
          </w:tcPr>
          <w:p w:rsidR="00CB7BC1" w:rsidRPr="00BB0C25" w:rsidRDefault="00CB7BC1" w:rsidP="00143DAB">
            <w:pPr>
              <w:pStyle w:val="Tabletext"/>
              <w:jc w:val="center"/>
            </w:pPr>
            <w:r w:rsidRPr="00BB0C25">
              <w:t>5 367</w:t>
            </w:r>
          </w:p>
        </w:tc>
        <w:tc>
          <w:tcPr>
            <w:tcW w:w="1693" w:type="dxa"/>
            <w:shd w:val="clear" w:color="auto" w:fill="auto"/>
            <w:vAlign w:val="center"/>
          </w:tcPr>
          <w:p w:rsidR="00CB7BC1" w:rsidRPr="00BB0C25" w:rsidRDefault="00CB7BC1" w:rsidP="00143DAB">
            <w:pPr>
              <w:pStyle w:val="Tabletext"/>
              <w:jc w:val="center"/>
            </w:pPr>
            <w:r w:rsidRPr="00BB0C25">
              <w:t>13.22</w:t>
            </w:r>
          </w:p>
        </w:tc>
      </w:tr>
      <w:tr w:rsidR="00CB7BC1" w:rsidRPr="00BB0C25" w:rsidTr="00CB7BC1">
        <w:trPr>
          <w:jc w:val="center"/>
        </w:trPr>
        <w:tc>
          <w:tcPr>
            <w:tcW w:w="1493" w:type="dxa"/>
            <w:vMerge/>
            <w:shd w:val="clear" w:color="auto" w:fill="auto"/>
            <w:vAlign w:val="center"/>
          </w:tcPr>
          <w:p w:rsidR="00CB7BC1" w:rsidRPr="00BB0C25" w:rsidRDefault="00CB7BC1" w:rsidP="00143DAB">
            <w:pPr>
              <w:pStyle w:val="Tabletext"/>
            </w:pPr>
          </w:p>
        </w:tc>
        <w:tc>
          <w:tcPr>
            <w:tcW w:w="1135" w:type="dxa"/>
          </w:tcPr>
          <w:p w:rsidR="00CB7BC1" w:rsidRPr="00BB0C25" w:rsidRDefault="00CB7BC1" w:rsidP="00143DAB">
            <w:pPr>
              <w:pStyle w:val="Tabletext"/>
              <w:jc w:val="center"/>
            </w:pPr>
            <w:r w:rsidRPr="00BB0C25">
              <w:t>FSS2</w:t>
            </w:r>
          </w:p>
        </w:tc>
        <w:tc>
          <w:tcPr>
            <w:tcW w:w="2454" w:type="dxa"/>
            <w:shd w:val="clear" w:color="auto" w:fill="auto"/>
          </w:tcPr>
          <w:p w:rsidR="00CB7BC1" w:rsidRPr="00BB0C25" w:rsidRDefault="00CB7BC1" w:rsidP="00143DAB">
            <w:pPr>
              <w:pStyle w:val="Tabletext"/>
              <w:jc w:val="center"/>
            </w:pPr>
            <w:r w:rsidRPr="00BB0C25">
              <w:t>7 248</w:t>
            </w:r>
          </w:p>
        </w:tc>
        <w:tc>
          <w:tcPr>
            <w:tcW w:w="1792" w:type="dxa"/>
            <w:shd w:val="clear" w:color="auto" w:fill="auto"/>
          </w:tcPr>
          <w:p w:rsidR="00CB7BC1" w:rsidRPr="00BB0C25" w:rsidRDefault="00CB7BC1" w:rsidP="00143DAB">
            <w:pPr>
              <w:pStyle w:val="Tabletext"/>
              <w:jc w:val="center"/>
            </w:pPr>
            <w:r w:rsidRPr="00BB0C25">
              <w:t>0.7</w:t>
            </w:r>
          </w:p>
        </w:tc>
        <w:tc>
          <w:tcPr>
            <w:tcW w:w="1209" w:type="dxa"/>
            <w:shd w:val="clear" w:color="auto" w:fill="auto"/>
          </w:tcPr>
          <w:p w:rsidR="00CB7BC1" w:rsidRPr="00BB0C25" w:rsidRDefault="00CB7BC1" w:rsidP="00143DAB">
            <w:pPr>
              <w:pStyle w:val="Tabletext"/>
              <w:jc w:val="center"/>
            </w:pPr>
            <w:r w:rsidRPr="00BB0C25">
              <w:t>5 073</w:t>
            </w:r>
          </w:p>
        </w:tc>
        <w:tc>
          <w:tcPr>
            <w:tcW w:w="1693" w:type="dxa"/>
            <w:shd w:val="clear" w:color="auto" w:fill="auto"/>
            <w:vAlign w:val="center"/>
          </w:tcPr>
          <w:p w:rsidR="00CB7BC1" w:rsidRPr="00BB0C25" w:rsidRDefault="00CB7BC1" w:rsidP="00143DAB">
            <w:pPr>
              <w:pStyle w:val="Tabletext"/>
              <w:jc w:val="center"/>
            </w:pPr>
            <w:r w:rsidRPr="00BB0C25">
              <w:t>18.30</w:t>
            </w:r>
          </w:p>
        </w:tc>
      </w:tr>
      <w:tr w:rsidR="00CB7BC1" w:rsidRPr="00BB0C25" w:rsidTr="00CB7BC1">
        <w:trPr>
          <w:jc w:val="center"/>
        </w:trPr>
        <w:tc>
          <w:tcPr>
            <w:tcW w:w="1493" w:type="dxa"/>
            <w:vMerge/>
            <w:shd w:val="clear" w:color="auto" w:fill="auto"/>
            <w:vAlign w:val="center"/>
          </w:tcPr>
          <w:p w:rsidR="00CB7BC1" w:rsidRPr="00BB0C25" w:rsidRDefault="00CB7BC1" w:rsidP="00143DAB">
            <w:pPr>
              <w:pStyle w:val="Tabletext"/>
            </w:pPr>
          </w:p>
        </w:tc>
        <w:tc>
          <w:tcPr>
            <w:tcW w:w="1135" w:type="dxa"/>
          </w:tcPr>
          <w:p w:rsidR="00CB7BC1" w:rsidRPr="00BB0C25" w:rsidRDefault="00CB7BC1" w:rsidP="00143DAB">
            <w:pPr>
              <w:pStyle w:val="Tabletext"/>
              <w:jc w:val="center"/>
            </w:pPr>
            <w:r w:rsidRPr="00BB0C25">
              <w:t>combined</w:t>
            </w:r>
          </w:p>
        </w:tc>
        <w:tc>
          <w:tcPr>
            <w:tcW w:w="2454" w:type="dxa"/>
            <w:shd w:val="clear" w:color="auto" w:fill="auto"/>
          </w:tcPr>
          <w:p w:rsidR="00CB7BC1" w:rsidRPr="00BB0C25" w:rsidRDefault="00CB7BC1" w:rsidP="00143DAB">
            <w:pPr>
              <w:pStyle w:val="Tabletext"/>
              <w:jc w:val="center"/>
            </w:pPr>
            <w:r w:rsidRPr="00BB0C25">
              <w:t>17 982</w:t>
            </w:r>
          </w:p>
        </w:tc>
        <w:tc>
          <w:tcPr>
            <w:tcW w:w="1792" w:type="dxa"/>
            <w:shd w:val="clear" w:color="auto" w:fill="auto"/>
          </w:tcPr>
          <w:p w:rsidR="00CB7BC1" w:rsidRPr="00BB0C25" w:rsidRDefault="00CB7BC1" w:rsidP="00143DAB">
            <w:pPr>
              <w:pStyle w:val="Tabletext"/>
              <w:jc w:val="center"/>
            </w:pPr>
            <w:r w:rsidRPr="00BB0C25">
              <w:t>0.58</w:t>
            </w:r>
          </w:p>
        </w:tc>
        <w:tc>
          <w:tcPr>
            <w:tcW w:w="1209" w:type="dxa"/>
            <w:shd w:val="clear" w:color="auto" w:fill="auto"/>
          </w:tcPr>
          <w:p w:rsidR="00CB7BC1" w:rsidRPr="00BB0C25" w:rsidRDefault="00CB7BC1" w:rsidP="00143DAB">
            <w:pPr>
              <w:pStyle w:val="Tabletext"/>
              <w:jc w:val="center"/>
            </w:pPr>
            <w:r w:rsidRPr="00BB0C25">
              <w:t>10 440</w:t>
            </w:r>
          </w:p>
        </w:tc>
        <w:tc>
          <w:tcPr>
            <w:tcW w:w="1693" w:type="dxa"/>
            <w:shd w:val="clear" w:color="auto" w:fill="auto"/>
            <w:vAlign w:val="center"/>
          </w:tcPr>
          <w:p w:rsidR="00CB7BC1" w:rsidRPr="00BB0C25" w:rsidRDefault="00CB7BC1" w:rsidP="00143DAB">
            <w:pPr>
              <w:pStyle w:val="Tabletext"/>
              <w:jc w:val="center"/>
            </w:pPr>
            <w:r w:rsidRPr="00BB0C25">
              <w:t>15.28</w:t>
            </w:r>
          </w:p>
        </w:tc>
      </w:tr>
      <w:tr w:rsidR="00CB7BC1" w:rsidRPr="00BB0C25" w:rsidTr="00CB7BC1">
        <w:trPr>
          <w:jc w:val="center"/>
        </w:trPr>
        <w:tc>
          <w:tcPr>
            <w:tcW w:w="1493" w:type="dxa"/>
            <w:vMerge w:val="restart"/>
            <w:shd w:val="clear" w:color="auto" w:fill="auto"/>
            <w:vAlign w:val="center"/>
          </w:tcPr>
          <w:p w:rsidR="00CB7BC1" w:rsidRPr="00BB0C25" w:rsidRDefault="00CB7BC1" w:rsidP="00143DAB">
            <w:pPr>
              <w:pStyle w:val="Tabletext"/>
            </w:pPr>
            <w:r w:rsidRPr="00BB0C25">
              <w:t>Wideband</w:t>
            </w:r>
          </w:p>
        </w:tc>
        <w:tc>
          <w:tcPr>
            <w:tcW w:w="1135" w:type="dxa"/>
          </w:tcPr>
          <w:p w:rsidR="00CB7BC1" w:rsidRPr="00BB0C25" w:rsidRDefault="00CB7BC1" w:rsidP="00143DAB">
            <w:pPr>
              <w:pStyle w:val="Tabletext"/>
              <w:jc w:val="center"/>
            </w:pPr>
            <w:r w:rsidRPr="00BB0C25">
              <w:t>FSS1</w:t>
            </w:r>
          </w:p>
        </w:tc>
        <w:tc>
          <w:tcPr>
            <w:tcW w:w="2454" w:type="dxa"/>
            <w:shd w:val="clear" w:color="auto" w:fill="auto"/>
          </w:tcPr>
          <w:p w:rsidR="00CB7BC1" w:rsidRPr="00BB0C25" w:rsidRDefault="00CB7BC1" w:rsidP="00143DAB">
            <w:pPr>
              <w:pStyle w:val="Tabletext"/>
              <w:jc w:val="center"/>
            </w:pPr>
            <w:r w:rsidRPr="00BB0C25">
              <w:t>618</w:t>
            </w:r>
          </w:p>
        </w:tc>
        <w:tc>
          <w:tcPr>
            <w:tcW w:w="1792" w:type="dxa"/>
            <w:shd w:val="clear" w:color="auto" w:fill="auto"/>
          </w:tcPr>
          <w:p w:rsidR="00CB7BC1" w:rsidRPr="00BB0C25" w:rsidRDefault="00CB7BC1" w:rsidP="00143DAB">
            <w:pPr>
              <w:pStyle w:val="Tabletext"/>
              <w:jc w:val="center"/>
            </w:pPr>
            <w:r w:rsidRPr="00BB0C25">
              <w:t>28.3</w:t>
            </w:r>
          </w:p>
        </w:tc>
        <w:tc>
          <w:tcPr>
            <w:tcW w:w="1209" w:type="dxa"/>
            <w:shd w:val="clear" w:color="auto" w:fill="auto"/>
          </w:tcPr>
          <w:p w:rsidR="00CB7BC1" w:rsidRPr="00BB0C25" w:rsidRDefault="00CB7BC1" w:rsidP="00143DAB">
            <w:pPr>
              <w:pStyle w:val="Tabletext"/>
              <w:jc w:val="center"/>
            </w:pPr>
            <w:r w:rsidRPr="00BB0C25">
              <w:t>17 489</w:t>
            </w:r>
          </w:p>
        </w:tc>
        <w:tc>
          <w:tcPr>
            <w:tcW w:w="1693" w:type="dxa"/>
            <w:shd w:val="clear" w:color="auto" w:fill="auto"/>
            <w:vAlign w:val="center"/>
          </w:tcPr>
          <w:p w:rsidR="00CB7BC1" w:rsidRPr="00BB0C25" w:rsidRDefault="00CB7BC1" w:rsidP="00143DAB">
            <w:pPr>
              <w:pStyle w:val="Tabletext"/>
              <w:jc w:val="center"/>
            </w:pPr>
            <w:r w:rsidRPr="00BB0C25">
              <w:t>43.09</w:t>
            </w:r>
          </w:p>
        </w:tc>
      </w:tr>
      <w:tr w:rsidR="00CB7BC1" w:rsidRPr="00BB0C25" w:rsidTr="00CB7BC1">
        <w:trPr>
          <w:jc w:val="center"/>
        </w:trPr>
        <w:tc>
          <w:tcPr>
            <w:tcW w:w="1493" w:type="dxa"/>
            <w:vMerge/>
            <w:shd w:val="clear" w:color="auto" w:fill="auto"/>
            <w:vAlign w:val="center"/>
          </w:tcPr>
          <w:p w:rsidR="00CB7BC1" w:rsidRPr="00BB0C25" w:rsidRDefault="00CB7BC1" w:rsidP="00143DAB">
            <w:pPr>
              <w:pStyle w:val="Tabletext"/>
            </w:pPr>
          </w:p>
        </w:tc>
        <w:tc>
          <w:tcPr>
            <w:tcW w:w="1135" w:type="dxa"/>
          </w:tcPr>
          <w:p w:rsidR="00CB7BC1" w:rsidRPr="00BB0C25" w:rsidRDefault="00CB7BC1" w:rsidP="00143DAB">
            <w:pPr>
              <w:pStyle w:val="Tabletext"/>
              <w:jc w:val="center"/>
            </w:pPr>
            <w:r w:rsidRPr="00BB0C25">
              <w:t>FSS2</w:t>
            </w:r>
          </w:p>
        </w:tc>
        <w:tc>
          <w:tcPr>
            <w:tcW w:w="2454" w:type="dxa"/>
            <w:shd w:val="clear" w:color="auto" w:fill="auto"/>
          </w:tcPr>
          <w:p w:rsidR="00CB7BC1" w:rsidRPr="00BB0C25" w:rsidRDefault="00CB7BC1" w:rsidP="00143DAB">
            <w:pPr>
              <w:pStyle w:val="Tabletext"/>
              <w:jc w:val="center"/>
            </w:pPr>
            <w:r w:rsidRPr="00BB0C25">
              <w:t>640</w:t>
            </w:r>
          </w:p>
        </w:tc>
        <w:tc>
          <w:tcPr>
            <w:tcW w:w="1792" w:type="dxa"/>
            <w:shd w:val="clear" w:color="auto" w:fill="auto"/>
          </w:tcPr>
          <w:p w:rsidR="00CB7BC1" w:rsidRPr="00BB0C25" w:rsidRDefault="00CB7BC1" w:rsidP="00143DAB">
            <w:pPr>
              <w:pStyle w:val="Tabletext"/>
              <w:jc w:val="center"/>
            </w:pPr>
            <w:r w:rsidRPr="00BB0C25">
              <w:t>33.3</w:t>
            </w:r>
          </w:p>
        </w:tc>
        <w:tc>
          <w:tcPr>
            <w:tcW w:w="1209" w:type="dxa"/>
            <w:shd w:val="clear" w:color="auto" w:fill="auto"/>
          </w:tcPr>
          <w:p w:rsidR="00CB7BC1" w:rsidRPr="00BB0C25" w:rsidRDefault="00CB7BC1" w:rsidP="00143DAB">
            <w:pPr>
              <w:pStyle w:val="Tabletext"/>
              <w:jc w:val="center"/>
            </w:pPr>
            <w:r w:rsidRPr="00BB0C25">
              <w:t>21 312</w:t>
            </w:r>
          </w:p>
        </w:tc>
        <w:tc>
          <w:tcPr>
            <w:tcW w:w="1693" w:type="dxa"/>
            <w:shd w:val="clear" w:color="auto" w:fill="auto"/>
            <w:vAlign w:val="center"/>
          </w:tcPr>
          <w:p w:rsidR="00CB7BC1" w:rsidRPr="00BB0C25" w:rsidRDefault="00CB7BC1" w:rsidP="00143DAB">
            <w:pPr>
              <w:pStyle w:val="Tabletext"/>
              <w:jc w:val="center"/>
            </w:pPr>
            <w:r w:rsidRPr="00BB0C25">
              <w:t>76.87</w:t>
            </w:r>
          </w:p>
        </w:tc>
      </w:tr>
      <w:tr w:rsidR="00CB7BC1" w:rsidRPr="00BB0C25" w:rsidTr="00CB7BC1">
        <w:trPr>
          <w:jc w:val="center"/>
        </w:trPr>
        <w:tc>
          <w:tcPr>
            <w:tcW w:w="1493" w:type="dxa"/>
            <w:vMerge/>
            <w:shd w:val="clear" w:color="auto" w:fill="auto"/>
            <w:vAlign w:val="center"/>
          </w:tcPr>
          <w:p w:rsidR="00CB7BC1" w:rsidRPr="00BB0C25" w:rsidRDefault="00CB7BC1" w:rsidP="00143DAB">
            <w:pPr>
              <w:pStyle w:val="Tabletext"/>
            </w:pPr>
          </w:p>
        </w:tc>
        <w:tc>
          <w:tcPr>
            <w:tcW w:w="1135" w:type="dxa"/>
          </w:tcPr>
          <w:p w:rsidR="00CB7BC1" w:rsidRPr="00BB0C25" w:rsidRDefault="00CB7BC1" w:rsidP="00143DAB">
            <w:pPr>
              <w:pStyle w:val="Tabletext"/>
              <w:jc w:val="center"/>
            </w:pPr>
            <w:r w:rsidRPr="00BB0C25">
              <w:t>combined</w:t>
            </w:r>
          </w:p>
        </w:tc>
        <w:tc>
          <w:tcPr>
            <w:tcW w:w="2454" w:type="dxa"/>
            <w:shd w:val="clear" w:color="auto" w:fill="auto"/>
          </w:tcPr>
          <w:p w:rsidR="00CB7BC1" w:rsidRPr="00BB0C25" w:rsidRDefault="00CB7BC1" w:rsidP="00143DAB">
            <w:pPr>
              <w:pStyle w:val="Tabletext"/>
              <w:jc w:val="center"/>
            </w:pPr>
            <w:r w:rsidRPr="00BB0C25">
              <w:t>1 258</w:t>
            </w:r>
          </w:p>
        </w:tc>
        <w:tc>
          <w:tcPr>
            <w:tcW w:w="1792" w:type="dxa"/>
            <w:shd w:val="clear" w:color="auto" w:fill="auto"/>
          </w:tcPr>
          <w:p w:rsidR="00CB7BC1" w:rsidRPr="00BB0C25" w:rsidRDefault="00CB7BC1" w:rsidP="00143DAB">
            <w:pPr>
              <w:pStyle w:val="Tabletext"/>
              <w:jc w:val="center"/>
            </w:pPr>
            <w:r w:rsidRPr="00BB0C25">
              <w:t>30.84</w:t>
            </w:r>
          </w:p>
        </w:tc>
        <w:tc>
          <w:tcPr>
            <w:tcW w:w="1209" w:type="dxa"/>
            <w:shd w:val="clear" w:color="auto" w:fill="auto"/>
          </w:tcPr>
          <w:p w:rsidR="00CB7BC1" w:rsidRPr="00BB0C25" w:rsidRDefault="00CB7BC1" w:rsidP="00143DAB">
            <w:pPr>
              <w:pStyle w:val="Tabletext"/>
              <w:jc w:val="center"/>
            </w:pPr>
            <w:r w:rsidRPr="00BB0C25">
              <w:t>38 801</w:t>
            </w:r>
          </w:p>
        </w:tc>
        <w:tc>
          <w:tcPr>
            <w:tcW w:w="1693" w:type="dxa"/>
            <w:shd w:val="clear" w:color="auto" w:fill="auto"/>
            <w:vAlign w:val="center"/>
          </w:tcPr>
          <w:p w:rsidR="00CB7BC1" w:rsidRPr="00BB0C25" w:rsidRDefault="00CB7BC1" w:rsidP="00143DAB">
            <w:pPr>
              <w:pStyle w:val="Tabletext"/>
              <w:jc w:val="center"/>
            </w:pPr>
            <w:r w:rsidRPr="00BB0C25">
              <w:t>56.80</w:t>
            </w:r>
          </w:p>
        </w:tc>
      </w:tr>
      <w:tr w:rsidR="00CB7BC1" w:rsidRPr="00BB0C25" w:rsidTr="00CB7BC1">
        <w:trPr>
          <w:jc w:val="center"/>
        </w:trPr>
        <w:tc>
          <w:tcPr>
            <w:tcW w:w="1493" w:type="dxa"/>
            <w:vMerge w:val="restart"/>
            <w:shd w:val="clear" w:color="auto" w:fill="auto"/>
            <w:vAlign w:val="center"/>
          </w:tcPr>
          <w:p w:rsidR="00CB7BC1" w:rsidRPr="00BB0C25" w:rsidRDefault="00CB7BC1" w:rsidP="00143DAB">
            <w:pPr>
              <w:pStyle w:val="Tabletext"/>
            </w:pPr>
            <w:r w:rsidRPr="00BB0C25">
              <w:t>Point-to-</w:t>
            </w:r>
            <w:r>
              <w:t>P</w:t>
            </w:r>
            <w:r w:rsidRPr="00BB0C25">
              <w:t>oint</w:t>
            </w:r>
          </w:p>
        </w:tc>
        <w:tc>
          <w:tcPr>
            <w:tcW w:w="1135" w:type="dxa"/>
          </w:tcPr>
          <w:p w:rsidR="00CB7BC1" w:rsidRPr="00BB0C25" w:rsidRDefault="00CB7BC1" w:rsidP="00143DAB">
            <w:pPr>
              <w:pStyle w:val="Tabletext"/>
              <w:jc w:val="center"/>
            </w:pPr>
            <w:r w:rsidRPr="00BB0C25">
              <w:t>FSS1</w:t>
            </w:r>
          </w:p>
        </w:tc>
        <w:tc>
          <w:tcPr>
            <w:tcW w:w="2454" w:type="dxa"/>
            <w:shd w:val="clear" w:color="auto" w:fill="auto"/>
          </w:tcPr>
          <w:p w:rsidR="00CB7BC1" w:rsidRPr="00BB0C25" w:rsidRDefault="00CB7BC1" w:rsidP="00143DAB">
            <w:pPr>
              <w:pStyle w:val="Tabletext"/>
              <w:jc w:val="center"/>
            </w:pPr>
            <w:r w:rsidRPr="00BB0C25">
              <w:t>6 114</w:t>
            </w:r>
          </w:p>
        </w:tc>
        <w:tc>
          <w:tcPr>
            <w:tcW w:w="1792" w:type="dxa"/>
            <w:shd w:val="clear" w:color="auto" w:fill="auto"/>
          </w:tcPr>
          <w:p w:rsidR="00CB7BC1" w:rsidRPr="00BB0C25" w:rsidRDefault="00CB7BC1" w:rsidP="00143DAB">
            <w:pPr>
              <w:pStyle w:val="Tabletext"/>
              <w:jc w:val="center"/>
            </w:pPr>
            <w:r w:rsidRPr="00BB0C25">
              <w:t>2.9</w:t>
            </w:r>
          </w:p>
        </w:tc>
        <w:tc>
          <w:tcPr>
            <w:tcW w:w="1209" w:type="dxa"/>
            <w:shd w:val="clear" w:color="auto" w:fill="auto"/>
          </w:tcPr>
          <w:p w:rsidR="00CB7BC1" w:rsidRPr="00BB0C25" w:rsidRDefault="00CB7BC1" w:rsidP="00143DAB">
            <w:pPr>
              <w:pStyle w:val="Tabletext"/>
              <w:jc w:val="center"/>
            </w:pPr>
            <w:r w:rsidRPr="00BB0C25">
              <w:t>17 731</w:t>
            </w:r>
          </w:p>
        </w:tc>
        <w:tc>
          <w:tcPr>
            <w:tcW w:w="1693" w:type="dxa"/>
            <w:shd w:val="clear" w:color="auto" w:fill="auto"/>
            <w:vAlign w:val="center"/>
          </w:tcPr>
          <w:p w:rsidR="00CB7BC1" w:rsidRPr="00BB0C25" w:rsidRDefault="00CB7BC1" w:rsidP="00143DAB">
            <w:pPr>
              <w:pStyle w:val="Tabletext"/>
              <w:jc w:val="center"/>
            </w:pPr>
            <w:r w:rsidRPr="00BB0C25">
              <w:t>43.67</w:t>
            </w:r>
          </w:p>
        </w:tc>
      </w:tr>
      <w:tr w:rsidR="00CB7BC1" w:rsidRPr="00BB0C25" w:rsidTr="00CB7BC1">
        <w:trPr>
          <w:jc w:val="center"/>
        </w:trPr>
        <w:tc>
          <w:tcPr>
            <w:tcW w:w="1493" w:type="dxa"/>
            <w:vMerge/>
            <w:shd w:val="clear" w:color="auto" w:fill="auto"/>
            <w:vAlign w:val="center"/>
          </w:tcPr>
          <w:p w:rsidR="00CB7BC1" w:rsidRPr="00BB0C25" w:rsidRDefault="00CB7BC1" w:rsidP="00143DAB">
            <w:pPr>
              <w:pStyle w:val="Tabletext"/>
            </w:pPr>
          </w:p>
        </w:tc>
        <w:tc>
          <w:tcPr>
            <w:tcW w:w="1135" w:type="dxa"/>
          </w:tcPr>
          <w:p w:rsidR="00CB7BC1" w:rsidRPr="00BB0C25" w:rsidRDefault="00CB7BC1" w:rsidP="00143DAB">
            <w:pPr>
              <w:pStyle w:val="Tabletext"/>
              <w:jc w:val="center"/>
            </w:pPr>
            <w:r w:rsidRPr="00BB0C25">
              <w:t>FSS2</w:t>
            </w:r>
          </w:p>
        </w:tc>
        <w:tc>
          <w:tcPr>
            <w:tcW w:w="2454" w:type="dxa"/>
            <w:shd w:val="clear" w:color="auto" w:fill="auto"/>
          </w:tcPr>
          <w:p w:rsidR="00CB7BC1" w:rsidRPr="00BB0C25" w:rsidRDefault="00CB7BC1" w:rsidP="00143DAB">
            <w:pPr>
              <w:pStyle w:val="Tabletext"/>
              <w:jc w:val="center"/>
            </w:pPr>
            <w:r w:rsidRPr="00BB0C25">
              <w:t>583</w:t>
            </w:r>
          </w:p>
        </w:tc>
        <w:tc>
          <w:tcPr>
            <w:tcW w:w="1792" w:type="dxa"/>
            <w:shd w:val="clear" w:color="auto" w:fill="auto"/>
          </w:tcPr>
          <w:p w:rsidR="00CB7BC1" w:rsidRPr="00BB0C25" w:rsidRDefault="00CB7BC1" w:rsidP="00143DAB">
            <w:pPr>
              <w:pStyle w:val="Tabletext"/>
              <w:jc w:val="center"/>
            </w:pPr>
            <w:r w:rsidRPr="00BB0C25">
              <w:t>2.3</w:t>
            </w:r>
          </w:p>
        </w:tc>
        <w:tc>
          <w:tcPr>
            <w:tcW w:w="1209" w:type="dxa"/>
            <w:shd w:val="clear" w:color="auto" w:fill="auto"/>
          </w:tcPr>
          <w:p w:rsidR="00CB7BC1" w:rsidRPr="00BB0C25" w:rsidRDefault="00CB7BC1" w:rsidP="00143DAB">
            <w:pPr>
              <w:pStyle w:val="Tabletext"/>
              <w:jc w:val="center"/>
            </w:pPr>
            <w:r w:rsidRPr="00BB0C25">
              <w:t>1 341</w:t>
            </w:r>
          </w:p>
        </w:tc>
        <w:tc>
          <w:tcPr>
            <w:tcW w:w="1693" w:type="dxa"/>
            <w:shd w:val="clear" w:color="auto" w:fill="auto"/>
            <w:vAlign w:val="center"/>
          </w:tcPr>
          <w:p w:rsidR="00CB7BC1" w:rsidRPr="00BB0C25" w:rsidRDefault="00CB7BC1" w:rsidP="00143DAB">
            <w:pPr>
              <w:pStyle w:val="Tabletext"/>
              <w:jc w:val="center"/>
            </w:pPr>
            <w:r w:rsidRPr="00BB0C25">
              <w:t>4.83</w:t>
            </w:r>
          </w:p>
        </w:tc>
      </w:tr>
      <w:tr w:rsidR="00CB7BC1" w:rsidRPr="00BB0C25" w:rsidTr="00CB7BC1">
        <w:trPr>
          <w:jc w:val="center"/>
        </w:trPr>
        <w:tc>
          <w:tcPr>
            <w:tcW w:w="1493" w:type="dxa"/>
            <w:vMerge/>
            <w:shd w:val="clear" w:color="auto" w:fill="auto"/>
            <w:vAlign w:val="center"/>
          </w:tcPr>
          <w:p w:rsidR="00CB7BC1" w:rsidRPr="00BB0C25" w:rsidRDefault="00CB7BC1" w:rsidP="00143DAB">
            <w:pPr>
              <w:pStyle w:val="Tabletext"/>
            </w:pPr>
          </w:p>
        </w:tc>
        <w:tc>
          <w:tcPr>
            <w:tcW w:w="1135" w:type="dxa"/>
          </w:tcPr>
          <w:p w:rsidR="00CB7BC1" w:rsidRPr="00BB0C25" w:rsidRDefault="00CB7BC1" w:rsidP="00143DAB">
            <w:pPr>
              <w:pStyle w:val="Tabletext"/>
              <w:jc w:val="center"/>
            </w:pPr>
            <w:r w:rsidRPr="00BB0C25">
              <w:t>combined</w:t>
            </w:r>
          </w:p>
        </w:tc>
        <w:tc>
          <w:tcPr>
            <w:tcW w:w="2454" w:type="dxa"/>
            <w:shd w:val="clear" w:color="auto" w:fill="auto"/>
          </w:tcPr>
          <w:p w:rsidR="00CB7BC1" w:rsidRPr="00BB0C25" w:rsidRDefault="00CB7BC1" w:rsidP="00143DAB">
            <w:pPr>
              <w:pStyle w:val="Tabletext"/>
              <w:jc w:val="center"/>
            </w:pPr>
            <w:r w:rsidRPr="00BB0C25">
              <w:t>6 697</w:t>
            </w:r>
          </w:p>
        </w:tc>
        <w:tc>
          <w:tcPr>
            <w:tcW w:w="1792" w:type="dxa"/>
            <w:shd w:val="clear" w:color="auto" w:fill="auto"/>
          </w:tcPr>
          <w:p w:rsidR="00CB7BC1" w:rsidRPr="00BB0C25" w:rsidRDefault="00CB7BC1" w:rsidP="00143DAB">
            <w:pPr>
              <w:pStyle w:val="Tabletext"/>
              <w:jc w:val="center"/>
            </w:pPr>
            <w:r w:rsidRPr="00BB0C25">
              <w:t>2.94</w:t>
            </w:r>
          </w:p>
        </w:tc>
        <w:tc>
          <w:tcPr>
            <w:tcW w:w="1209" w:type="dxa"/>
            <w:shd w:val="clear" w:color="auto" w:fill="auto"/>
          </w:tcPr>
          <w:p w:rsidR="00CB7BC1" w:rsidRPr="00BB0C25" w:rsidRDefault="00CB7BC1" w:rsidP="00143DAB">
            <w:pPr>
              <w:pStyle w:val="Tabletext"/>
              <w:jc w:val="center"/>
            </w:pPr>
            <w:r w:rsidRPr="00BB0C25">
              <w:t>19 072</w:t>
            </w:r>
          </w:p>
        </w:tc>
        <w:tc>
          <w:tcPr>
            <w:tcW w:w="1693" w:type="dxa"/>
            <w:shd w:val="clear" w:color="auto" w:fill="auto"/>
            <w:vAlign w:val="center"/>
          </w:tcPr>
          <w:p w:rsidR="00CB7BC1" w:rsidRPr="00BB0C25" w:rsidRDefault="00CB7BC1" w:rsidP="00143DAB">
            <w:pPr>
              <w:pStyle w:val="Tabletext"/>
              <w:jc w:val="center"/>
            </w:pPr>
            <w:r w:rsidRPr="00BB0C25">
              <w:t>27.92</w:t>
            </w:r>
          </w:p>
        </w:tc>
      </w:tr>
    </w:tbl>
    <w:p w:rsidR="00143DAB" w:rsidRDefault="00143DAB" w:rsidP="00143DAB">
      <w:pPr>
        <w:pStyle w:val="Tablefin"/>
      </w:pPr>
      <w:bookmarkStart w:id="18" w:name="_MON_1426057754"/>
      <w:bookmarkEnd w:id="18"/>
    </w:p>
    <w:p w:rsidR="00CB7BC1" w:rsidRPr="00CB7BC1" w:rsidRDefault="00CB7BC1" w:rsidP="00143DAB">
      <w:pPr>
        <w:spacing w:before="240"/>
        <w:rPr>
          <w:lang w:val="en-US"/>
        </w:rPr>
      </w:pPr>
      <w:r w:rsidRPr="00CB7BC1">
        <w:rPr>
          <w:lang w:val="en-US"/>
        </w:rPr>
        <w:t xml:space="preserve">This </w:t>
      </w:r>
      <w:r w:rsidR="00143DAB">
        <w:rPr>
          <w:lang w:val="en-US"/>
        </w:rPr>
        <w:t>T</w:t>
      </w:r>
      <w:r w:rsidRPr="00CB7BC1">
        <w:rPr>
          <w:lang w:val="en-US"/>
        </w:rPr>
        <w:t>able is used to derive the overall deployment of earth stations by transmission type based on the bandwidth of the victim receiver under consideration.</w:t>
      </w:r>
    </w:p>
    <w:p w:rsidR="00CB7BC1" w:rsidRPr="00CB7BC1" w:rsidRDefault="00CB7BC1" w:rsidP="00F002C7">
      <w:pPr>
        <w:pStyle w:val="Heading3"/>
        <w:rPr>
          <w:lang w:val="en-US"/>
        </w:rPr>
      </w:pPr>
      <w:bookmarkStart w:id="19" w:name="_Toc428545735"/>
      <w:r w:rsidRPr="00CB7BC1">
        <w:rPr>
          <w:lang w:val="en-US"/>
        </w:rPr>
        <w:t>3.1.1</w:t>
      </w:r>
      <w:r w:rsidRPr="00CB7BC1">
        <w:rPr>
          <w:lang w:val="en-US"/>
        </w:rPr>
        <w:tab/>
        <w:t>Current frequency reuse factor</w:t>
      </w:r>
      <w:bookmarkEnd w:id="19"/>
    </w:p>
    <w:p w:rsidR="00CB7BC1" w:rsidRPr="00CB7BC1" w:rsidRDefault="00CB7BC1" w:rsidP="00CB7BC1">
      <w:pPr>
        <w:rPr>
          <w:lang w:val="en-US"/>
        </w:rPr>
      </w:pPr>
      <w:r w:rsidRPr="00CB7BC1">
        <w:rPr>
          <w:lang w:val="en-US"/>
        </w:rPr>
        <w:t xml:space="preserve">The use of spot beams on FSS GSO satellites can increase the effective available amount of total global bandwidth at a geostationary orbital location in direct correlation to the number of spot beams employed. This effective increase of available spectrum is dependent upon sufficient isolation between the uplink beams. For instance, if there is a geographical overlap between two uplink spot beams of the same frequency of one or more satellites in an orbital slot then an earth station uplink to that orbital slot, at that same frequency, operating in the area of the geographical overlap would be seen by both uplink spot beams and thereby reduce the amount of overall available bandwidth (for uplink transmission) by the bandwidth carrier of this earth station operating in that geographical overlap. </w:t>
      </w:r>
    </w:p>
    <w:p w:rsidR="00CB7BC1" w:rsidRPr="00CB7BC1" w:rsidRDefault="00CB7BC1" w:rsidP="00110DD0">
      <w:pPr>
        <w:rPr>
          <w:lang w:val="en-US"/>
        </w:rPr>
      </w:pPr>
      <w:r w:rsidRPr="00CB7BC1">
        <w:rPr>
          <w:lang w:val="en-US"/>
        </w:rPr>
        <w:t xml:space="preserve">With sufficient isolation between spot beams originating from a geostationary orbital location, two spot beams would double the available amount of total global bandwidth and three spot beams would triple the available amount of total global bandwidth. However, it should be recognized that, in practice, the use of multiple beams using the same frequencies in the 14.0-14.5 GHz band is currently not common and the current frequency reuse, of about 1.2 per satellite (this figure is derived based on a fleet of 46 satellites), introduced by the use of spot beams and dual polarization has been accounted for in the transmission data presented. </w:t>
      </w:r>
      <w:r w:rsidRPr="00CB7BC1">
        <w:rPr>
          <w:lang w:val="en-US" w:eastAsia="zh-CN"/>
        </w:rPr>
        <w:t xml:space="preserve">Multiple beams originating from a GSO FSS orbital location, either on the same satellite or on multiple collocated satellites, may be employed to increase the amount of available bandwidth from that orbital location and thereby increase the number of FSS earth </w:t>
      </w:r>
      <w:r w:rsidR="0077613C">
        <w:rPr>
          <w:lang w:val="en-US" w:eastAsia="zh-CN"/>
        </w:rPr>
        <w:t xml:space="preserve">stations that can be deployed. </w:t>
      </w:r>
      <w:r w:rsidRPr="00CB7BC1">
        <w:rPr>
          <w:lang w:val="en-US" w:eastAsia="zh-CN"/>
        </w:rPr>
        <w:t>Conducting studies using frequency reuse calculated on a GSO</w:t>
      </w:r>
      <w:r w:rsidR="00110DD0">
        <w:rPr>
          <w:lang w:val="en-US" w:eastAsia="zh-CN"/>
        </w:rPr>
        <w:t> </w:t>
      </w:r>
      <w:r w:rsidRPr="00CB7BC1">
        <w:rPr>
          <w:lang w:val="en-US" w:eastAsia="zh-CN"/>
        </w:rPr>
        <w:t>FSS orbital location basis may differ from studies using frequency reuse calculated on a per satellite basis.</w:t>
      </w:r>
    </w:p>
    <w:p w:rsidR="00CB7BC1" w:rsidRPr="00CB7BC1" w:rsidRDefault="00CB7BC1" w:rsidP="0077613C">
      <w:pPr>
        <w:rPr>
          <w:lang w:val="en-US" w:eastAsia="zh-CN"/>
        </w:rPr>
      </w:pPr>
      <w:r w:rsidRPr="00CB7BC1">
        <w:rPr>
          <w:lang w:val="en-US" w:eastAsia="zh-CN"/>
        </w:rPr>
        <w:t xml:space="preserve">Although the beam patterns for one of the satellites in current operation in the 14-14.5 GHz band seem to indicate a frequency reuse factor of 5 for that particular satellite, the actual frequency reuse </w:t>
      </w:r>
      <w:r w:rsidRPr="00CB7BC1">
        <w:rPr>
          <w:lang w:val="en-US" w:eastAsia="zh-CN"/>
        </w:rPr>
        <w:lastRenderedPageBreak/>
        <w:t>is 1.3 (see Fig</w:t>
      </w:r>
      <w:r w:rsidR="000E4605">
        <w:rPr>
          <w:lang w:val="en-US" w:eastAsia="zh-CN"/>
        </w:rPr>
        <w:t>.</w:t>
      </w:r>
      <w:r w:rsidRPr="00CB7BC1">
        <w:rPr>
          <w:lang w:val="en-US" w:eastAsia="zh-CN"/>
        </w:rPr>
        <w:t xml:space="preserve"> 1). There are five reported footprints covering the regions indicated at the top in miniature of Fig</w:t>
      </w:r>
      <w:r w:rsidR="000E4605">
        <w:rPr>
          <w:lang w:val="en-US" w:eastAsia="zh-CN"/>
        </w:rPr>
        <w:t>.</w:t>
      </w:r>
      <w:r w:rsidRPr="00CB7BC1">
        <w:rPr>
          <w:lang w:val="en-US" w:eastAsia="zh-CN"/>
        </w:rPr>
        <w:t xml:space="preserve"> 1. The five patterns have been combined into the one larger image shown in Fig</w:t>
      </w:r>
      <w:r w:rsidR="00ED4B39">
        <w:rPr>
          <w:lang w:val="en-US" w:eastAsia="zh-CN"/>
        </w:rPr>
        <w:t>.</w:t>
      </w:r>
      <w:r w:rsidRPr="00CB7BC1">
        <w:rPr>
          <w:lang w:val="en-US" w:eastAsia="zh-CN"/>
        </w:rPr>
        <w:t xml:space="preserve"> 1. The frequency reuse is much lower than expected due to each of the 5 beams being allocated a portion of the uplink frequency band in a single polarization. Note that there are areas with no coverage, notab</w:t>
      </w:r>
      <w:r w:rsidR="0077613C">
        <w:rPr>
          <w:lang w:val="en-US" w:eastAsia="zh-CN"/>
        </w:rPr>
        <w:t xml:space="preserve">ly Central and Western Africa. </w:t>
      </w:r>
      <w:r w:rsidRPr="00CB7BC1">
        <w:rPr>
          <w:lang w:val="en-US" w:eastAsia="zh-CN"/>
        </w:rPr>
        <w:t>It is conceivable, although unlikely, that those areas could be covered through another satellite in the same GSO orbital slot and not overlap with the coverage areas provided by this current satellite at 45 degrees E longitude uti</w:t>
      </w:r>
      <w:r w:rsidR="00E642A4">
        <w:rPr>
          <w:lang w:val="en-US" w:eastAsia="zh-CN"/>
        </w:rPr>
        <w:t xml:space="preserve">lizing the 14.0-14.5 GHz band. </w:t>
      </w:r>
      <w:r w:rsidRPr="00CB7BC1">
        <w:rPr>
          <w:lang w:val="en-US" w:eastAsia="zh-CN"/>
        </w:rPr>
        <w:t>Therefore, parametric studies using frequency reuse factors larger than the reported average values could be considered in sharing studies.</w:t>
      </w:r>
    </w:p>
    <w:p w:rsidR="00CB7BC1" w:rsidRPr="00CB7BC1" w:rsidRDefault="00CB7BC1" w:rsidP="00CB7BC1">
      <w:pPr>
        <w:pStyle w:val="FigureNo"/>
        <w:rPr>
          <w:lang w:val="en-US" w:eastAsia="zh-CN"/>
        </w:rPr>
      </w:pPr>
      <w:r w:rsidRPr="00CB7BC1">
        <w:rPr>
          <w:lang w:val="en-US" w:eastAsia="zh-CN"/>
        </w:rPr>
        <w:t>FIGURE 1</w:t>
      </w:r>
    </w:p>
    <w:p w:rsidR="00CB7BC1" w:rsidRPr="00CB7BC1" w:rsidRDefault="00CB7BC1" w:rsidP="00B04D4C">
      <w:pPr>
        <w:pStyle w:val="Figuretitle"/>
        <w:rPr>
          <w:lang w:val="en-US" w:eastAsia="zh-CN"/>
        </w:rPr>
      </w:pPr>
      <w:r w:rsidRPr="00CB7BC1">
        <w:rPr>
          <w:lang w:val="en-US" w:eastAsia="zh-CN"/>
        </w:rPr>
        <w:t xml:space="preserve">Beam </w:t>
      </w:r>
      <w:r w:rsidR="00B04D4C">
        <w:rPr>
          <w:lang w:val="en-US" w:eastAsia="zh-CN"/>
        </w:rPr>
        <w:t>p</w:t>
      </w:r>
      <w:r w:rsidRPr="00CB7BC1">
        <w:rPr>
          <w:lang w:val="en-US" w:eastAsia="zh-CN"/>
        </w:rPr>
        <w:t>atterns for one current Ku band satellite at 45 degrees E longitude in the GSO arc</w:t>
      </w:r>
    </w:p>
    <w:p w:rsidR="00CB7BC1" w:rsidRDefault="00CB33DA" w:rsidP="00E642A4">
      <w:pPr>
        <w:pStyle w:val="Figure"/>
        <w:rPr>
          <w:lang w:eastAsia="zh-CN"/>
        </w:rPr>
      </w:pPr>
      <w:r>
        <w:object w:dxaOrig="4088" w:dyaOrig="5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4.5pt;height:259.75pt" o:ole="">
            <v:imagedata r:id="rId13" o:title=""/>
          </v:shape>
          <o:OLEObject Type="Embed" ProgID="CorelDraw.Graphic.16" ShapeID="_x0000_i1026" DrawAspect="Content" ObjectID="_1503490734" r:id="rId14"/>
        </w:object>
      </w:r>
    </w:p>
    <w:p w:rsidR="00CB7BC1" w:rsidRPr="00CB7BC1" w:rsidRDefault="00CB7BC1" w:rsidP="00CB7BC1">
      <w:pPr>
        <w:rPr>
          <w:lang w:val="en-US"/>
        </w:rPr>
      </w:pPr>
      <w:r w:rsidRPr="00CB7BC1">
        <w:rPr>
          <w:lang w:val="en-US"/>
        </w:rPr>
        <w:t>This frequency reuse factor may not be representative of some future satellite deployments. The frequency reuse factor should be re-evaluated as information on future satellite technologies and capacities becomes available.</w:t>
      </w:r>
    </w:p>
    <w:p w:rsidR="00CB7BC1" w:rsidRPr="00CB7BC1" w:rsidRDefault="00CB7BC1" w:rsidP="00F002C7">
      <w:pPr>
        <w:pStyle w:val="Heading3"/>
        <w:rPr>
          <w:lang w:val="en-US"/>
        </w:rPr>
      </w:pPr>
      <w:bookmarkStart w:id="20" w:name="_Toc428545736"/>
      <w:r w:rsidRPr="00CB7BC1">
        <w:rPr>
          <w:lang w:val="en-US"/>
        </w:rPr>
        <w:t>3.1.2</w:t>
      </w:r>
      <w:r w:rsidRPr="00CB7BC1">
        <w:rPr>
          <w:lang w:val="en-US"/>
        </w:rPr>
        <w:tab/>
        <w:t>Activity factor</w:t>
      </w:r>
      <w:bookmarkEnd w:id="20"/>
    </w:p>
    <w:p w:rsidR="00306845" w:rsidRDefault="00CB7BC1" w:rsidP="00306845">
      <w:pPr>
        <w:rPr>
          <w:lang w:val="en-US"/>
        </w:rPr>
      </w:pPr>
      <w:r w:rsidRPr="00CB7BC1">
        <w:rPr>
          <w:lang w:val="en-US"/>
        </w:rPr>
        <w:t>The activity factor for the FSS ES uplink can vary according to the traffic and use of multiple access techniques, such as TDMA, that are employed by the satellite network. The use of multiple access techniques is most common for the VSAT transmission type. To simplify the analysis, transmissions from VSAT networks of earth stations using multiple access techniques may be represented as a single earth station transmitting 100% of the time. The activity factor for the Point-to-Point and Wideband transmission types may also be assumed to be 100% as these transmissions do not typically employ multiple access techniques at this time.</w:t>
      </w:r>
    </w:p>
    <w:p w:rsidR="00306845" w:rsidRDefault="00306845">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B7BC1" w:rsidRPr="00CB7BC1" w:rsidRDefault="00CB7BC1" w:rsidP="00CB7BC1">
      <w:pPr>
        <w:rPr>
          <w:lang w:val="en-US"/>
        </w:rPr>
      </w:pPr>
      <w:r w:rsidRPr="00CB7BC1">
        <w:rPr>
          <w:szCs w:val="24"/>
          <w:lang w:val="en-US" w:eastAsia="zh-CN"/>
        </w:rPr>
        <w:lastRenderedPageBreak/>
        <w:t xml:space="preserve">However, the use of this simplifying assumption in a simulation where a FSS TDMA network is represented by a single earth station transmitting 100% of the time should be examined on a case-by-case basis in regards to its over or under representing the degree of degradation imparted to the receiver of the victim service under study. As an example, a single FSS earth station TDMA burst exceeding the </w:t>
      </w:r>
      <w:r w:rsidRPr="0023226D">
        <w:rPr>
          <w:i/>
          <w:iCs/>
          <w:szCs w:val="24"/>
          <w:lang w:val="en-US" w:eastAsia="zh-CN"/>
        </w:rPr>
        <w:t>I/N</w:t>
      </w:r>
      <w:r w:rsidRPr="00CB7BC1">
        <w:rPr>
          <w:szCs w:val="24"/>
          <w:lang w:val="en-US" w:eastAsia="zh-CN"/>
        </w:rPr>
        <w:t xml:space="preserve"> protection criteria threshold can corrupt an EESS (active) sensor measurement of longer duration than that of the single TDMA burst.</w:t>
      </w:r>
    </w:p>
    <w:p w:rsidR="00CB7BC1" w:rsidRPr="00CB7BC1" w:rsidRDefault="00CB7BC1" w:rsidP="00CB7BC1">
      <w:pPr>
        <w:rPr>
          <w:lang w:val="en-US"/>
        </w:rPr>
      </w:pPr>
      <w:r w:rsidRPr="00D579FA">
        <w:rPr>
          <w:lang w:val="en-US"/>
        </w:rPr>
        <w:t>An assessment of the simplifying assumption of using a single continuously transmitting earth station in place of a TDMA network was done, showing that this simplifying assumption underestimates the amount of interference seen by the EESS (active) JASON-3 altimeter by 3.4 dB considering a 100% VSAT TDMA deployment and a 0% wideband and PP deployment</w:t>
      </w:r>
      <w:r>
        <w:rPr>
          <w:rStyle w:val="FootnoteReference"/>
          <w:lang w:val="en-US"/>
        </w:rPr>
        <w:footnoteReference w:id="8"/>
      </w:r>
      <w:r w:rsidRPr="00D579FA">
        <w:rPr>
          <w:lang w:val="en-US"/>
        </w:rPr>
        <w:t>.</w:t>
      </w:r>
    </w:p>
    <w:p w:rsidR="00CB7BC1" w:rsidRPr="00CB7BC1" w:rsidRDefault="00CB7BC1" w:rsidP="00F002C7">
      <w:pPr>
        <w:pStyle w:val="Heading2"/>
        <w:rPr>
          <w:lang w:val="en-US"/>
        </w:rPr>
      </w:pPr>
      <w:bookmarkStart w:id="21" w:name="_Toc428545737"/>
      <w:r w:rsidRPr="00CB7BC1">
        <w:rPr>
          <w:lang w:val="en-US"/>
        </w:rPr>
        <w:t>3.2</w:t>
      </w:r>
      <w:r w:rsidRPr="00CB7BC1">
        <w:rPr>
          <w:lang w:val="en-US"/>
        </w:rPr>
        <w:tab/>
        <w:t>E.i.r.p. and PSD density per transmission type</w:t>
      </w:r>
      <w:bookmarkEnd w:id="21"/>
    </w:p>
    <w:p w:rsidR="00CB7BC1" w:rsidRPr="00CB7BC1" w:rsidRDefault="00CB7BC1" w:rsidP="00CB7BC1">
      <w:pPr>
        <w:rPr>
          <w:lang w:val="en-US"/>
        </w:rPr>
      </w:pPr>
      <w:r w:rsidRPr="00CB7BC1">
        <w:rPr>
          <w:lang w:val="en-US"/>
        </w:rPr>
        <w:t>In actual deployments, the e.i.r.p. density of FSS uplink earth stations was found to have very large variations for any given transmission type. The major contributors to the large variations in e.i.r.p. density levels are as follows:</w:t>
      </w:r>
    </w:p>
    <w:p w:rsidR="00CB7BC1" w:rsidRPr="00CB7BC1" w:rsidRDefault="00CB7BC1" w:rsidP="00E642A4">
      <w:pPr>
        <w:pStyle w:val="enumlev1"/>
        <w:rPr>
          <w:lang w:val="en-US"/>
        </w:rPr>
      </w:pPr>
      <w:r w:rsidRPr="00CB7BC1">
        <w:rPr>
          <w:lang w:val="en-US"/>
        </w:rPr>
        <w:t>−</w:t>
      </w:r>
      <w:r w:rsidRPr="00CB7BC1">
        <w:rPr>
          <w:lang w:val="en-US"/>
        </w:rPr>
        <w:tab/>
        <w:t>Location of the transmit (Tx) ES within the uplink beam and the location of the receive (Rx) ES within the downlink beam.</w:t>
      </w:r>
    </w:p>
    <w:p w:rsidR="00CB7BC1" w:rsidRPr="00CB7BC1" w:rsidRDefault="00CB7BC1" w:rsidP="00E642A4">
      <w:pPr>
        <w:pStyle w:val="enumlev1"/>
        <w:rPr>
          <w:lang w:val="en-US"/>
        </w:rPr>
      </w:pPr>
      <w:r w:rsidRPr="00CB7BC1">
        <w:rPr>
          <w:lang w:val="en-US"/>
        </w:rPr>
        <w:t>−</w:t>
      </w:r>
      <w:r w:rsidR="00E642A4">
        <w:rPr>
          <w:lang w:val="en-US"/>
        </w:rPr>
        <w:tab/>
        <w:t>The bit error ratio (BER) and per cent</w:t>
      </w:r>
      <w:r w:rsidRPr="00CB7BC1">
        <w:rPr>
          <w:lang w:val="en-US"/>
        </w:rPr>
        <w:t xml:space="preserve"> of the time performance objectives of the carrier will determine the required carrier to noise (</w:t>
      </w:r>
      <w:r w:rsidRPr="0023226D">
        <w:rPr>
          <w:i/>
          <w:iCs/>
          <w:lang w:val="en-US"/>
        </w:rPr>
        <w:t>C/N</w:t>
      </w:r>
      <w:r w:rsidRPr="00CB7BC1">
        <w:rPr>
          <w:lang w:val="en-US"/>
        </w:rPr>
        <w:t>) and the rain margin.</w:t>
      </w:r>
    </w:p>
    <w:p w:rsidR="00CB7BC1" w:rsidRPr="00CB7BC1" w:rsidRDefault="00CB7BC1" w:rsidP="00E642A4">
      <w:pPr>
        <w:pStyle w:val="enumlev1"/>
        <w:rPr>
          <w:lang w:val="en-US"/>
        </w:rPr>
      </w:pPr>
      <w:r w:rsidRPr="00CB7BC1">
        <w:rPr>
          <w:lang w:val="en-US"/>
        </w:rPr>
        <w:t>−</w:t>
      </w:r>
      <w:r w:rsidRPr="00CB7BC1">
        <w:rPr>
          <w:lang w:val="en-US"/>
        </w:rPr>
        <w:tab/>
        <w:t>ES operating at lower elevation angles would suffer more rain attenuation and require a higher uplink e.i.r.p.</w:t>
      </w:r>
    </w:p>
    <w:p w:rsidR="00CB7BC1" w:rsidRPr="00CB7BC1" w:rsidRDefault="00CB7BC1" w:rsidP="00CB7BC1">
      <w:pPr>
        <w:spacing w:after="120"/>
        <w:rPr>
          <w:lang w:val="en-US"/>
        </w:rPr>
      </w:pPr>
      <w:r w:rsidRPr="00CB7BC1">
        <w:rPr>
          <w:lang w:val="en-US"/>
        </w:rPr>
        <w:t>Table 3 provides provisional PSD and e.i.r.p values to be used in studies. The mean of the peak envelope power density for the PSD and e.i.r.p. density recorded in Table 3 is the arithmetic mean of the peak envelope power for the FSS transmissions. The values were provided by two FSS operators as being representative of those used in their global networks and are also included in Table 3. It should be noted that using maximum peak envelop power density values for all earth stations will produce an interference environment significantly worse than that which would be produced by representing the mean of the peak e.i.r.p. and PSD density distributions observed in practice.</w:t>
      </w:r>
    </w:p>
    <w:p w:rsidR="00CB7BC1" w:rsidRPr="00CB7BC1" w:rsidRDefault="00CB7BC1" w:rsidP="00E642A4">
      <w:pPr>
        <w:spacing w:after="120"/>
        <w:rPr>
          <w:lang w:val="en-US"/>
        </w:rPr>
      </w:pPr>
      <w:r w:rsidRPr="00CB7BC1">
        <w:rPr>
          <w:lang w:val="en-US"/>
        </w:rPr>
        <w:t>The standard deviations of the e.i.r.p. and PSD density distributions can be derived from</w:t>
      </w:r>
      <w:r w:rsidR="00305818">
        <w:rPr>
          <w:lang w:val="en-US"/>
        </w:rPr>
        <w:t xml:space="preserve"> </w:t>
      </w:r>
      <w:r w:rsidRPr="00CB7BC1">
        <w:rPr>
          <w:lang w:val="en-US"/>
        </w:rPr>
        <w:t>Figs</w:t>
      </w:r>
      <w:r w:rsidR="00E642A4">
        <w:rPr>
          <w:lang w:val="en-US"/>
        </w:rPr>
        <w:t> </w:t>
      </w:r>
      <w:r w:rsidRPr="00CB7BC1">
        <w:rPr>
          <w:lang w:val="en-US"/>
        </w:rPr>
        <w:t>2 through 7. Cumulative distributions for the densities are shown following Table 3 for context. The statistics incorporate the current DVB-S2 use.</w:t>
      </w:r>
    </w:p>
    <w:p w:rsidR="00306845" w:rsidRDefault="00CB7BC1" w:rsidP="00CB7BC1">
      <w:pPr>
        <w:rPr>
          <w:lang w:val="en-US"/>
        </w:rPr>
      </w:pPr>
      <w:r w:rsidRPr="00CB7BC1">
        <w:rPr>
          <w:lang w:val="en-US"/>
        </w:rPr>
        <w:t>When information becomes available, the statistics should be updated for evaluation of increased use of DVB-S2 and other standards in the future. However, the use of the appropriate value provided in Table 3 is dependent on the characteristics of the victim receiver.</w:t>
      </w:r>
    </w:p>
    <w:p w:rsidR="00306845" w:rsidRDefault="00306845">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B7BC1" w:rsidRPr="00CB7BC1" w:rsidRDefault="00E642A4" w:rsidP="00E642A4">
      <w:pPr>
        <w:pStyle w:val="TableNo"/>
        <w:rPr>
          <w:lang w:val="en-US"/>
        </w:rPr>
      </w:pPr>
      <w:r w:rsidRPr="00CB7BC1">
        <w:rPr>
          <w:lang w:val="en-US"/>
        </w:rPr>
        <w:lastRenderedPageBreak/>
        <w:t xml:space="preserve">TABLE </w:t>
      </w:r>
      <w:r w:rsidR="00CB7BC1" w:rsidRPr="00CB7BC1">
        <w:rPr>
          <w:lang w:val="en-US"/>
        </w:rPr>
        <w:t>3</w:t>
      </w:r>
    </w:p>
    <w:p w:rsidR="00CB7BC1" w:rsidRPr="00CB7BC1" w:rsidRDefault="00CB7BC1" w:rsidP="00E642A4">
      <w:pPr>
        <w:pStyle w:val="Tabletitle"/>
        <w:rPr>
          <w:lang w:val="en-US"/>
        </w:rPr>
      </w:pPr>
      <w:r w:rsidRPr="00CB7BC1">
        <w:rPr>
          <w:lang w:val="en-US"/>
        </w:rPr>
        <w:t>Provisional PSD and e.i.r.p</w:t>
      </w:r>
      <w:r w:rsidR="00B04D4C">
        <w:rPr>
          <w:lang w:val="en-US"/>
        </w:rPr>
        <w:t>.</w:t>
      </w:r>
      <w:r w:rsidRPr="00CB7BC1">
        <w:rPr>
          <w:lang w:val="en-US"/>
        </w:rPr>
        <w:t xml:space="preserve"> values</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8"/>
        <w:gridCol w:w="1978"/>
        <w:gridCol w:w="2523"/>
        <w:gridCol w:w="2887"/>
      </w:tblGrid>
      <w:tr w:rsidR="00CB7BC1" w:rsidRPr="00484CB0" w:rsidTr="00E642A4">
        <w:trPr>
          <w:cantSplit/>
          <w:trHeight w:val="435"/>
          <w:jc w:val="center"/>
        </w:trPr>
        <w:tc>
          <w:tcPr>
            <w:tcW w:w="4226" w:type="dxa"/>
            <w:gridSpan w:val="2"/>
            <w:vMerge w:val="restart"/>
            <w:shd w:val="clear" w:color="auto" w:fill="auto"/>
            <w:vAlign w:val="center"/>
          </w:tcPr>
          <w:p w:rsidR="00CB7BC1" w:rsidRPr="00BB0C25" w:rsidRDefault="00CB7BC1" w:rsidP="00E642A4">
            <w:pPr>
              <w:pStyle w:val="Tablehead"/>
              <w:rPr>
                <w:lang w:val="en-US"/>
              </w:rPr>
            </w:pPr>
            <w:r w:rsidRPr="00CB7BC1">
              <w:rPr>
                <w:lang w:val="en-US"/>
              </w:rPr>
              <w:t>ES peak power spectral and e.i.r.p. density</w:t>
            </w:r>
            <w:r w:rsidRPr="00CB7BC1">
              <w:rPr>
                <w:lang w:val="en-US"/>
              </w:rPr>
              <w:br/>
              <w:t xml:space="preserve">transmission type </w:t>
            </w:r>
          </w:p>
        </w:tc>
        <w:tc>
          <w:tcPr>
            <w:tcW w:w="2523" w:type="dxa"/>
            <w:shd w:val="clear" w:color="auto" w:fill="auto"/>
            <w:vAlign w:val="center"/>
          </w:tcPr>
          <w:p w:rsidR="00CB7BC1" w:rsidRPr="00BB0C25" w:rsidRDefault="00CB7BC1" w:rsidP="00E642A4">
            <w:pPr>
              <w:pStyle w:val="Tablehead"/>
            </w:pPr>
            <w:r w:rsidRPr="00BB0C25">
              <w:t>PSD@ antenna port</w:t>
            </w:r>
          </w:p>
        </w:tc>
        <w:tc>
          <w:tcPr>
            <w:tcW w:w="2887" w:type="dxa"/>
          </w:tcPr>
          <w:p w:rsidR="00CB7BC1" w:rsidRPr="00BB0C25" w:rsidRDefault="00CB7BC1" w:rsidP="00E642A4">
            <w:pPr>
              <w:pStyle w:val="Tablehead"/>
              <w:rPr>
                <w:lang w:val="en-US"/>
              </w:rPr>
            </w:pPr>
            <w:r w:rsidRPr="00BB0C25">
              <w:rPr>
                <w:lang w:val="en-US"/>
              </w:rPr>
              <w:t>e.i.r.p. density</w:t>
            </w:r>
          </w:p>
        </w:tc>
      </w:tr>
      <w:tr w:rsidR="00CB7BC1" w:rsidRPr="00484CB0" w:rsidTr="00E642A4">
        <w:trPr>
          <w:cantSplit/>
          <w:trHeight w:val="435"/>
          <w:jc w:val="center"/>
        </w:trPr>
        <w:tc>
          <w:tcPr>
            <w:tcW w:w="4226" w:type="dxa"/>
            <w:gridSpan w:val="2"/>
            <w:vMerge/>
            <w:shd w:val="clear" w:color="auto" w:fill="auto"/>
            <w:vAlign w:val="center"/>
          </w:tcPr>
          <w:p w:rsidR="00CB7BC1" w:rsidRPr="00BB0C25" w:rsidRDefault="00CB7BC1" w:rsidP="00E642A4">
            <w:pPr>
              <w:pStyle w:val="Tablehead"/>
              <w:rPr>
                <w:lang w:val="en-US"/>
              </w:rPr>
            </w:pPr>
          </w:p>
        </w:tc>
        <w:tc>
          <w:tcPr>
            <w:tcW w:w="2523" w:type="dxa"/>
            <w:shd w:val="clear" w:color="auto" w:fill="auto"/>
            <w:vAlign w:val="center"/>
          </w:tcPr>
          <w:p w:rsidR="00CB7BC1" w:rsidRPr="00CB7BC1" w:rsidRDefault="00CB7BC1" w:rsidP="00E642A4">
            <w:pPr>
              <w:pStyle w:val="Tablehead"/>
              <w:rPr>
                <w:lang w:val="en-US"/>
              </w:rPr>
            </w:pPr>
            <w:r w:rsidRPr="00BB0C25">
              <w:rPr>
                <w:lang w:val="en-US"/>
              </w:rPr>
              <w:t>Mean of</w:t>
            </w:r>
            <w:r w:rsidRPr="00CB7BC1">
              <w:rPr>
                <w:lang w:val="en-US"/>
              </w:rPr>
              <w:t xml:space="preserve"> peak envelope power density</w:t>
            </w:r>
            <w:r w:rsidRPr="00CB7BC1">
              <w:rPr>
                <w:lang w:val="en-US"/>
              </w:rPr>
              <w:br/>
              <w:t>(dBW/Hz)</w:t>
            </w:r>
          </w:p>
        </w:tc>
        <w:tc>
          <w:tcPr>
            <w:tcW w:w="2887" w:type="dxa"/>
            <w:shd w:val="clear" w:color="auto" w:fill="auto"/>
            <w:vAlign w:val="center"/>
          </w:tcPr>
          <w:p w:rsidR="00CB7BC1" w:rsidRPr="00CB7BC1" w:rsidRDefault="00CB7BC1" w:rsidP="00E642A4">
            <w:pPr>
              <w:pStyle w:val="Tablehead"/>
              <w:rPr>
                <w:lang w:val="en-US"/>
              </w:rPr>
            </w:pPr>
            <w:r w:rsidRPr="00BB0C25">
              <w:rPr>
                <w:lang w:val="en-US"/>
              </w:rPr>
              <w:t>Mean of</w:t>
            </w:r>
            <w:r w:rsidRPr="00CB7BC1">
              <w:rPr>
                <w:lang w:val="en-US"/>
              </w:rPr>
              <w:t xml:space="preserve"> peak envelope power density</w:t>
            </w:r>
            <w:r w:rsidRPr="00CB7BC1">
              <w:rPr>
                <w:lang w:val="en-US"/>
              </w:rPr>
              <w:br/>
              <w:t>(dBW/Hz)</w:t>
            </w:r>
          </w:p>
        </w:tc>
      </w:tr>
      <w:tr w:rsidR="00CB7BC1" w:rsidRPr="00BB0C25" w:rsidTr="00E642A4">
        <w:trPr>
          <w:cantSplit/>
          <w:jc w:val="center"/>
        </w:trPr>
        <w:tc>
          <w:tcPr>
            <w:tcW w:w="2248" w:type="dxa"/>
            <w:vMerge w:val="restart"/>
            <w:shd w:val="clear" w:color="auto" w:fill="auto"/>
          </w:tcPr>
          <w:p w:rsidR="00CB7BC1" w:rsidRPr="00BB0C25" w:rsidRDefault="00CB7BC1" w:rsidP="00E642A4">
            <w:pPr>
              <w:pStyle w:val="Tabletext"/>
              <w:rPr>
                <w:lang w:val="en-US"/>
              </w:rPr>
            </w:pPr>
            <w:r w:rsidRPr="00BB0C25">
              <w:rPr>
                <w:lang w:val="en-US"/>
              </w:rPr>
              <w:t>VSAT</w:t>
            </w:r>
          </w:p>
        </w:tc>
        <w:tc>
          <w:tcPr>
            <w:tcW w:w="1978" w:type="dxa"/>
          </w:tcPr>
          <w:p w:rsidR="00CB7BC1" w:rsidRPr="00BB0C25" w:rsidRDefault="00CB7BC1" w:rsidP="00E642A4">
            <w:pPr>
              <w:pStyle w:val="Tabletext"/>
              <w:jc w:val="center"/>
              <w:rPr>
                <w:lang w:val="en-US"/>
              </w:rPr>
            </w:pPr>
            <w:r w:rsidRPr="00BB0C25">
              <w:rPr>
                <w:lang w:val="en-US"/>
              </w:rPr>
              <w:t>FSS1</w:t>
            </w:r>
          </w:p>
        </w:tc>
        <w:tc>
          <w:tcPr>
            <w:tcW w:w="2523" w:type="dxa"/>
            <w:shd w:val="clear" w:color="auto" w:fill="auto"/>
            <w:vAlign w:val="center"/>
          </w:tcPr>
          <w:p w:rsidR="00CB7BC1" w:rsidRPr="00BB0C25" w:rsidRDefault="00CB7BC1" w:rsidP="00E642A4">
            <w:pPr>
              <w:pStyle w:val="Tabletext"/>
              <w:jc w:val="center"/>
              <w:rPr>
                <w:lang w:val="en-US"/>
              </w:rPr>
            </w:pPr>
            <w:r w:rsidRPr="00BB0C25">
              <w:rPr>
                <w:lang w:val="en-US"/>
              </w:rPr>
              <w:t>–54.04</w:t>
            </w:r>
          </w:p>
        </w:tc>
        <w:tc>
          <w:tcPr>
            <w:tcW w:w="2887" w:type="dxa"/>
            <w:shd w:val="clear" w:color="auto" w:fill="auto"/>
            <w:vAlign w:val="bottom"/>
          </w:tcPr>
          <w:p w:rsidR="00CB7BC1" w:rsidRPr="00BB0C25" w:rsidRDefault="00CB7BC1" w:rsidP="00E642A4">
            <w:pPr>
              <w:pStyle w:val="Tabletext"/>
              <w:jc w:val="center"/>
              <w:rPr>
                <w:lang w:val="en-US"/>
              </w:rPr>
            </w:pPr>
            <w:r w:rsidRPr="00BB0C25">
              <w:rPr>
                <w:lang w:val="en-US"/>
              </w:rPr>
              <w:t>–9.89</w:t>
            </w:r>
          </w:p>
        </w:tc>
      </w:tr>
      <w:tr w:rsidR="00CB7BC1" w:rsidRPr="00BB0C25" w:rsidTr="00E642A4">
        <w:trPr>
          <w:cantSplit/>
          <w:jc w:val="center"/>
        </w:trPr>
        <w:tc>
          <w:tcPr>
            <w:tcW w:w="2248" w:type="dxa"/>
            <w:vMerge/>
            <w:shd w:val="clear" w:color="auto" w:fill="auto"/>
          </w:tcPr>
          <w:p w:rsidR="00CB7BC1" w:rsidRPr="00BB0C25" w:rsidRDefault="00CB7BC1" w:rsidP="00E642A4">
            <w:pPr>
              <w:pStyle w:val="Tabletext"/>
            </w:pPr>
          </w:p>
        </w:tc>
        <w:tc>
          <w:tcPr>
            <w:tcW w:w="1978" w:type="dxa"/>
          </w:tcPr>
          <w:p w:rsidR="00CB7BC1" w:rsidRPr="00BB0C25" w:rsidRDefault="00CB7BC1" w:rsidP="00E642A4">
            <w:pPr>
              <w:pStyle w:val="Tabletext"/>
              <w:jc w:val="center"/>
            </w:pPr>
            <w:r w:rsidRPr="00BB0C25">
              <w:t>FSS2</w:t>
            </w:r>
          </w:p>
        </w:tc>
        <w:tc>
          <w:tcPr>
            <w:tcW w:w="2523" w:type="dxa"/>
            <w:shd w:val="clear" w:color="auto" w:fill="auto"/>
            <w:vAlign w:val="center"/>
          </w:tcPr>
          <w:p w:rsidR="00CB7BC1" w:rsidRPr="00BB0C25" w:rsidRDefault="00CB7BC1" w:rsidP="00E642A4">
            <w:pPr>
              <w:pStyle w:val="Tabletext"/>
              <w:jc w:val="center"/>
            </w:pPr>
            <w:r w:rsidRPr="00BB0C25">
              <w:rPr>
                <w:lang w:val="en-US"/>
              </w:rPr>
              <w:t>–</w:t>
            </w:r>
            <w:r w:rsidRPr="00BB0C25">
              <w:t>54.42</w:t>
            </w:r>
          </w:p>
        </w:tc>
        <w:tc>
          <w:tcPr>
            <w:tcW w:w="2887" w:type="dxa"/>
            <w:shd w:val="clear" w:color="auto" w:fill="auto"/>
            <w:vAlign w:val="bottom"/>
          </w:tcPr>
          <w:p w:rsidR="00CB7BC1" w:rsidRPr="00BB0C25" w:rsidRDefault="00CB7BC1" w:rsidP="00E642A4">
            <w:pPr>
              <w:pStyle w:val="Tabletext"/>
              <w:jc w:val="center"/>
            </w:pPr>
            <w:r w:rsidRPr="00BB0C25">
              <w:rPr>
                <w:lang w:val="en-US"/>
              </w:rPr>
              <w:t>–</w:t>
            </w:r>
            <w:r w:rsidRPr="00BB0C25">
              <w:t>8.42</w:t>
            </w:r>
          </w:p>
        </w:tc>
      </w:tr>
      <w:tr w:rsidR="00CB7BC1" w:rsidRPr="00BB0C25" w:rsidTr="00E642A4">
        <w:trPr>
          <w:cantSplit/>
          <w:jc w:val="center"/>
        </w:trPr>
        <w:tc>
          <w:tcPr>
            <w:tcW w:w="2248" w:type="dxa"/>
            <w:vMerge/>
            <w:shd w:val="clear" w:color="auto" w:fill="auto"/>
          </w:tcPr>
          <w:p w:rsidR="00CB7BC1" w:rsidRPr="00BB0C25" w:rsidRDefault="00CB7BC1" w:rsidP="00E642A4">
            <w:pPr>
              <w:pStyle w:val="Tabletext"/>
            </w:pPr>
          </w:p>
        </w:tc>
        <w:tc>
          <w:tcPr>
            <w:tcW w:w="1978" w:type="dxa"/>
          </w:tcPr>
          <w:p w:rsidR="00CB7BC1" w:rsidRPr="00BB0C25" w:rsidRDefault="00CB7BC1" w:rsidP="00E642A4">
            <w:pPr>
              <w:pStyle w:val="Tabletext"/>
              <w:jc w:val="center"/>
            </w:pPr>
            <w:r w:rsidRPr="00BB0C25">
              <w:t>Combined</w:t>
            </w:r>
          </w:p>
        </w:tc>
        <w:tc>
          <w:tcPr>
            <w:tcW w:w="2523" w:type="dxa"/>
            <w:shd w:val="clear" w:color="auto" w:fill="auto"/>
            <w:vAlign w:val="center"/>
          </w:tcPr>
          <w:p w:rsidR="00CB7BC1" w:rsidRPr="00BB0C25" w:rsidRDefault="00CB7BC1" w:rsidP="00E642A4">
            <w:pPr>
              <w:pStyle w:val="Tabletext"/>
              <w:jc w:val="center"/>
            </w:pPr>
            <w:r w:rsidRPr="00BB0C25">
              <w:rPr>
                <w:lang w:val="en-US"/>
              </w:rPr>
              <w:t>–</w:t>
            </w:r>
            <w:r w:rsidRPr="00BB0C25">
              <w:t>54.19</w:t>
            </w:r>
          </w:p>
        </w:tc>
        <w:tc>
          <w:tcPr>
            <w:tcW w:w="2887" w:type="dxa"/>
            <w:shd w:val="clear" w:color="auto" w:fill="auto"/>
            <w:vAlign w:val="bottom"/>
          </w:tcPr>
          <w:p w:rsidR="00CB7BC1" w:rsidRPr="00BB0C25" w:rsidRDefault="00CB7BC1" w:rsidP="00E642A4">
            <w:pPr>
              <w:pStyle w:val="Tabletext"/>
              <w:jc w:val="center"/>
            </w:pPr>
            <w:r w:rsidRPr="00BB0C25">
              <w:rPr>
                <w:lang w:val="en-US"/>
              </w:rPr>
              <w:t>–</w:t>
            </w:r>
            <w:r w:rsidRPr="00BB0C25">
              <w:t>9.23</w:t>
            </w:r>
          </w:p>
        </w:tc>
      </w:tr>
      <w:tr w:rsidR="00CB7BC1" w:rsidRPr="00BB0C25" w:rsidTr="00E642A4">
        <w:trPr>
          <w:cantSplit/>
          <w:jc w:val="center"/>
        </w:trPr>
        <w:tc>
          <w:tcPr>
            <w:tcW w:w="2248" w:type="dxa"/>
            <w:vMerge w:val="restart"/>
            <w:shd w:val="clear" w:color="auto" w:fill="auto"/>
          </w:tcPr>
          <w:p w:rsidR="00CB7BC1" w:rsidRPr="00BB0C25" w:rsidRDefault="00CB7BC1" w:rsidP="00E642A4">
            <w:pPr>
              <w:pStyle w:val="Tabletext"/>
            </w:pPr>
            <w:r w:rsidRPr="00BB0C25">
              <w:t>Wideband</w:t>
            </w:r>
          </w:p>
        </w:tc>
        <w:tc>
          <w:tcPr>
            <w:tcW w:w="1978" w:type="dxa"/>
          </w:tcPr>
          <w:p w:rsidR="00CB7BC1" w:rsidRPr="00BB0C25" w:rsidRDefault="00CB7BC1" w:rsidP="00E642A4">
            <w:pPr>
              <w:pStyle w:val="Tabletext"/>
              <w:jc w:val="center"/>
            </w:pPr>
            <w:r w:rsidRPr="00BB0C25">
              <w:t>FSS1</w:t>
            </w:r>
          </w:p>
        </w:tc>
        <w:tc>
          <w:tcPr>
            <w:tcW w:w="2523" w:type="dxa"/>
            <w:shd w:val="clear" w:color="auto" w:fill="auto"/>
            <w:vAlign w:val="center"/>
          </w:tcPr>
          <w:p w:rsidR="00CB7BC1" w:rsidRPr="00BB0C25" w:rsidRDefault="00CB7BC1" w:rsidP="00E642A4">
            <w:pPr>
              <w:pStyle w:val="Tabletext"/>
              <w:jc w:val="center"/>
            </w:pPr>
            <w:r w:rsidRPr="00BB0C25">
              <w:rPr>
                <w:lang w:val="en-US"/>
              </w:rPr>
              <w:t>–</w:t>
            </w:r>
            <w:r w:rsidRPr="00BB0C25">
              <w:t>56.48</w:t>
            </w:r>
          </w:p>
        </w:tc>
        <w:tc>
          <w:tcPr>
            <w:tcW w:w="2887" w:type="dxa"/>
            <w:shd w:val="clear" w:color="auto" w:fill="auto"/>
            <w:vAlign w:val="center"/>
          </w:tcPr>
          <w:p w:rsidR="00CB7BC1" w:rsidRPr="00BB0C25" w:rsidRDefault="00CB7BC1" w:rsidP="00E642A4">
            <w:pPr>
              <w:pStyle w:val="Tabletext"/>
              <w:jc w:val="center"/>
            </w:pPr>
            <w:r w:rsidRPr="00BB0C25">
              <w:rPr>
                <w:lang w:val="en-US"/>
              </w:rPr>
              <w:t>–</w:t>
            </w:r>
            <w:r w:rsidRPr="00BB0C25">
              <w:t>4.45</w:t>
            </w:r>
          </w:p>
        </w:tc>
      </w:tr>
      <w:tr w:rsidR="00CB7BC1" w:rsidRPr="00BB0C25" w:rsidTr="00E642A4">
        <w:trPr>
          <w:cantSplit/>
          <w:jc w:val="center"/>
        </w:trPr>
        <w:tc>
          <w:tcPr>
            <w:tcW w:w="2248" w:type="dxa"/>
            <w:vMerge/>
            <w:shd w:val="clear" w:color="auto" w:fill="auto"/>
          </w:tcPr>
          <w:p w:rsidR="00CB7BC1" w:rsidRPr="00BB0C25" w:rsidRDefault="00CB7BC1" w:rsidP="00E642A4">
            <w:pPr>
              <w:pStyle w:val="Tabletext"/>
            </w:pPr>
          </w:p>
        </w:tc>
        <w:tc>
          <w:tcPr>
            <w:tcW w:w="1978" w:type="dxa"/>
          </w:tcPr>
          <w:p w:rsidR="00CB7BC1" w:rsidRPr="00BB0C25" w:rsidRDefault="00CB7BC1" w:rsidP="00E642A4">
            <w:pPr>
              <w:pStyle w:val="Tabletext"/>
              <w:jc w:val="center"/>
            </w:pPr>
            <w:r w:rsidRPr="00BB0C25">
              <w:t>FSS2</w:t>
            </w:r>
          </w:p>
        </w:tc>
        <w:tc>
          <w:tcPr>
            <w:tcW w:w="2523" w:type="dxa"/>
            <w:shd w:val="clear" w:color="auto" w:fill="auto"/>
            <w:vAlign w:val="center"/>
          </w:tcPr>
          <w:p w:rsidR="00CB7BC1" w:rsidRPr="00BB0C25" w:rsidRDefault="00CB7BC1" w:rsidP="00E642A4">
            <w:pPr>
              <w:pStyle w:val="Tabletext"/>
              <w:jc w:val="center"/>
            </w:pPr>
            <w:r w:rsidRPr="00BB0C25">
              <w:rPr>
                <w:lang w:val="en-US"/>
              </w:rPr>
              <w:t>–</w:t>
            </w:r>
            <w:r w:rsidRPr="00BB0C25">
              <w:t>56.40</w:t>
            </w:r>
          </w:p>
        </w:tc>
        <w:tc>
          <w:tcPr>
            <w:tcW w:w="2887" w:type="dxa"/>
            <w:shd w:val="clear" w:color="auto" w:fill="auto"/>
            <w:vAlign w:val="center"/>
          </w:tcPr>
          <w:p w:rsidR="00CB7BC1" w:rsidRPr="00BB0C25" w:rsidRDefault="00CB7BC1" w:rsidP="00E642A4">
            <w:pPr>
              <w:pStyle w:val="Tabletext"/>
              <w:jc w:val="center"/>
            </w:pPr>
            <w:r w:rsidRPr="00BB0C25">
              <w:rPr>
                <w:lang w:val="en-US"/>
              </w:rPr>
              <w:t>–</w:t>
            </w:r>
            <w:r w:rsidRPr="00BB0C25">
              <w:t>2.64</w:t>
            </w:r>
          </w:p>
        </w:tc>
      </w:tr>
      <w:tr w:rsidR="00CB7BC1" w:rsidRPr="00BB0C25" w:rsidTr="00E642A4">
        <w:trPr>
          <w:cantSplit/>
          <w:jc w:val="center"/>
        </w:trPr>
        <w:tc>
          <w:tcPr>
            <w:tcW w:w="2248" w:type="dxa"/>
            <w:vMerge/>
            <w:shd w:val="clear" w:color="auto" w:fill="auto"/>
          </w:tcPr>
          <w:p w:rsidR="00CB7BC1" w:rsidRPr="00BB0C25" w:rsidRDefault="00CB7BC1" w:rsidP="00E642A4">
            <w:pPr>
              <w:pStyle w:val="Tabletext"/>
            </w:pPr>
          </w:p>
        </w:tc>
        <w:tc>
          <w:tcPr>
            <w:tcW w:w="1978" w:type="dxa"/>
          </w:tcPr>
          <w:p w:rsidR="00CB7BC1" w:rsidRPr="00BB0C25" w:rsidRDefault="00CB7BC1" w:rsidP="00E642A4">
            <w:pPr>
              <w:pStyle w:val="Tabletext"/>
              <w:jc w:val="center"/>
            </w:pPr>
            <w:r w:rsidRPr="00BB0C25">
              <w:t>Combined</w:t>
            </w:r>
          </w:p>
        </w:tc>
        <w:tc>
          <w:tcPr>
            <w:tcW w:w="2523" w:type="dxa"/>
            <w:shd w:val="clear" w:color="auto" w:fill="auto"/>
            <w:vAlign w:val="center"/>
          </w:tcPr>
          <w:p w:rsidR="00CB7BC1" w:rsidRPr="00BB0C25" w:rsidRDefault="00CB7BC1" w:rsidP="00E642A4">
            <w:pPr>
              <w:pStyle w:val="Tabletext"/>
              <w:jc w:val="center"/>
            </w:pPr>
            <w:r w:rsidRPr="00BB0C25">
              <w:rPr>
                <w:lang w:val="en-US"/>
              </w:rPr>
              <w:t>–</w:t>
            </w:r>
            <w:r w:rsidRPr="00BB0C25">
              <w:t>56.43</w:t>
            </w:r>
          </w:p>
        </w:tc>
        <w:tc>
          <w:tcPr>
            <w:tcW w:w="2887" w:type="dxa"/>
            <w:shd w:val="clear" w:color="auto" w:fill="auto"/>
            <w:vAlign w:val="center"/>
          </w:tcPr>
          <w:p w:rsidR="00CB7BC1" w:rsidRPr="00BB0C25" w:rsidRDefault="00CB7BC1" w:rsidP="00E642A4">
            <w:pPr>
              <w:pStyle w:val="Tabletext"/>
              <w:jc w:val="center"/>
            </w:pPr>
            <w:r w:rsidRPr="00BB0C25">
              <w:rPr>
                <w:lang w:val="en-US"/>
              </w:rPr>
              <w:t>–</w:t>
            </w:r>
            <w:r w:rsidRPr="00BB0C25">
              <w:t>3.40</w:t>
            </w:r>
          </w:p>
        </w:tc>
      </w:tr>
      <w:tr w:rsidR="00CB7BC1" w:rsidRPr="00BB0C25" w:rsidTr="00E642A4">
        <w:trPr>
          <w:cantSplit/>
          <w:jc w:val="center"/>
        </w:trPr>
        <w:tc>
          <w:tcPr>
            <w:tcW w:w="2248" w:type="dxa"/>
            <w:vMerge w:val="restart"/>
            <w:shd w:val="clear" w:color="auto" w:fill="auto"/>
          </w:tcPr>
          <w:p w:rsidR="00CB7BC1" w:rsidRPr="00BB0C25" w:rsidRDefault="00CB7BC1" w:rsidP="00E642A4">
            <w:pPr>
              <w:pStyle w:val="Tabletext"/>
            </w:pPr>
            <w:r w:rsidRPr="00BB0C25">
              <w:t>Point-to-</w:t>
            </w:r>
            <w:r>
              <w:t>P</w:t>
            </w:r>
            <w:r w:rsidRPr="00BB0C25">
              <w:t>oint</w:t>
            </w:r>
          </w:p>
        </w:tc>
        <w:tc>
          <w:tcPr>
            <w:tcW w:w="1978" w:type="dxa"/>
          </w:tcPr>
          <w:p w:rsidR="00CB7BC1" w:rsidRPr="00BB0C25" w:rsidRDefault="00CB7BC1" w:rsidP="00E642A4">
            <w:pPr>
              <w:pStyle w:val="Tabletext"/>
              <w:jc w:val="center"/>
            </w:pPr>
            <w:r w:rsidRPr="00BB0C25">
              <w:t>FSS1</w:t>
            </w:r>
          </w:p>
        </w:tc>
        <w:tc>
          <w:tcPr>
            <w:tcW w:w="2523" w:type="dxa"/>
            <w:shd w:val="clear" w:color="auto" w:fill="auto"/>
            <w:vAlign w:val="center"/>
          </w:tcPr>
          <w:p w:rsidR="00CB7BC1" w:rsidRPr="00BB0C25" w:rsidRDefault="00CB7BC1" w:rsidP="00E642A4">
            <w:pPr>
              <w:pStyle w:val="Tabletext"/>
              <w:jc w:val="center"/>
            </w:pPr>
            <w:r w:rsidRPr="00BB0C25">
              <w:rPr>
                <w:lang w:val="en-US"/>
              </w:rPr>
              <w:t>–</w:t>
            </w:r>
            <w:r w:rsidRPr="00BB0C25">
              <w:t>57.19</w:t>
            </w:r>
          </w:p>
        </w:tc>
        <w:tc>
          <w:tcPr>
            <w:tcW w:w="2887" w:type="dxa"/>
            <w:shd w:val="clear" w:color="auto" w:fill="auto"/>
            <w:vAlign w:val="center"/>
          </w:tcPr>
          <w:p w:rsidR="00CB7BC1" w:rsidRPr="00BB0C25" w:rsidRDefault="00CB7BC1" w:rsidP="00E642A4">
            <w:pPr>
              <w:pStyle w:val="Tabletext"/>
              <w:jc w:val="center"/>
            </w:pPr>
            <w:r w:rsidRPr="00BB0C25">
              <w:rPr>
                <w:lang w:val="en-US"/>
              </w:rPr>
              <w:t>–</w:t>
            </w:r>
            <w:r w:rsidRPr="00BB0C25">
              <w:t>5.68</w:t>
            </w:r>
          </w:p>
        </w:tc>
      </w:tr>
      <w:tr w:rsidR="00CB7BC1" w:rsidRPr="00BB0C25" w:rsidTr="00E642A4">
        <w:trPr>
          <w:cantSplit/>
          <w:jc w:val="center"/>
        </w:trPr>
        <w:tc>
          <w:tcPr>
            <w:tcW w:w="2248" w:type="dxa"/>
            <w:vMerge/>
            <w:shd w:val="clear" w:color="auto" w:fill="auto"/>
          </w:tcPr>
          <w:p w:rsidR="00CB7BC1" w:rsidRPr="00BB0C25" w:rsidRDefault="00CB7BC1" w:rsidP="00E642A4">
            <w:pPr>
              <w:pStyle w:val="Tabletext"/>
            </w:pPr>
          </w:p>
        </w:tc>
        <w:tc>
          <w:tcPr>
            <w:tcW w:w="1978" w:type="dxa"/>
          </w:tcPr>
          <w:p w:rsidR="00CB7BC1" w:rsidRPr="00BB0C25" w:rsidRDefault="00CB7BC1" w:rsidP="00E642A4">
            <w:pPr>
              <w:pStyle w:val="Tabletext"/>
              <w:jc w:val="center"/>
            </w:pPr>
            <w:r w:rsidRPr="00BB0C25">
              <w:t>FSS2</w:t>
            </w:r>
          </w:p>
        </w:tc>
        <w:tc>
          <w:tcPr>
            <w:tcW w:w="2523" w:type="dxa"/>
            <w:shd w:val="clear" w:color="auto" w:fill="auto"/>
            <w:vAlign w:val="center"/>
          </w:tcPr>
          <w:p w:rsidR="00CB7BC1" w:rsidRPr="00BB0C25" w:rsidRDefault="00CB7BC1" w:rsidP="00E642A4">
            <w:pPr>
              <w:pStyle w:val="Tabletext"/>
              <w:jc w:val="center"/>
            </w:pPr>
            <w:r w:rsidRPr="00BB0C25">
              <w:rPr>
                <w:lang w:val="en-US"/>
              </w:rPr>
              <w:t>–</w:t>
            </w:r>
            <w:r w:rsidRPr="00BB0C25">
              <w:t>60.01</w:t>
            </w:r>
          </w:p>
        </w:tc>
        <w:tc>
          <w:tcPr>
            <w:tcW w:w="2887" w:type="dxa"/>
            <w:shd w:val="clear" w:color="auto" w:fill="auto"/>
            <w:vAlign w:val="center"/>
          </w:tcPr>
          <w:p w:rsidR="00CB7BC1" w:rsidRPr="00BB0C25" w:rsidRDefault="00CB7BC1" w:rsidP="00E642A4">
            <w:pPr>
              <w:pStyle w:val="Tabletext"/>
              <w:jc w:val="center"/>
            </w:pPr>
            <w:r w:rsidRPr="00BB0C25">
              <w:rPr>
                <w:lang w:val="en-US"/>
              </w:rPr>
              <w:t>–</w:t>
            </w:r>
            <w:r w:rsidRPr="00BB0C25">
              <w:t>4.82</w:t>
            </w:r>
          </w:p>
        </w:tc>
      </w:tr>
      <w:tr w:rsidR="00CB7BC1" w:rsidRPr="00BB0C25" w:rsidTr="00E642A4">
        <w:trPr>
          <w:cantSplit/>
          <w:jc w:val="center"/>
        </w:trPr>
        <w:tc>
          <w:tcPr>
            <w:tcW w:w="2248" w:type="dxa"/>
            <w:vMerge/>
            <w:shd w:val="clear" w:color="auto" w:fill="auto"/>
          </w:tcPr>
          <w:p w:rsidR="00CB7BC1" w:rsidRPr="00BB0C25" w:rsidRDefault="00CB7BC1" w:rsidP="00E642A4">
            <w:pPr>
              <w:pStyle w:val="Tabletext"/>
            </w:pPr>
          </w:p>
        </w:tc>
        <w:tc>
          <w:tcPr>
            <w:tcW w:w="1978" w:type="dxa"/>
          </w:tcPr>
          <w:p w:rsidR="00CB7BC1" w:rsidRPr="00BB0C25" w:rsidRDefault="00CB7BC1" w:rsidP="00E642A4">
            <w:pPr>
              <w:pStyle w:val="Tabletext"/>
              <w:jc w:val="center"/>
            </w:pPr>
            <w:r w:rsidRPr="00BB0C25">
              <w:t>Combined</w:t>
            </w:r>
          </w:p>
        </w:tc>
        <w:tc>
          <w:tcPr>
            <w:tcW w:w="2523" w:type="dxa"/>
            <w:shd w:val="clear" w:color="auto" w:fill="auto"/>
            <w:vAlign w:val="center"/>
          </w:tcPr>
          <w:p w:rsidR="00CB7BC1" w:rsidRPr="00BB0C25" w:rsidRDefault="00CB7BC1" w:rsidP="00E642A4">
            <w:pPr>
              <w:pStyle w:val="Tabletext"/>
              <w:jc w:val="center"/>
            </w:pPr>
            <w:r w:rsidRPr="00BB0C25">
              <w:rPr>
                <w:lang w:val="en-US"/>
              </w:rPr>
              <w:t>–</w:t>
            </w:r>
            <w:r w:rsidRPr="00BB0C25">
              <w:t>57.52</w:t>
            </w:r>
          </w:p>
        </w:tc>
        <w:tc>
          <w:tcPr>
            <w:tcW w:w="2887" w:type="dxa"/>
            <w:shd w:val="clear" w:color="auto" w:fill="auto"/>
            <w:vAlign w:val="center"/>
          </w:tcPr>
          <w:p w:rsidR="00CB7BC1" w:rsidRPr="00BB0C25" w:rsidRDefault="00CB7BC1" w:rsidP="00E642A4">
            <w:pPr>
              <w:pStyle w:val="Tabletext"/>
              <w:jc w:val="center"/>
            </w:pPr>
            <w:r w:rsidRPr="00BB0C25">
              <w:rPr>
                <w:lang w:val="en-US"/>
              </w:rPr>
              <w:t>–</w:t>
            </w:r>
            <w:r w:rsidRPr="00BB0C25">
              <w:t>5.62</w:t>
            </w:r>
          </w:p>
        </w:tc>
      </w:tr>
    </w:tbl>
    <w:p w:rsidR="00E642A4" w:rsidRDefault="00E642A4" w:rsidP="00E642A4">
      <w:pPr>
        <w:pStyle w:val="Tablefin"/>
      </w:pPr>
    </w:p>
    <w:p w:rsidR="00CB7BC1" w:rsidRPr="00BB0C25" w:rsidRDefault="00CB7BC1" w:rsidP="00E642A4">
      <w:pPr>
        <w:pStyle w:val="FigureNo"/>
      </w:pPr>
      <w:r w:rsidRPr="00BB0C25">
        <w:t xml:space="preserve">Figure </w:t>
      </w:r>
      <w:r>
        <w:t>2</w:t>
      </w:r>
    </w:p>
    <w:p w:rsidR="00CB7BC1" w:rsidRPr="00BB0C25" w:rsidRDefault="00CB7BC1" w:rsidP="00E642A4">
      <w:pPr>
        <w:pStyle w:val="Figuretitle"/>
      </w:pPr>
      <w:r w:rsidRPr="00BB0C25">
        <w:t>VSAT e.i.r.p. density cumulative distribution</w:t>
      </w:r>
    </w:p>
    <w:p w:rsidR="00CB7BC1" w:rsidRPr="00BB0C25" w:rsidRDefault="00CB33DA" w:rsidP="00E642A4">
      <w:pPr>
        <w:pStyle w:val="Figure"/>
      </w:pPr>
      <w:r>
        <w:object w:dxaOrig="4895" w:dyaOrig="4188">
          <v:shape id="_x0000_i1027" type="#_x0000_t75" style="width:244.7pt;height:209.35pt" o:ole="">
            <v:imagedata r:id="rId15" o:title=""/>
          </v:shape>
          <o:OLEObject Type="Embed" ProgID="CorelDraw.Graphic.16" ShapeID="_x0000_i1027" DrawAspect="Content" ObjectID="_1503490735" r:id="rId16"/>
        </w:object>
      </w:r>
    </w:p>
    <w:p w:rsidR="00CB7BC1" w:rsidRPr="00B04D4C" w:rsidRDefault="00CB7BC1" w:rsidP="00E642A4">
      <w:pPr>
        <w:pStyle w:val="FigureNo"/>
        <w:rPr>
          <w:lang w:val="en-US"/>
        </w:rPr>
      </w:pPr>
      <w:r w:rsidRPr="00B04D4C">
        <w:rPr>
          <w:lang w:val="en-US"/>
        </w:rPr>
        <w:lastRenderedPageBreak/>
        <w:t>Figure 3</w:t>
      </w:r>
    </w:p>
    <w:p w:rsidR="00CB7BC1" w:rsidRPr="00B04D4C" w:rsidRDefault="00CB7BC1" w:rsidP="00E642A4">
      <w:pPr>
        <w:pStyle w:val="Figuretitle"/>
        <w:rPr>
          <w:lang w:val="en-US"/>
        </w:rPr>
      </w:pPr>
      <w:r w:rsidRPr="00B04D4C">
        <w:rPr>
          <w:lang w:val="en-US"/>
        </w:rPr>
        <w:t>VSAT power spectral density cumulative distribution</w:t>
      </w:r>
    </w:p>
    <w:p w:rsidR="00CB7BC1" w:rsidRPr="00E642A4" w:rsidRDefault="00CB33DA" w:rsidP="00E642A4">
      <w:pPr>
        <w:pStyle w:val="Figure"/>
        <w:rPr>
          <w:noProof/>
          <w:lang w:val="en-US" w:eastAsia="zh-CN"/>
        </w:rPr>
      </w:pPr>
      <w:r>
        <w:object w:dxaOrig="4893" w:dyaOrig="4188">
          <v:shape id="_x0000_i1028" type="#_x0000_t75" style="width:244.7pt;height:209.35pt" o:ole="">
            <v:imagedata r:id="rId17" o:title=""/>
          </v:shape>
          <o:OLEObject Type="Embed" ProgID="CorelDraw.Graphic.16" ShapeID="_x0000_i1028" DrawAspect="Content" ObjectID="_1503490736" r:id="rId18"/>
        </w:object>
      </w:r>
    </w:p>
    <w:p w:rsidR="00CB7BC1" w:rsidRPr="00B04D4C" w:rsidRDefault="00CB7BC1" w:rsidP="00E642A4">
      <w:pPr>
        <w:pStyle w:val="FigureNo"/>
        <w:rPr>
          <w:lang w:val="en-US"/>
        </w:rPr>
      </w:pPr>
      <w:r w:rsidRPr="00B04D4C">
        <w:rPr>
          <w:lang w:val="en-US"/>
        </w:rPr>
        <w:t>Figure 4</w:t>
      </w:r>
    </w:p>
    <w:p w:rsidR="00CB7BC1" w:rsidRPr="00B04D4C" w:rsidRDefault="00CB7BC1" w:rsidP="00E642A4">
      <w:pPr>
        <w:pStyle w:val="Figuretitle"/>
        <w:rPr>
          <w:lang w:val="en-US"/>
        </w:rPr>
      </w:pPr>
      <w:r w:rsidRPr="00B04D4C">
        <w:rPr>
          <w:lang w:val="en-US"/>
        </w:rPr>
        <w:t>Wideband e.i.r.p. density cumulative distribution</w:t>
      </w:r>
    </w:p>
    <w:p w:rsidR="00CB7BC1" w:rsidRPr="00E642A4" w:rsidRDefault="00CB33DA" w:rsidP="00E642A4">
      <w:pPr>
        <w:pStyle w:val="Figure"/>
        <w:rPr>
          <w:noProof/>
          <w:lang w:val="en-US" w:eastAsia="zh-CN"/>
        </w:rPr>
      </w:pPr>
      <w:r>
        <w:object w:dxaOrig="4897" w:dyaOrig="4188">
          <v:shape id="_x0000_i1029" type="#_x0000_t75" style="width:244.7pt;height:209.35pt" o:ole="">
            <v:imagedata r:id="rId19" o:title=""/>
          </v:shape>
          <o:OLEObject Type="Embed" ProgID="CorelDraw.Graphic.16" ShapeID="_x0000_i1029" DrawAspect="Content" ObjectID="_1503490737" r:id="rId20"/>
        </w:object>
      </w:r>
    </w:p>
    <w:p w:rsidR="00CB7BC1" w:rsidRPr="00B04D4C" w:rsidRDefault="00CB7BC1" w:rsidP="00E642A4">
      <w:pPr>
        <w:pStyle w:val="FigureNo"/>
        <w:rPr>
          <w:lang w:val="en-US"/>
        </w:rPr>
      </w:pPr>
      <w:r w:rsidRPr="00B04D4C">
        <w:rPr>
          <w:lang w:val="en-US"/>
        </w:rPr>
        <w:lastRenderedPageBreak/>
        <w:t>Figure 5</w:t>
      </w:r>
    </w:p>
    <w:p w:rsidR="00CB7BC1" w:rsidRPr="00B04D4C" w:rsidRDefault="00CB7BC1" w:rsidP="00E642A4">
      <w:pPr>
        <w:pStyle w:val="Figuretitle"/>
        <w:rPr>
          <w:lang w:val="en-US"/>
        </w:rPr>
      </w:pPr>
      <w:r w:rsidRPr="00B04D4C">
        <w:rPr>
          <w:lang w:val="en-US"/>
        </w:rPr>
        <w:t>Wideband power spectral density cumulative distribution</w:t>
      </w:r>
    </w:p>
    <w:p w:rsidR="00CB7BC1" w:rsidRPr="00E642A4" w:rsidRDefault="00CB33DA" w:rsidP="00E642A4">
      <w:pPr>
        <w:pStyle w:val="Figure"/>
        <w:rPr>
          <w:noProof/>
          <w:lang w:val="en-US" w:eastAsia="zh-CN"/>
        </w:rPr>
      </w:pPr>
      <w:r>
        <w:object w:dxaOrig="4899" w:dyaOrig="4233">
          <v:shape id="_x0000_i1030" type="#_x0000_t75" style="width:245.15pt;height:211.6pt" o:ole="">
            <v:imagedata r:id="rId21" o:title=""/>
          </v:shape>
          <o:OLEObject Type="Embed" ProgID="CorelDraw.Graphic.16" ShapeID="_x0000_i1030" DrawAspect="Content" ObjectID="_1503490738" r:id="rId22"/>
        </w:object>
      </w:r>
    </w:p>
    <w:p w:rsidR="00CB7BC1" w:rsidRPr="00E642A4" w:rsidRDefault="00CB7BC1" w:rsidP="00E642A4">
      <w:pPr>
        <w:pStyle w:val="FigureNo"/>
      </w:pPr>
      <w:r w:rsidRPr="00E642A4">
        <w:t>Figure 6</w:t>
      </w:r>
    </w:p>
    <w:p w:rsidR="00CB7BC1" w:rsidRPr="00E642A4" w:rsidRDefault="00CB7BC1" w:rsidP="00E642A4">
      <w:pPr>
        <w:pStyle w:val="Figuretitle"/>
      </w:pPr>
      <w:r w:rsidRPr="00E642A4">
        <w:t>Point-to-Point e.i.r.p. density cumulative distribution</w:t>
      </w:r>
    </w:p>
    <w:p w:rsidR="00CB7BC1" w:rsidRPr="00E642A4" w:rsidRDefault="00CB33DA" w:rsidP="00E642A4">
      <w:pPr>
        <w:pStyle w:val="Figure"/>
        <w:rPr>
          <w:noProof/>
          <w:lang w:val="en-US" w:eastAsia="zh-CN"/>
        </w:rPr>
      </w:pPr>
      <w:r>
        <w:object w:dxaOrig="4853" w:dyaOrig="4228">
          <v:shape id="_x0000_i1031" type="#_x0000_t75" style="width:242.5pt;height:211.6pt" o:ole="">
            <v:imagedata r:id="rId23" o:title=""/>
          </v:shape>
          <o:OLEObject Type="Embed" ProgID="CorelDraw.Graphic.16" ShapeID="_x0000_i1031" DrawAspect="Content" ObjectID="_1503490739" r:id="rId24"/>
        </w:object>
      </w:r>
    </w:p>
    <w:p w:rsidR="00CB7BC1" w:rsidRPr="00B04D4C" w:rsidRDefault="00CB7BC1" w:rsidP="00E642A4">
      <w:pPr>
        <w:pStyle w:val="FigureNo"/>
        <w:rPr>
          <w:lang w:val="en-US"/>
        </w:rPr>
      </w:pPr>
      <w:r w:rsidRPr="00B04D4C">
        <w:rPr>
          <w:lang w:val="en-US"/>
        </w:rPr>
        <w:lastRenderedPageBreak/>
        <w:t>Figure 7</w:t>
      </w:r>
    </w:p>
    <w:p w:rsidR="00CB7BC1" w:rsidRPr="00B04D4C" w:rsidRDefault="00CB7BC1" w:rsidP="00E642A4">
      <w:pPr>
        <w:pStyle w:val="Figuretitle"/>
        <w:rPr>
          <w:lang w:val="en-US"/>
        </w:rPr>
      </w:pPr>
      <w:r w:rsidRPr="00B04D4C">
        <w:rPr>
          <w:lang w:val="en-US"/>
        </w:rPr>
        <w:t>Point-to-Point power spectral density cumulative distribution</w:t>
      </w:r>
    </w:p>
    <w:p w:rsidR="00CB7BC1" w:rsidRPr="00E642A4" w:rsidRDefault="00CB33DA" w:rsidP="00E642A4">
      <w:pPr>
        <w:pStyle w:val="Figure"/>
        <w:rPr>
          <w:noProof/>
          <w:lang w:val="en-US" w:eastAsia="zh-CN"/>
        </w:rPr>
      </w:pPr>
      <w:r>
        <w:object w:dxaOrig="4891" w:dyaOrig="4228">
          <v:shape id="_x0000_i1032" type="#_x0000_t75" style="width:244.7pt;height:211.6pt" o:ole="">
            <v:imagedata r:id="rId25" o:title=""/>
          </v:shape>
          <o:OLEObject Type="Embed" ProgID="CorelDraw.Graphic.16" ShapeID="_x0000_i1032" DrawAspect="Content" ObjectID="_1503490740" r:id="rId26"/>
        </w:object>
      </w:r>
    </w:p>
    <w:p w:rsidR="00CB7BC1" w:rsidRPr="005D24BE" w:rsidRDefault="00CB7BC1" w:rsidP="00F002C7">
      <w:pPr>
        <w:pStyle w:val="Heading2"/>
        <w:rPr>
          <w:lang w:val="en-US"/>
        </w:rPr>
      </w:pPr>
      <w:bookmarkStart w:id="22" w:name="_Toc428545738"/>
      <w:r w:rsidRPr="005D24BE">
        <w:rPr>
          <w:lang w:val="en-US"/>
        </w:rPr>
        <w:t>3.3</w:t>
      </w:r>
      <w:r w:rsidRPr="005D24BE">
        <w:rPr>
          <w:lang w:val="en-US"/>
        </w:rPr>
        <w:tab/>
        <w:t>Transmission bandwidth distribution</w:t>
      </w:r>
      <w:bookmarkEnd w:id="22"/>
    </w:p>
    <w:p w:rsidR="00CB7BC1" w:rsidRPr="00CB7BC1" w:rsidRDefault="00CB7BC1" w:rsidP="00CB7BC1">
      <w:pPr>
        <w:rPr>
          <w:lang w:val="en-US"/>
        </w:rPr>
      </w:pPr>
      <w:r w:rsidRPr="00CB7BC1">
        <w:rPr>
          <w:lang w:val="en-US"/>
        </w:rPr>
        <w:t>The transmission bandwidths to be assumed for the studies are an important consideration. The transmission allocated bandwidth characteristics are given below in Table 4. A channel is assigned an allocated bandwidth and this limits the number of carriers that can be used within a transponder. For example, depending on the application, a VSAT transmission type antenna could transmit a 64 or a 128 kbit/s information rate carrier with a total channel bandwidth of 112.5 kHz and 240 kHz, respectively. The numbers provided in Table 4 were provided by two FSS operators as being representative of the transmission allocated bandwidth by transmission type for their global networks. For dynamic simulations the following carrier bandwidth per transmission type can be used.</w:t>
      </w:r>
    </w:p>
    <w:p w:rsidR="00CB7BC1" w:rsidRPr="00BB0C25" w:rsidRDefault="00204982" w:rsidP="00204982">
      <w:pPr>
        <w:pStyle w:val="TableNo"/>
      </w:pPr>
      <w:r w:rsidRPr="00BB0C25">
        <w:t xml:space="preserve">TABLE </w:t>
      </w:r>
      <w:r w:rsidR="00CB7BC1" w:rsidRPr="00BB0C25">
        <w:t>4</w:t>
      </w:r>
    </w:p>
    <w:p w:rsidR="00CB7BC1" w:rsidRPr="00BB0C25" w:rsidRDefault="00CB7BC1" w:rsidP="00204982">
      <w:pPr>
        <w:pStyle w:val="Tabletitle"/>
      </w:pPr>
      <w:r w:rsidRPr="00BB0C25">
        <w:t xml:space="preserve">Transmission type and </w:t>
      </w:r>
      <w:r w:rsidRPr="006E7EE8">
        <w:t>bandwidth</w:t>
      </w:r>
      <w:r w:rsidRPr="00BB0C2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87"/>
        <w:gridCol w:w="998"/>
        <w:gridCol w:w="2110"/>
      </w:tblGrid>
      <w:tr w:rsidR="00CB7BC1" w:rsidRPr="00BB0C25" w:rsidTr="00CB7BC1">
        <w:trPr>
          <w:trHeight w:val="281"/>
          <w:jc w:val="center"/>
        </w:trPr>
        <w:tc>
          <w:tcPr>
            <w:tcW w:w="3125" w:type="dxa"/>
            <w:gridSpan w:val="2"/>
            <w:vMerge w:val="restart"/>
            <w:shd w:val="clear" w:color="auto" w:fill="auto"/>
            <w:vAlign w:val="center"/>
          </w:tcPr>
          <w:p w:rsidR="00CB7BC1" w:rsidRPr="00BB0C25" w:rsidRDefault="00CB7BC1" w:rsidP="00204982">
            <w:pPr>
              <w:pStyle w:val="Tablehead"/>
            </w:pPr>
            <w:r w:rsidRPr="00BB0C25">
              <w:t>Transmission type</w:t>
            </w:r>
          </w:p>
        </w:tc>
        <w:tc>
          <w:tcPr>
            <w:tcW w:w="0" w:type="auto"/>
            <w:gridSpan w:val="2"/>
            <w:shd w:val="clear" w:color="auto" w:fill="auto"/>
            <w:vAlign w:val="center"/>
          </w:tcPr>
          <w:p w:rsidR="00CB7BC1" w:rsidRPr="00BB0C25" w:rsidRDefault="00CB7BC1" w:rsidP="00204982">
            <w:pPr>
              <w:pStyle w:val="Tablehead"/>
            </w:pPr>
            <w:r w:rsidRPr="00BB0C25">
              <w:t>Bandwidth (MHz)</w:t>
            </w:r>
          </w:p>
        </w:tc>
      </w:tr>
      <w:tr w:rsidR="00CB7BC1" w:rsidRPr="00BB0C25" w:rsidTr="00CB7BC1">
        <w:trPr>
          <w:trHeight w:val="281"/>
          <w:jc w:val="center"/>
        </w:trPr>
        <w:tc>
          <w:tcPr>
            <w:tcW w:w="3125" w:type="dxa"/>
            <w:gridSpan w:val="2"/>
            <w:vMerge/>
            <w:shd w:val="clear" w:color="auto" w:fill="auto"/>
            <w:vAlign w:val="center"/>
          </w:tcPr>
          <w:p w:rsidR="00CB7BC1" w:rsidRPr="00BB0C25" w:rsidRDefault="00CB7BC1" w:rsidP="00204982">
            <w:pPr>
              <w:pStyle w:val="Tablehead"/>
            </w:pPr>
          </w:p>
        </w:tc>
        <w:tc>
          <w:tcPr>
            <w:tcW w:w="0" w:type="auto"/>
            <w:shd w:val="clear" w:color="auto" w:fill="auto"/>
            <w:vAlign w:val="center"/>
          </w:tcPr>
          <w:p w:rsidR="00CB7BC1" w:rsidRPr="00BB0C25" w:rsidRDefault="00CB7BC1" w:rsidP="00204982">
            <w:pPr>
              <w:pStyle w:val="Tablehead"/>
            </w:pPr>
            <w:r w:rsidRPr="00BB0C25">
              <w:t>Average</w:t>
            </w:r>
          </w:p>
        </w:tc>
        <w:tc>
          <w:tcPr>
            <w:tcW w:w="0" w:type="auto"/>
            <w:shd w:val="clear" w:color="auto" w:fill="auto"/>
            <w:vAlign w:val="center"/>
          </w:tcPr>
          <w:p w:rsidR="00CB7BC1" w:rsidRPr="00BB0C25" w:rsidRDefault="00CB7BC1" w:rsidP="00204982">
            <w:pPr>
              <w:pStyle w:val="Tablehead"/>
            </w:pPr>
            <w:r w:rsidRPr="00BB0C25">
              <w:t>Standard deviation</w:t>
            </w:r>
            <w:r w:rsidRPr="00BB0C25">
              <w:rPr>
                <w:position w:val="6"/>
                <w:sz w:val="18"/>
              </w:rPr>
              <w:footnoteReference w:id="9"/>
            </w:r>
          </w:p>
        </w:tc>
      </w:tr>
      <w:tr w:rsidR="00CB7BC1" w:rsidRPr="00BB0C25" w:rsidTr="00CB7BC1">
        <w:trPr>
          <w:trHeight w:val="281"/>
          <w:jc w:val="center"/>
        </w:trPr>
        <w:tc>
          <w:tcPr>
            <w:tcW w:w="1838" w:type="dxa"/>
            <w:vMerge w:val="restart"/>
            <w:shd w:val="clear" w:color="auto" w:fill="auto"/>
            <w:vAlign w:val="center"/>
          </w:tcPr>
          <w:p w:rsidR="00CB7BC1" w:rsidRPr="00BB0C25" w:rsidRDefault="00CB7BC1" w:rsidP="00204982">
            <w:pPr>
              <w:pStyle w:val="Tabletext"/>
            </w:pPr>
            <w:r w:rsidRPr="00BB0C25">
              <w:t>VSAT</w:t>
            </w:r>
          </w:p>
        </w:tc>
        <w:tc>
          <w:tcPr>
            <w:tcW w:w="1287" w:type="dxa"/>
          </w:tcPr>
          <w:p w:rsidR="00CB7BC1" w:rsidRPr="00BB0C25" w:rsidRDefault="00CB7BC1" w:rsidP="00204982">
            <w:pPr>
              <w:pStyle w:val="Tabletext"/>
              <w:jc w:val="center"/>
            </w:pPr>
            <w:r w:rsidRPr="00BB0C25">
              <w:t>FSS1</w:t>
            </w:r>
          </w:p>
        </w:tc>
        <w:tc>
          <w:tcPr>
            <w:tcW w:w="0" w:type="auto"/>
            <w:shd w:val="clear" w:color="auto" w:fill="auto"/>
          </w:tcPr>
          <w:p w:rsidR="00CB7BC1" w:rsidRPr="00BB0C25" w:rsidRDefault="00CB7BC1" w:rsidP="00204982">
            <w:pPr>
              <w:pStyle w:val="Tabletext"/>
              <w:jc w:val="center"/>
            </w:pPr>
            <w:r w:rsidRPr="00BB0C25">
              <w:t>0.5</w:t>
            </w:r>
          </w:p>
        </w:tc>
        <w:tc>
          <w:tcPr>
            <w:tcW w:w="0" w:type="auto"/>
            <w:shd w:val="clear" w:color="auto" w:fill="auto"/>
            <w:vAlign w:val="center"/>
          </w:tcPr>
          <w:p w:rsidR="00CB7BC1" w:rsidRPr="00BB0C25" w:rsidRDefault="00CB7BC1" w:rsidP="00204982">
            <w:pPr>
              <w:pStyle w:val="Tabletext"/>
              <w:jc w:val="center"/>
            </w:pPr>
            <w:r w:rsidRPr="00BB0C25">
              <w:t>0.5</w:t>
            </w:r>
          </w:p>
        </w:tc>
      </w:tr>
      <w:tr w:rsidR="00CB7BC1" w:rsidRPr="00BB0C25" w:rsidTr="00CB7BC1">
        <w:trPr>
          <w:trHeight w:val="281"/>
          <w:jc w:val="center"/>
        </w:trPr>
        <w:tc>
          <w:tcPr>
            <w:tcW w:w="1838" w:type="dxa"/>
            <w:vMerge/>
            <w:shd w:val="clear" w:color="auto" w:fill="auto"/>
            <w:vAlign w:val="center"/>
          </w:tcPr>
          <w:p w:rsidR="00CB7BC1" w:rsidRPr="00BB0C25" w:rsidRDefault="00CB7BC1" w:rsidP="00204982">
            <w:pPr>
              <w:pStyle w:val="Tabletext"/>
            </w:pPr>
          </w:p>
        </w:tc>
        <w:tc>
          <w:tcPr>
            <w:tcW w:w="1287" w:type="dxa"/>
          </w:tcPr>
          <w:p w:rsidR="00CB7BC1" w:rsidRPr="00BB0C25" w:rsidRDefault="00CB7BC1" w:rsidP="00204982">
            <w:pPr>
              <w:pStyle w:val="Tabletext"/>
              <w:jc w:val="center"/>
            </w:pPr>
            <w:r w:rsidRPr="00BB0C25">
              <w:t>FSS2</w:t>
            </w:r>
          </w:p>
        </w:tc>
        <w:tc>
          <w:tcPr>
            <w:tcW w:w="0" w:type="auto"/>
            <w:shd w:val="clear" w:color="auto" w:fill="auto"/>
          </w:tcPr>
          <w:p w:rsidR="00CB7BC1" w:rsidRPr="00BB0C25" w:rsidRDefault="00CB7BC1" w:rsidP="00204982">
            <w:pPr>
              <w:pStyle w:val="Tabletext"/>
              <w:jc w:val="center"/>
            </w:pPr>
            <w:r w:rsidRPr="00BB0C25">
              <w:t>0.7</w:t>
            </w:r>
          </w:p>
        </w:tc>
        <w:tc>
          <w:tcPr>
            <w:tcW w:w="0" w:type="auto"/>
            <w:shd w:val="clear" w:color="auto" w:fill="auto"/>
            <w:vAlign w:val="center"/>
          </w:tcPr>
          <w:p w:rsidR="00CB7BC1" w:rsidRPr="00BB0C25" w:rsidRDefault="00CB7BC1" w:rsidP="00204982">
            <w:pPr>
              <w:pStyle w:val="Tabletext"/>
              <w:jc w:val="center"/>
            </w:pPr>
            <w:r w:rsidRPr="00BB0C25">
              <w:t>1.1</w:t>
            </w:r>
          </w:p>
        </w:tc>
      </w:tr>
      <w:tr w:rsidR="00CB7BC1" w:rsidRPr="00BB0C25" w:rsidTr="00CB7BC1">
        <w:trPr>
          <w:trHeight w:val="281"/>
          <w:jc w:val="center"/>
        </w:trPr>
        <w:tc>
          <w:tcPr>
            <w:tcW w:w="1838" w:type="dxa"/>
            <w:vMerge/>
            <w:shd w:val="clear" w:color="auto" w:fill="auto"/>
            <w:vAlign w:val="center"/>
          </w:tcPr>
          <w:p w:rsidR="00CB7BC1" w:rsidRPr="00BB0C25" w:rsidRDefault="00CB7BC1" w:rsidP="00204982">
            <w:pPr>
              <w:pStyle w:val="Tabletext"/>
            </w:pPr>
          </w:p>
        </w:tc>
        <w:tc>
          <w:tcPr>
            <w:tcW w:w="1287" w:type="dxa"/>
          </w:tcPr>
          <w:p w:rsidR="00CB7BC1" w:rsidRPr="00BB0C25" w:rsidRDefault="00CB7BC1" w:rsidP="00204982">
            <w:pPr>
              <w:pStyle w:val="Tabletext"/>
              <w:jc w:val="center"/>
            </w:pPr>
            <w:r w:rsidRPr="00BB0C25">
              <w:t>Combined</w:t>
            </w:r>
          </w:p>
        </w:tc>
        <w:tc>
          <w:tcPr>
            <w:tcW w:w="0" w:type="auto"/>
            <w:shd w:val="clear" w:color="auto" w:fill="auto"/>
          </w:tcPr>
          <w:p w:rsidR="00CB7BC1" w:rsidRPr="00BB0C25" w:rsidRDefault="00CB7BC1" w:rsidP="00204982">
            <w:pPr>
              <w:pStyle w:val="Tabletext"/>
              <w:jc w:val="center"/>
            </w:pPr>
            <w:r w:rsidRPr="00BB0C25">
              <w:t>0.6</w:t>
            </w:r>
          </w:p>
        </w:tc>
        <w:tc>
          <w:tcPr>
            <w:tcW w:w="0" w:type="auto"/>
            <w:shd w:val="clear" w:color="auto" w:fill="auto"/>
            <w:vAlign w:val="center"/>
          </w:tcPr>
          <w:p w:rsidR="00CB7BC1" w:rsidRPr="00BB0C25" w:rsidRDefault="00CB7BC1" w:rsidP="00204982">
            <w:pPr>
              <w:pStyle w:val="Tabletext"/>
              <w:jc w:val="center"/>
            </w:pPr>
            <w:r w:rsidRPr="00BB0C25">
              <w:t>0.8</w:t>
            </w:r>
          </w:p>
        </w:tc>
      </w:tr>
      <w:tr w:rsidR="00CB7BC1" w:rsidRPr="00BB0C25" w:rsidTr="00CB7BC1">
        <w:trPr>
          <w:trHeight w:val="281"/>
          <w:jc w:val="center"/>
        </w:trPr>
        <w:tc>
          <w:tcPr>
            <w:tcW w:w="1838" w:type="dxa"/>
            <w:vMerge w:val="restart"/>
            <w:shd w:val="clear" w:color="auto" w:fill="auto"/>
            <w:vAlign w:val="center"/>
          </w:tcPr>
          <w:p w:rsidR="00CB7BC1" w:rsidRPr="00BB0C25" w:rsidRDefault="00CB7BC1" w:rsidP="00204982">
            <w:pPr>
              <w:pStyle w:val="Tabletext"/>
            </w:pPr>
            <w:r w:rsidRPr="00BB0C25">
              <w:t>Wideband</w:t>
            </w:r>
          </w:p>
        </w:tc>
        <w:tc>
          <w:tcPr>
            <w:tcW w:w="1287" w:type="dxa"/>
          </w:tcPr>
          <w:p w:rsidR="00CB7BC1" w:rsidRPr="00BB0C25" w:rsidRDefault="00CB7BC1" w:rsidP="00204982">
            <w:pPr>
              <w:pStyle w:val="Tabletext"/>
              <w:jc w:val="center"/>
            </w:pPr>
            <w:r w:rsidRPr="00BB0C25">
              <w:t>FSS1</w:t>
            </w:r>
          </w:p>
        </w:tc>
        <w:tc>
          <w:tcPr>
            <w:tcW w:w="0" w:type="auto"/>
            <w:shd w:val="clear" w:color="auto" w:fill="auto"/>
          </w:tcPr>
          <w:p w:rsidR="00CB7BC1" w:rsidRPr="00BB0C25" w:rsidRDefault="00CB7BC1" w:rsidP="00204982">
            <w:pPr>
              <w:pStyle w:val="Tabletext"/>
              <w:jc w:val="center"/>
            </w:pPr>
            <w:r w:rsidRPr="00BB0C25">
              <w:t>28.3</w:t>
            </w:r>
          </w:p>
        </w:tc>
        <w:tc>
          <w:tcPr>
            <w:tcW w:w="0" w:type="auto"/>
            <w:shd w:val="clear" w:color="auto" w:fill="auto"/>
            <w:vAlign w:val="center"/>
          </w:tcPr>
          <w:p w:rsidR="00CB7BC1" w:rsidRPr="00BB0C25" w:rsidRDefault="00CB7BC1" w:rsidP="00204982">
            <w:pPr>
              <w:pStyle w:val="Tabletext"/>
              <w:jc w:val="center"/>
            </w:pPr>
            <w:r w:rsidRPr="00BB0C25">
              <w:t>8.8</w:t>
            </w:r>
          </w:p>
        </w:tc>
      </w:tr>
      <w:tr w:rsidR="00CB7BC1" w:rsidRPr="00BB0C25" w:rsidTr="00CB7BC1">
        <w:trPr>
          <w:trHeight w:val="281"/>
          <w:jc w:val="center"/>
        </w:trPr>
        <w:tc>
          <w:tcPr>
            <w:tcW w:w="1838" w:type="dxa"/>
            <w:vMerge/>
            <w:shd w:val="clear" w:color="auto" w:fill="auto"/>
            <w:vAlign w:val="center"/>
          </w:tcPr>
          <w:p w:rsidR="00CB7BC1" w:rsidRPr="00BB0C25" w:rsidRDefault="00CB7BC1" w:rsidP="00204982">
            <w:pPr>
              <w:pStyle w:val="Tabletext"/>
            </w:pPr>
          </w:p>
        </w:tc>
        <w:tc>
          <w:tcPr>
            <w:tcW w:w="1287" w:type="dxa"/>
          </w:tcPr>
          <w:p w:rsidR="00CB7BC1" w:rsidRPr="00BB0C25" w:rsidRDefault="00CB7BC1" w:rsidP="00204982">
            <w:pPr>
              <w:pStyle w:val="Tabletext"/>
              <w:jc w:val="center"/>
            </w:pPr>
            <w:r w:rsidRPr="00BB0C25">
              <w:t>FSS2</w:t>
            </w:r>
          </w:p>
        </w:tc>
        <w:tc>
          <w:tcPr>
            <w:tcW w:w="0" w:type="auto"/>
            <w:shd w:val="clear" w:color="auto" w:fill="auto"/>
          </w:tcPr>
          <w:p w:rsidR="00CB7BC1" w:rsidRPr="00BB0C25" w:rsidRDefault="00CB7BC1" w:rsidP="00204982">
            <w:pPr>
              <w:pStyle w:val="Tabletext"/>
              <w:jc w:val="center"/>
            </w:pPr>
            <w:r w:rsidRPr="00BB0C25">
              <w:t>33.3</w:t>
            </w:r>
          </w:p>
        </w:tc>
        <w:tc>
          <w:tcPr>
            <w:tcW w:w="0" w:type="auto"/>
            <w:shd w:val="clear" w:color="auto" w:fill="auto"/>
            <w:vAlign w:val="center"/>
          </w:tcPr>
          <w:p w:rsidR="00CB7BC1" w:rsidRPr="00BB0C25" w:rsidRDefault="00CB7BC1" w:rsidP="00204982">
            <w:pPr>
              <w:pStyle w:val="Tabletext"/>
              <w:jc w:val="center"/>
            </w:pPr>
            <w:r w:rsidRPr="00BB0C25">
              <w:t>1.5</w:t>
            </w:r>
          </w:p>
        </w:tc>
      </w:tr>
      <w:tr w:rsidR="00CB7BC1" w:rsidRPr="00BB0C25" w:rsidTr="00CB7BC1">
        <w:trPr>
          <w:trHeight w:val="281"/>
          <w:jc w:val="center"/>
        </w:trPr>
        <w:tc>
          <w:tcPr>
            <w:tcW w:w="1838" w:type="dxa"/>
            <w:vMerge/>
            <w:shd w:val="clear" w:color="auto" w:fill="auto"/>
            <w:vAlign w:val="center"/>
          </w:tcPr>
          <w:p w:rsidR="00CB7BC1" w:rsidRPr="00BB0C25" w:rsidRDefault="00CB7BC1" w:rsidP="00204982">
            <w:pPr>
              <w:pStyle w:val="Tabletext"/>
            </w:pPr>
          </w:p>
        </w:tc>
        <w:tc>
          <w:tcPr>
            <w:tcW w:w="1287" w:type="dxa"/>
          </w:tcPr>
          <w:p w:rsidR="00CB7BC1" w:rsidRPr="00BB0C25" w:rsidRDefault="00CB7BC1" w:rsidP="00204982">
            <w:pPr>
              <w:pStyle w:val="Tabletext"/>
              <w:jc w:val="center"/>
            </w:pPr>
            <w:r w:rsidRPr="00BB0C25">
              <w:t>Combined</w:t>
            </w:r>
          </w:p>
        </w:tc>
        <w:tc>
          <w:tcPr>
            <w:tcW w:w="0" w:type="auto"/>
            <w:shd w:val="clear" w:color="auto" w:fill="auto"/>
          </w:tcPr>
          <w:p w:rsidR="00CB7BC1" w:rsidRPr="00BB0C25" w:rsidRDefault="00CB7BC1" w:rsidP="00204982">
            <w:pPr>
              <w:pStyle w:val="Tabletext"/>
              <w:jc w:val="center"/>
            </w:pPr>
            <w:r w:rsidRPr="00BB0C25">
              <w:t>30.8</w:t>
            </w:r>
          </w:p>
        </w:tc>
        <w:tc>
          <w:tcPr>
            <w:tcW w:w="0" w:type="auto"/>
            <w:shd w:val="clear" w:color="auto" w:fill="auto"/>
            <w:vAlign w:val="center"/>
          </w:tcPr>
          <w:p w:rsidR="00CB7BC1" w:rsidRPr="00BB0C25" w:rsidRDefault="00CB7BC1" w:rsidP="00204982">
            <w:pPr>
              <w:pStyle w:val="Tabletext"/>
              <w:jc w:val="center"/>
            </w:pPr>
            <w:r w:rsidRPr="00BB0C25">
              <w:t>6.5</w:t>
            </w:r>
          </w:p>
        </w:tc>
      </w:tr>
      <w:tr w:rsidR="00CB7BC1" w:rsidRPr="00BB0C25" w:rsidTr="00CB7BC1">
        <w:trPr>
          <w:trHeight w:val="281"/>
          <w:jc w:val="center"/>
        </w:trPr>
        <w:tc>
          <w:tcPr>
            <w:tcW w:w="1838" w:type="dxa"/>
            <w:vMerge w:val="restart"/>
            <w:shd w:val="clear" w:color="auto" w:fill="auto"/>
            <w:vAlign w:val="center"/>
          </w:tcPr>
          <w:p w:rsidR="00CB7BC1" w:rsidRPr="00BB0C25" w:rsidRDefault="00CB7BC1" w:rsidP="00204982">
            <w:pPr>
              <w:pStyle w:val="Tabletext"/>
            </w:pPr>
            <w:r w:rsidRPr="00BB0C25">
              <w:t>Point-to-</w:t>
            </w:r>
            <w:r>
              <w:t>P</w:t>
            </w:r>
            <w:r w:rsidRPr="00BB0C25">
              <w:t>oint</w:t>
            </w:r>
          </w:p>
        </w:tc>
        <w:tc>
          <w:tcPr>
            <w:tcW w:w="1287" w:type="dxa"/>
          </w:tcPr>
          <w:p w:rsidR="00CB7BC1" w:rsidRPr="00BB0C25" w:rsidRDefault="00CB7BC1" w:rsidP="00204982">
            <w:pPr>
              <w:pStyle w:val="Tabletext"/>
              <w:jc w:val="center"/>
            </w:pPr>
            <w:r w:rsidRPr="00BB0C25">
              <w:t>FSS1</w:t>
            </w:r>
          </w:p>
        </w:tc>
        <w:tc>
          <w:tcPr>
            <w:tcW w:w="0" w:type="auto"/>
            <w:shd w:val="clear" w:color="auto" w:fill="auto"/>
          </w:tcPr>
          <w:p w:rsidR="00CB7BC1" w:rsidRPr="00BB0C25" w:rsidRDefault="00CB7BC1" w:rsidP="00204982">
            <w:pPr>
              <w:pStyle w:val="Tabletext"/>
              <w:jc w:val="center"/>
            </w:pPr>
            <w:r w:rsidRPr="00BB0C25">
              <w:t>2.9</w:t>
            </w:r>
          </w:p>
        </w:tc>
        <w:tc>
          <w:tcPr>
            <w:tcW w:w="0" w:type="auto"/>
            <w:shd w:val="clear" w:color="auto" w:fill="auto"/>
            <w:vAlign w:val="center"/>
          </w:tcPr>
          <w:p w:rsidR="00CB7BC1" w:rsidRPr="00BB0C25" w:rsidRDefault="00CB7BC1" w:rsidP="00204982">
            <w:pPr>
              <w:pStyle w:val="Tabletext"/>
              <w:jc w:val="center"/>
            </w:pPr>
            <w:r w:rsidRPr="00BB0C25">
              <w:t>3.6</w:t>
            </w:r>
          </w:p>
        </w:tc>
      </w:tr>
      <w:tr w:rsidR="00CB7BC1" w:rsidRPr="00BB0C25" w:rsidTr="00CB7BC1">
        <w:trPr>
          <w:trHeight w:val="281"/>
          <w:jc w:val="center"/>
        </w:trPr>
        <w:tc>
          <w:tcPr>
            <w:tcW w:w="1838" w:type="dxa"/>
            <w:vMerge/>
            <w:shd w:val="clear" w:color="auto" w:fill="auto"/>
            <w:vAlign w:val="center"/>
          </w:tcPr>
          <w:p w:rsidR="00CB7BC1" w:rsidRPr="00BB0C25" w:rsidRDefault="00CB7BC1" w:rsidP="00204982">
            <w:pPr>
              <w:pStyle w:val="Tabletext"/>
            </w:pPr>
          </w:p>
        </w:tc>
        <w:tc>
          <w:tcPr>
            <w:tcW w:w="1287" w:type="dxa"/>
          </w:tcPr>
          <w:p w:rsidR="00CB7BC1" w:rsidRPr="00BB0C25" w:rsidRDefault="00CB7BC1" w:rsidP="00204982">
            <w:pPr>
              <w:pStyle w:val="Tabletext"/>
              <w:jc w:val="center"/>
            </w:pPr>
            <w:r w:rsidRPr="00BB0C25">
              <w:t>FSS2</w:t>
            </w:r>
          </w:p>
        </w:tc>
        <w:tc>
          <w:tcPr>
            <w:tcW w:w="0" w:type="auto"/>
            <w:shd w:val="clear" w:color="auto" w:fill="auto"/>
          </w:tcPr>
          <w:p w:rsidR="00CB7BC1" w:rsidRPr="00BB0C25" w:rsidRDefault="00CB7BC1" w:rsidP="00204982">
            <w:pPr>
              <w:pStyle w:val="Tabletext"/>
              <w:jc w:val="center"/>
            </w:pPr>
            <w:r w:rsidRPr="00BB0C25">
              <w:t>2.3</w:t>
            </w:r>
          </w:p>
        </w:tc>
        <w:tc>
          <w:tcPr>
            <w:tcW w:w="0" w:type="auto"/>
            <w:shd w:val="clear" w:color="auto" w:fill="auto"/>
            <w:vAlign w:val="center"/>
          </w:tcPr>
          <w:p w:rsidR="00CB7BC1" w:rsidRPr="00BB0C25" w:rsidRDefault="00CB7BC1" w:rsidP="00204982">
            <w:pPr>
              <w:pStyle w:val="Tabletext"/>
              <w:jc w:val="center"/>
            </w:pPr>
            <w:r w:rsidRPr="00BB0C25">
              <w:t>3.0</w:t>
            </w:r>
          </w:p>
        </w:tc>
      </w:tr>
      <w:tr w:rsidR="00CB7BC1" w:rsidRPr="00BB0C25" w:rsidTr="00CB7BC1">
        <w:trPr>
          <w:trHeight w:val="281"/>
          <w:jc w:val="center"/>
        </w:trPr>
        <w:tc>
          <w:tcPr>
            <w:tcW w:w="1838" w:type="dxa"/>
            <w:vMerge/>
            <w:shd w:val="clear" w:color="auto" w:fill="auto"/>
            <w:vAlign w:val="center"/>
          </w:tcPr>
          <w:p w:rsidR="00CB7BC1" w:rsidRPr="00BB0C25" w:rsidRDefault="00CB7BC1" w:rsidP="00204982">
            <w:pPr>
              <w:pStyle w:val="Tabletext"/>
            </w:pPr>
          </w:p>
        </w:tc>
        <w:tc>
          <w:tcPr>
            <w:tcW w:w="1287" w:type="dxa"/>
          </w:tcPr>
          <w:p w:rsidR="00CB7BC1" w:rsidRPr="00BB0C25" w:rsidRDefault="00CB7BC1" w:rsidP="00204982">
            <w:pPr>
              <w:pStyle w:val="Tabletext"/>
              <w:jc w:val="center"/>
            </w:pPr>
            <w:r w:rsidRPr="00BB0C25">
              <w:t>Combined</w:t>
            </w:r>
          </w:p>
        </w:tc>
        <w:tc>
          <w:tcPr>
            <w:tcW w:w="0" w:type="auto"/>
            <w:shd w:val="clear" w:color="auto" w:fill="auto"/>
          </w:tcPr>
          <w:p w:rsidR="00CB7BC1" w:rsidRPr="00BB0C25" w:rsidRDefault="00CB7BC1" w:rsidP="00204982">
            <w:pPr>
              <w:pStyle w:val="Tabletext"/>
              <w:jc w:val="center"/>
            </w:pPr>
            <w:r w:rsidRPr="00BB0C25">
              <w:t>2.8</w:t>
            </w:r>
          </w:p>
        </w:tc>
        <w:tc>
          <w:tcPr>
            <w:tcW w:w="0" w:type="auto"/>
            <w:shd w:val="clear" w:color="auto" w:fill="auto"/>
            <w:vAlign w:val="center"/>
          </w:tcPr>
          <w:p w:rsidR="00CB7BC1" w:rsidRPr="00BB0C25" w:rsidRDefault="00CB7BC1" w:rsidP="00204982">
            <w:pPr>
              <w:pStyle w:val="Tabletext"/>
              <w:jc w:val="center"/>
            </w:pPr>
            <w:r w:rsidRPr="00BB0C25">
              <w:t>3.5</w:t>
            </w:r>
          </w:p>
        </w:tc>
      </w:tr>
    </w:tbl>
    <w:p w:rsidR="00CB7BC1" w:rsidRPr="00BB0C25" w:rsidRDefault="00CB7BC1" w:rsidP="00204982">
      <w:pPr>
        <w:pStyle w:val="Tablefin"/>
      </w:pPr>
    </w:p>
    <w:p w:rsidR="00CB7BC1" w:rsidRPr="00CB7BC1" w:rsidRDefault="00CB7BC1" w:rsidP="00B04D4C">
      <w:pPr>
        <w:rPr>
          <w:lang w:val="en-US"/>
        </w:rPr>
      </w:pPr>
      <w:r w:rsidRPr="00CB7BC1">
        <w:rPr>
          <w:lang w:val="en-US"/>
        </w:rPr>
        <w:t>Fig</w:t>
      </w:r>
      <w:r w:rsidR="00B04D4C">
        <w:rPr>
          <w:lang w:val="en-US"/>
        </w:rPr>
        <w:t>ures</w:t>
      </w:r>
      <w:r w:rsidRPr="00CB7BC1">
        <w:rPr>
          <w:lang w:val="en-US"/>
        </w:rPr>
        <w:t xml:space="preserve"> 8</w:t>
      </w:r>
      <w:r w:rsidR="00B04D4C">
        <w:rPr>
          <w:lang w:val="en-US"/>
        </w:rPr>
        <w:t xml:space="preserve"> to </w:t>
      </w:r>
      <w:r w:rsidRPr="00CB7BC1">
        <w:rPr>
          <w:lang w:val="en-US"/>
        </w:rPr>
        <w:t>10 provide the bandwidth cumulative distributions for the three transmission types.</w:t>
      </w:r>
    </w:p>
    <w:p w:rsidR="00CB7BC1" w:rsidRPr="00BB0C25" w:rsidRDefault="00CB7BC1" w:rsidP="00204982">
      <w:pPr>
        <w:pStyle w:val="FigureNo"/>
      </w:pPr>
      <w:r w:rsidRPr="00BB0C25">
        <w:t xml:space="preserve">Figure </w:t>
      </w:r>
      <w:r>
        <w:t>8</w:t>
      </w:r>
    </w:p>
    <w:p w:rsidR="00CB7BC1" w:rsidRPr="00BB0C25" w:rsidRDefault="00CB7BC1" w:rsidP="00204982">
      <w:pPr>
        <w:pStyle w:val="Figuretitle"/>
      </w:pPr>
      <w:r w:rsidRPr="00BB0C25">
        <w:t>VSAT bandwidth cumulative distribution</w:t>
      </w:r>
    </w:p>
    <w:p w:rsidR="00CB7BC1" w:rsidRPr="00BB0C25" w:rsidRDefault="001F4842" w:rsidP="00204982">
      <w:pPr>
        <w:pStyle w:val="Figure"/>
        <w:rPr>
          <w:b/>
          <w:sz w:val="20"/>
        </w:rPr>
      </w:pPr>
      <w:r>
        <w:object w:dxaOrig="4847" w:dyaOrig="4228">
          <v:shape id="_x0000_i1033" type="#_x0000_t75" style="width:242.5pt;height:211.6pt" o:ole="">
            <v:imagedata r:id="rId27" o:title=""/>
          </v:shape>
          <o:OLEObject Type="Embed" ProgID="CorelDraw.Graphic.16" ShapeID="_x0000_i1033" DrawAspect="Content" ObjectID="_1503490741" r:id="rId28"/>
        </w:object>
      </w:r>
    </w:p>
    <w:p w:rsidR="00CB7BC1" w:rsidRPr="00BB0C25" w:rsidRDefault="00CB7BC1" w:rsidP="00204982">
      <w:pPr>
        <w:pStyle w:val="FigureNo"/>
      </w:pPr>
      <w:r w:rsidRPr="00BB0C25">
        <w:t xml:space="preserve">Figure </w:t>
      </w:r>
      <w:r>
        <w:t>9</w:t>
      </w:r>
    </w:p>
    <w:p w:rsidR="00CB7BC1" w:rsidRPr="00BB0C25" w:rsidRDefault="00CB7BC1" w:rsidP="00204982">
      <w:pPr>
        <w:pStyle w:val="Figuretitle"/>
      </w:pPr>
      <w:r w:rsidRPr="00BB0C25">
        <w:t>Wideband bandwidth cumulative distribution</w:t>
      </w:r>
    </w:p>
    <w:p w:rsidR="00CB7BC1" w:rsidRPr="00BB0C25" w:rsidRDefault="001F4842" w:rsidP="00204982">
      <w:pPr>
        <w:pStyle w:val="Figure"/>
        <w:rPr>
          <w:b/>
          <w:sz w:val="20"/>
        </w:rPr>
      </w:pPr>
      <w:r>
        <w:object w:dxaOrig="4887" w:dyaOrig="4228">
          <v:shape id="_x0000_i1034" type="#_x0000_t75" style="width:244.25pt;height:211.6pt" o:ole="">
            <v:imagedata r:id="rId29" o:title=""/>
          </v:shape>
          <o:OLEObject Type="Embed" ProgID="CorelDraw.Graphic.16" ShapeID="_x0000_i1034" DrawAspect="Content" ObjectID="_1503490742" r:id="rId30"/>
        </w:object>
      </w:r>
    </w:p>
    <w:p w:rsidR="00CB7BC1" w:rsidRPr="00204982" w:rsidRDefault="00CB7BC1" w:rsidP="00204982">
      <w:pPr>
        <w:pStyle w:val="FigureNo"/>
      </w:pPr>
      <w:r w:rsidRPr="00204982">
        <w:lastRenderedPageBreak/>
        <w:t>Figure 10</w:t>
      </w:r>
    </w:p>
    <w:p w:rsidR="00CB7BC1" w:rsidRPr="00204982" w:rsidRDefault="00CB7BC1" w:rsidP="00204982">
      <w:pPr>
        <w:pStyle w:val="Figuretitle"/>
      </w:pPr>
      <w:r w:rsidRPr="00204982">
        <w:t>Point-to-Point bandwidth cumulative distribution</w:t>
      </w:r>
    </w:p>
    <w:p w:rsidR="00CB7BC1" w:rsidRPr="00204982" w:rsidRDefault="001F4842" w:rsidP="00204982">
      <w:pPr>
        <w:pStyle w:val="Figure"/>
        <w:rPr>
          <w:noProof/>
          <w:lang w:val="en-US" w:eastAsia="zh-CN"/>
        </w:rPr>
      </w:pPr>
      <w:r>
        <w:object w:dxaOrig="4887" w:dyaOrig="4228">
          <v:shape id="_x0000_i1035" type="#_x0000_t75" style="width:244.25pt;height:211.6pt" o:ole="">
            <v:imagedata r:id="rId31" o:title=""/>
          </v:shape>
          <o:OLEObject Type="Embed" ProgID="CorelDraw.Graphic.16" ShapeID="_x0000_i1035" DrawAspect="Content" ObjectID="_1503490743" r:id="rId32"/>
        </w:object>
      </w:r>
    </w:p>
    <w:p w:rsidR="00CB7BC1" w:rsidRPr="00CB7BC1" w:rsidRDefault="00CB7BC1" w:rsidP="00CB7BC1">
      <w:pPr>
        <w:pStyle w:val="Heading2"/>
        <w:rPr>
          <w:lang w:val="en-US"/>
        </w:rPr>
      </w:pPr>
      <w:bookmarkStart w:id="23" w:name="_Toc428545739"/>
      <w:r w:rsidRPr="00CB7BC1">
        <w:rPr>
          <w:lang w:val="en-US"/>
        </w:rPr>
        <w:t>3.4</w:t>
      </w:r>
      <w:r w:rsidRPr="00CB7BC1">
        <w:rPr>
          <w:lang w:val="en-US"/>
        </w:rPr>
        <w:tab/>
        <w:t>Dual polarization operation</w:t>
      </w:r>
      <w:bookmarkEnd w:id="23"/>
    </w:p>
    <w:p w:rsidR="00CB7BC1" w:rsidRPr="00CB7BC1" w:rsidRDefault="00CB7BC1" w:rsidP="00B04D4C">
      <w:pPr>
        <w:rPr>
          <w:lang w:val="en-US"/>
        </w:rPr>
      </w:pPr>
      <w:r w:rsidRPr="00CB7BC1">
        <w:rPr>
          <w:lang w:val="en-US"/>
        </w:rPr>
        <w:t xml:space="preserve">FSS satellite antennas normally use linear polarization in the 14-14.5 GHz band. Dual polarization (H,V) is normally used on the FSS satellite receive antenna. Regardless of the polarization employed by a low Earth orbiting space based victim receiver, space based victim receivers can potentially receive interference from FSS ES (E-s) operations regardless of the polarization of the ES or the polarization of the victim receiver due to the dynamic orientation of the space based victim receiver. The amount of interference from each of the ESs and the space based victim receiver will depend on the dynamic orientation of polarization angle between the ES and the space based victim receiver. The dynamic orientation of polarization angle between the ES and the space based victim receiver will vary particularly when the victim receiver is in low Earth orbit and the antenna is rotating; this may require that both polarizations of an FSS ES deployment be taken into account in sharing studies. The amount of interference seen by the space based victim receiver will also depend upon the type of polarization employed by the space based victim receiver; such as, linear or circular. The table in ITU </w:t>
      </w:r>
      <w:r w:rsidR="00B04D4C">
        <w:rPr>
          <w:lang w:val="en-US"/>
        </w:rPr>
        <w:t>RR </w:t>
      </w:r>
      <w:r w:rsidRPr="00CB7BC1">
        <w:rPr>
          <w:lang w:val="en-US"/>
        </w:rPr>
        <w:t xml:space="preserve">Appendix </w:t>
      </w:r>
      <w:r w:rsidRPr="00CB7BC1">
        <w:rPr>
          <w:b/>
          <w:bCs/>
          <w:lang w:val="en-US"/>
        </w:rPr>
        <w:t>8</w:t>
      </w:r>
      <w:r w:rsidRPr="00CB7BC1">
        <w:rPr>
          <w:lang w:val="en-US"/>
        </w:rPr>
        <w:t xml:space="preserve"> </w:t>
      </w:r>
      <w:r w:rsidR="00B04D4C">
        <w:rPr>
          <w:lang w:val="en-US"/>
        </w:rPr>
        <w:t>s</w:t>
      </w:r>
      <w:r w:rsidRPr="00CB7BC1">
        <w:rPr>
          <w:lang w:val="en-US"/>
        </w:rPr>
        <w:t>ection 2.2.3 provides values of the factors of polarization isolation to be used in calculating interference between networks. These table values may be used in simulations to calculate interference contributions of an individual ES instead of calculating the specific loss due to polarization mismatch for every interaction between the ES and the space based victim receiver.</w:t>
      </w:r>
    </w:p>
    <w:p w:rsidR="00CB7BC1" w:rsidRPr="00CB7BC1" w:rsidRDefault="00CB7BC1" w:rsidP="00B04D4C">
      <w:pPr>
        <w:rPr>
          <w:lang w:val="en-US"/>
        </w:rPr>
      </w:pPr>
      <w:r w:rsidRPr="00CB7BC1">
        <w:rPr>
          <w:lang w:val="en-US"/>
        </w:rPr>
        <w:t xml:space="preserve">In the studies between a linearly polarized space based receiver and a dual polarized linear (H, V) FSS ES deployment, RR Appendix </w:t>
      </w:r>
      <w:r w:rsidRPr="00CB7BC1">
        <w:rPr>
          <w:b/>
          <w:bCs/>
          <w:lang w:val="en-US"/>
        </w:rPr>
        <w:t>8</w:t>
      </w:r>
      <w:r w:rsidRPr="00CB7BC1">
        <w:rPr>
          <w:lang w:val="en-US"/>
        </w:rPr>
        <w:t xml:space="preserve"> </w:t>
      </w:r>
      <w:r w:rsidR="00B04D4C">
        <w:rPr>
          <w:lang w:val="en-US"/>
        </w:rPr>
        <w:t>s</w:t>
      </w:r>
      <w:r w:rsidRPr="00CB7BC1">
        <w:rPr>
          <w:lang w:val="en-US"/>
        </w:rPr>
        <w:t>ection 2.2.3 indicates a value of 1 for polarization isolation between</w:t>
      </w:r>
      <w:r w:rsidR="00911022">
        <w:rPr>
          <w:lang w:val="en-US"/>
        </w:rPr>
        <w:t xml:space="preserve"> the two networks under study. </w:t>
      </w:r>
      <w:r w:rsidRPr="00CB7BC1">
        <w:rPr>
          <w:lang w:val="en-US"/>
        </w:rPr>
        <w:t>Instead of this isolation factor of 1, a 3 dB reduction may be used in studies reducing the impact between linearly polarized space based receiver and a dual polarized linear (H, V) ES deployment. The 3 dB reduction corresponds to an average polarization misalignment between the victim receiver and the FSS ES of 45 degrees.</w:t>
      </w:r>
    </w:p>
    <w:p w:rsidR="00CB7BC1" w:rsidRPr="00CB7BC1" w:rsidRDefault="00CB7BC1" w:rsidP="00B04D4C">
      <w:pPr>
        <w:rPr>
          <w:lang w:val="en-US"/>
        </w:rPr>
      </w:pPr>
      <w:r w:rsidRPr="00CB7BC1">
        <w:rPr>
          <w:lang w:val="en-US"/>
        </w:rPr>
        <w:t xml:space="preserve">Individual FSS emissions transmit on one polarization. Therefore, the total population of ESs simulated should be half of one polarization and half of the other polarization. For the purpose of simplifying simulations, the polarization of each ES could be assumed to be co-polar with the victim receiver and apply the appropriate polarization isolation factor from the table in ITU </w:t>
      </w:r>
      <w:r w:rsidR="00B04D4C">
        <w:rPr>
          <w:lang w:val="en-US"/>
        </w:rPr>
        <w:t>RR </w:t>
      </w:r>
      <w:r w:rsidRPr="00CB7BC1">
        <w:rPr>
          <w:lang w:val="en-US"/>
        </w:rPr>
        <w:t>Appendix</w:t>
      </w:r>
      <w:r w:rsidR="00B04D4C">
        <w:rPr>
          <w:lang w:val="en-US"/>
        </w:rPr>
        <w:t> </w:t>
      </w:r>
      <w:r w:rsidRPr="00CB7BC1">
        <w:rPr>
          <w:b/>
          <w:bCs/>
          <w:lang w:val="en-US"/>
        </w:rPr>
        <w:t xml:space="preserve">8 </w:t>
      </w:r>
      <w:r w:rsidR="00B04D4C" w:rsidRPr="00B04D4C">
        <w:rPr>
          <w:lang w:val="en-US"/>
        </w:rPr>
        <w:t>s</w:t>
      </w:r>
      <w:r w:rsidRPr="00CB7BC1">
        <w:rPr>
          <w:lang w:val="en-US"/>
        </w:rPr>
        <w:t>ection 2.2.3. A 3 dB reduction could be used in studies reducing the impact between a linearly polarized space based receiver and a dual polarized linear (H,V) ES deployment.</w:t>
      </w:r>
    </w:p>
    <w:p w:rsidR="00CB7BC1" w:rsidRPr="00CB7BC1" w:rsidRDefault="00CB7BC1" w:rsidP="00B04D4C">
      <w:pPr>
        <w:rPr>
          <w:lang w:val="en-US"/>
        </w:rPr>
      </w:pPr>
      <w:r w:rsidRPr="00CB7BC1">
        <w:rPr>
          <w:lang w:val="en-US"/>
        </w:rPr>
        <w:t>FSS ESs &gt;= 4.5 m typically employ dual polarizatio</w:t>
      </w:r>
      <w:r w:rsidR="0077613C">
        <w:rPr>
          <w:lang w:val="en-US"/>
        </w:rPr>
        <w:t xml:space="preserve">n. </w:t>
      </w:r>
      <w:r w:rsidRPr="00CB7BC1">
        <w:rPr>
          <w:lang w:val="en-US"/>
        </w:rPr>
        <w:t xml:space="preserve">Therefore, the population of ESs (equal to or greater than 4.5 m) simulated should employ both polarizations. For the purpose of simplifying </w:t>
      </w:r>
      <w:r w:rsidRPr="00CB7BC1">
        <w:rPr>
          <w:lang w:val="en-US"/>
        </w:rPr>
        <w:lastRenderedPageBreak/>
        <w:t xml:space="preserve">simulations, both polarizations of the ES (&gt;= 4.5 m antenna) could be assumed to be co-polar with the victim receiver and apply the appropriate polarization isolation factor from the table in ITU </w:t>
      </w:r>
      <w:r w:rsidR="00B04D4C">
        <w:rPr>
          <w:lang w:val="en-US"/>
        </w:rPr>
        <w:t>RR </w:t>
      </w:r>
      <w:r w:rsidRPr="00CB7BC1">
        <w:rPr>
          <w:lang w:val="en-US"/>
        </w:rPr>
        <w:t>Appendix</w:t>
      </w:r>
      <w:r w:rsidRPr="00CB7BC1">
        <w:rPr>
          <w:b/>
          <w:bCs/>
          <w:lang w:val="en-US"/>
        </w:rPr>
        <w:t xml:space="preserve"> 8</w:t>
      </w:r>
      <w:r w:rsidRPr="00CB7BC1">
        <w:rPr>
          <w:lang w:val="en-US"/>
        </w:rPr>
        <w:t xml:space="preserve"> </w:t>
      </w:r>
      <w:r w:rsidR="00B04D4C">
        <w:rPr>
          <w:lang w:val="en-US"/>
        </w:rPr>
        <w:t>s</w:t>
      </w:r>
      <w:r w:rsidRPr="00CB7BC1">
        <w:rPr>
          <w:lang w:val="en-US"/>
        </w:rPr>
        <w:t xml:space="preserve">ection 2.2.3. A 3 dB reduction could be used in studies reducing the impact between a linearly polarized space based receiver and a dual polarized linear (H,V) ES deployment. </w:t>
      </w:r>
    </w:p>
    <w:p w:rsidR="00CB7BC1" w:rsidRPr="00CB7BC1" w:rsidRDefault="00CB7BC1" w:rsidP="00CB7BC1">
      <w:pPr>
        <w:pStyle w:val="Heading2"/>
        <w:rPr>
          <w:lang w:val="en-US"/>
        </w:rPr>
      </w:pPr>
      <w:bookmarkStart w:id="24" w:name="_Toc428545740"/>
      <w:r w:rsidRPr="00CB7BC1">
        <w:rPr>
          <w:lang w:val="en-US"/>
        </w:rPr>
        <w:t>3.5</w:t>
      </w:r>
      <w:r w:rsidRPr="00CB7BC1">
        <w:rPr>
          <w:lang w:val="en-US"/>
        </w:rPr>
        <w:tab/>
        <w:t>Satellite transponder loading</w:t>
      </w:r>
      <w:bookmarkEnd w:id="24"/>
    </w:p>
    <w:p w:rsidR="00CB7BC1" w:rsidRPr="00CB7BC1" w:rsidRDefault="00CB7BC1" w:rsidP="00CB7BC1">
      <w:pPr>
        <w:rPr>
          <w:lang w:val="en-US"/>
        </w:rPr>
      </w:pPr>
      <w:r w:rsidRPr="00CB7BC1">
        <w:rPr>
          <w:lang w:val="en-US"/>
        </w:rPr>
        <w:t>The satellite transponder loading factor is different from the average network activity factor. It is usually assumed that all transponders are fully loaded across the entire transponder bandwidth. All satellite operators try to optimize their transponders to be fully loaded; however, due to varying carrier and traffic demands quite often the transponders are power limited and the entire transponder bandwidth is not fully occupied for any single FSS satellite. In addition the traffic loading will vary depending on the region and the local traffic demands. The transponder loading associated with the data provided in this Report averages to around 80%.</w:t>
      </w:r>
    </w:p>
    <w:p w:rsidR="00CB7BC1" w:rsidRPr="00CB7BC1" w:rsidRDefault="00CB7BC1" w:rsidP="00CB7BC1">
      <w:pPr>
        <w:rPr>
          <w:lang w:val="en-US"/>
        </w:rPr>
      </w:pPr>
      <w:r w:rsidRPr="00CB7BC1">
        <w:rPr>
          <w:lang w:val="en-US"/>
        </w:rPr>
        <w:t>The information in this Report is provided in the form of transmissions per satellite in the 500 MHz FSS allocation at 14.0-14.5 GHz. Using the number of transmissions per 500 MHz replaces the need to calculate transmissions based on transponder loading, dual polarization, and frequency reuse factor as those three parameters are incorporated in the number of transmissions per 500 MHz allocation provided.</w:t>
      </w:r>
    </w:p>
    <w:p w:rsidR="00CB7BC1" w:rsidRPr="00CB7BC1" w:rsidRDefault="00CB7BC1" w:rsidP="00CB7BC1">
      <w:pPr>
        <w:pStyle w:val="Heading2"/>
        <w:rPr>
          <w:lang w:val="en-US"/>
        </w:rPr>
      </w:pPr>
      <w:bookmarkStart w:id="25" w:name="_Toc428545741"/>
      <w:r w:rsidRPr="00CB7BC1">
        <w:rPr>
          <w:lang w:val="en-US"/>
        </w:rPr>
        <w:t>3.6</w:t>
      </w:r>
      <w:r w:rsidRPr="00CB7BC1">
        <w:rPr>
          <w:lang w:val="en-US"/>
        </w:rPr>
        <w:tab/>
        <w:t>Total number of transmissions in the simulation</w:t>
      </w:r>
      <w:bookmarkEnd w:id="25"/>
    </w:p>
    <w:p w:rsidR="00CB7BC1" w:rsidRPr="00CB7BC1" w:rsidRDefault="00CB7BC1" w:rsidP="00CB7BC1">
      <w:pPr>
        <w:rPr>
          <w:lang w:val="en-US"/>
        </w:rPr>
      </w:pPr>
      <w:r w:rsidRPr="00CB7BC1">
        <w:rPr>
          <w:lang w:val="en-US"/>
        </w:rPr>
        <w:t>The total number of earth stations to be considered in the simulation is derived on the basis of the above discussion. It is assumed that there is one satellite per orbital location. Therefore, the total number of transmissions at a single orbital location (500 MHz, dual polarization), based on a number of assumptions, to be used in the simulations are as follows:</w:t>
      </w:r>
    </w:p>
    <w:p w:rsidR="00CB7BC1" w:rsidRPr="00CB7BC1" w:rsidRDefault="00911022" w:rsidP="00CB7BC1">
      <w:pPr>
        <w:pStyle w:val="TableNo"/>
        <w:rPr>
          <w:lang w:val="en-US"/>
        </w:rPr>
      </w:pPr>
      <w:r w:rsidRPr="00CB7BC1">
        <w:rPr>
          <w:lang w:val="en-US"/>
        </w:rPr>
        <w:t xml:space="preserve">TABLE </w:t>
      </w:r>
      <w:r w:rsidR="00CB7BC1" w:rsidRPr="00CB7BC1">
        <w:rPr>
          <w:lang w:val="en-US"/>
        </w:rPr>
        <w:t>5</w:t>
      </w:r>
    </w:p>
    <w:p w:rsidR="00CB7BC1" w:rsidRPr="00CB7BC1" w:rsidRDefault="00CB7BC1" w:rsidP="00911022">
      <w:pPr>
        <w:pStyle w:val="Tabletitle0"/>
      </w:pPr>
      <w:r w:rsidRPr="00CB7BC1">
        <w:t>Number of FSS transmissions per satellite (500 MHz)</w:t>
      </w:r>
      <w:r w:rsidRPr="00BB0C25">
        <w:rPr>
          <w:position w:val="6"/>
          <w:sz w:val="18"/>
        </w:rPr>
        <w:footnoteReference w:id="10"/>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9"/>
        <w:gridCol w:w="1379"/>
        <w:gridCol w:w="3340"/>
        <w:gridCol w:w="2781"/>
      </w:tblGrid>
      <w:tr w:rsidR="00CB7BC1" w:rsidRPr="00BB0C25" w:rsidTr="00911022">
        <w:trPr>
          <w:cantSplit/>
          <w:trHeight w:val="300"/>
          <w:tblHeader/>
          <w:jc w:val="center"/>
        </w:trPr>
        <w:tc>
          <w:tcPr>
            <w:tcW w:w="3257" w:type="dxa"/>
            <w:gridSpan w:val="2"/>
            <w:noWrap/>
            <w:tcMar>
              <w:top w:w="0" w:type="dxa"/>
              <w:left w:w="108" w:type="dxa"/>
              <w:bottom w:w="0" w:type="dxa"/>
              <w:right w:w="108" w:type="dxa"/>
            </w:tcMar>
            <w:hideMark/>
          </w:tcPr>
          <w:p w:rsidR="00CB7BC1" w:rsidRPr="00BB0C25" w:rsidRDefault="00CB7BC1" w:rsidP="00911022">
            <w:pPr>
              <w:pStyle w:val="Tablehead"/>
              <w:rPr>
                <w:lang w:eastAsia="zh-CN"/>
              </w:rPr>
            </w:pPr>
            <w:r w:rsidRPr="00BB0C25">
              <w:rPr>
                <w:lang w:eastAsia="zh-CN"/>
              </w:rPr>
              <w:t>Transmission type</w:t>
            </w:r>
          </w:p>
        </w:tc>
        <w:tc>
          <w:tcPr>
            <w:tcW w:w="3092" w:type="dxa"/>
            <w:noWrap/>
            <w:tcMar>
              <w:top w:w="0" w:type="dxa"/>
              <w:left w:w="108" w:type="dxa"/>
              <w:bottom w:w="0" w:type="dxa"/>
              <w:right w:w="108" w:type="dxa"/>
            </w:tcMar>
            <w:hideMark/>
          </w:tcPr>
          <w:p w:rsidR="00CB7BC1" w:rsidRPr="00BB0C25" w:rsidRDefault="00CB7BC1" w:rsidP="00911022">
            <w:pPr>
              <w:pStyle w:val="Tablehead"/>
              <w:rPr>
                <w:lang w:eastAsia="zh-CN"/>
              </w:rPr>
            </w:pPr>
            <w:r w:rsidRPr="00BB0C25">
              <w:rPr>
                <w:lang w:eastAsia="zh-CN"/>
              </w:rPr>
              <w:t>Percentage of total satellite transmissions</w:t>
            </w:r>
          </w:p>
        </w:tc>
        <w:tc>
          <w:tcPr>
            <w:tcW w:w="2575" w:type="dxa"/>
            <w:noWrap/>
            <w:tcMar>
              <w:top w:w="0" w:type="dxa"/>
              <w:left w:w="108" w:type="dxa"/>
              <w:bottom w:w="0" w:type="dxa"/>
              <w:right w:w="108" w:type="dxa"/>
            </w:tcMar>
            <w:hideMark/>
          </w:tcPr>
          <w:p w:rsidR="00CB7BC1" w:rsidRPr="00BB0C25" w:rsidRDefault="00CB7BC1" w:rsidP="00911022">
            <w:pPr>
              <w:pStyle w:val="Tablehead"/>
              <w:rPr>
                <w:lang w:eastAsia="zh-CN"/>
              </w:rPr>
            </w:pPr>
            <w:r w:rsidRPr="00BB0C25">
              <w:rPr>
                <w:lang w:eastAsia="zh-CN"/>
              </w:rPr>
              <w:t>Number of transmissions</w:t>
            </w:r>
          </w:p>
        </w:tc>
      </w:tr>
      <w:tr w:rsidR="00CB7BC1" w:rsidRPr="00BB0C25" w:rsidTr="00911022">
        <w:trPr>
          <w:cantSplit/>
          <w:trHeight w:val="300"/>
          <w:jc w:val="center"/>
        </w:trPr>
        <w:tc>
          <w:tcPr>
            <w:tcW w:w="1980" w:type="dxa"/>
            <w:vMerge w:val="restart"/>
            <w:noWrap/>
            <w:tcMar>
              <w:top w:w="0" w:type="dxa"/>
              <w:left w:w="108" w:type="dxa"/>
              <w:bottom w:w="0" w:type="dxa"/>
              <w:right w:w="108" w:type="dxa"/>
            </w:tcMar>
            <w:vAlign w:val="center"/>
            <w:hideMark/>
          </w:tcPr>
          <w:p w:rsidR="00CB7BC1" w:rsidRPr="00BB0C25" w:rsidRDefault="00CB7BC1" w:rsidP="00911022">
            <w:pPr>
              <w:pStyle w:val="Tabletext"/>
              <w:rPr>
                <w:lang w:eastAsia="zh-CN"/>
              </w:rPr>
            </w:pPr>
            <w:r w:rsidRPr="00BB0C25">
              <w:rPr>
                <w:lang w:eastAsia="zh-CN"/>
              </w:rPr>
              <w:t>VSAT</w:t>
            </w:r>
          </w:p>
        </w:tc>
        <w:tc>
          <w:tcPr>
            <w:tcW w:w="1277" w:type="dxa"/>
          </w:tcPr>
          <w:p w:rsidR="00CB7BC1" w:rsidRPr="00BB0C25" w:rsidRDefault="00CB7BC1" w:rsidP="00911022">
            <w:pPr>
              <w:pStyle w:val="Tabletext"/>
              <w:jc w:val="center"/>
              <w:rPr>
                <w:lang w:eastAsia="zh-CN"/>
              </w:rPr>
            </w:pPr>
            <w:r w:rsidRPr="00BB0C25">
              <w:rPr>
                <w:lang w:eastAsia="zh-CN"/>
              </w:rPr>
              <w:t>FSS1</w:t>
            </w:r>
          </w:p>
        </w:tc>
        <w:tc>
          <w:tcPr>
            <w:tcW w:w="3092" w:type="dxa"/>
            <w:noWrap/>
            <w:tcMar>
              <w:top w:w="0" w:type="dxa"/>
              <w:left w:w="108" w:type="dxa"/>
              <w:bottom w:w="0" w:type="dxa"/>
              <w:right w:w="108" w:type="dxa"/>
            </w:tcMar>
            <w:hideMark/>
          </w:tcPr>
          <w:p w:rsidR="00CB7BC1" w:rsidRPr="00BB0C25" w:rsidRDefault="00CB7BC1" w:rsidP="00911022">
            <w:pPr>
              <w:pStyle w:val="Tabletext"/>
              <w:jc w:val="center"/>
              <w:rPr>
                <w:lang w:eastAsia="zh-CN"/>
              </w:rPr>
            </w:pPr>
            <w:r w:rsidRPr="00BB0C25">
              <w:rPr>
                <w:lang w:eastAsia="zh-CN"/>
              </w:rPr>
              <w:t>61.5%</w:t>
            </w:r>
          </w:p>
        </w:tc>
        <w:tc>
          <w:tcPr>
            <w:tcW w:w="2575" w:type="dxa"/>
            <w:noWrap/>
            <w:tcMar>
              <w:top w:w="0" w:type="dxa"/>
              <w:left w:w="108" w:type="dxa"/>
              <w:bottom w:w="0" w:type="dxa"/>
              <w:right w:w="108" w:type="dxa"/>
            </w:tcMar>
            <w:hideMark/>
          </w:tcPr>
          <w:p w:rsidR="00CB7BC1" w:rsidRPr="00BB0C25" w:rsidRDefault="00CB7BC1" w:rsidP="00911022">
            <w:pPr>
              <w:pStyle w:val="Tabletext"/>
              <w:jc w:val="center"/>
              <w:rPr>
                <w:lang w:eastAsia="zh-CN"/>
              </w:rPr>
            </w:pPr>
            <w:r w:rsidRPr="00BB0C25">
              <w:rPr>
                <w:lang w:eastAsia="zh-CN"/>
              </w:rPr>
              <w:t>262</w:t>
            </w:r>
          </w:p>
        </w:tc>
      </w:tr>
      <w:tr w:rsidR="00CB7BC1" w:rsidRPr="00BB0C25" w:rsidTr="00911022">
        <w:trPr>
          <w:cantSplit/>
          <w:trHeight w:val="300"/>
          <w:jc w:val="center"/>
        </w:trPr>
        <w:tc>
          <w:tcPr>
            <w:tcW w:w="1980" w:type="dxa"/>
            <w:vMerge/>
            <w:noWrap/>
            <w:tcMar>
              <w:top w:w="0" w:type="dxa"/>
              <w:left w:w="108" w:type="dxa"/>
              <w:bottom w:w="0" w:type="dxa"/>
              <w:right w:w="108" w:type="dxa"/>
            </w:tcMar>
            <w:vAlign w:val="center"/>
          </w:tcPr>
          <w:p w:rsidR="00CB7BC1" w:rsidRPr="00BB0C25" w:rsidRDefault="00CB7BC1" w:rsidP="00911022">
            <w:pPr>
              <w:pStyle w:val="Tabletext"/>
              <w:rPr>
                <w:lang w:eastAsia="zh-CN"/>
              </w:rPr>
            </w:pPr>
          </w:p>
        </w:tc>
        <w:tc>
          <w:tcPr>
            <w:tcW w:w="1277" w:type="dxa"/>
          </w:tcPr>
          <w:p w:rsidR="00CB7BC1" w:rsidRPr="00BB0C25" w:rsidRDefault="00CB7BC1" w:rsidP="00911022">
            <w:pPr>
              <w:pStyle w:val="Tabletext"/>
              <w:jc w:val="center"/>
              <w:rPr>
                <w:lang w:eastAsia="zh-CN"/>
              </w:rPr>
            </w:pPr>
            <w:r w:rsidRPr="00BB0C25">
              <w:rPr>
                <w:lang w:eastAsia="zh-CN"/>
              </w:rPr>
              <w:t>FSS2</w:t>
            </w:r>
          </w:p>
        </w:tc>
        <w:tc>
          <w:tcPr>
            <w:tcW w:w="3092"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85.6%</w:t>
            </w:r>
          </w:p>
        </w:tc>
        <w:tc>
          <w:tcPr>
            <w:tcW w:w="2575"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226</w:t>
            </w:r>
          </w:p>
        </w:tc>
      </w:tr>
      <w:tr w:rsidR="00CB7BC1" w:rsidRPr="00BB0C25" w:rsidTr="00911022">
        <w:trPr>
          <w:cantSplit/>
          <w:trHeight w:val="300"/>
          <w:jc w:val="center"/>
        </w:trPr>
        <w:tc>
          <w:tcPr>
            <w:tcW w:w="1980" w:type="dxa"/>
            <w:vMerge/>
            <w:noWrap/>
            <w:tcMar>
              <w:top w:w="0" w:type="dxa"/>
              <w:left w:w="108" w:type="dxa"/>
              <w:bottom w:w="0" w:type="dxa"/>
              <w:right w:w="108" w:type="dxa"/>
            </w:tcMar>
            <w:vAlign w:val="center"/>
          </w:tcPr>
          <w:p w:rsidR="00CB7BC1" w:rsidRPr="00BB0C25" w:rsidRDefault="00CB7BC1" w:rsidP="00911022">
            <w:pPr>
              <w:pStyle w:val="Tabletext"/>
              <w:rPr>
                <w:lang w:eastAsia="zh-CN"/>
              </w:rPr>
            </w:pPr>
          </w:p>
        </w:tc>
        <w:tc>
          <w:tcPr>
            <w:tcW w:w="1277" w:type="dxa"/>
          </w:tcPr>
          <w:p w:rsidR="00CB7BC1" w:rsidRPr="00BB0C25" w:rsidRDefault="00CB7BC1" w:rsidP="00911022">
            <w:pPr>
              <w:pStyle w:val="Tabletext"/>
              <w:jc w:val="center"/>
              <w:rPr>
                <w:lang w:eastAsia="zh-CN"/>
              </w:rPr>
            </w:pPr>
            <w:r w:rsidRPr="00BB0C25">
              <w:rPr>
                <w:lang w:eastAsia="zh-CN"/>
              </w:rPr>
              <w:t>Combined</w:t>
            </w:r>
          </w:p>
        </w:tc>
        <w:tc>
          <w:tcPr>
            <w:tcW w:w="3092"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69.3%</w:t>
            </w:r>
          </w:p>
        </w:tc>
        <w:tc>
          <w:tcPr>
            <w:tcW w:w="2575"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246</w:t>
            </w:r>
          </w:p>
        </w:tc>
      </w:tr>
      <w:tr w:rsidR="00CB7BC1" w:rsidRPr="00BB0C25" w:rsidTr="00911022">
        <w:trPr>
          <w:cantSplit/>
          <w:trHeight w:val="300"/>
          <w:jc w:val="center"/>
        </w:trPr>
        <w:tc>
          <w:tcPr>
            <w:tcW w:w="1980" w:type="dxa"/>
            <w:vMerge w:val="restart"/>
            <w:noWrap/>
            <w:tcMar>
              <w:top w:w="0" w:type="dxa"/>
              <w:left w:w="108" w:type="dxa"/>
              <w:bottom w:w="0" w:type="dxa"/>
              <w:right w:w="108" w:type="dxa"/>
            </w:tcMar>
            <w:vAlign w:val="center"/>
            <w:hideMark/>
          </w:tcPr>
          <w:p w:rsidR="00CB7BC1" w:rsidRPr="00BB0C25" w:rsidRDefault="00CB7BC1" w:rsidP="00911022">
            <w:pPr>
              <w:pStyle w:val="Tabletext"/>
              <w:rPr>
                <w:lang w:eastAsia="zh-CN"/>
              </w:rPr>
            </w:pPr>
            <w:r w:rsidRPr="00BB0C25">
              <w:rPr>
                <w:lang w:eastAsia="zh-CN"/>
              </w:rPr>
              <w:t>Wideband</w:t>
            </w:r>
          </w:p>
        </w:tc>
        <w:tc>
          <w:tcPr>
            <w:tcW w:w="1277" w:type="dxa"/>
          </w:tcPr>
          <w:p w:rsidR="00CB7BC1" w:rsidRPr="00BB0C25" w:rsidRDefault="00CB7BC1" w:rsidP="00911022">
            <w:pPr>
              <w:pStyle w:val="Tabletext"/>
              <w:jc w:val="center"/>
              <w:rPr>
                <w:lang w:eastAsia="zh-CN"/>
              </w:rPr>
            </w:pPr>
            <w:r w:rsidRPr="00BB0C25">
              <w:rPr>
                <w:lang w:eastAsia="zh-CN"/>
              </w:rPr>
              <w:t>FSS1</w:t>
            </w:r>
          </w:p>
        </w:tc>
        <w:tc>
          <w:tcPr>
            <w:tcW w:w="3092" w:type="dxa"/>
            <w:noWrap/>
            <w:tcMar>
              <w:top w:w="0" w:type="dxa"/>
              <w:left w:w="108" w:type="dxa"/>
              <w:bottom w:w="0" w:type="dxa"/>
              <w:right w:w="108" w:type="dxa"/>
            </w:tcMar>
            <w:hideMark/>
          </w:tcPr>
          <w:p w:rsidR="00CB7BC1" w:rsidRPr="00BB0C25" w:rsidRDefault="00CB7BC1" w:rsidP="00911022">
            <w:pPr>
              <w:pStyle w:val="Tabletext"/>
              <w:jc w:val="center"/>
              <w:rPr>
                <w:lang w:eastAsia="zh-CN"/>
              </w:rPr>
            </w:pPr>
            <w:r w:rsidRPr="00BB0C25">
              <w:rPr>
                <w:lang w:eastAsia="zh-CN"/>
              </w:rPr>
              <w:t>3.5%</w:t>
            </w:r>
          </w:p>
        </w:tc>
        <w:tc>
          <w:tcPr>
            <w:tcW w:w="2575" w:type="dxa"/>
            <w:noWrap/>
            <w:tcMar>
              <w:top w:w="0" w:type="dxa"/>
              <w:left w:w="108" w:type="dxa"/>
              <w:bottom w:w="0" w:type="dxa"/>
              <w:right w:w="108" w:type="dxa"/>
            </w:tcMar>
            <w:hideMark/>
          </w:tcPr>
          <w:p w:rsidR="00CB7BC1" w:rsidRPr="00BB0C25" w:rsidRDefault="00CB7BC1" w:rsidP="00911022">
            <w:pPr>
              <w:pStyle w:val="Tabletext"/>
              <w:jc w:val="center"/>
              <w:rPr>
                <w:lang w:eastAsia="zh-CN"/>
              </w:rPr>
            </w:pPr>
            <w:r w:rsidRPr="00BB0C25">
              <w:rPr>
                <w:lang w:eastAsia="zh-CN"/>
              </w:rPr>
              <w:t>15</w:t>
            </w:r>
          </w:p>
        </w:tc>
      </w:tr>
      <w:tr w:rsidR="00CB7BC1" w:rsidRPr="00BB0C25" w:rsidTr="00911022">
        <w:trPr>
          <w:cantSplit/>
          <w:trHeight w:val="300"/>
          <w:jc w:val="center"/>
        </w:trPr>
        <w:tc>
          <w:tcPr>
            <w:tcW w:w="1980" w:type="dxa"/>
            <w:vMerge/>
            <w:noWrap/>
            <w:tcMar>
              <w:top w:w="0" w:type="dxa"/>
              <w:left w:w="108" w:type="dxa"/>
              <w:bottom w:w="0" w:type="dxa"/>
              <w:right w:w="108" w:type="dxa"/>
            </w:tcMar>
            <w:vAlign w:val="center"/>
          </w:tcPr>
          <w:p w:rsidR="00CB7BC1" w:rsidRPr="00BB0C25" w:rsidRDefault="00CB7BC1" w:rsidP="00911022">
            <w:pPr>
              <w:pStyle w:val="Tabletext"/>
              <w:rPr>
                <w:lang w:eastAsia="zh-CN"/>
              </w:rPr>
            </w:pPr>
          </w:p>
        </w:tc>
        <w:tc>
          <w:tcPr>
            <w:tcW w:w="1277" w:type="dxa"/>
          </w:tcPr>
          <w:p w:rsidR="00CB7BC1" w:rsidRPr="00BB0C25" w:rsidRDefault="00CB7BC1" w:rsidP="00911022">
            <w:pPr>
              <w:pStyle w:val="Tabletext"/>
              <w:jc w:val="center"/>
              <w:rPr>
                <w:lang w:eastAsia="zh-CN"/>
              </w:rPr>
            </w:pPr>
            <w:r w:rsidRPr="00BB0C25">
              <w:rPr>
                <w:lang w:eastAsia="zh-CN"/>
              </w:rPr>
              <w:t>FSS2</w:t>
            </w:r>
          </w:p>
        </w:tc>
        <w:tc>
          <w:tcPr>
            <w:tcW w:w="3092"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7.5%</w:t>
            </w:r>
          </w:p>
        </w:tc>
        <w:tc>
          <w:tcPr>
            <w:tcW w:w="2575"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20</w:t>
            </w:r>
          </w:p>
        </w:tc>
      </w:tr>
      <w:tr w:rsidR="00CB7BC1" w:rsidRPr="00BB0C25" w:rsidTr="00911022">
        <w:trPr>
          <w:cantSplit/>
          <w:trHeight w:val="300"/>
          <w:jc w:val="center"/>
        </w:trPr>
        <w:tc>
          <w:tcPr>
            <w:tcW w:w="1980" w:type="dxa"/>
            <w:vMerge/>
            <w:noWrap/>
            <w:tcMar>
              <w:top w:w="0" w:type="dxa"/>
              <w:left w:w="108" w:type="dxa"/>
              <w:bottom w:w="0" w:type="dxa"/>
              <w:right w:w="108" w:type="dxa"/>
            </w:tcMar>
            <w:vAlign w:val="center"/>
          </w:tcPr>
          <w:p w:rsidR="00CB7BC1" w:rsidRPr="00BB0C25" w:rsidRDefault="00CB7BC1" w:rsidP="00911022">
            <w:pPr>
              <w:pStyle w:val="Tabletext"/>
              <w:rPr>
                <w:lang w:eastAsia="zh-CN"/>
              </w:rPr>
            </w:pPr>
          </w:p>
        </w:tc>
        <w:tc>
          <w:tcPr>
            <w:tcW w:w="1277" w:type="dxa"/>
          </w:tcPr>
          <w:p w:rsidR="00CB7BC1" w:rsidRPr="00BB0C25" w:rsidRDefault="00CB7BC1" w:rsidP="00911022">
            <w:pPr>
              <w:pStyle w:val="Tabletext"/>
              <w:jc w:val="center"/>
              <w:rPr>
                <w:lang w:eastAsia="zh-CN"/>
              </w:rPr>
            </w:pPr>
            <w:r w:rsidRPr="00BB0C25">
              <w:rPr>
                <w:lang w:eastAsia="zh-CN"/>
              </w:rPr>
              <w:t>Combined</w:t>
            </w:r>
          </w:p>
        </w:tc>
        <w:tc>
          <w:tcPr>
            <w:tcW w:w="3092"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4.8%</w:t>
            </w:r>
          </w:p>
        </w:tc>
        <w:tc>
          <w:tcPr>
            <w:tcW w:w="2575"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17</w:t>
            </w:r>
          </w:p>
        </w:tc>
      </w:tr>
      <w:tr w:rsidR="00CB7BC1" w:rsidRPr="00BB0C25" w:rsidTr="00911022">
        <w:trPr>
          <w:cantSplit/>
          <w:trHeight w:val="300"/>
          <w:jc w:val="center"/>
        </w:trPr>
        <w:tc>
          <w:tcPr>
            <w:tcW w:w="1980" w:type="dxa"/>
            <w:vMerge w:val="restart"/>
            <w:noWrap/>
            <w:tcMar>
              <w:top w:w="0" w:type="dxa"/>
              <w:left w:w="108" w:type="dxa"/>
              <w:bottom w:w="0" w:type="dxa"/>
              <w:right w:w="108" w:type="dxa"/>
            </w:tcMar>
            <w:vAlign w:val="center"/>
            <w:hideMark/>
          </w:tcPr>
          <w:p w:rsidR="00CB7BC1" w:rsidRPr="00BB0C25" w:rsidRDefault="00CB7BC1" w:rsidP="00911022">
            <w:pPr>
              <w:pStyle w:val="Tabletext"/>
              <w:rPr>
                <w:lang w:eastAsia="zh-CN"/>
              </w:rPr>
            </w:pPr>
            <w:r w:rsidRPr="00BB0C25">
              <w:rPr>
                <w:lang w:eastAsia="zh-CN"/>
              </w:rPr>
              <w:t>Point-to-</w:t>
            </w:r>
            <w:r>
              <w:rPr>
                <w:lang w:eastAsia="zh-CN"/>
              </w:rPr>
              <w:t>P</w:t>
            </w:r>
            <w:r w:rsidRPr="00BB0C25">
              <w:rPr>
                <w:lang w:eastAsia="zh-CN"/>
              </w:rPr>
              <w:t>oint</w:t>
            </w:r>
          </w:p>
        </w:tc>
        <w:tc>
          <w:tcPr>
            <w:tcW w:w="1277" w:type="dxa"/>
          </w:tcPr>
          <w:p w:rsidR="00CB7BC1" w:rsidRPr="00BB0C25" w:rsidRDefault="00CB7BC1" w:rsidP="00911022">
            <w:pPr>
              <w:pStyle w:val="Tabletext"/>
              <w:jc w:val="center"/>
              <w:rPr>
                <w:lang w:eastAsia="zh-CN"/>
              </w:rPr>
            </w:pPr>
            <w:r w:rsidRPr="00BB0C25">
              <w:rPr>
                <w:lang w:eastAsia="zh-CN"/>
              </w:rPr>
              <w:t>FSS1</w:t>
            </w:r>
          </w:p>
        </w:tc>
        <w:tc>
          <w:tcPr>
            <w:tcW w:w="3092" w:type="dxa"/>
            <w:noWrap/>
            <w:tcMar>
              <w:top w:w="0" w:type="dxa"/>
              <w:left w:w="108" w:type="dxa"/>
              <w:bottom w:w="0" w:type="dxa"/>
              <w:right w:w="108" w:type="dxa"/>
            </w:tcMar>
            <w:hideMark/>
          </w:tcPr>
          <w:p w:rsidR="00CB7BC1" w:rsidRPr="00BB0C25" w:rsidRDefault="00CB7BC1" w:rsidP="00911022">
            <w:pPr>
              <w:pStyle w:val="Tabletext"/>
              <w:jc w:val="center"/>
              <w:rPr>
                <w:lang w:eastAsia="zh-CN"/>
              </w:rPr>
            </w:pPr>
            <w:r w:rsidRPr="00BB0C25">
              <w:rPr>
                <w:lang w:eastAsia="zh-CN"/>
              </w:rPr>
              <w:t>35.0%</w:t>
            </w:r>
          </w:p>
        </w:tc>
        <w:tc>
          <w:tcPr>
            <w:tcW w:w="2575" w:type="dxa"/>
            <w:noWrap/>
            <w:tcMar>
              <w:top w:w="0" w:type="dxa"/>
              <w:left w:w="108" w:type="dxa"/>
              <w:bottom w:w="0" w:type="dxa"/>
              <w:right w:w="108" w:type="dxa"/>
            </w:tcMar>
            <w:hideMark/>
          </w:tcPr>
          <w:p w:rsidR="00CB7BC1" w:rsidRPr="00BB0C25" w:rsidRDefault="00CB7BC1" w:rsidP="00911022">
            <w:pPr>
              <w:pStyle w:val="Tabletext"/>
              <w:jc w:val="center"/>
              <w:rPr>
                <w:lang w:eastAsia="zh-CN"/>
              </w:rPr>
            </w:pPr>
            <w:r w:rsidRPr="00BB0C25">
              <w:rPr>
                <w:lang w:eastAsia="zh-CN"/>
              </w:rPr>
              <w:t>149</w:t>
            </w:r>
          </w:p>
        </w:tc>
      </w:tr>
      <w:tr w:rsidR="00CB7BC1" w:rsidRPr="00BB0C25" w:rsidTr="00911022">
        <w:trPr>
          <w:cantSplit/>
          <w:trHeight w:val="300"/>
          <w:jc w:val="center"/>
        </w:trPr>
        <w:tc>
          <w:tcPr>
            <w:tcW w:w="1980" w:type="dxa"/>
            <w:vMerge/>
            <w:noWrap/>
            <w:tcMar>
              <w:top w:w="0" w:type="dxa"/>
              <w:left w:w="108" w:type="dxa"/>
              <w:bottom w:w="0" w:type="dxa"/>
              <w:right w:w="108" w:type="dxa"/>
            </w:tcMar>
            <w:vAlign w:val="center"/>
          </w:tcPr>
          <w:p w:rsidR="00CB7BC1" w:rsidRPr="00BB0C25" w:rsidRDefault="00CB7BC1" w:rsidP="00911022">
            <w:pPr>
              <w:pStyle w:val="Tabletext"/>
              <w:rPr>
                <w:lang w:eastAsia="zh-CN"/>
              </w:rPr>
            </w:pPr>
          </w:p>
        </w:tc>
        <w:tc>
          <w:tcPr>
            <w:tcW w:w="1277" w:type="dxa"/>
          </w:tcPr>
          <w:p w:rsidR="00CB7BC1" w:rsidRPr="00BB0C25" w:rsidRDefault="00CB7BC1" w:rsidP="00911022">
            <w:pPr>
              <w:pStyle w:val="Tabletext"/>
              <w:jc w:val="center"/>
              <w:rPr>
                <w:lang w:eastAsia="zh-CN"/>
              </w:rPr>
            </w:pPr>
            <w:r w:rsidRPr="00BB0C25">
              <w:rPr>
                <w:lang w:eastAsia="zh-CN"/>
              </w:rPr>
              <w:t>FSS2</w:t>
            </w:r>
          </w:p>
        </w:tc>
        <w:tc>
          <w:tcPr>
            <w:tcW w:w="3092"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6.9%</w:t>
            </w:r>
          </w:p>
        </w:tc>
        <w:tc>
          <w:tcPr>
            <w:tcW w:w="2575"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18</w:t>
            </w:r>
          </w:p>
        </w:tc>
      </w:tr>
      <w:tr w:rsidR="00CB7BC1" w:rsidRPr="00BB0C25" w:rsidTr="00911022">
        <w:trPr>
          <w:cantSplit/>
          <w:trHeight w:val="300"/>
          <w:jc w:val="center"/>
        </w:trPr>
        <w:tc>
          <w:tcPr>
            <w:tcW w:w="1980" w:type="dxa"/>
            <w:vMerge/>
            <w:noWrap/>
            <w:tcMar>
              <w:top w:w="0" w:type="dxa"/>
              <w:left w:w="108" w:type="dxa"/>
              <w:bottom w:w="0" w:type="dxa"/>
              <w:right w:w="108" w:type="dxa"/>
            </w:tcMar>
            <w:vAlign w:val="center"/>
          </w:tcPr>
          <w:p w:rsidR="00CB7BC1" w:rsidRPr="00BB0C25" w:rsidRDefault="00CB7BC1" w:rsidP="00911022">
            <w:pPr>
              <w:pStyle w:val="Tabletext"/>
              <w:rPr>
                <w:lang w:eastAsia="zh-CN"/>
              </w:rPr>
            </w:pPr>
          </w:p>
        </w:tc>
        <w:tc>
          <w:tcPr>
            <w:tcW w:w="1277" w:type="dxa"/>
          </w:tcPr>
          <w:p w:rsidR="00CB7BC1" w:rsidRPr="00BB0C25" w:rsidRDefault="00CB7BC1" w:rsidP="00911022">
            <w:pPr>
              <w:pStyle w:val="Tabletext"/>
              <w:jc w:val="center"/>
              <w:rPr>
                <w:lang w:eastAsia="zh-CN"/>
              </w:rPr>
            </w:pPr>
            <w:r w:rsidRPr="00BB0C25">
              <w:rPr>
                <w:lang w:eastAsia="zh-CN"/>
              </w:rPr>
              <w:t>Combined</w:t>
            </w:r>
          </w:p>
        </w:tc>
        <w:tc>
          <w:tcPr>
            <w:tcW w:w="3092"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25.9%</w:t>
            </w:r>
          </w:p>
        </w:tc>
        <w:tc>
          <w:tcPr>
            <w:tcW w:w="2575" w:type="dxa"/>
            <w:noWrap/>
            <w:tcMar>
              <w:top w:w="0" w:type="dxa"/>
              <w:left w:w="108" w:type="dxa"/>
              <w:bottom w:w="0" w:type="dxa"/>
              <w:right w:w="108" w:type="dxa"/>
            </w:tcMar>
          </w:tcPr>
          <w:p w:rsidR="00CB7BC1" w:rsidRPr="00BB0C25" w:rsidRDefault="00CB7BC1" w:rsidP="00911022">
            <w:pPr>
              <w:pStyle w:val="Tabletext"/>
              <w:jc w:val="center"/>
              <w:rPr>
                <w:lang w:eastAsia="zh-CN"/>
              </w:rPr>
            </w:pPr>
            <w:r w:rsidRPr="00BB0C25">
              <w:rPr>
                <w:lang w:eastAsia="zh-CN"/>
              </w:rPr>
              <w:t>92</w:t>
            </w:r>
          </w:p>
        </w:tc>
      </w:tr>
      <w:tr w:rsidR="00CB7BC1" w:rsidRPr="00BB0C25" w:rsidTr="00911022">
        <w:trPr>
          <w:cantSplit/>
          <w:trHeight w:val="300"/>
          <w:jc w:val="center"/>
        </w:trPr>
        <w:tc>
          <w:tcPr>
            <w:tcW w:w="1980" w:type="dxa"/>
            <w:vMerge w:val="restart"/>
            <w:noWrap/>
            <w:tcMar>
              <w:top w:w="0" w:type="dxa"/>
              <w:left w:w="108" w:type="dxa"/>
              <w:bottom w:w="0" w:type="dxa"/>
              <w:right w:w="108" w:type="dxa"/>
            </w:tcMar>
            <w:vAlign w:val="center"/>
          </w:tcPr>
          <w:p w:rsidR="00CB7BC1" w:rsidRPr="00BB0C25" w:rsidRDefault="00CB7BC1" w:rsidP="00911022">
            <w:pPr>
              <w:pStyle w:val="Tabletext"/>
              <w:rPr>
                <w:lang w:eastAsia="zh-CN"/>
              </w:rPr>
            </w:pPr>
            <w:r w:rsidRPr="00BB0C25">
              <w:rPr>
                <w:lang w:eastAsia="zh-CN"/>
              </w:rPr>
              <w:t>All</w:t>
            </w:r>
          </w:p>
        </w:tc>
        <w:tc>
          <w:tcPr>
            <w:tcW w:w="1277" w:type="dxa"/>
          </w:tcPr>
          <w:p w:rsidR="00CB7BC1" w:rsidRPr="00BB0C25" w:rsidRDefault="00CB7BC1" w:rsidP="00911022">
            <w:pPr>
              <w:pStyle w:val="Tabletext"/>
              <w:jc w:val="center"/>
              <w:rPr>
                <w:lang w:eastAsia="zh-CN"/>
              </w:rPr>
            </w:pPr>
            <w:r w:rsidRPr="00BB0C25">
              <w:rPr>
                <w:lang w:eastAsia="zh-CN"/>
              </w:rPr>
              <w:t>FSS1</w:t>
            </w:r>
          </w:p>
        </w:tc>
        <w:tc>
          <w:tcPr>
            <w:tcW w:w="3092" w:type="dxa"/>
            <w:noWrap/>
            <w:tcMar>
              <w:top w:w="0" w:type="dxa"/>
              <w:left w:w="108" w:type="dxa"/>
              <w:bottom w:w="0" w:type="dxa"/>
              <w:right w:w="108" w:type="dxa"/>
            </w:tcMar>
            <w:vAlign w:val="center"/>
          </w:tcPr>
          <w:p w:rsidR="00CB7BC1" w:rsidRPr="00BB0C25" w:rsidRDefault="00CB7BC1" w:rsidP="00911022">
            <w:pPr>
              <w:pStyle w:val="Tabletext"/>
              <w:jc w:val="center"/>
              <w:rPr>
                <w:lang w:eastAsia="zh-CN"/>
              </w:rPr>
            </w:pPr>
            <w:r w:rsidRPr="00BB0C25">
              <w:rPr>
                <w:lang w:eastAsia="zh-CN"/>
              </w:rPr>
              <w:t>100%</w:t>
            </w:r>
          </w:p>
        </w:tc>
        <w:tc>
          <w:tcPr>
            <w:tcW w:w="2575" w:type="dxa"/>
            <w:noWrap/>
            <w:tcMar>
              <w:top w:w="0" w:type="dxa"/>
              <w:left w:w="108" w:type="dxa"/>
              <w:bottom w:w="0" w:type="dxa"/>
              <w:right w:w="108" w:type="dxa"/>
            </w:tcMar>
            <w:vAlign w:val="center"/>
          </w:tcPr>
          <w:p w:rsidR="00CB7BC1" w:rsidRPr="00BB0C25" w:rsidRDefault="00CB7BC1" w:rsidP="00911022">
            <w:pPr>
              <w:pStyle w:val="Tabletext"/>
              <w:jc w:val="center"/>
              <w:rPr>
                <w:lang w:eastAsia="zh-CN"/>
              </w:rPr>
            </w:pPr>
            <w:r w:rsidRPr="00BB0C25">
              <w:rPr>
                <w:lang w:eastAsia="zh-CN"/>
              </w:rPr>
              <w:t>426</w:t>
            </w:r>
          </w:p>
        </w:tc>
      </w:tr>
      <w:tr w:rsidR="00CB7BC1" w:rsidRPr="00BB0C25" w:rsidTr="00911022">
        <w:trPr>
          <w:cantSplit/>
          <w:trHeight w:val="300"/>
          <w:jc w:val="center"/>
        </w:trPr>
        <w:tc>
          <w:tcPr>
            <w:tcW w:w="1980" w:type="dxa"/>
            <w:vMerge/>
            <w:noWrap/>
            <w:tcMar>
              <w:top w:w="0" w:type="dxa"/>
              <w:left w:w="108" w:type="dxa"/>
              <w:bottom w:w="0" w:type="dxa"/>
              <w:right w:w="108" w:type="dxa"/>
            </w:tcMar>
            <w:vAlign w:val="center"/>
          </w:tcPr>
          <w:p w:rsidR="00CB7BC1" w:rsidRPr="00BB0C25" w:rsidRDefault="00CB7BC1" w:rsidP="00911022">
            <w:pPr>
              <w:pStyle w:val="Tabletext"/>
              <w:rPr>
                <w:lang w:eastAsia="zh-CN"/>
              </w:rPr>
            </w:pPr>
          </w:p>
        </w:tc>
        <w:tc>
          <w:tcPr>
            <w:tcW w:w="1277" w:type="dxa"/>
          </w:tcPr>
          <w:p w:rsidR="00CB7BC1" w:rsidRPr="00BB0C25" w:rsidRDefault="00CB7BC1" w:rsidP="00911022">
            <w:pPr>
              <w:pStyle w:val="Tabletext"/>
              <w:jc w:val="center"/>
              <w:rPr>
                <w:lang w:eastAsia="zh-CN"/>
              </w:rPr>
            </w:pPr>
            <w:r w:rsidRPr="00BB0C25">
              <w:rPr>
                <w:lang w:eastAsia="zh-CN"/>
              </w:rPr>
              <w:t>FSS2</w:t>
            </w:r>
          </w:p>
        </w:tc>
        <w:tc>
          <w:tcPr>
            <w:tcW w:w="3092" w:type="dxa"/>
            <w:noWrap/>
            <w:tcMar>
              <w:top w:w="0" w:type="dxa"/>
              <w:left w:w="108" w:type="dxa"/>
              <w:bottom w:w="0" w:type="dxa"/>
              <w:right w:w="108" w:type="dxa"/>
            </w:tcMar>
            <w:vAlign w:val="center"/>
          </w:tcPr>
          <w:p w:rsidR="00CB7BC1" w:rsidRPr="00BB0C25" w:rsidRDefault="00CB7BC1" w:rsidP="00911022">
            <w:pPr>
              <w:pStyle w:val="Tabletext"/>
              <w:jc w:val="center"/>
              <w:rPr>
                <w:lang w:eastAsia="zh-CN"/>
              </w:rPr>
            </w:pPr>
            <w:r w:rsidRPr="00BB0C25">
              <w:rPr>
                <w:lang w:eastAsia="zh-CN"/>
              </w:rPr>
              <w:t>100%</w:t>
            </w:r>
          </w:p>
        </w:tc>
        <w:tc>
          <w:tcPr>
            <w:tcW w:w="2575" w:type="dxa"/>
            <w:noWrap/>
            <w:tcMar>
              <w:top w:w="0" w:type="dxa"/>
              <w:left w:w="108" w:type="dxa"/>
              <w:bottom w:w="0" w:type="dxa"/>
              <w:right w:w="108" w:type="dxa"/>
            </w:tcMar>
            <w:vAlign w:val="center"/>
          </w:tcPr>
          <w:p w:rsidR="00CB7BC1" w:rsidRPr="00BB0C25" w:rsidRDefault="00CB7BC1" w:rsidP="00911022">
            <w:pPr>
              <w:pStyle w:val="Tabletext"/>
              <w:jc w:val="center"/>
              <w:rPr>
                <w:lang w:eastAsia="zh-CN"/>
              </w:rPr>
            </w:pPr>
            <w:r w:rsidRPr="00BB0C25">
              <w:rPr>
                <w:lang w:eastAsia="zh-CN"/>
              </w:rPr>
              <w:t>264</w:t>
            </w:r>
          </w:p>
        </w:tc>
      </w:tr>
      <w:tr w:rsidR="00CB7BC1" w:rsidRPr="00BB0C25" w:rsidTr="00911022">
        <w:trPr>
          <w:cantSplit/>
          <w:trHeight w:val="300"/>
          <w:jc w:val="center"/>
        </w:trPr>
        <w:tc>
          <w:tcPr>
            <w:tcW w:w="1980" w:type="dxa"/>
            <w:vMerge/>
            <w:noWrap/>
            <w:tcMar>
              <w:top w:w="0" w:type="dxa"/>
              <w:left w:w="108" w:type="dxa"/>
              <w:bottom w:w="0" w:type="dxa"/>
              <w:right w:w="108" w:type="dxa"/>
            </w:tcMar>
            <w:vAlign w:val="center"/>
          </w:tcPr>
          <w:p w:rsidR="00CB7BC1" w:rsidRPr="00BB0C25" w:rsidRDefault="00CB7BC1" w:rsidP="00911022">
            <w:pPr>
              <w:pStyle w:val="Tabletext"/>
              <w:rPr>
                <w:lang w:eastAsia="zh-CN"/>
              </w:rPr>
            </w:pPr>
          </w:p>
        </w:tc>
        <w:tc>
          <w:tcPr>
            <w:tcW w:w="1277" w:type="dxa"/>
          </w:tcPr>
          <w:p w:rsidR="00CB7BC1" w:rsidRPr="00BB0C25" w:rsidRDefault="00CB7BC1" w:rsidP="00911022">
            <w:pPr>
              <w:pStyle w:val="Tabletext"/>
              <w:jc w:val="center"/>
              <w:rPr>
                <w:lang w:eastAsia="zh-CN"/>
              </w:rPr>
            </w:pPr>
            <w:r w:rsidRPr="00BB0C25">
              <w:rPr>
                <w:lang w:eastAsia="zh-CN"/>
              </w:rPr>
              <w:t>Combined</w:t>
            </w:r>
          </w:p>
        </w:tc>
        <w:tc>
          <w:tcPr>
            <w:tcW w:w="3092" w:type="dxa"/>
            <w:noWrap/>
            <w:tcMar>
              <w:top w:w="0" w:type="dxa"/>
              <w:left w:w="108" w:type="dxa"/>
              <w:bottom w:w="0" w:type="dxa"/>
              <w:right w:w="108" w:type="dxa"/>
            </w:tcMar>
            <w:vAlign w:val="center"/>
          </w:tcPr>
          <w:p w:rsidR="00CB7BC1" w:rsidRPr="00BB0C25" w:rsidRDefault="00CB7BC1" w:rsidP="00911022">
            <w:pPr>
              <w:pStyle w:val="Tabletext"/>
              <w:jc w:val="center"/>
              <w:rPr>
                <w:lang w:eastAsia="zh-CN"/>
              </w:rPr>
            </w:pPr>
            <w:r w:rsidRPr="00BB0C25">
              <w:rPr>
                <w:lang w:eastAsia="zh-CN"/>
              </w:rPr>
              <w:t>100%</w:t>
            </w:r>
          </w:p>
        </w:tc>
        <w:tc>
          <w:tcPr>
            <w:tcW w:w="2575" w:type="dxa"/>
            <w:noWrap/>
            <w:tcMar>
              <w:top w:w="0" w:type="dxa"/>
              <w:left w:w="108" w:type="dxa"/>
              <w:bottom w:w="0" w:type="dxa"/>
              <w:right w:w="108" w:type="dxa"/>
            </w:tcMar>
            <w:vAlign w:val="center"/>
          </w:tcPr>
          <w:p w:rsidR="00CB7BC1" w:rsidRPr="00BB0C25" w:rsidRDefault="00CB7BC1" w:rsidP="00911022">
            <w:pPr>
              <w:pStyle w:val="Tabletext"/>
              <w:jc w:val="center"/>
              <w:rPr>
                <w:lang w:eastAsia="zh-CN"/>
              </w:rPr>
            </w:pPr>
            <w:r w:rsidRPr="00BB0C25">
              <w:rPr>
                <w:lang w:eastAsia="zh-CN"/>
              </w:rPr>
              <w:t>355</w:t>
            </w:r>
          </w:p>
        </w:tc>
      </w:tr>
    </w:tbl>
    <w:p w:rsidR="00CB7BC1" w:rsidRPr="00BB0C25" w:rsidRDefault="00CB7BC1" w:rsidP="00CB7BC1">
      <w:pPr>
        <w:pStyle w:val="Heading2"/>
      </w:pPr>
      <w:bookmarkStart w:id="26" w:name="_Toc428545742"/>
      <w:r w:rsidRPr="00BB0C25">
        <w:lastRenderedPageBreak/>
        <w:t>3.7</w:t>
      </w:r>
      <w:r w:rsidRPr="00BB0C25">
        <w:tab/>
        <w:t>GSO FSS satellite locations and distributions</w:t>
      </w:r>
      <w:bookmarkEnd w:id="26"/>
    </w:p>
    <w:p w:rsidR="00CB7BC1" w:rsidRPr="00CB7BC1" w:rsidRDefault="00CB7BC1" w:rsidP="00CB7BC1">
      <w:pPr>
        <w:rPr>
          <w:lang w:val="en-US"/>
        </w:rPr>
      </w:pPr>
      <w:r w:rsidRPr="00CB7BC1">
        <w:rPr>
          <w:lang w:val="en-US"/>
        </w:rPr>
        <w:t>For the purpose of study, a 3° spacing could be assumed, even if in some portions of the orbital arc less than or greater than 3° spacing is employed.</w:t>
      </w:r>
    </w:p>
    <w:p w:rsidR="00CB7BC1" w:rsidRPr="00CB7BC1" w:rsidRDefault="00CB7BC1" w:rsidP="00CB7BC1">
      <w:pPr>
        <w:rPr>
          <w:rFonts w:cs="Calibri"/>
          <w:lang w:val="en-US"/>
        </w:rPr>
      </w:pPr>
      <w:r w:rsidRPr="00CB7BC1">
        <w:rPr>
          <w:rFonts w:cs="Calibri"/>
          <w:lang w:val="en-US"/>
        </w:rPr>
        <w:t>Using this 3° spacing will lead to considering 120 FSS satellites in uplink studies involving the three ITU Regions.</w:t>
      </w:r>
    </w:p>
    <w:p w:rsidR="00CB7BC1" w:rsidRPr="00CB7BC1" w:rsidRDefault="00CB7BC1" w:rsidP="00CB7BC1">
      <w:pPr>
        <w:pStyle w:val="Heading2"/>
        <w:rPr>
          <w:lang w:val="en-US"/>
        </w:rPr>
      </w:pPr>
      <w:bookmarkStart w:id="27" w:name="_Toc428545743"/>
      <w:r w:rsidRPr="00CB7BC1">
        <w:rPr>
          <w:lang w:val="en-US"/>
        </w:rPr>
        <w:t>3.8</w:t>
      </w:r>
      <w:r w:rsidRPr="00CB7BC1">
        <w:rPr>
          <w:lang w:val="en-US"/>
        </w:rPr>
        <w:tab/>
        <w:t>FSS earth station deployment methodology</w:t>
      </w:r>
      <w:bookmarkEnd w:id="27"/>
    </w:p>
    <w:p w:rsidR="00CB7BC1" w:rsidRPr="00CB7BC1" w:rsidRDefault="00CB7BC1" w:rsidP="00CB7BC1">
      <w:pPr>
        <w:rPr>
          <w:szCs w:val="24"/>
          <w:lang w:val="en-US"/>
        </w:rPr>
      </w:pPr>
      <w:r w:rsidRPr="00CB7BC1">
        <w:rPr>
          <w:szCs w:val="24"/>
          <w:lang w:val="en-US"/>
        </w:rPr>
        <w:t>The FSS earth station deployment methodology below can be used to estimate how earth stations may be deployed in the bands under consideration. The deployment model to be used will be different for the cases of space</w:t>
      </w:r>
      <w:r w:rsidRPr="00CB7BC1">
        <w:rPr>
          <w:szCs w:val="24"/>
          <w:lang w:val="en-US"/>
        </w:rPr>
        <w:noBreakHyphen/>
        <w:t xml:space="preserve">based victim receivers and terrestrial/aeronautical receivers.  </w:t>
      </w:r>
    </w:p>
    <w:p w:rsidR="00CB7BC1" w:rsidRPr="00CB7BC1" w:rsidRDefault="00CB7BC1" w:rsidP="00CB7BC1">
      <w:pPr>
        <w:pStyle w:val="Heading3"/>
        <w:rPr>
          <w:lang w:val="en-US"/>
        </w:rPr>
      </w:pPr>
      <w:bookmarkStart w:id="28" w:name="_Toc428545744"/>
      <w:r w:rsidRPr="00CB7BC1">
        <w:rPr>
          <w:lang w:val="en-US"/>
        </w:rPr>
        <w:t>3.8.1</w:t>
      </w:r>
      <w:r w:rsidRPr="00CB7BC1">
        <w:rPr>
          <w:lang w:val="en-US"/>
        </w:rPr>
        <w:tab/>
        <w:t>Deployment methodology for non-GSO receiver studies</w:t>
      </w:r>
      <w:bookmarkEnd w:id="28"/>
    </w:p>
    <w:p w:rsidR="00CB7BC1" w:rsidRPr="00BB0C25" w:rsidRDefault="00CB7BC1" w:rsidP="00CB7BC1">
      <w:pPr>
        <w:overflowPunct/>
        <w:autoSpaceDE/>
        <w:autoSpaceDN/>
        <w:adjustRightInd/>
        <w:textAlignment w:val="auto"/>
        <w:rPr>
          <w:szCs w:val="24"/>
          <w:lang w:val="en-US"/>
        </w:rPr>
      </w:pPr>
      <w:r w:rsidRPr="00BB0C25">
        <w:rPr>
          <w:szCs w:val="24"/>
          <w:lang w:val="en-US"/>
        </w:rPr>
        <w:t xml:space="preserve">In the interference simulations, the following methodology should be used to distribute earth stations over the Earth’s surface. In an attempt to model a realistic scenario, earth stations are randomly distributed among cities taken from the U.N. city database with a normally distributed weighting factor based on city population. Within a given city, </w:t>
      </w:r>
      <w:r>
        <w:rPr>
          <w:szCs w:val="24"/>
          <w:lang w:val="en-US"/>
        </w:rPr>
        <w:t>e</w:t>
      </w:r>
      <w:r w:rsidRPr="00BB0C25">
        <w:rPr>
          <w:szCs w:val="24"/>
          <w:lang w:val="en-US"/>
        </w:rPr>
        <w:t>arth stations are randomly distributed within a circular area based on the city’s equivalent area as a function of population.</w:t>
      </w:r>
    </w:p>
    <w:p w:rsidR="00CB7BC1" w:rsidRPr="00CB7BC1" w:rsidRDefault="00CB7BC1" w:rsidP="00CB7BC1">
      <w:pPr>
        <w:rPr>
          <w:lang w:val="en-US"/>
        </w:rPr>
      </w:pPr>
      <w:r w:rsidRPr="00CB7BC1">
        <w:rPr>
          <w:lang w:val="en-US"/>
        </w:rPr>
        <w:t>The following provides an outline of the steps to distribute the earth station deployment for the studies to be performed:</w:t>
      </w:r>
    </w:p>
    <w:p w:rsidR="00CB7BC1" w:rsidRPr="00CB7BC1" w:rsidRDefault="00CB7BC1" w:rsidP="00911022">
      <w:pPr>
        <w:pStyle w:val="enumlev1"/>
        <w:rPr>
          <w:lang w:val="en-US"/>
        </w:rPr>
      </w:pPr>
      <w:r w:rsidRPr="00CB7BC1">
        <w:rPr>
          <w:lang w:val="en-US"/>
        </w:rPr>
        <w:t>1)</w:t>
      </w:r>
      <w:r w:rsidRPr="00CB7BC1">
        <w:rPr>
          <w:lang w:val="en-US"/>
        </w:rPr>
        <w:tab/>
        <w:t>Determine the global d</w:t>
      </w:r>
      <w:r w:rsidR="00911022">
        <w:rPr>
          <w:lang w:val="en-US"/>
        </w:rPr>
        <w:t>eployment characteristics (e.g.</w:t>
      </w:r>
      <w:r w:rsidRPr="00CB7BC1">
        <w:rPr>
          <w:lang w:val="en-US"/>
        </w:rPr>
        <w:t xml:space="preserve"> number of transmissions vs transmission type) of ES to be simulated according to the agreed upon ES characteristics and methodology set forth in </w:t>
      </w:r>
      <w:r w:rsidR="00911022">
        <w:rPr>
          <w:lang w:val="en-US"/>
        </w:rPr>
        <w:t>§</w:t>
      </w:r>
      <w:r w:rsidRPr="00CB7BC1">
        <w:rPr>
          <w:lang w:val="en-US"/>
        </w:rPr>
        <w:t xml:space="preserve"> 3.1 through </w:t>
      </w:r>
      <w:r w:rsidR="00911022">
        <w:rPr>
          <w:lang w:val="en-US"/>
        </w:rPr>
        <w:t>§</w:t>
      </w:r>
      <w:r w:rsidRPr="00CB7BC1">
        <w:rPr>
          <w:lang w:val="en-US"/>
        </w:rPr>
        <w:t xml:space="preserve"> 3.7.</w:t>
      </w:r>
    </w:p>
    <w:p w:rsidR="00CB7BC1" w:rsidRPr="00CB7BC1" w:rsidRDefault="00CB7BC1" w:rsidP="00911022">
      <w:pPr>
        <w:pStyle w:val="enumlev1"/>
        <w:rPr>
          <w:lang w:val="en-US"/>
        </w:rPr>
      </w:pPr>
      <w:r w:rsidRPr="00CB7BC1">
        <w:rPr>
          <w:lang w:val="en-US"/>
        </w:rPr>
        <w:t>2)</w:t>
      </w:r>
      <w:r w:rsidRPr="00CB7BC1">
        <w:rPr>
          <w:lang w:val="en-US"/>
        </w:rPr>
        <w:tab/>
        <w:t>The earth stations identified as VSAT</w:t>
      </w:r>
      <w:r w:rsidRPr="00BB0C25">
        <w:rPr>
          <w:position w:val="6"/>
          <w:sz w:val="18"/>
        </w:rPr>
        <w:footnoteReference w:id="11"/>
      </w:r>
      <w:r w:rsidRPr="00CB7BC1">
        <w:rPr>
          <w:lang w:val="en-US"/>
        </w:rPr>
        <w:t xml:space="preserve"> or Point-to-Point transmission types can be distributed varying between 100% uniformly on land masses and 100% within city populations as described in Steps 4 through 8. For the earth stations that are uniformly distributed, the distribution should be between 65 degrees North latitude and 50 degrees South latitude. It is recommended that parametric studies be conducted examining the impact of the distribution of the VSAT and Point-to-Point transmission type earth stations varying between 100% uniformly on land masses and 100% within city populations.</w:t>
      </w:r>
    </w:p>
    <w:p w:rsidR="00CB7BC1" w:rsidRPr="00CB7BC1" w:rsidRDefault="00CB7BC1" w:rsidP="00911022">
      <w:pPr>
        <w:pStyle w:val="enumlev1"/>
        <w:rPr>
          <w:lang w:val="en-US"/>
        </w:rPr>
      </w:pPr>
      <w:r w:rsidRPr="00CB7BC1">
        <w:rPr>
          <w:lang w:val="en-US"/>
        </w:rPr>
        <w:t>3)</w:t>
      </w:r>
      <w:r w:rsidRPr="00CB7BC1">
        <w:rPr>
          <w:lang w:val="en-US"/>
        </w:rPr>
        <w:tab/>
        <w:t>For the number of earth stations identified as Wideband distribute them according to Steps 4 through 8 below.</w:t>
      </w:r>
    </w:p>
    <w:p w:rsidR="00CB7BC1" w:rsidRPr="00CB7BC1" w:rsidRDefault="00CB7BC1" w:rsidP="00911022">
      <w:pPr>
        <w:pStyle w:val="enumlev1"/>
        <w:rPr>
          <w:lang w:val="en-US"/>
        </w:rPr>
      </w:pPr>
      <w:r w:rsidRPr="00CB7BC1">
        <w:rPr>
          <w:lang w:val="en-US"/>
        </w:rPr>
        <w:t>4)</w:t>
      </w:r>
      <w:r w:rsidRPr="00CB7BC1">
        <w:rPr>
          <w:lang w:val="en-US"/>
        </w:rPr>
        <w:tab/>
        <w:t>Load U.N. world city database consisting of world cities with population and lat/lon data.</w:t>
      </w:r>
    </w:p>
    <w:p w:rsidR="00CB7BC1" w:rsidRPr="00CB7BC1" w:rsidRDefault="00CB7BC1" w:rsidP="00911022">
      <w:pPr>
        <w:pStyle w:val="enumlev1"/>
        <w:rPr>
          <w:lang w:val="en-US"/>
        </w:rPr>
      </w:pPr>
      <w:r w:rsidRPr="00CB7BC1">
        <w:rPr>
          <w:lang w:val="en-US"/>
        </w:rPr>
        <w:t>5)</w:t>
      </w:r>
      <w:r w:rsidRPr="00CB7BC1">
        <w:rPr>
          <w:lang w:val="en-US"/>
        </w:rPr>
        <w:tab/>
        <w:t xml:space="preserve">Specify a population threshold and extract those cities from the U.N. database whose population exceed this threshold (e.g. 545 cities have population </w:t>
      </w:r>
      <w:r w:rsidRPr="00BB0C25">
        <w:sym w:font="Symbol" w:char="F0B3"/>
      </w:r>
      <w:r w:rsidRPr="00CB7BC1">
        <w:rPr>
          <w:lang w:val="en-US"/>
        </w:rPr>
        <w:t xml:space="preserve"> 500 000 people).</w:t>
      </w:r>
    </w:p>
    <w:p w:rsidR="00CB7BC1" w:rsidRPr="00CB7BC1" w:rsidRDefault="00CB7BC1" w:rsidP="00911022">
      <w:pPr>
        <w:pStyle w:val="enumlev1"/>
        <w:rPr>
          <w:lang w:val="en-US"/>
        </w:rPr>
      </w:pPr>
      <w:r w:rsidRPr="00CB7BC1">
        <w:rPr>
          <w:lang w:val="en-US"/>
        </w:rPr>
        <w:t>6)</w:t>
      </w:r>
      <w:r w:rsidRPr="00CB7BC1">
        <w:rPr>
          <w:lang w:val="en-US"/>
        </w:rPr>
        <w:tab/>
        <w:t>Compute the equivalent area urban radii of the cities in Step 5 using the empirical relationship R</w:t>
      </w:r>
      <w:r w:rsidRPr="00CB7BC1">
        <w:rPr>
          <w:vertAlign w:val="subscript"/>
          <w:lang w:val="en-US"/>
        </w:rPr>
        <w:t>p</w:t>
      </w:r>
      <w:r w:rsidRPr="00CB7BC1">
        <w:rPr>
          <w:lang w:val="en-US"/>
        </w:rPr>
        <w:t xml:space="preserve"> = </w:t>
      </w:r>
      <w:r w:rsidRPr="00BB0C25">
        <w:sym w:font="Symbol" w:char="F061"/>
      </w:r>
      <w:r w:rsidRPr="00CB7BC1">
        <w:rPr>
          <w:lang w:val="en-US"/>
        </w:rPr>
        <w:t>P</w:t>
      </w:r>
      <w:r w:rsidRPr="00BB0C25">
        <w:rPr>
          <w:vertAlign w:val="superscript"/>
        </w:rPr>
        <w:sym w:font="Symbol" w:char="F062"/>
      </w:r>
      <w:r w:rsidRPr="00CB7BC1">
        <w:rPr>
          <w:lang w:val="en-US"/>
        </w:rPr>
        <w:t xml:space="preserve"> (km) where P is the city population and </w:t>
      </w:r>
      <w:r w:rsidRPr="00BB0C25">
        <w:sym w:font="Symbol" w:char="F061"/>
      </w:r>
      <w:r w:rsidRPr="00CB7BC1">
        <w:rPr>
          <w:lang w:val="en-US"/>
        </w:rPr>
        <w:t xml:space="preserve"> and </w:t>
      </w:r>
      <w:r w:rsidRPr="00BB0C25">
        <w:sym w:font="Symbol" w:char="F062"/>
      </w:r>
      <w:r w:rsidRPr="00CB7BC1">
        <w:rPr>
          <w:lang w:val="en-US"/>
        </w:rPr>
        <w:t xml:space="preserve"> are constants (see Recommendation ITU-R F.1509). For example, for the US, </w:t>
      </w:r>
      <w:r w:rsidRPr="00BB0C25">
        <w:sym w:font="Symbol" w:char="F061"/>
      </w:r>
      <w:r w:rsidR="00911022" w:rsidRPr="00911022">
        <w:rPr>
          <w:lang w:val="en-US"/>
        </w:rPr>
        <w:t xml:space="preserve"> </w:t>
      </w:r>
      <w:r w:rsidRPr="00CB7BC1">
        <w:rPr>
          <w:lang w:val="en-US"/>
        </w:rPr>
        <w:t xml:space="preserve">= 0.035 and </w:t>
      </w:r>
      <w:r w:rsidRPr="00BB0C25">
        <w:sym w:font="Symbol" w:char="F062"/>
      </w:r>
      <w:r w:rsidR="00911022" w:rsidRPr="00911022">
        <w:rPr>
          <w:lang w:val="en-US"/>
        </w:rPr>
        <w:t xml:space="preserve"> </w:t>
      </w:r>
      <w:r w:rsidRPr="00CB7BC1">
        <w:rPr>
          <w:lang w:val="en-US"/>
        </w:rPr>
        <w:t>=</w:t>
      </w:r>
      <w:r w:rsidR="00911022">
        <w:rPr>
          <w:lang w:val="en-US"/>
        </w:rPr>
        <w:t xml:space="preserve"> </w:t>
      </w:r>
      <w:r w:rsidRPr="00CB7BC1">
        <w:rPr>
          <w:lang w:val="en-US"/>
        </w:rPr>
        <w:t xml:space="preserve">0.44 are applicable. For other areas of the world, </w:t>
      </w:r>
      <w:r w:rsidRPr="00BB0C25">
        <w:sym w:font="Symbol" w:char="F061"/>
      </w:r>
      <w:r w:rsidR="00911022" w:rsidRPr="00911022">
        <w:rPr>
          <w:lang w:val="en-US"/>
        </w:rPr>
        <w:t xml:space="preserve"> </w:t>
      </w:r>
      <w:r w:rsidRPr="00CB7BC1">
        <w:rPr>
          <w:lang w:val="en-US"/>
        </w:rPr>
        <w:t xml:space="preserve">= 0.0155 and </w:t>
      </w:r>
      <w:r w:rsidRPr="00BB0C25">
        <w:sym w:font="Symbol" w:char="F062"/>
      </w:r>
      <w:r w:rsidR="00911022" w:rsidRPr="00911022">
        <w:rPr>
          <w:lang w:val="en-US"/>
        </w:rPr>
        <w:t xml:space="preserve"> </w:t>
      </w:r>
      <w:r w:rsidRPr="00CB7BC1">
        <w:rPr>
          <w:lang w:val="en-US"/>
        </w:rPr>
        <w:t>=</w:t>
      </w:r>
      <w:r w:rsidR="00911022">
        <w:rPr>
          <w:lang w:val="en-US"/>
        </w:rPr>
        <w:t xml:space="preserve"> </w:t>
      </w:r>
      <w:r w:rsidRPr="00CB7BC1">
        <w:rPr>
          <w:lang w:val="en-US"/>
        </w:rPr>
        <w:t>0.44 were used.</w:t>
      </w:r>
    </w:p>
    <w:p w:rsidR="00CB7BC1" w:rsidRPr="00CB7BC1" w:rsidRDefault="00CB7BC1" w:rsidP="00911022">
      <w:pPr>
        <w:pStyle w:val="enumlev1"/>
        <w:rPr>
          <w:lang w:val="en-US"/>
        </w:rPr>
      </w:pPr>
      <w:r w:rsidRPr="00CB7BC1">
        <w:rPr>
          <w:lang w:val="en-US"/>
        </w:rPr>
        <w:t>7)</w:t>
      </w:r>
      <w:r w:rsidRPr="00CB7BC1">
        <w:rPr>
          <w:lang w:val="en-US"/>
        </w:rPr>
        <w:tab/>
        <w:t>Specify the number of FSS GSO satellites based on their orbital spacing and set their orbital locations (i.e. 120 FSS satellites, 3° spacing).</w:t>
      </w:r>
    </w:p>
    <w:p w:rsidR="00CB7BC1" w:rsidRPr="00CB7BC1" w:rsidRDefault="00CB7BC1" w:rsidP="00911022">
      <w:pPr>
        <w:pStyle w:val="enumlev1"/>
        <w:rPr>
          <w:lang w:val="en-US"/>
        </w:rPr>
      </w:pPr>
      <w:r w:rsidRPr="00CB7BC1">
        <w:rPr>
          <w:lang w:val="en-US"/>
        </w:rPr>
        <w:t>8)</w:t>
      </w:r>
      <w:r w:rsidRPr="00CB7BC1">
        <w:rPr>
          <w:lang w:val="en-US"/>
        </w:rPr>
        <w:tab/>
        <w:t>For each FSS GSO satellite perform the following steps:</w:t>
      </w:r>
    </w:p>
    <w:p w:rsidR="00CB7BC1" w:rsidRPr="00CB7BC1" w:rsidRDefault="00CB7BC1" w:rsidP="00911022">
      <w:pPr>
        <w:pStyle w:val="enumlev2"/>
        <w:rPr>
          <w:lang w:val="en-US"/>
        </w:rPr>
      </w:pPr>
      <w:r w:rsidRPr="00CB7BC1">
        <w:rPr>
          <w:lang w:val="en-US"/>
        </w:rPr>
        <w:t>a)</w:t>
      </w:r>
      <w:r w:rsidRPr="00CB7BC1">
        <w:rPr>
          <w:lang w:val="en-US"/>
        </w:rPr>
        <w:tab/>
        <w:t>Determine which cities in Step 5 are visible from the GSO orbital location based on a specified minimum elevation angle (e.g. 20° used in this analysis).</w:t>
      </w:r>
    </w:p>
    <w:p w:rsidR="00CB7BC1" w:rsidRPr="00CB7BC1" w:rsidRDefault="00CB7BC1" w:rsidP="00911022">
      <w:pPr>
        <w:pStyle w:val="enumlev2"/>
        <w:rPr>
          <w:lang w:val="en-US"/>
        </w:rPr>
      </w:pPr>
      <w:r w:rsidRPr="00CB7BC1">
        <w:rPr>
          <w:lang w:val="en-US"/>
        </w:rPr>
        <w:lastRenderedPageBreak/>
        <w:t>b)</w:t>
      </w:r>
      <w:r w:rsidRPr="00CB7BC1">
        <w:rPr>
          <w:lang w:val="en-US"/>
        </w:rPr>
        <w:tab/>
        <w:t>Take this subset of visible cities and sort them in descending order of population.</w:t>
      </w:r>
    </w:p>
    <w:p w:rsidR="00CB7BC1" w:rsidRPr="00CB7BC1" w:rsidRDefault="00CB7BC1" w:rsidP="00911022">
      <w:pPr>
        <w:pStyle w:val="enumlev2"/>
        <w:rPr>
          <w:lang w:val="en-US"/>
        </w:rPr>
      </w:pPr>
      <w:r w:rsidRPr="00CB7BC1">
        <w:rPr>
          <w:lang w:val="en-US"/>
        </w:rPr>
        <w:t>c)</w:t>
      </w:r>
      <w:r w:rsidRPr="00CB7BC1">
        <w:rPr>
          <w:lang w:val="en-US"/>
        </w:rPr>
        <w:tab/>
        <w:t>Let M be the number of earth stations computed in step 1 and let N be the number of cities (sorted in descending order of population) in Step 8b. Randomly distribute the M earth stations among the N cities according to a normal distribution as follows:</w:t>
      </w:r>
    </w:p>
    <w:p w:rsidR="00CB7BC1" w:rsidRPr="00CB7BC1" w:rsidRDefault="00CB7BC1" w:rsidP="00911022">
      <w:pPr>
        <w:pStyle w:val="enumlev3"/>
        <w:rPr>
          <w:lang w:val="en-US"/>
        </w:rPr>
      </w:pPr>
      <w:r w:rsidRPr="00CB7BC1">
        <w:rPr>
          <w:lang w:val="en-US"/>
        </w:rPr>
        <w:t>i)</w:t>
      </w:r>
      <w:r w:rsidRPr="00CB7BC1">
        <w:rPr>
          <w:lang w:val="en-US"/>
        </w:rPr>
        <w:tab/>
        <w:t xml:space="preserve">Generate a large number K (e.g. K = 10 000) of normally distributed random samples with mean = 1 and standard deviation </w:t>
      </w:r>
      <w:r w:rsidRPr="00BB0C25">
        <w:sym w:font="Symbol" w:char="F073"/>
      </w:r>
      <w:r w:rsidRPr="00CB7BC1">
        <w:rPr>
          <w:lang w:val="en-US"/>
        </w:rPr>
        <w:t xml:space="preserve"> = (N-1)/3. This will cause about 99.75% of the samples to be between 1-3</w:t>
      </w:r>
      <w:r w:rsidRPr="00BB0C25">
        <w:sym w:font="Symbol" w:char="F073"/>
      </w:r>
      <w:r w:rsidRPr="00CB7BC1">
        <w:rPr>
          <w:lang w:val="en-US"/>
        </w:rPr>
        <w:t xml:space="preserve"> = 2-N and 1+3</w:t>
      </w:r>
      <w:r w:rsidRPr="00BB0C25">
        <w:sym w:font="Symbol" w:char="F073"/>
      </w:r>
      <w:r w:rsidRPr="00CB7BC1">
        <w:rPr>
          <w:lang w:val="en-US"/>
        </w:rPr>
        <w:t xml:space="preserve"> = N.</w:t>
      </w:r>
    </w:p>
    <w:p w:rsidR="00CB7BC1" w:rsidRPr="00CB7BC1" w:rsidRDefault="00CB7BC1" w:rsidP="00911022">
      <w:pPr>
        <w:pStyle w:val="enumlev3"/>
        <w:rPr>
          <w:lang w:val="en-US"/>
        </w:rPr>
      </w:pPr>
      <w:r w:rsidRPr="00CB7BC1">
        <w:rPr>
          <w:lang w:val="en-US"/>
        </w:rPr>
        <w:t>ii)</w:t>
      </w:r>
      <w:r w:rsidRPr="00CB7BC1">
        <w:rPr>
          <w:lang w:val="en-US"/>
        </w:rPr>
        <w:tab/>
        <w:t xml:space="preserve">Extract those samples (~ K/2) that are </w:t>
      </w:r>
      <w:r w:rsidRPr="00BB0C25">
        <w:sym w:font="Symbol" w:char="F0B3"/>
      </w:r>
      <w:r w:rsidRPr="00CB7BC1">
        <w:rPr>
          <w:lang w:val="en-US"/>
        </w:rPr>
        <w:t xml:space="preserve"> 1 and select M samples out of this subset.</w:t>
      </w:r>
    </w:p>
    <w:p w:rsidR="00CB7BC1" w:rsidRPr="00CB7BC1" w:rsidRDefault="00CB7BC1" w:rsidP="00911022">
      <w:pPr>
        <w:pStyle w:val="enumlev3"/>
        <w:rPr>
          <w:lang w:val="en-US"/>
        </w:rPr>
      </w:pPr>
      <w:r w:rsidRPr="00CB7BC1">
        <w:rPr>
          <w:lang w:val="en-US"/>
        </w:rPr>
        <w:t>iii)</w:t>
      </w:r>
      <w:r w:rsidRPr="00CB7BC1">
        <w:rPr>
          <w:lang w:val="en-US"/>
        </w:rPr>
        <w:tab/>
        <w:t>Round the M samples from Step ii) downward to the nearest integer to get M integers with values between 1 and N.</w:t>
      </w:r>
    </w:p>
    <w:p w:rsidR="00CB7BC1" w:rsidRPr="00CB7BC1" w:rsidRDefault="00CB7BC1" w:rsidP="00911022">
      <w:pPr>
        <w:pStyle w:val="enumlev3"/>
        <w:rPr>
          <w:lang w:val="en-US"/>
        </w:rPr>
      </w:pPr>
      <w:r w:rsidRPr="00CB7BC1">
        <w:rPr>
          <w:lang w:val="en-US"/>
        </w:rPr>
        <w:t>iv)</w:t>
      </w:r>
      <w:r w:rsidRPr="00CB7BC1">
        <w:rPr>
          <w:lang w:val="en-US"/>
        </w:rPr>
        <w:tab/>
        <w:t>Assign the M earth stations to the N cities according to the integer values in Step iii) where the integer values correspond to the city indices of the N visible cities. This results in the more populated cities having on average more earth stations than less populated cities.</w:t>
      </w:r>
    </w:p>
    <w:p w:rsidR="00CB7BC1" w:rsidRPr="00CB7BC1" w:rsidRDefault="00CB7BC1" w:rsidP="00911022">
      <w:pPr>
        <w:pStyle w:val="enumlev1"/>
        <w:rPr>
          <w:lang w:val="en-US"/>
        </w:rPr>
      </w:pPr>
      <w:r w:rsidRPr="00CB7BC1">
        <w:rPr>
          <w:lang w:val="en-US"/>
        </w:rPr>
        <w:t>9)</w:t>
      </w:r>
      <w:r w:rsidRPr="00CB7BC1">
        <w:rPr>
          <w:lang w:val="en-US"/>
        </w:rPr>
        <w:tab/>
        <w:t>After performing Step 8 for each FSS GSO satellite, determine the number of earth stations in each of the cities found in Step 5.</w:t>
      </w:r>
    </w:p>
    <w:p w:rsidR="00CB7BC1" w:rsidRPr="00CB7BC1" w:rsidRDefault="00CB7BC1" w:rsidP="00911022">
      <w:pPr>
        <w:pStyle w:val="enumlev1"/>
        <w:rPr>
          <w:lang w:val="en-US"/>
        </w:rPr>
      </w:pPr>
      <w:r w:rsidRPr="00CB7BC1">
        <w:rPr>
          <w:lang w:val="en-US"/>
        </w:rPr>
        <w:t>10)</w:t>
      </w:r>
      <w:r w:rsidRPr="00CB7BC1">
        <w:rPr>
          <w:lang w:val="en-US"/>
        </w:rPr>
        <w:tab/>
        <w:t xml:space="preserve">For each city in Step 9, randomly distribute the earth stations located in that city within a circular area according to its equivalent radius as found in Step 6. </w:t>
      </w:r>
    </w:p>
    <w:p w:rsidR="00CB7BC1" w:rsidRPr="00BB0C25" w:rsidRDefault="00CB7BC1" w:rsidP="00CB7BC1">
      <w:pPr>
        <w:overflowPunct/>
        <w:autoSpaceDE/>
        <w:autoSpaceDN/>
        <w:adjustRightInd/>
        <w:spacing w:before="240"/>
        <w:textAlignment w:val="auto"/>
        <w:rPr>
          <w:szCs w:val="24"/>
          <w:lang w:val="en-US"/>
        </w:rPr>
      </w:pPr>
      <w:r w:rsidRPr="00BB0C25">
        <w:rPr>
          <w:szCs w:val="24"/>
          <w:lang w:val="en-US"/>
        </w:rPr>
        <w:t>As a result of the assignment methodology, the earth stations are randomly assigned to the satellites that are visible.</w:t>
      </w:r>
    </w:p>
    <w:p w:rsidR="00CB7BC1" w:rsidRPr="00CB7BC1" w:rsidRDefault="00CB7BC1" w:rsidP="00CB7BC1">
      <w:pPr>
        <w:pStyle w:val="Heading4"/>
        <w:rPr>
          <w:lang w:val="en-US"/>
        </w:rPr>
      </w:pPr>
      <w:r w:rsidRPr="00CB7BC1">
        <w:rPr>
          <w:lang w:val="en-US"/>
        </w:rPr>
        <w:t>3.8.1.1</w:t>
      </w:r>
      <w:r w:rsidRPr="00CB7BC1">
        <w:rPr>
          <w:lang w:val="en-US"/>
        </w:rPr>
        <w:tab/>
        <w:t>Non-GSO space-based receiver bandwidth</w:t>
      </w:r>
    </w:p>
    <w:p w:rsidR="00CB7BC1" w:rsidRPr="00CB7BC1" w:rsidRDefault="00CB7BC1" w:rsidP="00CB7BC1">
      <w:pPr>
        <w:rPr>
          <w:lang w:val="en-US"/>
        </w:rPr>
      </w:pPr>
      <w:r w:rsidRPr="00CB7BC1">
        <w:rPr>
          <w:lang w:val="en-US"/>
        </w:rPr>
        <w:t xml:space="preserve">For some of the FSS ES and space-based receiver compatibility studies, the space-based receiver bandwidth is much wider than 10 MHz and therefore may in some extreme cases see more than 30 times the number of interfering earth stations as a receiver having 10 MHz in bandwidth. This may render the ability to perform dynamic analyses impossible unless simplifying assumptions are adopted whenever practical. Simplifying assumptions should be evaluated as to the degree that they may misrepresent the interference presented to a victim receiver. </w:t>
      </w:r>
    </w:p>
    <w:p w:rsidR="00CB7BC1" w:rsidRPr="007F5DF9" w:rsidRDefault="00CB7BC1" w:rsidP="00CB7BC1">
      <w:pPr>
        <w:pStyle w:val="Heading4"/>
        <w:rPr>
          <w:lang w:val="en-US"/>
        </w:rPr>
      </w:pPr>
      <w:r w:rsidRPr="007F5DF9">
        <w:rPr>
          <w:lang w:val="en-US"/>
        </w:rPr>
        <w:t>3.8.1.2</w:t>
      </w:r>
      <w:r w:rsidRPr="007F5DF9">
        <w:rPr>
          <w:lang w:val="en-US"/>
        </w:rPr>
        <w:tab/>
        <w:t xml:space="preserve">FSS ES simplifying assumptions </w:t>
      </w:r>
    </w:p>
    <w:p w:rsidR="00CB7BC1" w:rsidRPr="00CB7BC1" w:rsidRDefault="00CB7BC1" w:rsidP="00CB7BC1">
      <w:pPr>
        <w:rPr>
          <w:lang w:val="en-US"/>
        </w:rPr>
      </w:pPr>
      <w:r w:rsidRPr="00CB7BC1">
        <w:rPr>
          <w:lang w:val="en-US"/>
        </w:rPr>
        <w:t>The faithful representation of the deployment of the FSS ESs would include all the ESs that are determined to be within the bandwidth of the victim receiver. The following assumptions may be used to reduce the number of FSS ESs represented in the simulations.</w:t>
      </w:r>
    </w:p>
    <w:p w:rsidR="00CB7BC1" w:rsidRPr="00CB7BC1" w:rsidRDefault="00CB7BC1" w:rsidP="00CB7BC1">
      <w:pPr>
        <w:tabs>
          <w:tab w:val="left" w:pos="2608"/>
          <w:tab w:val="left" w:pos="3345"/>
        </w:tabs>
        <w:spacing w:before="80"/>
        <w:ind w:left="1134" w:hanging="1134"/>
        <w:rPr>
          <w:lang w:val="en-US"/>
        </w:rPr>
      </w:pPr>
      <w:r w:rsidRPr="00CB7BC1">
        <w:rPr>
          <w:lang w:val="en-US"/>
        </w:rPr>
        <w:t>1)</w:t>
      </w:r>
      <w:r w:rsidRPr="00CB7BC1">
        <w:rPr>
          <w:lang w:val="en-US"/>
        </w:rPr>
        <w:tab/>
        <w:t>Activity factor</w:t>
      </w:r>
    </w:p>
    <w:p w:rsidR="00CB7BC1" w:rsidRPr="00CB7BC1" w:rsidRDefault="00CB7BC1" w:rsidP="0077613C">
      <w:pPr>
        <w:rPr>
          <w:lang w:val="en-US"/>
        </w:rPr>
      </w:pPr>
      <w:r w:rsidRPr="00CB7BC1">
        <w:rPr>
          <w:lang w:val="en-US"/>
        </w:rPr>
        <w:t>Rather than representing all the ESs in a deployment and including in the simulation the activity factor for each ES, an equivalent lesser number of ESs are represented where each ES is operating at 100% activity factor. If the number of ESs represented in the deployment is sufficiently large then this assumption is considered to have no significant impact on the validity of the results.</w:t>
      </w:r>
    </w:p>
    <w:p w:rsidR="00CB7BC1" w:rsidRPr="00CB7BC1" w:rsidRDefault="00CB7BC1" w:rsidP="00CB7BC1">
      <w:pPr>
        <w:rPr>
          <w:lang w:val="en-US"/>
        </w:rPr>
      </w:pPr>
      <w:r w:rsidRPr="00CB7BC1">
        <w:rPr>
          <w:lang w:val="en-US"/>
        </w:rPr>
        <w:t>However, this assumption may misrepresent the impact of TDMA transmissions from earth stations on a victim receiver if the victim receiver data is susceptible to corruption from TDMA bursts.</w:t>
      </w:r>
    </w:p>
    <w:p w:rsidR="00CB7BC1" w:rsidRPr="00CB7BC1" w:rsidRDefault="00CB7BC1" w:rsidP="00CB7BC1">
      <w:pPr>
        <w:tabs>
          <w:tab w:val="left" w:pos="2608"/>
          <w:tab w:val="left" w:pos="3345"/>
        </w:tabs>
        <w:spacing w:before="80"/>
        <w:ind w:left="1134" w:hanging="1134"/>
        <w:rPr>
          <w:lang w:val="en-US"/>
        </w:rPr>
      </w:pPr>
      <w:r w:rsidRPr="00CB7BC1">
        <w:rPr>
          <w:lang w:val="en-US"/>
        </w:rPr>
        <w:t>2)</w:t>
      </w:r>
      <w:r w:rsidRPr="00CB7BC1">
        <w:rPr>
          <w:lang w:val="en-US"/>
        </w:rPr>
        <w:tab/>
        <w:t>Dual polarization operation</w:t>
      </w:r>
    </w:p>
    <w:p w:rsidR="00CB7BC1" w:rsidRPr="00CB7BC1" w:rsidRDefault="00CB7BC1" w:rsidP="00B04D4C">
      <w:pPr>
        <w:rPr>
          <w:lang w:val="en-US"/>
        </w:rPr>
      </w:pPr>
      <w:r w:rsidRPr="00CB7BC1">
        <w:rPr>
          <w:lang w:val="en-US"/>
        </w:rPr>
        <w:t xml:space="preserve">The 3 dB polarization isolation factor addressed in </w:t>
      </w:r>
      <w:r w:rsidR="00B04D4C">
        <w:rPr>
          <w:lang w:val="en-US"/>
        </w:rPr>
        <w:t>§</w:t>
      </w:r>
      <w:r w:rsidRPr="00CB7BC1">
        <w:rPr>
          <w:lang w:val="en-US"/>
        </w:rPr>
        <w:t xml:space="preserve"> 3.4 may also be addressed by reducing by 50% the number of earth stations with no polarization factor. However, the equivalence of these two approaches has not been confirmed.</w:t>
      </w:r>
    </w:p>
    <w:p w:rsidR="00CB7BC1" w:rsidRPr="00CB7BC1" w:rsidRDefault="00CB7BC1" w:rsidP="00CB7BC1">
      <w:pPr>
        <w:tabs>
          <w:tab w:val="left" w:pos="2608"/>
          <w:tab w:val="left" w:pos="3345"/>
        </w:tabs>
        <w:spacing w:before="80"/>
        <w:ind w:left="1134" w:hanging="1134"/>
        <w:rPr>
          <w:lang w:val="en-US"/>
        </w:rPr>
      </w:pPr>
      <w:r w:rsidRPr="00CB7BC1">
        <w:rPr>
          <w:lang w:val="en-US"/>
        </w:rPr>
        <w:t>3)</w:t>
      </w:r>
      <w:r w:rsidRPr="00CB7BC1">
        <w:rPr>
          <w:lang w:val="en-US"/>
        </w:rPr>
        <w:tab/>
        <w:t>Aggregation of FSS ESs deployed within each urban area</w:t>
      </w:r>
    </w:p>
    <w:p w:rsidR="00CB7BC1" w:rsidRPr="00CB7BC1" w:rsidRDefault="00CB7BC1" w:rsidP="00B04D4C">
      <w:pPr>
        <w:rPr>
          <w:rFonts w:eastAsia="Calibri"/>
          <w:lang w:val="en-US"/>
        </w:rPr>
      </w:pPr>
      <w:r w:rsidRPr="00CB7BC1">
        <w:rPr>
          <w:lang w:val="en-US"/>
        </w:rPr>
        <w:lastRenderedPageBreak/>
        <w:t xml:space="preserve">Using FSS off axis radiation patterns, develop </w:t>
      </w:r>
      <w:r w:rsidR="00B04D4C">
        <w:rPr>
          <w:lang w:val="en-US"/>
        </w:rPr>
        <w:t>three</w:t>
      </w:r>
      <w:r w:rsidRPr="00CB7BC1">
        <w:rPr>
          <w:lang w:val="en-US"/>
        </w:rPr>
        <w:t xml:space="preserve"> antenna patterns; one for each transmission type:</w:t>
      </w:r>
    </w:p>
    <w:p w:rsidR="00CB7BC1" w:rsidRPr="00CB7BC1" w:rsidRDefault="00CB7BC1" w:rsidP="00061093">
      <w:pPr>
        <w:pStyle w:val="enumlev1"/>
        <w:rPr>
          <w:lang w:val="en-US"/>
        </w:rPr>
      </w:pPr>
      <w:r w:rsidRPr="00CB7BC1">
        <w:rPr>
          <w:lang w:val="en-US"/>
        </w:rPr>
        <w:t>a)</w:t>
      </w:r>
      <w:r w:rsidR="005C6627">
        <w:rPr>
          <w:sz w:val="14"/>
          <w:szCs w:val="14"/>
          <w:lang w:val="en-US"/>
        </w:rPr>
        <w:tab/>
      </w:r>
      <w:r w:rsidR="005C6627">
        <w:rPr>
          <w:lang w:val="en-US"/>
        </w:rPr>
        <w:t>The</w:t>
      </w:r>
      <w:r w:rsidRPr="00CB7BC1">
        <w:rPr>
          <w:lang w:val="en-US"/>
        </w:rPr>
        <w:t xml:space="preserve"> aggregate power levels are verifiable by comparing it to the actual value of power level of having each antenna of each transmission type represented individually. An individual representation of ESs will show a greater amount of interference incidences than an aggregate value because the non-GSO space based victim receiver will pass through considerable more FSS transmissions although the aggregate may have a higher power for a particular city location.</w:t>
      </w:r>
    </w:p>
    <w:p w:rsidR="00CB7BC1" w:rsidRPr="00CB7BC1" w:rsidRDefault="00CB7BC1" w:rsidP="00061093">
      <w:pPr>
        <w:pStyle w:val="enumlev1"/>
        <w:rPr>
          <w:lang w:val="en-US"/>
        </w:rPr>
      </w:pPr>
      <w:r w:rsidRPr="00CB7BC1">
        <w:rPr>
          <w:lang w:val="en-US"/>
        </w:rPr>
        <w:t>b)</w:t>
      </w:r>
      <w:r w:rsidRPr="00CB7BC1">
        <w:rPr>
          <w:sz w:val="14"/>
          <w:szCs w:val="14"/>
          <w:lang w:val="en-US"/>
        </w:rPr>
        <w:tab/>
      </w:r>
      <w:r w:rsidRPr="00CB7BC1">
        <w:rPr>
          <w:lang w:val="en-US"/>
        </w:rPr>
        <w:t>It is therefore concluded that the aggregate power representation method under represents the interference caused by the actual FSS ES deployment.</w:t>
      </w:r>
    </w:p>
    <w:p w:rsidR="00CB7BC1" w:rsidRPr="00CB7BC1" w:rsidRDefault="00CB7BC1" w:rsidP="00061093">
      <w:pPr>
        <w:pStyle w:val="enumlev1"/>
        <w:rPr>
          <w:lang w:val="en-US"/>
        </w:rPr>
      </w:pPr>
      <w:r w:rsidRPr="00CB7BC1">
        <w:rPr>
          <w:lang w:val="en-US"/>
        </w:rPr>
        <w:t>c)</w:t>
      </w:r>
      <w:r w:rsidRPr="00CB7BC1">
        <w:rPr>
          <w:sz w:val="14"/>
          <w:szCs w:val="14"/>
          <w:lang w:val="en-US"/>
        </w:rPr>
        <w:tab/>
      </w:r>
      <w:r w:rsidRPr="00CB7BC1">
        <w:rPr>
          <w:lang w:val="en-US"/>
        </w:rPr>
        <w:t>If the aggregate antenna values have a simulated result that exceeds acceptable interference levels for sharing with FSS, then it is assumed that modelling each of the earth stations individually, will also exceed acceptable interference levels for sharing with FSS. If the results indicate that compatibility is marginally achieved then further detailed simulation is warranted.</w:t>
      </w:r>
    </w:p>
    <w:p w:rsidR="00CB7BC1" w:rsidRDefault="00CB7BC1" w:rsidP="00CB7BC1">
      <w:pPr>
        <w:rPr>
          <w:lang w:val="en-US"/>
        </w:rPr>
      </w:pPr>
    </w:p>
    <w:p w:rsidR="00061093" w:rsidRPr="00CB7BC1" w:rsidRDefault="00061093" w:rsidP="00061093">
      <w:pPr>
        <w:pStyle w:val="Line"/>
      </w:pPr>
    </w:p>
    <w:sectPr w:rsidR="00061093" w:rsidRPr="00CB7BC1" w:rsidSect="006C5CDB">
      <w:headerReference w:type="even" r:id="rId33"/>
      <w:headerReference w:type="default" r:id="rId34"/>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BC1" w:rsidRDefault="00CB7BC1">
      <w:r>
        <w:separator/>
      </w:r>
    </w:p>
  </w:endnote>
  <w:endnote w:type="continuationSeparator" w:id="0">
    <w:p w:rsidR="00CB7BC1" w:rsidRDefault="00CB7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BC1" w:rsidRDefault="00CB7BC1">
      <w:r>
        <w:separator/>
      </w:r>
    </w:p>
  </w:footnote>
  <w:footnote w:type="continuationSeparator" w:id="0">
    <w:p w:rsidR="00CB7BC1" w:rsidRDefault="00CB7BC1">
      <w:r>
        <w:continuationSeparator/>
      </w:r>
    </w:p>
  </w:footnote>
  <w:footnote w:id="1">
    <w:p w:rsidR="00CB7BC1" w:rsidRPr="00CB7BC1" w:rsidRDefault="00CB7BC1" w:rsidP="00B04D4C">
      <w:pPr>
        <w:pStyle w:val="FootnoteText"/>
        <w:spacing w:before="40"/>
        <w:ind w:left="227" w:hanging="227"/>
        <w:rPr>
          <w:szCs w:val="24"/>
          <w:lang w:val="en-US"/>
        </w:rPr>
      </w:pPr>
      <w:r w:rsidRPr="0022106B">
        <w:rPr>
          <w:rStyle w:val="FootnoteReference"/>
          <w:szCs w:val="18"/>
        </w:rPr>
        <w:footnoteRef/>
      </w:r>
      <w:r w:rsidRPr="00CB7BC1">
        <w:rPr>
          <w:sz w:val="18"/>
          <w:szCs w:val="18"/>
          <w:lang w:val="en-US"/>
        </w:rPr>
        <w:tab/>
      </w:r>
      <w:r w:rsidRPr="00CB7BC1">
        <w:rPr>
          <w:szCs w:val="24"/>
          <w:lang w:val="en-US"/>
        </w:rPr>
        <w:t>The peak antenna gain is estimated at the cent</w:t>
      </w:r>
      <w:r w:rsidR="00B04D4C">
        <w:rPr>
          <w:szCs w:val="24"/>
          <w:lang w:val="en-US"/>
        </w:rPr>
        <w:t>r</w:t>
      </w:r>
      <w:r w:rsidRPr="00CB7BC1">
        <w:rPr>
          <w:szCs w:val="24"/>
          <w:lang w:val="en-US"/>
        </w:rPr>
        <w:t>e of the band (14.25 GHz) and 65% efficiency.</w:t>
      </w:r>
    </w:p>
  </w:footnote>
  <w:footnote w:id="2">
    <w:p w:rsidR="00CB7BC1" w:rsidRPr="00CB7BC1" w:rsidRDefault="00CB7BC1" w:rsidP="00CB7BC1">
      <w:pPr>
        <w:pStyle w:val="FootnoteText"/>
        <w:spacing w:before="40"/>
        <w:rPr>
          <w:szCs w:val="24"/>
          <w:lang w:val="en-US"/>
        </w:rPr>
      </w:pPr>
      <w:r w:rsidRPr="0022106B">
        <w:rPr>
          <w:rStyle w:val="FootnoteReference"/>
          <w:szCs w:val="18"/>
        </w:rPr>
        <w:footnoteRef/>
      </w:r>
      <w:r w:rsidRPr="00CB7BC1">
        <w:rPr>
          <w:szCs w:val="24"/>
          <w:lang w:val="en-US"/>
        </w:rPr>
        <w:tab/>
        <w:t xml:space="preserve">The 3 dB beamwidth was calculated assuming non-uniform illumination using 70 as the coefficient relating the ratio </w:t>
      </w:r>
      <w:r w:rsidRPr="0022106B">
        <w:rPr>
          <w:szCs w:val="24"/>
        </w:rPr>
        <w:t>λ</w:t>
      </w:r>
      <w:r w:rsidRPr="00CB7BC1">
        <w:rPr>
          <w:szCs w:val="24"/>
          <w:lang w:val="en-US"/>
        </w:rPr>
        <w:t>/</w:t>
      </w:r>
      <w:r w:rsidRPr="00AE520D">
        <w:rPr>
          <w:i/>
          <w:iCs/>
          <w:szCs w:val="24"/>
          <w:lang w:val="en-US"/>
        </w:rPr>
        <w:t>D</w:t>
      </w:r>
      <w:r w:rsidRPr="00CB7BC1">
        <w:rPr>
          <w:szCs w:val="24"/>
          <w:lang w:val="en-US"/>
        </w:rPr>
        <w:t xml:space="preserve"> to the beamwidth (</w:t>
      </w:r>
      <w:r w:rsidRPr="0022106B">
        <w:rPr>
          <w:szCs w:val="24"/>
        </w:rPr>
        <w:t>θ</w:t>
      </w:r>
      <w:r w:rsidRPr="00CB7BC1">
        <w:rPr>
          <w:szCs w:val="24"/>
          <w:vertAlign w:val="subscript"/>
          <w:lang w:val="en-US"/>
        </w:rPr>
        <w:t>3dB</w:t>
      </w:r>
      <w:r w:rsidRPr="00CB7BC1">
        <w:rPr>
          <w:szCs w:val="24"/>
          <w:lang w:val="en-US"/>
        </w:rPr>
        <w:t>=70</w:t>
      </w:r>
      <w:r w:rsidRPr="0084372A">
        <w:rPr>
          <w:szCs w:val="24"/>
        </w:rPr>
        <w:t>λ</w:t>
      </w:r>
      <w:r w:rsidRPr="00CB7BC1">
        <w:rPr>
          <w:szCs w:val="24"/>
          <w:lang w:val="en-US"/>
        </w:rPr>
        <w:t>/</w:t>
      </w:r>
      <w:r w:rsidRPr="00AE520D">
        <w:rPr>
          <w:i/>
          <w:iCs/>
          <w:szCs w:val="24"/>
          <w:lang w:val="en-US"/>
        </w:rPr>
        <w:t>D</w:t>
      </w:r>
      <w:r w:rsidRPr="00CB7BC1">
        <w:rPr>
          <w:szCs w:val="24"/>
          <w:lang w:val="en-US"/>
        </w:rPr>
        <w:t xml:space="preserve">). </w:t>
      </w:r>
    </w:p>
  </w:footnote>
  <w:footnote w:id="3">
    <w:p w:rsidR="00CB7BC1" w:rsidRPr="00CB7BC1" w:rsidRDefault="00CB7BC1" w:rsidP="00CB7BC1">
      <w:pPr>
        <w:pStyle w:val="FootnoteText"/>
        <w:spacing w:before="40"/>
        <w:rPr>
          <w:szCs w:val="24"/>
          <w:lang w:val="en-US"/>
        </w:rPr>
      </w:pPr>
      <w:r w:rsidRPr="0084372A">
        <w:rPr>
          <w:rStyle w:val="FootnoteReference"/>
          <w:szCs w:val="18"/>
        </w:rPr>
        <w:footnoteRef/>
      </w:r>
      <w:r w:rsidRPr="00CB7BC1">
        <w:rPr>
          <w:szCs w:val="24"/>
          <w:lang w:val="en-US"/>
        </w:rPr>
        <w:tab/>
        <w:t>This level is derived based on Recommendation ITU-R S.728 and is 8 dB higher than one known administration’s domestic rules for routine licensing of VSAT earth stations. Currently, there are a small number of ESs operating at this power level.</w:t>
      </w:r>
    </w:p>
  </w:footnote>
  <w:footnote w:id="4">
    <w:p w:rsidR="00CB7BC1" w:rsidRPr="00CB7BC1" w:rsidRDefault="00CB7BC1" w:rsidP="00CB7BC1">
      <w:pPr>
        <w:pStyle w:val="FootnoteText"/>
        <w:spacing w:before="40"/>
        <w:ind w:left="227" w:hanging="227"/>
        <w:rPr>
          <w:szCs w:val="24"/>
          <w:lang w:val="en-US"/>
        </w:rPr>
      </w:pPr>
      <w:r w:rsidRPr="005D4584">
        <w:rPr>
          <w:rStyle w:val="FootnoteReference"/>
          <w:szCs w:val="18"/>
        </w:rPr>
        <w:footnoteRef/>
      </w:r>
      <w:r w:rsidRPr="00CB7BC1">
        <w:rPr>
          <w:szCs w:val="24"/>
          <w:lang w:val="en-US"/>
        </w:rPr>
        <w:tab/>
        <w:t>This level is equivalent to one known administration’s domestic rules for routine licensing of FSS earth stations.</w:t>
      </w:r>
    </w:p>
  </w:footnote>
  <w:footnote w:id="5">
    <w:p w:rsidR="00CB7BC1" w:rsidRPr="00CB7BC1" w:rsidRDefault="00CB7BC1" w:rsidP="00143DAB">
      <w:pPr>
        <w:pStyle w:val="FootnoteText"/>
        <w:spacing w:before="40"/>
        <w:rPr>
          <w:szCs w:val="24"/>
          <w:lang w:val="en-US"/>
        </w:rPr>
      </w:pPr>
      <w:r w:rsidRPr="0022106B">
        <w:rPr>
          <w:rStyle w:val="FootnoteReference"/>
          <w:szCs w:val="18"/>
        </w:rPr>
        <w:footnoteRef/>
      </w:r>
      <w:r w:rsidRPr="00CB7BC1">
        <w:rPr>
          <w:szCs w:val="24"/>
          <w:lang w:val="en-US"/>
        </w:rPr>
        <w:t xml:space="preserve"> </w:t>
      </w:r>
      <w:r w:rsidRPr="00CB7BC1">
        <w:rPr>
          <w:szCs w:val="24"/>
          <w:lang w:val="en-US"/>
        </w:rPr>
        <w:tab/>
        <w:t xml:space="preserve">The maximum e.i.r.p. density at the antenna port is the actual maximum e.i.r.p. seen in operation. It corresponds to gains values of 43.5 dBi (1.2 m), 52 dBi (3.3 m), and 53.5 dBi (3.9 m) for VSAT, Wideband, and Point-to-Point respectively, transmitting the maximum PSD quoted in the </w:t>
      </w:r>
      <w:r w:rsidR="00143DAB">
        <w:rPr>
          <w:szCs w:val="24"/>
          <w:lang w:val="en-US"/>
        </w:rPr>
        <w:t>T</w:t>
      </w:r>
      <w:r w:rsidRPr="00CB7BC1">
        <w:rPr>
          <w:szCs w:val="24"/>
          <w:lang w:val="en-US"/>
        </w:rPr>
        <w:t xml:space="preserve">able. </w:t>
      </w:r>
    </w:p>
  </w:footnote>
  <w:footnote w:id="6">
    <w:p w:rsidR="00CB7BC1" w:rsidRPr="00CB7BC1" w:rsidRDefault="00CB7BC1" w:rsidP="00B04D4C">
      <w:pPr>
        <w:pStyle w:val="FootnoteText"/>
        <w:spacing w:before="40"/>
        <w:rPr>
          <w:szCs w:val="24"/>
          <w:lang w:val="en-US"/>
        </w:rPr>
      </w:pPr>
      <w:r w:rsidRPr="0084372A">
        <w:rPr>
          <w:rStyle w:val="FootnoteReference"/>
          <w:szCs w:val="18"/>
        </w:rPr>
        <w:footnoteRef/>
      </w:r>
      <w:r w:rsidR="00B04D4C">
        <w:rPr>
          <w:szCs w:val="24"/>
          <w:lang w:val="en-US"/>
        </w:rPr>
        <w:tab/>
        <w:t>Recommendation ITU-R S.728-1 –</w:t>
      </w:r>
      <w:r w:rsidRPr="00CB7BC1">
        <w:rPr>
          <w:szCs w:val="24"/>
          <w:lang w:val="en-US"/>
        </w:rPr>
        <w:t xml:space="preserve"> </w:t>
      </w:r>
      <w:r w:rsidRPr="00B04D4C">
        <w:rPr>
          <w:iCs/>
          <w:szCs w:val="24"/>
          <w:lang w:val="en-US"/>
        </w:rPr>
        <w:t>Maximum permissible level of off-axis e.i.r.p. density from very small aperture terminals (VSATs)</w:t>
      </w:r>
      <w:r w:rsidRPr="00CB7BC1">
        <w:rPr>
          <w:szCs w:val="24"/>
          <w:lang w:val="en-US"/>
        </w:rPr>
        <w:t>.</w:t>
      </w:r>
    </w:p>
  </w:footnote>
  <w:footnote w:id="7">
    <w:p w:rsidR="00CB7BC1" w:rsidRPr="00CB7BC1" w:rsidRDefault="00CB7BC1" w:rsidP="00CB7BC1">
      <w:pPr>
        <w:pStyle w:val="FootnoteText"/>
        <w:spacing w:before="80"/>
        <w:rPr>
          <w:lang w:val="en-US"/>
        </w:rPr>
      </w:pPr>
      <w:r w:rsidRPr="007D722F">
        <w:rPr>
          <w:rStyle w:val="FootnoteReference"/>
          <w:szCs w:val="18"/>
        </w:rPr>
        <w:footnoteRef/>
      </w:r>
      <w:r w:rsidRPr="00CB7BC1">
        <w:rPr>
          <w:szCs w:val="24"/>
          <w:lang w:val="en-US"/>
        </w:rPr>
        <w:tab/>
        <w:t>Total number of transmissions reflect the current reported frequency reuse factor of 1.2 and use of both horizontal and vertical polarizations.</w:t>
      </w:r>
    </w:p>
  </w:footnote>
  <w:footnote w:id="8">
    <w:p w:rsidR="00CB7BC1" w:rsidRPr="00CB7BC1" w:rsidRDefault="00CB7BC1" w:rsidP="00CB7BC1">
      <w:pPr>
        <w:pStyle w:val="FootnoteText"/>
        <w:rPr>
          <w:lang w:val="en-US"/>
        </w:rPr>
      </w:pPr>
      <w:r>
        <w:rPr>
          <w:rStyle w:val="FootnoteReference"/>
        </w:rPr>
        <w:footnoteRef/>
      </w:r>
      <w:r w:rsidRPr="00CB7BC1">
        <w:rPr>
          <w:lang w:val="en-US"/>
        </w:rPr>
        <w:tab/>
        <w:t>CPM Report on technical, operational and regulatory/procedural matters to be considered by the World Radiocommunication Conference 2015.</w:t>
      </w:r>
    </w:p>
  </w:footnote>
  <w:footnote w:id="9">
    <w:p w:rsidR="00CB7BC1" w:rsidRPr="00CB7BC1" w:rsidRDefault="00CB7BC1" w:rsidP="00CB7BC1">
      <w:pPr>
        <w:pStyle w:val="FootnoteText"/>
        <w:spacing w:before="80"/>
        <w:rPr>
          <w:szCs w:val="24"/>
          <w:lang w:val="en-US"/>
        </w:rPr>
      </w:pPr>
      <w:r w:rsidRPr="0022106B">
        <w:rPr>
          <w:rStyle w:val="FootnoteReference"/>
          <w:szCs w:val="18"/>
        </w:rPr>
        <w:footnoteRef/>
      </w:r>
      <w:r w:rsidRPr="00CB7BC1">
        <w:rPr>
          <w:sz w:val="18"/>
          <w:szCs w:val="18"/>
          <w:lang w:val="en-US"/>
        </w:rPr>
        <w:tab/>
      </w:r>
      <w:r w:rsidRPr="00CB7BC1">
        <w:rPr>
          <w:szCs w:val="24"/>
          <w:lang w:val="en-US"/>
        </w:rPr>
        <w:t>The standard deviation is calculated based on the 99% (equivalent to three sigma) of the cumulative distribution curves divided by 3.</w:t>
      </w:r>
    </w:p>
  </w:footnote>
  <w:footnote w:id="10">
    <w:p w:rsidR="00CB7BC1" w:rsidRPr="00CB7BC1" w:rsidRDefault="00CB7BC1" w:rsidP="00CB7BC1">
      <w:pPr>
        <w:pStyle w:val="FootnoteText"/>
        <w:rPr>
          <w:lang w:val="en-US"/>
        </w:rPr>
      </w:pPr>
      <w:r>
        <w:rPr>
          <w:rStyle w:val="FootnoteReference"/>
        </w:rPr>
        <w:footnoteRef/>
      </w:r>
      <w:r w:rsidRPr="00CB7BC1">
        <w:rPr>
          <w:lang w:val="en-US"/>
        </w:rPr>
        <w:tab/>
        <w:t>Dual polarization.</w:t>
      </w:r>
    </w:p>
  </w:footnote>
  <w:footnote w:id="11">
    <w:p w:rsidR="00CB7BC1" w:rsidRPr="00CB7BC1" w:rsidRDefault="00CB7BC1" w:rsidP="00CB7BC1">
      <w:pPr>
        <w:pStyle w:val="FootnoteText"/>
        <w:rPr>
          <w:lang w:val="en-US"/>
        </w:rPr>
      </w:pPr>
      <w:r>
        <w:rPr>
          <w:rStyle w:val="FootnoteReference"/>
        </w:rPr>
        <w:footnoteRef/>
      </w:r>
      <w:r w:rsidRPr="00CB7BC1">
        <w:rPr>
          <w:lang w:val="en-US"/>
        </w:rPr>
        <w:tab/>
        <w:t>The VSAT stations generated under this methodology actually represent the traffic generated from all VSAT stations assigned to that channel.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BC1" w:rsidRPr="004E46B8" w:rsidRDefault="00CB7BC1" w:rsidP="0095682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6775A3">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6775A3" w:rsidRPr="006775A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6775A3">
      <w:rPr>
        <w:b/>
        <w:bCs/>
        <w:noProof/>
      </w:rPr>
      <w:t>ITU-R S.2364-0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BC1" w:rsidRDefault="00CB7BC1" w:rsidP="00B033C8">
    <w:pPr>
      <w:pStyle w:val="Header"/>
      <w:ind w:right="360" w:firstLine="360"/>
    </w:pPr>
    <w:r>
      <w:rPr>
        <w:noProof/>
        <w:lang w:val="en-US" w:eastAsia="zh-CN"/>
      </w:rPr>
      <w:drawing>
        <wp:anchor distT="0" distB="0" distL="114300" distR="114300" simplePos="0" relativeHeight="251669504"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43" name="Picture 43"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BC1" w:rsidRDefault="00CB7BC1" w:rsidP="006338C0">
    <w:pPr>
      <w:pStyle w:val="Header"/>
    </w:pPr>
    <w:r>
      <w:tab/>
    </w:r>
    <w:r>
      <w:fldChar w:fldCharType="begin"/>
    </w:r>
    <w:r w:rsidRPr="004E46B8">
      <w:rPr>
        <w:lang w:val="en-US"/>
      </w:rPr>
      <w:instrText xml:space="preserve"> DOCPROPERTY "Header 2" \* MERGEFORMAT </w:instrText>
    </w:r>
    <w:r>
      <w:fldChar w:fldCharType="separate"/>
    </w:r>
    <w:r w:rsidR="006775A3" w:rsidRPr="006775A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6775A3">
      <w:rPr>
        <w:b/>
        <w:bCs/>
        <w:noProof/>
      </w:rPr>
      <w:t>ITU-R S.2364-0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775A3">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BC1" w:rsidRDefault="00CB7BC1" w:rsidP="005B12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775A3">
      <w:rPr>
        <w:rStyle w:val="PageNumber"/>
        <w:b/>
        <w:bCs/>
        <w:noProof/>
        <w:lang w:val="en-US"/>
      </w:rPr>
      <w:t>16</w:t>
    </w:r>
    <w:r>
      <w:rPr>
        <w:rStyle w:val="PageNumber"/>
        <w:b/>
        <w:bCs/>
      </w:rPr>
      <w:fldChar w:fldCharType="end"/>
    </w:r>
    <w:r>
      <w:rPr>
        <w:lang w:val="en-US"/>
      </w:rPr>
      <w:tab/>
    </w:r>
    <w:r w:rsidR="006775A3">
      <w:fldChar w:fldCharType="begin"/>
    </w:r>
    <w:r w:rsidR="006775A3">
      <w:instrText xml:space="preserve"> DOCPROPERTY "Header 2" \* MERGEFORMAT </w:instrText>
    </w:r>
    <w:r w:rsidR="006775A3">
      <w:fldChar w:fldCharType="separate"/>
    </w:r>
    <w:r w:rsidR="006775A3" w:rsidRPr="006775A3">
      <w:rPr>
        <w:b/>
        <w:bCs/>
        <w:lang w:val="en-US"/>
      </w:rPr>
      <w:t xml:space="preserve">Rep. </w:t>
    </w:r>
    <w:r w:rsidR="006775A3">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6775A3">
      <w:rPr>
        <w:b/>
        <w:bCs/>
        <w:noProof/>
      </w:rPr>
      <w:t>ITU-R S.2364-0</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BC1" w:rsidRPr="00C00883" w:rsidRDefault="00CB7BC1" w:rsidP="00C00883">
    <w:pPr>
      <w:pStyle w:val="Header"/>
    </w:pPr>
    <w:r w:rsidRPr="00C00883">
      <w:rPr>
        <w:lang w:val="en-US"/>
      </w:rPr>
      <w:tab/>
    </w:r>
    <w:r w:rsidR="006775A3">
      <w:fldChar w:fldCharType="begin"/>
    </w:r>
    <w:r w:rsidR="006775A3">
      <w:instrText xml:space="preserve"> DOCPROPERTY "Header 2" \* MERGEFORMAT </w:instrText>
    </w:r>
    <w:r w:rsidR="006775A3">
      <w:fldChar w:fldCharType="separate"/>
    </w:r>
    <w:r w:rsidR="006775A3" w:rsidRPr="006775A3">
      <w:rPr>
        <w:b/>
        <w:bCs/>
        <w:lang w:val="en-US"/>
      </w:rPr>
      <w:t xml:space="preserve">Rep. </w:t>
    </w:r>
    <w:r w:rsidR="006775A3">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6775A3">
      <w:rPr>
        <w:b/>
        <w:bCs/>
        <w:noProof/>
      </w:rPr>
      <w:t>ITU-R S.2364-0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6775A3">
      <w:rPr>
        <w:b/>
        <w:bCs/>
        <w:noProof/>
        <w:lang w:val="en-US"/>
      </w:rPr>
      <w:t>17</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266D3E6"/>
    <w:lvl w:ilvl="0">
      <w:start w:val="1"/>
      <w:numFmt w:val="decimal"/>
      <w:lvlText w:val="%1."/>
      <w:lvlJc w:val="left"/>
      <w:pPr>
        <w:tabs>
          <w:tab w:val="num" w:pos="720"/>
        </w:tabs>
        <w:ind w:left="720" w:hanging="360"/>
      </w:pPr>
      <w:rPr>
        <w:rFonts w:ascii="Times New Roman" w:hAnsi="Times New Roman" w:cs="Times New Roman"/>
      </w:rPr>
    </w:lvl>
  </w:abstractNum>
  <w:abstractNum w:abstractNumId="1" w15:restartNumberingAfterBreak="0">
    <w:nsid w:val="FFFFFF82"/>
    <w:multiLevelType w:val="singleLevel"/>
    <w:tmpl w:val="126030C6"/>
    <w:lvl w:ilvl="0">
      <w:start w:val="1"/>
      <w:numFmt w:val="bullet"/>
      <w:lvlText w:val=""/>
      <w:lvlJc w:val="left"/>
      <w:pPr>
        <w:tabs>
          <w:tab w:val="num" w:pos="1080"/>
        </w:tabs>
        <w:ind w:left="1080" w:hanging="360"/>
      </w:pPr>
      <w:rPr>
        <w:rFonts w:ascii="Symbol" w:hAnsi="Symbol" w:cs="Symbol" w:hint="default"/>
      </w:rPr>
    </w:lvl>
  </w:abstractNum>
  <w:abstractNum w:abstractNumId="2" w15:restartNumberingAfterBreak="0">
    <w:nsid w:val="FFFFFF83"/>
    <w:multiLevelType w:val="singleLevel"/>
    <w:tmpl w:val="239C739E"/>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FFFFFF88"/>
    <w:multiLevelType w:val="singleLevel"/>
    <w:tmpl w:val="D348F3C2"/>
    <w:lvl w:ilvl="0">
      <w:start w:val="1"/>
      <w:numFmt w:val="decimal"/>
      <w:lvlText w:val="%1."/>
      <w:lvlJc w:val="left"/>
      <w:pPr>
        <w:tabs>
          <w:tab w:val="num" w:pos="360"/>
        </w:tabs>
        <w:ind w:left="360" w:hanging="360"/>
      </w:pPr>
      <w:rPr>
        <w:rFonts w:ascii="Times New Roman" w:hAnsi="Times New Roman" w:cs="Times New Roman"/>
      </w:rPr>
    </w:lvl>
  </w:abstractNum>
  <w:abstractNum w:abstractNumId="4" w15:restartNumberingAfterBreak="0">
    <w:nsid w:val="FFFFFF89"/>
    <w:multiLevelType w:val="singleLevel"/>
    <w:tmpl w:val="3BBAA864"/>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01CD3941"/>
    <w:multiLevelType w:val="singleLevel"/>
    <w:tmpl w:val="485416EE"/>
    <w:lvl w:ilvl="0">
      <w:start w:val="1"/>
      <w:numFmt w:val="lowerLetter"/>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6" w15:restartNumberingAfterBreak="0">
    <w:nsid w:val="02CD11CD"/>
    <w:multiLevelType w:val="singleLevel"/>
    <w:tmpl w:val="E38AC312"/>
    <w:lvl w:ilvl="0">
      <w:start w:val="1"/>
      <w:numFmt w:val="bullet"/>
      <w:lvlText w:val=""/>
      <w:lvlJc w:val="left"/>
      <w:pPr>
        <w:tabs>
          <w:tab w:val="num" w:pos="720"/>
        </w:tabs>
        <w:ind w:left="720" w:hanging="720"/>
      </w:pPr>
      <w:rPr>
        <w:rFonts w:ascii="Symbol" w:hAnsi="Symbol" w:cs="Symbol" w:hint="default"/>
      </w:rPr>
    </w:lvl>
  </w:abstractNum>
  <w:abstractNum w:abstractNumId="7" w15:restartNumberingAfterBreak="0">
    <w:nsid w:val="04247A8A"/>
    <w:multiLevelType w:val="multilevel"/>
    <w:tmpl w:val="8DA81258"/>
    <w:lvl w:ilvl="0">
      <w:start w:val="1"/>
      <w:numFmt w:val="decimal"/>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8"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cs="Symbol" w:hint="default"/>
        <w:color w:val="auto"/>
      </w:rPr>
    </w:lvl>
    <w:lvl w:ilvl="1">
      <w:start w:val="1"/>
      <w:numFmt w:val="decimal"/>
      <w:lvlText w:val="B%1.%2"/>
      <w:lvlJc w:val="left"/>
      <w:pPr>
        <w:tabs>
          <w:tab w:val="num" w:pos="576"/>
        </w:tabs>
        <w:ind w:left="576" w:hanging="576"/>
      </w:pPr>
      <w:rPr>
        <w:rFonts w:ascii="Times New Roman" w:hAnsi="Times New Roman" w:cs="Times New Roman" w:hint="default"/>
      </w:rPr>
    </w:lvl>
    <w:lvl w:ilvl="2">
      <w:start w:val="1"/>
      <w:numFmt w:val="decimal"/>
      <w:lvlText w:val="B%1.%2.%3"/>
      <w:lvlJc w:val="left"/>
      <w:pPr>
        <w:tabs>
          <w:tab w:val="num" w:pos="720"/>
        </w:tabs>
        <w:ind w:left="720" w:hanging="720"/>
      </w:pPr>
      <w:rPr>
        <w:rFonts w:ascii="Times New Roman" w:hAnsi="Times New Roman" w:cs="Times New Roman" w:hint="default"/>
      </w:rPr>
    </w:lvl>
    <w:lvl w:ilvl="3">
      <w:start w:val="1"/>
      <w:numFmt w:val="decimal"/>
      <w:lvlText w:val="B%1.%2.%3.%4"/>
      <w:lvlJc w:val="left"/>
      <w:pPr>
        <w:tabs>
          <w:tab w:val="num" w:pos="1080"/>
        </w:tabs>
        <w:ind w:left="864" w:hanging="864"/>
      </w:pPr>
      <w:rPr>
        <w:rFonts w:ascii="Times New Roman" w:hAnsi="Times New Roman" w:cs="Times New Roman" w:hint="default"/>
      </w:rPr>
    </w:lvl>
    <w:lvl w:ilvl="4">
      <w:start w:val="1"/>
      <w:numFmt w:val="decimal"/>
      <w:lvlText w:val="B%1.%2.%3.%4.%5"/>
      <w:lvlJc w:val="left"/>
      <w:pPr>
        <w:tabs>
          <w:tab w:val="num" w:pos="1440"/>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9" w15:restartNumberingAfterBreak="0">
    <w:nsid w:val="065C2E20"/>
    <w:multiLevelType w:val="singleLevel"/>
    <w:tmpl w:val="B6CEB0FA"/>
    <w:lvl w:ilvl="0">
      <w:start w:val="1"/>
      <w:numFmt w:val="decimal"/>
      <w:lvlText w:val="[B%1]"/>
      <w:lvlJc w:val="left"/>
      <w:pPr>
        <w:tabs>
          <w:tab w:val="num" w:pos="720"/>
        </w:tabs>
      </w:pPr>
      <w:rPr>
        <w:rFonts w:ascii="Times New Roman" w:hAnsi="Times New Roman" w:cs="Times New Roman"/>
        <w:i w:val="0"/>
        <w:iCs w:val="0"/>
        <w:caps w:val="0"/>
        <w:smallCaps w:val="0"/>
        <w:strike w:val="0"/>
        <w:dstrike w:val="0"/>
        <w:vanish w:val="0"/>
        <w:color w:val="000000"/>
        <w:spacing w:val="0"/>
        <w:kern w:val="0"/>
        <w:position w:val="0"/>
        <w:u w:val="none"/>
        <w:vertAlign w:val="baseline"/>
      </w:rPr>
    </w:lvl>
  </w:abstractNum>
  <w:abstractNum w:abstractNumId="10" w15:restartNumberingAfterBreak="0">
    <w:nsid w:val="06A64603"/>
    <w:multiLevelType w:val="singleLevel"/>
    <w:tmpl w:val="46AA7670"/>
    <w:lvl w:ilvl="0">
      <w:start w:val="1"/>
      <w:numFmt w:val="lowerLetter"/>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1" w15:restartNumberingAfterBreak="0">
    <w:nsid w:val="0A2D2333"/>
    <w:multiLevelType w:val="singleLevel"/>
    <w:tmpl w:val="31BC6C98"/>
    <w:lvl w:ilvl="0">
      <w:start w:val="1"/>
      <w:numFmt w:val="bullet"/>
      <w:lvlText w:val=""/>
      <w:lvlJc w:val="left"/>
      <w:pPr>
        <w:tabs>
          <w:tab w:val="num" w:pos="640"/>
        </w:tabs>
        <w:ind w:left="640" w:hanging="440"/>
      </w:pPr>
      <w:rPr>
        <w:rFonts w:ascii="Symbol" w:hAnsi="Symbol" w:cs="Symbol" w:hint="default"/>
      </w:rPr>
    </w:lvl>
  </w:abstractNum>
  <w:abstractNum w:abstractNumId="12" w15:restartNumberingAfterBreak="0">
    <w:nsid w:val="0CB231BF"/>
    <w:multiLevelType w:val="hybridMultilevel"/>
    <w:tmpl w:val="4C4095FE"/>
    <w:lvl w:ilvl="0" w:tplc="D5CA5C58">
      <w:start w:val="14"/>
      <w:numFmt w:val="bullet"/>
      <w:lvlText w:val="-"/>
      <w:lvlJc w:val="left"/>
      <w:pPr>
        <w:tabs>
          <w:tab w:val="num" w:pos="360"/>
        </w:tabs>
        <w:ind w:left="340" w:hanging="340"/>
      </w:pPr>
      <w:rPr>
        <w:rFonts w:ascii="Garamond" w:hAnsi="Garamond" w:cs="Garamond" w:hint="default"/>
        <w:sz w:val="20"/>
        <w:szCs w:val="20"/>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3" w15:restartNumberingAfterBreak="0">
    <w:nsid w:val="0CB245DF"/>
    <w:multiLevelType w:val="multilevel"/>
    <w:tmpl w:val="8B468244"/>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4"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5"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cs="Symbol" w:hint="default"/>
      </w:rPr>
    </w:lvl>
  </w:abstractNum>
  <w:abstractNum w:abstractNumId="16"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7" w15:restartNumberingAfterBreak="0">
    <w:nsid w:val="22B24566"/>
    <w:multiLevelType w:val="singleLevel"/>
    <w:tmpl w:val="0EF88D56"/>
    <w:lvl w:ilvl="0">
      <w:start w:val="1"/>
      <w:numFmt w:val="decimal"/>
      <w:lvlText w:val="[%1]"/>
      <w:lvlJc w:val="left"/>
      <w:pPr>
        <w:tabs>
          <w:tab w:val="num" w:pos="357"/>
        </w:tabs>
        <w:ind w:left="397" w:hanging="397"/>
      </w:pPr>
      <w:rPr>
        <w:rFonts w:ascii="Times New Roman" w:hAnsi="Times New Roman" w:cs="Times New Roman" w:hint="default"/>
      </w:rPr>
    </w:lvl>
  </w:abstractNum>
  <w:abstractNum w:abstractNumId="18" w15:restartNumberingAfterBreak="0">
    <w:nsid w:val="23B7565E"/>
    <w:multiLevelType w:val="singleLevel"/>
    <w:tmpl w:val="63E82100"/>
    <w:lvl w:ilvl="0">
      <w:start w:val="1"/>
      <w:numFmt w:val="decimal"/>
      <w:lvlText w:val="Table %1"/>
      <w:lvlJc w:val="center"/>
      <w:pPr>
        <w:tabs>
          <w:tab w:val="num" w:pos="1080"/>
        </w:tabs>
      </w:pPr>
      <w:rPr>
        <w:rFonts w:ascii="Arial" w:hAnsi="Arial" w:cs="Arial" w:hint="default"/>
        <w:b/>
        <w:bCs/>
        <w:i w:val="0"/>
        <w:iCs w:val="0"/>
        <w:caps w:val="0"/>
        <w:strike w:val="0"/>
        <w:dstrike w:val="0"/>
        <w:vanish w:val="0"/>
        <w:color w:val="000000"/>
        <w:sz w:val="20"/>
        <w:szCs w:val="20"/>
        <w:vertAlign w:val="baseline"/>
      </w:rPr>
    </w:lvl>
  </w:abstractNum>
  <w:abstractNum w:abstractNumId="19" w15:restartNumberingAfterBreak="0">
    <w:nsid w:val="2E066083"/>
    <w:multiLevelType w:val="multilevel"/>
    <w:tmpl w:val="8C9A6498"/>
    <w:lvl w:ilvl="0">
      <w:start w:val="1"/>
      <w:numFmt w:val="lowerLetter"/>
      <w:lvlText w:val="%1)"/>
      <w:lvlJc w:val="left"/>
      <w:pPr>
        <w:tabs>
          <w:tab w:val="num" w:pos="907"/>
        </w:tabs>
        <w:ind w:left="90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1">
      <w:start w:val="1"/>
      <w:numFmt w:val="decimal"/>
      <w:lvlText w:val="%2)"/>
      <w:lvlJc w:val="left"/>
      <w:pPr>
        <w:tabs>
          <w:tab w:val="num" w:pos="1267"/>
        </w:tabs>
        <w:ind w:left="126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2">
      <w:start w:val="1"/>
      <w:numFmt w:val="lowerRoman"/>
      <w:lvlText w:val="%3)"/>
      <w:lvlJc w:val="left"/>
      <w:pPr>
        <w:tabs>
          <w:tab w:val="num" w:pos="1800"/>
        </w:tabs>
        <w:ind w:left="180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3">
      <w:start w:val="1"/>
      <w:numFmt w:val="lowerRoman"/>
      <w:lvlText w:val="%4)"/>
      <w:lvlJc w:val="left"/>
      <w:pPr>
        <w:tabs>
          <w:tab w:val="num" w:pos="2347"/>
        </w:tabs>
        <w:ind w:left="2347" w:hanging="547"/>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4">
      <w:start w:val="1"/>
      <w:numFmt w:val="lowerRoman"/>
      <w:lvlText w:val="%5)"/>
      <w:lvlJc w:val="left"/>
      <w:pPr>
        <w:tabs>
          <w:tab w:val="num" w:pos="2880"/>
        </w:tabs>
        <w:ind w:left="288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5">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6">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7">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8">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abstractNum>
  <w:abstractNum w:abstractNumId="20" w15:restartNumberingAfterBreak="0">
    <w:nsid w:val="33DF3E95"/>
    <w:multiLevelType w:val="singleLevel"/>
    <w:tmpl w:val="2AB6D350"/>
    <w:lvl w:ilvl="0">
      <w:start w:val="1"/>
      <w:numFmt w:val="lowerLetter"/>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1"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cs="Symbol" w:hint="default"/>
      </w:rPr>
    </w:lvl>
  </w:abstractNum>
  <w:abstractNum w:abstractNumId="22" w15:restartNumberingAfterBreak="0">
    <w:nsid w:val="3A877D64"/>
    <w:multiLevelType w:val="singleLevel"/>
    <w:tmpl w:val="FBCAFA5C"/>
    <w:lvl w:ilvl="0">
      <w:start w:val="1"/>
      <w:numFmt w:val="decimal"/>
      <w:lvlText w:val="[%1]"/>
      <w:lvlJc w:val="left"/>
      <w:pPr>
        <w:tabs>
          <w:tab w:val="num" w:pos="360"/>
        </w:tabs>
        <w:ind w:left="360" w:hanging="360"/>
      </w:pPr>
      <w:rPr>
        <w:rFonts w:ascii="Times New Roman" w:hAnsi="Times New Roman" w:cs="Times New Roman"/>
        <w:i w:val="0"/>
        <w:iCs w:val="0"/>
      </w:rPr>
    </w:lvl>
  </w:abstractNum>
  <w:abstractNum w:abstractNumId="23" w15:restartNumberingAfterBreak="0">
    <w:nsid w:val="3B1D7BA1"/>
    <w:multiLevelType w:val="singleLevel"/>
    <w:tmpl w:val="D7C8D694"/>
    <w:lvl w:ilvl="0">
      <w:start w:val="1"/>
      <w:numFmt w:val="decimal"/>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4" w15:restartNumberingAfterBreak="0">
    <w:nsid w:val="464D3319"/>
    <w:multiLevelType w:val="multilevel"/>
    <w:tmpl w:val="C61CA6A6"/>
    <w:lvl w:ilvl="0">
      <w:start w:val="1"/>
      <w:numFmt w:val="decimal"/>
      <w:lvlText w:val="%1"/>
      <w:lvlJc w:val="left"/>
      <w:pPr>
        <w:tabs>
          <w:tab w:val="num" w:pos="735"/>
        </w:tabs>
        <w:ind w:left="735" w:hanging="735"/>
      </w:pPr>
      <w:rPr>
        <w:rFonts w:ascii="Times New Roman" w:hAnsi="Times New Roman" w:cs="Times New Roman" w:hint="default"/>
      </w:rPr>
    </w:lvl>
    <w:lvl w:ilvl="1">
      <w:start w:val="1"/>
      <w:numFmt w:val="decimal"/>
      <w:lvlText w:val="%1.%2"/>
      <w:lvlJc w:val="left"/>
      <w:pPr>
        <w:tabs>
          <w:tab w:val="num" w:pos="735"/>
        </w:tabs>
        <w:ind w:left="735" w:hanging="735"/>
      </w:pPr>
      <w:rPr>
        <w:rFonts w:ascii="Times New Roman" w:hAnsi="Times New Roman" w:cs="Times New Roman" w:hint="default"/>
      </w:rPr>
    </w:lvl>
    <w:lvl w:ilvl="2">
      <w:start w:val="1"/>
      <w:numFmt w:val="decimal"/>
      <w:lvlText w:val="%1.%2.%3"/>
      <w:lvlJc w:val="left"/>
      <w:pPr>
        <w:tabs>
          <w:tab w:val="num" w:pos="1080"/>
        </w:tabs>
        <w:ind w:left="735" w:hanging="735"/>
      </w:pPr>
      <w:rPr>
        <w:rFonts w:ascii="Times New Roman" w:hAnsi="Times New Roman" w:cs="Times New Roman" w:hint="default"/>
      </w:rPr>
    </w:lvl>
    <w:lvl w:ilvl="3">
      <w:start w:val="1"/>
      <w:numFmt w:val="decimal"/>
      <w:lvlText w:val="%1.%2.%3.%4"/>
      <w:lvlJc w:val="left"/>
      <w:pPr>
        <w:tabs>
          <w:tab w:val="num" w:pos="1440"/>
        </w:tabs>
        <w:ind w:left="735" w:hanging="735"/>
      </w:pPr>
      <w:rPr>
        <w:rFonts w:ascii="Times New Roman" w:hAnsi="Times New Roman" w:cs="Times New Roman" w:hint="default"/>
      </w:rPr>
    </w:lvl>
    <w:lvl w:ilvl="4">
      <w:start w:val="1"/>
      <w:numFmt w:val="decimal"/>
      <w:lvlText w:val="%1.%2.%3.%4.%5"/>
      <w:lvlJc w:val="left"/>
      <w:pPr>
        <w:tabs>
          <w:tab w:val="num" w:pos="1440"/>
        </w:tabs>
        <w:ind w:left="1080" w:hanging="1080"/>
      </w:pPr>
      <w:rPr>
        <w:rFonts w:ascii="Times New Roman" w:hAnsi="Times New Roman" w:cs="Times New Roman" w:hint="default"/>
      </w:rPr>
    </w:lvl>
    <w:lvl w:ilvl="5">
      <w:start w:val="1"/>
      <w:numFmt w:val="decimal"/>
      <w:lvlText w:val="%1.%2.%3.%4.%5.%6"/>
      <w:lvlJc w:val="left"/>
      <w:pPr>
        <w:tabs>
          <w:tab w:val="num" w:pos="180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5"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6" w15:restartNumberingAfterBreak="0">
    <w:nsid w:val="46AA38E3"/>
    <w:multiLevelType w:val="singleLevel"/>
    <w:tmpl w:val="004CE2F6"/>
    <w:lvl w:ilvl="0">
      <w:start w:val="1"/>
      <w:numFmt w:val="bullet"/>
      <w:lvlText w:val=""/>
      <w:lvlJc w:val="left"/>
      <w:pPr>
        <w:tabs>
          <w:tab w:val="num" w:pos="1080"/>
        </w:tabs>
        <w:ind w:left="720"/>
      </w:pPr>
      <w:rPr>
        <w:rFonts w:ascii="Symbol" w:hAnsi="Symbol" w:cs="Symbol" w:hint="default"/>
      </w:rPr>
    </w:lvl>
  </w:abstractNum>
  <w:abstractNum w:abstractNumId="27"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8"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cs="Symbol" w:hint="default"/>
      </w:rPr>
    </w:lvl>
  </w:abstractNum>
  <w:abstractNum w:abstractNumId="29"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cs="Symbol" w:hint="default"/>
      </w:rPr>
    </w:lvl>
  </w:abstractNum>
  <w:abstractNum w:abstractNumId="30" w15:restartNumberingAfterBreak="0">
    <w:nsid w:val="4C243DEE"/>
    <w:multiLevelType w:val="singleLevel"/>
    <w:tmpl w:val="AFB0874E"/>
    <w:lvl w:ilvl="0">
      <w:start w:val="1"/>
      <w:numFmt w:val="bullet"/>
      <w:lvlText w:val=""/>
      <w:lvlJc w:val="left"/>
      <w:pPr>
        <w:tabs>
          <w:tab w:val="num" w:pos="720"/>
        </w:tabs>
        <w:ind w:left="720" w:hanging="720"/>
      </w:pPr>
      <w:rPr>
        <w:rFonts w:ascii="Symbol" w:hAnsi="Symbol" w:cs="Symbol" w:hint="default"/>
      </w:rPr>
    </w:lvl>
  </w:abstractNum>
  <w:abstractNum w:abstractNumId="31" w15:restartNumberingAfterBreak="0">
    <w:nsid w:val="4E3C1D72"/>
    <w:multiLevelType w:val="singleLevel"/>
    <w:tmpl w:val="2386458A"/>
    <w:lvl w:ilvl="0">
      <w:start w:val="1"/>
      <w:numFmt w:val="decimal"/>
      <w:lvlText w:val="Figure %1"/>
      <w:lvlJc w:val="center"/>
      <w:pPr>
        <w:tabs>
          <w:tab w:val="num" w:pos="0"/>
        </w:tabs>
        <w:ind w:left="1008" w:hanging="468"/>
      </w:pPr>
      <w:rPr>
        <w:rFonts w:ascii="Arial" w:hAnsi="Arial" w:cs="Arial" w:hint="default"/>
        <w:b/>
        <w:bCs/>
        <w:i w:val="0"/>
        <w:iCs w:val="0"/>
        <w:caps w:val="0"/>
        <w:strike w:val="0"/>
        <w:dstrike w:val="0"/>
        <w:vanish w:val="0"/>
        <w:color w:val="000000"/>
        <w:sz w:val="20"/>
        <w:szCs w:val="20"/>
        <w:vertAlign w:val="baseline"/>
      </w:rPr>
    </w:lvl>
  </w:abstractNum>
  <w:abstractNum w:abstractNumId="32" w15:restartNumberingAfterBreak="0">
    <w:nsid w:val="511D094F"/>
    <w:multiLevelType w:val="hybridMultilevel"/>
    <w:tmpl w:val="8C04D5C2"/>
    <w:lvl w:ilvl="0" w:tplc="93A48A96">
      <w:start w:val="1"/>
      <w:numFmt w:val="bullet"/>
      <w:lvlText w:val=""/>
      <w:lvlJc w:val="left"/>
      <w:pPr>
        <w:tabs>
          <w:tab w:val="num" w:pos="397"/>
        </w:tabs>
        <w:ind w:left="397" w:hanging="39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4"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5"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6" w15:restartNumberingAfterBreak="0">
    <w:nsid w:val="5E412D67"/>
    <w:multiLevelType w:val="hybridMultilevel"/>
    <w:tmpl w:val="268C0CA0"/>
    <w:lvl w:ilvl="0" w:tplc="FFFFFFFF">
      <w:start w:val="1"/>
      <w:numFmt w:val="decimal"/>
      <w:lvlText w:val="%1."/>
      <w:lvlJc w:val="left"/>
      <w:pPr>
        <w:tabs>
          <w:tab w:val="num" w:pos="397"/>
        </w:tabs>
        <w:ind w:left="397" w:hanging="39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7" w15:restartNumberingAfterBreak="0">
    <w:nsid w:val="61182925"/>
    <w:multiLevelType w:val="singleLevel"/>
    <w:tmpl w:val="D180CED0"/>
    <w:lvl w:ilvl="0">
      <w:start w:val="1"/>
      <w:numFmt w:val="decimal"/>
      <w:lvlText w:val="%1."/>
      <w:lvlJc w:val="left"/>
      <w:pPr>
        <w:tabs>
          <w:tab w:val="num" w:pos="1080"/>
        </w:tabs>
        <w:ind w:firstLine="720"/>
      </w:pPr>
      <w:rPr>
        <w:rFonts w:ascii="Times New Roman" w:hAnsi="Times New Roman" w:cs="Times New Roman"/>
      </w:rPr>
    </w:lvl>
  </w:abstractNum>
  <w:abstractNum w:abstractNumId="38" w15:restartNumberingAfterBreak="0">
    <w:nsid w:val="63B145C4"/>
    <w:multiLevelType w:val="multilevel"/>
    <w:tmpl w:val="676C1170"/>
    <w:lvl w:ilvl="0">
      <w:start w:val="1"/>
      <w:numFmt w:val="upperLetter"/>
      <w:suff w:val="nothing"/>
      <w:lvlText w:val="Appendix %1"/>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lvlText w:val="%1.%2.%3 "/>
      <w:lvlJc w:val="left"/>
      <w:pPr>
        <w:ind w:left="0" w:firstLine="0"/>
      </w:pPr>
      <w:rPr>
        <w:rFonts w:hint="default"/>
      </w:rPr>
    </w:lvl>
    <w:lvl w:ilvl="3">
      <w:start w:val="1"/>
      <w:numFmt w:val="decimal"/>
      <w:suff w:val="space"/>
      <w:lvlText w:val="%1.%2.%3.%4 "/>
      <w:lvlJc w:val="left"/>
      <w:pPr>
        <w:ind w:left="54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9" w15:restartNumberingAfterBreak="0">
    <w:nsid w:val="64FC62E2"/>
    <w:multiLevelType w:val="multilevel"/>
    <w:tmpl w:val="FE2C94A4"/>
    <w:lvl w:ilvl="0">
      <w:start w:val="1"/>
      <w:numFmt w:val="decimal"/>
      <w:lvlText w:val="%1"/>
      <w:lvlJc w:val="left"/>
      <w:pPr>
        <w:tabs>
          <w:tab w:val="num" w:pos="792"/>
        </w:tabs>
        <w:ind w:left="792" w:hanging="792"/>
      </w:pPr>
      <w:rPr>
        <w:rFonts w:ascii="Times New Roman" w:hAnsi="Times New Roman" w:cs="Times New Roman" w:hint="default"/>
      </w:rPr>
    </w:lvl>
    <w:lvl w:ilvl="1">
      <w:start w:val="1"/>
      <w:numFmt w:val="decimal"/>
      <w:lvlText w:val="%1.%2"/>
      <w:lvlJc w:val="left"/>
      <w:pPr>
        <w:tabs>
          <w:tab w:val="num" w:pos="792"/>
        </w:tabs>
        <w:ind w:left="792" w:hanging="792"/>
      </w:pPr>
      <w:rPr>
        <w:rFonts w:ascii="Times New Roman" w:hAnsi="Times New Roman" w:cs="Times New Roman" w:hint="default"/>
      </w:rPr>
    </w:lvl>
    <w:lvl w:ilvl="2">
      <w:start w:val="4"/>
      <w:numFmt w:val="decimal"/>
      <w:lvlText w:val="%1.%2.%3"/>
      <w:lvlJc w:val="left"/>
      <w:pPr>
        <w:tabs>
          <w:tab w:val="num" w:pos="792"/>
        </w:tabs>
        <w:ind w:left="792" w:hanging="792"/>
      </w:pPr>
      <w:rPr>
        <w:rFonts w:ascii="Times New Roman" w:hAnsi="Times New Roman" w:cs="Times New Roman" w:hint="default"/>
      </w:rPr>
    </w:lvl>
    <w:lvl w:ilvl="3">
      <w:start w:val="2"/>
      <w:numFmt w:val="decimal"/>
      <w:lvlText w:val="%1.%2.%3.%4"/>
      <w:lvlJc w:val="left"/>
      <w:pPr>
        <w:tabs>
          <w:tab w:val="num" w:pos="792"/>
        </w:tabs>
        <w:ind w:left="792" w:hanging="792"/>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0"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41" w15:restartNumberingAfterBreak="0">
    <w:nsid w:val="6B20746F"/>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cs="Bookman Old Style" w:hint="default"/>
      </w:rPr>
    </w:lvl>
  </w:abstractNum>
  <w:abstractNum w:abstractNumId="43" w15:restartNumberingAfterBreak="0">
    <w:nsid w:val="6BAD1304"/>
    <w:multiLevelType w:val="hybridMultilevel"/>
    <w:tmpl w:val="04E2B570"/>
    <w:lvl w:ilvl="0" w:tplc="FF5C2F6E">
      <w:start w:val="1"/>
      <w:numFmt w:val="lowerLetter"/>
      <w:lvlText w:val="%1."/>
      <w:lvlJc w:val="left"/>
      <w:pPr>
        <w:tabs>
          <w:tab w:val="num" w:pos="0"/>
        </w:tabs>
        <w:ind w:left="360"/>
      </w:pPr>
      <w:rPr>
        <w:rFonts w:ascii="Times New Roman" w:hAnsi="Times New Roman" w:cs="Times New Roman" w:hint="default"/>
        <w:b w:val="0"/>
        <w:i w:val="0"/>
        <w:sz w:val="24"/>
      </w:rPr>
    </w:lvl>
    <w:lvl w:ilvl="1" w:tplc="14D0E94E">
      <w:start w:val="1"/>
      <w:numFmt w:val="lowerLetter"/>
      <w:lvlText w:val="%2."/>
      <w:lvlJc w:val="left"/>
      <w:pPr>
        <w:tabs>
          <w:tab w:val="num" w:pos="288"/>
        </w:tabs>
        <w:ind w:left="288" w:hanging="288"/>
      </w:pPr>
      <w:rPr>
        <w:rFonts w:ascii="Times New Roman" w:hAnsi="Times New Roman" w:cs="Times New Roman" w:hint="default"/>
        <w:b w:val="0"/>
        <w:i w:val="0"/>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F1412FB"/>
    <w:multiLevelType w:val="singleLevel"/>
    <w:tmpl w:val="1AD23920"/>
    <w:lvl w:ilvl="0">
      <w:start w:val="1"/>
      <w:numFmt w:val="bullet"/>
      <w:lvlText w:val=""/>
      <w:lvlJc w:val="left"/>
      <w:pPr>
        <w:tabs>
          <w:tab w:val="num" w:pos="1080"/>
        </w:tabs>
        <w:ind w:left="720"/>
      </w:pPr>
      <w:rPr>
        <w:rFonts w:ascii="Symbol" w:hAnsi="Symbol" w:cs="Symbol" w:hint="default"/>
      </w:rPr>
    </w:lvl>
  </w:abstractNum>
  <w:abstractNum w:abstractNumId="45" w15:restartNumberingAfterBreak="0">
    <w:nsid w:val="789A09E3"/>
    <w:multiLevelType w:val="multilevel"/>
    <w:tmpl w:val="51A69CA4"/>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1440"/>
        </w:tabs>
        <w:ind w:left="1440" w:hanging="720"/>
      </w:pPr>
      <w:rPr>
        <w:rFonts w:ascii="Times New Roman" w:hAnsi="Times New Roman" w:cs="Times New Roman" w:hint="default"/>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3238"/>
        </w:tabs>
        <w:ind w:left="3238" w:hanging="1078"/>
      </w:pPr>
      <w:rPr>
        <w:rFonts w:ascii="Times New Roman" w:hAnsi="Times New Roman" w:cs="Times New Roman" w:hint="default"/>
      </w:rPr>
    </w:lvl>
    <w:lvl w:ilvl="4">
      <w:start w:val="1"/>
      <w:numFmt w:val="decimal"/>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46"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cs="Symbol" w:hint="default"/>
      </w:rPr>
    </w:lvl>
  </w:abstractNum>
  <w:abstractNum w:abstractNumId="47" w15:restartNumberingAfterBreak="0">
    <w:nsid w:val="7F344FAF"/>
    <w:multiLevelType w:val="multilevel"/>
    <w:tmpl w:val="3ED0FF0A"/>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1440"/>
        </w:tabs>
        <w:ind w:left="1440" w:hanging="720"/>
      </w:pPr>
      <w:rPr>
        <w:rFonts w:ascii="Times New Roman" w:hAnsi="Times New Roman" w:cs="Times New Roman" w:hint="default"/>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3238"/>
        </w:tabs>
        <w:ind w:left="3238" w:hanging="1078"/>
      </w:pPr>
      <w:rPr>
        <w:rFonts w:ascii="Times New Roman" w:hAnsi="Times New Roman" w:cs="Times New Roman" w:hint="default"/>
      </w:rPr>
    </w:lvl>
    <w:lvl w:ilvl="4">
      <w:start w:val="1"/>
      <w:numFmt w:val="decimal"/>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8"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cs="Wingdings" w:hint="default"/>
      </w:rPr>
    </w:lvl>
  </w:abstractNum>
  <w:num w:numId="1">
    <w:abstractNumId w:val="41"/>
  </w:num>
  <w:num w:numId="2">
    <w:abstractNumId w:val="4"/>
  </w:num>
  <w:num w:numId="3">
    <w:abstractNumId w:val="2"/>
  </w:num>
  <w:num w:numId="4">
    <w:abstractNumId w:val="1"/>
  </w:num>
  <w:num w:numId="5">
    <w:abstractNumId w:val="3"/>
  </w:num>
  <w:num w:numId="6">
    <w:abstractNumId w:val="0"/>
  </w:num>
  <w:num w:numId="7">
    <w:abstractNumId w:val="12"/>
  </w:num>
  <w:num w:numId="8">
    <w:abstractNumId w:val="22"/>
  </w:num>
  <w:num w:numId="9">
    <w:abstractNumId w:val="32"/>
  </w:num>
  <w:num w:numId="10">
    <w:abstractNumId w:val="36"/>
  </w:num>
  <w:num w:numId="11">
    <w:abstractNumId w:val="17"/>
  </w:num>
  <w:num w:numId="12">
    <w:abstractNumId w:val="33"/>
  </w:num>
  <w:num w:numId="13">
    <w:abstractNumId w:val="8"/>
  </w:num>
  <w:num w:numId="14">
    <w:abstractNumId w:val="14"/>
  </w:num>
  <w:num w:numId="15">
    <w:abstractNumId w:val="10"/>
  </w:num>
  <w:num w:numId="16">
    <w:abstractNumId w:val="20"/>
  </w:num>
  <w:num w:numId="17">
    <w:abstractNumId w:val="5"/>
  </w:num>
  <w:num w:numId="18">
    <w:abstractNumId w:val="16"/>
  </w:num>
  <w:num w:numId="19">
    <w:abstractNumId w:val="47"/>
  </w:num>
  <w:num w:numId="20">
    <w:abstractNumId w:val="30"/>
  </w:num>
  <w:num w:numId="21">
    <w:abstractNumId w:val="44"/>
  </w:num>
  <w:num w:numId="22">
    <w:abstractNumId w:val="6"/>
  </w:num>
  <w:num w:numId="23">
    <w:abstractNumId w:val="26"/>
  </w:num>
  <w:num w:numId="24">
    <w:abstractNumId w:val="21"/>
  </w:num>
  <w:num w:numId="25">
    <w:abstractNumId w:val="23"/>
  </w:num>
  <w:num w:numId="26">
    <w:abstractNumId w:val="35"/>
  </w:num>
  <w:num w:numId="27">
    <w:abstractNumId w:val="27"/>
  </w:num>
  <w:num w:numId="28">
    <w:abstractNumId w:val="40"/>
  </w:num>
  <w:num w:numId="29">
    <w:abstractNumId w:val="25"/>
  </w:num>
  <w:num w:numId="30">
    <w:abstractNumId w:val="34"/>
  </w:num>
  <w:num w:numId="31">
    <w:abstractNumId w:val="45"/>
  </w:num>
  <w:num w:numId="32">
    <w:abstractNumId w:val="39"/>
  </w:num>
  <w:num w:numId="33">
    <w:abstractNumId w:val="28"/>
  </w:num>
  <w:num w:numId="34">
    <w:abstractNumId w:val="48"/>
  </w:num>
  <w:num w:numId="35">
    <w:abstractNumId w:val="29"/>
  </w:num>
  <w:num w:numId="36">
    <w:abstractNumId w:val="24"/>
  </w:num>
  <w:num w:numId="37">
    <w:abstractNumId w:val="46"/>
  </w:num>
  <w:num w:numId="38">
    <w:abstractNumId w:val="42"/>
  </w:num>
  <w:num w:numId="39">
    <w:abstractNumId w:val="7"/>
  </w:num>
  <w:num w:numId="40">
    <w:abstractNumId w:val="15"/>
  </w:num>
  <w:num w:numId="41">
    <w:abstractNumId w:val="13"/>
  </w:num>
  <w:num w:numId="42">
    <w:abstractNumId w:val="37"/>
  </w:num>
  <w:num w:numId="43">
    <w:abstractNumId w:val="19"/>
  </w:num>
  <w:num w:numId="44">
    <w:abstractNumId w:val="31"/>
  </w:num>
  <w:num w:numId="45">
    <w:abstractNumId w:val="18"/>
  </w:num>
  <w:num w:numId="46">
    <w:abstractNumId w:val="9"/>
  </w:num>
  <w:num w:numId="47">
    <w:abstractNumId w:val="11"/>
  </w:num>
  <w:num w:numId="48">
    <w:abstractNumId w:val="43"/>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n-CA"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D9B"/>
    <w:rsid w:val="00013002"/>
    <w:rsid w:val="00023E30"/>
    <w:rsid w:val="00032C79"/>
    <w:rsid w:val="00033222"/>
    <w:rsid w:val="00050D41"/>
    <w:rsid w:val="00061093"/>
    <w:rsid w:val="00062087"/>
    <w:rsid w:val="000649C6"/>
    <w:rsid w:val="00064F5A"/>
    <w:rsid w:val="00072484"/>
    <w:rsid w:val="00081C0B"/>
    <w:rsid w:val="00081DD4"/>
    <w:rsid w:val="0009150E"/>
    <w:rsid w:val="00096612"/>
    <w:rsid w:val="000B6311"/>
    <w:rsid w:val="000B7683"/>
    <w:rsid w:val="000B7B53"/>
    <w:rsid w:val="000C0413"/>
    <w:rsid w:val="000C3624"/>
    <w:rsid w:val="000E2F64"/>
    <w:rsid w:val="000E4605"/>
    <w:rsid w:val="000E4FD1"/>
    <w:rsid w:val="000F3C25"/>
    <w:rsid w:val="000F4E40"/>
    <w:rsid w:val="000F6FC4"/>
    <w:rsid w:val="00102934"/>
    <w:rsid w:val="001062A6"/>
    <w:rsid w:val="001106D3"/>
    <w:rsid w:val="00110DD0"/>
    <w:rsid w:val="001129B9"/>
    <w:rsid w:val="00125D5F"/>
    <w:rsid w:val="00132F6A"/>
    <w:rsid w:val="00143184"/>
    <w:rsid w:val="00143DAB"/>
    <w:rsid w:val="00147110"/>
    <w:rsid w:val="001610E6"/>
    <w:rsid w:val="0018098C"/>
    <w:rsid w:val="00194613"/>
    <w:rsid w:val="001A5259"/>
    <w:rsid w:val="001B65E2"/>
    <w:rsid w:val="001C0779"/>
    <w:rsid w:val="001C3749"/>
    <w:rsid w:val="001C3A21"/>
    <w:rsid w:val="001C69CE"/>
    <w:rsid w:val="001C70F6"/>
    <w:rsid w:val="001F4842"/>
    <w:rsid w:val="002005BB"/>
    <w:rsid w:val="00201545"/>
    <w:rsid w:val="00204982"/>
    <w:rsid w:val="002058CE"/>
    <w:rsid w:val="002165F1"/>
    <w:rsid w:val="00223CA2"/>
    <w:rsid w:val="0023226D"/>
    <w:rsid w:val="002340C4"/>
    <w:rsid w:val="00235332"/>
    <w:rsid w:val="00247681"/>
    <w:rsid w:val="00250E45"/>
    <w:rsid w:val="002558DC"/>
    <w:rsid w:val="00256B52"/>
    <w:rsid w:val="00276D21"/>
    <w:rsid w:val="00280CD5"/>
    <w:rsid w:val="002842E9"/>
    <w:rsid w:val="00296510"/>
    <w:rsid w:val="00296D7F"/>
    <w:rsid w:val="00297D43"/>
    <w:rsid w:val="002B32C9"/>
    <w:rsid w:val="002B3CF6"/>
    <w:rsid w:val="002C1659"/>
    <w:rsid w:val="002C768A"/>
    <w:rsid w:val="002D1160"/>
    <w:rsid w:val="002D76C4"/>
    <w:rsid w:val="002E20DA"/>
    <w:rsid w:val="002F00DE"/>
    <w:rsid w:val="00305818"/>
    <w:rsid w:val="00306845"/>
    <w:rsid w:val="003169E4"/>
    <w:rsid w:val="003234B8"/>
    <w:rsid w:val="00335470"/>
    <w:rsid w:val="00336EAA"/>
    <w:rsid w:val="00351573"/>
    <w:rsid w:val="00356C31"/>
    <w:rsid w:val="003571CE"/>
    <w:rsid w:val="00357282"/>
    <w:rsid w:val="00362ED1"/>
    <w:rsid w:val="00382E8A"/>
    <w:rsid w:val="003D1796"/>
    <w:rsid w:val="003D3BC4"/>
    <w:rsid w:val="00420DFD"/>
    <w:rsid w:val="004319C1"/>
    <w:rsid w:val="00441C98"/>
    <w:rsid w:val="00446939"/>
    <w:rsid w:val="00451067"/>
    <w:rsid w:val="00451837"/>
    <w:rsid w:val="00470E28"/>
    <w:rsid w:val="00484B66"/>
    <w:rsid w:val="00484CB0"/>
    <w:rsid w:val="00485BB4"/>
    <w:rsid w:val="004932E7"/>
    <w:rsid w:val="004934C5"/>
    <w:rsid w:val="00494491"/>
    <w:rsid w:val="004B057E"/>
    <w:rsid w:val="004B1F80"/>
    <w:rsid w:val="004B643F"/>
    <w:rsid w:val="004C5120"/>
    <w:rsid w:val="004E09E4"/>
    <w:rsid w:val="004E2665"/>
    <w:rsid w:val="004E46B8"/>
    <w:rsid w:val="00501BED"/>
    <w:rsid w:val="00505FB4"/>
    <w:rsid w:val="00524F50"/>
    <w:rsid w:val="00526063"/>
    <w:rsid w:val="00526165"/>
    <w:rsid w:val="00534510"/>
    <w:rsid w:val="00556548"/>
    <w:rsid w:val="00556A5D"/>
    <w:rsid w:val="005600C9"/>
    <w:rsid w:val="00565AD9"/>
    <w:rsid w:val="005848C6"/>
    <w:rsid w:val="00586EF8"/>
    <w:rsid w:val="00590051"/>
    <w:rsid w:val="00590363"/>
    <w:rsid w:val="00595CF3"/>
    <w:rsid w:val="00596132"/>
    <w:rsid w:val="005A19CA"/>
    <w:rsid w:val="005A24BF"/>
    <w:rsid w:val="005A3E0C"/>
    <w:rsid w:val="005A5632"/>
    <w:rsid w:val="005A7008"/>
    <w:rsid w:val="005A791E"/>
    <w:rsid w:val="005B1246"/>
    <w:rsid w:val="005B49AB"/>
    <w:rsid w:val="005B50E7"/>
    <w:rsid w:val="005C6627"/>
    <w:rsid w:val="005D24BE"/>
    <w:rsid w:val="005E1B76"/>
    <w:rsid w:val="005E4200"/>
    <w:rsid w:val="005E7B4F"/>
    <w:rsid w:val="005F54B0"/>
    <w:rsid w:val="00607B6C"/>
    <w:rsid w:val="00607D68"/>
    <w:rsid w:val="006131C1"/>
    <w:rsid w:val="006149B1"/>
    <w:rsid w:val="006338C0"/>
    <w:rsid w:val="00637613"/>
    <w:rsid w:val="00644696"/>
    <w:rsid w:val="00672897"/>
    <w:rsid w:val="006775A3"/>
    <w:rsid w:val="00680D2B"/>
    <w:rsid w:val="00681B32"/>
    <w:rsid w:val="00686AFF"/>
    <w:rsid w:val="006872B3"/>
    <w:rsid w:val="00687E1E"/>
    <w:rsid w:val="006A1F02"/>
    <w:rsid w:val="006C5CDB"/>
    <w:rsid w:val="006D0ADB"/>
    <w:rsid w:val="006E2037"/>
    <w:rsid w:val="006E7D95"/>
    <w:rsid w:val="006F5B4E"/>
    <w:rsid w:val="0071184A"/>
    <w:rsid w:val="00712870"/>
    <w:rsid w:val="00743D85"/>
    <w:rsid w:val="0074518F"/>
    <w:rsid w:val="00745856"/>
    <w:rsid w:val="00745FA2"/>
    <w:rsid w:val="00746784"/>
    <w:rsid w:val="00752FD3"/>
    <w:rsid w:val="00753CF4"/>
    <w:rsid w:val="007565CC"/>
    <w:rsid w:val="00763B9A"/>
    <w:rsid w:val="00775B80"/>
    <w:rsid w:val="0077613C"/>
    <w:rsid w:val="00787C2A"/>
    <w:rsid w:val="007A4F79"/>
    <w:rsid w:val="007A6AA8"/>
    <w:rsid w:val="007B203C"/>
    <w:rsid w:val="007B3513"/>
    <w:rsid w:val="007C2459"/>
    <w:rsid w:val="007C7AA0"/>
    <w:rsid w:val="007E1348"/>
    <w:rsid w:val="007F5DF9"/>
    <w:rsid w:val="007F7BAE"/>
    <w:rsid w:val="00810559"/>
    <w:rsid w:val="00811FBD"/>
    <w:rsid w:val="008310C9"/>
    <w:rsid w:val="00836298"/>
    <w:rsid w:val="008379D9"/>
    <w:rsid w:val="00850E65"/>
    <w:rsid w:val="008524DB"/>
    <w:rsid w:val="00870342"/>
    <w:rsid w:val="0087133F"/>
    <w:rsid w:val="0087251C"/>
    <w:rsid w:val="00877484"/>
    <w:rsid w:val="008815AC"/>
    <w:rsid w:val="008815BB"/>
    <w:rsid w:val="00894ABA"/>
    <w:rsid w:val="008B2CC6"/>
    <w:rsid w:val="008C63FB"/>
    <w:rsid w:val="008C7848"/>
    <w:rsid w:val="008D3D8D"/>
    <w:rsid w:val="008E2871"/>
    <w:rsid w:val="008F55EA"/>
    <w:rsid w:val="008F6A3E"/>
    <w:rsid w:val="009030CC"/>
    <w:rsid w:val="00911022"/>
    <w:rsid w:val="00916DC7"/>
    <w:rsid w:val="00917AF2"/>
    <w:rsid w:val="009222EC"/>
    <w:rsid w:val="0092418A"/>
    <w:rsid w:val="00932298"/>
    <w:rsid w:val="00934ED7"/>
    <w:rsid w:val="00941F9D"/>
    <w:rsid w:val="00942921"/>
    <w:rsid w:val="009474D9"/>
    <w:rsid w:val="009543C3"/>
    <w:rsid w:val="00956823"/>
    <w:rsid w:val="00966E1B"/>
    <w:rsid w:val="009716A3"/>
    <w:rsid w:val="009809DD"/>
    <w:rsid w:val="00985161"/>
    <w:rsid w:val="009A21EB"/>
    <w:rsid w:val="009A351D"/>
    <w:rsid w:val="009A6C24"/>
    <w:rsid w:val="009B5BC4"/>
    <w:rsid w:val="009C4EB7"/>
    <w:rsid w:val="009C5962"/>
    <w:rsid w:val="009F0D75"/>
    <w:rsid w:val="009F2D2C"/>
    <w:rsid w:val="00A326D8"/>
    <w:rsid w:val="00A33E21"/>
    <w:rsid w:val="00A47B34"/>
    <w:rsid w:val="00A54559"/>
    <w:rsid w:val="00A5596B"/>
    <w:rsid w:val="00A6617B"/>
    <w:rsid w:val="00A70CEC"/>
    <w:rsid w:val="00A71FE5"/>
    <w:rsid w:val="00A72F4B"/>
    <w:rsid w:val="00A76BAC"/>
    <w:rsid w:val="00A816EB"/>
    <w:rsid w:val="00A846EF"/>
    <w:rsid w:val="00A952BE"/>
    <w:rsid w:val="00AA232B"/>
    <w:rsid w:val="00AA3368"/>
    <w:rsid w:val="00AA3AD8"/>
    <w:rsid w:val="00AA79D0"/>
    <w:rsid w:val="00AB0DC8"/>
    <w:rsid w:val="00AC3946"/>
    <w:rsid w:val="00AC45D5"/>
    <w:rsid w:val="00AD26B8"/>
    <w:rsid w:val="00AD41F7"/>
    <w:rsid w:val="00AE520D"/>
    <w:rsid w:val="00AF0C96"/>
    <w:rsid w:val="00B033C8"/>
    <w:rsid w:val="00B036D9"/>
    <w:rsid w:val="00B04D4C"/>
    <w:rsid w:val="00B132E8"/>
    <w:rsid w:val="00B24F2F"/>
    <w:rsid w:val="00B257C1"/>
    <w:rsid w:val="00B33425"/>
    <w:rsid w:val="00B426F0"/>
    <w:rsid w:val="00B44E24"/>
    <w:rsid w:val="00B46875"/>
    <w:rsid w:val="00B47809"/>
    <w:rsid w:val="00B54ECC"/>
    <w:rsid w:val="00B567BC"/>
    <w:rsid w:val="00B61918"/>
    <w:rsid w:val="00B714F3"/>
    <w:rsid w:val="00B7460C"/>
    <w:rsid w:val="00B75A37"/>
    <w:rsid w:val="00B81687"/>
    <w:rsid w:val="00BA1544"/>
    <w:rsid w:val="00BC5D77"/>
    <w:rsid w:val="00BC6FC2"/>
    <w:rsid w:val="00BE46DE"/>
    <w:rsid w:val="00BF15C3"/>
    <w:rsid w:val="00BF487A"/>
    <w:rsid w:val="00C00883"/>
    <w:rsid w:val="00C01564"/>
    <w:rsid w:val="00C049E1"/>
    <w:rsid w:val="00C07EAC"/>
    <w:rsid w:val="00C41FA1"/>
    <w:rsid w:val="00C42D47"/>
    <w:rsid w:val="00C46BD9"/>
    <w:rsid w:val="00C55258"/>
    <w:rsid w:val="00C728FC"/>
    <w:rsid w:val="00C73560"/>
    <w:rsid w:val="00C7761D"/>
    <w:rsid w:val="00C90669"/>
    <w:rsid w:val="00C93B65"/>
    <w:rsid w:val="00CA0AE4"/>
    <w:rsid w:val="00CB0F14"/>
    <w:rsid w:val="00CB33DA"/>
    <w:rsid w:val="00CB47A0"/>
    <w:rsid w:val="00CB5D73"/>
    <w:rsid w:val="00CB60A4"/>
    <w:rsid w:val="00CB7BC1"/>
    <w:rsid w:val="00CC1048"/>
    <w:rsid w:val="00CC6954"/>
    <w:rsid w:val="00CD58B5"/>
    <w:rsid w:val="00CD659B"/>
    <w:rsid w:val="00CD7A62"/>
    <w:rsid w:val="00CE2594"/>
    <w:rsid w:val="00CF0D45"/>
    <w:rsid w:val="00CF34B5"/>
    <w:rsid w:val="00D0034D"/>
    <w:rsid w:val="00D156C4"/>
    <w:rsid w:val="00D20C2D"/>
    <w:rsid w:val="00D252AE"/>
    <w:rsid w:val="00D34481"/>
    <w:rsid w:val="00D34F16"/>
    <w:rsid w:val="00D503C9"/>
    <w:rsid w:val="00D50B43"/>
    <w:rsid w:val="00D54770"/>
    <w:rsid w:val="00D57367"/>
    <w:rsid w:val="00D67886"/>
    <w:rsid w:val="00D73FBE"/>
    <w:rsid w:val="00D8150A"/>
    <w:rsid w:val="00D83331"/>
    <w:rsid w:val="00D91F7F"/>
    <w:rsid w:val="00D92B2F"/>
    <w:rsid w:val="00DA1A0E"/>
    <w:rsid w:val="00DA5A84"/>
    <w:rsid w:val="00DB4F6A"/>
    <w:rsid w:val="00DC3C68"/>
    <w:rsid w:val="00DC59F0"/>
    <w:rsid w:val="00DD12DE"/>
    <w:rsid w:val="00DD5FAF"/>
    <w:rsid w:val="00DF087C"/>
    <w:rsid w:val="00DF234F"/>
    <w:rsid w:val="00DF4176"/>
    <w:rsid w:val="00E14A92"/>
    <w:rsid w:val="00E17240"/>
    <w:rsid w:val="00E1785F"/>
    <w:rsid w:val="00E224E5"/>
    <w:rsid w:val="00E33C5C"/>
    <w:rsid w:val="00E53B0D"/>
    <w:rsid w:val="00E642A4"/>
    <w:rsid w:val="00E64371"/>
    <w:rsid w:val="00E750F5"/>
    <w:rsid w:val="00E7610E"/>
    <w:rsid w:val="00E83CDE"/>
    <w:rsid w:val="00E92F7A"/>
    <w:rsid w:val="00EB3E37"/>
    <w:rsid w:val="00EC2808"/>
    <w:rsid w:val="00ED4B39"/>
    <w:rsid w:val="00ED683F"/>
    <w:rsid w:val="00F002C7"/>
    <w:rsid w:val="00F00542"/>
    <w:rsid w:val="00F00F50"/>
    <w:rsid w:val="00F0518B"/>
    <w:rsid w:val="00F06BA4"/>
    <w:rsid w:val="00F07FEF"/>
    <w:rsid w:val="00F103A9"/>
    <w:rsid w:val="00F144F6"/>
    <w:rsid w:val="00F166A8"/>
    <w:rsid w:val="00F20231"/>
    <w:rsid w:val="00F21D06"/>
    <w:rsid w:val="00F23979"/>
    <w:rsid w:val="00F30C9B"/>
    <w:rsid w:val="00F354B1"/>
    <w:rsid w:val="00F545E6"/>
    <w:rsid w:val="00F72869"/>
    <w:rsid w:val="00F77437"/>
    <w:rsid w:val="00F82F4D"/>
    <w:rsid w:val="00F8394A"/>
    <w:rsid w:val="00F87077"/>
    <w:rsid w:val="00F90896"/>
    <w:rsid w:val="00F92E19"/>
    <w:rsid w:val="00F947E5"/>
    <w:rsid w:val="00FA3174"/>
    <w:rsid w:val="00FA3654"/>
    <w:rsid w:val="00FA4FF9"/>
    <w:rsid w:val="00FB0E4E"/>
    <w:rsid w:val="00FB51D8"/>
    <w:rsid w:val="00FC7A2D"/>
    <w:rsid w:val="00FD7CE8"/>
    <w:rsid w:val="00FE219D"/>
    <w:rsid w:val="00FE4BF7"/>
    <w:rsid w:val="00FE5114"/>
    <w:rsid w:val="00FE65D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8673">
      <o:colormru v:ext="edit" colors="#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qFormat="1"/>
    <w:lsdException w:name="List Number" w:uiPriority="1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14"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D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3DAB"/>
    <w:pPr>
      <w:keepNext/>
      <w:keepLines/>
      <w:spacing w:before="480"/>
      <w:ind w:left="794" w:hanging="794"/>
      <w:outlineLvl w:val="0"/>
    </w:pPr>
    <w:rPr>
      <w:b/>
    </w:rPr>
  </w:style>
  <w:style w:type="paragraph" w:styleId="Heading2">
    <w:name w:val="heading 2"/>
    <w:basedOn w:val="Heading1"/>
    <w:next w:val="Normal"/>
    <w:link w:val="Heading2Char"/>
    <w:qFormat/>
    <w:rsid w:val="00143DAB"/>
    <w:pPr>
      <w:spacing w:before="320"/>
      <w:outlineLvl w:val="1"/>
    </w:pPr>
  </w:style>
  <w:style w:type="paragraph" w:styleId="Heading3">
    <w:name w:val="heading 3"/>
    <w:basedOn w:val="Heading1"/>
    <w:next w:val="Normal"/>
    <w:link w:val="Heading3Char"/>
    <w:qFormat/>
    <w:rsid w:val="00143DAB"/>
    <w:pPr>
      <w:spacing w:before="200"/>
      <w:outlineLvl w:val="2"/>
    </w:pPr>
  </w:style>
  <w:style w:type="paragraph" w:styleId="Heading4">
    <w:name w:val="heading 4"/>
    <w:basedOn w:val="Heading3"/>
    <w:next w:val="Normal"/>
    <w:link w:val="Heading4Char"/>
    <w:qFormat/>
    <w:rsid w:val="00143DAB"/>
    <w:pPr>
      <w:tabs>
        <w:tab w:val="clear" w:pos="794"/>
        <w:tab w:val="left" w:pos="992"/>
      </w:tabs>
      <w:ind w:left="992" w:hanging="992"/>
      <w:outlineLvl w:val="3"/>
    </w:pPr>
  </w:style>
  <w:style w:type="paragraph" w:styleId="Heading5">
    <w:name w:val="heading 5"/>
    <w:basedOn w:val="Heading4"/>
    <w:next w:val="Normal"/>
    <w:link w:val="Heading5Char"/>
    <w:qFormat/>
    <w:rsid w:val="00143DAB"/>
    <w:pPr>
      <w:outlineLvl w:val="4"/>
    </w:pPr>
  </w:style>
  <w:style w:type="paragraph" w:styleId="Heading6">
    <w:name w:val="heading 6"/>
    <w:basedOn w:val="Heading4"/>
    <w:next w:val="Normal"/>
    <w:link w:val="Heading6Char"/>
    <w:qFormat/>
    <w:rsid w:val="00143DAB"/>
    <w:pPr>
      <w:tabs>
        <w:tab w:val="clear" w:pos="992"/>
        <w:tab w:val="clear" w:pos="1191"/>
      </w:tabs>
      <w:ind w:left="1588" w:hanging="1588"/>
      <w:outlineLvl w:val="5"/>
    </w:pPr>
  </w:style>
  <w:style w:type="paragraph" w:styleId="Heading7">
    <w:name w:val="heading 7"/>
    <w:basedOn w:val="Heading6"/>
    <w:next w:val="Normal"/>
    <w:link w:val="Heading7Char"/>
    <w:qFormat/>
    <w:rsid w:val="00143DAB"/>
    <w:pPr>
      <w:outlineLvl w:val="6"/>
    </w:pPr>
  </w:style>
  <w:style w:type="paragraph" w:styleId="Heading8">
    <w:name w:val="heading 8"/>
    <w:basedOn w:val="Heading6"/>
    <w:next w:val="Normal"/>
    <w:link w:val="Heading8Char"/>
    <w:qFormat/>
    <w:rsid w:val="00143DAB"/>
    <w:pPr>
      <w:outlineLvl w:val="7"/>
    </w:pPr>
  </w:style>
  <w:style w:type="paragraph" w:styleId="Heading9">
    <w:name w:val="heading 9"/>
    <w:basedOn w:val="Heading6"/>
    <w:next w:val="Normal"/>
    <w:link w:val="Heading9Char"/>
    <w:qFormat/>
    <w:rsid w:val="00143DA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43DAB"/>
    <w:pPr>
      <w:keepNext/>
      <w:keepLines/>
      <w:spacing w:after="280"/>
      <w:jc w:val="center"/>
    </w:pPr>
  </w:style>
  <w:style w:type="paragraph" w:customStyle="1" w:styleId="Blanc">
    <w:name w:val="Blanc"/>
    <w:basedOn w:val="Normal"/>
    <w:next w:val="Tabletext"/>
    <w:rsid w:val="00143DA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43D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143DA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43DA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43DAB"/>
  </w:style>
  <w:style w:type="paragraph" w:customStyle="1" w:styleId="Headingb">
    <w:name w:val="Heading_b"/>
    <w:basedOn w:val="Heading3"/>
    <w:next w:val="Normal"/>
    <w:link w:val="HeadingbChar"/>
    <w:rsid w:val="00143DAB"/>
    <w:pPr>
      <w:spacing w:before="160"/>
      <w:ind w:left="0" w:firstLine="0"/>
      <w:outlineLvl w:val="9"/>
    </w:pPr>
  </w:style>
  <w:style w:type="paragraph" w:customStyle="1" w:styleId="Headingi">
    <w:name w:val="Heading_i"/>
    <w:basedOn w:val="Heading3"/>
    <w:next w:val="Normal"/>
    <w:rsid w:val="00143DAB"/>
    <w:pPr>
      <w:spacing w:before="160"/>
      <w:ind w:left="0" w:firstLine="0"/>
    </w:pPr>
    <w:rPr>
      <w:b w:val="0"/>
      <w:i/>
    </w:rPr>
  </w:style>
  <w:style w:type="paragraph" w:customStyle="1" w:styleId="Equation">
    <w:name w:val="Equation"/>
    <w:basedOn w:val="Normal"/>
    <w:rsid w:val="00143DAB"/>
    <w:pPr>
      <w:tabs>
        <w:tab w:val="clear" w:pos="1191"/>
        <w:tab w:val="clear" w:pos="1588"/>
        <w:tab w:val="clear" w:pos="1985"/>
        <w:tab w:val="center" w:pos="4820"/>
        <w:tab w:val="right" w:pos="9639"/>
      </w:tabs>
    </w:pPr>
  </w:style>
  <w:style w:type="paragraph" w:customStyle="1" w:styleId="AnnexNoTitle">
    <w:name w:val="Annex_NoTitle"/>
    <w:basedOn w:val="Normal"/>
    <w:next w:val="Normalaftertitle"/>
    <w:rsid w:val="00143DAB"/>
    <w:pPr>
      <w:keepNext/>
      <w:keepLines/>
      <w:spacing w:before="480" w:after="80"/>
      <w:jc w:val="center"/>
    </w:pPr>
    <w:rPr>
      <w:b/>
      <w:sz w:val="28"/>
    </w:rPr>
  </w:style>
  <w:style w:type="paragraph" w:customStyle="1" w:styleId="enumlev1">
    <w:name w:val="enumlev1"/>
    <w:basedOn w:val="Normal"/>
    <w:link w:val="enumlev1Char"/>
    <w:rsid w:val="00143DAB"/>
    <w:pPr>
      <w:spacing w:before="80"/>
      <w:ind w:left="794" w:hanging="794"/>
    </w:pPr>
  </w:style>
  <w:style w:type="paragraph" w:customStyle="1" w:styleId="Equationlegend">
    <w:name w:val="Equation_legend"/>
    <w:basedOn w:val="NormalIndent"/>
    <w:rsid w:val="00143DAB"/>
    <w:pPr>
      <w:tabs>
        <w:tab w:val="clear" w:pos="794"/>
        <w:tab w:val="clear" w:pos="1191"/>
        <w:tab w:val="clear" w:pos="1588"/>
        <w:tab w:val="right" w:pos="1701"/>
      </w:tabs>
      <w:spacing w:before="80"/>
      <w:ind w:left="1985" w:hanging="1985"/>
    </w:pPr>
    <w:rPr>
      <w:lang w:val="en-US"/>
    </w:rPr>
  </w:style>
  <w:style w:type="paragraph" w:customStyle="1" w:styleId="enumlev2">
    <w:name w:val="enumlev2"/>
    <w:basedOn w:val="enumlev1"/>
    <w:rsid w:val="00143DAB"/>
    <w:pPr>
      <w:ind w:left="1191" w:hanging="397"/>
    </w:pPr>
  </w:style>
  <w:style w:type="paragraph" w:styleId="FootnoteText">
    <w:name w:val="footnote text"/>
    <w:basedOn w:val="Normal"/>
    <w:link w:val="FootnoteTextChar"/>
    <w:rsid w:val="00143DAB"/>
    <w:pPr>
      <w:keepLines/>
      <w:tabs>
        <w:tab w:val="left" w:pos="255"/>
      </w:tabs>
      <w:ind w:left="255" w:hanging="255"/>
    </w:pPr>
    <w:rPr>
      <w:sz w:val="22"/>
    </w:rPr>
  </w:style>
  <w:style w:type="paragraph" w:customStyle="1" w:styleId="HeadingSum">
    <w:name w:val="Heading_Sum"/>
    <w:basedOn w:val="Headingb"/>
    <w:next w:val="Normal"/>
    <w:autoRedefine/>
    <w:rsid w:val="00143DAB"/>
    <w:pPr>
      <w:spacing w:before="240"/>
    </w:pPr>
    <w:rPr>
      <w:sz w:val="22"/>
      <w:lang w:val="es-ES_tradnl"/>
    </w:rPr>
  </w:style>
  <w:style w:type="paragraph" w:customStyle="1" w:styleId="enumlev3">
    <w:name w:val="enumlev3"/>
    <w:basedOn w:val="enumlev2"/>
    <w:rsid w:val="00143DAB"/>
    <w:pPr>
      <w:ind w:left="1588"/>
    </w:pPr>
  </w:style>
  <w:style w:type="character" w:customStyle="1" w:styleId="href">
    <w:name w:val="href"/>
    <w:basedOn w:val="DefaultParagraphFont"/>
    <w:rsid w:val="00143DAB"/>
  </w:style>
  <w:style w:type="paragraph" w:customStyle="1" w:styleId="RecNo">
    <w:name w:val="Rec_No"/>
    <w:basedOn w:val="Normal"/>
    <w:next w:val="Rectitle"/>
    <w:link w:val="RecNoChar1"/>
    <w:rsid w:val="00143DA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43DAB"/>
    <w:pPr>
      <w:keepNext/>
      <w:keepLines/>
      <w:spacing w:before="240"/>
      <w:jc w:val="center"/>
    </w:pPr>
    <w:rPr>
      <w:b/>
      <w:sz w:val="28"/>
    </w:rPr>
  </w:style>
  <w:style w:type="paragraph" w:customStyle="1" w:styleId="Recref">
    <w:name w:val="Rec_ref"/>
    <w:basedOn w:val="Normal"/>
    <w:next w:val="Recdate"/>
    <w:rsid w:val="00143DAB"/>
    <w:pPr>
      <w:jc w:val="center"/>
    </w:pPr>
  </w:style>
  <w:style w:type="paragraph" w:customStyle="1" w:styleId="Recdate">
    <w:name w:val="Rec_date"/>
    <w:basedOn w:val="Recref"/>
    <w:next w:val="Normalaftertitle"/>
    <w:rsid w:val="00143DAB"/>
    <w:pPr>
      <w:jc w:val="right"/>
    </w:pPr>
  </w:style>
  <w:style w:type="paragraph" w:styleId="Index1">
    <w:name w:val="index 1"/>
    <w:basedOn w:val="Normal"/>
    <w:next w:val="Normal"/>
    <w:semiHidden/>
    <w:rsid w:val="00143DAB"/>
  </w:style>
  <w:style w:type="paragraph" w:customStyle="1" w:styleId="AppendixNoTitle">
    <w:name w:val="Appendix_NoTitle"/>
    <w:basedOn w:val="AnnexNoTitle"/>
    <w:next w:val="Normal"/>
    <w:rsid w:val="00143DAB"/>
  </w:style>
  <w:style w:type="paragraph" w:customStyle="1" w:styleId="Tablefin">
    <w:name w:val="Table_fin"/>
    <w:basedOn w:val="Normal"/>
    <w:next w:val="Normal"/>
    <w:rsid w:val="00143DAB"/>
    <w:pPr>
      <w:spacing w:before="0"/>
    </w:pPr>
    <w:rPr>
      <w:sz w:val="20"/>
      <w:lang w:val="en-GB"/>
    </w:rPr>
  </w:style>
  <w:style w:type="paragraph" w:customStyle="1" w:styleId="Tablehead">
    <w:name w:val="Table_head"/>
    <w:basedOn w:val="Normal"/>
    <w:next w:val="Normal"/>
    <w:link w:val="TableheadChar"/>
    <w:rsid w:val="00143D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3D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43DAB"/>
    <w:pPr>
      <w:keepNext/>
      <w:spacing w:before="360" w:after="120"/>
      <w:jc w:val="center"/>
    </w:pPr>
  </w:style>
  <w:style w:type="paragraph" w:styleId="Index2">
    <w:name w:val="index 2"/>
    <w:basedOn w:val="Normal"/>
    <w:next w:val="Normal"/>
    <w:semiHidden/>
    <w:rsid w:val="00143DAB"/>
    <w:pPr>
      <w:ind w:left="283"/>
    </w:pPr>
  </w:style>
  <w:style w:type="paragraph" w:styleId="NormalIndent">
    <w:name w:val="Normal Indent"/>
    <w:basedOn w:val="Normal"/>
    <w:rsid w:val="00143DAB"/>
    <w:pPr>
      <w:ind w:left="794"/>
    </w:pPr>
  </w:style>
  <w:style w:type="paragraph" w:customStyle="1" w:styleId="Figurelegend">
    <w:name w:val="Figure_legend"/>
    <w:basedOn w:val="Normal"/>
    <w:link w:val="FigurelegendChar"/>
    <w:rsid w:val="00143D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43DAB"/>
    <w:pPr>
      <w:keepNext/>
      <w:keepLines/>
      <w:spacing w:before="480" w:after="80"/>
      <w:jc w:val="center"/>
    </w:pPr>
    <w:rPr>
      <w:caps/>
      <w:sz w:val="18"/>
    </w:rPr>
  </w:style>
  <w:style w:type="paragraph" w:customStyle="1" w:styleId="Figuretitle">
    <w:name w:val="Figure_title"/>
    <w:basedOn w:val="Normal"/>
    <w:next w:val="Figure"/>
    <w:link w:val="FiguretitleChar"/>
    <w:rsid w:val="00143DAB"/>
    <w:pPr>
      <w:keepNext/>
      <w:spacing w:before="0" w:after="120"/>
      <w:jc w:val="center"/>
    </w:pPr>
    <w:rPr>
      <w:rFonts w:ascii="Times New Roman Bold" w:hAnsi="Times New Roman Bold"/>
      <w:b/>
      <w:sz w:val="18"/>
    </w:rPr>
  </w:style>
  <w:style w:type="paragraph" w:customStyle="1" w:styleId="Figure">
    <w:name w:val="Figure"/>
    <w:basedOn w:val="FigureNo"/>
    <w:next w:val="Normal"/>
    <w:rsid w:val="00143DAB"/>
    <w:pPr>
      <w:keepNext w:val="0"/>
      <w:spacing w:before="0" w:after="240"/>
    </w:pPr>
  </w:style>
  <w:style w:type="paragraph" w:customStyle="1" w:styleId="Call">
    <w:name w:val="Call"/>
    <w:basedOn w:val="Normal"/>
    <w:next w:val="Normal"/>
    <w:rsid w:val="00143DAB"/>
    <w:pPr>
      <w:keepNext/>
      <w:keepLines/>
      <w:spacing w:before="160"/>
      <w:ind w:left="794"/>
    </w:pPr>
    <w:rPr>
      <w:i/>
    </w:rPr>
  </w:style>
  <w:style w:type="paragraph" w:customStyle="1" w:styleId="ArtNo">
    <w:name w:val="Art_No"/>
    <w:basedOn w:val="Normal"/>
    <w:next w:val="Normal"/>
    <w:rsid w:val="00143DAB"/>
    <w:pPr>
      <w:keepNext/>
      <w:keepLines/>
      <w:spacing w:before="480"/>
      <w:jc w:val="center"/>
    </w:pPr>
    <w:rPr>
      <w:sz w:val="28"/>
    </w:rPr>
  </w:style>
  <w:style w:type="paragraph" w:customStyle="1" w:styleId="Arttitle">
    <w:name w:val="Art_title"/>
    <w:basedOn w:val="Normal"/>
    <w:next w:val="Normalaftertitle"/>
    <w:rsid w:val="00143DAB"/>
    <w:pPr>
      <w:keepNext/>
      <w:keepLines/>
      <w:spacing w:before="240"/>
      <w:jc w:val="center"/>
    </w:pPr>
    <w:rPr>
      <w:b/>
      <w:sz w:val="28"/>
    </w:rPr>
  </w:style>
  <w:style w:type="paragraph" w:customStyle="1" w:styleId="ASN1">
    <w:name w:val="ASN.1"/>
    <w:basedOn w:val="Normal"/>
    <w:next w:val="Normal"/>
    <w:rsid w:val="00143D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143DAB"/>
    <w:rPr>
      <w:b/>
    </w:rPr>
  </w:style>
  <w:style w:type="paragraph" w:customStyle="1" w:styleId="Chaptitle">
    <w:name w:val="Chap_title"/>
    <w:basedOn w:val="Arttitle"/>
    <w:next w:val="Normalaftertitle"/>
    <w:rsid w:val="00143DAB"/>
  </w:style>
  <w:style w:type="character" w:styleId="FootnoteReference">
    <w:name w:val="footnote reference"/>
    <w:basedOn w:val="DefaultParagraphFont"/>
    <w:rsid w:val="00143DAB"/>
    <w:rPr>
      <w:position w:val="6"/>
      <w:sz w:val="18"/>
    </w:rPr>
  </w:style>
  <w:style w:type="paragraph" w:styleId="Index3">
    <w:name w:val="index 3"/>
    <w:basedOn w:val="Normal"/>
    <w:next w:val="Normal"/>
    <w:semiHidden/>
    <w:rsid w:val="00143DAB"/>
    <w:pPr>
      <w:ind w:left="566"/>
    </w:pPr>
  </w:style>
  <w:style w:type="paragraph" w:styleId="IndexHeading">
    <w:name w:val="index heading"/>
    <w:basedOn w:val="Normal"/>
    <w:next w:val="Index1"/>
    <w:semiHidden/>
    <w:rsid w:val="00143DAB"/>
  </w:style>
  <w:style w:type="paragraph" w:customStyle="1" w:styleId="Line">
    <w:name w:val="Line"/>
    <w:basedOn w:val="Normal"/>
    <w:next w:val="Normal"/>
    <w:rsid w:val="00143D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143DAB"/>
    <w:pPr>
      <w:spacing w:before="320"/>
    </w:pPr>
  </w:style>
  <w:style w:type="paragraph" w:customStyle="1" w:styleId="Note">
    <w:name w:val="Note"/>
    <w:basedOn w:val="Normal"/>
    <w:rsid w:val="00143DAB"/>
    <w:pPr>
      <w:tabs>
        <w:tab w:val="clear" w:pos="794"/>
        <w:tab w:val="clear" w:pos="1191"/>
        <w:tab w:val="clear" w:pos="1588"/>
        <w:tab w:val="clear" w:pos="1985"/>
      </w:tabs>
      <w:spacing w:before="80"/>
    </w:pPr>
    <w:rPr>
      <w:sz w:val="22"/>
    </w:rPr>
  </w:style>
  <w:style w:type="paragraph" w:customStyle="1" w:styleId="Tabletitle">
    <w:name w:val="Table_title"/>
    <w:basedOn w:val="Normal"/>
    <w:next w:val="Tablehead"/>
    <w:rsid w:val="00143DAB"/>
    <w:pPr>
      <w:keepNext/>
      <w:spacing w:before="0" w:after="120"/>
      <w:jc w:val="center"/>
    </w:pPr>
    <w:rPr>
      <w:b/>
    </w:rPr>
  </w:style>
  <w:style w:type="paragraph" w:customStyle="1" w:styleId="PartNo">
    <w:name w:val="Part_No"/>
    <w:basedOn w:val="Normal"/>
    <w:next w:val="Normal"/>
    <w:rsid w:val="00143DAB"/>
  </w:style>
  <w:style w:type="paragraph" w:customStyle="1" w:styleId="Partref">
    <w:name w:val="Part_ref"/>
    <w:basedOn w:val="Normal"/>
    <w:next w:val="Normal"/>
    <w:rsid w:val="00143DAB"/>
    <w:pPr>
      <w:keepNext/>
      <w:keepLines/>
      <w:spacing w:after="280"/>
      <w:jc w:val="center"/>
    </w:pPr>
  </w:style>
  <w:style w:type="paragraph" w:customStyle="1" w:styleId="Parttitle">
    <w:name w:val="Part_title"/>
    <w:basedOn w:val="Normal"/>
    <w:next w:val="Normalaftertitle"/>
    <w:rsid w:val="00143DA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3DAB"/>
  </w:style>
  <w:style w:type="paragraph" w:customStyle="1" w:styleId="QuestionNo">
    <w:name w:val="Question_No"/>
    <w:basedOn w:val="RecNo"/>
    <w:next w:val="Normal"/>
    <w:rsid w:val="00143DAB"/>
  </w:style>
  <w:style w:type="paragraph" w:customStyle="1" w:styleId="Questionref">
    <w:name w:val="Question_ref"/>
    <w:basedOn w:val="Recref"/>
    <w:next w:val="Questiondate"/>
    <w:rsid w:val="00143DAB"/>
  </w:style>
  <w:style w:type="paragraph" w:customStyle="1" w:styleId="Questiontitle">
    <w:name w:val="Question_title"/>
    <w:basedOn w:val="Normal"/>
    <w:next w:val="Questionref"/>
    <w:rsid w:val="00143DAB"/>
  </w:style>
  <w:style w:type="paragraph" w:customStyle="1" w:styleId="Reftext">
    <w:name w:val="Ref_text"/>
    <w:basedOn w:val="Normal"/>
    <w:rsid w:val="00143DAB"/>
    <w:pPr>
      <w:ind w:left="794" w:hanging="794"/>
    </w:pPr>
    <w:rPr>
      <w:sz w:val="22"/>
    </w:rPr>
  </w:style>
  <w:style w:type="paragraph" w:customStyle="1" w:styleId="Reftitle">
    <w:name w:val="Ref_title"/>
    <w:basedOn w:val="Normal"/>
    <w:next w:val="Reftext"/>
    <w:rsid w:val="00143DA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3DAB"/>
  </w:style>
  <w:style w:type="paragraph" w:customStyle="1" w:styleId="RepNo">
    <w:name w:val="Rep_No"/>
    <w:basedOn w:val="RecNo"/>
    <w:next w:val="Reptitle"/>
    <w:rsid w:val="00143DAB"/>
  </w:style>
  <w:style w:type="paragraph" w:customStyle="1" w:styleId="Reptitle">
    <w:name w:val="Rep_title"/>
    <w:basedOn w:val="Rectitle"/>
    <w:next w:val="Repref"/>
    <w:rsid w:val="00143DAB"/>
  </w:style>
  <w:style w:type="paragraph" w:customStyle="1" w:styleId="Repref">
    <w:name w:val="Rep_ref"/>
    <w:basedOn w:val="Recref"/>
    <w:next w:val="Repdate"/>
    <w:rsid w:val="00143DAB"/>
  </w:style>
  <w:style w:type="paragraph" w:customStyle="1" w:styleId="Resdate">
    <w:name w:val="Res_date"/>
    <w:basedOn w:val="Recdate"/>
    <w:next w:val="Normalaftertitle"/>
    <w:rsid w:val="00143DAB"/>
  </w:style>
  <w:style w:type="paragraph" w:customStyle="1" w:styleId="ResNo">
    <w:name w:val="Res_No"/>
    <w:basedOn w:val="RecNo"/>
    <w:next w:val="Restitle"/>
    <w:rsid w:val="00143DAB"/>
  </w:style>
  <w:style w:type="paragraph" w:customStyle="1" w:styleId="Restitle">
    <w:name w:val="Res_title"/>
    <w:basedOn w:val="Normal"/>
    <w:next w:val="Resref"/>
    <w:rsid w:val="00143DAB"/>
    <w:pPr>
      <w:spacing w:before="240"/>
      <w:jc w:val="center"/>
    </w:pPr>
    <w:rPr>
      <w:b/>
      <w:sz w:val="28"/>
    </w:rPr>
  </w:style>
  <w:style w:type="paragraph" w:customStyle="1" w:styleId="Resref">
    <w:name w:val="Res_ref"/>
    <w:basedOn w:val="Recref"/>
    <w:next w:val="Resdate"/>
    <w:rsid w:val="00143DAB"/>
  </w:style>
  <w:style w:type="paragraph" w:customStyle="1" w:styleId="SectionNo">
    <w:name w:val="Section_No"/>
    <w:basedOn w:val="Normal"/>
    <w:next w:val="Normal"/>
    <w:rsid w:val="00143DAB"/>
  </w:style>
  <w:style w:type="paragraph" w:customStyle="1" w:styleId="Sectiontitle">
    <w:name w:val="Section_title"/>
    <w:basedOn w:val="Normal"/>
    <w:next w:val="Normalaftertitle"/>
    <w:rsid w:val="00143DA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3DAB"/>
    <w:pPr>
      <w:tabs>
        <w:tab w:val="clear" w:pos="794"/>
        <w:tab w:val="clear" w:pos="1191"/>
        <w:tab w:val="clear" w:pos="1588"/>
        <w:tab w:val="clear" w:pos="1985"/>
        <w:tab w:val="right" w:pos="9611"/>
      </w:tabs>
    </w:pPr>
    <w:rPr>
      <w:i/>
    </w:rPr>
  </w:style>
  <w:style w:type="paragraph" w:styleId="TOC1">
    <w:name w:val="toc 1"/>
    <w:basedOn w:val="Normal"/>
    <w:rsid w:val="00143D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43DAB"/>
    <w:pPr>
      <w:tabs>
        <w:tab w:val="clear" w:pos="567"/>
        <w:tab w:val="left" w:pos="1276"/>
      </w:tabs>
      <w:spacing w:before="160"/>
      <w:ind w:left="1276" w:hanging="709"/>
    </w:pPr>
  </w:style>
  <w:style w:type="paragraph" w:styleId="TOC3">
    <w:name w:val="toc 3"/>
    <w:basedOn w:val="TOC2"/>
    <w:rsid w:val="00143DAB"/>
    <w:pPr>
      <w:tabs>
        <w:tab w:val="clear" w:pos="1276"/>
        <w:tab w:val="left" w:pos="2155"/>
      </w:tabs>
      <w:ind w:left="2155" w:hanging="879"/>
    </w:pPr>
  </w:style>
  <w:style w:type="paragraph" w:styleId="TOC4">
    <w:name w:val="toc 4"/>
    <w:basedOn w:val="TOC3"/>
    <w:rsid w:val="00143DAB"/>
    <w:pPr>
      <w:tabs>
        <w:tab w:val="left" w:pos="3261"/>
      </w:tabs>
      <w:spacing w:before="80"/>
      <w:ind w:left="3261" w:hanging="993"/>
    </w:pPr>
  </w:style>
  <w:style w:type="paragraph" w:styleId="TOC5">
    <w:name w:val="toc 5"/>
    <w:basedOn w:val="TOC4"/>
    <w:rsid w:val="00143DAB"/>
  </w:style>
  <w:style w:type="paragraph" w:styleId="TOC6">
    <w:name w:val="toc 6"/>
    <w:basedOn w:val="TOC4"/>
    <w:rsid w:val="00143DAB"/>
  </w:style>
  <w:style w:type="paragraph" w:styleId="TOC7">
    <w:name w:val="toc 7"/>
    <w:basedOn w:val="TOC4"/>
    <w:rsid w:val="00143DAB"/>
  </w:style>
  <w:style w:type="paragraph" w:styleId="TOC8">
    <w:name w:val="toc 8"/>
    <w:basedOn w:val="TOC4"/>
    <w:rsid w:val="00143DAB"/>
  </w:style>
  <w:style w:type="paragraph" w:customStyle="1" w:styleId="Appendixref">
    <w:name w:val="Appendix_ref"/>
    <w:basedOn w:val="Annexref"/>
    <w:next w:val="Normalaftertitle"/>
    <w:rsid w:val="00143DAB"/>
  </w:style>
  <w:style w:type="paragraph" w:customStyle="1" w:styleId="tocpart">
    <w:name w:val="tocpart"/>
    <w:basedOn w:val="Normal"/>
    <w:rsid w:val="00143DAB"/>
    <w:pPr>
      <w:tabs>
        <w:tab w:val="clear" w:pos="794"/>
        <w:tab w:val="clear" w:pos="1191"/>
        <w:tab w:val="clear" w:pos="1588"/>
        <w:tab w:val="clear" w:pos="1985"/>
        <w:tab w:val="left" w:pos="2693"/>
        <w:tab w:val="left" w:pos="8789"/>
        <w:tab w:val="right" w:pos="9639"/>
      </w:tabs>
      <w:ind w:left="2693" w:hanging="2693"/>
    </w:pPr>
  </w:style>
  <w:style w:type="paragraph" w:customStyle="1" w:styleId="Summary">
    <w:name w:val="Summary"/>
    <w:basedOn w:val="Normal"/>
    <w:next w:val="Normalaftertitle"/>
    <w:autoRedefine/>
    <w:rsid w:val="00143DAB"/>
    <w:pPr>
      <w:spacing w:after="480"/>
    </w:pPr>
    <w:rPr>
      <w:sz w:val="22"/>
      <w:lang w:val="es-ES_tradnl"/>
    </w:rPr>
  </w:style>
  <w:style w:type="paragraph" w:customStyle="1" w:styleId="toctemp">
    <w:name w:val="toctemp"/>
    <w:basedOn w:val="Normal"/>
    <w:rsid w:val="00143D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TableLegendNote">
    <w:name w:val="Table_Legend_Note"/>
    <w:basedOn w:val="Tablelegend"/>
    <w:next w:val="Tablelegend"/>
    <w:rsid w:val="00143DAB"/>
    <w:pPr>
      <w:ind w:left="-85" w:firstLine="0"/>
    </w:pPr>
    <w:rPr>
      <w:lang w:val="en-US"/>
    </w:rPr>
  </w:style>
  <w:style w:type="paragraph" w:customStyle="1" w:styleId="Figurewithouttitle">
    <w:name w:val="Figure_without_title"/>
    <w:basedOn w:val="FigureNo"/>
    <w:next w:val="Normal"/>
    <w:rsid w:val="006338C0"/>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6338C0"/>
    <w:pPr>
      <w:overflowPunct/>
      <w:autoSpaceDE/>
      <w:autoSpaceDN/>
      <w:adjustRightInd/>
      <w:spacing w:before="40"/>
      <w:jc w:val="left"/>
      <w:textAlignment w:val="auto"/>
    </w:pPr>
    <w:rPr>
      <w:rFonts w:eastAsiaTheme="minorEastAsia"/>
      <w:noProof w:val="0"/>
      <w:sz w:val="16"/>
      <w:lang w:val="en-GB"/>
    </w:rPr>
  </w:style>
  <w:style w:type="paragraph" w:customStyle="1" w:styleId="Tableref">
    <w:name w:val="Table_ref"/>
    <w:basedOn w:val="Normal"/>
    <w:next w:val="Normal"/>
    <w:rsid w:val="006338C0"/>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Normal"/>
    <w:next w:val="Normal"/>
    <w:link w:val="Title1Char"/>
    <w:uiPriority w:val="99"/>
    <w:rsid w:val="002C1659"/>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rFonts w:eastAsiaTheme="minorEastAsia"/>
      <w:caps/>
      <w:sz w:val="28"/>
      <w:lang w:val="en-GB"/>
    </w:rPr>
  </w:style>
  <w:style w:type="paragraph" w:customStyle="1" w:styleId="Title2">
    <w:name w:val="Title 2"/>
    <w:basedOn w:val="Normal"/>
    <w:next w:val="Normal"/>
    <w:rsid w:val="002C1659"/>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Theme="minorEastAsia"/>
      <w:caps/>
      <w:sz w:val="28"/>
      <w:lang w:val="en-GB"/>
    </w:rPr>
  </w:style>
  <w:style w:type="paragraph" w:customStyle="1" w:styleId="Title3">
    <w:name w:val="Title 3"/>
    <w:basedOn w:val="Title2"/>
    <w:next w:val="Normal"/>
    <w:rsid w:val="006338C0"/>
    <w:pPr>
      <w:spacing w:before="240"/>
    </w:pPr>
    <w:rPr>
      <w:caps w:val="0"/>
    </w:rPr>
  </w:style>
  <w:style w:type="paragraph" w:customStyle="1" w:styleId="Title4">
    <w:name w:val="Title 4"/>
    <w:basedOn w:val="Title3"/>
    <w:next w:val="Heading1"/>
    <w:rsid w:val="006338C0"/>
    <w:rPr>
      <w:b/>
    </w:rPr>
  </w:style>
  <w:style w:type="character" w:customStyle="1" w:styleId="Recdef">
    <w:name w:val="Rec_def"/>
    <w:basedOn w:val="DefaultParagraphFont"/>
    <w:rsid w:val="006338C0"/>
    <w:rPr>
      <w:b/>
    </w:rPr>
  </w:style>
  <w:style w:type="character" w:customStyle="1" w:styleId="Resdef">
    <w:name w:val="Res_def"/>
    <w:basedOn w:val="DefaultParagraphFont"/>
    <w:rsid w:val="006338C0"/>
    <w:rPr>
      <w:rFonts w:ascii="Times New Roman" w:hAnsi="Times New Roman"/>
      <w:b/>
    </w:rPr>
  </w:style>
  <w:style w:type="character" w:customStyle="1" w:styleId="Tablefreq">
    <w:name w:val="Table_freq"/>
    <w:basedOn w:val="DefaultParagraphFont"/>
    <w:rsid w:val="006338C0"/>
    <w:rPr>
      <w:b/>
      <w:color w:val="auto"/>
      <w:sz w:val="20"/>
    </w:rPr>
  </w:style>
  <w:style w:type="paragraph" w:customStyle="1" w:styleId="Proposal">
    <w:name w:val="Proposal"/>
    <w:basedOn w:val="Normal"/>
    <w:next w:val="Normal"/>
    <w:rsid w:val="006338C0"/>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6338C0"/>
    <w:pPr>
      <w:tabs>
        <w:tab w:val="clear" w:pos="794"/>
        <w:tab w:val="clear" w:pos="1191"/>
        <w:tab w:val="left" w:pos="1134"/>
      </w:tabs>
      <w:jc w:val="left"/>
    </w:pPr>
    <w:rPr>
      <w:rFonts w:eastAsiaTheme="minorEastAsia"/>
      <w:lang w:val="en-GB"/>
    </w:rPr>
  </w:style>
  <w:style w:type="character" w:customStyle="1" w:styleId="FooterChar">
    <w:name w:val="Footer Char"/>
    <w:basedOn w:val="DefaultParagraphFont"/>
    <w:link w:val="Footer"/>
    <w:rsid w:val="006338C0"/>
    <w:rPr>
      <w:noProof/>
      <w:sz w:val="18"/>
      <w:lang w:val="fr-FR" w:eastAsia="en-US"/>
    </w:rPr>
  </w:style>
  <w:style w:type="character" w:customStyle="1" w:styleId="FootnoteTextChar">
    <w:name w:val="Footnote Text Char"/>
    <w:basedOn w:val="DefaultParagraphFont"/>
    <w:link w:val="FootnoteText"/>
    <w:rsid w:val="006338C0"/>
    <w:rPr>
      <w:sz w:val="22"/>
      <w:lang w:val="fr-FR" w:eastAsia="en-US"/>
    </w:rPr>
  </w:style>
  <w:style w:type="character" w:customStyle="1" w:styleId="HeaderChar">
    <w:name w:val="Header Char"/>
    <w:basedOn w:val="DefaultParagraphFont"/>
    <w:link w:val="Header"/>
    <w:rsid w:val="006338C0"/>
    <w:rPr>
      <w:sz w:val="24"/>
      <w:lang w:val="fr-FR" w:eastAsia="en-US"/>
    </w:rPr>
  </w:style>
  <w:style w:type="paragraph" w:customStyle="1" w:styleId="Part1">
    <w:name w:val="Part_1"/>
    <w:basedOn w:val="Normal"/>
    <w:qFormat/>
    <w:rsid w:val="00EB3E37"/>
    <w:pPr>
      <w:tabs>
        <w:tab w:val="clear" w:pos="794"/>
        <w:tab w:val="clear" w:pos="1191"/>
        <w:tab w:val="clear" w:pos="1588"/>
        <w:tab w:val="clear" w:pos="1985"/>
        <w:tab w:val="center" w:pos="4820"/>
      </w:tabs>
      <w:spacing w:before="360"/>
      <w:jc w:val="center"/>
    </w:pPr>
    <w:rPr>
      <w:rFonts w:eastAsiaTheme="minorEastAsia"/>
      <w:b/>
      <w:lang w:val="en-GB"/>
    </w:rPr>
  </w:style>
  <w:style w:type="character" w:customStyle="1" w:styleId="Heading1Char">
    <w:name w:val="Heading 1 Char"/>
    <w:basedOn w:val="DefaultParagraphFont"/>
    <w:link w:val="Heading1"/>
    <w:rsid w:val="006338C0"/>
    <w:rPr>
      <w:b/>
      <w:sz w:val="24"/>
      <w:lang w:val="fr-FR" w:eastAsia="en-US"/>
    </w:rPr>
  </w:style>
  <w:style w:type="character" w:customStyle="1" w:styleId="Heading2Char">
    <w:name w:val="Heading 2 Char"/>
    <w:basedOn w:val="DefaultParagraphFont"/>
    <w:link w:val="Heading2"/>
    <w:rsid w:val="006338C0"/>
    <w:rPr>
      <w:b/>
      <w:sz w:val="24"/>
      <w:lang w:val="fr-FR" w:eastAsia="en-US"/>
    </w:rPr>
  </w:style>
  <w:style w:type="character" w:customStyle="1" w:styleId="Heading3Char">
    <w:name w:val="Heading 3 Char"/>
    <w:basedOn w:val="DefaultParagraphFont"/>
    <w:link w:val="Heading3"/>
    <w:rsid w:val="006338C0"/>
    <w:rPr>
      <w:b/>
      <w:sz w:val="24"/>
      <w:lang w:val="fr-FR" w:eastAsia="en-US"/>
    </w:rPr>
  </w:style>
  <w:style w:type="character" w:customStyle="1" w:styleId="Heading4Char">
    <w:name w:val="Heading 4 Char"/>
    <w:basedOn w:val="DefaultParagraphFont"/>
    <w:link w:val="Heading4"/>
    <w:rsid w:val="006338C0"/>
    <w:rPr>
      <w:b/>
      <w:sz w:val="24"/>
      <w:lang w:val="fr-FR" w:eastAsia="en-US"/>
    </w:rPr>
  </w:style>
  <w:style w:type="character" w:customStyle="1" w:styleId="Heading5Char">
    <w:name w:val="Heading 5 Char"/>
    <w:basedOn w:val="DefaultParagraphFont"/>
    <w:link w:val="Heading5"/>
    <w:rsid w:val="006338C0"/>
    <w:rPr>
      <w:b/>
      <w:sz w:val="24"/>
      <w:lang w:val="fr-FR" w:eastAsia="en-US"/>
    </w:rPr>
  </w:style>
  <w:style w:type="character" w:customStyle="1" w:styleId="Heading6Char">
    <w:name w:val="Heading 6 Char"/>
    <w:basedOn w:val="DefaultParagraphFont"/>
    <w:link w:val="Heading6"/>
    <w:rsid w:val="006338C0"/>
    <w:rPr>
      <w:b/>
      <w:sz w:val="24"/>
      <w:lang w:val="fr-FR" w:eastAsia="en-US"/>
    </w:rPr>
  </w:style>
  <w:style w:type="character" w:customStyle="1" w:styleId="Heading7Char">
    <w:name w:val="Heading 7 Char"/>
    <w:basedOn w:val="DefaultParagraphFont"/>
    <w:link w:val="Heading7"/>
    <w:rsid w:val="006338C0"/>
    <w:rPr>
      <w:b/>
      <w:sz w:val="24"/>
      <w:lang w:val="fr-FR" w:eastAsia="en-US"/>
    </w:rPr>
  </w:style>
  <w:style w:type="character" w:customStyle="1" w:styleId="Heading8Char">
    <w:name w:val="Heading 8 Char"/>
    <w:basedOn w:val="DefaultParagraphFont"/>
    <w:link w:val="Heading8"/>
    <w:rsid w:val="006338C0"/>
    <w:rPr>
      <w:b/>
      <w:sz w:val="24"/>
      <w:lang w:val="fr-FR" w:eastAsia="en-US"/>
    </w:rPr>
  </w:style>
  <w:style w:type="character" w:customStyle="1" w:styleId="Heading9Char">
    <w:name w:val="Heading 9 Char"/>
    <w:basedOn w:val="DefaultParagraphFont"/>
    <w:link w:val="Heading9"/>
    <w:rsid w:val="006338C0"/>
    <w:rPr>
      <w:b/>
      <w:sz w:val="24"/>
      <w:lang w:val="fr-FR" w:eastAsia="en-US"/>
    </w:rPr>
  </w:style>
  <w:style w:type="character" w:customStyle="1" w:styleId="enumlev1Char">
    <w:name w:val="enumlev1 Char"/>
    <w:link w:val="enumlev1"/>
    <w:locked/>
    <w:rsid w:val="006338C0"/>
    <w:rPr>
      <w:sz w:val="24"/>
      <w:lang w:val="fr-FR" w:eastAsia="en-US"/>
    </w:rPr>
  </w:style>
  <w:style w:type="character" w:customStyle="1" w:styleId="FigureNoChar">
    <w:name w:val="Figure_No Char"/>
    <w:link w:val="FigureNo"/>
    <w:rsid w:val="006338C0"/>
    <w:rPr>
      <w:caps/>
      <w:sz w:val="18"/>
      <w:lang w:val="fr-FR" w:eastAsia="en-US"/>
    </w:rPr>
  </w:style>
  <w:style w:type="character" w:customStyle="1" w:styleId="FiguretitleChar">
    <w:name w:val="Figure_title Char"/>
    <w:link w:val="Figuretitle"/>
    <w:rsid w:val="005B1246"/>
    <w:rPr>
      <w:rFonts w:ascii="Times New Roman Bold" w:hAnsi="Times New Roman Bold"/>
      <w:b/>
      <w:sz w:val="18"/>
      <w:lang w:val="fr-FR" w:eastAsia="en-US"/>
    </w:rPr>
  </w:style>
  <w:style w:type="character" w:customStyle="1" w:styleId="TableNoChar">
    <w:name w:val="Table_No Char"/>
    <w:link w:val="TableNo"/>
    <w:locked/>
    <w:rsid w:val="006338C0"/>
    <w:rPr>
      <w:sz w:val="24"/>
      <w:lang w:val="fr-FR" w:eastAsia="en-US"/>
    </w:rPr>
  </w:style>
  <w:style w:type="character" w:customStyle="1" w:styleId="TableheadChar">
    <w:name w:val="Table_head Char"/>
    <w:link w:val="Tablehead"/>
    <w:locked/>
    <w:rsid w:val="006338C0"/>
    <w:rPr>
      <w:b/>
      <w:sz w:val="22"/>
      <w:lang w:val="fr-FR" w:eastAsia="en-US"/>
    </w:rPr>
  </w:style>
  <w:style w:type="character" w:customStyle="1" w:styleId="TabletextChar">
    <w:name w:val="Table_text Char"/>
    <w:link w:val="Tabletext"/>
    <w:locked/>
    <w:rsid w:val="006338C0"/>
    <w:rPr>
      <w:sz w:val="22"/>
      <w:lang w:val="fr-FR" w:eastAsia="en-US"/>
    </w:rPr>
  </w:style>
  <w:style w:type="paragraph" w:customStyle="1" w:styleId="Default">
    <w:name w:val="Default"/>
    <w:rsid w:val="006338C0"/>
    <w:pPr>
      <w:autoSpaceDE w:val="0"/>
      <w:autoSpaceDN w:val="0"/>
      <w:adjustRightInd w:val="0"/>
    </w:pPr>
    <w:rPr>
      <w:rFonts w:ascii="Arial" w:eastAsiaTheme="minorEastAsia" w:hAnsi="Arial" w:cs="Arial"/>
      <w:color w:val="000000"/>
      <w:sz w:val="24"/>
      <w:szCs w:val="24"/>
    </w:rPr>
  </w:style>
  <w:style w:type="paragraph" w:styleId="Revision">
    <w:name w:val="Revision"/>
    <w:hidden/>
    <w:uiPriority w:val="99"/>
    <w:rsid w:val="006338C0"/>
    <w:rPr>
      <w:rFonts w:eastAsiaTheme="minorEastAsia"/>
      <w:sz w:val="24"/>
      <w:lang w:val="en-GB" w:eastAsia="en-US"/>
    </w:rPr>
  </w:style>
  <w:style w:type="character" w:customStyle="1" w:styleId="Title1Char">
    <w:name w:val="Title 1 Char"/>
    <w:link w:val="Title1"/>
    <w:uiPriority w:val="99"/>
    <w:locked/>
    <w:rsid w:val="006338C0"/>
    <w:rPr>
      <w:rFonts w:eastAsiaTheme="minorEastAsia"/>
      <w:caps/>
      <w:sz w:val="28"/>
      <w:lang w:val="en-GB" w:eastAsia="en-US"/>
    </w:rPr>
  </w:style>
  <w:style w:type="character" w:customStyle="1" w:styleId="HeadingbChar">
    <w:name w:val="Heading_b Char"/>
    <w:link w:val="Headingb"/>
    <w:locked/>
    <w:rsid w:val="006338C0"/>
    <w:rPr>
      <w:b/>
      <w:sz w:val="24"/>
      <w:lang w:val="fr-FR" w:eastAsia="en-US"/>
    </w:rPr>
  </w:style>
  <w:style w:type="paragraph" w:styleId="Title">
    <w:name w:val="Title"/>
    <w:basedOn w:val="Normal"/>
    <w:link w:val="TitleChar"/>
    <w:qFormat/>
    <w:rsid w:val="006338C0"/>
    <w:pPr>
      <w:tabs>
        <w:tab w:val="clear" w:pos="794"/>
        <w:tab w:val="clear" w:pos="1191"/>
        <w:tab w:val="clear" w:pos="1588"/>
        <w:tab w:val="clear" w:pos="1985"/>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rsid w:val="006338C0"/>
    <w:rPr>
      <w:rFonts w:ascii="Bookman Old Style" w:eastAsia="MS Mincho" w:hAnsi="Bookman Old Style"/>
      <w:b/>
      <w:sz w:val="32"/>
      <w:lang w:val="en-CA" w:eastAsia="en-US"/>
    </w:rPr>
  </w:style>
  <w:style w:type="table" w:styleId="TableGrid">
    <w:name w:val="Table Grid"/>
    <w:basedOn w:val="TableNormal"/>
    <w:rsid w:val="006338C0"/>
    <w:rPr>
      <w:rFonts w:eastAsia="MS Mincho"/>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6338C0"/>
    <w:pPr>
      <w:tabs>
        <w:tab w:val="clear" w:pos="794"/>
        <w:tab w:val="clear" w:pos="1191"/>
        <w:tab w:val="clear" w:pos="1588"/>
        <w:tab w:val="clear" w:pos="1985"/>
      </w:tabs>
      <w:spacing w:before="0"/>
      <w:jc w:val="left"/>
    </w:pPr>
    <w:rPr>
      <w:rFonts w:ascii="Courier New" w:eastAsia="MS Mincho" w:hAnsi="Courier New"/>
      <w:sz w:val="20"/>
      <w:lang w:val="en-CA"/>
    </w:rPr>
  </w:style>
  <w:style w:type="character" w:customStyle="1" w:styleId="PlainTextChar">
    <w:name w:val="Plain Text Char"/>
    <w:basedOn w:val="DefaultParagraphFont"/>
    <w:link w:val="PlainText"/>
    <w:rsid w:val="006338C0"/>
    <w:rPr>
      <w:rFonts w:ascii="Courier New" w:eastAsia="MS Mincho" w:hAnsi="Courier New"/>
      <w:lang w:val="en-CA" w:eastAsia="en-US"/>
    </w:rPr>
  </w:style>
  <w:style w:type="character" w:customStyle="1" w:styleId="FigurelegendChar">
    <w:name w:val="Figure_legend Char"/>
    <w:link w:val="Figurelegend"/>
    <w:locked/>
    <w:rsid w:val="006338C0"/>
    <w:rPr>
      <w:sz w:val="18"/>
      <w:lang w:val="fr-FR" w:eastAsia="en-US"/>
    </w:rPr>
  </w:style>
  <w:style w:type="character" w:customStyle="1" w:styleId="RectitleChar">
    <w:name w:val="Rec_title Char"/>
    <w:link w:val="Rectitle"/>
    <w:locked/>
    <w:rsid w:val="006338C0"/>
    <w:rPr>
      <w:b/>
      <w:sz w:val="28"/>
      <w:lang w:val="fr-FR" w:eastAsia="en-US"/>
    </w:rPr>
  </w:style>
  <w:style w:type="paragraph" w:customStyle="1" w:styleId="Revision1">
    <w:name w:val="Revision1"/>
    <w:hidden/>
    <w:uiPriority w:val="99"/>
    <w:rsid w:val="006338C0"/>
    <w:rPr>
      <w:rFonts w:ascii="Times" w:eastAsia="MS Mincho" w:hAnsi="Times"/>
      <w:lang w:eastAsia="en-US"/>
    </w:rPr>
  </w:style>
  <w:style w:type="paragraph" w:customStyle="1" w:styleId="a">
    <w:name w:val="変更箇所"/>
    <w:hidden/>
    <w:uiPriority w:val="99"/>
    <w:rsid w:val="006338C0"/>
    <w:rPr>
      <w:rFonts w:eastAsia="SimSun"/>
      <w:sz w:val="24"/>
      <w:szCs w:val="24"/>
      <w:lang w:val="en-GB" w:eastAsia="en-US"/>
    </w:rPr>
  </w:style>
  <w:style w:type="paragraph" w:customStyle="1" w:styleId="FooterQP">
    <w:name w:val="Footer_QP"/>
    <w:basedOn w:val="Normal"/>
    <w:uiPriority w:val="99"/>
    <w:rsid w:val="006338C0"/>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lang w:val="en-GB"/>
    </w:rPr>
  </w:style>
  <w:style w:type="table" w:customStyle="1" w:styleId="NTIAReportTable">
    <w:name w:val="NTIA Report Table"/>
    <w:basedOn w:val="TableGrid1"/>
    <w:uiPriority w:val="99"/>
    <w:rsid w:val="006338C0"/>
    <w:pPr>
      <w:tabs>
        <w:tab w:val="clear" w:pos="794"/>
        <w:tab w:val="clear" w:pos="1191"/>
        <w:tab w:val="clear" w:pos="1588"/>
        <w:tab w:val="clear" w:pos="1985"/>
      </w:tabs>
      <w:overflowPunct/>
      <w:autoSpaceDE/>
      <w:autoSpaceDN/>
      <w:adjustRightInd/>
      <w:spacing w:before="0"/>
      <w:contextualSpacing/>
      <w:textAlignment w:val="auto"/>
    </w:pPr>
    <w:rPr>
      <w:rFonts w:asciiTheme="minorHAnsi" w:eastAsiaTheme="minorHAnsi" w:hAnsiTheme="minorHAnsi" w:cstheme="minorBidi"/>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shd w:val="clear" w:color="auto" w:fill="auto"/>
      <w:vAlign w:val="center"/>
    </w:tcPr>
    <w:tblStylePr w:type="firstRow">
      <w:rPr>
        <w:b/>
      </w:rPr>
      <w:tblPr/>
      <w:trPr>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unhideWhenUsed/>
    <w:rsid w:val="006338C0"/>
    <w:pPr>
      <w:tabs>
        <w:tab w:val="left" w:pos="794"/>
        <w:tab w:val="left" w:pos="1191"/>
        <w:tab w:val="left" w:pos="1588"/>
        <w:tab w:val="left" w:pos="1985"/>
      </w:tabs>
      <w:overflowPunct w:val="0"/>
      <w:autoSpaceDE w:val="0"/>
      <w:autoSpaceDN w:val="0"/>
      <w:adjustRightInd w:val="0"/>
      <w:spacing w:before="120"/>
      <w:textAlignment w:val="baseline"/>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ge">
    <w:name w:val="Page"/>
    <w:rsid w:val="006338C0"/>
    <w:pPr>
      <w:tabs>
        <w:tab w:val="right" w:pos="9360"/>
      </w:tabs>
      <w:jc w:val="right"/>
    </w:pPr>
    <w:rPr>
      <w:rFonts w:eastAsia="Times"/>
      <w:sz w:val="24"/>
      <w:szCs w:val="24"/>
      <w:lang w:eastAsia="en-US" w:bidi="en-US"/>
    </w:rPr>
  </w:style>
  <w:style w:type="character" w:customStyle="1" w:styleId="RecNoChar1">
    <w:name w:val="Rec_No Char1"/>
    <w:basedOn w:val="DefaultParagraphFont"/>
    <w:link w:val="RecNo"/>
    <w:rsid w:val="006338C0"/>
    <w:rPr>
      <w:sz w:val="28"/>
      <w:lang w:val="fr-FR" w:eastAsia="en-US"/>
    </w:rPr>
  </w:style>
  <w:style w:type="numbering" w:customStyle="1" w:styleId="NoList1">
    <w:name w:val="No List1"/>
    <w:next w:val="NoList"/>
    <w:uiPriority w:val="99"/>
    <w:semiHidden/>
    <w:unhideWhenUsed/>
    <w:rsid w:val="006338C0"/>
  </w:style>
  <w:style w:type="numbering" w:customStyle="1" w:styleId="NoList11">
    <w:name w:val="No List11"/>
    <w:next w:val="NoList"/>
    <w:uiPriority w:val="99"/>
    <w:semiHidden/>
    <w:unhideWhenUsed/>
    <w:rsid w:val="006338C0"/>
  </w:style>
  <w:style w:type="table" w:customStyle="1" w:styleId="TableGrid10">
    <w:name w:val="Table Grid1"/>
    <w:basedOn w:val="TableNormal"/>
    <w:next w:val="TableGrid"/>
    <w:uiPriority w:val="59"/>
    <w:rsid w:val="006338C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338C0"/>
  </w:style>
  <w:style w:type="numbering" w:customStyle="1" w:styleId="NoList2">
    <w:name w:val="No List2"/>
    <w:next w:val="NoList"/>
    <w:uiPriority w:val="99"/>
    <w:semiHidden/>
    <w:unhideWhenUsed/>
    <w:rsid w:val="006338C0"/>
  </w:style>
  <w:style w:type="numbering" w:customStyle="1" w:styleId="NoList12">
    <w:name w:val="No List12"/>
    <w:next w:val="NoList"/>
    <w:uiPriority w:val="99"/>
    <w:semiHidden/>
    <w:unhideWhenUsed/>
    <w:rsid w:val="006338C0"/>
  </w:style>
  <w:style w:type="numbering" w:customStyle="1" w:styleId="NoList112">
    <w:name w:val="No List112"/>
    <w:next w:val="NoList"/>
    <w:uiPriority w:val="99"/>
    <w:semiHidden/>
    <w:unhideWhenUsed/>
    <w:rsid w:val="006338C0"/>
  </w:style>
  <w:style w:type="character" w:styleId="Hyperlink">
    <w:name w:val="Hyperlink"/>
    <w:basedOn w:val="DefaultParagraphFont"/>
    <w:uiPriority w:val="99"/>
    <w:unhideWhenUsed/>
    <w:rsid w:val="009A6C24"/>
    <w:rPr>
      <w:color w:val="0000FF" w:themeColor="hyperlink"/>
      <w:u w:val="single"/>
    </w:rPr>
  </w:style>
  <w:style w:type="paragraph" w:customStyle="1" w:styleId="AnnexNo">
    <w:name w:val="Annex_No"/>
    <w:basedOn w:val="Normal"/>
    <w:next w:val="Normal"/>
    <w:uiPriority w:val="99"/>
    <w:rsid w:val="006C5CD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C5CD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title">
    <w:name w:val="Appendix_title"/>
    <w:basedOn w:val="Annextitle"/>
    <w:next w:val="Normal"/>
    <w:uiPriority w:val="99"/>
    <w:rsid w:val="00336EAA"/>
  </w:style>
  <w:style w:type="character" w:styleId="Strong">
    <w:name w:val="Strong"/>
    <w:basedOn w:val="DefaultParagraphFont"/>
    <w:qFormat/>
    <w:rsid w:val="00336EAA"/>
    <w:rPr>
      <w:b/>
      <w:bCs/>
    </w:rPr>
  </w:style>
  <w:style w:type="paragraph" w:styleId="BalloonText">
    <w:name w:val="Balloon Text"/>
    <w:basedOn w:val="Normal"/>
    <w:link w:val="BalloonTextChar"/>
    <w:uiPriority w:val="99"/>
    <w:semiHidden/>
    <w:unhideWhenUsed/>
    <w:rsid w:val="0049449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491"/>
    <w:rPr>
      <w:rFonts w:ascii="Segoe UI" w:hAnsi="Segoe UI" w:cs="Segoe UI"/>
      <w:sz w:val="18"/>
      <w:szCs w:val="18"/>
      <w:lang w:val="fr-FR" w:eastAsia="en-US"/>
    </w:rPr>
  </w:style>
  <w:style w:type="character" w:styleId="FollowedHyperlink">
    <w:name w:val="FollowedHyperlink"/>
    <w:basedOn w:val="DefaultParagraphFont"/>
    <w:uiPriority w:val="99"/>
    <w:semiHidden/>
    <w:unhideWhenUsed/>
    <w:rsid w:val="00526165"/>
    <w:rPr>
      <w:color w:val="800080" w:themeColor="followedHyperlink"/>
      <w:u w:val="single"/>
    </w:rPr>
  </w:style>
  <w:style w:type="paragraph" w:customStyle="1" w:styleId="Tabletitle0">
    <w:name w:val="Table title"/>
    <w:basedOn w:val="Normal"/>
    <w:rsid w:val="00143DAB"/>
    <w:pPr>
      <w:keepNext/>
      <w:keepLines/>
      <w:spacing w:before="0" w:after="120"/>
      <w:jc w:val="center"/>
    </w:pPr>
    <w:rPr>
      <w:rFonts w:ascii="Times New Roman Bold" w:hAnsi="Times New Roman Bold"/>
      <w:b/>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itu.int/publ/R-REP/en"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700DB-693D-4511-82D7-BCB3B013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19</Pages>
  <Words>5054</Words>
  <Characters>28810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REPORT ITU-R S.2357-0 - Technical and operational guidelines for earth stations on mobile platforms communicating with geostationary space stations in the fixed-satellite service in the frequency bands 19.7-20.2 GHz and 29.5-30.0 GHz</vt:lpstr>
    </vt:vector>
  </TitlesOfParts>
  <Manager/>
  <Company>ITU</Company>
  <LinksUpToDate>false</LinksUpToDate>
  <CharactersWithSpaces>33797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S.2357-0 - Technical and operational guidelines for earth stations on mobile platforms communicating with geostationary space stations in the fixed-satellite service in the frequency bands 19.7-20.2 GHz and 29.5-30.0 GHz</dc:title>
  <dc:subject>S Series = Fixed-satellite service</dc:subject>
  <dc:creator>ITU Radiocommunication Bureau (BR)</dc:creator>
  <cp:keywords>S,2357-0</cp:keywords>
  <dc:description>Gachetc, 14.07.2015, ITU51007784</dc:description>
  <cp:lastModifiedBy>Gachet, Christelle</cp:lastModifiedBy>
  <cp:revision>26</cp:revision>
  <cp:lastPrinted>2015-09-11T13:19:00Z</cp:lastPrinted>
  <dcterms:created xsi:type="dcterms:W3CDTF">2015-08-31T05:41:00Z</dcterms:created>
  <dcterms:modified xsi:type="dcterms:W3CDTF">2015-09-11T13:19:00Z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mardi 14 juillet 2015</vt:lpwstr>
  </property>
</Properties>
</file>