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EF1E72" w:rsidTr="00EF1E72">
        <w:tc>
          <w:tcPr>
            <w:tcW w:w="10089" w:type="dxa"/>
          </w:tcPr>
          <w:p w:rsidR="00276D21" w:rsidRPr="00EF1E72" w:rsidRDefault="00D73FBE" w:rsidP="00EF1E72">
            <w:pPr>
              <w:spacing w:before="380" w:line="280" w:lineRule="exact"/>
              <w:jc w:val="right"/>
              <w:rPr>
                <w:rFonts w:ascii="Tahoma" w:hAnsi="Tahoma" w:cs="Tahoma"/>
                <w:b/>
                <w:bCs/>
                <w:iCs/>
                <w:color w:val="509141"/>
                <w:sz w:val="32"/>
                <w:szCs w:val="32"/>
                <w:lang w:val="en-US"/>
              </w:rPr>
            </w:pPr>
            <w:r w:rsidRPr="00EF1E7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8pt" o:ole="">
                  <v:imagedata r:id="rId7" o:title=""/>
                </v:shape>
                <o:OLEObject Type="Embed" ProgID="Equation.3" ShapeID="_x0000_i1025" DrawAspect="Content" ObjectID="_1332572717" r:id="rId8"/>
              </w:object>
            </w:r>
          </w:p>
          <w:p w:rsidR="00FE79FE" w:rsidRPr="00EF1E72" w:rsidRDefault="00FE79FE" w:rsidP="009D7EA3">
            <w:pPr>
              <w:spacing w:before="380" w:line="28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R</w:t>
            </w:r>
            <w:r w:rsidR="00526063" w:rsidRPr="00EF1E72">
              <w:rPr>
                <w:rFonts w:ascii="Tahoma" w:hAnsi="Tahoma" w:cs="Tahoma"/>
                <w:b/>
                <w:bCs/>
                <w:iCs/>
                <w:color w:val="509141"/>
                <w:sz w:val="36"/>
                <w:szCs w:val="36"/>
                <w:lang w:val="en-US"/>
              </w:rPr>
              <w:t>eport</w:t>
            </w:r>
            <w:r w:rsidRPr="00EF1E72">
              <w:rPr>
                <w:rFonts w:ascii="Tahoma" w:hAnsi="Tahoma" w:cs="Tahoma"/>
                <w:b/>
                <w:bCs/>
                <w:iCs/>
                <w:color w:val="509141"/>
                <w:sz w:val="36"/>
                <w:szCs w:val="36"/>
                <w:lang w:val="en-US"/>
              </w:rPr>
              <w:t xml:space="preserve">  ITU-R  </w:t>
            </w:r>
            <w:r w:rsidR="003B4EE8" w:rsidRPr="00EF1E72">
              <w:rPr>
                <w:rFonts w:ascii="Tahoma" w:hAnsi="Tahoma" w:cs="Tahoma"/>
                <w:b/>
                <w:bCs/>
                <w:iCs/>
                <w:color w:val="509141"/>
                <w:sz w:val="36"/>
                <w:szCs w:val="36"/>
                <w:lang w:val="en-US"/>
              </w:rPr>
              <w:t>S</w:t>
            </w:r>
            <w:r w:rsidR="00C114A7" w:rsidRPr="00EF1E72">
              <w:rPr>
                <w:rFonts w:ascii="Tahoma" w:hAnsi="Tahoma" w:cs="Tahoma"/>
                <w:b/>
                <w:bCs/>
                <w:iCs/>
                <w:color w:val="509141"/>
                <w:sz w:val="36"/>
                <w:szCs w:val="36"/>
                <w:lang w:val="en-US"/>
              </w:rPr>
              <w:t>A</w:t>
            </w:r>
            <w:r w:rsidRPr="00EF1E72">
              <w:rPr>
                <w:rFonts w:ascii="Tahoma" w:hAnsi="Tahoma" w:cs="Tahoma"/>
                <w:b/>
                <w:bCs/>
                <w:iCs/>
                <w:color w:val="509141"/>
                <w:sz w:val="36"/>
                <w:szCs w:val="36"/>
                <w:lang w:val="en-US"/>
              </w:rPr>
              <w:t>.</w:t>
            </w:r>
            <w:r w:rsidR="009D7EA3">
              <w:rPr>
                <w:rFonts w:ascii="Tahoma" w:hAnsi="Tahoma" w:cs="Tahoma"/>
                <w:b/>
                <w:bCs/>
                <w:iCs/>
                <w:color w:val="509141"/>
                <w:sz w:val="36"/>
                <w:szCs w:val="36"/>
                <w:lang w:val="en-US"/>
              </w:rPr>
              <w:t>2167</w:t>
            </w:r>
          </w:p>
          <w:p w:rsidR="00FE79FE" w:rsidRPr="00EF1E72" w:rsidRDefault="00FE79FE" w:rsidP="00F0629A">
            <w:pPr>
              <w:spacing w:before="80" w:line="280" w:lineRule="exact"/>
              <w:jc w:val="right"/>
              <w:rPr>
                <w:rFonts w:ascii="Tahoma" w:hAnsi="Tahoma" w:cs="Tahoma"/>
                <w:iCs/>
                <w:color w:val="509141"/>
                <w:szCs w:val="24"/>
                <w:lang w:val="en-US"/>
              </w:rPr>
            </w:pPr>
            <w:r w:rsidRPr="00EF1E72">
              <w:rPr>
                <w:rFonts w:ascii="Tahoma" w:hAnsi="Tahoma" w:cs="Tahoma"/>
                <w:b/>
                <w:bCs/>
                <w:iCs/>
                <w:color w:val="509141"/>
                <w:szCs w:val="24"/>
                <w:lang w:val="en-US"/>
              </w:rPr>
              <w:t>(</w:t>
            </w:r>
            <w:r w:rsidR="00F0629A">
              <w:rPr>
                <w:rFonts w:ascii="Tahoma" w:hAnsi="Tahoma" w:cs="Tahoma"/>
                <w:b/>
                <w:bCs/>
                <w:iCs/>
                <w:color w:val="509141"/>
                <w:szCs w:val="24"/>
                <w:lang w:val="en-US"/>
              </w:rPr>
              <w:t>09</w:t>
            </w:r>
            <w:r w:rsidRPr="00EF1E72">
              <w:rPr>
                <w:rFonts w:ascii="Tahoma" w:hAnsi="Tahoma" w:cs="Tahoma"/>
                <w:b/>
                <w:bCs/>
                <w:iCs/>
                <w:color w:val="509141"/>
                <w:szCs w:val="24"/>
                <w:lang w:val="en-US"/>
              </w:rPr>
              <w:t>/</w:t>
            </w:r>
            <w:r w:rsidR="009D7EA3">
              <w:rPr>
                <w:rFonts w:ascii="Tahoma" w:hAnsi="Tahoma" w:cs="Tahoma"/>
                <w:b/>
                <w:bCs/>
                <w:iCs/>
                <w:color w:val="509141"/>
                <w:szCs w:val="24"/>
                <w:lang w:val="en-US"/>
              </w:rPr>
              <w:t>2009</w:t>
            </w:r>
            <w:r w:rsidRPr="00EF1E72">
              <w:rPr>
                <w:rFonts w:ascii="Tahoma" w:hAnsi="Tahoma" w:cs="Tahoma"/>
                <w:b/>
                <w:bCs/>
                <w:iCs/>
                <w:color w:val="509141"/>
                <w:szCs w:val="24"/>
                <w:lang w:val="en-US"/>
              </w:rPr>
              <w:t>)</w:t>
            </w:r>
          </w:p>
        </w:tc>
      </w:tr>
      <w:tr w:rsidR="00FE79FE" w:rsidRPr="00EF1E72" w:rsidTr="00EF1E72">
        <w:tc>
          <w:tcPr>
            <w:tcW w:w="10089" w:type="dxa"/>
          </w:tcPr>
          <w:p w:rsidR="00013002" w:rsidRPr="00EF1E72" w:rsidRDefault="00013002" w:rsidP="00EF1E72">
            <w:pPr>
              <w:spacing w:before="80" w:line="500" w:lineRule="exact"/>
              <w:jc w:val="right"/>
              <w:rPr>
                <w:rFonts w:ascii="Tahoma" w:hAnsi="Tahoma" w:cs="Tahoma"/>
                <w:b/>
                <w:bCs/>
                <w:iCs/>
                <w:color w:val="509141"/>
                <w:sz w:val="44"/>
                <w:szCs w:val="44"/>
                <w:lang w:val="en-US"/>
              </w:rPr>
            </w:pPr>
          </w:p>
          <w:p w:rsidR="00D8150A" w:rsidRPr="00EF1E72" w:rsidRDefault="009D7EA3" w:rsidP="00EF1E72">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Factors affecting the choice of frequency bands for space research service deep-space (space-to-Earth) telecommunication links</w:t>
            </w:r>
          </w:p>
          <w:p w:rsidR="00FE79FE" w:rsidRPr="00EF1E72" w:rsidRDefault="00AD26B8" w:rsidP="00EF1E72">
            <w:pPr>
              <w:spacing w:before="80" w:line="500" w:lineRule="exact"/>
              <w:jc w:val="right"/>
              <w:rPr>
                <w:rFonts w:ascii="Tahoma" w:hAnsi="Tahoma" w:cs="Tahoma"/>
                <w:b/>
                <w:bCs/>
                <w:iCs/>
                <w:color w:val="509141"/>
                <w:sz w:val="44"/>
                <w:szCs w:val="44"/>
                <w:lang w:val="en-US"/>
              </w:rPr>
            </w:pPr>
            <w:r w:rsidRPr="00EF1E72">
              <w:rPr>
                <w:rFonts w:ascii="Tahoma" w:hAnsi="Tahoma" w:cs="Tahoma"/>
                <w:b/>
                <w:bCs/>
                <w:iCs/>
                <w:color w:val="509141"/>
                <w:sz w:val="44"/>
                <w:szCs w:val="44"/>
                <w:lang w:val="en-US"/>
              </w:rPr>
              <w:t xml:space="preserve">  </w:t>
            </w:r>
          </w:p>
        </w:tc>
      </w:tr>
      <w:tr w:rsidR="00FE79FE" w:rsidRPr="00EF1E72" w:rsidTr="00EF1E72">
        <w:tc>
          <w:tcPr>
            <w:tcW w:w="10089" w:type="dxa"/>
          </w:tcPr>
          <w:p w:rsidR="007B203C" w:rsidRPr="00EF1E72" w:rsidRDefault="007B203C" w:rsidP="00EF1E72">
            <w:pPr>
              <w:spacing w:before="80" w:line="280" w:lineRule="exact"/>
              <w:ind w:right="640"/>
              <w:rPr>
                <w:rFonts w:ascii="Tahoma" w:hAnsi="Tahoma" w:cs="Tahoma"/>
                <w:b/>
                <w:bCs/>
                <w:iCs/>
                <w:color w:val="243285"/>
                <w:sz w:val="32"/>
                <w:szCs w:val="32"/>
                <w:lang w:val="en-US"/>
              </w:rPr>
            </w:pPr>
          </w:p>
          <w:p w:rsidR="007B203C" w:rsidRPr="00EF1E72" w:rsidRDefault="007B203C" w:rsidP="00EF1E72">
            <w:pPr>
              <w:spacing w:before="80" w:line="280" w:lineRule="exact"/>
              <w:ind w:right="640"/>
              <w:rPr>
                <w:rFonts w:ascii="Tahoma" w:hAnsi="Tahoma" w:cs="Tahoma"/>
                <w:b/>
                <w:bCs/>
                <w:iCs/>
                <w:color w:val="243285"/>
                <w:sz w:val="32"/>
                <w:szCs w:val="32"/>
                <w:lang w:val="en-US"/>
              </w:rPr>
            </w:pPr>
          </w:p>
          <w:p w:rsidR="007B203C" w:rsidRPr="00EF1E72" w:rsidRDefault="007B203C" w:rsidP="00EF1E72">
            <w:pPr>
              <w:spacing w:before="80" w:line="280" w:lineRule="exact"/>
              <w:ind w:right="640"/>
              <w:rPr>
                <w:rFonts w:ascii="Tahoma" w:hAnsi="Tahoma" w:cs="Tahoma"/>
                <w:b/>
                <w:bCs/>
                <w:iCs/>
                <w:color w:val="243285"/>
                <w:sz w:val="32"/>
                <w:szCs w:val="32"/>
                <w:lang w:val="en-US"/>
              </w:rPr>
            </w:pPr>
          </w:p>
          <w:p w:rsidR="007B203C" w:rsidRPr="00EF1E72" w:rsidRDefault="007B203C" w:rsidP="00EF1E72">
            <w:pPr>
              <w:spacing w:before="80" w:after="180" w:line="360" w:lineRule="exact"/>
              <w:jc w:val="right"/>
              <w:rPr>
                <w:rFonts w:ascii="Tahoma" w:hAnsi="Tahoma" w:cs="Tahoma"/>
                <w:b/>
                <w:bCs/>
                <w:iCs/>
                <w:color w:val="243285"/>
                <w:sz w:val="36"/>
                <w:szCs w:val="36"/>
                <w:lang w:val="en-US"/>
              </w:rPr>
            </w:pPr>
          </w:p>
          <w:p w:rsidR="00013002" w:rsidRPr="00EF1E72" w:rsidRDefault="003B4EE8" w:rsidP="00EF1E72">
            <w:pPr>
              <w:spacing w:before="80" w:after="180" w:line="36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w:t>
            </w:r>
            <w:r w:rsidR="00C114A7" w:rsidRPr="00EF1E72">
              <w:rPr>
                <w:rFonts w:ascii="Tahoma" w:hAnsi="Tahoma" w:cs="Tahoma"/>
                <w:b/>
                <w:bCs/>
                <w:iCs/>
                <w:color w:val="509141"/>
                <w:sz w:val="36"/>
                <w:szCs w:val="36"/>
                <w:lang w:val="en-US"/>
              </w:rPr>
              <w:t>A</w:t>
            </w:r>
            <w:r w:rsidR="00FE79FE" w:rsidRPr="00EF1E72">
              <w:rPr>
                <w:rFonts w:ascii="Tahoma" w:hAnsi="Tahoma" w:cs="Tahoma"/>
                <w:b/>
                <w:bCs/>
                <w:iCs/>
                <w:color w:val="509141"/>
                <w:sz w:val="36"/>
                <w:szCs w:val="36"/>
                <w:lang w:val="en-US"/>
              </w:rPr>
              <w:t xml:space="preserve"> Series</w:t>
            </w:r>
          </w:p>
          <w:p w:rsidR="00FE79FE" w:rsidRPr="00EF1E72" w:rsidRDefault="00C114A7" w:rsidP="00EF1E72">
            <w:pPr>
              <w:spacing w:before="80" w:line="42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Space applications and meteorology</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114A7">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rsidTr="00C114A7">
        <w:tc>
          <w:tcPr>
            <w:tcW w:w="1140" w:type="dxa"/>
            <w:tcBorders>
              <w:top w:val="nil"/>
              <w:left w:val="single" w:sz="12" w:space="0" w:color="000080"/>
              <w:bottom w:val="nil"/>
              <w:right w:val="nil"/>
            </w:tcBorders>
            <w:shd w:val="clear" w:color="auto" w:fill="auto"/>
          </w:tcPr>
          <w:p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C114A7" w:rsidRDefault="00CD7A62">
            <w:pPr>
              <w:spacing w:before="30" w:after="30"/>
              <w:jc w:val="left"/>
              <w:rPr>
                <w:sz w:val="20"/>
                <w:lang w:val="en-US"/>
              </w:rPr>
            </w:pPr>
            <w:r w:rsidRPr="00C114A7">
              <w:rPr>
                <w:sz w:val="20"/>
                <w:lang w:val="en-US"/>
              </w:rPr>
              <w:t>Fixed</w:t>
            </w:r>
            <w:r w:rsidR="00531521">
              <w:rPr>
                <w:sz w:val="20"/>
                <w:lang w:val="en-US"/>
              </w:rPr>
              <w:t>-</w:t>
            </w:r>
            <w:r w:rsidRPr="00C114A7">
              <w:rPr>
                <w:sz w:val="20"/>
                <w:lang w:val="en-US"/>
              </w:rPr>
              <w:t>satellite service</w:t>
            </w:r>
          </w:p>
        </w:tc>
      </w:tr>
      <w:tr w:rsidR="00CB60A4" w:rsidRPr="00C114A7" w:rsidTr="00C114A7">
        <w:tc>
          <w:tcPr>
            <w:tcW w:w="1140" w:type="dxa"/>
            <w:tcBorders>
              <w:top w:val="nil"/>
              <w:left w:val="single" w:sz="12" w:space="0" w:color="000080"/>
              <w:bottom w:val="nil"/>
              <w:right w:val="nil"/>
            </w:tcBorders>
            <w:shd w:val="clear" w:color="auto" w:fill="F3F3F3"/>
          </w:tcPr>
          <w:p w:rsidR="00CB60A4" w:rsidRPr="00C114A7" w:rsidRDefault="00CB60A4">
            <w:pPr>
              <w:spacing w:before="30" w:after="30"/>
              <w:ind w:left="57"/>
              <w:jc w:val="left"/>
              <w:rPr>
                <w:b/>
                <w:bCs/>
                <w:color w:val="000080"/>
                <w:sz w:val="20"/>
                <w:lang w:val="en-US"/>
              </w:rPr>
            </w:pPr>
            <w:r w:rsidRPr="00C114A7">
              <w:rPr>
                <w:b/>
                <w:bCs/>
                <w:color w:val="000080"/>
                <w:sz w:val="20"/>
                <w:lang w:val="en-US"/>
              </w:rPr>
              <w:t>SA</w:t>
            </w:r>
          </w:p>
        </w:tc>
        <w:tc>
          <w:tcPr>
            <w:tcW w:w="8220" w:type="dxa"/>
            <w:tcBorders>
              <w:top w:val="nil"/>
              <w:left w:val="nil"/>
              <w:bottom w:val="nil"/>
              <w:right w:val="single" w:sz="12" w:space="0" w:color="000080"/>
            </w:tcBorders>
            <w:shd w:val="clear" w:color="auto" w:fill="F3F3F3"/>
          </w:tcPr>
          <w:p w:rsidR="00CB60A4" w:rsidRPr="00C114A7" w:rsidRDefault="00CB60A4">
            <w:pPr>
              <w:spacing w:before="30" w:after="30"/>
              <w:jc w:val="left"/>
              <w:rPr>
                <w:b/>
                <w:bCs/>
                <w:color w:val="000080"/>
                <w:sz w:val="20"/>
                <w:lang w:val="en-US"/>
              </w:rPr>
            </w:pPr>
            <w:r w:rsidRPr="00C114A7">
              <w:rPr>
                <w:b/>
                <w:bCs/>
                <w:color w:val="000080"/>
                <w:sz w:val="20"/>
                <w:lang w:val="en-US"/>
              </w:rPr>
              <w:t>Space applications and meteorology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EF1E72" w:rsidTr="00EF1E72">
        <w:tc>
          <w:tcPr>
            <w:tcW w:w="9360" w:type="dxa"/>
            <w:tcBorders>
              <w:top w:val="single" w:sz="12" w:space="0" w:color="000080"/>
              <w:left w:val="single" w:sz="12" w:space="0" w:color="000080"/>
              <w:bottom w:val="single" w:sz="12" w:space="0" w:color="000080"/>
              <w:right w:val="single" w:sz="12" w:space="0" w:color="000080"/>
            </w:tcBorders>
          </w:tcPr>
          <w:p w:rsidR="00CB60A4" w:rsidRPr="00EF1E72" w:rsidRDefault="001A5259" w:rsidP="00EF1E72">
            <w:pPr>
              <w:spacing w:after="120"/>
              <w:jc w:val="left"/>
              <w:rPr>
                <w:b/>
                <w:bCs/>
                <w:sz w:val="20"/>
                <w:lang w:val="en-US"/>
              </w:rPr>
            </w:pPr>
            <w:r w:rsidRPr="00EF1E72">
              <w:rPr>
                <w:i/>
                <w:iCs/>
                <w:sz w:val="20"/>
                <w:lang w:val="en-US"/>
              </w:rPr>
              <w:t xml:space="preserve">            </w:t>
            </w:r>
            <w:r w:rsidR="00CB60A4" w:rsidRPr="00EF1E72">
              <w:rPr>
                <w:b/>
                <w:bCs/>
                <w:i/>
                <w:iCs/>
                <w:sz w:val="20"/>
                <w:lang w:val="en-US"/>
              </w:rPr>
              <w:t>Note</w:t>
            </w:r>
            <w:r w:rsidR="00CB60A4" w:rsidRPr="00EF1E72">
              <w:rPr>
                <w:i/>
                <w:iCs/>
                <w:sz w:val="20"/>
                <w:lang w:val="en-US"/>
              </w:rPr>
              <w:t xml:space="preserve">: This ITU-R </w:t>
            </w:r>
            <w:r w:rsidR="00505FB4" w:rsidRPr="00EF1E72">
              <w:rPr>
                <w:i/>
                <w:iCs/>
                <w:sz w:val="20"/>
                <w:lang w:val="en-US"/>
              </w:rPr>
              <w:t>Report</w:t>
            </w:r>
            <w:r w:rsidR="00CB60A4" w:rsidRPr="00EF1E72">
              <w:rPr>
                <w:i/>
                <w:iCs/>
                <w:sz w:val="20"/>
                <w:lang w:val="en-US"/>
              </w:rPr>
              <w:t xml:space="preserve"> was approved in English </w:t>
            </w:r>
            <w:r w:rsidRPr="00EF1E72">
              <w:rPr>
                <w:i/>
                <w:iCs/>
                <w:sz w:val="20"/>
                <w:lang w:val="en-US"/>
              </w:rPr>
              <w:t xml:space="preserve">by the Study Group </w:t>
            </w:r>
            <w:r w:rsidR="00CB60A4" w:rsidRPr="00EF1E72">
              <w:rPr>
                <w:i/>
                <w:iCs/>
                <w:sz w:val="20"/>
                <w:lang w:val="en-US"/>
              </w:rPr>
              <w:t xml:space="preserve">under the </w:t>
            </w:r>
            <w:r w:rsidRPr="00EF1E72">
              <w:rPr>
                <w:i/>
                <w:iCs/>
                <w:sz w:val="20"/>
                <w:lang w:val="en-US"/>
              </w:rPr>
              <w:t xml:space="preserve">procedure detailed </w:t>
            </w:r>
            <w:r w:rsidRPr="00EF1E72">
              <w:rPr>
                <w:i/>
                <w:iCs/>
                <w:sz w:val="20"/>
                <w:lang w:val="en-US"/>
              </w:rPr>
              <w:br/>
              <w:t xml:space="preserve">            in Resolution </w:t>
            </w:r>
            <w:r w:rsidR="00CB60A4" w:rsidRPr="00EF1E72">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F9736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F9736D">
        <w:rPr>
          <w:sz w:val="20"/>
          <w:lang w:val="en-US"/>
        </w:rPr>
        <w:t>10</w:t>
      </w:r>
    </w:p>
    <w:p w:rsidR="00CB60A4" w:rsidRDefault="00CB60A4" w:rsidP="00F9736D">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F9736D">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D7EA3" w:rsidRDefault="009D7EA3" w:rsidP="009D7EA3">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SA</w:t>
      </w:r>
      <w:r w:rsidRPr="008D3D8D">
        <w:rPr>
          <w:rStyle w:val="href"/>
          <w:lang w:val="en-US"/>
        </w:rPr>
        <w:t>.</w:t>
      </w:r>
      <w:r>
        <w:rPr>
          <w:rStyle w:val="href"/>
          <w:lang w:val="en-US"/>
        </w:rPr>
        <w:t>2167</w:t>
      </w:r>
    </w:p>
    <w:p w:rsidR="009D7EA3" w:rsidRDefault="009D7EA3" w:rsidP="004733C8">
      <w:pPr>
        <w:pStyle w:val="Rectitle"/>
        <w:rPr>
          <w:lang w:val="en-US"/>
        </w:rPr>
      </w:pPr>
      <w:r w:rsidRPr="009D7EA3">
        <w:rPr>
          <w:lang w:val="en-GB"/>
        </w:rPr>
        <w:t xml:space="preserve">Factors affecting the choice of frequency bands for </w:t>
      </w:r>
      <w:r w:rsidR="004733C8">
        <w:rPr>
          <w:lang w:val="en-GB"/>
        </w:rPr>
        <w:t>space research</w:t>
      </w:r>
      <w:r w:rsidR="004733C8">
        <w:rPr>
          <w:lang w:val="en-GB"/>
        </w:rPr>
        <w:br/>
        <w:t>service</w:t>
      </w:r>
      <w:r w:rsidRPr="009D7EA3">
        <w:rPr>
          <w:lang w:val="en-GB"/>
        </w:rPr>
        <w:t xml:space="preserve"> deep-space</w:t>
      </w:r>
      <w:r w:rsidR="004733C8">
        <w:rPr>
          <w:lang w:val="en-GB"/>
        </w:rPr>
        <w:t xml:space="preserve"> </w:t>
      </w:r>
      <w:r w:rsidRPr="009D7EA3">
        <w:rPr>
          <w:lang w:val="en-GB"/>
        </w:rPr>
        <w:t>(space-to-Earth) telecommunication links</w:t>
      </w:r>
    </w:p>
    <w:p w:rsidR="004733C8" w:rsidRDefault="004733C8" w:rsidP="004733C8">
      <w:pPr>
        <w:pStyle w:val="Repdate"/>
        <w:spacing w:before="0"/>
        <w:rPr>
          <w:noProof/>
        </w:rPr>
      </w:pPr>
      <w:bookmarkStart w:id="3" w:name="_Toc217095275"/>
    </w:p>
    <w:p w:rsidR="003C0BC7" w:rsidRDefault="004733C8" w:rsidP="004733C8">
      <w:pPr>
        <w:pStyle w:val="Repdate"/>
        <w:rPr>
          <w:noProof/>
        </w:rPr>
      </w:pPr>
      <w:r>
        <w:rPr>
          <w:noProof/>
        </w:rPr>
        <w:t>(2009)</w:t>
      </w:r>
    </w:p>
    <w:p w:rsidR="009D7EA3" w:rsidRDefault="009D7EA3" w:rsidP="009D7EA3">
      <w:pPr>
        <w:jc w:val="center"/>
        <w:rPr>
          <w:noProof/>
        </w:rPr>
      </w:pPr>
      <w:r w:rsidRPr="00B64215">
        <w:rPr>
          <w:noProof/>
        </w:rPr>
        <w:t>TABLE OF CONTENTS</w:t>
      </w:r>
      <w:bookmarkEnd w:id="3"/>
    </w:p>
    <w:p w:rsidR="009D7EA3" w:rsidRPr="00B64215" w:rsidRDefault="009D7EA3" w:rsidP="009D7EA3">
      <w:pPr>
        <w:pStyle w:val="toc0"/>
        <w:rPr>
          <w:noProof/>
        </w:rPr>
      </w:pPr>
      <w:r>
        <w:rPr>
          <w:noProof/>
        </w:rPr>
        <w:tab/>
        <w:t>Page</w:t>
      </w:r>
    </w:p>
    <w:p w:rsidR="009D7EA3" w:rsidRDefault="009D7EA3" w:rsidP="005063E6">
      <w:pPr>
        <w:pStyle w:val="TOC1"/>
        <w:spacing w:before="160"/>
        <w:rPr>
          <w:rFonts w:ascii="Calibri" w:hAnsi="Calibri"/>
          <w:noProof/>
          <w:szCs w:val="22"/>
        </w:rPr>
      </w:pPr>
      <w:r>
        <w:rPr>
          <w:noProof/>
        </w:rPr>
        <w:t>1</w:t>
      </w:r>
      <w:r>
        <w:rPr>
          <w:rFonts w:ascii="Calibri" w:hAnsi="Calibri"/>
          <w:noProof/>
          <w:szCs w:val="22"/>
        </w:rPr>
        <w:tab/>
      </w:r>
      <w:r>
        <w:rPr>
          <w:noProof/>
        </w:rPr>
        <w:t>Introduction</w:t>
      </w:r>
      <w:r>
        <w:rPr>
          <w:noProof/>
        </w:rPr>
        <w:tab/>
      </w:r>
      <w:r>
        <w:rPr>
          <w:noProof/>
        </w:rPr>
        <w:tab/>
      </w:r>
      <w:r w:rsidR="005063E6">
        <w:rPr>
          <w:noProof/>
        </w:rPr>
        <w:t>2</w:t>
      </w:r>
    </w:p>
    <w:p w:rsidR="009D7EA3" w:rsidRDefault="009D7EA3" w:rsidP="005063E6">
      <w:pPr>
        <w:pStyle w:val="TOC1"/>
        <w:spacing w:before="160"/>
        <w:rPr>
          <w:rFonts w:ascii="Calibri" w:hAnsi="Calibri"/>
          <w:noProof/>
          <w:szCs w:val="22"/>
        </w:rPr>
      </w:pPr>
      <w:r>
        <w:rPr>
          <w:noProof/>
        </w:rPr>
        <w:t>2</w:t>
      </w:r>
      <w:r>
        <w:rPr>
          <w:rFonts w:ascii="Calibri" w:hAnsi="Calibri"/>
          <w:noProof/>
          <w:szCs w:val="22"/>
        </w:rPr>
        <w:tab/>
      </w:r>
      <w:r>
        <w:rPr>
          <w:noProof/>
        </w:rPr>
        <w:t>Spectrum requirements for future deep-space missions</w:t>
      </w:r>
      <w:r>
        <w:rPr>
          <w:noProof/>
        </w:rPr>
        <w:tab/>
      </w:r>
      <w:r>
        <w:rPr>
          <w:noProof/>
        </w:rPr>
        <w:tab/>
      </w:r>
      <w:r w:rsidR="005063E6">
        <w:rPr>
          <w:noProof/>
        </w:rPr>
        <w:t>2</w:t>
      </w:r>
    </w:p>
    <w:p w:rsidR="009D7EA3" w:rsidRDefault="009D7EA3" w:rsidP="00F65D6F">
      <w:pPr>
        <w:pStyle w:val="TOC1"/>
        <w:spacing w:before="160"/>
        <w:rPr>
          <w:rFonts w:ascii="Calibri" w:hAnsi="Calibri"/>
          <w:noProof/>
          <w:szCs w:val="22"/>
        </w:rPr>
      </w:pPr>
      <w:r>
        <w:rPr>
          <w:noProof/>
        </w:rPr>
        <w:t>3</w:t>
      </w:r>
      <w:r>
        <w:rPr>
          <w:rFonts w:ascii="Calibri" w:hAnsi="Calibri"/>
          <w:noProof/>
          <w:szCs w:val="22"/>
        </w:rPr>
        <w:tab/>
      </w:r>
      <w:r>
        <w:rPr>
          <w:noProof/>
        </w:rPr>
        <w:t>Factors considered in the choice of frequency bands</w:t>
      </w:r>
      <w:r>
        <w:rPr>
          <w:noProof/>
        </w:rPr>
        <w:tab/>
      </w:r>
      <w:r>
        <w:rPr>
          <w:noProof/>
        </w:rPr>
        <w:tab/>
      </w:r>
      <w:r w:rsidR="00F65D6F">
        <w:rPr>
          <w:noProof/>
        </w:rPr>
        <w:t>4</w:t>
      </w:r>
    </w:p>
    <w:p w:rsidR="009D7EA3" w:rsidRDefault="009D7EA3" w:rsidP="00F65D6F">
      <w:pPr>
        <w:pStyle w:val="TOC2"/>
        <w:spacing w:before="80"/>
        <w:rPr>
          <w:rFonts w:ascii="Calibri" w:hAnsi="Calibri"/>
          <w:noProof/>
          <w:szCs w:val="22"/>
        </w:rPr>
      </w:pPr>
      <w:r>
        <w:rPr>
          <w:noProof/>
        </w:rPr>
        <w:t>3.1</w:t>
      </w:r>
      <w:r>
        <w:rPr>
          <w:rFonts w:ascii="Calibri" w:hAnsi="Calibri"/>
          <w:noProof/>
          <w:szCs w:val="22"/>
        </w:rPr>
        <w:tab/>
      </w:r>
      <w:r>
        <w:rPr>
          <w:noProof/>
        </w:rPr>
        <w:t>Link applications</w:t>
      </w:r>
      <w:r>
        <w:rPr>
          <w:noProof/>
        </w:rPr>
        <w:tab/>
      </w:r>
      <w:r>
        <w:rPr>
          <w:noProof/>
        </w:rPr>
        <w:tab/>
      </w:r>
      <w:r w:rsidR="00F65D6F">
        <w:rPr>
          <w:noProof/>
        </w:rPr>
        <w:t>4</w:t>
      </w:r>
    </w:p>
    <w:p w:rsidR="009D7EA3" w:rsidRDefault="009D7EA3" w:rsidP="00F65D6F">
      <w:pPr>
        <w:pStyle w:val="TOC2"/>
        <w:spacing w:before="80"/>
        <w:rPr>
          <w:rFonts w:ascii="Calibri" w:hAnsi="Calibri"/>
          <w:noProof/>
          <w:szCs w:val="22"/>
        </w:rPr>
      </w:pPr>
      <w:r>
        <w:rPr>
          <w:noProof/>
        </w:rPr>
        <w:t>3.2</w:t>
      </w:r>
      <w:r>
        <w:rPr>
          <w:rFonts w:ascii="Calibri" w:hAnsi="Calibri"/>
          <w:noProof/>
          <w:szCs w:val="22"/>
        </w:rPr>
        <w:tab/>
      </w:r>
      <w:r>
        <w:rPr>
          <w:noProof/>
        </w:rPr>
        <w:t>Propagation impairments</w:t>
      </w:r>
      <w:r>
        <w:rPr>
          <w:noProof/>
        </w:rPr>
        <w:tab/>
      </w:r>
      <w:r>
        <w:rPr>
          <w:noProof/>
        </w:rPr>
        <w:tab/>
      </w:r>
      <w:r w:rsidR="00F65D6F">
        <w:rPr>
          <w:noProof/>
        </w:rPr>
        <w:t>4</w:t>
      </w:r>
    </w:p>
    <w:p w:rsidR="009D7EA3" w:rsidRDefault="009D7EA3" w:rsidP="00F65D6F">
      <w:pPr>
        <w:pStyle w:val="TOC2"/>
        <w:spacing w:before="80"/>
        <w:rPr>
          <w:rFonts w:ascii="Calibri" w:hAnsi="Calibri"/>
          <w:noProof/>
          <w:szCs w:val="22"/>
        </w:rPr>
      </w:pPr>
      <w:r>
        <w:rPr>
          <w:noProof/>
        </w:rPr>
        <w:t>3.3</w:t>
      </w:r>
      <w:r>
        <w:rPr>
          <w:rFonts w:ascii="Calibri" w:hAnsi="Calibri"/>
          <w:noProof/>
          <w:szCs w:val="22"/>
        </w:rPr>
        <w:tab/>
      </w:r>
      <w:r>
        <w:rPr>
          <w:noProof/>
        </w:rPr>
        <w:t>Available bandwidth</w:t>
      </w:r>
      <w:r>
        <w:rPr>
          <w:noProof/>
        </w:rPr>
        <w:tab/>
      </w:r>
      <w:r>
        <w:rPr>
          <w:noProof/>
        </w:rPr>
        <w:tab/>
      </w:r>
      <w:r w:rsidR="00F65D6F">
        <w:rPr>
          <w:noProof/>
        </w:rPr>
        <w:t>9</w:t>
      </w:r>
    </w:p>
    <w:p w:rsidR="009D7EA3" w:rsidRDefault="009D7EA3" w:rsidP="00F65D6F">
      <w:pPr>
        <w:pStyle w:val="TOC2"/>
        <w:spacing w:before="80"/>
        <w:rPr>
          <w:rFonts w:ascii="Calibri" w:hAnsi="Calibri"/>
          <w:noProof/>
          <w:szCs w:val="22"/>
        </w:rPr>
      </w:pPr>
      <w:r>
        <w:rPr>
          <w:noProof/>
        </w:rPr>
        <w:t>3.4</w:t>
      </w:r>
      <w:r>
        <w:rPr>
          <w:rFonts w:ascii="Calibri" w:hAnsi="Calibri"/>
          <w:noProof/>
          <w:szCs w:val="22"/>
        </w:rPr>
        <w:tab/>
      </w:r>
      <w:r>
        <w:rPr>
          <w:noProof/>
        </w:rPr>
        <w:t>Technology maturity and equipment availability</w:t>
      </w:r>
      <w:r>
        <w:rPr>
          <w:noProof/>
        </w:rPr>
        <w:tab/>
      </w:r>
      <w:r>
        <w:rPr>
          <w:noProof/>
        </w:rPr>
        <w:tab/>
      </w:r>
      <w:r w:rsidR="00F65D6F">
        <w:rPr>
          <w:noProof/>
        </w:rPr>
        <w:t>9</w:t>
      </w:r>
    </w:p>
    <w:p w:rsidR="009D7EA3" w:rsidRDefault="009D7EA3" w:rsidP="005063E6">
      <w:pPr>
        <w:pStyle w:val="TOC2"/>
        <w:spacing w:before="80"/>
        <w:rPr>
          <w:rFonts w:ascii="Calibri" w:hAnsi="Calibri"/>
          <w:noProof/>
          <w:szCs w:val="22"/>
        </w:rPr>
      </w:pPr>
      <w:r>
        <w:rPr>
          <w:noProof/>
        </w:rPr>
        <w:t>3.5</w:t>
      </w:r>
      <w:r>
        <w:rPr>
          <w:rFonts w:ascii="Calibri" w:hAnsi="Calibri"/>
          <w:noProof/>
          <w:szCs w:val="22"/>
        </w:rPr>
        <w:tab/>
      </w:r>
      <w:r>
        <w:rPr>
          <w:noProof/>
        </w:rPr>
        <w:t>Ground infrastructure considerations</w:t>
      </w:r>
      <w:r>
        <w:rPr>
          <w:noProof/>
        </w:rPr>
        <w:tab/>
      </w:r>
      <w:r>
        <w:rPr>
          <w:noProof/>
        </w:rPr>
        <w:tab/>
      </w:r>
      <w:r w:rsidR="00F65D6F">
        <w:rPr>
          <w:noProof/>
        </w:rPr>
        <w:t>10</w:t>
      </w:r>
    </w:p>
    <w:p w:rsidR="009D7EA3" w:rsidRDefault="009D7EA3" w:rsidP="00F65D6F">
      <w:pPr>
        <w:pStyle w:val="TOC2"/>
        <w:spacing w:before="80"/>
        <w:rPr>
          <w:rFonts w:ascii="Calibri" w:hAnsi="Calibri"/>
          <w:noProof/>
          <w:szCs w:val="22"/>
        </w:rPr>
      </w:pPr>
      <w:r>
        <w:rPr>
          <w:noProof/>
        </w:rPr>
        <w:t>3.6</w:t>
      </w:r>
      <w:r>
        <w:rPr>
          <w:rFonts w:ascii="Calibri" w:hAnsi="Calibri"/>
          <w:noProof/>
          <w:szCs w:val="22"/>
        </w:rPr>
        <w:tab/>
      </w:r>
      <w:r>
        <w:rPr>
          <w:noProof/>
        </w:rPr>
        <w:t>Compatibility with the recommended frequency plan for the Mars region</w:t>
      </w:r>
      <w:r>
        <w:rPr>
          <w:noProof/>
        </w:rPr>
        <w:tab/>
      </w:r>
      <w:r>
        <w:rPr>
          <w:noProof/>
        </w:rPr>
        <w:tab/>
      </w:r>
      <w:r w:rsidR="00F65D6F">
        <w:rPr>
          <w:noProof/>
        </w:rPr>
        <w:t>10</w:t>
      </w:r>
    </w:p>
    <w:p w:rsidR="009D7EA3" w:rsidRDefault="009D7EA3" w:rsidP="00F65D6F">
      <w:pPr>
        <w:pStyle w:val="TOC2"/>
        <w:spacing w:before="80"/>
        <w:rPr>
          <w:rFonts w:ascii="Calibri" w:hAnsi="Calibri"/>
          <w:noProof/>
          <w:szCs w:val="22"/>
        </w:rPr>
      </w:pPr>
      <w:r>
        <w:rPr>
          <w:noProof/>
        </w:rPr>
        <w:t>3.7</w:t>
      </w:r>
      <w:r>
        <w:rPr>
          <w:rFonts w:ascii="Calibri" w:hAnsi="Calibri"/>
          <w:noProof/>
          <w:szCs w:val="22"/>
        </w:rPr>
        <w:tab/>
      </w:r>
      <w:r>
        <w:rPr>
          <w:noProof/>
        </w:rPr>
        <w:t>Incompatible services</w:t>
      </w:r>
      <w:r>
        <w:rPr>
          <w:noProof/>
        </w:rPr>
        <w:tab/>
      </w:r>
      <w:r>
        <w:rPr>
          <w:noProof/>
        </w:rPr>
        <w:tab/>
      </w:r>
      <w:r w:rsidR="00F65D6F">
        <w:rPr>
          <w:noProof/>
        </w:rPr>
        <w:t>11</w:t>
      </w:r>
    </w:p>
    <w:p w:rsidR="009D7EA3" w:rsidRDefault="009D7EA3" w:rsidP="00F65D6F">
      <w:pPr>
        <w:pStyle w:val="TOC2"/>
        <w:spacing w:before="80"/>
        <w:rPr>
          <w:rFonts w:ascii="Calibri" w:hAnsi="Calibri"/>
          <w:noProof/>
          <w:szCs w:val="22"/>
        </w:rPr>
      </w:pPr>
      <w:r>
        <w:rPr>
          <w:noProof/>
        </w:rPr>
        <w:t>3.8</w:t>
      </w:r>
      <w:r>
        <w:rPr>
          <w:rFonts w:ascii="Calibri" w:hAnsi="Calibri"/>
          <w:noProof/>
          <w:szCs w:val="22"/>
        </w:rPr>
        <w:tab/>
      </w:r>
      <w:r>
        <w:rPr>
          <w:noProof/>
        </w:rPr>
        <w:t>Feasibility of frequency sharing</w:t>
      </w:r>
      <w:r>
        <w:rPr>
          <w:noProof/>
        </w:rPr>
        <w:tab/>
      </w:r>
      <w:r>
        <w:rPr>
          <w:noProof/>
        </w:rPr>
        <w:tab/>
      </w:r>
      <w:r w:rsidR="00F65D6F">
        <w:rPr>
          <w:noProof/>
        </w:rPr>
        <w:t>12</w:t>
      </w:r>
    </w:p>
    <w:p w:rsidR="009D7EA3" w:rsidRDefault="009D7EA3" w:rsidP="00F65D6F">
      <w:pPr>
        <w:pStyle w:val="TOC1"/>
        <w:spacing w:before="160"/>
        <w:rPr>
          <w:rFonts w:ascii="Calibri" w:hAnsi="Calibri"/>
          <w:noProof/>
          <w:szCs w:val="22"/>
        </w:rPr>
      </w:pPr>
      <w:r>
        <w:rPr>
          <w:noProof/>
        </w:rPr>
        <w:t>4</w:t>
      </w:r>
      <w:r>
        <w:rPr>
          <w:rFonts w:ascii="Calibri" w:hAnsi="Calibri"/>
          <w:noProof/>
          <w:szCs w:val="22"/>
        </w:rPr>
        <w:tab/>
      </w:r>
      <w:r>
        <w:rPr>
          <w:noProof/>
        </w:rPr>
        <w:t>Spectrum that could be considered for possible allocations</w:t>
      </w:r>
      <w:r>
        <w:rPr>
          <w:noProof/>
        </w:rPr>
        <w:tab/>
      </w:r>
      <w:r>
        <w:rPr>
          <w:noProof/>
        </w:rPr>
        <w:tab/>
      </w:r>
      <w:r w:rsidR="00F65D6F">
        <w:rPr>
          <w:noProof/>
        </w:rPr>
        <w:t>12</w:t>
      </w:r>
    </w:p>
    <w:p w:rsidR="009D7EA3" w:rsidRDefault="009D7EA3" w:rsidP="00F65D6F">
      <w:pPr>
        <w:pStyle w:val="TOC1"/>
        <w:spacing w:before="160"/>
        <w:rPr>
          <w:rFonts w:ascii="Calibri" w:hAnsi="Calibri"/>
          <w:noProof/>
          <w:szCs w:val="22"/>
        </w:rPr>
      </w:pPr>
      <w:r>
        <w:rPr>
          <w:noProof/>
        </w:rPr>
        <w:t>5</w:t>
      </w:r>
      <w:r>
        <w:rPr>
          <w:rFonts w:ascii="Calibri" w:hAnsi="Calibri"/>
          <w:noProof/>
          <w:szCs w:val="22"/>
        </w:rPr>
        <w:tab/>
      </w:r>
      <w:r>
        <w:rPr>
          <w:noProof/>
        </w:rPr>
        <w:t>Conclusions</w:t>
      </w:r>
      <w:r>
        <w:rPr>
          <w:noProof/>
        </w:rPr>
        <w:tab/>
      </w:r>
      <w:r>
        <w:rPr>
          <w:noProof/>
        </w:rPr>
        <w:tab/>
      </w:r>
      <w:r w:rsidR="00F65D6F">
        <w:rPr>
          <w:noProof/>
        </w:rPr>
        <w:t>14</w:t>
      </w:r>
    </w:p>
    <w:p w:rsidR="009D7EA3" w:rsidRDefault="009D7EA3" w:rsidP="009D7EA3">
      <w:bookmarkStart w:id="4" w:name="_Toc217095276"/>
      <w:bookmarkStart w:id="5" w:name="_Toc187412130"/>
    </w:p>
    <w:p w:rsidR="009D7EA3" w:rsidRPr="00A640F1" w:rsidRDefault="009D7EA3" w:rsidP="009D7EA3">
      <w:pPr>
        <w:spacing w:after="240"/>
        <w:jc w:val="center"/>
        <w:rPr>
          <w:noProof/>
        </w:rPr>
      </w:pPr>
      <w:r w:rsidRPr="00A640F1">
        <w:rPr>
          <w:noProof/>
        </w:rPr>
        <w:t>TABLES</w:t>
      </w:r>
      <w:bookmarkEnd w:id="4"/>
    </w:p>
    <w:p w:rsidR="009D7EA3" w:rsidRPr="005063E6" w:rsidRDefault="009D7EA3" w:rsidP="005063E6">
      <w:pPr>
        <w:pStyle w:val="TOC1"/>
        <w:spacing w:before="160"/>
        <w:rPr>
          <w:rFonts w:ascii="Calibri" w:hAnsi="Calibri"/>
          <w:noProof/>
          <w:szCs w:val="24"/>
        </w:rPr>
      </w:pPr>
      <w:r w:rsidRPr="005063E6">
        <w:rPr>
          <w:rStyle w:val="Hyperlink"/>
          <w:noProof/>
          <w:color w:val="auto"/>
          <w:szCs w:val="24"/>
          <w:u w:val="none"/>
        </w:rPr>
        <w:t>TABLE 1 – Primary SRS (deep-space) allocations</w:t>
      </w:r>
      <w:r w:rsidRPr="005063E6">
        <w:rPr>
          <w:noProof/>
          <w:webHidden/>
          <w:szCs w:val="24"/>
        </w:rPr>
        <w:tab/>
      </w:r>
      <w:r w:rsidRPr="005063E6">
        <w:rPr>
          <w:noProof/>
          <w:webHidden/>
          <w:szCs w:val="24"/>
        </w:rPr>
        <w:tab/>
      </w:r>
      <w:r w:rsidR="005063E6" w:rsidRPr="005063E6">
        <w:rPr>
          <w:noProof/>
          <w:webHidden/>
          <w:szCs w:val="24"/>
        </w:rPr>
        <w:t>2</w:t>
      </w:r>
    </w:p>
    <w:p w:rsidR="009D7EA3" w:rsidRPr="005063E6" w:rsidRDefault="009D7EA3" w:rsidP="00F65D6F">
      <w:pPr>
        <w:pStyle w:val="TOC1"/>
        <w:spacing w:before="160"/>
        <w:rPr>
          <w:rFonts w:ascii="Calibri" w:hAnsi="Calibri"/>
          <w:noProof/>
          <w:szCs w:val="24"/>
        </w:rPr>
      </w:pPr>
      <w:r w:rsidRPr="005063E6">
        <w:rPr>
          <w:rStyle w:val="Hyperlink"/>
          <w:noProof/>
          <w:color w:val="auto"/>
          <w:szCs w:val="24"/>
          <w:u w:val="none"/>
        </w:rPr>
        <w:t>TABLE 2 – Users of science instruments requiring high downlink data rates</w:t>
      </w:r>
      <w:r w:rsidRPr="005063E6">
        <w:rPr>
          <w:noProof/>
          <w:webHidden/>
          <w:szCs w:val="24"/>
        </w:rPr>
        <w:tab/>
      </w:r>
      <w:r w:rsidRPr="005063E6">
        <w:rPr>
          <w:noProof/>
          <w:webHidden/>
          <w:szCs w:val="24"/>
        </w:rPr>
        <w:tab/>
      </w:r>
      <w:r w:rsidR="00F65D6F">
        <w:rPr>
          <w:noProof/>
          <w:webHidden/>
          <w:szCs w:val="24"/>
        </w:rPr>
        <w:t>3</w:t>
      </w:r>
    </w:p>
    <w:p w:rsidR="009D7EA3" w:rsidRPr="005063E6" w:rsidRDefault="009D7EA3" w:rsidP="00F65D6F">
      <w:pPr>
        <w:pStyle w:val="TOC1"/>
        <w:spacing w:before="160"/>
        <w:rPr>
          <w:rFonts w:ascii="Calibri" w:hAnsi="Calibri"/>
          <w:noProof/>
          <w:szCs w:val="24"/>
        </w:rPr>
      </w:pPr>
      <w:r w:rsidRPr="005063E6">
        <w:rPr>
          <w:rStyle w:val="Hyperlink"/>
          <w:noProof/>
          <w:color w:val="auto"/>
          <w:szCs w:val="24"/>
          <w:u w:val="none"/>
        </w:rPr>
        <w:t>TABLE 3 –</w:t>
      </w:r>
      <w:r w:rsidR="005063E6">
        <w:rPr>
          <w:rStyle w:val="Hyperlink"/>
          <w:noProof/>
          <w:color w:val="auto"/>
          <w:szCs w:val="24"/>
          <w:u w:val="none"/>
        </w:rPr>
        <w:t xml:space="preserve"> </w:t>
      </w:r>
      <w:r w:rsidRPr="005063E6">
        <w:rPr>
          <w:rStyle w:val="Hyperlink"/>
          <w:noProof/>
          <w:color w:val="auto"/>
          <w:szCs w:val="24"/>
          <w:u w:val="none"/>
        </w:rPr>
        <w:t>Atmospheric attenuation around the Goldstone area for a 20° elevation angle</w:t>
      </w:r>
      <w:r w:rsidRPr="005063E6">
        <w:rPr>
          <w:noProof/>
          <w:webHidden/>
          <w:szCs w:val="24"/>
        </w:rPr>
        <w:tab/>
      </w:r>
      <w:r w:rsidRPr="005063E6">
        <w:rPr>
          <w:noProof/>
          <w:webHidden/>
          <w:szCs w:val="24"/>
        </w:rPr>
        <w:tab/>
      </w:r>
      <w:r w:rsidR="00F65D6F">
        <w:rPr>
          <w:noProof/>
          <w:webHidden/>
          <w:szCs w:val="24"/>
        </w:rPr>
        <w:t>9</w:t>
      </w:r>
    </w:p>
    <w:p w:rsidR="009D7EA3" w:rsidRPr="005063E6" w:rsidRDefault="009D7EA3" w:rsidP="00F65D6F">
      <w:pPr>
        <w:pStyle w:val="TOC1"/>
        <w:spacing w:before="160"/>
        <w:rPr>
          <w:rFonts w:ascii="Calibri" w:hAnsi="Calibri"/>
          <w:noProof/>
          <w:szCs w:val="24"/>
        </w:rPr>
      </w:pPr>
      <w:r w:rsidRPr="005063E6">
        <w:rPr>
          <w:rStyle w:val="Hyperlink"/>
          <w:noProof/>
          <w:color w:val="auto"/>
          <w:szCs w:val="24"/>
          <w:u w:val="none"/>
        </w:rPr>
        <w:t>TABLE 4 – Summary of frequency bands for communications in the Mars region</w:t>
      </w:r>
      <w:r w:rsidRPr="005063E6">
        <w:rPr>
          <w:noProof/>
          <w:webHidden/>
          <w:szCs w:val="24"/>
        </w:rPr>
        <w:tab/>
      </w:r>
      <w:r w:rsidRPr="005063E6">
        <w:rPr>
          <w:noProof/>
          <w:webHidden/>
          <w:szCs w:val="24"/>
        </w:rPr>
        <w:tab/>
      </w:r>
      <w:r w:rsidR="00F65D6F">
        <w:rPr>
          <w:noProof/>
          <w:webHidden/>
          <w:szCs w:val="24"/>
        </w:rPr>
        <w:t>11</w:t>
      </w:r>
    </w:p>
    <w:p w:rsidR="009D7EA3" w:rsidRPr="005063E6" w:rsidRDefault="009D7EA3" w:rsidP="00F65D6F">
      <w:pPr>
        <w:pStyle w:val="TOC1"/>
        <w:spacing w:before="160"/>
        <w:rPr>
          <w:rFonts w:ascii="Calibri" w:hAnsi="Calibri"/>
          <w:noProof/>
          <w:szCs w:val="24"/>
        </w:rPr>
      </w:pPr>
      <w:r w:rsidRPr="005063E6">
        <w:rPr>
          <w:rStyle w:val="Hyperlink"/>
          <w:noProof/>
          <w:color w:val="auto"/>
          <w:szCs w:val="24"/>
          <w:u w:val="none"/>
        </w:rPr>
        <w:t>TABLE 5 – Interference from a deep-space downlink to an Earth orbiter</w:t>
      </w:r>
      <w:r w:rsidRPr="005063E6">
        <w:rPr>
          <w:noProof/>
          <w:webHidden/>
          <w:szCs w:val="24"/>
        </w:rPr>
        <w:tab/>
      </w:r>
      <w:r w:rsidRPr="005063E6">
        <w:rPr>
          <w:noProof/>
          <w:webHidden/>
          <w:szCs w:val="24"/>
        </w:rPr>
        <w:tab/>
      </w:r>
      <w:r w:rsidR="00F65D6F">
        <w:rPr>
          <w:noProof/>
          <w:webHidden/>
          <w:szCs w:val="24"/>
        </w:rPr>
        <w:t>13</w:t>
      </w:r>
    </w:p>
    <w:p w:rsidR="009D7EA3" w:rsidRPr="005063E6" w:rsidRDefault="009D7EA3" w:rsidP="00F65D6F">
      <w:pPr>
        <w:pStyle w:val="TOC1"/>
        <w:spacing w:before="160"/>
        <w:rPr>
          <w:rFonts w:ascii="Calibri" w:hAnsi="Calibri"/>
          <w:noProof/>
          <w:szCs w:val="24"/>
        </w:rPr>
      </w:pPr>
      <w:r w:rsidRPr="005063E6">
        <w:rPr>
          <w:rStyle w:val="Hyperlink"/>
          <w:noProof/>
          <w:color w:val="auto"/>
          <w:szCs w:val="24"/>
          <w:u w:val="none"/>
        </w:rPr>
        <w:t>TABLE 6 – Frequencies between 8-40 GHz for possible deep-space applications</w:t>
      </w:r>
      <w:r w:rsidRPr="005063E6">
        <w:rPr>
          <w:noProof/>
          <w:webHidden/>
          <w:szCs w:val="24"/>
        </w:rPr>
        <w:tab/>
      </w:r>
      <w:r w:rsidRPr="005063E6">
        <w:rPr>
          <w:noProof/>
          <w:webHidden/>
          <w:szCs w:val="24"/>
        </w:rPr>
        <w:tab/>
      </w:r>
      <w:r w:rsidR="00F65D6F">
        <w:rPr>
          <w:noProof/>
          <w:webHidden/>
          <w:szCs w:val="24"/>
        </w:rPr>
        <w:t>14</w:t>
      </w:r>
    </w:p>
    <w:p w:rsidR="003C0BC7" w:rsidRPr="009012B2" w:rsidRDefault="003C0BC7" w:rsidP="005063E6">
      <w:pPr>
        <w:rPr>
          <w:noProof/>
        </w:rPr>
      </w:pPr>
    </w:p>
    <w:p w:rsidR="009D7EA3" w:rsidRPr="00A640F1" w:rsidRDefault="009D7EA3" w:rsidP="009D7EA3">
      <w:pPr>
        <w:spacing w:after="240"/>
        <w:jc w:val="center"/>
        <w:rPr>
          <w:noProof/>
        </w:rPr>
      </w:pPr>
      <w:bookmarkStart w:id="6" w:name="_Toc217095277"/>
      <w:r w:rsidRPr="00A640F1">
        <w:rPr>
          <w:noProof/>
        </w:rPr>
        <w:t>FIGURES</w:t>
      </w:r>
      <w:bookmarkEnd w:id="6"/>
    </w:p>
    <w:p w:rsidR="009D7EA3" w:rsidRPr="005063E6" w:rsidRDefault="009D7EA3" w:rsidP="00F0629A">
      <w:pPr>
        <w:pStyle w:val="TOC1"/>
        <w:tabs>
          <w:tab w:val="left" w:pos="1304"/>
        </w:tabs>
        <w:spacing w:before="160"/>
        <w:ind w:left="1304" w:hanging="1304"/>
        <w:rPr>
          <w:rFonts w:ascii="Calibri" w:hAnsi="Calibri"/>
          <w:noProof/>
          <w:szCs w:val="24"/>
        </w:rPr>
      </w:pPr>
      <w:r w:rsidRPr="005063E6">
        <w:rPr>
          <w:rStyle w:val="Hyperlink"/>
          <w:noProof/>
          <w:color w:val="auto"/>
          <w:szCs w:val="24"/>
          <w:u w:val="none"/>
        </w:rPr>
        <w:t>FIGURE 1 –</w:t>
      </w:r>
      <w:r w:rsidR="00F0629A">
        <w:rPr>
          <w:rStyle w:val="Hyperlink"/>
          <w:noProof/>
          <w:color w:val="auto"/>
          <w:szCs w:val="24"/>
          <w:u w:val="none"/>
        </w:rPr>
        <w:tab/>
      </w:r>
      <w:r w:rsidRPr="005063E6">
        <w:rPr>
          <w:rStyle w:val="Hyperlink"/>
          <w:noProof/>
          <w:color w:val="auto"/>
          <w:szCs w:val="24"/>
          <w:u w:val="none"/>
        </w:rPr>
        <w:t>Zenith gaseous absorption due to oxygen and water vapour as a function</w:t>
      </w:r>
      <w:r w:rsidRPr="005063E6">
        <w:rPr>
          <w:rStyle w:val="Hyperlink"/>
          <w:noProof/>
          <w:color w:val="auto"/>
          <w:szCs w:val="24"/>
          <w:u w:val="none"/>
        </w:rPr>
        <w:br/>
        <w:t>of frequency.</w:t>
      </w:r>
      <w:r w:rsidRPr="005063E6">
        <w:rPr>
          <w:noProof/>
          <w:webHidden/>
          <w:szCs w:val="24"/>
        </w:rPr>
        <w:tab/>
      </w:r>
      <w:r w:rsidRPr="005063E6">
        <w:rPr>
          <w:noProof/>
          <w:webHidden/>
          <w:szCs w:val="24"/>
        </w:rPr>
        <w:tab/>
      </w:r>
      <w:r w:rsidR="00F65D6F">
        <w:rPr>
          <w:noProof/>
          <w:webHidden/>
          <w:szCs w:val="24"/>
        </w:rPr>
        <w:t>5</w:t>
      </w:r>
    </w:p>
    <w:p w:rsidR="009D7EA3" w:rsidRPr="005063E6" w:rsidRDefault="009D7EA3" w:rsidP="00F65D6F">
      <w:pPr>
        <w:pStyle w:val="TOC1"/>
        <w:spacing w:before="160"/>
        <w:rPr>
          <w:rFonts w:ascii="Calibri" w:hAnsi="Calibri"/>
          <w:noProof/>
          <w:szCs w:val="24"/>
        </w:rPr>
      </w:pPr>
      <w:r w:rsidRPr="005063E6">
        <w:rPr>
          <w:rStyle w:val="Hyperlink"/>
          <w:noProof/>
          <w:color w:val="auto"/>
          <w:szCs w:val="24"/>
          <w:u w:val="none"/>
        </w:rPr>
        <w:t>FIGURE 2 – Atmospheric noise temperature as a function of frequency</w:t>
      </w:r>
      <w:r w:rsidRPr="005063E6">
        <w:rPr>
          <w:noProof/>
          <w:webHidden/>
          <w:szCs w:val="24"/>
        </w:rPr>
        <w:tab/>
      </w:r>
      <w:r w:rsidRPr="005063E6">
        <w:rPr>
          <w:noProof/>
          <w:webHidden/>
          <w:szCs w:val="24"/>
        </w:rPr>
        <w:tab/>
      </w:r>
      <w:r w:rsidR="00F65D6F">
        <w:rPr>
          <w:noProof/>
          <w:webHidden/>
          <w:szCs w:val="24"/>
        </w:rPr>
        <w:t>6</w:t>
      </w:r>
    </w:p>
    <w:p w:rsidR="009D7EA3" w:rsidRPr="005063E6" w:rsidRDefault="009D7EA3" w:rsidP="00F65D6F">
      <w:pPr>
        <w:pStyle w:val="TOC1"/>
        <w:spacing w:before="160"/>
        <w:rPr>
          <w:rFonts w:ascii="Calibri" w:hAnsi="Calibri"/>
          <w:noProof/>
          <w:szCs w:val="24"/>
        </w:rPr>
      </w:pPr>
      <w:r w:rsidRPr="005063E6">
        <w:rPr>
          <w:rStyle w:val="Hyperlink"/>
          <w:noProof/>
          <w:color w:val="auto"/>
          <w:szCs w:val="24"/>
          <w:u w:val="none"/>
        </w:rPr>
        <w:t>FIGURE 3 – Rain attenuation at zenith as a function of percent of time exceeded</w:t>
      </w:r>
      <w:r w:rsidRPr="005063E6">
        <w:rPr>
          <w:noProof/>
          <w:webHidden/>
          <w:szCs w:val="24"/>
        </w:rPr>
        <w:tab/>
      </w:r>
      <w:r w:rsidRPr="005063E6">
        <w:rPr>
          <w:noProof/>
          <w:webHidden/>
          <w:szCs w:val="24"/>
        </w:rPr>
        <w:tab/>
      </w:r>
      <w:r w:rsidR="00F65D6F">
        <w:rPr>
          <w:noProof/>
          <w:webHidden/>
          <w:szCs w:val="24"/>
        </w:rPr>
        <w:t>7</w:t>
      </w:r>
    </w:p>
    <w:p w:rsidR="009D7EA3" w:rsidRPr="005063E6" w:rsidRDefault="009D7EA3" w:rsidP="00F65D6F">
      <w:pPr>
        <w:pStyle w:val="TOC1"/>
        <w:spacing w:before="160"/>
        <w:rPr>
          <w:rFonts w:ascii="Calibri" w:hAnsi="Calibri"/>
          <w:noProof/>
          <w:szCs w:val="24"/>
        </w:rPr>
      </w:pPr>
      <w:r w:rsidRPr="005063E6">
        <w:rPr>
          <w:rStyle w:val="Hyperlink"/>
          <w:noProof/>
          <w:color w:val="auto"/>
          <w:szCs w:val="24"/>
          <w:u w:val="none"/>
        </w:rPr>
        <w:t>FIGURE 4 – Atmospheric noise temperature due to rain at zenith</w:t>
      </w:r>
      <w:r w:rsidRPr="005063E6">
        <w:rPr>
          <w:noProof/>
          <w:webHidden/>
          <w:szCs w:val="24"/>
        </w:rPr>
        <w:tab/>
      </w:r>
      <w:r w:rsidRPr="005063E6">
        <w:rPr>
          <w:noProof/>
          <w:webHidden/>
          <w:szCs w:val="24"/>
        </w:rPr>
        <w:tab/>
      </w:r>
      <w:r w:rsidR="00F65D6F">
        <w:rPr>
          <w:noProof/>
          <w:webHidden/>
          <w:szCs w:val="24"/>
        </w:rPr>
        <w:t>8</w:t>
      </w:r>
    </w:p>
    <w:p w:rsidR="009D7EA3" w:rsidRDefault="009D7EA3" w:rsidP="009D7EA3">
      <w:pPr>
        <w:pStyle w:val="Heading1"/>
      </w:pPr>
      <w:bookmarkStart w:id="7" w:name="_Toc217095278"/>
      <w:bookmarkEnd w:id="5"/>
      <w:r>
        <w:lastRenderedPageBreak/>
        <w:t>1</w:t>
      </w:r>
      <w:r>
        <w:tab/>
      </w:r>
      <w:r w:rsidRPr="00A172EB">
        <w:t>Introduction</w:t>
      </w:r>
      <w:bookmarkEnd w:id="7"/>
    </w:p>
    <w:p w:rsidR="009D7EA3" w:rsidRDefault="009D7EA3" w:rsidP="00560D86">
      <w:r>
        <w:t>There are a number of primary space research service (SRS) allocations that can be used by deep</w:t>
      </w:r>
      <w:r>
        <w:noBreakHyphen/>
        <w:t>space missions for telecommand, telemetry, and radiometric data collection. Some of these allocations are designated specifically for deep-space SRS missions and are not available to non</w:t>
      </w:r>
      <w:r>
        <w:noBreakHyphen/>
        <w:t>deep-space SRS missions, while other allocations are available to both deep-space and non</w:t>
      </w:r>
      <w:r>
        <w:noBreakHyphen/>
        <w:t xml:space="preserve">deep-space SRS missions. The deep-space SRS allocations are given in </w:t>
      </w:r>
      <w:r w:rsidR="00560D86">
        <w:t>T</w:t>
      </w:r>
      <w:r>
        <w:t>able</w:t>
      </w:r>
      <w:r w:rsidR="00560D86">
        <w:t xml:space="preserve"> 1</w:t>
      </w:r>
      <w:r>
        <w:t>.</w:t>
      </w:r>
    </w:p>
    <w:p w:rsidR="00430679" w:rsidRDefault="00430679" w:rsidP="00560D86"/>
    <w:p w:rsidR="009D7EA3" w:rsidRDefault="009D7EA3" w:rsidP="009D7EA3">
      <w:pPr>
        <w:pStyle w:val="TableNo"/>
      </w:pPr>
      <w:bookmarkStart w:id="8" w:name="_Toc217095312"/>
      <w:r>
        <w:t>TABLE 1</w:t>
      </w:r>
    </w:p>
    <w:p w:rsidR="009D7EA3" w:rsidRDefault="009D7EA3" w:rsidP="00560D86">
      <w:pPr>
        <w:pStyle w:val="Tabletitle"/>
      </w:pPr>
      <w:r>
        <w:t>Primary SRS (deep-space) allocations</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835"/>
      </w:tblGrid>
      <w:tr w:rsidR="009D7EA3" w:rsidRPr="00B20419" w:rsidTr="00560D86">
        <w:trPr>
          <w:jc w:val="center"/>
        </w:trPr>
        <w:tc>
          <w:tcPr>
            <w:tcW w:w="2835" w:type="dxa"/>
            <w:vAlign w:val="center"/>
          </w:tcPr>
          <w:p w:rsidR="009D7EA3" w:rsidRPr="005441C3" w:rsidRDefault="009D7EA3" w:rsidP="00560D86">
            <w:pPr>
              <w:pStyle w:val="Tablehead"/>
            </w:pPr>
            <w:r w:rsidRPr="005441C3">
              <w:t>Earth-to-space</w:t>
            </w:r>
          </w:p>
        </w:tc>
        <w:tc>
          <w:tcPr>
            <w:tcW w:w="2835" w:type="dxa"/>
            <w:vAlign w:val="center"/>
          </w:tcPr>
          <w:p w:rsidR="009D7EA3" w:rsidRPr="005441C3" w:rsidRDefault="009D7EA3" w:rsidP="00560D86">
            <w:pPr>
              <w:pStyle w:val="Tablehead"/>
            </w:pPr>
            <w:r w:rsidRPr="005441C3">
              <w:t>space-to-Earth</w:t>
            </w:r>
          </w:p>
        </w:tc>
      </w:tr>
      <w:tr w:rsidR="009D7EA3" w:rsidRPr="002D4F02" w:rsidTr="00560D86">
        <w:trPr>
          <w:jc w:val="center"/>
        </w:trPr>
        <w:tc>
          <w:tcPr>
            <w:tcW w:w="2835" w:type="dxa"/>
            <w:vAlign w:val="center"/>
          </w:tcPr>
          <w:p w:rsidR="009D7EA3" w:rsidRPr="002D4F02" w:rsidRDefault="009D7EA3" w:rsidP="00560D86">
            <w:pPr>
              <w:pStyle w:val="Tabletext"/>
            </w:pPr>
            <w:r w:rsidRPr="002D4F02">
              <w:t>2</w:t>
            </w:r>
            <w:r>
              <w:t xml:space="preserve"> </w:t>
            </w:r>
            <w:r w:rsidRPr="002D4F02">
              <w:t>110</w:t>
            </w:r>
            <w:r>
              <w:t>-</w:t>
            </w:r>
            <w:r w:rsidRPr="002D4F02">
              <w:t>2</w:t>
            </w:r>
            <w:r>
              <w:t xml:space="preserve"> </w:t>
            </w:r>
            <w:r w:rsidRPr="002D4F02">
              <w:t>120 MHz</w:t>
            </w:r>
          </w:p>
        </w:tc>
        <w:tc>
          <w:tcPr>
            <w:tcW w:w="2835" w:type="dxa"/>
            <w:vAlign w:val="center"/>
          </w:tcPr>
          <w:p w:rsidR="009D7EA3" w:rsidRPr="002D4F02" w:rsidRDefault="009D7EA3" w:rsidP="00560D86">
            <w:pPr>
              <w:pStyle w:val="Tabletext"/>
            </w:pPr>
            <w:r w:rsidRPr="002D4F02">
              <w:t>2</w:t>
            </w:r>
            <w:r>
              <w:t xml:space="preserve"> </w:t>
            </w:r>
            <w:r w:rsidRPr="002D4F02">
              <w:t>290</w:t>
            </w:r>
            <w:r>
              <w:t>-</w:t>
            </w:r>
            <w:r w:rsidRPr="002D4F02">
              <w:t>2</w:t>
            </w:r>
            <w:r>
              <w:t xml:space="preserve"> </w:t>
            </w:r>
            <w:r w:rsidRPr="002D4F02">
              <w:t>300 MHz</w:t>
            </w:r>
          </w:p>
        </w:tc>
      </w:tr>
      <w:tr w:rsidR="009D7EA3" w:rsidRPr="002D4F02" w:rsidTr="00560D86">
        <w:trPr>
          <w:jc w:val="center"/>
        </w:trPr>
        <w:tc>
          <w:tcPr>
            <w:tcW w:w="2835" w:type="dxa"/>
            <w:vAlign w:val="center"/>
          </w:tcPr>
          <w:p w:rsidR="009D7EA3" w:rsidRPr="002D4F02" w:rsidRDefault="009D7EA3" w:rsidP="00560D86">
            <w:pPr>
              <w:pStyle w:val="Tabletext"/>
            </w:pPr>
            <w:r w:rsidRPr="002D4F02">
              <w:t>7</w:t>
            </w:r>
            <w:r>
              <w:t xml:space="preserve"> </w:t>
            </w:r>
            <w:r w:rsidRPr="002D4F02">
              <w:t>145</w:t>
            </w:r>
            <w:r>
              <w:t>-</w:t>
            </w:r>
            <w:r w:rsidRPr="002D4F02">
              <w:t>7</w:t>
            </w:r>
            <w:r>
              <w:t xml:space="preserve"> </w:t>
            </w:r>
            <w:r w:rsidRPr="002D4F02">
              <w:t>190 MHz</w:t>
            </w:r>
          </w:p>
        </w:tc>
        <w:tc>
          <w:tcPr>
            <w:tcW w:w="2835" w:type="dxa"/>
            <w:vAlign w:val="center"/>
          </w:tcPr>
          <w:p w:rsidR="009D7EA3" w:rsidRPr="002D4F02" w:rsidRDefault="009D7EA3" w:rsidP="00560D86">
            <w:pPr>
              <w:pStyle w:val="Tabletext"/>
            </w:pPr>
            <w:r w:rsidRPr="002D4F02">
              <w:t>8</w:t>
            </w:r>
            <w:r>
              <w:t xml:space="preserve"> </w:t>
            </w:r>
            <w:r w:rsidRPr="002D4F02">
              <w:t>400</w:t>
            </w:r>
            <w:r>
              <w:t>-</w:t>
            </w:r>
            <w:r w:rsidRPr="002D4F02">
              <w:t>8</w:t>
            </w:r>
            <w:r>
              <w:t xml:space="preserve"> </w:t>
            </w:r>
            <w:r w:rsidRPr="002D4F02">
              <w:t>450 MHz</w:t>
            </w:r>
          </w:p>
        </w:tc>
      </w:tr>
      <w:tr w:rsidR="009D7EA3" w:rsidRPr="002D4F02" w:rsidTr="00560D86">
        <w:trPr>
          <w:jc w:val="center"/>
        </w:trPr>
        <w:tc>
          <w:tcPr>
            <w:tcW w:w="2835" w:type="dxa"/>
            <w:vAlign w:val="center"/>
          </w:tcPr>
          <w:p w:rsidR="009D7EA3" w:rsidRPr="002D4F02" w:rsidRDefault="009D7EA3" w:rsidP="00560D86">
            <w:pPr>
              <w:pStyle w:val="Tabletext"/>
            </w:pPr>
            <w:r w:rsidRPr="002D4F02">
              <w:t>34.2</w:t>
            </w:r>
            <w:r>
              <w:t>-</w:t>
            </w:r>
            <w:r w:rsidRPr="002D4F02">
              <w:t>34.7 GHz</w:t>
            </w:r>
          </w:p>
        </w:tc>
        <w:tc>
          <w:tcPr>
            <w:tcW w:w="2835" w:type="dxa"/>
            <w:vAlign w:val="center"/>
          </w:tcPr>
          <w:p w:rsidR="009D7EA3" w:rsidRPr="002D4F02" w:rsidRDefault="009D7EA3" w:rsidP="00560D86">
            <w:pPr>
              <w:pStyle w:val="Tabletext"/>
            </w:pPr>
            <w:r w:rsidRPr="002D4F02">
              <w:t>31.8</w:t>
            </w:r>
            <w:r>
              <w:t>-</w:t>
            </w:r>
            <w:r w:rsidRPr="002D4F02">
              <w:t>32.3 GHz</w:t>
            </w:r>
          </w:p>
        </w:tc>
      </w:tr>
    </w:tbl>
    <w:p w:rsidR="009D7EA3" w:rsidRDefault="009D7EA3" w:rsidP="00560D86">
      <w:pPr>
        <w:pStyle w:val="Tablefin"/>
      </w:pPr>
    </w:p>
    <w:p w:rsidR="00430679" w:rsidRPr="00430679" w:rsidRDefault="00430679" w:rsidP="00430679">
      <w:pPr>
        <w:rPr>
          <w:lang w:val="en-GB"/>
        </w:rPr>
      </w:pPr>
    </w:p>
    <w:p w:rsidR="009D7EA3" w:rsidRDefault="009D7EA3" w:rsidP="009D7EA3">
      <w:r>
        <w:t>The above primary SRS allocations are restricted to deep-space missions and are not available to non-deep-space missions. These allocations together provide a total of 555 MHz in the Earth</w:t>
      </w:r>
      <w:r>
        <w:noBreakHyphen/>
        <w:t>to</w:t>
      </w:r>
      <w:r>
        <w:noBreakHyphen/>
        <w:t xml:space="preserve">space direction and 560 MHz in the space-to-Earth direction. </w:t>
      </w:r>
    </w:p>
    <w:p w:rsidR="009D7EA3" w:rsidRDefault="009D7EA3" w:rsidP="009D7EA3">
      <w:pPr>
        <w:rPr>
          <w:b/>
        </w:rPr>
      </w:pPr>
      <w:r>
        <w:t>In addition to these primary deep-space allocations in Table 1, there are two other general primary SRS allocations of 37-38 GHz (space-to-Earth) and 40-40.5 GHz (Earth-to-space). Since the 37.5</w:t>
      </w:r>
      <w:r>
        <w:noBreakHyphen/>
        <w:t>38 GHz part of the 37-38 GHz band is shared with FSS, it is not especially usable for deep</w:t>
      </w:r>
      <w:r>
        <w:noBreakHyphen/>
        <w:t xml:space="preserve">space missions, especially for manned planetary </w:t>
      </w:r>
      <w:r w:rsidRPr="00384F7A">
        <w:rPr>
          <w:szCs w:val="22"/>
        </w:rPr>
        <w:t>missions.</w:t>
      </w:r>
      <w:r w:rsidRPr="00E756D4">
        <w:t xml:space="preserve"> </w:t>
      </w:r>
    </w:p>
    <w:p w:rsidR="009D7EA3" w:rsidRDefault="009D7EA3" w:rsidP="009D7EA3">
      <w:r>
        <w:t>The use of the 2 110-2 120 MHz (Earth-to-space) band will be limited in the future at NASA’s Madrid Deep-Space Communication Complex due to potential interference to IMT</w:t>
      </w:r>
      <w:r>
        <w:noBreakHyphen/>
        <w:t>2000 users. The 8 400-8 450 MHz (space-to-Earth) band is very congested, since it is being extensively used by all deep-space missions. The 34.2-34.7 GHz (Earth-to-space) and 31.8-32.3 GHz (space-to-Earth) allocations are not yet crowded, but deep-space missions have started using these bands. Currently, there are no known deep-space missions planning to use the 37-38 GHz (space-to-Earth) and the 40-40.5 GHz (Earth-to-space) allocations, and the ground infrastructure needed to support these frequencies has yet to be developed.</w:t>
      </w:r>
    </w:p>
    <w:p w:rsidR="009D7EA3" w:rsidRPr="008B7D3B" w:rsidRDefault="009D7EA3" w:rsidP="009D7EA3">
      <w:pPr>
        <w:pStyle w:val="Heading1"/>
      </w:pPr>
      <w:bookmarkStart w:id="9" w:name="_Toc217095279"/>
      <w:r>
        <w:t>2</w:t>
      </w:r>
      <w:r>
        <w:tab/>
        <w:t>S</w:t>
      </w:r>
      <w:r w:rsidRPr="00FE7C7B">
        <w:t>pectrum</w:t>
      </w:r>
      <w:r>
        <w:t xml:space="preserve"> requirements for f</w:t>
      </w:r>
      <w:r w:rsidRPr="008B7D3B">
        <w:t xml:space="preserve">uture </w:t>
      </w:r>
      <w:r>
        <w:t>deep-space m</w:t>
      </w:r>
      <w:r w:rsidRPr="008B7D3B">
        <w:t>issions</w:t>
      </w:r>
      <w:bookmarkEnd w:id="9"/>
    </w:p>
    <w:p w:rsidR="009D7EA3" w:rsidRPr="008B7D3B" w:rsidRDefault="009D7EA3" w:rsidP="009D7EA3">
      <w:r w:rsidRPr="008B7D3B">
        <w:t xml:space="preserve">The amount of spectrum needed to support the space-to-Earth links </w:t>
      </w:r>
      <w:r>
        <w:t>of</w:t>
      </w:r>
      <w:r w:rsidRPr="008B7D3B">
        <w:t xml:space="preserve"> deep-space missions is ex</w:t>
      </w:r>
      <w:r>
        <w:t xml:space="preserve">pected to increase within the next 15 to </w:t>
      </w:r>
      <w:r w:rsidRPr="008B7D3B">
        <w:t xml:space="preserve">30 </w:t>
      </w:r>
      <w:r>
        <w:t xml:space="preserve">years, as the number of future missions and the data rate of each mission are expected to increase. More and </w:t>
      </w:r>
      <w:r w:rsidRPr="008B7D3B">
        <w:t xml:space="preserve">more </w:t>
      </w:r>
      <w:r>
        <w:t>space agencies</w:t>
      </w:r>
      <w:r w:rsidRPr="008B7D3B">
        <w:t xml:space="preserve"> are</w:t>
      </w:r>
      <w:r>
        <w:t xml:space="preserve"> expected to send</w:t>
      </w:r>
      <w:r w:rsidRPr="008B7D3B">
        <w:t xml:space="preserve"> missions to explore the solar system and beyond</w:t>
      </w:r>
      <w:r>
        <w:t>. Furthermore, all these</w:t>
      </w:r>
      <w:r w:rsidRPr="008B7D3B">
        <w:t xml:space="preserve"> future </w:t>
      </w:r>
      <w:r>
        <w:t>deep-space</w:t>
      </w:r>
      <w:r w:rsidRPr="008B7D3B">
        <w:t xml:space="preserve"> missions are expected to send </w:t>
      </w:r>
      <w:r>
        <w:t>the data collect</w:t>
      </w:r>
      <w:r w:rsidRPr="008B7D3B">
        <w:t xml:space="preserve">ed by </w:t>
      </w:r>
      <w:r>
        <w:t xml:space="preserve">the </w:t>
      </w:r>
      <w:r w:rsidRPr="008B7D3B">
        <w:t xml:space="preserve">on-board instruments </w:t>
      </w:r>
      <w:r>
        <w:t>using</w:t>
      </w:r>
      <w:r w:rsidRPr="008B7D3B">
        <w:t xml:space="preserve"> a much </w:t>
      </w:r>
      <w:r>
        <w:t>higher data rates, perhaps</w:t>
      </w:r>
      <w:r w:rsidRPr="008B7D3B">
        <w:t xml:space="preserve"> in excess of hundreds of megabits per second.</w:t>
      </w:r>
      <w:r>
        <w:t xml:space="preserve"> On-board instruments require very high data rates. For example, a</w:t>
      </w:r>
      <w:r w:rsidRPr="008B7D3B">
        <w:t xml:space="preserve"> radar may require a data rate of 100 Mb</w:t>
      </w:r>
      <w:r>
        <w:t>it/</w:t>
      </w:r>
      <w:r w:rsidRPr="008B7D3B">
        <w:t>s and a hyper</w:t>
      </w:r>
      <w:r>
        <w:t>spectral imager may require data rates between 150 Mbit/</w:t>
      </w:r>
      <w:r w:rsidRPr="008B7D3B">
        <w:t>s</w:t>
      </w:r>
      <w:r>
        <w:t xml:space="preserve"> and 600 Mbit/s (EO-1, Moon Mineralogy Mapper, EnMAP)</w:t>
      </w:r>
      <w:r w:rsidRPr="008B7D3B">
        <w:t>.</w:t>
      </w:r>
      <w:r>
        <w:t xml:space="preserve"> </w:t>
      </w:r>
      <w:r w:rsidRPr="008B7D3B">
        <w:t>These instruments can be flown on both robotic and human missions.</w:t>
      </w:r>
      <w:r>
        <w:t xml:space="preserve"> </w:t>
      </w:r>
      <w:r w:rsidRPr="008B7D3B">
        <w:t>Examples of possible future spacecraft flying these high-rate science i</w:t>
      </w:r>
      <w:r>
        <w:t>nstruments are shown in Table 2.</w:t>
      </w:r>
    </w:p>
    <w:p w:rsidR="009D7EA3" w:rsidRDefault="009D7EA3" w:rsidP="009D7EA3">
      <w:pPr>
        <w:pStyle w:val="TableNo"/>
      </w:pPr>
      <w:bookmarkStart w:id="10" w:name="_Toc217095313"/>
      <w:r>
        <w:lastRenderedPageBreak/>
        <w:t>TABLE</w:t>
      </w:r>
      <w:r w:rsidRPr="008B7D3B">
        <w:t xml:space="preserve"> 2</w:t>
      </w:r>
    </w:p>
    <w:p w:rsidR="009D7EA3" w:rsidRPr="008B7D3B" w:rsidRDefault="009D7EA3" w:rsidP="009D7EA3">
      <w:pPr>
        <w:pStyle w:val="Tabletitle"/>
      </w:pPr>
      <w:r>
        <w:t>Users of science instruments requiring high downlink data r</w:t>
      </w:r>
      <w:r w:rsidRPr="008B7D3B">
        <w:t>ates</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835"/>
        <w:gridCol w:w="2835"/>
      </w:tblGrid>
      <w:tr w:rsidR="009D7EA3" w:rsidRPr="00B20419" w:rsidTr="00560D86">
        <w:trPr>
          <w:jc w:val="center"/>
        </w:trPr>
        <w:tc>
          <w:tcPr>
            <w:tcW w:w="2835" w:type="dxa"/>
            <w:vAlign w:val="center"/>
          </w:tcPr>
          <w:p w:rsidR="009D7EA3" w:rsidRPr="00A6138C" w:rsidRDefault="009D7EA3" w:rsidP="00560D86">
            <w:pPr>
              <w:pStyle w:val="Tablehead"/>
            </w:pPr>
            <w:r w:rsidRPr="00A6138C">
              <w:t>User spacecraft</w:t>
            </w:r>
          </w:p>
        </w:tc>
        <w:tc>
          <w:tcPr>
            <w:tcW w:w="2835" w:type="dxa"/>
            <w:vAlign w:val="center"/>
          </w:tcPr>
          <w:p w:rsidR="009D7EA3" w:rsidRPr="00A6138C" w:rsidRDefault="009D7EA3" w:rsidP="00560D86">
            <w:pPr>
              <w:pStyle w:val="Tablehead"/>
            </w:pPr>
            <w:r w:rsidRPr="00A6138C">
              <w:t>Instrument</w:t>
            </w:r>
          </w:p>
        </w:tc>
        <w:tc>
          <w:tcPr>
            <w:tcW w:w="2835" w:type="dxa"/>
          </w:tcPr>
          <w:p w:rsidR="009D7EA3" w:rsidRPr="00A6138C" w:rsidRDefault="009D7EA3" w:rsidP="00560D86">
            <w:pPr>
              <w:pStyle w:val="Tablehead"/>
            </w:pPr>
            <w:r w:rsidRPr="00A6138C">
              <w:t>Data rate</w:t>
            </w:r>
            <w:r w:rsidRPr="00A6138C">
              <w:br/>
              <w:t>(Mb</w:t>
            </w:r>
            <w:r w:rsidR="00560D86">
              <w:t>it</w:t>
            </w:r>
            <w:r w:rsidR="004733C8">
              <w:t>/</w:t>
            </w:r>
            <w:r w:rsidRPr="00A6138C">
              <w:t>s)</w:t>
            </w:r>
          </w:p>
        </w:tc>
      </w:tr>
      <w:tr w:rsidR="009D7EA3" w:rsidRPr="00B20419" w:rsidTr="00560D86">
        <w:trPr>
          <w:jc w:val="center"/>
        </w:trPr>
        <w:tc>
          <w:tcPr>
            <w:tcW w:w="2835" w:type="dxa"/>
            <w:vAlign w:val="center"/>
          </w:tcPr>
          <w:p w:rsidR="009D7EA3" w:rsidRPr="00FC056A" w:rsidRDefault="009D7EA3" w:rsidP="00560D86">
            <w:pPr>
              <w:pStyle w:val="Tabletext"/>
              <w:jc w:val="left"/>
            </w:pPr>
            <w:r>
              <w:t>Robotic r</w:t>
            </w:r>
            <w:r w:rsidRPr="00FC056A">
              <w:t>overs</w:t>
            </w:r>
          </w:p>
        </w:tc>
        <w:tc>
          <w:tcPr>
            <w:tcW w:w="2835" w:type="dxa"/>
            <w:vAlign w:val="center"/>
          </w:tcPr>
          <w:p w:rsidR="009D7EA3" w:rsidRPr="00FC056A" w:rsidRDefault="009D7EA3" w:rsidP="00560D86">
            <w:pPr>
              <w:pStyle w:val="Tabletext"/>
              <w:jc w:val="left"/>
            </w:pPr>
            <w:r>
              <w:t>Surface r</w:t>
            </w:r>
            <w:r w:rsidRPr="00FC056A">
              <w:t>adar</w:t>
            </w:r>
            <w:r>
              <w:br/>
              <w:t>Hyperspectral i</w:t>
            </w:r>
            <w:r w:rsidRPr="00FC056A">
              <w:t>maging</w:t>
            </w:r>
          </w:p>
        </w:tc>
        <w:tc>
          <w:tcPr>
            <w:tcW w:w="2835" w:type="dxa"/>
            <w:vAlign w:val="center"/>
          </w:tcPr>
          <w:p w:rsidR="009D7EA3" w:rsidRPr="00FC056A" w:rsidRDefault="009D7EA3" w:rsidP="00560D86">
            <w:pPr>
              <w:pStyle w:val="Tabletext"/>
              <w:jc w:val="left"/>
            </w:pPr>
            <w:r w:rsidRPr="00FC056A">
              <w:t>100</w:t>
            </w:r>
            <w:r>
              <w:br/>
            </w:r>
            <w:r w:rsidRPr="00FC056A">
              <w:t>150</w:t>
            </w:r>
            <w:r>
              <w:t>-600</w:t>
            </w:r>
          </w:p>
        </w:tc>
      </w:tr>
      <w:tr w:rsidR="009D7EA3" w:rsidRPr="00B20419" w:rsidTr="00560D86">
        <w:trPr>
          <w:jc w:val="center"/>
        </w:trPr>
        <w:tc>
          <w:tcPr>
            <w:tcW w:w="2835" w:type="dxa"/>
            <w:vAlign w:val="center"/>
          </w:tcPr>
          <w:p w:rsidR="009D7EA3" w:rsidRPr="00FC056A" w:rsidRDefault="009D7EA3" w:rsidP="00560D86">
            <w:pPr>
              <w:pStyle w:val="Tabletext"/>
              <w:jc w:val="left"/>
            </w:pPr>
            <w:r>
              <w:t>Science o</w:t>
            </w:r>
            <w:r w:rsidRPr="00FC056A">
              <w:t>rbiters</w:t>
            </w:r>
          </w:p>
        </w:tc>
        <w:tc>
          <w:tcPr>
            <w:tcW w:w="2835" w:type="dxa"/>
            <w:vAlign w:val="center"/>
          </w:tcPr>
          <w:p w:rsidR="009D7EA3" w:rsidRPr="00FC056A" w:rsidRDefault="009D7EA3" w:rsidP="00560D86">
            <w:pPr>
              <w:pStyle w:val="Tabletext"/>
              <w:jc w:val="left"/>
            </w:pPr>
            <w:r>
              <w:t>Orbiting r</w:t>
            </w:r>
            <w:r w:rsidRPr="00FC056A">
              <w:t>adar</w:t>
            </w:r>
            <w:r>
              <w:br/>
              <w:t>Hyperspectral i</w:t>
            </w:r>
            <w:r w:rsidRPr="00FC056A">
              <w:t>maging</w:t>
            </w:r>
          </w:p>
        </w:tc>
        <w:tc>
          <w:tcPr>
            <w:tcW w:w="2835" w:type="dxa"/>
            <w:vAlign w:val="center"/>
          </w:tcPr>
          <w:p w:rsidR="009D7EA3" w:rsidRPr="00FC056A" w:rsidRDefault="009D7EA3" w:rsidP="00560D86">
            <w:pPr>
              <w:pStyle w:val="Tabletext"/>
              <w:jc w:val="left"/>
            </w:pPr>
            <w:r w:rsidRPr="00FC056A">
              <w:t>100</w:t>
            </w:r>
            <w:r>
              <w:br/>
            </w:r>
            <w:r w:rsidRPr="00FC056A">
              <w:t>150</w:t>
            </w:r>
            <w:r>
              <w:t>-600</w:t>
            </w:r>
          </w:p>
        </w:tc>
      </w:tr>
      <w:tr w:rsidR="009D7EA3" w:rsidRPr="00B20419" w:rsidTr="00560D86">
        <w:trPr>
          <w:jc w:val="center"/>
        </w:trPr>
        <w:tc>
          <w:tcPr>
            <w:tcW w:w="2835" w:type="dxa"/>
            <w:vAlign w:val="center"/>
          </w:tcPr>
          <w:p w:rsidR="009D7EA3" w:rsidRPr="00FC056A" w:rsidRDefault="009D7EA3" w:rsidP="00560D86">
            <w:pPr>
              <w:pStyle w:val="Tabletext"/>
              <w:jc w:val="left"/>
            </w:pPr>
            <w:r>
              <w:t>Human t</w:t>
            </w:r>
            <w:r w:rsidRPr="00FC056A">
              <w:t>ransports</w:t>
            </w:r>
          </w:p>
        </w:tc>
        <w:tc>
          <w:tcPr>
            <w:tcW w:w="2835" w:type="dxa"/>
            <w:vAlign w:val="center"/>
          </w:tcPr>
          <w:p w:rsidR="009D7EA3" w:rsidRPr="00FC056A" w:rsidRDefault="009D7EA3" w:rsidP="00560D86">
            <w:pPr>
              <w:pStyle w:val="Tabletext"/>
              <w:jc w:val="left"/>
            </w:pPr>
            <w:r w:rsidRPr="00FC056A">
              <w:t>Hyperspectr</w:t>
            </w:r>
            <w:r>
              <w:t>al i</w:t>
            </w:r>
            <w:r w:rsidRPr="00FC056A">
              <w:t>maging</w:t>
            </w:r>
          </w:p>
        </w:tc>
        <w:tc>
          <w:tcPr>
            <w:tcW w:w="2835" w:type="dxa"/>
            <w:vAlign w:val="center"/>
          </w:tcPr>
          <w:p w:rsidR="009D7EA3" w:rsidRPr="00FC056A" w:rsidRDefault="009D7EA3" w:rsidP="00560D86">
            <w:pPr>
              <w:pStyle w:val="Tabletext"/>
              <w:jc w:val="left"/>
            </w:pPr>
            <w:r w:rsidRPr="00FC056A">
              <w:t>150</w:t>
            </w:r>
            <w:r>
              <w:t>-600</w:t>
            </w:r>
          </w:p>
        </w:tc>
      </w:tr>
    </w:tbl>
    <w:p w:rsidR="009D7EA3" w:rsidRDefault="009D7EA3" w:rsidP="00560D86">
      <w:pPr>
        <w:pStyle w:val="Tablefin"/>
      </w:pPr>
    </w:p>
    <w:p w:rsidR="009D7EA3" w:rsidRDefault="009D7EA3" w:rsidP="009D7EA3">
      <w:r>
        <w:t xml:space="preserve">The </w:t>
      </w:r>
      <w:r w:rsidRPr="008B7D3B">
        <w:t xml:space="preserve">return of science data from </w:t>
      </w:r>
      <w:r>
        <w:t>deep-space</w:t>
      </w:r>
      <w:r w:rsidRPr="008B7D3B">
        <w:t xml:space="preserve"> missions </w:t>
      </w:r>
      <w:r>
        <w:t>is</w:t>
      </w:r>
      <w:r w:rsidRPr="008B7D3B">
        <w:t xml:space="preserve"> limited by the capacity of the space</w:t>
      </w:r>
      <w:r>
        <w:t>-</w:t>
      </w:r>
      <w:r w:rsidRPr="008B7D3B">
        <w:t>to</w:t>
      </w:r>
      <w:r>
        <w:t>-</w:t>
      </w:r>
      <w:r w:rsidRPr="008B7D3B">
        <w:t xml:space="preserve">Earth links. Often, the amount of science data returned to Earth from a </w:t>
      </w:r>
      <w:r>
        <w:t xml:space="preserve">deep-space </w:t>
      </w:r>
      <w:r w:rsidRPr="008B7D3B">
        <w:t xml:space="preserve">mission during its lifetime is only a small fraction of what it is capable of producing. </w:t>
      </w:r>
      <w:r>
        <w:t xml:space="preserve">A deep-space mission sometimes may take months or years to reach its destination, but may have only a limited time, measured in weeks or even in days, to explore its target. </w:t>
      </w:r>
      <w:r w:rsidRPr="008B7D3B">
        <w:t xml:space="preserve">Increasing the amount of data returns </w:t>
      </w:r>
      <w:r>
        <w:t>is important</w:t>
      </w:r>
      <w:r w:rsidRPr="008B7D3B">
        <w:t xml:space="preserve"> </w:t>
      </w:r>
      <w:r>
        <w:t>scientifically and economically. This increase</w:t>
      </w:r>
      <w:r w:rsidRPr="008B7D3B">
        <w:t xml:space="preserve"> is </w:t>
      </w:r>
      <w:r>
        <w:t xml:space="preserve">already </w:t>
      </w:r>
      <w:r w:rsidRPr="008B7D3B">
        <w:t>tak</w:t>
      </w:r>
      <w:r>
        <w:t>ing place in the planned deep</w:t>
      </w:r>
      <w:r>
        <w:noBreakHyphen/>
        <w:t>space missions, which have started taking advantage of the 31.8-32.3 GHz (space-to-Earth) band capability to increase data returns. The Mars Reconnaissance Orbiter (MRO), for example, has a 32.2 GHz downlink capable of sending telemetry at 6 Ms/s. While this link is experimental, the MRO project plans to use it to return science data once it has been successfully demonstrated. The data rate of MRO is about 5 times higher than the telemetry rates of all existing deep-space missions, except SIRTF, which has a downlink rate of 4.4 Ms/s. Another planned Mars mission, Mars Telecom Orbiter (MTO) would have an even higher downlink rate. In one option, the MTO telecom system was designed to support a telemetry data rate of 40 Ms/s using a 34-m ground antenna. MTO was initially planned for launch in 2009, but had recently been postponed due to budgetary constraints.</w:t>
      </w:r>
    </w:p>
    <w:p w:rsidR="009D7EA3" w:rsidRDefault="009D7EA3" w:rsidP="009D7EA3">
      <w:r>
        <w:t xml:space="preserve">Two developments considered by NASA will enable to increase the downlink data rate and accelerate the trend towards higher and higher data returns. First, </w:t>
      </w:r>
      <w:r w:rsidRPr="008B7D3B">
        <w:t>NASA is</w:t>
      </w:r>
      <w:r>
        <w:t xml:space="preserve"> considering to</w:t>
      </w:r>
      <w:r w:rsidRPr="008B7D3B">
        <w:t xml:space="preserve"> implement a large array of antennas w</w:t>
      </w:r>
      <w:r>
        <w:t>ith a G/T 10 times</w:t>
      </w:r>
      <w:r w:rsidRPr="008B7D3B">
        <w:t xml:space="preserve"> higher than the existing </w:t>
      </w:r>
      <w:r>
        <w:t xml:space="preserve">70-m </w:t>
      </w:r>
      <w:r w:rsidRPr="008B7D3B">
        <w:t xml:space="preserve">antennas in </w:t>
      </w:r>
      <w:r>
        <w:t>the NASA’s Deep-</w:t>
      </w:r>
      <w:r w:rsidRPr="008B7D3B">
        <w:t>Space</w:t>
      </w:r>
      <w:r>
        <w:t xml:space="preserve"> </w:t>
      </w:r>
      <w:r w:rsidRPr="008B7D3B">
        <w:t>Network</w:t>
      </w:r>
      <w:r>
        <w:t xml:space="preserve"> (DSN)</w:t>
      </w:r>
      <w:r w:rsidRPr="008B7D3B">
        <w:t>. This will enable spacecraft to transmit at a much higher rate</w:t>
      </w:r>
      <w:r>
        <w:t xml:space="preserve"> than they presently can, without requiring a large EIRP from the spacecraft. Second</w:t>
      </w:r>
      <w:r w:rsidRPr="008B7D3B">
        <w:t xml:space="preserve">, NASA </w:t>
      </w:r>
      <w:r>
        <w:t xml:space="preserve">is </w:t>
      </w:r>
      <w:r w:rsidRPr="008B7D3B">
        <w:t xml:space="preserve">also </w:t>
      </w:r>
      <w:r>
        <w:t>considering</w:t>
      </w:r>
      <w:r w:rsidRPr="008B7D3B">
        <w:t xml:space="preserve"> to us</w:t>
      </w:r>
      <w:r>
        <w:t>e</w:t>
      </w:r>
      <w:r w:rsidRPr="008B7D3B">
        <w:t xml:space="preserve"> nuclear </w:t>
      </w:r>
      <w:r>
        <w:t xml:space="preserve">power </w:t>
      </w:r>
      <w:r w:rsidRPr="008B7D3B">
        <w:t xml:space="preserve">technology to power the spacecraft, making ample power available for sending data to </w:t>
      </w:r>
      <w:r>
        <w:t xml:space="preserve">the </w:t>
      </w:r>
      <w:r w:rsidRPr="008B7D3B">
        <w:t>Earth.</w:t>
      </w:r>
      <w:r>
        <w:t xml:space="preserve"> </w:t>
      </w:r>
      <w:r w:rsidRPr="008B7D3B">
        <w:t>The Prometheus program</w:t>
      </w:r>
      <w:r>
        <w:t>me</w:t>
      </w:r>
      <w:r w:rsidRPr="008B7D3B">
        <w:t xml:space="preserve"> has </w:t>
      </w:r>
      <w:r>
        <w:t>studied</w:t>
      </w:r>
      <w:r w:rsidRPr="008B7D3B">
        <w:t xml:space="preserve"> large EIRP missions to Jupiter.</w:t>
      </w:r>
      <w:r>
        <w:t xml:space="preserve"> </w:t>
      </w:r>
      <w:r w:rsidRPr="008B7D3B">
        <w:t>The requirement</w:t>
      </w:r>
      <w:r w:rsidRPr="0015216C">
        <w:t xml:space="preserve"> </w:t>
      </w:r>
      <w:r w:rsidRPr="008B7D3B">
        <w:t>for the Jupiter Icy Moons Orbiter</w:t>
      </w:r>
      <w:r>
        <w:t xml:space="preserve"> (JIMO)</w:t>
      </w:r>
      <w:r w:rsidRPr="008B7D3B">
        <w:t xml:space="preserve"> mission is a </w:t>
      </w:r>
      <w:r>
        <w:t>data rate of 10 Mbit/s at a range of 6.5 AU</w:t>
      </w:r>
      <w:r w:rsidRPr="008B7D3B">
        <w:t xml:space="preserve"> into a 70</w:t>
      </w:r>
      <w:r>
        <w:t>-</w:t>
      </w:r>
      <w:r w:rsidRPr="008B7D3B">
        <w:t>m equivalent aperture.</w:t>
      </w:r>
      <w:r>
        <w:t xml:space="preserve"> </w:t>
      </w:r>
      <w:r w:rsidRPr="008B7D3B">
        <w:t>To achieve this data rate</w:t>
      </w:r>
      <w:r>
        <w:t>, the </w:t>
      </w:r>
      <w:r w:rsidRPr="008B7D3B">
        <w:t>current design has a 3</w:t>
      </w:r>
      <w:r>
        <w:t xml:space="preserve"> </w:t>
      </w:r>
      <w:r w:rsidRPr="008B7D3B">
        <w:t xml:space="preserve">m </w:t>
      </w:r>
      <w:r>
        <w:t xml:space="preserve">32 GHz band high-gain antenna with a 1 </w:t>
      </w:r>
      <w:r w:rsidRPr="008B7D3B">
        <w:t xml:space="preserve">kW </w:t>
      </w:r>
      <w:r>
        <w:t>32 GHz b</w:t>
      </w:r>
      <w:r w:rsidRPr="008B7D3B">
        <w:t>and transmitter.</w:t>
      </w:r>
      <w:r>
        <w:t xml:space="preserve"> </w:t>
      </w:r>
      <w:r w:rsidRPr="008B7D3B">
        <w:t>A similar spacecraft at Mars range wou</w:t>
      </w:r>
      <w:r>
        <w:t>ld support a data rate of 62 Mbit/</w:t>
      </w:r>
      <w:r w:rsidRPr="008B7D3B">
        <w:t>s at Mars ma</w:t>
      </w:r>
      <w:r>
        <w:t>ximum range (2.6 AU) and 1.1 Gbit/</w:t>
      </w:r>
      <w:r w:rsidRPr="008B7D3B">
        <w:t xml:space="preserve">s at </w:t>
      </w:r>
      <w:r>
        <w:t>Mars minimum</w:t>
      </w:r>
      <w:r w:rsidRPr="008B7D3B">
        <w:t xml:space="preserve"> range.</w:t>
      </w:r>
      <w:r>
        <w:t xml:space="preserve"> </w:t>
      </w:r>
      <w:r w:rsidRPr="008B7D3B">
        <w:t>The supportable data rate would be</w:t>
      </w:r>
      <w:r>
        <w:t xml:space="preserve"> 10 times</w:t>
      </w:r>
      <w:r w:rsidRPr="008B7D3B">
        <w:t xml:space="preserve"> higher</w:t>
      </w:r>
      <w:r>
        <w:t xml:space="preserve"> </w:t>
      </w:r>
      <w:r w:rsidRPr="008B7D3B">
        <w:t xml:space="preserve">using the full antenna array. </w:t>
      </w:r>
    </w:p>
    <w:p w:rsidR="009D7EA3" w:rsidRDefault="009D7EA3" w:rsidP="009D7EA3">
      <w:r>
        <w:t xml:space="preserve">These developments together will enable future deep-space missions to send science data to the Earth at a much higher data rate than they presently can. </w:t>
      </w:r>
      <w:r>
        <w:rPr>
          <w:bCs/>
        </w:rPr>
        <w:t xml:space="preserve">Previous studies indicated a </w:t>
      </w:r>
      <w:r>
        <w:t>possible 1 000 </w:t>
      </w:r>
      <w:r w:rsidRPr="008B7D3B">
        <w:t xml:space="preserve">fold increase in mission data reception throughput by 2030 for </w:t>
      </w:r>
      <w:r>
        <w:t>deep-space</w:t>
      </w:r>
      <w:r w:rsidRPr="008B7D3B">
        <w:t xml:space="preserve"> missions</w:t>
      </w:r>
      <w:r>
        <w:t xml:space="preserve"> based on a JPL analysis</w:t>
      </w:r>
      <w:r w:rsidRPr="008B7D3B">
        <w:t>.</w:t>
      </w:r>
      <w:r>
        <w:t xml:space="preserve"> </w:t>
      </w:r>
      <w:r w:rsidRPr="008B7D3B">
        <w:t xml:space="preserve">A </w:t>
      </w:r>
      <w:r>
        <w:t>2009</w:t>
      </w:r>
      <w:r w:rsidRPr="008B7D3B">
        <w:t xml:space="preserve"> </w:t>
      </w:r>
      <w:r>
        <w:t xml:space="preserve">internal JPL </w:t>
      </w:r>
      <w:r w:rsidRPr="008B7D3B">
        <w:t xml:space="preserve">study </w:t>
      </w:r>
      <w:r>
        <w:t>estimated</w:t>
      </w:r>
      <w:r w:rsidRPr="008B7D3B">
        <w:t xml:space="preserve"> </w:t>
      </w:r>
      <w:r>
        <w:t xml:space="preserve">a </w:t>
      </w:r>
      <w:r w:rsidRPr="008B7D3B">
        <w:t>downlink</w:t>
      </w:r>
      <w:r>
        <w:t xml:space="preserve"> throughput data rate of 125 Mbit/s, 150 Mbit/s, and 1500 Mbit/</w:t>
      </w:r>
      <w:r w:rsidRPr="008B7D3B">
        <w:t>s for the highest data rate user i</w:t>
      </w:r>
      <w:r>
        <w:t>n the 2010, 2020 and 2030 time-</w:t>
      </w:r>
      <w:r w:rsidRPr="008B7D3B">
        <w:t xml:space="preserve">frame, respectively. </w:t>
      </w:r>
      <w:r>
        <w:t>While there is a large uncertainty in these estimates, they do point to a trend toward higher and higher data rates for deep-space missions. They indicate that t</w:t>
      </w:r>
      <w:r w:rsidRPr="008B7D3B">
        <w:t xml:space="preserve">he bandwidth required </w:t>
      </w:r>
      <w:r>
        <w:t>to support future deep-space missions will</w:t>
      </w:r>
      <w:r w:rsidRPr="008B7D3B">
        <w:t xml:space="preserve"> far exceed </w:t>
      </w:r>
      <w:r>
        <w:t xml:space="preserve">the capacity of all </w:t>
      </w:r>
      <w:r w:rsidRPr="008B7D3B">
        <w:t xml:space="preserve">existing allocations, even </w:t>
      </w:r>
      <w:r>
        <w:t xml:space="preserve">after </w:t>
      </w:r>
      <w:r w:rsidRPr="008B7D3B">
        <w:t>accounting for possible use of bandwidth</w:t>
      </w:r>
      <w:r>
        <w:t>-</w:t>
      </w:r>
      <w:r w:rsidRPr="008B7D3B">
        <w:t xml:space="preserve">efficient </w:t>
      </w:r>
      <w:r>
        <w:t>modulation schemes</w:t>
      </w:r>
      <w:r w:rsidRPr="008B7D3B">
        <w:t xml:space="preserve">. </w:t>
      </w:r>
      <w:r>
        <w:t xml:space="preserve">Interests among various </w:t>
      </w:r>
      <w:r>
        <w:lastRenderedPageBreak/>
        <w:t>space agencies in exploring Mars through robotic or human missions increase the</w:t>
      </w:r>
      <w:r w:rsidRPr="008B7D3B">
        <w:t xml:space="preserve"> likelihood that there may be multiple spacecraft operated by different space agencies exploring Mars</w:t>
      </w:r>
      <w:r>
        <w:t xml:space="preserve"> at the same time</w:t>
      </w:r>
      <w:r w:rsidRPr="008B7D3B">
        <w:t>.</w:t>
      </w:r>
      <w:r>
        <w:t xml:space="preserve"> This will further increase the needed spectrum because the frequency used by one Mars mission cannot in general be reused by another. </w:t>
      </w:r>
      <w:r w:rsidRPr="008B7D3B">
        <w:t xml:space="preserve">Factoring </w:t>
      </w:r>
      <w:r>
        <w:t>the needs for future Mars missions and allowing some spectrum for non-Mars missions</w:t>
      </w:r>
      <w:r w:rsidRPr="008B7D3B">
        <w:t>, a total allocat</w:t>
      </w:r>
      <w:r>
        <w:t xml:space="preserve">ed spectrum </w:t>
      </w:r>
      <w:r w:rsidRPr="008B7D3B">
        <w:t xml:space="preserve">of </w:t>
      </w:r>
      <w:r>
        <w:t>2 to 3</w:t>
      </w:r>
      <w:r w:rsidRPr="008B7D3B">
        <w:t xml:space="preserve"> GHz</w:t>
      </w:r>
      <w:r>
        <w:t xml:space="preserve"> in addition to existing allocations</w:t>
      </w:r>
      <w:r w:rsidRPr="008B7D3B">
        <w:t xml:space="preserve"> </w:t>
      </w:r>
      <w:r>
        <w:t>appears to be sufficient to meet the anticipated long-term spectrum needs.</w:t>
      </w:r>
      <w:r w:rsidRPr="008B7D3B">
        <w:t xml:space="preserve"> </w:t>
      </w:r>
      <w:r>
        <w:t xml:space="preserve">For example, with 3 GHz of additional spectrum, two spacecraft at Mars would be able to send data simultaneously to Earth at the highest anticipated data rate. </w:t>
      </w:r>
    </w:p>
    <w:p w:rsidR="009D7EA3" w:rsidRPr="00FE7C7B" w:rsidRDefault="009D7EA3" w:rsidP="009D7EA3">
      <w:pPr>
        <w:pStyle w:val="Heading1"/>
      </w:pPr>
      <w:bookmarkStart w:id="11" w:name="_Toc217095280"/>
      <w:r>
        <w:t>3</w:t>
      </w:r>
      <w:r>
        <w:tab/>
      </w:r>
      <w:r w:rsidRPr="00FE7C7B">
        <w:t>Factors considered in the choice of frequency bands</w:t>
      </w:r>
      <w:bookmarkEnd w:id="11"/>
    </w:p>
    <w:p w:rsidR="009D7EA3" w:rsidRPr="008B7D3B" w:rsidRDefault="009D7EA3" w:rsidP="009D7EA3">
      <w:r w:rsidRPr="008B7D3B">
        <w:t>There are many factors that can constrain the choice of frequency bands for future high</w:t>
      </w:r>
      <w:r>
        <w:t>-rate deep</w:t>
      </w:r>
      <w:r>
        <w:noBreakHyphen/>
        <w:t>space missions. In allocating appropriate spectrum and identifying suitable frequency bands</w:t>
      </w:r>
      <w:r w:rsidRPr="008B7D3B">
        <w:t xml:space="preserve">, </w:t>
      </w:r>
      <w:r>
        <w:t>we need to consider the following factors. Note that s</w:t>
      </w:r>
      <w:r w:rsidRPr="008B7D3B">
        <w:t xml:space="preserve">ome </w:t>
      </w:r>
      <w:r>
        <w:t xml:space="preserve">of these factors </w:t>
      </w:r>
      <w:r w:rsidRPr="008B7D3B">
        <w:t xml:space="preserve">are more </w:t>
      </w:r>
      <w:r>
        <w:t xml:space="preserve">constraining </w:t>
      </w:r>
      <w:r w:rsidRPr="008B7D3B">
        <w:t xml:space="preserve">than </w:t>
      </w:r>
      <w:r>
        <w:t xml:space="preserve">the </w:t>
      </w:r>
      <w:r w:rsidRPr="008B7D3B">
        <w:t>others.</w:t>
      </w:r>
    </w:p>
    <w:p w:rsidR="009D7EA3" w:rsidRPr="00A339E6" w:rsidRDefault="009D7EA3" w:rsidP="009D7EA3">
      <w:pPr>
        <w:pStyle w:val="Heading2"/>
      </w:pPr>
      <w:bookmarkStart w:id="12" w:name="_Toc217095281"/>
      <w:r>
        <w:t>3.1</w:t>
      </w:r>
      <w:r>
        <w:tab/>
        <w:t xml:space="preserve">Link </w:t>
      </w:r>
      <w:r w:rsidRPr="00FE7C7B">
        <w:t>applications</w:t>
      </w:r>
      <w:bookmarkEnd w:id="12"/>
    </w:p>
    <w:p w:rsidR="009D7EA3" w:rsidRDefault="009D7EA3" w:rsidP="009D7EA3">
      <w:r>
        <w:t xml:space="preserve">The intended application of a telecommunication link can have an impact on the choice of its operating frequency. A link operating at a frequency not suitable for its application can experience poor link performance. </w:t>
      </w:r>
      <w:r w:rsidRPr="008B7D3B">
        <w:t>In general, a communications link having a broadbeam antenna at both ends of the link would perform better at a lower frequency than</w:t>
      </w:r>
      <w:r>
        <w:t xml:space="preserve"> at</w:t>
      </w:r>
      <w:r w:rsidRPr="008B7D3B">
        <w:t xml:space="preserve"> a higher one.</w:t>
      </w:r>
      <w:r>
        <w:t xml:space="preserve"> Links with a broadbeam antenna perform much better at 400 MHz, 1 GHz, or 2 GHz bands than, for example, at 32 GHz or 79 GHz bands. A broadbeam antenna has the advantage of not requiring accurate antenna pointing, making it best for certain mission events such as propulsive maneuvers, landing, or loss of spacecraft attitude. </w:t>
      </w:r>
      <w:r w:rsidRPr="008B7D3B">
        <w:t>On the other h</w:t>
      </w:r>
      <w:r>
        <w:t>and, a link with a narrow-beam</w:t>
      </w:r>
      <w:r w:rsidRPr="008B7D3B">
        <w:t xml:space="preserve"> antenna at both ends</w:t>
      </w:r>
      <w:r>
        <w:t xml:space="preserve"> would perform better</w:t>
      </w:r>
      <w:r w:rsidRPr="008B7D3B">
        <w:t xml:space="preserve"> at a higher frequency</w:t>
      </w:r>
      <w:r>
        <w:t xml:space="preserve"> than at a lower frequency, assuming that the antennas can be accurately pointed</w:t>
      </w:r>
      <w:r w:rsidRPr="008B7D3B">
        <w:t>.</w:t>
      </w:r>
      <w:r>
        <w:t xml:space="preserve"> For the specific application of sending data to Earth at extremely high rates, it is not suitable to use a broadbeam low-gain antenna at either end of the link. Instead, a highly directive narrow-beam antenna is needed at both ends of the link. Everything else being equal, a higher frequency would be preferable over a lower frequency.</w:t>
      </w:r>
    </w:p>
    <w:p w:rsidR="009D7EA3" w:rsidRDefault="009D7EA3" w:rsidP="009D7EA3">
      <w:pPr>
        <w:pStyle w:val="Heading2"/>
      </w:pPr>
      <w:bookmarkStart w:id="13" w:name="_Toc217095282"/>
      <w:r>
        <w:t>3.2</w:t>
      </w:r>
      <w:r>
        <w:tab/>
        <w:t>Propagation impairments</w:t>
      </w:r>
      <w:bookmarkEnd w:id="13"/>
    </w:p>
    <w:p w:rsidR="009D7EA3" w:rsidRDefault="009D7EA3" w:rsidP="00560D86">
      <w:r>
        <w:t>A space-to-Earth link is adversely affected by the atmosphere and weather conditions on Earth, due to increased system noise temperature, signal attenuation, scintillation, and depolarization. Figure 1 gives the zenith atmospheric gaseous absorption up to 100 GHz for a water-vapour density of</w:t>
      </w:r>
      <w:r w:rsidRPr="000B2F86">
        <w:t xml:space="preserve"> </w:t>
      </w:r>
      <w:r>
        <w:t>12</w:t>
      </w:r>
      <w:r w:rsidR="00560D86">
        <w:t> </w:t>
      </w:r>
      <w:r>
        <w:t>g/m</w:t>
      </w:r>
      <w:r w:rsidRPr="00405FD4">
        <w:rPr>
          <w:vertAlign w:val="superscript"/>
        </w:rPr>
        <w:t>3</w:t>
      </w:r>
      <w:r>
        <w:t>, exceeded approximately 1% of the time for the area around Goldstone, California. The attenuation generally increases with increasing frequency. For any other elevation angle (</w:t>
      </w:r>
      <w:r w:rsidRPr="009173ED">
        <w:rPr>
          <w:rFonts w:ascii="Symbol" w:hAnsi="Symbol"/>
        </w:rPr>
        <w:t></w:t>
      </w:r>
      <w:r>
        <w:t>), the attenuation will be higher by a factor of 1/sin(</w:t>
      </w:r>
      <w:r w:rsidRPr="009173ED">
        <w:rPr>
          <w:rFonts w:ascii="Symbol" w:hAnsi="Symbol"/>
        </w:rPr>
        <w:t></w:t>
      </w:r>
      <w:r w:rsidRPr="009173ED">
        <w:rPr>
          <w:rFonts w:ascii="Symbol" w:hAnsi="Symbol"/>
        </w:rPr>
        <w:t></w:t>
      </w:r>
      <w:r>
        <w:rPr>
          <w:rFonts w:ascii="Symbol" w:hAnsi="Symbol"/>
          <w:i/>
        </w:rPr>
        <w:t></w:t>
      </w:r>
      <w:r>
        <w:t xml:space="preserve"> than the attenuation at zenith. </w:t>
      </w:r>
    </w:p>
    <w:p w:rsidR="00430679" w:rsidRDefault="00430679" w:rsidP="00430679">
      <w:bookmarkStart w:id="14" w:name="_Toc217095325"/>
      <w:r>
        <w:t>For receiving systems</w:t>
      </w:r>
      <w:r w:rsidRPr="003536B2">
        <w:t xml:space="preserve"> </w:t>
      </w:r>
      <w:r>
        <w:t>such as the deep-space receivers operating with a very low system noise temperature, increased atmospheric noise temperature due to water vapour and light clouds (without rain) can degrade the link performance</w:t>
      </w:r>
      <w:r w:rsidRPr="00263EAE">
        <w:t xml:space="preserve"> </w:t>
      </w:r>
      <w:r>
        <w:t>significantly. Figure 2 gives the zenith atmospheric noise temperature as a function of frequency for various elevation angles. The noise temperature was calculated for a rainfall region</w:t>
      </w:r>
      <w:r w:rsidRPr="007F29F2">
        <w:rPr>
          <w:color w:val="FF0000"/>
        </w:rPr>
        <w:t xml:space="preserve"> </w:t>
      </w:r>
      <w:r>
        <w:t>with a moist atmosphere and light clouds. The curves are derived assuming a water-</w:t>
      </w:r>
      <w:r w:rsidRPr="00D82225">
        <w:t>vapo</w:t>
      </w:r>
      <w:r>
        <w:t>u</w:t>
      </w:r>
      <w:r w:rsidRPr="00D82225">
        <w:t xml:space="preserve">r </w:t>
      </w:r>
      <w:r w:rsidRPr="00A56979">
        <w:t>density of 15 g/m</w:t>
      </w:r>
      <w:r w:rsidRPr="00A56979">
        <w:rPr>
          <w:vertAlign w:val="superscript"/>
        </w:rPr>
        <w:t>3</w:t>
      </w:r>
      <w:r w:rsidRPr="00A56979">
        <w:t xml:space="preserve"> and</w:t>
      </w:r>
      <w:r w:rsidRPr="00D82225">
        <w:t xml:space="preserve"> moderate cloud colum</w:t>
      </w:r>
      <w:r>
        <w:t>nar liquid-</w:t>
      </w:r>
      <w:r w:rsidRPr="00D82225">
        <w:t>water content of 0.5 kg/m</w:t>
      </w:r>
      <w:r w:rsidRPr="00D82225">
        <w:rPr>
          <w:vertAlign w:val="superscript"/>
        </w:rPr>
        <w:t>2</w:t>
      </w:r>
      <w:r w:rsidRPr="00D82225">
        <w:t xml:space="preserve"> (both </w:t>
      </w:r>
      <w:r>
        <w:t xml:space="preserve">are exceeded </w:t>
      </w:r>
      <w:r w:rsidRPr="00D82225">
        <w:t>1% of time</w:t>
      </w:r>
      <w:r>
        <w:t xml:space="preserve">). Figure 2 shows that the noise temperature generally increases as the operating frequency increases. Note that Fig. 2 is applicable to the DSN site at Goldstone, </w:t>
      </w:r>
      <w:smartTag w:uri="urn:schemas-microsoft-com:office:smarttags" w:element="place">
        <w:smartTag w:uri="urn:schemas-microsoft-com:office:smarttags" w:element="State">
          <w:r>
            <w:t>California</w:t>
          </w:r>
        </w:smartTag>
      </w:smartTag>
      <w:r>
        <w:t xml:space="preserve">. The noise temperature for the DSN site in </w:t>
      </w:r>
      <w:smartTag w:uri="urn:schemas-microsoft-com:office:smarttags" w:element="place">
        <w:smartTag w:uri="urn:schemas-microsoft-com:office:smarttags" w:element="City">
          <w:r>
            <w:t>Canberra</w:t>
          </w:r>
        </w:smartTag>
        <w:r>
          <w:t xml:space="preserve">, </w:t>
        </w:r>
        <w:smartTag w:uri="urn:schemas-microsoft-com:office:smarttags" w:element="country-region">
          <w:r>
            <w:t>Australia</w:t>
          </w:r>
        </w:smartTag>
      </w:smartTag>
      <w:r>
        <w:t xml:space="preserve"> is somewhat higher.</w:t>
      </w:r>
    </w:p>
    <w:p w:rsidR="00430679" w:rsidRDefault="00430679" w:rsidP="00430679">
      <w:pPr>
        <w:keepNext/>
      </w:pPr>
    </w:p>
    <w:p w:rsidR="009D7EA3" w:rsidRDefault="009D7EA3" w:rsidP="009D7EA3">
      <w:pPr>
        <w:pStyle w:val="FigureNo"/>
      </w:pPr>
      <w:r>
        <w:t>FIGURE</w:t>
      </w:r>
      <w:r w:rsidRPr="00B81D51">
        <w:t xml:space="preserve"> 1</w:t>
      </w:r>
    </w:p>
    <w:p w:rsidR="009D7EA3" w:rsidRDefault="009D7EA3" w:rsidP="009D7EA3">
      <w:pPr>
        <w:pStyle w:val="Figuretitle"/>
      </w:pPr>
      <w:r w:rsidRPr="00B81D51">
        <w:t>Zenith gaseous absorpti</w:t>
      </w:r>
      <w:r>
        <w:t>on due to oxygen and water vapour</w:t>
      </w:r>
      <w:r w:rsidRPr="00B81D51">
        <w:t xml:space="preserve"> as a function of frequency</w:t>
      </w:r>
      <w:bookmarkEnd w:id="14"/>
    </w:p>
    <w:p w:rsidR="009D7EA3" w:rsidRPr="0081423B" w:rsidRDefault="00043AA0" w:rsidP="00560D86">
      <w:pPr>
        <w:pStyle w:val="Figure"/>
      </w:pPr>
      <w:r>
        <w:pict>
          <v:shape id="_x0000_i1026" type="#_x0000_t75" style="width:377.4pt;height:502.2pt">
            <v:imagedata r:id="rId13" o:title=""/>
          </v:shape>
        </w:pict>
      </w:r>
    </w:p>
    <w:p w:rsidR="00430679" w:rsidRDefault="00430679" w:rsidP="00430679">
      <w:pPr>
        <w:keepNext/>
      </w:pPr>
      <w:bookmarkStart w:id="15" w:name="_Toc217095326"/>
    </w:p>
    <w:p w:rsidR="009D7EA3" w:rsidRDefault="009D7EA3" w:rsidP="009D7EA3">
      <w:pPr>
        <w:pStyle w:val="FigureNo"/>
      </w:pPr>
      <w:r>
        <w:t>FIGURE</w:t>
      </w:r>
      <w:r w:rsidRPr="00D82225">
        <w:t xml:space="preserve"> </w:t>
      </w:r>
      <w:r>
        <w:t>2</w:t>
      </w:r>
    </w:p>
    <w:p w:rsidR="009D7EA3" w:rsidRDefault="009D7EA3" w:rsidP="009D7EA3">
      <w:pPr>
        <w:pStyle w:val="Figuretitle"/>
      </w:pPr>
      <w:r w:rsidRPr="00D82225">
        <w:t>Atmospheric noise temperature as a function of frequency</w:t>
      </w:r>
      <w:bookmarkEnd w:id="15"/>
    </w:p>
    <w:p w:rsidR="00560D86" w:rsidRPr="00560D86" w:rsidRDefault="00043AA0" w:rsidP="00560D86">
      <w:pPr>
        <w:pStyle w:val="Figure"/>
      </w:pPr>
      <w:r>
        <w:pict>
          <v:shape id="_x0000_i1027" type="#_x0000_t75" style="width:459pt;height:374.4pt">
            <v:imagedata r:id="rId14" o:title=""/>
          </v:shape>
        </w:pict>
      </w:r>
    </w:p>
    <w:p w:rsidR="00430679" w:rsidRDefault="00430679" w:rsidP="00560D86"/>
    <w:p w:rsidR="009D7EA3" w:rsidRDefault="009D7EA3" w:rsidP="00560D86">
      <w:r>
        <w:t>The rain, which does not happen often, can severely impair the link performance by attenuating the received signal and increasing the system noise temperature. Deep-space communication links require higher than 99% availability, thus these rain impairments must be appropriately accounted for in the choice of frequencies. These rain impairments depend on the elevation angle and the percentage of time exceeded. They are, in general, more severe at higher frequencies than at lower frequencies. As an example, the rain attenuation at zenith is given in Fig. 3 as a function of the percentage of time that a given attenuation is exceeded. The curves are derived assuming a zenith rain path of 4 km</w:t>
      </w:r>
      <w:r w:rsidRPr="00D82225">
        <w:t>.</w:t>
      </w:r>
      <w:r>
        <w:t xml:space="preserve"> For example, the rain attenuation at 45 GHz would exceed 4 dB for 0.4% of the time, and 8 dB for 0.1% of the time. </w:t>
      </w:r>
    </w:p>
    <w:p w:rsidR="00430679" w:rsidRDefault="00430679" w:rsidP="00430679">
      <w:r>
        <w:t>Figure 4 shows the a</w:t>
      </w:r>
      <w:r w:rsidRPr="00D82225">
        <w:t xml:space="preserve">tmospheric noise temperature </w:t>
      </w:r>
      <w:r>
        <w:t xml:space="preserve">at zenith </w:t>
      </w:r>
      <w:r w:rsidRPr="00D82225">
        <w:t>due to the rain as a function of percent</w:t>
      </w:r>
      <w:r>
        <w:t>age</w:t>
      </w:r>
      <w:r w:rsidRPr="00D82225">
        <w:t xml:space="preserve"> of time ex</w:t>
      </w:r>
      <w:r>
        <w:t xml:space="preserve">ceeded for various </w:t>
      </w:r>
      <w:r w:rsidRPr="00D82225">
        <w:t xml:space="preserve">frequencies </w:t>
      </w:r>
      <w:r>
        <w:t>for</w:t>
      </w:r>
      <w:r w:rsidRPr="00D82225">
        <w:t xml:space="preserve"> </w:t>
      </w:r>
      <w:r>
        <w:t>the area around the Goldstone SRS earth station</w:t>
      </w:r>
      <w:r w:rsidRPr="00D82225">
        <w:t xml:space="preserve">. </w:t>
      </w:r>
    </w:p>
    <w:p w:rsidR="00430679" w:rsidRPr="00CF56B9" w:rsidRDefault="00430679" w:rsidP="00F0629A">
      <w:r>
        <w:t xml:space="preserve">The curves in Figs 3 and 4 </w:t>
      </w:r>
      <w:r>
        <w:rPr>
          <w:szCs w:val="22"/>
        </w:rPr>
        <w:t>clearly indicate that a lower frequency is more favourable than a higher one.</w:t>
      </w:r>
    </w:p>
    <w:p w:rsidR="00430679" w:rsidRDefault="00430679" w:rsidP="00430679">
      <w:pPr>
        <w:keepNext/>
      </w:pPr>
      <w:bookmarkStart w:id="16" w:name="_Toc217095327"/>
    </w:p>
    <w:p w:rsidR="009D7EA3" w:rsidRDefault="009D7EA3" w:rsidP="00F0629A">
      <w:pPr>
        <w:pStyle w:val="FigureNo"/>
        <w:ind w:left="851"/>
      </w:pPr>
      <w:r>
        <w:t>FIGURE</w:t>
      </w:r>
      <w:r w:rsidRPr="00D82225">
        <w:t xml:space="preserve"> </w:t>
      </w:r>
      <w:r>
        <w:t>3</w:t>
      </w:r>
    </w:p>
    <w:p w:rsidR="009D7EA3" w:rsidRDefault="009D7EA3" w:rsidP="00F0629A">
      <w:pPr>
        <w:pStyle w:val="Figuretitle"/>
        <w:ind w:left="851"/>
      </w:pPr>
      <w:r>
        <w:t>R</w:t>
      </w:r>
      <w:r w:rsidRPr="00D82225">
        <w:t xml:space="preserve">ain attenuation </w:t>
      </w:r>
      <w:r>
        <w:t xml:space="preserve">at zenith </w:t>
      </w:r>
      <w:r w:rsidRPr="00D82225">
        <w:t>as a function of percent of time exceeded</w:t>
      </w:r>
      <w:bookmarkEnd w:id="16"/>
    </w:p>
    <w:p w:rsidR="00560D86" w:rsidRPr="00560D86" w:rsidRDefault="00043AA0" w:rsidP="00560D86">
      <w:pPr>
        <w:pStyle w:val="Figure"/>
      </w:pPr>
      <w:r>
        <w:pict>
          <v:shape id="_x0000_i1028" type="#_x0000_t75" style="width:346.2pt;height:424.8pt">
            <v:imagedata r:id="rId15" o:title=""/>
          </v:shape>
        </w:pict>
      </w:r>
    </w:p>
    <w:p w:rsidR="00430679" w:rsidRDefault="00430679" w:rsidP="00430679">
      <w:pPr>
        <w:keepNext/>
      </w:pPr>
      <w:bookmarkStart w:id="17" w:name="_Toc217095328"/>
    </w:p>
    <w:p w:rsidR="009D7EA3" w:rsidRDefault="009D7EA3" w:rsidP="009D7EA3">
      <w:pPr>
        <w:pStyle w:val="FigureNo"/>
      </w:pPr>
      <w:r>
        <w:t>FIGURE</w:t>
      </w:r>
      <w:r w:rsidRPr="00D82225">
        <w:t xml:space="preserve"> </w:t>
      </w:r>
      <w:r>
        <w:t>4</w:t>
      </w:r>
    </w:p>
    <w:p w:rsidR="009D7EA3" w:rsidRDefault="009D7EA3" w:rsidP="009D7EA3">
      <w:pPr>
        <w:pStyle w:val="Figuretitle"/>
      </w:pPr>
      <w:r>
        <w:t>A</w:t>
      </w:r>
      <w:r w:rsidRPr="00D82225">
        <w:t>tmospheric noise temperature</w:t>
      </w:r>
      <w:r>
        <w:t xml:space="preserve"> due to rain</w:t>
      </w:r>
      <w:r w:rsidRPr="00D82225">
        <w:t xml:space="preserve"> </w:t>
      </w:r>
      <w:r>
        <w:t>at zenith</w:t>
      </w:r>
      <w:bookmarkEnd w:id="17"/>
    </w:p>
    <w:p w:rsidR="00560D86" w:rsidRPr="00560D86" w:rsidRDefault="00043AA0" w:rsidP="00560D86">
      <w:pPr>
        <w:pStyle w:val="Figure"/>
      </w:pPr>
      <w:r>
        <w:pict>
          <v:shape id="_x0000_i1033" type="#_x0000_t75" style="width:328.8pt;height:408pt">
            <v:imagedata r:id="rId16" o:title=""/>
          </v:shape>
        </w:pict>
      </w:r>
    </w:p>
    <w:p w:rsidR="00430679" w:rsidRDefault="00430679" w:rsidP="00430679">
      <w:pPr>
        <w:rPr>
          <w:szCs w:val="22"/>
        </w:rPr>
      </w:pPr>
      <w:bookmarkStart w:id="18" w:name="_Toc217095314"/>
    </w:p>
    <w:p w:rsidR="00430679" w:rsidRDefault="00430679" w:rsidP="00F0629A">
      <w:pPr>
        <w:rPr>
          <w:szCs w:val="22"/>
        </w:rPr>
      </w:pPr>
      <w:r>
        <w:rPr>
          <w:szCs w:val="22"/>
        </w:rPr>
        <w:t>Table 3 compares the various propagation impairments for the Goldstone area for 14</w:t>
      </w:r>
      <w:r>
        <w:rPr>
          <w:szCs w:val="22"/>
        </w:rPr>
        <w:noBreakHyphen/>
        <w:t>16 GHz, 27.5</w:t>
      </w:r>
      <w:r w:rsidR="00F0629A">
        <w:rPr>
          <w:szCs w:val="22"/>
        </w:rPr>
        <w:noBreakHyphen/>
      </w:r>
      <w:r>
        <w:rPr>
          <w:szCs w:val="22"/>
        </w:rPr>
        <w:t>29.5 GHz and 78-79 GHz bands with link availability (or exceeding probability) of 95% and 99%. The table shows that rain attenuation dominates. Rain attenuation at the Goldstone and Madrid DSN sites is similar, but at the Canberra DSN site</w:t>
      </w:r>
      <w:r w:rsidRPr="00BB6AF4">
        <w:rPr>
          <w:szCs w:val="22"/>
        </w:rPr>
        <w:t xml:space="preserve"> </w:t>
      </w:r>
      <w:r>
        <w:rPr>
          <w:szCs w:val="22"/>
        </w:rPr>
        <w:t>it is much higher. Because deep-space links generally require 99% or higher link availability, it is clear that a 78</w:t>
      </w:r>
      <w:r>
        <w:rPr>
          <w:szCs w:val="22"/>
        </w:rPr>
        <w:noBreakHyphen/>
        <w:t>79 GHz band link will have a much more severe link degradation than a 27.5-29.5 GHz band link, even without considering its immature space technology including a much lower high-power-amplifier efficiency. Although there is ample spectrum above 75 GHz, it should be avoided if possible.</w:t>
      </w:r>
    </w:p>
    <w:p w:rsidR="009D7EA3" w:rsidRDefault="009D7EA3" w:rsidP="009D7EA3">
      <w:pPr>
        <w:pStyle w:val="TableNo"/>
      </w:pPr>
      <w:r>
        <w:lastRenderedPageBreak/>
        <w:t>TABLE 3</w:t>
      </w:r>
    </w:p>
    <w:p w:rsidR="009D7EA3" w:rsidRDefault="009D7EA3" w:rsidP="009D7EA3">
      <w:pPr>
        <w:pStyle w:val="Tabletitle"/>
      </w:pPr>
      <w:r>
        <w:t>Atmospheric a</w:t>
      </w:r>
      <w:r w:rsidRPr="000D04B5">
        <w:t xml:space="preserve">ttenuation </w:t>
      </w:r>
      <w:r>
        <w:t>around the Goldstone area for a</w:t>
      </w:r>
      <w:r w:rsidRPr="000D04B5">
        <w:t xml:space="preserve"> 20</w:t>
      </w:r>
      <w:r w:rsidRPr="009173ED">
        <w:t>°</w:t>
      </w:r>
      <w:r>
        <w:t xml:space="preserve"> elevation a</w:t>
      </w:r>
      <w:r w:rsidRPr="000D04B5">
        <w:t>ngle</w:t>
      </w:r>
      <w:bookmarkEnd w:id="1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1511"/>
        <w:gridCol w:w="2363"/>
        <w:gridCol w:w="1418"/>
        <w:gridCol w:w="1418"/>
        <w:gridCol w:w="1512"/>
      </w:tblGrid>
      <w:tr w:rsidR="009D7EA3" w:rsidRPr="00AC2AFB" w:rsidTr="00560D86">
        <w:trPr>
          <w:jc w:val="center"/>
        </w:trPr>
        <w:tc>
          <w:tcPr>
            <w:tcW w:w="1417" w:type="dxa"/>
          </w:tcPr>
          <w:p w:rsidR="009D7EA3" w:rsidRPr="00B20419" w:rsidRDefault="009D7EA3" w:rsidP="00560D86">
            <w:pPr>
              <w:pStyle w:val="Tablehead"/>
            </w:pPr>
            <w:r w:rsidRPr="00B20419">
              <w:t>Percentage</w:t>
            </w:r>
            <w:r w:rsidRPr="00B20419">
              <w:br/>
              <w:t>of link</w:t>
            </w:r>
            <w:r w:rsidRPr="00B20419">
              <w:br/>
              <w:t>availability</w:t>
            </w:r>
          </w:p>
        </w:tc>
        <w:tc>
          <w:tcPr>
            <w:tcW w:w="1511" w:type="dxa"/>
          </w:tcPr>
          <w:p w:rsidR="009D7EA3" w:rsidRPr="00B20419" w:rsidRDefault="009D7EA3" w:rsidP="00560D86">
            <w:pPr>
              <w:pStyle w:val="Tablehead"/>
            </w:pPr>
            <w:r w:rsidRPr="00B20419">
              <w:t xml:space="preserve">Frequency </w:t>
            </w:r>
            <w:r>
              <w:br/>
            </w:r>
            <w:r w:rsidRPr="00B20419">
              <w:t>band</w:t>
            </w:r>
            <w:r w:rsidR="00560D86">
              <w:br/>
              <w:t>(GHz)</w:t>
            </w:r>
          </w:p>
        </w:tc>
        <w:tc>
          <w:tcPr>
            <w:tcW w:w="2363" w:type="dxa"/>
          </w:tcPr>
          <w:p w:rsidR="009D7EA3" w:rsidRPr="00B20419" w:rsidRDefault="009D7EA3" w:rsidP="00560D86">
            <w:pPr>
              <w:pStyle w:val="Tablehead"/>
            </w:pPr>
            <w:r w:rsidRPr="00B20419">
              <w:t>Atmospheric</w:t>
            </w:r>
            <w:r>
              <w:br/>
            </w:r>
            <w:r w:rsidRPr="00B20419">
              <w:t>absorption,</w:t>
            </w:r>
            <w:r w:rsidRPr="00B20419">
              <w:br/>
              <w:t>(</w:t>
            </w:r>
            <w:r>
              <w:t xml:space="preserve">water-vapour </w:t>
            </w:r>
            <w:r>
              <w:br/>
              <w:t>density = </w:t>
            </w:r>
            <w:r w:rsidRPr="00B20419">
              <w:t>12g/cm</w:t>
            </w:r>
            <w:r w:rsidRPr="00B20419">
              <w:rPr>
                <w:vertAlign w:val="superscript"/>
              </w:rPr>
              <w:t>3</w:t>
            </w:r>
            <w:r w:rsidRPr="00B20419">
              <w:t>)</w:t>
            </w:r>
            <w:r w:rsidR="00560D86">
              <w:br/>
              <w:t>(dB)</w:t>
            </w:r>
          </w:p>
        </w:tc>
        <w:tc>
          <w:tcPr>
            <w:tcW w:w="1418" w:type="dxa"/>
          </w:tcPr>
          <w:p w:rsidR="009D7EA3" w:rsidRPr="00B20419" w:rsidRDefault="009D7EA3" w:rsidP="00560D86">
            <w:pPr>
              <w:pStyle w:val="Tablehead"/>
            </w:pPr>
            <w:r w:rsidRPr="00B20419">
              <w:t>Rain</w:t>
            </w:r>
            <w:r w:rsidRPr="00B20419">
              <w:br/>
              <w:t>attenuation</w:t>
            </w:r>
            <w:r w:rsidR="00560D86">
              <w:br/>
              <w:t>(dB)</w:t>
            </w:r>
          </w:p>
        </w:tc>
        <w:tc>
          <w:tcPr>
            <w:tcW w:w="1418" w:type="dxa"/>
          </w:tcPr>
          <w:p w:rsidR="009D7EA3" w:rsidRPr="00B20419" w:rsidRDefault="009D7EA3" w:rsidP="00560D86">
            <w:pPr>
              <w:pStyle w:val="Tablehead"/>
            </w:pPr>
            <w:r w:rsidRPr="00B20419">
              <w:t>Cloud, fog attenuation</w:t>
            </w:r>
            <w:r w:rsidR="00560D86">
              <w:br/>
              <w:t>(dB)</w:t>
            </w:r>
          </w:p>
        </w:tc>
        <w:tc>
          <w:tcPr>
            <w:tcW w:w="1512" w:type="dxa"/>
          </w:tcPr>
          <w:p w:rsidR="009D7EA3" w:rsidRPr="00B20419" w:rsidRDefault="009D7EA3" w:rsidP="00560D86">
            <w:pPr>
              <w:pStyle w:val="Tablehead"/>
            </w:pPr>
            <w:r w:rsidRPr="00B20419">
              <w:t>Scintillation</w:t>
            </w:r>
            <w:r w:rsidR="00560D86">
              <w:br/>
              <w:t>(dB)</w:t>
            </w:r>
          </w:p>
        </w:tc>
      </w:tr>
      <w:tr w:rsidR="009D7EA3" w:rsidRPr="00AC2AFB" w:rsidTr="00560D86">
        <w:trPr>
          <w:jc w:val="center"/>
        </w:trPr>
        <w:tc>
          <w:tcPr>
            <w:tcW w:w="1417" w:type="dxa"/>
            <w:vMerge w:val="restart"/>
            <w:vAlign w:val="center"/>
          </w:tcPr>
          <w:p w:rsidR="009D7EA3" w:rsidRPr="00E51DE1" w:rsidRDefault="009D7EA3" w:rsidP="00560D86">
            <w:pPr>
              <w:pStyle w:val="Tabletext"/>
              <w:jc w:val="center"/>
            </w:pPr>
            <w:r w:rsidRPr="00E51DE1">
              <w:t>95%</w:t>
            </w:r>
          </w:p>
        </w:tc>
        <w:tc>
          <w:tcPr>
            <w:tcW w:w="1511" w:type="dxa"/>
          </w:tcPr>
          <w:p w:rsidR="009D7EA3" w:rsidRPr="00E51DE1" w:rsidRDefault="009D7EA3" w:rsidP="00560D86">
            <w:pPr>
              <w:pStyle w:val="Tabletext"/>
              <w:jc w:val="center"/>
            </w:pPr>
            <w:r w:rsidRPr="00E51DE1">
              <w:t>14</w:t>
            </w:r>
            <w:r>
              <w:t>-</w:t>
            </w:r>
            <w:r w:rsidRPr="00E51DE1">
              <w:t>16</w:t>
            </w:r>
          </w:p>
        </w:tc>
        <w:tc>
          <w:tcPr>
            <w:tcW w:w="2363" w:type="dxa"/>
          </w:tcPr>
          <w:p w:rsidR="009D7EA3" w:rsidRPr="00E51DE1" w:rsidRDefault="009D7EA3" w:rsidP="00560D86">
            <w:pPr>
              <w:pStyle w:val="Tabletext"/>
              <w:jc w:val="center"/>
            </w:pPr>
            <w:r w:rsidRPr="00E51DE1">
              <w:t>0.4</w:t>
            </w:r>
          </w:p>
        </w:tc>
        <w:tc>
          <w:tcPr>
            <w:tcW w:w="1418" w:type="dxa"/>
          </w:tcPr>
          <w:p w:rsidR="009D7EA3" w:rsidRPr="00E51DE1" w:rsidRDefault="009D7EA3" w:rsidP="00560D86">
            <w:pPr>
              <w:pStyle w:val="Tabletext"/>
              <w:jc w:val="center"/>
            </w:pPr>
            <w:r w:rsidRPr="00E51DE1">
              <w:t>0.7</w:t>
            </w:r>
          </w:p>
        </w:tc>
        <w:tc>
          <w:tcPr>
            <w:tcW w:w="1418" w:type="dxa"/>
          </w:tcPr>
          <w:p w:rsidR="009D7EA3" w:rsidRPr="00E51DE1" w:rsidRDefault="009D7EA3" w:rsidP="00560D86">
            <w:pPr>
              <w:pStyle w:val="Tabletext"/>
              <w:jc w:val="center"/>
            </w:pPr>
            <w:r w:rsidRPr="00E51DE1">
              <w:t>0.4</w:t>
            </w:r>
          </w:p>
        </w:tc>
        <w:tc>
          <w:tcPr>
            <w:tcW w:w="1512" w:type="dxa"/>
          </w:tcPr>
          <w:p w:rsidR="009D7EA3" w:rsidRPr="00E51DE1" w:rsidRDefault="009D7EA3" w:rsidP="00560D86">
            <w:pPr>
              <w:pStyle w:val="Tabletext"/>
              <w:jc w:val="center"/>
            </w:pPr>
            <w:r w:rsidRPr="00E51DE1">
              <w:t>0.2</w:t>
            </w:r>
          </w:p>
        </w:tc>
      </w:tr>
      <w:tr w:rsidR="009D7EA3" w:rsidRPr="00AC2AFB" w:rsidTr="00560D86">
        <w:trPr>
          <w:jc w:val="center"/>
        </w:trPr>
        <w:tc>
          <w:tcPr>
            <w:tcW w:w="1417" w:type="dxa"/>
            <w:vMerge/>
          </w:tcPr>
          <w:p w:rsidR="009D7EA3" w:rsidRPr="00E51DE1" w:rsidRDefault="009D7EA3" w:rsidP="00560D86">
            <w:pPr>
              <w:pStyle w:val="Tabletext"/>
              <w:jc w:val="center"/>
            </w:pPr>
          </w:p>
        </w:tc>
        <w:tc>
          <w:tcPr>
            <w:tcW w:w="1511" w:type="dxa"/>
          </w:tcPr>
          <w:p w:rsidR="009D7EA3" w:rsidRPr="00E51DE1" w:rsidRDefault="009D7EA3" w:rsidP="00560D86">
            <w:pPr>
              <w:pStyle w:val="Tabletext"/>
              <w:jc w:val="center"/>
            </w:pPr>
            <w:r w:rsidRPr="00E51DE1">
              <w:t>27.5</w:t>
            </w:r>
            <w:r>
              <w:t>-</w:t>
            </w:r>
            <w:r w:rsidRPr="00E51DE1">
              <w:t>29.5</w:t>
            </w:r>
          </w:p>
        </w:tc>
        <w:tc>
          <w:tcPr>
            <w:tcW w:w="2363" w:type="dxa"/>
          </w:tcPr>
          <w:p w:rsidR="009D7EA3" w:rsidRPr="00E51DE1" w:rsidRDefault="009D7EA3" w:rsidP="00560D86">
            <w:pPr>
              <w:pStyle w:val="Tabletext"/>
              <w:jc w:val="center"/>
            </w:pPr>
            <w:r w:rsidRPr="00E51DE1">
              <w:t>1.2</w:t>
            </w:r>
          </w:p>
        </w:tc>
        <w:tc>
          <w:tcPr>
            <w:tcW w:w="1418" w:type="dxa"/>
          </w:tcPr>
          <w:p w:rsidR="009D7EA3" w:rsidRPr="00E51DE1" w:rsidRDefault="009D7EA3" w:rsidP="00560D86">
            <w:pPr>
              <w:pStyle w:val="Tabletext"/>
              <w:jc w:val="center"/>
            </w:pPr>
            <w:r w:rsidRPr="00E51DE1">
              <w:t>3.0</w:t>
            </w:r>
          </w:p>
        </w:tc>
        <w:tc>
          <w:tcPr>
            <w:tcW w:w="1418" w:type="dxa"/>
          </w:tcPr>
          <w:p w:rsidR="009D7EA3" w:rsidRPr="00E51DE1" w:rsidRDefault="009D7EA3" w:rsidP="00560D86">
            <w:pPr>
              <w:pStyle w:val="Tabletext"/>
              <w:jc w:val="center"/>
            </w:pPr>
            <w:r w:rsidRPr="00E51DE1">
              <w:t>0.8</w:t>
            </w:r>
          </w:p>
        </w:tc>
        <w:tc>
          <w:tcPr>
            <w:tcW w:w="1512" w:type="dxa"/>
          </w:tcPr>
          <w:p w:rsidR="009D7EA3" w:rsidRPr="00E51DE1" w:rsidRDefault="009D7EA3" w:rsidP="00560D86">
            <w:pPr>
              <w:pStyle w:val="Tabletext"/>
              <w:jc w:val="center"/>
            </w:pPr>
            <w:r w:rsidRPr="00E51DE1">
              <w:t>0.4</w:t>
            </w:r>
          </w:p>
        </w:tc>
      </w:tr>
      <w:tr w:rsidR="009D7EA3" w:rsidRPr="00AC2AFB" w:rsidTr="00560D86">
        <w:trPr>
          <w:jc w:val="center"/>
        </w:trPr>
        <w:tc>
          <w:tcPr>
            <w:tcW w:w="1417" w:type="dxa"/>
            <w:vMerge/>
          </w:tcPr>
          <w:p w:rsidR="009D7EA3" w:rsidRPr="00E51DE1" w:rsidRDefault="009D7EA3" w:rsidP="00560D86">
            <w:pPr>
              <w:pStyle w:val="Tabletext"/>
              <w:jc w:val="center"/>
            </w:pPr>
          </w:p>
        </w:tc>
        <w:tc>
          <w:tcPr>
            <w:tcW w:w="1511" w:type="dxa"/>
          </w:tcPr>
          <w:p w:rsidR="009D7EA3" w:rsidRPr="00E51DE1" w:rsidRDefault="009D7EA3" w:rsidP="00560D86">
            <w:pPr>
              <w:pStyle w:val="Tabletext"/>
              <w:jc w:val="center"/>
            </w:pPr>
            <w:r w:rsidRPr="00E51DE1">
              <w:t>78</w:t>
            </w:r>
            <w:r>
              <w:t>-</w:t>
            </w:r>
            <w:r w:rsidRPr="00E51DE1">
              <w:t>79</w:t>
            </w:r>
          </w:p>
        </w:tc>
        <w:tc>
          <w:tcPr>
            <w:tcW w:w="2363" w:type="dxa"/>
          </w:tcPr>
          <w:p w:rsidR="009D7EA3" w:rsidRPr="00E51DE1" w:rsidRDefault="009D7EA3" w:rsidP="00560D86">
            <w:pPr>
              <w:pStyle w:val="Tabletext"/>
              <w:jc w:val="center"/>
            </w:pPr>
            <w:r w:rsidRPr="00E51DE1">
              <w:t>7</w:t>
            </w:r>
          </w:p>
        </w:tc>
        <w:tc>
          <w:tcPr>
            <w:tcW w:w="1418" w:type="dxa"/>
          </w:tcPr>
          <w:p w:rsidR="009D7EA3" w:rsidRPr="00E51DE1" w:rsidRDefault="009D7EA3" w:rsidP="00560D86">
            <w:pPr>
              <w:pStyle w:val="Tabletext"/>
              <w:jc w:val="center"/>
            </w:pPr>
            <w:r w:rsidRPr="00E51DE1">
              <w:t>18.0</w:t>
            </w:r>
          </w:p>
        </w:tc>
        <w:tc>
          <w:tcPr>
            <w:tcW w:w="1418" w:type="dxa"/>
          </w:tcPr>
          <w:p w:rsidR="009D7EA3" w:rsidRPr="00E51DE1" w:rsidRDefault="009D7EA3" w:rsidP="00560D86">
            <w:pPr>
              <w:pStyle w:val="Tabletext"/>
              <w:jc w:val="center"/>
            </w:pPr>
            <w:r w:rsidRPr="00E51DE1">
              <w:t>4.0</w:t>
            </w:r>
          </w:p>
        </w:tc>
        <w:tc>
          <w:tcPr>
            <w:tcW w:w="1512" w:type="dxa"/>
          </w:tcPr>
          <w:p w:rsidR="009D7EA3" w:rsidRPr="00E51DE1" w:rsidRDefault="009D7EA3" w:rsidP="00560D86">
            <w:pPr>
              <w:pStyle w:val="Tabletext"/>
              <w:jc w:val="center"/>
            </w:pPr>
            <w:r w:rsidRPr="00E51DE1">
              <w:t>2.4</w:t>
            </w:r>
          </w:p>
        </w:tc>
      </w:tr>
      <w:tr w:rsidR="009D7EA3" w:rsidRPr="00AC2AFB" w:rsidTr="00560D86">
        <w:trPr>
          <w:jc w:val="center"/>
        </w:trPr>
        <w:tc>
          <w:tcPr>
            <w:tcW w:w="1417" w:type="dxa"/>
            <w:vMerge w:val="restart"/>
            <w:vAlign w:val="center"/>
          </w:tcPr>
          <w:p w:rsidR="009D7EA3" w:rsidRPr="00E51DE1" w:rsidRDefault="009D7EA3" w:rsidP="00560D86">
            <w:pPr>
              <w:pStyle w:val="Tabletext"/>
              <w:jc w:val="center"/>
            </w:pPr>
            <w:r w:rsidRPr="00E51DE1">
              <w:t>99%</w:t>
            </w:r>
          </w:p>
        </w:tc>
        <w:tc>
          <w:tcPr>
            <w:tcW w:w="1511" w:type="dxa"/>
          </w:tcPr>
          <w:p w:rsidR="009D7EA3" w:rsidRPr="00E51DE1" w:rsidRDefault="009D7EA3" w:rsidP="00560D86">
            <w:pPr>
              <w:pStyle w:val="Tabletext"/>
              <w:jc w:val="center"/>
            </w:pPr>
            <w:r w:rsidRPr="00E51DE1">
              <w:t>14</w:t>
            </w:r>
            <w:r>
              <w:t>-</w:t>
            </w:r>
            <w:r w:rsidRPr="00E51DE1">
              <w:t>16</w:t>
            </w:r>
          </w:p>
        </w:tc>
        <w:tc>
          <w:tcPr>
            <w:tcW w:w="2363" w:type="dxa"/>
          </w:tcPr>
          <w:p w:rsidR="009D7EA3" w:rsidRPr="00E51DE1" w:rsidRDefault="009D7EA3" w:rsidP="00560D86">
            <w:pPr>
              <w:pStyle w:val="Tabletext"/>
              <w:jc w:val="center"/>
            </w:pPr>
            <w:r w:rsidRPr="00E51DE1">
              <w:t>0.4</w:t>
            </w:r>
          </w:p>
        </w:tc>
        <w:tc>
          <w:tcPr>
            <w:tcW w:w="1418" w:type="dxa"/>
          </w:tcPr>
          <w:p w:rsidR="009D7EA3" w:rsidRPr="00E51DE1" w:rsidRDefault="009D7EA3" w:rsidP="00560D86">
            <w:pPr>
              <w:pStyle w:val="Tabletext"/>
              <w:jc w:val="center"/>
            </w:pPr>
            <w:r w:rsidRPr="00E51DE1">
              <w:t>0.8</w:t>
            </w:r>
          </w:p>
        </w:tc>
        <w:tc>
          <w:tcPr>
            <w:tcW w:w="1418" w:type="dxa"/>
          </w:tcPr>
          <w:p w:rsidR="009D7EA3" w:rsidRPr="00E51DE1" w:rsidRDefault="009D7EA3" w:rsidP="00560D86">
            <w:pPr>
              <w:pStyle w:val="Tabletext"/>
              <w:jc w:val="center"/>
            </w:pPr>
            <w:r w:rsidRPr="00E51DE1">
              <w:t>0.6</w:t>
            </w:r>
          </w:p>
        </w:tc>
        <w:tc>
          <w:tcPr>
            <w:tcW w:w="1512" w:type="dxa"/>
          </w:tcPr>
          <w:p w:rsidR="009D7EA3" w:rsidRPr="00E51DE1" w:rsidRDefault="009D7EA3" w:rsidP="00560D86">
            <w:pPr>
              <w:pStyle w:val="Tabletext"/>
              <w:jc w:val="center"/>
            </w:pPr>
            <w:r w:rsidRPr="00E51DE1">
              <w:t>0.3</w:t>
            </w:r>
          </w:p>
        </w:tc>
      </w:tr>
      <w:tr w:rsidR="009D7EA3" w:rsidRPr="00AC2AFB" w:rsidTr="00560D86">
        <w:trPr>
          <w:jc w:val="center"/>
        </w:trPr>
        <w:tc>
          <w:tcPr>
            <w:tcW w:w="1417" w:type="dxa"/>
            <w:vMerge/>
          </w:tcPr>
          <w:p w:rsidR="009D7EA3" w:rsidRPr="00E51DE1" w:rsidRDefault="009D7EA3" w:rsidP="00560D86">
            <w:pPr>
              <w:pStyle w:val="Tabletext"/>
              <w:jc w:val="center"/>
            </w:pPr>
          </w:p>
        </w:tc>
        <w:tc>
          <w:tcPr>
            <w:tcW w:w="1511" w:type="dxa"/>
          </w:tcPr>
          <w:p w:rsidR="009D7EA3" w:rsidRPr="00E51DE1" w:rsidRDefault="009D7EA3" w:rsidP="00560D86">
            <w:pPr>
              <w:pStyle w:val="Tabletext"/>
              <w:jc w:val="center"/>
            </w:pPr>
            <w:r w:rsidRPr="00E51DE1">
              <w:t>27.5</w:t>
            </w:r>
            <w:r>
              <w:t>-</w:t>
            </w:r>
            <w:r w:rsidRPr="00E51DE1">
              <w:t>29.5</w:t>
            </w:r>
          </w:p>
        </w:tc>
        <w:tc>
          <w:tcPr>
            <w:tcW w:w="2363" w:type="dxa"/>
          </w:tcPr>
          <w:p w:rsidR="009D7EA3" w:rsidRPr="00E51DE1" w:rsidRDefault="009D7EA3" w:rsidP="00560D86">
            <w:pPr>
              <w:pStyle w:val="Tabletext"/>
              <w:jc w:val="center"/>
            </w:pPr>
            <w:r w:rsidRPr="00E51DE1">
              <w:t>1.2</w:t>
            </w:r>
          </w:p>
        </w:tc>
        <w:tc>
          <w:tcPr>
            <w:tcW w:w="1418" w:type="dxa"/>
          </w:tcPr>
          <w:p w:rsidR="009D7EA3" w:rsidRPr="00E51DE1" w:rsidRDefault="009D7EA3" w:rsidP="00560D86">
            <w:pPr>
              <w:pStyle w:val="Tabletext"/>
              <w:jc w:val="center"/>
            </w:pPr>
            <w:r w:rsidRPr="00E51DE1">
              <w:t>4.0</w:t>
            </w:r>
          </w:p>
        </w:tc>
        <w:tc>
          <w:tcPr>
            <w:tcW w:w="1418" w:type="dxa"/>
          </w:tcPr>
          <w:p w:rsidR="009D7EA3" w:rsidRPr="00E51DE1" w:rsidRDefault="009D7EA3" w:rsidP="00560D86">
            <w:pPr>
              <w:pStyle w:val="Tabletext"/>
              <w:jc w:val="center"/>
            </w:pPr>
            <w:r w:rsidRPr="00E51DE1">
              <w:t>1.2</w:t>
            </w:r>
          </w:p>
        </w:tc>
        <w:tc>
          <w:tcPr>
            <w:tcW w:w="1512" w:type="dxa"/>
          </w:tcPr>
          <w:p w:rsidR="009D7EA3" w:rsidRPr="00E51DE1" w:rsidRDefault="009D7EA3" w:rsidP="00560D86">
            <w:pPr>
              <w:pStyle w:val="Tabletext"/>
              <w:jc w:val="center"/>
            </w:pPr>
            <w:r w:rsidRPr="00E51DE1">
              <w:t>0.5</w:t>
            </w:r>
          </w:p>
        </w:tc>
      </w:tr>
      <w:tr w:rsidR="009D7EA3" w:rsidRPr="00AC2AFB" w:rsidTr="00560D86">
        <w:trPr>
          <w:jc w:val="center"/>
        </w:trPr>
        <w:tc>
          <w:tcPr>
            <w:tcW w:w="1417" w:type="dxa"/>
            <w:vMerge/>
          </w:tcPr>
          <w:p w:rsidR="009D7EA3" w:rsidRPr="00E51DE1" w:rsidRDefault="009D7EA3" w:rsidP="00560D86">
            <w:pPr>
              <w:pStyle w:val="Tabletext"/>
              <w:jc w:val="center"/>
            </w:pPr>
          </w:p>
        </w:tc>
        <w:tc>
          <w:tcPr>
            <w:tcW w:w="1511" w:type="dxa"/>
          </w:tcPr>
          <w:p w:rsidR="009D7EA3" w:rsidRPr="00E51DE1" w:rsidRDefault="009D7EA3" w:rsidP="00560D86">
            <w:pPr>
              <w:pStyle w:val="Tabletext"/>
              <w:jc w:val="center"/>
            </w:pPr>
            <w:r w:rsidRPr="00E51DE1">
              <w:t>78</w:t>
            </w:r>
            <w:r>
              <w:t>-</w:t>
            </w:r>
            <w:r w:rsidRPr="00E51DE1">
              <w:t>79</w:t>
            </w:r>
          </w:p>
        </w:tc>
        <w:tc>
          <w:tcPr>
            <w:tcW w:w="2363" w:type="dxa"/>
          </w:tcPr>
          <w:p w:rsidR="009D7EA3" w:rsidRPr="00E51DE1" w:rsidRDefault="009D7EA3" w:rsidP="00560D86">
            <w:pPr>
              <w:pStyle w:val="Tabletext"/>
              <w:jc w:val="center"/>
            </w:pPr>
            <w:r w:rsidRPr="00E51DE1">
              <w:t>7</w:t>
            </w:r>
          </w:p>
        </w:tc>
        <w:tc>
          <w:tcPr>
            <w:tcW w:w="1418" w:type="dxa"/>
          </w:tcPr>
          <w:p w:rsidR="009D7EA3" w:rsidRPr="00E51DE1" w:rsidRDefault="009D7EA3" w:rsidP="00560D86">
            <w:pPr>
              <w:pStyle w:val="Tabletext"/>
              <w:jc w:val="center"/>
            </w:pPr>
            <w:r w:rsidRPr="00E51DE1">
              <w:t>24.0</w:t>
            </w:r>
          </w:p>
        </w:tc>
        <w:tc>
          <w:tcPr>
            <w:tcW w:w="1418" w:type="dxa"/>
          </w:tcPr>
          <w:p w:rsidR="009D7EA3" w:rsidRPr="00E51DE1" w:rsidRDefault="009D7EA3" w:rsidP="00560D86">
            <w:pPr>
              <w:pStyle w:val="Tabletext"/>
              <w:jc w:val="center"/>
            </w:pPr>
            <w:r w:rsidRPr="00E51DE1">
              <w:t>5.5</w:t>
            </w:r>
          </w:p>
        </w:tc>
        <w:tc>
          <w:tcPr>
            <w:tcW w:w="1512" w:type="dxa"/>
          </w:tcPr>
          <w:p w:rsidR="009D7EA3" w:rsidRPr="00E51DE1" w:rsidRDefault="009D7EA3" w:rsidP="00560D86">
            <w:pPr>
              <w:pStyle w:val="Tabletext"/>
              <w:jc w:val="center"/>
            </w:pPr>
            <w:r w:rsidRPr="00E51DE1">
              <w:t>3.0</w:t>
            </w:r>
          </w:p>
        </w:tc>
      </w:tr>
    </w:tbl>
    <w:p w:rsidR="009D7EA3" w:rsidRDefault="009D7EA3" w:rsidP="00560D86">
      <w:pPr>
        <w:pStyle w:val="Tablefin"/>
      </w:pPr>
    </w:p>
    <w:p w:rsidR="009D7EA3" w:rsidRDefault="009D7EA3" w:rsidP="009D7EA3">
      <w:pPr>
        <w:pStyle w:val="Heading2"/>
      </w:pPr>
      <w:bookmarkStart w:id="19" w:name="_Toc217095283"/>
      <w:r>
        <w:t>3.3</w:t>
      </w:r>
      <w:r>
        <w:tab/>
        <w:t xml:space="preserve">Available </w:t>
      </w:r>
      <w:r w:rsidRPr="00FE7C7B">
        <w:t>bandwidth</w:t>
      </w:r>
      <w:bookmarkEnd w:id="19"/>
    </w:p>
    <w:p w:rsidR="009D7EA3" w:rsidRDefault="009D7EA3" w:rsidP="009D7EA3">
      <w:r>
        <w:t>As mentioned previously, approximately 2 to 3 GHz</w:t>
      </w:r>
      <w:r w:rsidRPr="008B7D3B">
        <w:t xml:space="preserve"> </w:t>
      </w:r>
      <w:r>
        <w:t xml:space="preserve">of additional allocated spectrum </w:t>
      </w:r>
      <w:r w:rsidRPr="008B7D3B">
        <w:t>is needed</w:t>
      </w:r>
      <w:r>
        <w:t xml:space="preserve"> t</w:t>
      </w:r>
      <w:r w:rsidRPr="008B7D3B">
        <w:t xml:space="preserve">o provide sufficient bandwidth to support the high-rate downlinks anticipated for future </w:t>
      </w:r>
      <w:r>
        <w:t>deep-space</w:t>
      </w:r>
      <w:r w:rsidRPr="008B7D3B">
        <w:t xml:space="preserve"> missions.</w:t>
      </w:r>
      <w:r>
        <w:t xml:space="preserve"> There are two possible approaches to obtain the needed wideband spectrum: one single allocation, or multiple small allocations.</w:t>
      </w:r>
    </w:p>
    <w:p w:rsidR="009D7EA3" w:rsidRDefault="009D7EA3" w:rsidP="009D7EA3">
      <w:r>
        <w:t xml:space="preserve">With a proper design, it is possible for a spacecraft to aggregate several segmented allocations to obtain the needed spectrum for sending high-rate data to the Earth. One simple way is to send the data on different carriers, each in one of the allocated spectrum segments. This approach, however, can severely impact both the spacecraft and the ground station, especially, if numerous small spectrum segments are aggregated over widely separated frequency bands. For this approach to be practical, each allocation should be sufficiently wide (about 500 MHz) and sufficiently close to each other, such that they can easily be aggregated to provide the bandwidth to support a user spacecraft operating at the highest rate of 1 500 Mbit/s. </w:t>
      </w:r>
    </w:p>
    <w:p w:rsidR="009D7EA3" w:rsidRDefault="009D7EA3" w:rsidP="009D7EA3">
      <w:r>
        <w:t>Because of the congestion in the 2 290-2 300 MHz (space-to-Earth) and 8 400-8 450 MHz (space</w:t>
      </w:r>
      <w:r>
        <w:noBreakHyphen/>
        <w:t xml:space="preserve">to-Earth) bands, only </w:t>
      </w:r>
      <w:r w:rsidRPr="008B7D3B">
        <w:t xml:space="preserve">spectrum </w:t>
      </w:r>
      <w:r>
        <w:t>above</w:t>
      </w:r>
      <w:r w:rsidRPr="008B7D3B">
        <w:t xml:space="preserve"> the </w:t>
      </w:r>
      <w:r>
        <w:t>8 450 MHz</w:t>
      </w:r>
      <w:r w:rsidRPr="008B7D3B">
        <w:t xml:space="preserve"> </w:t>
      </w:r>
      <w:r>
        <w:t xml:space="preserve">should be considered for possible allocations. </w:t>
      </w:r>
    </w:p>
    <w:p w:rsidR="009D7EA3" w:rsidRDefault="009D7EA3" w:rsidP="009D7EA3">
      <w:pPr>
        <w:pStyle w:val="Heading2"/>
      </w:pPr>
      <w:bookmarkStart w:id="20" w:name="_Toc217095284"/>
      <w:r>
        <w:t>3.4</w:t>
      </w:r>
      <w:r>
        <w:tab/>
      </w:r>
      <w:r w:rsidRPr="008B7D3B">
        <w:t>Technology</w:t>
      </w:r>
      <w:r>
        <w:t xml:space="preserve"> maturity</w:t>
      </w:r>
      <w:r w:rsidRPr="008B7D3B">
        <w:t xml:space="preserve"> and </w:t>
      </w:r>
      <w:r>
        <w:t>equipment</w:t>
      </w:r>
      <w:r w:rsidRPr="008B7D3B">
        <w:t xml:space="preserve"> </w:t>
      </w:r>
      <w:r>
        <w:t>availability</w:t>
      </w:r>
      <w:bookmarkEnd w:id="20"/>
    </w:p>
    <w:p w:rsidR="009D7EA3" w:rsidRDefault="009D7EA3" w:rsidP="009D7EA3">
      <w:r w:rsidRPr="008B7D3B">
        <w:t>Consideration</w:t>
      </w:r>
      <w:r>
        <w:t>s</w:t>
      </w:r>
      <w:r w:rsidRPr="008B7D3B">
        <w:t xml:space="preserve"> of tec</w:t>
      </w:r>
      <w:r>
        <w:t>hnology maturity and spacecraft-</w:t>
      </w:r>
      <w:r w:rsidRPr="008B7D3B">
        <w:t xml:space="preserve">equipment availability generally favor lower frequencies </w:t>
      </w:r>
      <w:r>
        <w:t xml:space="preserve">already </w:t>
      </w:r>
      <w:r w:rsidRPr="008B7D3B">
        <w:t>having extensive space applications instead of the very high frequencies with little or no relevant space applicatio</w:t>
      </w:r>
      <w:r>
        <w:t xml:space="preserve">ns. There are many commercial satellites operating in spectrum below 30 GHz. </w:t>
      </w:r>
      <w:r w:rsidRPr="008B7D3B">
        <w:t>Commercial satellites offer high</w:t>
      </w:r>
      <w:r>
        <w:t>-</w:t>
      </w:r>
      <w:r w:rsidRPr="008B7D3B">
        <w:t>power, high</w:t>
      </w:r>
      <w:r>
        <w:t>-</w:t>
      </w:r>
      <w:r w:rsidRPr="008B7D3B">
        <w:t>data</w:t>
      </w:r>
      <w:r>
        <w:t>-</w:t>
      </w:r>
      <w:r w:rsidRPr="008B7D3B">
        <w:t xml:space="preserve">rate equipment that could be easily modified to work in the </w:t>
      </w:r>
      <w:r>
        <w:t>nearby frequency bands.</w:t>
      </w:r>
    </w:p>
    <w:p w:rsidR="009D7EA3" w:rsidRDefault="009D7EA3" w:rsidP="009D7EA3">
      <w:r w:rsidRPr="008B7D3B">
        <w:t xml:space="preserve">Many commercial satellites operate at frequencies </w:t>
      </w:r>
      <w:r>
        <w:t>in the 12-18 GHz b</w:t>
      </w:r>
      <w:r w:rsidRPr="008B7D3B">
        <w:t>and.</w:t>
      </w:r>
      <w:r>
        <w:t xml:space="preserve"> Space technology in this band is very mature and there is plenty of space-qualified equipment that is applicable to deep</w:t>
      </w:r>
      <w:r>
        <w:noBreakHyphen/>
        <w:t xml:space="preserve">space missions with little or no modifications. </w:t>
      </w:r>
    </w:p>
    <w:p w:rsidR="009D7EA3" w:rsidRPr="008B7D3B" w:rsidRDefault="009D7EA3" w:rsidP="009D7EA3">
      <w:r>
        <w:br w:type="page"/>
      </w:r>
      <w:r>
        <w:lastRenderedPageBreak/>
        <w:t>There are also 18-40 GHz band commercial satellites, typically operating in the 20 GHz (space</w:t>
      </w:r>
      <w:r>
        <w:noBreakHyphen/>
        <w:t>to</w:t>
      </w:r>
      <w:r>
        <w:noBreakHyphen/>
        <w:t xml:space="preserve">Earth) and 30 GHz (Earth-to-space). Technologies in this band are already mature, although </w:t>
      </w:r>
      <w:r w:rsidRPr="008B7D3B">
        <w:t xml:space="preserve">space equipment </w:t>
      </w:r>
      <w:r>
        <w:t>in this band is not available as readily as in 12-18 GHz b</w:t>
      </w:r>
      <w:r w:rsidRPr="008B7D3B">
        <w:t>and</w:t>
      </w:r>
      <w:r>
        <w:t xml:space="preserve">. </w:t>
      </w:r>
      <w:r w:rsidRPr="008B7D3B">
        <w:t xml:space="preserve">Developing flight hardware </w:t>
      </w:r>
      <w:r>
        <w:t xml:space="preserve">in the 18-40 GHz band for deep-space applications </w:t>
      </w:r>
      <w:r w:rsidRPr="008B7D3B">
        <w:t xml:space="preserve">is </w:t>
      </w:r>
      <w:r>
        <w:t xml:space="preserve">only </w:t>
      </w:r>
      <w:r w:rsidRPr="008B7D3B">
        <w:t xml:space="preserve">an engineering development, not a technology development. </w:t>
      </w:r>
    </w:p>
    <w:p w:rsidR="009D7EA3" w:rsidRDefault="009D7EA3" w:rsidP="009D7EA3">
      <w:r w:rsidRPr="008B7D3B">
        <w:t xml:space="preserve">Because of many years of technology development in the </w:t>
      </w:r>
      <w:r>
        <w:t>deep-space</w:t>
      </w:r>
      <w:r w:rsidRPr="008B7D3B">
        <w:t xml:space="preserve"> </w:t>
      </w:r>
      <w:r>
        <w:t xml:space="preserve">31.8-32.3 GHz </w:t>
      </w:r>
      <w:r w:rsidRPr="008B7D3B">
        <w:t xml:space="preserve">band, the technology around 32 GHz is </w:t>
      </w:r>
      <w:r>
        <w:t>mature. 32 GHz band equipment is available</w:t>
      </w:r>
      <w:r w:rsidRPr="008B7D3B">
        <w:t xml:space="preserve"> although not as </w:t>
      </w:r>
      <w:r>
        <w:t xml:space="preserve">fully implemented as technologies in 8 GHz and 15 GHz </w:t>
      </w:r>
      <w:r w:rsidRPr="008B7D3B">
        <w:t>bands.</w:t>
      </w:r>
      <w:r>
        <w:t xml:space="preserve"> </w:t>
      </w:r>
      <w:r w:rsidRPr="008B7D3B">
        <w:t>Equipment that is currently being developed</w:t>
      </w:r>
      <w:r>
        <w:t xml:space="preserve"> in the 32-GHz band for deep-space missions</w:t>
      </w:r>
      <w:r w:rsidRPr="008B7D3B">
        <w:t xml:space="preserve"> could b</w:t>
      </w:r>
      <w:r>
        <w:t>e modified to work in nearby frequencies, such as the 28-30</w:t>
      </w:r>
      <w:r w:rsidRPr="008B7D3B">
        <w:t xml:space="preserve"> GHz band.</w:t>
      </w:r>
      <w:r>
        <w:t xml:space="preserve"> Operational experience gained in the 32 GHz band and operational techniques developed for this band can also be extended to the nearby frequency bands.</w:t>
      </w:r>
    </w:p>
    <w:p w:rsidR="009D7EA3" w:rsidRPr="008B7D3B" w:rsidRDefault="009D7EA3" w:rsidP="007B41CB">
      <w:r w:rsidRPr="008B7D3B">
        <w:t xml:space="preserve">Above 32 GHz, there are </w:t>
      </w:r>
      <w:r w:rsidR="007B41CB">
        <w:t>governmental</w:t>
      </w:r>
      <w:r w:rsidRPr="008B7D3B">
        <w:t xml:space="preserve"> satellites operating in around 40 GHz, making technology in this frequency region relatively </w:t>
      </w:r>
      <w:r>
        <w:t>mature. Beyond this, there are</w:t>
      </w:r>
      <w:r w:rsidRPr="008B7D3B">
        <w:t xml:space="preserve"> not much known space applications. </w:t>
      </w:r>
    </w:p>
    <w:p w:rsidR="009D7EA3" w:rsidRDefault="009D7EA3" w:rsidP="009D7EA3">
      <w:r>
        <w:t xml:space="preserve">There are no known commercial satellites in 75-110 GHz </w:t>
      </w:r>
      <w:r w:rsidRPr="008B7D3B">
        <w:t>band</w:t>
      </w:r>
      <w:r>
        <w:t xml:space="preserve"> and space</w:t>
      </w:r>
      <w:r w:rsidRPr="008B7D3B">
        <w:t xml:space="preserve"> technology </w:t>
      </w:r>
      <w:r>
        <w:t xml:space="preserve">in this band </w:t>
      </w:r>
      <w:r w:rsidRPr="008B7D3B">
        <w:t>is</w:t>
      </w:r>
      <w:r>
        <w:t xml:space="preserve"> </w:t>
      </w:r>
      <w:r w:rsidRPr="008B7D3B">
        <w:t xml:space="preserve">much less </w:t>
      </w:r>
      <w:r>
        <w:t>developed</w:t>
      </w:r>
      <w:r w:rsidRPr="008B7D3B">
        <w:t xml:space="preserve"> </w:t>
      </w:r>
      <w:r>
        <w:t>than</w:t>
      </w:r>
      <w:r w:rsidRPr="008B7D3B">
        <w:t xml:space="preserve"> </w:t>
      </w:r>
      <w:r>
        <w:t>in 15 GHz</w:t>
      </w:r>
      <w:r w:rsidRPr="008B7D3B">
        <w:t xml:space="preserve"> and </w:t>
      </w:r>
      <w:r>
        <w:t xml:space="preserve">32 GHz </w:t>
      </w:r>
      <w:r w:rsidRPr="008B7D3B">
        <w:t>band</w:t>
      </w:r>
      <w:r>
        <w:t>s</w:t>
      </w:r>
      <w:r w:rsidRPr="008B7D3B">
        <w:t>.</w:t>
      </w:r>
      <w:r>
        <w:t xml:space="preserve"> </w:t>
      </w:r>
      <w:r w:rsidRPr="008B7D3B">
        <w:t>There is no flight hardware in this band for deep-space missions.</w:t>
      </w:r>
      <w:r>
        <w:t xml:space="preserve"> </w:t>
      </w:r>
      <w:r w:rsidRPr="008B7D3B">
        <w:t xml:space="preserve">A serious </w:t>
      </w:r>
      <w:r>
        <w:t xml:space="preserve">and costly </w:t>
      </w:r>
      <w:r w:rsidRPr="008B7D3B">
        <w:t>technology</w:t>
      </w:r>
      <w:r>
        <w:t xml:space="preserve"> </w:t>
      </w:r>
      <w:r w:rsidRPr="008B7D3B">
        <w:t xml:space="preserve">development effort will be needed if this band is to be used for </w:t>
      </w:r>
      <w:r>
        <w:t>deep-space</w:t>
      </w:r>
      <w:r w:rsidRPr="008B7D3B">
        <w:t xml:space="preserve"> missions.</w:t>
      </w:r>
      <w:r>
        <w:t xml:space="preserve"> A new operations technique may have to be developed specifically for this band due to the severe weather effects.</w:t>
      </w:r>
    </w:p>
    <w:p w:rsidR="009D7EA3" w:rsidRDefault="009D7EA3" w:rsidP="009D7EA3">
      <w:pPr>
        <w:pStyle w:val="Heading2"/>
      </w:pPr>
      <w:bookmarkStart w:id="21" w:name="_Toc217095285"/>
      <w:r>
        <w:t>3.5</w:t>
      </w:r>
      <w:r>
        <w:tab/>
      </w:r>
      <w:r w:rsidRPr="008B7D3B">
        <w:t>Grou</w:t>
      </w:r>
      <w:r>
        <w:t xml:space="preserve">nd infrastructure </w:t>
      </w:r>
      <w:r w:rsidRPr="00FE7C7B">
        <w:t>considerations</w:t>
      </w:r>
      <w:bookmarkEnd w:id="21"/>
    </w:p>
    <w:p w:rsidR="009D7EA3" w:rsidRDefault="009D7EA3" w:rsidP="009D7EA3">
      <w:r>
        <w:t>NASA is considering to implement a new antenna system for future deep-space missions by arraying a large number of small antennas to form a large aperture antenna array. When fully implemented</w:t>
      </w:r>
      <w:r w:rsidRPr="008B7D3B">
        <w:t>, this antenna array</w:t>
      </w:r>
      <w:r>
        <w:t xml:space="preserve"> will have 400 small antennas of 12 m diameter and </w:t>
      </w:r>
      <w:r w:rsidRPr="008B7D3B">
        <w:t>will be capable of supporting existing</w:t>
      </w:r>
      <w:r>
        <w:t xml:space="preserve"> primary deep-space allocations in</w:t>
      </w:r>
      <w:r w:rsidRPr="008B7D3B">
        <w:t xml:space="preserve"> </w:t>
      </w:r>
      <w:r>
        <w:t xml:space="preserve">the 8 400-8 450 MHz, 31.8-32.3 GHz and 37-38 </w:t>
      </w:r>
      <w:r w:rsidRPr="008B7D3B">
        <w:t>GHz band</w:t>
      </w:r>
      <w:r>
        <w:t>s</w:t>
      </w:r>
      <w:r w:rsidRPr="008B7D3B">
        <w:t xml:space="preserve">. </w:t>
      </w:r>
      <w:r>
        <w:t xml:space="preserve">An allocation between 8 GHz and 37 GHz would </w:t>
      </w:r>
      <w:r w:rsidRPr="008B7D3B">
        <w:t xml:space="preserve">ensure maximum compatibility with </w:t>
      </w:r>
      <w:r>
        <w:t xml:space="preserve">this ground infrastructure, </w:t>
      </w:r>
      <w:r w:rsidRPr="008B7D3B">
        <w:t>lowe</w:t>
      </w:r>
      <w:r>
        <w:t>r the</w:t>
      </w:r>
      <w:r w:rsidRPr="008B7D3B">
        <w:t xml:space="preserve"> implementation cost</w:t>
      </w:r>
      <w:r>
        <w:t>, and greatly benefit space agencies in general and NASA in particular</w:t>
      </w:r>
      <w:r w:rsidRPr="008B7D3B">
        <w:t xml:space="preserve">. </w:t>
      </w:r>
    </w:p>
    <w:p w:rsidR="009D7EA3" w:rsidRDefault="009D7EA3" w:rsidP="009D7EA3">
      <w:pPr>
        <w:pStyle w:val="Heading2"/>
      </w:pPr>
      <w:bookmarkStart w:id="22" w:name="_Toc217095286"/>
      <w:r>
        <w:t>3.6</w:t>
      </w:r>
      <w:r>
        <w:tab/>
        <w:t xml:space="preserve">Compatibility with the </w:t>
      </w:r>
      <w:r w:rsidRPr="00FE7C7B">
        <w:t>recommended</w:t>
      </w:r>
      <w:r>
        <w:t xml:space="preserve"> frequency plan for the Mars r</w:t>
      </w:r>
      <w:r w:rsidRPr="0066506E">
        <w:t>egion</w:t>
      </w:r>
      <w:bookmarkEnd w:id="22"/>
    </w:p>
    <w:p w:rsidR="009D7EA3" w:rsidRDefault="009D7EA3" w:rsidP="009D7EA3">
      <w:r>
        <w:t xml:space="preserve">The space frequency coordination </w:t>
      </w:r>
      <w:r w:rsidR="007B41CB">
        <w:t>g</w:t>
      </w:r>
      <w:r>
        <w:t>roup (SFCG) adopted a frequency usage plan for missions operating in the Mars region (Table 4). A spacecraft operating in the Mars region could have many different links in additional to the traditional space-to-Earth and Earth-to-space links. These links include orbit-to-surface, surface</w:t>
      </w:r>
      <w:r>
        <w:noBreakHyphen/>
        <w:t>to</w:t>
      </w:r>
      <w:r>
        <w:noBreakHyphen/>
        <w:t>orbit, surface-to-surface, and orbit-to-orbit links. It is important for the new allocated spectrum to be compatible with the Mars Frequency Plan to avoid incompatible operations in the Mars region.</w:t>
      </w:r>
    </w:p>
    <w:p w:rsidR="00430679" w:rsidRDefault="00430679" w:rsidP="00430679">
      <w:pPr>
        <w:rPr>
          <w:szCs w:val="22"/>
        </w:rPr>
      </w:pPr>
      <w:bookmarkStart w:id="23" w:name="_Toc217095315"/>
      <w:r>
        <w:rPr>
          <w:szCs w:val="22"/>
        </w:rPr>
        <w:t>It is noted that the current Mars frequency plan is primarily for robotic missions. Although all proximity-link frequencies are available to human missions as well as robotic missions, future human Mars missions should use the 37-37.5 GHz band for space-to-Earth links.</w:t>
      </w:r>
    </w:p>
    <w:p w:rsidR="009D7EA3" w:rsidRDefault="009D7EA3" w:rsidP="009D7EA3">
      <w:pPr>
        <w:pStyle w:val="TableNo"/>
      </w:pPr>
      <w:r>
        <w:lastRenderedPageBreak/>
        <w:t>TABLE</w:t>
      </w:r>
      <w:r w:rsidRPr="008B7D3B">
        <w:t xml:space="preserve"> </w:t>
      </w:r>
      <w:r>
        <w:t>4</w:t>
      </w:r>
    </w:p>
    <w:p w:rsidR="009D7EA3" w:rsidRPr="008B7D3B" w:rsidRDefault="009D7EA3" w:rsidP="007B41CB">
      <w:pPr>
        <w:pStyle w:val="Tabletitle"/>
      </w:pPr>
      <w:r>
        <w:t>Summary of frequency bands for communications</w:t>
      </w:r>
      <w:r w:rsidR="007B41CB">
        <w:br/>
      </w:r>
      <w:r>
        <w:t>in the Mars r</w:t>
      </w:r>
      <w:r w:rsidRPr="008B7D3B">
        <w:t>egion</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2835"/>
      </w:tblGrid>
      <w:tr w:rsidR="007B41CB" w:rsidRPr="00B20419" w:rsidTr="007B41CB">
        <w:trPr>
          <w:jc w:val="center"/>
        </w:trPr>
        <w:tc>
          <w:tcPr>
            <w:tcW w:w="3402" w:type="dxa"/>
            <w:tcBorders>
              <w:top w:val="nil"/>
              <w:left w:val="nil"/>
              <w:bottom w:val="single" w:sz="4" w:space="0" w:color="auto"/>
            </w:tcBorders>
            <w:vAlign w:val="bottom"/>
          </w:tcPr>
          <w:p w:rsidR="007B41CB" w:rsidRPr="00587D29" w:rsidRDefault="007B41CB" w:rsidP="00430679">
            <w:pPr>
              <w:pStyle w:val="Tablehead"/>
            </w:pPr>
          </w:p>
        </w:tc>
        <w:tc>
          <w:tcPr>
            <w:tcW w:w="2835" w:type="dxa"/>
            <w:tcBorders>
              <w:bottom w:val="nil"/>
            </w:tcBorders>
            <w:vAlign w:val="bottom"/>
          </w:tcPr>
          <w:p w:rsidR="007B41CB" w:rsidRPr="00587D29" w:rsidRDefault="007B41CB" w:rsidP="007B41CB">
            <w:pPr>
              <w:pStyle w:val="Tablehead"/>
            </w:pPr>
            <w:r>
              <w:t>Frequency bands</w:t>
            </w:r>
            <w:r>
              <w:br/>
              <w:t>(MHz)</w:t>
            </w:r>
          </w:p>
        </w:tc>
      </w:tr>
      <w:tr w:rsidR="007B41CB" w:rsidRPr="00B20419" w:rsidTr="007B41CB">
        <w:trPr>
          <w:jc w:val="center"/>
        </w:trPr>
        <w:tc>
          <w:tcPr>
            <w:tcW w:w="3402" w:type="dxa"/>
            <w:tcBorders>
              <w:top w:val="single" w:sz="4" w:space="0" w:color="auto"/>
              <w:bottom w:val="nil"/>
            </w:tcBorders>
            <w:vAlign w:val="bottom"/>
          </w:tcPr>
          <w:p w:rsidR="007B41CB" w:rsidRPr="00587D29" w:rsidRDefault="007B41CB" w:rsidP="00430679">
            <w:pPr>
              <w:pStyle w:val="Tabletext"/>
              <w:keepNext/>
            </w:pPr>
            <w:r w:rsidRPr="00587D29">
              <w:t>Orbit-to-surface:</w:t>
            </w:r>
          </w:p>
        </w:tc>
        <w:tc>
          <w:tcPr>
            <w:tcW w:w="2835" w:type="dxa"/>
            <w:tcBorders>
              <w:bottom w:val="nil"/>
            </w:tcBorders>
            <w:vAlign w:val="bottom"/>
          </w:tcPr>
          <w:p w:rsidR="007B41CB" w:rsidRPr="00587D29" w:rsidRDefault="007B41CB" w:rsidP="00430679">
            <w:pPr>
              <w:pStyle w:val="Tabletext"/>
              <w:keepNext/>
            </w:pPr>
            <w:r w:rsidRPr="00587D29">
              <w:t>435</w:t>
            </w:r>
            <w:r>
              <w:t>-</w:t>
            </w:r>
            <w:r w:rsidRPr="00587D29">
              <w:t>450</w:t>
            </w:r>
          </w:p>
        </w:tc>
      </w:tr>
      <w:tr w:rsidR="007B41CB" w:rsidRPr="00B20419" w:rsidTr="007B41CB">
        <w:trPr>
          <w:jc w:val="center"/>
        </w:trPr>
        <w:tc>
          <w:tcPr>
            <w:tcW w:w="3402" w:type="dxa"/>
            <w:tcBorders>
              <w:top w:val="nil"/>
              <w:bottom w:val="nil"/>
            </w:tcBorders>
            <w:vAlign w:val="center"/>
          </w:tcPr>
          <w:p w:rsidR="007B41CB" w:rsidRPr="00587D29" w:rsidRDefault="007B41CB" w:rsidP="003C0BC7">
            <w:pPr>
              <w:pStyle w:val="Tabletext"/>
            </w:pPr>
          </w:p>
        </w:tc>
        <w:tc>
          <w:tcPr>
            <w:tcW w:w="2835" w:type="dxa"/>
            <w:tcBorders>
              <w:top w:val="nil"/>
              <w:bottom w:val="nil"/>
            </w:tcBorders>
            <w:vAlign w:val="center"/>
          </w:tcPr>
          <w:p w:rsidR="007B41CB" w:rsidRPr="00587D29" w:rsidRDefault="007B41CB" w:rsidP="003C0BC7">
            <w:pPr>
              <w:pStyle w:val="Tabletext"/>
            </w:pPr>
            <w:r w:rsidRPr="00587D29">
              <w:t>2</w:t>
            </w:r>
            <w:r>
              <w:t xml:space="preserve"> </w:t>
            </w:r>
            <w:r w:rsidRPr="00587D29">
              <w:t>025</w:t>
            </w:r>
            <w:r>
              <w:t>-</w:t>
            </w:r>
            <w:r w:rsidRPr="00587D29">
              <w:t>2</w:t>
            </w:r>
            <w:r>
              <w:t xml:space="preserve"> </w:t>
            </w:r>
            <w:r w:rsidRPr="00587D29">
              <w:t>110</w:t>
            </w:r>
          </w:p>
        </w:tc>
      </w:tr>
      <w:tr w:rsidR="007B41CB" w:rsidRPr="00B20419" w:rsidTr="007B41CB">
        <w:trPr>
          <w:jc w:val="center"/>
        </w:trPr>
        <w:tc>
          <w:tcPr>
            <w:tcW w:w="3402" w:type="dxa"/>
            <w:tcBorders>
              <w:top w:val="nil"/>
              <w:bottom w:val="nil"/>
            </w:tcBorders>
            <w:vAlign w:val="center"/>
          </w:tcPr>
          <w:p w:rsidR="007B41CB" w:rsidRPr="00587D29" w:rsidRDefault="007B41CB" w:rsidP="003C0BC7">
            <w:pPr>
              <w:pStyle w:val="Tabletext"/>
            </w:pPr>
          </w:p>
        </w:tc>
        <w:tc>
          <w:tcPr>
            <w:tcW w:w="2835" w:type="dxa"/>
            <w:tcBorders>
              <w:top w:val="nil"/>
              <w:bottom w:val="nil"/>
            </w:tcBorders>
            <w:vAlign w:val="center"/>
          </w:tcPr>
          <w:p w:rsidR="007B41CB" w:rsidRPr="00587D29" w:rsidRDefault="007B41CB" w:rsidP="003C0BC7">
            <w:pPr>
              <w:pStyle w:val="Tabletext"/>
            </w:pPr>
            <w:r w:rsidRPr="00587D29">
              <w:t>7</w:t>
            </w:r>
            <w:r>
              <w:t xml:space="preserve"> </w:t>
            </w:r>
            <w:r w:rsidRPr="00587D29">
              <w:t>190</w:t>
            </w:r>
            <w:r>
              <w:t>-</w:t>
            </w:r>
            <w:r w:rsidRPr="00587D29">
              <w:t>7</w:t>
            </w:r>
            <w:r>
              <w:t xml:space="preserve"> </w:t>
            </w:r>
            <w:r w:rsidRPr="00587D29">
              <w:t>235</w:t>
            </w:r>
          </w:p>
        </w:tc>
      </w:tr>
      <w:tr w:rsidR="007B41CB" w:rsidRPr="00B20419" w:rsidTr="007B41CB">
        <w:trPr>
          <w:jc w:val="center"/>
        </w:trPr>
        <w:tc>
          <w:tcPr>
            <w:tcW w:w="3402" w:type="dxa"/>
            <w:tcBorders>
              <w:top w:val="nil"/>
              <w:bottom w:val="single" w:sz="4" w:space="0" w:color="auto"/>
            </w:tcBorders>
          </w:tcPr>
          <w:p w:rsidR="007B41CB" w:rsidRPr="00587D29" w:rsidRDefault="007B41CB" w:rsidP="003C0BC7">
            <w:pPr>
              <w:pStyle w:val="Tabletext"/>
            </w:pPr>
          </w:p>
        </w:tc>
        <w:tc>
          <w:tcPr>
            <w:tcW w:w="2835" w:type="dxa"/>
            <w:tcBorders>
              <w:top w:val="nil"/>
              <w:bottom w:val="single" w:sz="4" w:space="0" w:color="auto"/>
            </w:tcBorders>
          </w:tcPr>
          <w:p w:rsidR="007B41CB" w:rsidRPr="00587D29" w:rsidRDefault="007B41CB" w:rsidP="003C0BC7">
            <w:pPr>
              <w:pStyle w:val="Tabletext"/>
            </w:pPr>
            <w:r w:rsidRPr="00587D29">
              <w:t>14.5</w:t>
            </w:r>
            <w:r>
              <w:t>-</w:t>
            </w:r>
            <w:r w:rsidRPr="00587D29">
              <w:t>15.35</w:t>
            </w:r>
          </w:p>
        </w:tc>
      </w:tr>
      <w:tr w:rsidR="007B41CB" w:rsidRPr="00B20419" w:rsidTr="007B41CB">
        <w:trPr>
          <w:jc w:val="center"/>
        </w:trPr>
        <w:tc>
          <w:tcPr>
            <w:tcW w:w="3402" w:type="dxa"/>
            <w:tcBorders>
              <w:bottom w:val="nil"/>
            </w:tcBorders>
            <w:vAlign w:val="bottom"/>
          </w:tcPr>
          <w:p w:rsidR="007B41CB" w:rsidRPr="00587D29" w:rsidRDefault="007B41CB" w:rsidP="003C0BC7">
            <w:pPr>
              <w:pStyle w:val="Tabletext"/>
            </w:pPr>
            <w:r w:rsidRPr="00587D29">
              <w:t xml:space="preserve">Surface-to-orbit: </w:t>
            </w:r>
          </w:p>
        </w:tc>
        <w:tc>
          <w:tcPr>
            <w:tcW w:w="2835" w:type="dxa"/>
            <w:tcBorders>
              <w:bottom w:val="nil"/>
            </w:tcBorders>
            <w:vAlign w:val="bottom"/>
          </w:tcPr>
          <w:p w:rsidR="007B41CB" w:rsidRPr="00587D29" w:rsidRDefault="007B41CB" w:rsidP="003C0BC7">
            <w:pPr>
              <w:pStyle w:val="Tabletext"/>
            </w:pPr>
            <w:r w:rsidRPr="00587D29">
              <w:t>390</w:t>
            </w:r>
            <w:r>
              <w:t>-</w:t>
            </w:r>
            <w:r w:rsidRPr="00587D29">
              <w:t>405</w:t>
            </w:r>
          </w:p>
        </w:tc>
      </w:tr>
      <w:tr w:rsidR="007B41CB" w:rsidRPr="00B20419" w:rsidTr="007B41CB">
        <w:trPr>
          <w:jc w:val="center"/>
        </w:trPr>
        <w:tc>
          <w:tcPr>
            <w:tcW w:w="3402" w:type="dxa"/>
            <w:tcBorders>
              <w:top w:val="nil"/>
              <w:bottom w:val="nil"/>
            </w:tcBorders>
            <w:vAlign w:val="center"/>
          </w:tcPr>
          <w:p w:rsidR="007B41CB" w:rsidRPr="00587D29" w:rsidRDefault="007B41CB" w:rsidP="003C0BC7">
            <w:pPr>
              <w:pStyle w:val="Tabletext"/>
            </w:pPr>
          </w:p>
        </w:tc>
        <w:tc>
          <w:tcPr>
            <w:tcW w:w="2835" w:type="dxa"/>
            <w:tcBorders>
              <w:top w:val="nil"/>
              <w:bottom w:val="nil"/>
            </w:tcBorders>
            <w:vAlign w:val="center"/>
          </w:tcPr>
          <w:p w:rsidR="007B41CB" w:rsidRPr="00587D29" w:rsidRDefault="007B41CB" w:rsidP="003C0BC7">
            <w:pPr>
              <w:pStyle w:val="Tabletext"/>
            </w:pPr>
            <w:r w:rsidRPr="00587D29">
              <w:t>2</w:t>
            </w:r>
            <w:r>
              <w:t xml:space="preserve"> </w:t>
            </w:r>
            <w:r w:rsidRPr="00587D29">
              <w:t>200</w:t>
            </w:r>
            <w:r>
              <w:t>-</w:t>
            </w:r>
            <w:r w:rsidRPr="00587D29">
              <w:t>2</w:t>
            </w:r>
            <w:r>
              <w:t xml:space="preserve"> </w:t>
            </w:r>
            <w:r w:rsidRPr="00587D29">
              <w:t>300</w:t>
            </w:r>
          </w:p>
        </w:tc>
      </w:tr>
      <w:tr w:rsidR="007B41CB" w:rsidRPr="00B20419" w:rsidTr="007B41CB">
        <w:trPr>
          <w:jc w:val="center"/>
        </w:trPr>
        <w:tc>
          <w:tcPr>
            <w:tcW w:w="3402" w:type="dxa"/>
            <w:tcBorders>
              <w:top w:val="nil"/>
              <w:bottom w:val="nil"/>
            </w:tcBorders>
            <w:vAlign w:val="center"/>
          </w:tcPr>
          <w:p w:rsidR="007B41CB" w:rsidRPr="00587D29" w:rsidRDefault="007B41CB" w:rsidP="003C0BC7">
            <w:pPr>
              <w:pStyle w:val="Tabletext"/>
            </w:pPr>
          </w:p>
        </w:tc>
        <w:tc>
          <w:tcPr>
            <w:tcW w:w="2835" w:type="dxa"/>
            <w:tcBorders>
              <w:top w:val="nil"/>
              <w:bottom w:val="nil"/>
            </w:tcBorders>
            <w:vAlign w:val="center"/>
          </w:tcPr>
          <w:p w:rsidR="007B41CB" w:rsidRPr="00587D29" w:rsidRDefault="007B41CB" w:rsidP="003C0BC7">
            <w:pPr>
              <w:pStyle w:val="Tabletext"/>
            </w:pPr>
            <w:r w:rsidRPr="00587D29">
              <w:t>8</w:t>
            </w:r>
            <w:r>
              <w:t xml:space="preserve"> </w:t>
            </w:r>
            <w:r w:rsidRPr="00587D29">
              <w:t>400</w:t>
            </w:r>
            <w:r>
              <w:t>-</w:t>
            </w:r>
            <w:r w:rsidRPr="00587D29">
              <w:t>8</w:t>
            </w:r>
            <w:r>
              <w:t xml:space="preserve"> </w:t>
            </w:r>
            <w:r w:rsidRPr="00587D29">
              <w:t>500</w:t>
            </w:r>
          </w:p>
        </w:tc>
      </w:tr>
      <w:tr w:rsidR="007B41CB" w:rsidRPr="00B20419" w:rsidTr="007B41CB">
        <w:trPr>
          <w:jc w:val="center"/>
        </w:trPr>
        <w:tc>
          <w:tcPr>
            <w:tcW w:w="3402" w:type="dxa"/>
            <w:tcBorders>
              <w:top w:val="nil"/>
              <w:bottom w:val="single" w:sz="4" w:space="0" w:color="auto"/>
            </w:tcBorders>
          </w:tcPr>
          <w:p w:rsidR="007B41CB" w:rsidRPr="00587D29" w:rsidRDefault="007B41CB" w:rsidP="003C0BC7">
            <w:pPr>
              <w:pStyle w:val="Tabletext"/>
            </w:pPr>
          </w:p>
        </w:tc>
        <w:tc>
          <w:tcPr>
            <w:tcW w:w="2835" w:type="dxa"/>
            <w:tcBorders>
              <w:top w:val="nil"/>
              <w:bottom w:val="single" w:sz="4" w:space="0" w:color="auto"/>
            </w:tcBorders>
          </w:tcPr>
          <w:p w:rsidR="007B41CB" w:rsidRPr="00587D29" w:rsidRDefault="007B41CB" w:rsidP="003C0BC7">
            <w:pPr>
              <w:pStyle w:val="Tabletext"/>
            </w:pPr>
            <w:r w:rsidRPr="00587D29">
              <w:t>16.6</w:t>
            </w:r>
            <w:r>
              <w:t>-</w:t>
            </w:r>
            <w:r w:rsidRPr="00587D29">
              <w:t>17.1</w:t>
            </w:r>
          </w:p>
        </w:tc>
      </w:tr>
      <w:tr w:rsidR="007B41CB" w:rsidRPr="00B20419" w:rsidTr="007B41CB">
        <w:trPr>
          <w:jc w:val="center"/>
        </w:trPr>
        <w:tc>
          <w:tcPr>
            <w:tcW w:w="3402" w:type="dxa"/>
            <w:tcBorders>
              <w:bottom w:val="nil"/>
            </w:tcBorders>
            <w:vAlign w:val="bottom"/>
          </w:tcPr>
          <w:p w:rsidR="007B41CB" w:rsidRPr="00587D29" w:rsidRDefault="007B41CB" w:rsidP="003C0BC7">
            <w:pPr>
              <w:pStyle w:val="Tabletext"/>
            </w:pPr>
            <w:r w:rsidRPr="00587D29">
              <w:t>Surface-to-surface:</w:t>
            </w:r>
          </w:p>
        </w:tc>
        <w:tc>
          <w:tcPr>
            <w:tcW w:w="2835" w:type="dxa"/>
            <w:tcBorders>
              <w:bottom w:val="nil"/>
            </w:tcBorders>
            <w:vAlign w:val="bottom"/>
          </w:tcPr>
          <w:p w:rsidR="007B41CB" w:rsidRPr="00587D29" w:rsidRDefault="007B41CB" w:rsidP="003C0BC7">
            <w:pPr>
              <w:pStyle w:val="Tabletext"/>
            </w:pPr>
            <w:r w:rsidRPr="00587D29">
              <w:t>435</w:t>
            </w:r>
            <w:r>
              <w:t>-</w:t>
            </w:r>
            <w:r w:rsidRPr="00587D29">
              <w:t>450</w:t>
            </w:r>
          </w:p>
        </w:tc>
      </w:tr>
      <w:tr w:rsidR="007B41CB" w:rsidRPr="00B20419" w:rsidTr="007B41CB">
        <w:trPr>
          <w:jc w:val="center"/>
        </w:trPr>
        <w:tc>
          <w:tcPr>
            <w:tcW w:w="3402" w:type="dxa"/>
            <w:tcBorders>
              <w:top w:val="nil"/>
              <w:bottom w:val="nil"/>
            </w:tcBorders>
            <w:vAlign w:val="center"/>
          </w:tcPr>
          <w:p w:rsidR="007B41CB" w:rsidRPr="00587D29" w:rsidRDefault="007B41CB" w:rsidP="003C0BC7">
            <w:pPr>
              <w:pStyle w:val="Tabletext"/>
            </w:pPr>
          </w:p>
        </w:tc>
        <w:tc>
          <w:tcPr>
            <w:tcW w:w="2835" w:type="dxa"/>
            <w:tcBorders>
              <w:top w:val="nil"/>
              <w:bottom w:val="nil"/>
            </w:tcBorders>
            <w:vAlign w:val="center"/>
          </w:tcPr>
          <w:p w:rsidR="007B41CB" w:rsidRPr="00587D29" w:rsidRDefault="007B41CB" w:rsidP="003C0BC7">
            <w:pPr>
              <w:pStyle w:val="Tabletext"/>
            </w:pPr>
            <w:r w:rsidRPr="00587D29">
              <w:t>390</w:t>
            </w:r>
            <w:r>
              <w:t>-</w:t>
            </w:r>
            <w:r w:rsidRPr="00587D29">
              <w:t>405</w:t>
            </w:r>
          </w:p>
        </w:tc>
      </w:tr>
      <w:tr w:rsidR="007B41CB" w:rsidRPr="00B20419" w:rsidTr="007B41CB">
        <w:trPr>
          <w:jc w:val="center"/>
        </w:trPr>
        <w:tc>
          <w:tcPr>
            <w:tcW w:w="3402" w:type="dxa"/>
            <w:tcBorders>
              <w:top w:val="nil"/>
              <w:bottom w:val="nil"/>
            </w:tcBorders>
            <w:vAlign w:val="center"/>
          </w:tcPr>
          <w:p w:rsidR="007B41CB" w:rsidRPr="00587D29" w:rsidRDefault="007B41CB" w:rsidP="003C0BC7">
            <w:pPr>
              <w:pStyle w:val="Tabletext"/>
            </w:pPr>
          </w:p>
        </w:tc>
        <w:tc>
          <w:tcPr>
            <w:tcW w:w="2835" w:type="dxa"/>
            <w:tcBorders>
              <w:top w:val="nil"/>
              <w:bottom w:val="nil"/>
            </w:tcBorders>
            <w:vAlign w:val="center"/>
          </w:tcPr>
          <w:p w:rsidR="007B41CB" w:rsidRPr="00587D29" w:rsidRDefault="007B41CB" w:rsidP="003C0BC7">
            <w:pPr>
              <w:pStyle w:val="Tabletext"/>
            </w:pPr>
            <w:r w:rsidRPr="00587D29">
              <w:t>2</w:t>
            </w:r>
            <w:r>
              <w:t xml:space="preserve"> </w:t>
            </w:r>
            <w:r w:rsidRPr="00587D29">
              <w:t>025</w:t>
            </w:r>
            <w:r>
              <w:t>-</w:t>
            </w:r>
            <w:r w:rsidRPr="00587D29">
              <w:t>2</w:t>
            </w:r>
            <w:r>
              <w:t xml:space="preserve"> </w:t>
            </w:r>
            <w:r w:rsidRPr="00587D29">
              <w:t>120</w:t>
            </w:r>
          </w:p>
        </w:tc>
      </w:tr>
      <w:tr w:rsidR="007B41CB" w:rsidRPr="00B20419" w:rsidTr="007B41CB">
        <w:trPr>
          <w:jc w:val="center"/>
        </w:trPr>
        <w:tc>
          <w:tcPr>
            <w:tcW w:w="3402" w:type="dxa"/>
            <w:tcBorders>
              <w:top w:val="nil"/>
              <w:bottom w:val="single" w:sz="4" w:space="0" w:color="auto"/>
            </w:tcBorders>
          </w:tcPr>
          <w:p w:rsidR="007B41CB" w:rsidRPr="00587D29" w:rsidRDefault="007B41CB" w:rsidP="003C0BC7">
            <w:pPr>
              <w:pStyle w:val="Tabletext"/>
            </w:pPr>
          </w:p>
        </w:tc>
        <w:tc>
          <w:tcPr>
            <w:tcW w:w="2835" w:type="dxa"/>
            <w:tcBorders>
              <w:top w:val="nil"/>
              <w:bottom w:val="single" w:sz="4" w:space="0" w:color="auto"/>
            </w:tcBorders>
          </w:tcPr>
          <w:p w:rsidR="007B41CB" w:rsidRPr="00587D29" w:rsidRDefault="007B41CB" w:rsidP="003C0BC7">
            <w:pPr>
              <w:pStyle w:val="Tabletext"/>
            </w:pPr>
            <w:r w:rsidRPr="00587D29">
              <w:t>2</w:t>
            </w:r>
            <w:r>
              <w:t xml:space="preserve"> </w:t>
            </w:r>
            <w:r w:rsidRPr="00587D29">
              <w:t>200</w:t>
            </w:r>
            <w:r>
              <w:t>-</w:t>
            </w:r>
            <w:r w:rsidRPr="00587D29">
              <w:t>2</w:t>
            </w:r>
            <w:r>
              <w:t xml:space="preserve"> </w:t>
            </w:r>
            <w:r w:rsidRPr="00587D29">
              <w:t>300</w:t>
            </w:r>
          </w:p>
        </w:tc>
      </w:tr>
      <w:tr w:rsidR="007B41CB" w:rsidRPr="00B20419" w:rsidTr="007B41CB">
        <w:trPr>
          <w:jc w:val="center"/>
        </w:trPr>
        <w:tc>
          <w:tcPr>
            <w:tcW w:w="3402" w:type="dxa"/>
            <w:tcBorders>
              <w:bottom w:val="nil"/>
            </w:tcBorders>
            <w:vAlign w:val="bottom"/>
          </w:tcPr>
          <w:p w:rsidR="007B41CB" w:rsidRPr="00587D29" w:rsidRDefault="007B41CB" w:rsidP="003C0BC7">
            <w:pPr>
              <w:pStyle w:val="Tabletext"/>
            </w:pPr>
            <w:r w:rsidRPr="00587D29">
              <w:t>Orbit-to-orbit:</w:t>
            </w:r>
          </w:p>
        </w:tc>
        <w:tc>
          <w:tcPr>
            <w:tcW w:w="2835" w:type="dxa"/>
            <w:tcBorders>
              <w:bottom w:val="nil"/>
            </w:tcBorders>
            <w:vAlign w:val="bottom"/>
          </w:tcPr>
          <w:p w:rsidR="007B41CB" w:rsidRPr="00587D29" w:rsidRDefault="007B41CB" w:rsidP="003C0BC7">
            <w:pPr>
              <w:pStyle w:val="Tabletext"/>
            </w:pPr>
            <w:r w:rsidRPr="00587D29">
              <w:t>435</w:t>
            </w:r>
            <w:r>
              <w:t>-</w:t>
            </w:r>
            <w:r w:rsidRPr="00587D29">
              <w:t>450</w:t>
            </w:r>
          </w:p>
        </w:tc>
      </w:tr>
      <w:tr w:rsidR="007B41CB" w:rsidRPr="00B20419" w:rsidTr="007B41CB">
        <w:trPr>
          <w:jc w:val="center"/>
        </w:trPr>
        <w:tc>
          <w:tcPr>
            <w:tcW w:w="3402" w:type="dxa"/>
            <w:tcBorders>
              <w:top w:val="nil"/>
              <w:bottom w:val="nil"/>
            </w:tcBorders>
            <w:vAlign w:val="center"/>
          </w:tcPr>
          <w:p w:rsidR="007B41CB" w:rsidRPr="00B20419" w:rsidRDefault="007B41CB" w:rsidP="003C0BC7">
            <w:pPr>
              <w:pStyle w:val="Tabletext"/>
              <w:rPr>
                <w:lang w:val="de-DE"/>
              </w:rPr>
            </w:pPr>
          </w:p>
        </w:tc>
        <w:tc>
          <w:tcPr>
            <w:tcW w:w="2835" w:type="dxa"/>
            <w:tcBorders>
              <w:top w:val="nil"/>
              <w:bottom w:val="nil"/>
            </w:tcBorders>
            <w:vAlign w:val="center"/>
          </w:tcPr>
          <w:p w:rsidR="007B41CB" w:rsidRPr="00B20419" w:rsidRDefault="007B41CB" w:rsidP="003C0BC7">
            <w:pPr>
              <w:pStyle w:val="Tabletext"/>
              <w:rPr>
                <w:lang w:val="de-DE"/>
              </w:rPr>
            </w:pPr>
            <w:r>
              <w:rPr>
                <w:lang w:val="de-DE"/>
              </w:rPr>
              <w:t>390-</w:t>
            </w:r>
            <w:r w:rsidRPr="00B20419">
              <w:rPr>
                <w:lang w:val="de-DE"/>
              </w:rPr>
              <w:t>405</w:t>
            </w:r>
          </w:p>
        </w:tc>
      </w:tr>
      <w:tr w:rsidR="007B41CB" w:rsidRPr="00B20419" w:rsidTr="007B41CB">
        <w:trPr>
          <w:jc w:val="center"/>
        </w:trPr>
        <w:tc>
          <w:tcPr>
            <w:tcW w:w="3402" w:type="dxa"/>
            <w:tcBorders>
              <w:top w:val="nil"/>
              <w:bottom w:val="nil"/>
            </w:tcBorders>
            <w:vAlign w:val="center"/>
          </w:tcPr>
          <w:p w:rsidR="007B41CB" w:rsidRPr="00B20419" w:rsidRDefault="007B41CB" w:rsidP="003C0BC7">
            <w:pPr>
              <w:pStyle w:val="Tabletext"/>
              <w:rPr>
                <w:lang w:val="de-DE"/>
              </w:rPr>
            </w:pPr>
          </w:p>
        </w:tc>
        <w:tc>
          <w:tcPr>
            <w:tcW w:w="2835" w:type="dxa"/>
            <w:tcBorders>
              <w:top w:val="nil"/>
              <w:bottom w:val="nil"/>
            </w:tcBorders>
            <w:vAlign w:val="center"/>
          </w:tcPr>
          <w:p w:rsidR="007B41CB" w:rsidRPr="00B20419" w:rsidRDefault="007B41CB" w:rsidP="003C0BC7">
            <w:pPr>
              <w:pStyle w:val="Tabletext"/>
              <w:rPr>
                <w:lang w:val="de-DE"/>
              </w:rPr>
            </w:pPr>
            <w:r w:rsidRPr="00B20419">
              <w:rPr>
                <w:lang w:val="de-DE"/>
              </w:rPr>
              <w:t>2</w:t>
            </w:r>
            <w:r>
              <w:rPr>
                <w:lang w:val="de-DE"/>
              </w:rPr>
              <w:t xml:space="preserve"> </w:t>
            </w:r>
            <w:r w:rsidRPr="00B20419">
              <w:rPr>
                <w:lang w:val="de-DE"/>
              </w:rPr>
              <w:t>025</w:t>
            </w:r>
            <w:r>
              <w:rPr>
                <w:lang w:val="de-DE"/>
              </w:rPr>
              <w:t>-</w:t>
            </w:r>
            <w:r w:rsidRPr="00B20419">
              <w:rPr>
                <w:lang w:val="de-DE"/>
              </w:rPr>
              <w:t>2</w:t>
            </w:r>
            <w:r>
              <w:rPr>
                <w:lang w:val="de-DE"/>
              </w:rPr>
              <w:t xml:space="preserve"> </w:t>
            </w:r>
            <w:r w:rsidRPr="00B20419">
              <w:rPr>
                <w:lang w:val="de-DE"/>
              </w:rPr>
              <w:t>120</w:t>
            </w:r>
          </w:p>
        </w:tc>
      </w:tr>
      <w:tr w:rsidR="007B41CB" w:rsidRPr="00B20419" w:rsidTr="007B41CB">
        <w:trPr>
          <w:jc w:val="center"/>
        </w:trPr>
        <w:tc>
          <w:tcPr>
            <w:tcW w:w="3402" w:type="dxa"/>
            <w:tcBorders>
              <w:top w:val="nil"/>
              <w:bottom w:val="nil"/>
            </w:tcBorders>
            <w:vAlign w:val="center"/>
          </w:tcPr>
          <w:p w:rsidR="007B41CB" w:rsidRPr="00B20419" w:rsidRDefault="007B41CB" w:rsidP="003C0BC7">
            <w:pPr>
              <w:pStyle w:val="Tabletext"/>
              <w:rPr>
                <w:lang w:val="de-DE"/>
              </w:rPr>
            </w:pPr>
          </w:p>
        </w:tc>
        <w:tc>
          <w:tcPr>
            <w:tcW w:w="2835" w:type="dxa"/>
            <w:tcBorders>
              <w:top w:val="nil"/>
              <w:bottom w:val="nil"/>
            </w:tcBorders>
            <w:vAlign w:val="center"/>
          </w:tcPr>
          <w:p w:rsidR="007B41CB" w:rsidRPr="00B20419" w:rsidRDefault="007B41CB" w:rsidP="003C0BC7">
            <w:pPr>
              <w:pStyle w:val="Tabletext"/>
              <w:rPr>
                <w:lang w:val="de-DE"/>
              </w:rPr>
            </w:pPr>
            <w:r w:rsidRPr="00B20419">
              <w:rPr>
                <w:lang w:val="de-DE"/>
              </w:rPr>
              <w:t>2</w:t>
            </w:r>
            <w:r>
              <w:rPr>
                <w:lang w:val="de-DE"/>
              </w:rPr>
              <w:t xml:space="preserve"> </w:t>
            </w:r>
            <w:r w:rsidRPr="00B20419">
              <w:rPr>
                <w:lang w:val="de-DE"/>
              </w:rPr>
              <w:t>200</w:t>
            </w:r>
            <w:r>
              <w:rPr>
                <w:lang w:val="de-DE"/>
              </w:rPr>
              <w:t>-</w:t>
            </w:r>
            <w:r w:rsidRPr="00B20419">
              <w:rPr>
                <w:lang w:val="de-DE"/>
              </w:rPr>
              <w:t>2</w:t>
            </w:r>
            <w:r>
              <w:rPr>
                <w:lang w:val="de-DE"/>
              </w:rPr>
              <w:t xml:space="preserve"> </w:t>
            </w:r>
            <w:r w:rsidRPr="00B20419">
              <w:rPr>
                <w:lang w:val="de-DE"/>
              </w:rPr>
              <w:t>300</w:t>
            </w:r>
          </w:p>
        </w:tc>
      </w:tr>
      <w:tr w:rsidR="007B41CB" w:rsidRPr="00B20419" w:rsidTr="007B41CB">
        <w:trPr>
          <w:jc w:val="center"/>
        </w:trPr>
        <w:tc>
          <w:tcPr>
            <w:tcW w:w="3402" w:type="dxa"/>
            <w:tcBorders>
              <w:top w:val="nil"/>
              <w:bottom w:val="nil"/>
            </w:tcBorders>
            <w:vAlign w:val="center"/>
          </w:tcPr>
          <w:p w:rsidR="007B41CB" w:rsidRPr="00B20419" w:rsidRDefault="007B41CB" w:rsidP="003C0BC7">
            <w:pPr>
              <w:pStyle w:val="Tabletext"/>
              <w:rPr>
                <w:lang w:val="de-DE"/>
              </w:rPr>
            </w:pPr>
          </w:p>
        </w:tc>
        <w:tc>
          <w:tcPr>
            <w:tcW w:w="2835" w:type="dxa"/>
            <w:tcBorders>
              <w:top w:val="nil"/>
              <w:bottom w:val="nil"/>
            </w:tcBorders>
            <w:vAlign w:val="center"/>
          </w:tcPr>
          <w:p w:rsidR="007B41CB" w:rsidRPr="00B20419" w:rsidRDefault="007B41CB" w:rsidP="003C0BC7">
            <w:pPr>
              <w:pStyle w:val="Tabletext"/>
              <w:rPr>
                <w:lang w:val="de-DE"/>
              </w:rPr>
            </w:pPr>
            <w:r w:rsidRPr="00B20419">
              <w:rPr>
                <w:lang w:val="de-DE"/>
              </w:rPr>
              <w:t>7</w:t>
            </w:r>
            <w:r>
              <w:rPr>
                <w:lang w:val="de-DE"/>
              </w:rPr>
              <w:t xml:space="preserve"> </w:t>
            </w:r>
            <w:r w:rsidRPr="00B20419">
              <w:rPr>
                <w:lang w:val="de-DE"/>
              </w:rPr>
              <w:t>190</w:t>
            </w:r>
            <w:r>
              <w:rPr>
                <w:lang w:val="de-DE"/>
              </w:rPr>
              <w:t>-</w:t>
            </w:r>
            <w:r w:rsidRPr="00B20419">
              <w:rPr>
                <w:lang w:val="de-DE"/>
              </w:rPr>
              <w:t>7</w:t>
            </w:r>
            <w:r>
              <w:rPr>
                <w:lang w:val="de-DE"/>
              </w:rPr>
              <w:t xml:space="preserve"> </w:t>
            </w:r>
            <w:r w:rsidRPr="00B20419">
              <w:rPr>
                <w:lang w:val="de-DE"/>
              </w:rPr>
              <w:t>235</w:t>
            </w:r>
          </w:p>
        </w:tc>
      </w:tr>
      <w:tr w:rsidR="007B41CB" w:rsidRPr="00B20419" w:rsidTr="007B41CB">
        <w:trPr>
          <w:jc w:val="center"/>
        </w:trPr>
        <w:tc>
          <w:tcPr>
            <w:tcW w:w="3402" w:type="dxa"/>
            <w:tcBorders>
              <w:top w:val="nil"/>
            </w:tcBorders>
          </w:tcPr>
          <w:p w:rsidR="007B41CB" w:rsidRPr="00587D29" w:rsidRDefault="007B41CB" w:rsidP="003C0BC7">
            <w:pPr>
              <w:pStyle w:val="Tabletext"/>
            </w:pPr>
          </w:p>
        </w:tc>
        <w:tc>
          <w:tcPr>
            <w:tcW w:w="2835" w:type="dxa"/>
            <w:tcBorders>
              <w:top w:val="nil"/>
            </w:tcBorders>
          </w:tcPr>
          <w:p w:rsidR="007B41CB" w:rsidRPr="00587D29" w:rsidRDefault="007B41CB" w:rsidP="003C0BC7">
            <w:pPr>
              <w:pStyle w:val="Tabletext"/>
            </w:pPr>
            <w:r w:rsidRPr="00587D29">
              <w:t>8</w:t>
            </w:r>
            <w:r>
              <w:t xml:space="preserve"> </w:t>
            </w:r>
            <w:r w:rsidRPr="00587D29">
              <w:t>450</w:t>
            </w:r>
            <w:r>
              <w:t>-</w:t>
            </w:r>
            <w:r w:rsidRPr="00587D29">
              <w:t>8</w:t>
            </w:r>
            <w:r>
              <w:t xml:space="preserve"> </w:t>
            </w:r>
            <w:r w:rsidRPr="00587D29">
              <w:t>500</w:t>
            </w:r>
          </w:p>
        </w:tc>
      </w:tr>
      <w:tr w:rsidR="007B41CB" w:rsidRPr="00B20419" w:rsidTr="007B41CB">
        <w:trPr>
          <w:jc w:val="center"/>
        </w:trPr>
        <w:tc>
          <w:tcPr>
            <w:tcW w:w="3402" w:type="dxa"/>
            <w:vAlign w:val="center"/>
          </w:tcPr>
          <w:p w:rsidR="007B41CB" w:rsidRPr="00587D29" w:rsidRDefault="007B41CB" w:rsidP="007B41CB">
            <w:pPr>
              <w:pStyle w:val="Tabletext"/>
              <w:jc w:val="left"/>
            </w:pPr>
            <w:r>
              <w:t>Approach navigation and atmospheric radio s</w:t>
            </w:r>
            <w:r w:rsidRPr="00587D29">
              <w:t>cience</w:t>
            </w:r>
          </w:p>
        </w:tc>
        <w:tc>
          <w:tcPr>
            <w:tcW w:w="2835" w:type="dxa"/>
            <w:vAlign w:val="center"/>
          </w:tcPr>
          <w:p w:rsidR="007B41CB" w:rsidRPr="00587D29" w:rsidRDefault="007B41CB" w:rsidP="003C0BC7">
            <w:pPr>
              <w:pStyle w:val="Tabletext"/>
            </w:pPr>
            <w:r w:rsidRPr="00587D29">
              <w:t>8</w:t>
            </w:r>
            <w:r>
              <w:t xml:space="preserve"> </w:t>
            </w:r>
            <w:r w:rsidRPr="00587D29">
              <w:t>400</w:t>
            </w:r>
            <w:r>
              <w:t>-</w:t>
            </w:r>
            <w:r w:rsidRPr="00587D29">
              <w:t>8</w:t>
            </w:r>
            <w:r>
              <w:t xml:space="preserve"> </w:t>
            </w:r>
            <w:r w:rsidRPr="00587D29">
              <w:t>450</w:t>
            </w:r>
          </w:p>
        </w:tc>
      </w:tr>
    </w:tbl>
    <w:p w:rsidR="009D7EA3" w:rsidRDefault="009D7EA3" w:rsidP="007B41CB">
      <w:pPr>
        <w:pStyle w:val="Tablefin"/>
      </w:pPr>
    </w:p>
    <w:p w:rsidR="009D7EA3" w:rsidRDefault="009D7EA3" w:rsidP="009D7EA3">
      <w:pPr>
        <w:pStyle w:val="Heading2"/>
      </w:pPr>
      <w:bookmarkStart w:id="24" w:name="_Toc217095287"/>
      <w:r>
        <w:t>3.7</w:t>
      </w:r>
      <w:r>
        <w:tab/>
        <w:t xml:space="preserve">Incompatible </w:t>
      </w:r>
      <w:r w:rsidRPr="00FE7C7B">
        <w:t>services</w:t>
      </w:r>
      <w:bookmarkEnd w:id="24"/>
    </w:p>
    <w:p w:rsidR="009D7EA3" w:rsidRPr="003A344D" w:rsidRDefault="009D7EA3" w:rsidP="009D7EA3">
      <w:pPr>
        <w:rPr>
          <w:i/>
          <w:u w:val="single"/>
        </w:rPr>
      </w:pPr>
      <w:r>
        <w:t>To minimize regulatory issues between services, it is important to avoid spectrum already allocated to services that are incompatible with the deep-space (space-to-Earth) links. In general, the following are considered incompatible operations:</w:t>
      </w:r>
    </w:p>
    <w:p w:rsidR="009D7EA3" w:rsidRDefault="009D7EA3" w:rsidP="009D7EA3">
      <w:pPr>
        <w:pStyle w:val="enumlev1"/>
      </w:pPr>
      <w:r>
        <w:t>a)</w:t>
      </w:r>
      <w:r>
        <w:tab/>
        <w:t>Deep-space space-to-Earth links cannot use the spectrum allocated for radio astronomy and passive sensors because of the potential for interference.</w:t>
      </w:r>
    </w:p>
    <w:p w:rsidR="009D7EA3" w:rsidRDefault="009D7EA3" w:rsidP="009D7EA3">
      <w:pPr>
        <w:pStyle w:val="enumlev1"/>
      </w:pPr>
      <w:r>
        <w:t>b)</w:t>
      </w:r>
      <w:r>
        <w:tab/>
        <w:t xml:space="preserve">Deep-space missions cannot share the same space-to-Earth frequency with satellites in the Earth-exploration satellite (EES), fixed-satellite (FS), mobile-satellite (MS), and broadcasting-satellite (BS) services. This is because the signal received from a spacecraft in the deep-space is extremely weak and is very susceptible to interference from the space-to-Earth links of the near-Earth orbiters. </w:t>
      </w:r>
    </w:p>
    <w:p w:rsidR="009D7EA3" w:rsidRDefault="009D7EA3" w:rsidP="009D7EA3">
      <w:pPr>
        <w:pStyle w:val="enumlev1"/>
      </w:pPr>
      <w:r>
        <w:t>c)</w:t>
      </w:r>
      <w:r>
        <w:tab/>
        <w:t xml:space="preserve">For the same reason stated above, it is also not feasible for deep-space missions to share the same space-to-Earth frequencies with other non-deep-space SRS missions that use earth stations having a small </w:t>
      </w:r>
      <w:r w:rsidRPr="00FB1A1C">
        <w:rPr>
          <w:i/>
        </w:rPr>
        <w:t>G/T</w:t>
      </w:r>
      <w:r>
        <w:t>.</w:t>
      </w:r>
    </w:p>
    <w:p w:rsidR="009D7EA3" w:rsidRDefault="009D7EA3" w:rsidP="003C0BC7">
      <w:pPr>
        <w:rPr>
          <w:szCs w:val="22"/>
        </w:rPr>
      </w:pPr>
      <w:r>
        <w:rPr>
          <w:szCs w:val="22"/>
        </w:rPr>
        <w:t>Compliance with these constraints will limit the choices of frequency but will reduce regulatory objections. More importantly, it will avoid in the future complicated and costly operational coordination necessitated by incompatible allocations and operations.</w:t>
      </w:r>
    </w:p>
    <w:p w:rsidR="009D7EA3" w:rsidRDefault="009D7EA3" w:rsidP="009D7EA3">
      <w:pPr>
        <w:pStyle w:val="Heading2"/>
      </w:pPr>
      <w:bookmarkStart w:id="25" w:name="_Toc217095288"/>
      <w:r>
        <w:lastRenderedPageBreak/>
        <w:t>3.8</w:t>
      </w:r>
      <w:r>
        <w:tab/>
      </w:r>
      <w:r w:rsidRPr="00514147">
        <w:t xml:space="preserve">Feasibility of </w:t>
      </w:r>
      <w:r>
        <w:t xml:space="preserve">frequency </w:t>
      </w:r>
      <w:r w:rsidRPr="00FE7C7B">
        <w:t>sharing</w:t>
      </w:r>
      <w:bookmarkEnd w:id="25"/>
      <w:r>
        <w:t xml:space="preserve"> </w:t>
      </w:r>
    </w:p>
    <w:p w:rsidR="009D7EA3" w:rsidRDefault="009D7EA3" w:rsidP="007B41CB">
      <w:pPr>
        <w:rPr>
          <w:szCs w:val="22"/>
        </w:rPr>
      </w:pPr>
      <w:r>
        <w:rPr>
          <w:szCs w:val="22"/>
        </w:rPr>
        <w:t>While deep-space missions generally cannot share the same space-to-Earth frequency with Earth orbiters, it is possible for deep-space missions to use the Earth-to-space frequencies allocated to Earth orbiters in the reverse direction. The downlink signal of a deep-space mission is extremely weak and is not expected to cause interference to near-Earth satellites. The peak of the power spectral density (PSD) of a deep-space downlink received by a deep-space antenna is very close to the noise floor of the deep-space receiver. The received symbol-energy-to-noise-spectral-density ratio (</w:t>
      </w:r>
      <w:r w:rsidRPr="009173ED">
        <w:rPr>
          <w:i/>
          <w:szCs w:val="22"/>
        </w:rPr>
        <w:t>E</w:t>
      </w:r>
      <w:r w:rsidRPr="009173ED">
        <w:rPr>
          <w:i/>
          <w:szCs w:val="22"/>
          <w:vertAlign w:val="subscript"/>
        </w:rPr>
        <w:t>s</w:t>
      </w:r>
      <w:r>
        <w:rPr>
          <w:szCs w:val="22"/>
        </w:rPr>
        <w:t>/</w:t>
      </w:r>
      <w:r w:rsidRPr="009173ED">
        <w:rPr>
          <w:i/>
          <w:szCs w:val="22"/>
        </w:rPr>
        <w:t>N</w:t>
      </w:r>
      <w:r w:rsidR="007B41CB">
        <w:rPr>
          <w:iCs/>
          <w:szCs w:val="22"/>
          <w:vertAlign w:val="subscript"/>
        </w:rPr>
        <w:t>0</w:t>
      </w:r>
      <w:r>
        <w:rPr>
          <w:szCs w:val="22"/>
        </w:rPr>
        <w:t xml:space="preserve">) is 0 dB for BPSK, 3 dB for QPSK, and about 4 dB for GMSK. Existing deep-space missions can operate at </w:t>
      </w:r>
      <w:r w:rsidRPr="009173ED">
        <w:rPr>
          <w:i/>
          <w:szCs w:val="22"/>
        </w:rPr>
        <w:t>E</w:t>
      </w:r>
      <w:r w:rsidRPr="009173ED">
        <w:rPr>
          <w:i/>
          <w:szCs w:val="22"/>
          <w:vertAlign w:val="subscript"/>
        </w:rPr>
        <w:t>s</w:t>
      </w:r>
      <w:r>
        <w:rPr>
          <w:szCs w:val="22"/>
        </w:rPr>
        <w:t>/</w:t>
      </w:r>
      <w:r w:rsidRPr="009173ED">
        <w:rPr>
          <w:i/>
          <w:szCs w:val="22"/>
        </w:rPr>
        <w:t>N</w:t>
      </w:r>
      <w:r w:rsidR="007B41CB">
        <w:rPr>
          <w:iCs/>
          <w:szCs w:val="22"/>
          <w:vertAlign w:val="subscript"/>
        </w:rPr>
        <w:t>0</w:t>
      </w:r>
      <w:r>
        <w:rPr>
          <w:szCs w:val="22"/>
        </w:rPr>
        <w:t xml:space="preserve"> of </w:t>
      </w:r>
      <w:r>
        <w:rPr>
          <w:szCs w:val="22"/>
        </w:rPr>
        <w:sym w:font="Symbol" w:char="F02D"/>
      </w:r>
      <w:r>
        <w:rPr>
          <w:szCs w:val="22"/>
        </w:rPr>
        <w:t xml:space="preserve">3 to </w:t>
      </w:r>
      <w:r>
        <w:rPr>
          <w:szCs w:val="22"/>
        </w:rPr>
        <w:sym w:font="Symbol" w:char="F02D"/>
      </w:r>
      <w:r>
        <w:rPr>
          <w:szCs w:val="22"/>
        </w:rPr>
        <w:t xml:space="preserve">5 dB using error-correcting codes with a large coding gain. Assuming a concatenated Reed-Solomon plus 7-1/2 convolution code, the required </w:t>
      </w:r>
      <w:r w:rsidRPr="009173ED">
        <w:rPr>
          <w:i/>
          <w:szCs w:val="22"/>
        </w:rPr>
        <w:t>E</w:t>
      </w:r>
      <w:r>
        <w:rPr>
          <w:i/>
          <w:szCs w:val="22"/>
          <w:vertAlign w:val="subscript"/>
        </w:rPr>
        <w:t>b</w:t>
      </w:r>
      <w:r>
        <w:rPr>
          <w:szCs w:val="22"/>
        </w:rPr>
        <w:t>/</w:t>
      </w:r>
      <w:r w:rsidRPr="009173ED">
        <w:rPr>
          <w:i/>
          <w:szCs w:val="22"/>
        </w:rPr>
        <w:t>N</w:t>
      </w:r>
      <w:r w:rsidR="007B41CB">
        <w:rPr>
          <w:iCs/>
          <w:szCs w:val="22"/>
          <w:vertAlign w:val="subscript"/>
        </w:rPr>
        <w:t>0</w:t>
      </w:r>
      <w:r>
        <w:rPr>
          <w:szCs w:val="22"/>
        </w:rPr>
        <w:t xml:space="preserve"> is 2.3 dB for a bit-error rate of 1.0e-5, corresponding to an </w:t>
      </w:r>
      <w:r w:rsidRPr="009173ED">
        <w:rPr>
          <w:i/>
          <w:szCs w:val="22"/>
        </w:rPr>
        <w:t>E</w:t>
      </w:r>
      <w:r w:rsidRPr="009173ED">
        <w:rPr>
          <w:i/>
          <w:szCs w:val="22"/>
          <w:vertAlign w:val="subscript"/>
        </w:rPr>
        <w:t>s</w:t>
      </w:r>
      <w:r>
        <w:rPr>
          <w:szCs w:val="22"/>
        </w:rPr>
        <w:t>/</w:t>
      </w:r>
      <w:r w:rsidRPr="009173ED">
        <w:rPr>
          <w:i/>
          <w:szCs w:val="22"/>
        </w:rPr>
        <w:t>N</w:t>
      </w:r>
      <w:r w:rsidR="007B41CB">
        <w:rPr>
          <w:iCs/>
          <w:szCs w:val="22"/>
          <w:vertAlign w:val="subscript"/>
        </w:rPr>
        <w:t>0</w:t>
      </w:r>
      <w:r>
        <w:rPr>
          <w:szCs w:val="22"/>
        </w:rPr>
        <w:t xml:space="preserve"> of about 0 dB. The received peak PSD is thus the same as the receiver noise floor. For a 400 </w:t>
      </w:r>
      <w:r>
        <w:t>×</w:t>
      </w:r>
      <w:r>
        <w:rPr>
          <w:szCs w:val="22"/>
        </w:rPr>
        <w:t xml:space="preserve"> 12-m array with a system noise temperature of 40 K, the</w:t>
      </w:r>
      <w:r w:rsidRPr="00FF5EBA">
        <w:rPr>
          <w:szCs w:val="22"/>
        </w:rPr>
        <w:t xml:space="preserve"> </w:t>
      </w:r>
      <w:r>
        <w:rPr>
          <w:szCs w:val="22"/>
        </w:rPr>
        <w:t xml:space="preserve">noise spectral density is about </w:t>
      </w:r>
      <w:r>
        <w:rPr>
          <w:szCs w:val="22"/>
        </w:rPr>
        <w:sym w:font="Symbol" w:char="F02D"/>
      </w:r>
      <w:r>
        <w:rPr>
          <w:szCs w:val="22"/>
        </w:rPr>
        <w:t>213 dB(W/Hz) and the equivalent aperture area is about 44 dB(m</w:t>
      </w:r>
      <w:r w:rsidRPr="00F0432C">
        <w:rPr>
          <w:szCs w:val="22"/>
          <w:vertAlign w:val="superscript"/>
        </w:rPr>
        <w:t>2</w:t>
      </w:r>
      <w:r>
        <w:rPr>
          <w:szCs w:val="22"/>
        </w:rPr>
        <w:t xml:space="preserve">). The peak PSD received by the array is </w:t>
      </w:r>
      <w:r>
        <w:rPr>
          <w:szCs w:val="22"/>
        </w:rPr>
        <w:sym w:font="Symbol" w:char="F02D"/>
      </w:r>
      <w:r>
        <w:rPr>
          <w:szCs w:val="22"/>
        </w:rPr>
        <w:t xml:space="preserve">213 dB(W/Hz), corresponding to a peak spectral power flux-density of </w:t>
      </w:r>
      <w:r>
        <w:rPr>
          <w:szCs w:val="22"/>
        </w:rPr>
        <w:sym w:font="Symbol" w:char="F02D"/>
      </w:r>
      <w:r>
        <w:rPr>
          <w:szCs w:val="22"/>
        </w:rPr>
        <w:t>257 dB(W/m</w:t>
      </w:r>
      <w:r w:rsidRPr="00554722">
        <w:rPr>
          <w:szCs w:val="22"/>
          <w:vertAlign w:val="superscript"/>
        </w:rPr>
        <w:t>2</w:t>
      </w:r>
      <w:r>
        <w:rPr>
          <w:szCs w:val="22"/>
        </w:rPr>
        <w:t xml:space="preserve">/Hz). This signal when received by an Earth orbiter would be far below the noise floor of its receiver. </w:t>
      </w:r>
    </w:p>
    <w:p w:rsidR="009D7EA3" w:rsidRDefault="009D7EA3" w:rsidP="007B41CB">
      <w:r>
        <w:t>A simple link analysis is given in Table 5 for a specific scenario: a hypothetical link from Mars at a</w:t>
      </w:r>
      <w:r w:rsidR="007B41CB">
        <w:t xml:space="preserve"> </w:t>
      </w:r>
      <w:r>
        <w:t xml:space="preserve">Mars-Earth range of 1 AU operating at 30 GHz with a fully deployed antenna array. The spacecraft has 1 kW transmit power and a 3 m high-gain antenna. The ground antenna array has a gain of 90 dBi. At a rate of 1 Gs/s, the link analysis shows a received </w:t>
      </w:r>
      <w:r w:rsidRPr="009173ED">
        <w:rPr>
          <w:i/>
          <w:szCs w:val="22"/>
        </w:rPr>
        <w:t>E</w:t>
      </w:r>
      <w:r w:rsidRPr="009173ED">
        <w:rPr>
          <w:i/>
          <w:szCs w:val="22"/>
          <w:vertAlign w:val="subscript"/>
        </w:rPr>
        <w:t>s</w:t>
      </w:r>
      <w:r>
        <w:rPr>
          <w:szCs w:val="22"/>
        </w:rPr>
        <w:t>/</w:t>
      </w:r>
      <w:r w:rsidRPr="009173ED">
        <w:rPr>
          <w:i/>
          <w:szCs w:val="22"/>
        </w:rPr>
        <w:t>N</w:t>
      </w:r>
      <w:r w:rsidR="007B41CB">
        <w:rPr>
          <w:iCs/>
          <w:szCs w:val="22"/>
          <w:vertAlign w:val="subscript"/>
        </w:rPr>
        <w:t>0</w:t>
      </w:r>
      <w:r>
        <w:t xml:space="preserve"> of 19 dB, much more than what is needed. Even with this high EIRP from the spacecraft, the amount of interference received by an Earth orbiter is almost 87 dB below the noise floor of the receiver. It is assumed in the link analysis that the deep-space downlink signal is received by a near-Earth satellite through the side lobe of its antenna with 0 dBi gain. Even in the extremely unlikely event when the interference enters the satellite through the main beam of its antenna, the peak PSD would still be far below the noise floor of the satellite receiver. </w:t>
      </w:r>
    </w:p>
    <w:p w:rsidR="009D7EA3" w:rsidRDefault="009D7EA3" w:rsidP="003C0BC7">
      <w:pPr>
        <w:rPr>
          <w:szCs w:val="22"/>
        </w:rPr>
      </w:pPr>
      <w:r>
        <w:rPr>
          <w:szCs w:val="22"/>
        </w:rPr>
        <w:t>Significant interference from Earth orbiter uplinks to the deep-space downlink is not expected due to the high directivity of the antenna of the deep-space earth stations.</w:t>
      </w:r>
    </w:p>
    <w:p w:rsidR="00430679" w:rsidRPr="00FE7C7B" w:rsidRDefault="00430679" w:rsidP="00430679">
      <w:pPr>
        <w:pStyle w:val="Heading1"/>
      </w:pPr>
      <w:bookmarkStart w:id="26" w:name="_Toc217095316"/>
      <w:r>
        <w:t>4</w:t>
      </w:r>
      <w:r>
        <w:tab/>
      </w:r>
      <w:r w:rsidRPr="00FE7C7B">
        <w:t>Spectrum that could be considered for possible allocations</w:t>
      </w:r>
    </w:p>
    <w:p w:rsidR="00430679" w:rsidRDefault="00430679" w:rsidP="00430679">
      <w:r>
        <w:t xml:space="preserve">Consideration of propagation characteristics, technology maturity, space equipment, and ground infrastructure suggests that the spectrum most suitable for future wideband deep-space missions is in the 8-40 GHz range. </w:t>
      </w:r>
    </w:p>
    <w:p w:rsidR="00430679" w:rsidRDefault="00430679" w:rsidP="00430679">
      <w:r>
        <w:t>One way to obtain the needed spectrum is to upgrade the existing</w:t>
      </w:r>
      <w:r w:rsidRPr="008B7D3B">
        <w:t xml:space="preserve"> allocation</w:t>
      </w:r>
      <w:r>
        <w:t>s</w:t>
      </w:r>
      <w:r w:rsidRPr="008B7D3B">
        <w:t xml:space="preserve"> from a secondary status to a primary status</w:t>
      </w:r>
      <w:r>
        <w:t>.</w:t>
      </w:r>
      <w:r w:rsidRPr="00FA3E82">
        <w:t xml:space="preserve"> </w:t>
      </w:r>
      <w:r>
        <w:t>For example, a r</w:t>
      </w:r>
      <w:r w:rsidRPr="008B7D3B">
        <w:t>eview of the Table of Frequency Allocations</w:t>
      </w:r>
      <w:r>
        <w:t xml:space="preserve"> in the ITU Radio Regulations</w:t>
      </w:r>
      <w:r w:rsidRPr="008B7D3B">
        <w:t xml:space="preserve"> shows </w:t>
      </w:r>
      <w:r>
        <w:t>that there is a SRS (deep-space) secondary allocation in the 12.75</w:t>
      </w:r>
      <w:r>
        <w:noBreakHyphen/>
        <w:t>13.25 GHz band. Upgrading this allocation to primary status would only provide part of the needed spectrum. Additional allocations however would be needed, preferably also in the same 12</w:t>
      </w:r>
      <w:r>
        <w:noBreakHyphen/>
        <w:t>18 GHz band. There are several secondary SRS allocations in the 12-18 GHz band. Because of the difficulties in sharing the space-to-Earth frequencies between deep-space and non-deep-space missions, it may not be feasible to obtain a primary deep-space allocation from any of these SRS allocations. In addition, several 12-18 GHz band frequencies are being used by NASA’s tracking and data relay satellite system (13.775 GHz (forward), 15.0034 GHz (return), 13.4-14.05 GHz (space-to-Earth) and 14.6-15.25 (Earth-to-space)).</w:t>
      </w:r>
    </w:p>
    <w:p w:rsidR="00430679" w:rsidRDefault="00430679" w:rsidP="00430679">
      <w:pPr>
        <w:rPr>
          <w:szCs w:val="22"/>
        </w:rPr>
      </w:pPr>
      <w:r>
        <w:rPr>
          <w:szCs w:val="22"/>
        </w:rPr>
        <w:t>Another possibility is to obtain a primary deep-space allocation in spectrum that is allocated to services compatible with the SRS (deep-space). As previously stated, it is feasible for deep-space downlinks to share the Earth-to-space frequencies for EESS and FSS. Spectrum allocated for these services in the Earth-to-space direction could be a viable candidate.</w:t>
      </w:r>
    </w:p>
    <w:p w:rsidR="009D7EA3" w:rsidRDefault="009D7EA3" w:rsidP="009D7EA3">
      <w:pPr>
        <w:pStyle w:val="TableNo"/>
      </w:pPr>
      <w:r>
        <w:lastRenderedPageBreak/>
        <w:t>TABLE 5</w:t>
      </w:r>
    </w:p>
    <w:p w:rsidR="009D7EA3" w:rsidRDefault="009D7EA3" w:rsidP="009D7EA3">
      <w:pPr>
        <w:pStyle w:val="Tabletitle"/>
      </w:pPr>
      <w:r>
        <w:t>Interference from a deep-space downlink to an Earth orbiter</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2268"/>
        <w:gridCol w:w="2268"/>
      </w:tblGrid>
      <w:tr w:rsidR="009D7EA3" w:rsidRPr="00B20419" w:rsidTr="007B41CB">
        <w:trPr>
          <w:jc w:val="center"/>
        </w:trPr>
        <w:tc>
          <w:tcPr>
            <w:tcW w:w="8505" w:type="dxa"/>
            <w:gridSpan w:val="3"/>
            <w:vAlign w:val="center"/>
          </w:tcPr>
          <w:p w:rsidR="009D7EA3" w:rsidRPr="00671471" w:rsidRDefault="009D7EA3" w:rsidP="00560D86">
            <w:pPr>
              <w:pStyle w:val="Tablehead"/>
              <w:rPr>
                <w:sz w:val="20"/>
              </w:rPr>
            </w:pPr>
            <w:r w:rsidRPr="00B20419">
              <w:t>Desired signal path</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Transmitter power</w:t>
            </w:r>
          </w:p>
        </w:tc>
        <w:tc>
          <w:tcPr>
            <w:tcW w:w="2268" w:type="dxa"/>
            <w:vAlign w:val="center"/>
          </w:tcPr>
          <w:p w:rsidR="009D7EA3" w:rsidRPr="00671471" w:rsidRDefault="009D7EA3" w:rsidP="007B41CB">
            <w:pPr>
              <w:pStyle w:val="Tabletext"/>
              <w:jc w:val="center"/>
            </w:pPr>
            <w:r w:rsidRPr="00671471">
              <w:t>1</w:t>
            </w:r>
            <w:r>
              <w:t> </w:t>
            </w:r>
            <w:r w:rsidRPr="00671471">
              <w:t>000 W</w:t>
            </w:r>
          </w:p>
        </w:tc>
        <w:tc>
          <w:tcPr>
            <w:tcW w:w="2268" w:type="dxa"/>
            <w:vAlign w:val="center"/>
          </w:tcPr>
          <w:p w:rsidR="009D7EA3" w:rsidRPr="00671471" w:rsidRDefault="009D7EA3" w:rsidP="007B41CB">
            <w:pPr>
              <w:pStyle w:val="Tabletext"/>
              <w:jc w:val="center"/>
            </w:pPr>
            <w:r w:rsidRPr="00671471">
              <w:t>30</w:t>
            </w:r>
            <w:r>
              <w:t xml:space="preserve"> </w:t>
            </w:r>
            <w:r w:rsidRPr="00671471">
              <w:t>dB(W)</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Circuit loss</w:t>
            </w:r>
          </w:p>
        </w:tc>
        <w:tc>
          <w:tcPr>
            <w:tcW w:w="2268" w:type="dxa"/>
            <w:vAlign w:val="center"/>
          </w:tcPr>
          <w:p w:rsidR="009D7EA3" w:rsidRPr="00671471" w:rsidRDefault="009D7EA3" w:rsidP="007B41CB">
            <w:pPr>
              <w:pStyle w:val="Tabletext"/>
              <w:jc w:val="center"/>
            </w:pPr>
          </w:p>
        </w:tc>
        <w:tc>
          <w:tcPr>
            <w:tcW w:w="2268" w:type="dxa"/>
            <w:vAlign w:val="center"/>
          </w:tcPr>
          <w:p w:rsidR="009D7EA3" w:rsidRPr="00671471" w:rsidRDefault="009D7EA3" w:rsidP="007B41CB">
            <w:pPr>
              <w:pStyle w:val="Tabletext"/>
              <w:jc w:val="center"/>
            </w:pPr>
            <w:r w:rsidRPr="00671471">
              <w:t>3</w:t>
            </w:r>
            <w:r>
              <w:t xml:space="preserve"> </w:t>
            </w:r>
            <w:r w:rsidRPr="00671471">
              <w:t>dB</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Transmit antenna diameter</w:t>
            </w:r>
          </w:p>
        </w:tc>
        <w:tc>
          <w:tcPr>
            <w:tcW w:w="2268" w:type="dxa"/>
            <w:vAlign w:val="center"/>
          </w:tcPr>
          <w:p w:rsidR="009D7EA3" w:rsidRPr="00671471" w:rsidRDefault="009D7EA3" w:rsidP="007B41CB">
            <w:pPr>
              <w:pStyle w:val="Tabletext"/>
              <w:jc w:val="center"/>
            </w:pPr>
            <w:r w:rsidRPr="00671471">
              <w:t>3 m</w:t>
            </w:r>
          </w:p>
        </w:tc>
        <w:tc>
          <w:tcPr>
            <w:tcW w:w="2268" w:type="dxa"/>
            <w:vAlign w:val="center"/>
          </w:tcPr>
          <w:p w:rsidR="009D7EA3" w:rsidRPr="00671471" w:rsidRDefault="009D7EA3" w:rsidP="007B41CB">
            <w:pPr>
              <w:pStyle w:val="Tabletext"/>
              <w:jc w:val="center"/>
            </w:pP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Transmit antenna gain</w:t>
            </w:r>
          </w:p>
        </w:tc>
        <w:tc>
          <w:tcPr>
            <w:tcW w:w="2268" w:type="dxa"/>
            <w:vAlign w:val="center"/>
          </w:tcPr>
          <w:p w:rsidR="009D7EA3" w:rsidRPr="00671471" w:rsidRDefault="009D7EA3" w:rsidP="007B41CB">
            <w:pPr>
              <w:pStyle w:val="Tabletext"/>
              <w:jc w:val="center"/>
            </w:pPr>
          </w:p>
        </w:tc>
        <w:tc>
          <w:tcPr>
            <w:tcW w:w="2268" w:type="dxa"/>
            <w:vAlign w:val="center"/>
          </w:tcPr>
          <w:p w:rsidR="009D7EA3" w:rsidRPr="00671471" w:rsidRDefault="009D7EA3" w:rsidP="007B41CB">
            <w:pPr>
              <w:pStyle w:val="Tabletext"/>
              <w:jc w:val="center"/>
            </w:pPr>
            <w:r w:rsidRPr="00671471">
              <w:t>57</w:t>
            </w:r>
            <w:r>
              <w:t xml:space="preserve"> </w:t>
            </w:r>
            <w:r w:rsidRPr="00671471">
              <w:t>dBi</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EIRP</w:t>
            </w:r>
          </w:p>
        </w:tc>
        <w:tc>
          <w:tcPr>
            <w:tcW w:w="2268" w:type="dxa"/>
            <w:vAlign w:val="center"/>
          </w:tcPr>
          <w:p w:rsidR="009D7EA3" w:rsidRPr="00671471" w:rsidRDefault="009D7EA3" w:rsidP="007B41CB">
            <w:pPr>
              <w:pStyle w:val="Tabletext"/>
              <w:jc w:val="center"/>
            </w:pPr>
          </w:p>
        </w:tc>
        <w:tc>
          <w:tcPr>
            <w:tcW w:w="2268" w:type="dxa"/>
            <w:vAlign w:val="center"/>
          </w:tcPr>
          <w:p w:rsidR="009D7EA3" w:rsidRPr="00671471" w:rsidRDefault="009D7EA3" w:rsidP="007B41CB">
            <w:pPr>
              <w:pStyle w:val="Tabletext"/>
              <w:jc w:val="center"/>
            </w:pPr>
            <w:r w:rsidRPr="00671471">
              <w:t>84</w:t>
            </w:r>
            <w:r>
              <w:t xml:space="preserve"> </w:t>
            </w:r>
            <w:r w:rsidRPr="00671471">
              <w:t>dB(W)</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Symbol rate</w:t>
            </w:r>
          </w:p>
        </w:tc>
        <w:tc>
          <w:tcPr>
            <w:tcW w:w="2268" w:type="dxa"/>
            <w:vAlign w:val="center"/>
          </w:tcPr>
          <w:p w:rsidR="009D7EA3" w:rsidRPr="00671471" w:rsidRDefault="009D7EA3" w:rsidP="007B41CB">
            <w:pPr>
              <w:pStyle w:val="Tabletext"/>
              <w:jc w:val="center"/>
            </w:pPr>
            <w:r w:rsidRPr="00671471">
              <w:t>1</w:t>
            </w:r>
            <w:r>
              <w:t> </w:t>
            </w:r>
            <w:r w:rsidRPr="00671471">
              <w:t>000 Ms/s</w:t>
            </w:r>
          </w:p>
        </w:tc>
        <w:tc>
          <w:tcPr>
            <w:tcW w:w="2268" w:type="dxa"/>
            <w:vAlign w:val="center"/>
          </w:tcPr>
          <w:p w:rsidR="009D7EA3" w:rsidRPr="00671471" w:rsidRDefault="009D7EA3" w:rsidP="007B41CB">
            <w:pPr>
              <w:pStyle w:val="Tabletext"/>
              <w:jc w:val="center"/>
            </w:pPr>
            <w:r w:rsidRPr="00671471">
              <w:t>90</w:t>
            </w:r>
            <w:r>
              <w:t xml:space="preserve"> </w:t>
            </w:r>
            <w:r w:rsidRPr="00671471">
              <w:t>dB(sym/s)</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Frequency</w:t>
            </w:r>
          </w:p>
        </w:tc>
        <w:tc>
          <w:tcPr>
            <w:tcW w:w="2268" w:type="dxa"/>
            <w:vAlign w:val="center"/>
          </w:tcPr>
          <w:p w:rsidR="009D7EA3" w:rsidRPr="00671471" w:rsidRDefault="009D7EA3" w:rsidP="007B41CB">
            <w:pPr>
              <w:pStyle w:val="Tabletext"/>
              <w:jc w:val="center"/>
            </w:pPr>
            <w:r w:rsidRPr="00671471">
              <w:t>30</w:t>
            </w:r>
            <w:r>
              <w:t xml:space="preserve"> </w:t>
            </w:r>
            <w:r w:rsidRPr="00671471">
              <w:t>GHz</w:t>
            </w:r>
          </w:p>
        </w:tc>
        <w:tc>
          <w:tcPr>
            <w:tcW w:w="2268" w:type="dxa"/>
            <w:vAlign w:val="center"/>
          </w:tcPr>
          <w:p w:rsidR="009D7EA3" w:rsidRPr="00671471" w:rsidRDefault="009D7EA3" w:rsidP="007B41CB">
            <w:pPr>
              <w:pStyle w:val="Tabletext"/>
              <w:jc w:val="center"/>
            </w:pP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Range</w:t>
            </w:r>
          </w:p>
        </w:tc>
        <w:tc>
          <w:tcPr>
            <w:tcW w:w="2268" w:type="dxa"/>
            <w:vAlign w:val="center"/>
          </w:tcPr>
          <w:p w:rsidR="009D7EA3" w:rsidRPr="00671471" w:rsidRDefault="009D7EA3" w:rsidP="007B41CB">
            <w:pPr>
              <w:pStyle w:val="Tabletext"/>
              <w:jc w:val="center"/>
            </w:pPr>
            <w:r w:rsidRPr="00671471">
              <w:t>150</w:t>
            </w:r>
            <w:r>
              <w:t xml:space="preserve"> </w:t>
            </w:r>
            <w:r w:rsidRPr="00671471">
              <w:t>Mkm</w:t>
            </w:r>
          </w:p>
        </w:tc>
        <w:tc>
          <w:tcPr>
            <w:tcW w:w="2268" w:type="dxa"/>
            <w:vAlign w:val="center"/>
          </w:tcPr>
          <w:p w:rsidR="009D7EA3" w:rsidRPr="00671471" w:rsidRDefault="009D7EA3" w:rsidP="007B41CB">
            <w:pPr>
              <w:pStyle w:val="Tabletext"/>
              <w:jc w:val="center"/>
            </w:pP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Range</w:t>
            </w:r>
          </w:p>
        </w:tc>
        <w:tc>
          <w:tcPr>
            <w:tcW w:w="2268" w:type="dxa"/>
            <w:vAlign w:val="center"/>
          </w:tcPr>
          <w:p w:rsidR="009D7EA3" w:rsidRPr="00671471" w:rsidRDefault="009D7EA3" w:rsidP="007B41CB">
            <w:pPr>
              <w:pStyle w:val="Tabletext"/>
              <w:jc w:val="center"/>
            </w:pPr>
            <w:r w:rsidRPr="00671471">
              <w:t>1.0</w:t>
            </w:r>
            <w:r>
              <w:t xml:space="preserve"> </w:t>
            </w:r>
            <w:r w:rsidRPr="00671471">
              <w:t>AU</w:t>
            </w:r>
          </w:p>
        </w:tc>
        <w:tc>
          <w:tcPr>
            <w:tcW w:w="2268" w:type="dxa"/>
            <w:vAlign w:val="center"/>
          </w:tcPr>
          <w:p w:rsidR="009D7EA3" w:rsidRPr="00671471" w:rsidRDefault="009D7EA3" w:rsidP="007B41CB">
            <w:pPr>
              <w:pStyle w:val="Tabletext"/>
              <w:jc w:val="center"/>
            </w:pP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Space loss</w:t>
            </w:r>
          </w:p>
        </w:tc>
        <w:tc>
          <w:tcPr>
            <w:tcW w:w="2268" w:type="dxa"/>
            <w:vAlign w:val="center"/>
          </w:tcPr>
          <w:p w:rsidR="009D7EA3" w:rsidRPr="00671471" w:rsidRDefault="009D7EA3" w:rsidP="007B41CB">
            <w:pPr>
              <w:pStyle w:val="Tabletext"/>
              <w:jc w:val="center"/>
            </w:pPr>
          </w:p>
        </w:tc>
        <w:tc>
          <w:tcPr>
            <w:tcW w:w="2268" w:type="dxa"/>
            <w:vAlign w:val="center"/>
          </w:tcPr>
          <w:p w:rsidR="009D7EA3" w:rsidRPr="00671471" w:rsidRDefault="009D7EA3" w:rsidP="007B41CB">
            <w:pPr>
              <w:pStyle w:val="Tabletext"/>
              <w:jc w:val="center"/>
            </w:pPr>
            <w:r w:rsidRPr="00671471">
              <w:t>286</w:t>
            </w:r>
            <w:r>
              <w:t xml:space="preserve"> </w:t>
            </w:r>
            <w:r w:rsidRPr="00671471">
              <w:t>dB</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Equivalent receive antenna diameter</w:t>
            </w:r>
          </w:p>
        </w:tc>
        <w:tc>
          <w:tcPr>
            <w:tcW w:w="2268" w:type="dxa"/>
            <w:vAlign w:val="center"/>
          </w:tcPr>
          <w:p w:rsidR="009D7EA3" w:rsidRPr="00671471" w:rsidRDefault="009D7EA3" w:rsidP="007B41CB">
            <w:pPr>
              <w:pStyle w:val="Tabletext"/>
              <w:jc w:val="center"/>
            </w:pPr>
            <w:r w:rsidRPr="00671471">
              <w:t>240</w:t>
            </w:r>
            <w:r>
              <w:t xml:space="preserve"> </w:t>
            </w:r>
            <w:r w:rsidRPr="00671471">
              <w:t>m</w:t>
            </w:r>
          </w:p>
        </w:tc>
        <w:tc>
          <w:tcPr>
            <w:tcW w:w="2268" w:type="dxa"/>
            <w:vAlign w:val="center"/>
          </w:tcPr>
          <w:p w:rsidR="009D7EA3" w:rsidRPr="00671471" w:rsidRDefault="009D7EA3" w:rsidP="007B41CB">
            <w:pPr>
              <w:pStyle w:val="Tabletext"/>
              <w:jc w:val="center"/>
            </w:pP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Equivalent receive antenna gain</w:t>
            </w:r>
          </w:p>
        </w:tc>
        <w:tc>
          <w:tcPr>
            <w:tcW w:w="2268" w:type="dxa"/>
            <w:vAlign w:val="center"/>
          </w:tcPr>
          <w:p w:rsidR="009D7EA3" w:rsidRPr="00671471" w:rsidRDefault="009D7EA3" w:rsidP="007B41CB">
            <w:pPr>
              <w:pStyle w:val="Tabletext"/>
              <w:jc w:val="center"/>
            </w:pPr>
          </w:p>
        </w:tc>
        <w:tc>
          <w:tcPr>
            <w:tcW w:w="2268" w:type="dxa"/>
            <w:vAlign w:val="center"/>
          </w:tcPr>
          <w:p w:rsidR="009D7EA3" w:rsidRPr="00671471" w:rsidRDefault="009D7EA3" w:rsidP="007B41CB">
            <w:pPr>
              <w:pStyle w:val="Tabletext"/>
              <w:jc w:val="center"/>
            </w:pPr>
            <w:r w:rsidRPr="00671471">
              <w:t>95</w:t>
            </w:r>
            <w:r>
              <w:t xml:space="preserve"> </w:t>
            </w:r>
            <w:r w:rsidRPr="00671471">
              <w:t>dBi</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Received signal power (</w:t>
            </w:r>
            <w:r w:rsidRPr="009173ED">
              <w:rPr>
                <w:i/>
              </w:rPr>
              <w:t>P</w:t>
            </w:r>
            <w:r w:rsidRPr="009173ED">
              <w:rPr>
                <w:i/>
                <w:vertAlign w:val="subscript"/>
              </w:rPr>
              <w:t>t</w:t>
            </w:r>
            <w:r w:rsidRPr="00B20419">
              <w:t>)</w:t>
            </w:r>
          </w:p>
        </w:tc>
        <w:tc>
          <w:tcPr>
            <w:tcW w:w="2268" w:type="dxa"/>
            <w:vAlign w:val="center"/>
          </w:tcPr>
          <w:p w:rsidR="009D7EA3" w:rsidRPr="00671471" w:rsidRDefault="009D7EA3" w:rsidP="007B41CB">
            <w:pPr>
              <w:pStyle w:val="Tabletext"/>
              <w:jc w:val="center"/>
            </w:pPr>
          </w:p>
        </w:tc>
        <w:tc>
          <w:tcPr>
            <w:tcW w:w="2268" w:type="dxa"/>
            <w:vAlign w:val="center"/>
          </w:tcPr>
          <w:p w:rsidR="009D7EA3" w:rsidRPr="00671471" w:rsidRDefault="009D7EA3" w:rsidP="007B41CB">
            <w:pPr>
              <w:pStyle w:val="Tabletext"/>
              <w:jc w:val="center"/>
            </w:pPr>
            <w:r>
              <w:sym w:font="Symbol" w:char="F02D"/>
            </w:r>
            <w:r w:rsidRPr="00671471">
              <w:t>107</w:t>
            </w:r>
            <w:r>
              <w:t xml:space="preserve"> </w:t>
            </w:r>
            <w:r w:rsidRPr="00671471">
              <w:t>dB(W)</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Receiver system noise temp</w:t>
            </w:r>
            <w:r w:rsidR="007B41CB">
              <w:t>erature</w:t>
            </w:r>
          </w:p>
        </w:tc>
        <w:tc>
          <w:tcPr>
            <w:tcW w:w="2268" w:type="dxa"/>
            <w:vAlign w:val="center"/>
          </w:tcPr>
          <w:p w:rsidR="009D7EA3" w:rsidRPr="00671471" w:rsidRDefault="009D7EA3" w:rsidP="007B41CB">
            <w:pPr>
              <w:pStyle w:val="Tabletext"/>
              <w:jc w:val="center"/>
            </w:pPr>
            <w:r w:rsidRPr="00671471">
              <w:t>40</w:t>
            </w:r>
            <w:r>
              <w:t xml:space="preserve"> </w:t>
            </w:r>
            <w:r w:rsidRPr="00671471">
              <w:t>K</w:t>
            </w:r>
          </w:p>
        </w:tc>
        <w:tc>
          <w:tcPr>
            <w:tcW w:w="2268" w:type="dxa"/>
            <w:vAlign w:val="center"/>
          </w:tcPr>
          <w:p w:rsidR="009D7EA3" w:rsidRPr="00671471" w:rsidRDefault="009D7EA3" w:rsidP="007B41CB">
            <w:pPr>
              <w:pStyle w:val="Tabletext"/>
              <w:jc w:val="center"/>
            </w:pPr>
            <w:r w:rsidRPr="00671471">
              <w:t>16</w:t>
            </w:r>
            <w:r>
              <w:t xml:space="preserve"> </w:t>
            </w:r>
            <w:r w:rsidRPr="00671471">
              <w:t>dB(K)</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Receiver noise spectral density (</w:t>
            </w:r>
            <w:r w:rsidRPr="009173ED">
              <w:rPr>
                <w:i/>
              </w:rPr>
              <w:t>N</w:t>
            </w:r>
            <w:r w:rsidR="007B41CB">
              <w:rPr>
                <w:iCs/>
                <w:vertAlign w:val="subscript"/>
              </w:rPr>
              <w:t>0</w:t>
            </w:r>
            <w:r w:rsidRPr="00B20419">
              <w:t>)</w:t>
            </w:r>
          </w:p>
        </w:tc>
        <w:tc>
          <w:tcPr>
            <w:tcW w:w="2268" w:type="dxa"/>
            <w:vAlign w:val="center"/>
          </w:tcPr>
          <w:p w:rsidR="009D7EA3" w:rsidRPr="00671471" w:rsidRDefault="009D7EA3" w:rsidP="007B41CB">
            <w:pPr>
              <w:pStyle w:val="Tabletext"/>
              <w:jc w:val="center"/>
            </w:pPr>
          </w:p>
        </w:tc>
        <w:tc>
          <w:tcPr>
            <w:tcW w:w="2268" w:type="dxa"/>
            <w:vAlign w:val="center"/>
          </w:tcPr>
          <w:p w:rsidR="009D7EA3" w:rsidRPr="00671471" w:rsidRDefault="009D7EA3" w:rsidP="007B41CB">
            <w:pPr>
              <w:pStyle w:val="Tabletext"/>
              <w:jc w:val="center"/>
            </w:pPr>
            <w:r>
              <w:sym w:font="Symbol" w:char="F02D"/>
            </w:r>
            <w:r w:rsidRPr="00671471">
              <w:t>213</w:t>
            </w:r>
            <w:r>
              <w:t xml:space="preserve"> </w:t>
            </w:r>
            <w:r w:rsidRPr="00671471">
              <w:t>dB(W/Hz)</w:t>
            </w:r>
          </w:p>
        </w:tc>
      </w:tr>
      <w:tr w:rsidR="009D7EA3" w:rsidRPr="00B20419" w:rsidTr="007B41CB">
        <w:trPr>
          <w:jc w:val="center"/>
        </w:trPr>
        <w:tc>
          <w:tcPr>
            <w:tcW w:w="3969" w:type="dxa"/>
            <w:vAlign w:val="center"/>
          </w:tcPr>
          <w:p w:rsidR="009D7EA3" w:rsidRPr="00B20419" w:rsidRDefault="009D7EA3" w:rsidP="007B41CB">
            <w:pPr>
              <w:pStyle w:val="Tabletext"/>
              <w:jc w:val="left"/>
            </w:pPr>
            <w:r>
              <w:t>Received</w:t>
            </w:r>
            <w:r w:rsidRPr="009173ED">
              <w:rPr>
                <w:i/>
              </w:rPr>
              <w:t xml:space="preserve"> P</w:t>
            </w:r>
            <w:r w:rsidRPr="009173ED">
              <w:rPr>
                <w:i/>
                <w:vertAlign w:val="subscript"/>
              </w:rPr>
              <w:t>t</w:t>
            </w:r>
            <w:r w:rsidRPr="00B20419">
              <w:t>/</w:t>
            </w:r>
            <w:r w:rsidRPr="009173ED">
              <w:rPr>
                <w:i/>
              </w:rPr>
              <w:t>N</w:t>
            </w:r>
            <w:r w:rsidR="007B41CB">
              <w:rPr>
                <w:iCs/>
                <w:vertAlign w:val="subscript"/>
              </w:rPr>
              <w:t>0</w:t>
            </w:r>
          </w:p>
        </w:tc>
        <w:tc>
          <w:tcPr>
            <w:tcW w:w="2268" w:type="dxa"/>
            <w:vAlign w:val="center"/>
          </w:tcPr>
          <w:p w:rsidR="009D7EA3" w:rsidRPr="00671471" w:rsidRDefault="009D7EA3" w:rsidP="007B41CB">
            <w:pPr>
              <w:pStyle w:val="Tabletext"/>
              <w:jc w:val="center"/>
            </w:pPr>
          </w:p>
        </w:tc>
        <w:tc>
          <w:tcPr>
            <w:tcW w:w="2268" w:type="dxa"/>
            <w:vAlign w:val="center"/>
          </w:tcPr>
          <w:p w:rsidR="009D7EA3" w:rsidRPr="00671471" w:rsidRDefault="009D7EA3" w:rsidP="007B41CB">
            <w:pPr>
              <w:pStyle w:val="Tabletext"/>
              <w:jc w:val="center"/>
            </w:pPr>
            <w:r w:rsidRPr="00671471">
              <w:t>106</w:t>
            </w:r>
            <w:r>
              <w:t xml:space="preserve"> </w:t>
            </w:r>
            <w:r w:rsidRPr="00671471">
              <w:t>dB(Hz)</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9173ED">
              <w:rPr>
                <w:i/>
                <w:szCs w:val="22"/>
              </w:rPr>
              <w:t>E</w:t>
            </w:r>
            <w:r w:rsidRPr="009173ED">
              <w:rPr>
                <w:i/>
                <w:szCs w:val="22"/>
                <w:vertAlign w:val="subscript"/>
              </w:rPr>
              <w:t>s</w:t>
            </w:r>
            <w:r>
              <w:rPr>
                <w:szCs w:val="22"/>
              </w:rPr>
              <w:t>/</w:t>
            </w:r>
            <w:r w:rsidRPr="009173ED">
              <w:rPr>
                <w:i/>
                <w:szCs w:val="22"/>
              </w:rPr>
              <w:t>N</w:t>
            </w:r>
            <w:r w:rsidR="007B41CB">
              <w:rPr>
                <w:iCs/>
                <w:szCs w:val="22"/>
                <w:vertAlign w:val="subscript"/>
              </w:rPr>
              <w:t>0</w:t>
            </w:r>
          </w:p>
        </w:tc>
        <w:tc>
          <w:tcPr>
            <w:tcW w:w="2268" w:type="dxa"/>
            <w:vAlign w:val="center"/>
          </w:tcPr>
          <w:p w:rsidR="009D7EA3" w:rsidRPr="00671471" w:rsidRDefault="009D7EA3" w:rsidP="007B41CB">
            <w:pPr>
              <w:pStyle w:val="Tabletext"/>
              <w:jc w:val="center"/>
            </w:pPr>
          </w:p>
        </w:tc>
        <w:tc>
          <w:tcPr>
            <w:tcW w:w="2268" w:type="dxa"/>
            <w:vAlign w:val="center"/>
          </w:tcPr>
          <w:p w:rsidR="009D7EA3" w:rsidRPr="00671471" w:rsidRDefault="009D7EA3" w:rsidP="007B41CB">
            <w:pPr>
              <w:pStyle w:val="Tabletext"/>
              <w:jc w:val="center"/>
            </w:pPr>
            <w:r w:rsidRPr="00671471">
              <w:t>19</w:t>
            </w:r>
            <w:r>
              <w:t xml:space="preserve"> </w:t>
            </w:r>
            <w:r w:rsidRPr="00671471">
              <w:t>dB</w:t>
            </w:r>
          </w:p>
        </w:tc>
      </w:tr>
      <w:tr w:rsidR="009D7EA3" w:rsidRPr="00B20419" w:rsidTr="007B41CB">
        <w:trPr>
          <w:jc w:val="center"/>
        </w:trPr>
        <w:tc>
          <w:tcPr>
            <w:tcW w:w="8505" w:type="dxa"/>
            <w:gridSpan w:val="3"/>
            <w:vAlign w:val="center"/>
          </w:tcPr>
          <w:p w:rsidR="009D7EA3" w:rsidRPr="00671471" w:rsidRDefault="009D7EA3" w:rsidP="00560D86">
            <w:pPr>
              <w:pStyle w:val="Tablehead"/>
              <w:rPr>
                <w:sz w:val="20"/>
              </w:rPr>
            </w:pPr>
            <w:r w:rsidRPr="00B20419">
              <w:t>Interference to the receiver of an Earth orbiter</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EIRP</w:t>
            </w:r>
          </w:p>
        </w:tc>
        <w:tc>
          <w:tcPr>
            <w:tcW w:w="2268" w:type="dxa"/>
            <w:vAlign w:val="center"/>
          </w:tcPr>
          <w:p w:rsidR="009D7EA3" w:rsidRPr="00B20419" w:rsidRDefault="009D7EA3" w:rsidP="007B41CB">
            <w:pPr>
              <w:pStyle w:val="Tabletext"/>
              <w:jc w:val="center"/>
            </w:pPr>
          </w:p>
        </w:tc>
        <w:tc>
          <w:tcPr>
            <w:tcW w:w="2268" w:type="dxa"/>
            <w:vAlign w:val="center"/>
          </w:tcPr>
          <w:p w:rsidR="009D7EA3" w:rsidRPr="00B20419" w:rsidRDefault="009D7EA3" w:rsidP="007B41CB">
            <w:pPr>
              <w:pStyle w:val="Tabletext"/>
              <w:jc w:val="center"/>
            </w:pPr>
            <w:r w:rsidRPr="00B20419">
              <w:t>84</w:t>
            </w:r>
            <w:r>
              <w:t xml:space="preserve"> </w:t>
            </w:r>
            <w:r w:rsidRPr="00B20419">
              <w:t>dB(W)</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Symbol rate</w:t>
            </w:r>
          </w:p>
        </w:tc>
        <w:tc>
          <w:tcPr>
            <w:tcW w:w="2268" w:type="dxa"/>
            <w:vAlign w:val="center"/>
          </w:tcPr>
          <w:p w:rsidR="009D7EA3" w:rsidRPr="00B20419" w:rsidRDefault="009D7EA3" w:rsidP="007B41CB">
            <w:pPr>
              <w:pStyle w:val="Tabletext"/>
              <w:jc w:val="center"/>
            </w:pPr>
            <w:r w:rsidRPr="00B20419">
              <w:t>1</w:t>
            </w:r>
            <w:r>
              <w:t> </w:t>
            </w:r>
            <w:r w:rsidRPr="00B20419">
              <w:t>000</w:t>
            </w:r>
            <w:r>
              <w:t xml:space="preserve"> </w:t>
            </w:r>
            <w:r w:rsidRPr="00B20419">
              <w:t>Ms/s</w:t>
            </w:r>
          </w:p>
        </w:tc>
        <w:tc>
          <w:tcPr>
            <w:tcW w:w="2268" w:type="dxa"/>
            <w:vAlign w:val="center"/>
          </w:tcPr>
          <w:p w:rsidR="009D7EA3" w:rsidRPr="00B20419" w:rsidRDefault="009D7EA3" w:rsidP="007B41CB">
            <w:pPr>
              <w:pStyle w:val="Tabletext"/>
              <w:jc w:val="center"/>
            </w:pPr>
            <w:r w:rsidRPr="00B20419">
              <w:t>90</w:t>
            </w:r>
            <w:r>
              <w:t xml:space="preserve"> </w:t>
            </w:r>
            <w:r w:rsidRPr="00B20419">
              <w:t>dB(sym/s)</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Peak interference PSD (</w:t>
            </w:r>
            <w:r w:rsidRPr="009173ED">
              <w:rPr>
                <w:i/>
              </w:rPr>
              <w:t>I</w:t>
            </w:r>
            <w:r w:rsidR="007B41CB">
              <w:rPr>
                <w:iCs/>
                <w:vertAlign w:val="subscript"/>
              </w:rPr>
              <w:t>0</w:t>
            </w:r>
            <w:r w:rsidRPr="00B20419">
              <w:t>)</w:t>
            </w:r>
          </w:p>
        </w:tc>
        <w:tc>
          <w:tcPr>
            <w:tcW w:w="2268" w:type="dxa"/>
            <w:vAlign w:val="center"/>
          </w:tcPr>
          <w:p w:rsidR="009D7EA3" w:rsidRPr="00B20419" w:rsidRDefault="009D7EA3" w:rsidP="007B41CB">
            <w:pPr>
              <w:pStyle w:val="Tabletext"/>
              <w:jc w:val="center"/>
            </w:pPr>
          </w:p>
        </w:tc>
        <w:tc>
          <w:tcPr>
            <w:tcW w:w="2268" w:type="dxa"/>
            <w:vAlign w:val="center"/>
          </w:tcPr>
          <w:p w:rsidR="009D7EA3" w:rsidRPr="00B20419" w:rsidRDefault="009D7EA3" w:rsidP="007B41CB">
            <w:pPr>
              <w:pStyle w:val="Tabletext"/>
              <w:jc w:val="center"/>
            </w:pPr>
            <w:r>
              <w:sym w:font="Symbol" w:char="F02D"/>
            </w:r>
            <w:r w:rsidRPr="00B20419">
              <w:t>3</w:t>
            </w:r>
            <w:r>
              <w:t xml:space="preserve"> </w:t>
            </w:r>
            <w:r w:rsidRPr="00B20419">
              <w:t>dB(W/Hz)</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Range</w:t>
            </w:r>
          </w:p>
        </w:tc>
        <w:tc>
          <w:tcPr>
            <w:tcW w:w="2268" w:type="dxa"/>
            <w:vAlign w:val="center"/>
          </w:tcPr>
          <w:p w:rsidR="009D7EA3" w:rsidRPr="00B20419" w:rsidRDefault="009D7EA3" w:rsidP="007B41CB">
            <w:pPr>
              <w:pStyle w:val="Tabletext"/>
              <w:jc w:val="center"/>
            </w:pPr>
            <w:r w:rsidRPr="00B20419">
              <w:t>150</w:t>
            </w:r>
            <w:r>
              <w:t xml:space="preserve"> </w:t>
            </w:r>
            <w:r w:rsidRPr="00B20419">
              <w:t>Mkm</w:t>
            </w:r>
          </w:p>
        </w:tc>
        <w:tc>
          <w:tcPr>
            <w:tcW w:w="2268" w:type="dxa"/>
            <w:vAlign w:val="center"/>
          </w:tcPr>
          <w:p w:rsidR="009D7EA3" w:rsidRPr="00B20419" w:rsidRDefault="009D7EA3" w:rsidP="007B41CB">
            <w:pPr>
              <w:pStyle w:val="Tabletext"/>
              <w:jc w:val="center"/>
            </w:pP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Space loss</w:t>
            </w:r>
          </w:p>
        </w:tc>
        <w:tc>
          <w:tcPr>
            <w:tcW w:w="2268" w:type="dxa"/>
            <w:vAlign w:val="center"/>
          </w:tcPr>
          <w:p w:rsidR="009D7EA3" w:rsidRPr="00B20419" w:rsidRDefault="009D7EA3" w:rsidP="007B41CB">
            <w:pPr>
              <w:pStyle w:val="Tabletext"/>
              <w:jc w:val="center"/>
            </w:pPr>
          </w:p>
        </w:tc>
        <w:tc>
          <w:tcPr>
            <w:tcW w:w="2268" w:type="dxa"/>
            <w:vAlign w:val="center"/>
          </w:tcPr>
          <w:p w:rsidR="009D7EA3" w:rsidRPr="00B20419" w:rsidRDefault="009D7EA3" w:rsidP="007B41CB">
            <w:pPr>
              <w:pStyle w:val="Tabletext"/>
              <w:jc w:val="center"/>
            </w:pPr>
            <w:r w:rsidRPr="00B20419">
              <w:t>286</w:t>
            </w:r>
            <w:r>
              <w:t xml:space="preserve"> </w:t>
            </w:r>
            <w:r w:rsidRPr="00B20419">
              <w:t>dB</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Receive antenna gain</w:t>
            </w:r>
          </w:p>
        </w:tc>
        <w:tc>
          <w:tcPr>
            <w:tcW w:w="2268" w:type="dxa"/>
            <w:vAlign w:val="center"/>
          </w:tcPr>
          <w:p w:rsidR="009D7EA3" w:rsidRPr="00B20419" w:rsidRDefault="009D7EA3" w:rsidP="007B41CB">
            <w:pPr>
              <w:pStyle w:val="Tabletext"/>
              <w:jc w:val="center"/>
            </w:pPr>
          </w:p>
        </w:tc>
        <w:tc>
          <w:tcPr>
            <w:tcW w:w="2268" w:type="dxa"/>
            <w:vAlign w:val="center"/>
          </w:tcPr>
          <w:p w:rsidR="009D7EA3" w:rsidRPr="00B20419" w:rsidRDefault="009D7EA3" w:rsidP="007B41CB">
            <w:pPr>
              <w:pStyle w:val="Tabletext"/>
              <w:jc w:val="center"/>
            </w:pPr>
            <w:r w:rsidRPr="00B20419">
              <w:t>0</w:t>
            </w:r>
            <w:r>
              <w:t xml:space="preserve"> </w:t>
            </w:r>
            <w:r w:rsidRPr="00B20419">
              <w:t>dBi</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Received interference peak PSD</w:t>
            </w:r>
          </w:p>
        </w:tc>
        <w:tc>
          <w:tcPr>
            <w:tcW w:w="2268" w:type="dxa"/>
            <w:vAlign w:val="center"/>
          </w:tcPr>
          <w:p w:rsidR="009D7EA3" w:rsidRPr="00B20419" w:rsidRDefault="009D7EA3" w:rsidP="007B41CB">
            <w:pPr>
              <w:pStyle w:val="Tabletext"/>
              <w:jc w:val="center"/>
            </w:pPr>
          </w:p>
        </w:tc>
        <w:tc>
          <w:tcPr>
            <w:tcW w:w="2268" w:type="dxa"/>
            <w:vAlign w:val="center"/>
          </w:tcPr>
          <w:p w:rsidR="009D7EA3" w:rsidRPr="00B20419" w:rsidRDefault="009D7EA3" w:rsidP="007B41CB">
            <w:pPr>
              <w:pStyle w:val="Tabletext"/>
              <w:jc w:val="center"/>
            </w:pPr>
            <w:r>
              <w:sym w:font="Symbol" w:char="F02D"/>
            </w:r>
            <w:r w:rsidRPr="00B20419">
              <w:t>289</w:t>
            </w:r>
            <w:r>
              <w:t xml:space="preserve"> </w:t>
            </w:r>
            <w:r w:rsidRPr="00B20419">
              <w:t>dB(W/Hz)</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Receiver system noise temp</w:t>
            </w:r>
            <w:r w:rsidR="007B41CB">
              <w:t>erature</w:t>
            </w:r>
          </w:p>
        </w:tc>
        <w:tc>
          <w:tcPr>
            <w:tcW w:w="2268" w:type="dxa"/>
            <w:vAlign w:val="center"/>
          </w:tcPr>
          <w:p w:rsidR="009D7EA3" w:rsidRPr="00B20419" w:rsidRDefault="009D7EA3" w:rsidP="007B41CB">
            <w:pPr>
              <w:pStyle w:val="Tabletext"/>
              <w:jc w:val="center"/>
            </w:pPr>
            <w:r w:rsidRPr="00B20419">
              <w:t>500</w:t>
            </w:r>
            <w:r>
              <w:t xml:space="preserve"> </w:t>
            </w:r>
            <w:r w:rsidRPr="00B20419">
              <w:t>K</w:t>
            </w:r>
          </w:p>
        </w:tc>
        <w:tc>
          <w:tcPr>
            <w:tcW w:w="2268" w:type="dxa"/>
            <w:vAlign w:val="center"/>
          </w:tcPr>
          <w:p w:rsidR="009D7EA3" w:rsidRPr="00B20419" w:rsidRDefault="009D7EA3" w:rsidP="007B41CB">
            <w:pPr>
              <w:pStyle w:val="Tabletext"/>
              <w:jc w:val="center"/>
            </w:pPr>
            <w:r w:rsidRPr="00B20419">
              <w:t>27</w:t>
            </w:r>
            <w:r>
              <w:t xml:space="preserve"> </w:t>
            </w:r>
            <w:r w:rsidRPr="00B20419">
              <w:t>dB(K)</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Receiver noise spectral density (</w:t>
            </w:r>
            <w:r w:rsidRPr="009173ED">
              <w:rPr>
                <w:i/>
              </w:rPr>
              <w:t>N</w:t>
            </w:r>
            <w:r w:rsidR="007B41CB">
              <w:rPr>
                <w:iCs/>
                <w:vertAlign w:val="subscript"/>
              </w:rPr>
              <w:t>0</w:t>
            </w:r>
            <w:r w:rsidRPr="00B20419">
              <w:t>)</w:t>
            </w:r>
          </w:p>
        </w:tc>
        <w:tc>
          <w:tcPr>
            <w:tcW w:w="2268" w:type="dxa"/>
            <w:vAlign w:val="center"/>
          </w:tcPr>
          <w:p w:rsidR="009D7EA3" w:rsidRPr="00B20419" w:rsidRDefault="009D7EA3" w:rsidP="007B41CB">
            <w:pPr>
              <w:pStyle w:val="Tabletext"/>
              <w:jc w:val="center"/>
            </w:pPr>
          </w:p>
        </w:tc>
        <w:tc>
          <w:tcPr>
            <w:tcW w:w="2268" w:type="dxa"/>
            <w:vAlign w:val="center"/>
          </w:tcPr>
          <w:p w:rsidR="009D7EA3" w:rsidRPr="00B20419" w:rsidRDefault="009D7EA3" w:rsidP="007B41CB">
            <w:pPr>
              <w:pStyle w:val="Tabletext"/>
              <w:jc w:val="center"/>
            </w:pPr>
            <w:r>
              <w:sym w:font="Symbol" w:char="F02D"/>
            </w:r>
            <w:r w:rsidRPr="00B20419">
              <w:t>202</w:t>
            </w:r>
            <w:r>
              <w:t xml:space="preserve"> </w:t>
            </w:r>
            <w:r w:rsidRPr="00B20419">
              <w:t>dB(W/Hz)</w:t>
            </w:r>
          </w:p>
        </w:tc>
      </w:tr>
      <w:tr w:rsidR="009D7EA3" w:rsidRPr="00B20419" w:rsidTr="007B41CB">
        <w:trPr>
          <w:jc w:val="center"/>
        </w:trPr>
        <w:tc>
          <w:tcPr>
            <w:tcW w:w="3969" w:type="dxa"/>
            <w:vAlign w:val="center"/>
          </w:tcPr>
          <w:p w:rsidR="009D7EA3" w:rsidRPr="00B20419" w:rsidRDefault="009D7EA3" w:rsidP="007B41CB">
            <w:pPr>
              <w:pStyle w:val="Tabletext"/>
              <w:jc w:val="left"/>
            </w:pPr>
            <w:r w:rsidRPr="00B20419">
              <w:t xml:space="preserve">Peak </w:t>
            </w:r>
            <w:r w:rsidRPr="009173ED">
              <w:rPr>
                <w:i/>
              </w:rPr>
              <w:t>I</w:t>
            </w:r>
            <w:r w:rsidR="007B41CB">
              <w:rPr>
                <w:iCs/>
                <w:vertAlign w:val="subscript"/>
              </w:rPr>
              <w:t>0</w:t>
            </w:r>
            <w:r w:rsidRPr="00B20419">
              <w:t>/</w:t>
            </w:r>
            <w:r w:rsidRPr="009173ED">
              <w:rPr>
                <w:i/>
              </w:rPr>
              <w:t>N</w:t>
            </w:r>
            <w:r w:rsidR="007B41CB">
              <w:rPr>
                <w:iCs/>
                <w:vertAlign w:val="subscript"/>
              </w:rPr>
              <w:t>0</w:t>
            </w:r>
          </w:p>
        </w:tc>
        <w:tc>
          <w:tcPr>
            <w:tcW w:w="2268" w:type="dxa"/>
            <w:vAlign w:val="center"/>
          </w:tcPr>
          <w:p w:rsidR="009D7EA3" w:rsidRPr="00B20419" w:rsidRDefault="009D7EA3" w:rsidP="007B41CB">
            <w:pPr>
              <w:pStyle w:val="Tabletext"/>
              <w:jc w:val="center"/>
            </w:pPr>
          </w:p>
        </w:tc>
        <w:tc>
          <w:tcPr>
            <w:tcW w:w="2268" w:type="dxa"/>
            <w:vAlign w:val="center"/>
          </w:tcPr>
          <w:p w:rsidR="009D7EA3" w:rsidRPr="00B20419" w:rsidRDefault="009D7EA3" w:rsidP="007B41CB">
            <w:pPr>
              <w:pStyle w:val="Tabletext"/>
              <w:jc w:val="center"/>
            </w:pPr>
            <w:r>
              <w:sym w:font="Symbol" w:char="F02D"/>
            </w:r>
            <w:r w:rsidRPr="00B20419">
              <w:t>87</w:t>
            </w:r>
            <w:r>
              <w:t xml:space="preserve"> </w:t>
            </w:r>
            <w:r w:rsidRPr="00B20419">
              <w:t>dB</w:t>
            </w:r>
          </w:p>
        </w:tc>
      </w:tr>
    </w:tbl>
    <w:p w:rsidR="009D7EA3" w:rsidRDefault="009D7EA3" w:rsidP="007B41CB">
      <w:pPr>
        <w:pStyle w:val="Tablefin"/>
      </w:pPr>
      <w:bookmarkStart w:id="27" w:name="_Toc217095289"/>
    </w:p>
    <w:bookmarkEnd w:id="27"/>
    <w:p w:rsidR="00430679" w:rsidRDefault="00430679" w:rsidP="003C0BC7">
      <w:pPr>
        <w:rPr>
          <w:szCs w:val="22"/>
        </w:rPr>
      </w:pPr>
    </w:p>
    <w:p w:rsidR="009D7EA3" w:rsidRDefault="009D7EA3" w:rsidP="003C0BC7">
      <w:pPr>
        <w:rPr>
          <w:szCs w:val="22"/>
        </w:rPr>
      </w:pPr>
      <w:r>
        <w:rPr>
          <w:szCs w:val="22"/>
        </w:rPr>
        <w:t xml:space="preserve">Table 6 summarizes the frequencies between 8-40 GHz that could be considered for possible future deep-space applications. </w:t>
      </w:r>
    </w:p>
    <w:p w:rsidR="009D7EA3" w:rsidRDefault="009D7EA3" w:rsidP="009D7EA3">
      <w:pPr>
        <w:pStyle w:val="TableNo"/>
      </w:pPr>
      <w:bookmarkStart w:id="28" w:name="_Toc217095317"/>
      <w:r>
        <w:lastRenderedPageBreak/>
        <w:t>TABLE 6</w:t>
      </w:r>
    </w:p>
    <w:p w:rsidR="009D7EA3" w:rsidRDefault="009D7EA3" w:rsidP="009D7EA3">
      <w:pPr>
        <w:pStyle w:val="Tabletitle"/>
      </w:pPr>
      <w:r>
        <w:t>Frequencies between 8-40 GHz for possible deep-space applications</w:t>
      </w:r>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237"/>
      </w:tblGrid>
      <w:tr w:rsidR="009D7EA3" w:rsidRPr="00F722C8" w:rsidTr="007B41CB">
        <w:trPr>
          <w:jc w:val="center"/>
        </w:trPr>
        <w:tc>
          <w:tcPr>
            <w:tcW w:w="2268" w:type="dxa"/>
          </w:tcPr>
          <w:p w:rsidR="009D7EA3" w:rsidRPr="00F722C8" w:rsidRDefault="009D7EA3" w:rsidP="00560D86">
            <w:pPr>
              <w:pStyle w:val="Tablehead"/>
            </w:pPr>
            <w:r w:rsidRPr="00F722C8">
              <w:t>Frequency band</w:t>
            </w:r>
            <w:r w:rsidRPr="00F722C8">
              <w:br/>
              <w:t xml:space="preserve">(GHz) </w:t>
            </w:r>
          </w:p>
        </w:tc>
        <w:tc>
          <w:tcPr>
            <w:tcW w:w="6237" w:type="dxa"/>
          </w:tcPr>
          <w:p w:rsidR="009D7EA3" w:rsidRPr="00F722C8" w:rsidRDefault="009D7EA3" w:rsidP="00560D86">
            <w:pPr>
              <w:pStyle w:val="Tablehead"/>
            </w:pPr>
            <w:r w:rsidRPr="00F722C8">
              <w:t>Existing compatible services</w:t>
            </w:r>
            <w:r w:rsidRPr="00F722C8">
              <w:br/>
            </w:r>
            <w:r w:rsidRPr="00C47C15">
              <w:rPr>
                <w:b w:val="0"/>
              </w:rPr>
              <w:t>(E-s = Earth-to-space, s-E = space-to-Earth)</w:t>
            </w:r>
          </w:p>
        </w:tc>
      </w:tr>
      <w:tr w:rsidR="009D7EA3" w:rsidRPr="00F722C8" w:rsidTr="007B41CB">
        <w:trPr>
          <w:jc w:val="center"/>
        </w:trPr>
        <w:tc>
          <w:tcPr>
            <w:tcW w:w="2268" w:type="dxa"/>
            <w:vAlign w:val="center"/>
          </w:tcPr>
          <w:p w:rsidR="009D7EA3" w:rsidRPr="00F722C8" w:rsidRDefault="009D7EA3" w:rsidP="00F573E6">
            <w:pPr>
              <w:pStyle w:val="Tabletext"/>
              <w:jc w:val="left"/>
            </w:pPr>
            <w:r>
              <w:t>12.75</w:t>
            </w:r>
            <w:r w:rsidRPr="00F722C8">
              <w:t>-13.25</w:t>
            </w:r>
          </w:p>
        </w:tc>
        <w:tc>
          <w:tcPr>
            <w:tcW w:w="6237" w:type="dxa"/>
            <w:vAlign w:val="center"/>
          </w:tcPr>
          <w:p w:rsidR="009D7EA3" w:rsidRPr="00F722C8" w:rsidRDefault="009D7EA3" w:rsidP="00F573E6">
            <w:pPr>
              <w:pStyle w:val="Tabletext"/>
              <w:jc w:val="left"/>
              <w:rPr>
                <w:vertAlign w:val="superscript"/>
              </w:rPr>
            </w:pPr>
            <w:r w:rsidRPr="00F722C8">
              <w:t xml:space="preserve">FS, FSS(E-s), MS, </w:t>
            </w:r>
            <w:r>
              <w:t>srs(deep-</w:t>
            </w:r>
            <w:r w:rsidRPr="00A53874">
              <w:t>space)(s-E)</w:t>
            </w:r>
          </w:p>
        </w:tc>
      </w:tr>
      <w:tr w:rsidR="009D7EA3" w:rsidRPr="00F722C8" w:rsidTr="007B41CB">
        <w:trPr>
          <w:jc w:val="center"/>
        </w:trPr>
        <w:tc>
          <w:tcPr>
            <w:tcW w:w="2268" w:type="dxa"/>
            <w:vAlign w:val="center"/>
          </w:tcPr>
          <w:p w:rsidR="009D7EA3" w:rsidRPr="00F722C8" w:rsidRDefault="009D7EA3" w:rsidP="00F573E6">
            <w:pPr>
              <w:pStyle w:val="Tabletext"/>
              <w:jc w:val="left"/>
            </w:pPr>
            <w:r>
              <w:t>24.25</w:t>
            </w:r>
            <w:r w:rsidRPr="00F722C8">
              <w:t>-24.45</w:t>
            </w:r>
          </w:p>
        </w:tc>
        <w:tc>
          <w:tcPr>
            <w:tcW w:w="6237" w:type="dxa"/>
            <w:vAlign w:val="center"/>
          </w:tcPr>
          <w:p w:rsidR="009D7EA3" w:rsidRPr="00F722C8" w:rsidRDefault="009D7EA3" w:rsidP="00F573E6">
            <w:pPr>
              <w:pStyle w:val="Tabletext"/>
              <w:jc w:val="left"/>
            </w:pPr>
            <w:r w:rsidRPr="00F722C8">
              <w:t>RADIONAVIGATION, FS, MS</w:t>
            </w:r>
          </w:p>
        </w:tc>
      </w:tr>
      <w:tr w:rsidR="009D7EA3" w:rsidRPr="00F722C8" w:rsidTr="007B41CB">
        <w:trPr>
          <w:jc w:val="center"/>
        </w:trPr>
        <w:tc>
          <w:tcPr>
            <w:tcW w:w="2268" w:type="dxa"/>
            <w:vAlign w:val="center"/>
          </w:tcPr>
          <w:p w:rsidR="009D7EA3" w:rsidRPr="00F722C8" w:rsidRDefault="009D7EA3" w:rsidP="00F573E6">
            <w:pPr>
              <w:pStyle w:val="Tabletext"/>
              <w:jc w:val="left"/>
            </w:pPr>
            <w:r>
              <w:t>24.75</w:t>
            </w:r>
            <w:r w:rsidRPr="00F722C8">
              <w:t>-25.25</w:t>
            </w:r>
          </w:p>
        </w:tc>
        <w:tc>
          <w:tcPr>
            <w:tcW w:w="6237" w:type="dxa"/>
            <w:vAlign w:val="center"/>
          </w:tcPr>
          <w:p w:rsidR="009D7EA3" w:rsidRPr="00F722C8" w:rsidRDefault="009D7EA3" w:rsidP="00F573E6">
            <w:pPr>
              <w:pStyle w:val="Tabletext"/>
              <w:jc w:val="left"/>
              <w:rPr>
                <w:i/>
              </w:rPr>
            </w:pPr>
            <w:r w:rsidRPr="00F722C8">
              <w:t>FS, FSS(E-s), MS</w:t>
            </w:r>
          </w:p>
        </w:tc>
      </w:tr>
      <w:tr w:rsidR="009D7EA3" w:rsidRPr="00F722C8" w:rsidTr="007B41CB">
        <w:trPr>
          <w:jc w:val="center"/>
        </w:trPr>
        <w:tc>
          <w:tcPr>
            <w:tcW w:w="2268" w:type="dxa"/>
            <w:vAlign w:val="center"/>
          </w:tcPr>
          <w:p w:rsidR="009D7EA3" w:rsidRPr="00F722C8" w:rsidRDefault="009D7EA3" w:rsidP="00F573E6">
            <w:pPr>
              <w:pStyle w:val="Tabletext"/>
              <w:jc w:val="left"/>
            </w:pPr>
            <w:r>
              <w:t>27.5</w:t>
            </w:r>
            <w:r w:rsidRPr="00F722C8">
              <w:t>-28.5</w:t>
            </w:r>
          </w:p>
        </w:tc>
        <w:tc>
          <w:tcPr>
            <w:tcW w:w="6237" w:type="dxa"/>
            <w:vAlign w:val="center"/>
          </w:tcPr>
          <w:p w:rsidR="009D7EA3" w:rsidRPr="00F722C8" w:rsidRDefault="009D7EA3" w:rsidP="00F573E6">
            <w:pPr>
              <w:pStyle w:val="Tabletext"/>
              <w:jc w:val="left"/>
            </w:pPr>
            <w:r w:rsidRPr="00F722C8">
              <w:t>FS, FSS(E-s), MS</w:t>
            </w:r>
          </w:p>
        </w:tc>
      </w:tr>
      <w:tr w:rsidR="009D7EA3" w:rsidRPr="00F722C8" w:rsidTr="007B41CB">
        <w:trPr>
          <w:jc w:val="center"/>
        </w:trPr>
        <w:tc>
          <w:tcPr>
            <w:tcW w:w="2268" w:type="dxa"/>
            <w:vAlign w:val="center"/>
          </w:tcPr>
          <w:p w:rsidR="009D7EA3" w:rsidRPr="00F722C8" w:rsidRDefault="009D7EA3" w:rsidP="00F573E6">
            <w:pPr>
              <w:pStyle w:val="Tabletext"/>
              <w:jc w:val="left"/>
            </w:pPr>
            <w:r>
              <w:t>28.5</w:t>
            </w:r>
            <w:r w:rsidRPr="00F722C8">
              <w:t>-29.1</w:t>
            </w:r>
          </w:p>
        </w:tc>
        <w:tc>
          <w:tcPr>
            <w:tcW w:w="6237" w:type="dxa"/>
            <w:vAlign w:val="center"/>
          </w:tcPr>
          <w:p w:rsidR="009D7EA3" w:rsidRPr="00F722C8" w:rsidRDefault="009D7EA3" w:rsidP="00F573E6">
            <w:pPr>
              <w:pStyle w:val="Tabletext"/>
              <w:jc w:val="left"/>
              <w:rPr>
                <w:lang w:val="pt-BR"/>
              </w:rPr>
            </w:pPr>
            <w:r w:rsidRPr="00F722C8">
              <w:rPr>
                <w:lang w:val="pt-BR"/>
              </w:rPr>
              <w:t>FS, FSS(E-s), MS, eess(E-s)</w:t>
            </w:r>
          </w:p>
        </w:tc>
      </w:tr>
      <w:tr w:rsidR="009D7EA3" w:rsidRPr="00F722C8" w:rsidTr="007B41CB">
        <w:trPr>
          <w:jc w:val="center"/>
        </w:trPr>
        <w:tc>
          <w:tcPr>
            <w:tcW w:w="2268" w:type="dxa"/>
            <w:vAlign w:val="center"/>
          </w:tcPr>
          <w:p w:rsidR="009D7EA3" w:rsidRPr="00F722C8" w:rsidRDefault="009D7EA3" w:rsidP="00F573E6">
            <w:pPr>
              <w:pStyle w:val="Tabletext"/>
              <w:jc w:val="left"/>
            </w:pPr>
            <w:r>
              <w:t>29.1</w:t>
            </w:r>
            <w:r w:rsidRPr="00F722C8">
              <w:t>-29.5</w:t>
            </w:r>
          </w:p>
        </w:tc>
        <w:tc>
          <w:tcPr>
            <w:tcW w:w="6237" w:type="dxa"/>
            <w:vAlign w:val="center"/>
          </w:tcPr>
          <w:p w:rsidR="009D7EA3" w:rsidRPr="00F722C8" w:rsidRDefault="009D7EA3" w:rsidP="00F573E6">
            <w:pPr>
              <w:pStyle w:val="Tabletext"/>
              <w:jc w:val="left"/>
              <w:rPr>
                <w:lang w:val="pt-BR"/>
              </w:rPr>
            </w:pPr>
            <w:r w:rsidRPr="00F722C8">
              <w:rPr>
                <w:lang w:val="pt-BR"/>
              </w:rPr>
              <w:t>FS, FSS(E-s), MS, eess(E-s)</w:t>
            </w:r>
          </w:p>
        </w:tc>
      </w:tr>
      <w:tr w:rsidR="009D7EA3" w:rsidRPr="00F722C8" w:rsidTr="007B41CB">
        <w:trPr>
          <w:jc w:val="center"/>
        </w:trPr>
        <w:tc>
          <w:tcPr>
            <w:tcW w:w="2268" w:type="dxa"/>
            <w:vAlign w:val="center"/>
          </w:tcPr>
          <w:p w:rsidR="009D7EA3" w:rsidRPr="00F722C8" w:rsidRDefault="009D7EA3" w:rsidP="00F573E6">
            <w:pPr>
              <w:pStyle w:val="Tabletext"/>
              <w:jc w:val="left"/>
            </w:pPr>
            <w:r>
              <w:t>29.5</w:t>
            </w:r>
            <w:r w:rsidRPr="00F722C8">
              <w:t>-29.9</w:t>
            </w:r>
          </w:p>
        </w:tc>
        <w:tc>
          <w:tcPr>
            <w:tcW w:w="6237" w:type="dxa"/>
            <w:vAlign w:val="center"/>
          </w:tcPr>
          <w:p w:rsidR="009D7EA3" w:rsidRPr="00F722C8" w:rsidRDefault="009D7EA3" w:rsidP="00F573E6">
            <w:pPr>
              <w:pStyle w:val="Tabletext"/>
              <w:jc w:val="left"/>
              <w:rPr>
                <w:lang w:val="pt-BR"/>
              </w:rPr>
            </w:pPr>
            <w:r w:rsidRPr="00F722C8">
              <w:rPr>
                <w:lang w:val="pt-BR"/>
              </w:rPr>
              <w:t>FS(E-s), MSS(E-s), mss(E-s), eess(E-s)</w:t>
            </w:r>
          </w:p>
        </w:tc>
      </w:tr>
      <w:tr w:rsidR="009D7EA3" w:rsidRPr="00F722C8" w:rsidTr="007B41CB">
        <w:trPr>
          <w:jc w:val="center"/>
        </w:trPr>
        <w:tc>
          <w:tcPr>
            <w:tcW w:w="2268" w:type="dxa"/>
            <w:vAlign w:val="center"/>
          </w:tcPr>
          <w:p w:rsidR="009D7EA3" w:rsidRPr="00F722C8" w:rsidRDefault="009D7EA3" w:rsidP="00F573E6">
            <w:pPr>
              <w:pStyle w:val="Tabletext"/>
              <w:jc w:val="left"/>
            </w:pPr>
            <w:r w:rsidRPr="00F722C8">
              <w:t>29.9-30</w:t>
            </w:r>
          </w:p>
        </w:tc>
        <w:tc>
          <w:tcPr>
            <w:tcW w:w="6237" w:type="dxa"/>
            <w:vAlign w:val="center"/>
          </w:tcPr>
          <w:p w:rsidR="009D7EA3" w:rsidRPr="00F722C8" w:rsidRDefault="009D7EA3" w:rsidP="00F573E6">
            <w:pPr>
              <w:pStyle w:val="Tabletext"/>
              <w:jc w:val="left"/>
              <w:rPr>
                <w:lang w:val="pt-BR"/>
              </w:rPr>
            </w:pPr>
            <w:r w:rsidRPr="00F722C8">
              <w:rPr>
                <w:lang w:val="pt-BR"/>
              </w:rPr>
              <w:t>FS(E-s), MSS(E-s), eess(E-s)</w:t>
            </w:r>
          </w:p>
        </w:tc>
      </w:tr>
      <w:tr w:rsidR="009D7EA3" w:rsidRPr="00F722C8" w:rsidTr="007B41CB">
        <w:trPr>
          <w:jc w:val="center"/>
        </w:trPr>
        <w:tc>
          <w:tcPr>
            <w:tcW w:w="2268" w:type="dxa"/>
            <w:vAlign w:val="center"/>
          </w:tcPr>
          <w:p w:rsidR="009D7EA3" w:rsidRPr="00F722C8" w:rsidRDefault="009D7EA3" w:rsidP="00F573E6">
            <w:pPr>
              <w:pStyle w:val="Tabletext"/>
              <w:jc w:val="left"/>
            </w:pPr>
            <w:r>
              <w:t>30-</w:t>
            </w:r>
            <w:r w:rsidRPr="00F722C8">
              <w:t>31</w:t>
            </w:r>
          </w:p>
        </w:tc>
        <w:tc>
          <w:tcPr>
            <w:tcW w:w="6237" w:type="dxa"/>
            <w:vAlign w:val="center"/>
          </w:tcPr>
          <w:p w:rsidR="009D7EA3" w:rsidRPr="00F722C8" w:rsidRDefault="009D7EA3" w:rsidP="00F573E6">
            <w:pPr>
              <w:pStyle w:val="Tabletext"/>
              <w:jc w:val="left"/>
            </w:pPr>
            <w:r w:rsidRPr="00F722C8">
              <w:t>FSS(E-s), MSS(E-s), standard freq. and time signal-sat (s-E)</w:t>
            </w:r>
          </w:p>
        </w:tc>
      </w:tr>
      <w:tr w:rsidR="009D7EA3" w:rsidRPr="00F722C8" w:rsidTr="007B41CB">
        <w:trPr>
          <w:jc w:val="center"/>
        </w:trPr>
        <w:tc>
          <w:tcPr>
            <w:tcW w:w="2268" w:type="dxa"/>
            <w:tcBorders>
              <w:bottom w:val="single" w:sz="4" w:space="0" w:color="auto"/>
            </w:tcBorders>
            <w:vAlign w:val="center"/>
          </w:tcPr>
          <w:p w:rsidR="009D7EA3" w:rsidRPr="00F722C8" w:rsidRDefault="009D7EA3" w:rsidP="00F573E6">
            <w:pPr>
              <w:pStyle w:val="Tabletext"/>
              <w:jc w:val="left"/>
            </w:pPr>
            <w:r>
              <w:t>33</w:t>
            </w:r>
            <w:r w:rsidRPr="00F722C8">
              <w:t>-33.4</w:t>
            </w:r>
          </w:p>
        </w:tc>
        <w:tc>
          <w:tcPr>
            <w:tcW w:w="6237" w:type="dxa"/>
            <w:tcBorders>
              <w:bottom w:val="single" w:sz="4" w:space="0" w:color="auto"/>
            </w:tcBorders>
            <w:vAlign w:val="center"/>
          </w:tcPr>
          <w:p w:rsidR="009D7EA3" w:rsidRPr="00F722C8" w:rsidRDefault="009D7EA3" w:rsidP="00F573E6">
            <w:pPr>
              <w:pStyle w:val="Tabletext"/>
              <w:jc w:val="left"/>
            </w:pPr>
            <w:r w:rsidRPr="00F722C8">
              <w:t>FS, RADIONAVIGATION</w:t>
            </w:r>
          </w:p>
        </w:tc>
      </w:tr>
    </w:tbl>
    <w:p w:rsidR="00F573E6" w:rsidRDefault="00F573E6" w:rsidP="00F573E6">
      <w:pPr>
        <w:pStyle w:val="Tablefin"/>
      </w:pPr>
    </w:p>
    <w:p w:rsidR="00430679" w:rsidRPr="00430679" w:rsidRDefault="00430679" w:rsidP="00430679">
      <w:pPr>
        <w:rPr>
          <w:lang w:val="en-GB"/>
        </w:rPr>
      </w:pPr>
    </w:p>
    <w:p w:rsidR="009D7EA3" w:rsidRPr="008B7D3B" w:rsidRDefault="009D7EA3" w:rsidP="003C0BC7">
      <w:r>
        <w:t xml:space="preserve">It appears that the 27.5-31 GHz band is most desirable and meets the various constraints previously discussed, including technology maturity, propagation characteristics, and the amount of available spectrum. </w:t>
      </w:r>
    </w:p>
    <w:p w:rsidR="009D7EA3" w:rsidRDefault="009D7EA3" w:rsidP="009D7EA3">
      <w:pPr>
        <w:pStyle w:val="Heading1"/>
      </w:pPr>
      <w:bookmarkStart w:id="29" w:name="_Toc217095290"/>
      <w:r>
        <w:t>5</w:t>
      </w:r>
      <w:r>
        <w:tab/>
      </w:r>
      <w:r w:rsidRPr="00C46560">
        <w:t>Conclusions</w:t>
      </w:r>
      <w:bookmarkEnd w:id="29"/>
    </w:p>
    <w:p w:rsidR="009D7EA3" w:rsidRDefault="009D7EA3" w:rsidP="00F573E6">
      <w:pPr>
        <w:rPr>
          <w:lang w:val="en-US"/>
        </w:rPr>
      </w:pPr>
      <w:r>
        <w:rPr>
          <w:szCs w:val="22"/>
        </w:rPr>
        <w:t xml:space="preserve">The anticipated spectrum usage of future deep-space missions far exceeds the capacity of all existing allocations. Therefore, SRS will need additional spectrum allocations. This </w:t>
      </w:r>
      <w:r w:rsidR="00F0629A">
        <w:rPr>
          <w:szCs w:val="22"/>
        </w:rPr>
        <w:t>r</w:t>
      </w:r>
      <w:r>
        <w:rPr>
          <w:szCs w:val="22"/>
        </w:rPr>
        <w:t xml:space="preserve">eport provides information on the amount of needed spectrum and discusses various constraints in selecting a suitable frequency band for a possible allocation by ITU in the future. Considerations of many constraints, such as technology maturity, ground infrastructure, and propagation characteristics indicate that the additional allocated spectrum should be </w:t>
      </w:r>
      <w:r w:rsidR="00F573E6">
        <w:rPr>
          <w:szCs w:val="22"/>
        </w:rPr>
        <w:t>within the range</w:t>
      </w:r>
      <w:r>
        <w:rPr>
          <w:szCs w:val="22"/>
        </w:rPr>
        <w:t xml:space="preserve"> 8 GHz </w:t>
      </w:r>
      <w:r w:rsidR="00F573E6">
        <w:rPr>
          <w:szCs w:val="22"/>
        </w:rPr>
        <w:t>to</w:t>
      </w:r>
      <w:r>
        <w:rPr>
          <w:szCs w:val="22"/>
        </w:rPr>
        <w:t xml:space="preserve"> 40 GHz. I</w:t>
      </w:r>
      <w:r w:rsidR="00F573E6">
        <w:rPr>
          <w:szCs w:val="22"/>
        </w:rPr>
        <w:t>t appears that the 27.5-31 GHz band is the most desirable to meet the requirements for deep-space research</w:t>
      </w:r>
      <w:r>
        <w:rPr>
          <w:szCs w:val="22"/>
        </w:rPr>
        <w:t>.</w:t>
      </w:r>
    </w:p>
    <w:p w:rsidR="009D7EA3" w:rsidRDefault="009D7EA3" w:rsidP="009D7EA3">
      <w:pPr>
        <w:rPr>
          <w:lang w:val="en-US"/>
        </w:rPr>
      </w:pPr>
    </w:p>
    <w:p w:rsidR="009D7EA3" w:rsidRDefault="009D7EA3" w:rsidP="009D7EA3">
      <w:pPr>
        <w:rPr>
          <w:lang w:val="en-US"/>
        </w:rPr>
      </w:pPr>
    </w:p>
    <w:p w:rsidR="009D7EA3" w:rsidRPr="008D3D8D" w:rsidRDefault="009D7EA3" w:rsidP="009D7EA3">
      <w:pPr>
        <w:pStyle w:val="Line"/>
      </w:pPr>
    </w:p>
    <w:sectPr w:rsidR="009D7EA3" w:rsidRPr="008D3D8D" w:rsidSect="007565CC">
      <w:headerReference w:type="even" r:id="rId17"/>
      <w:headerReference w:type="default" r:id="rId18"/>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1CB" w:rsidRDefault="007B41CB">
      <w:r>
        <w:separator/>
      </w:r>
    </w:p>
  </w:endnote>
  <w:endnote w:type="continuationSeparator" w:id="0">
    <w:p w:rsidR="007B41CB" w:rsidRDefault="007B41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1CB" w:rsidRDefault="007B41CB">
      <w:r>
        <w:separator/>
      </w:r>
    </w:p>
  </w:footnote>
  <w:footnote w:type="continuationSeparator" w:id="0">
    <w:p w:rsidR="007B41CB" w:rsidRDefault="007B41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1CB" w:rsidRPr="009770E7" w:rsidRDefault="003C599C" w:rsidP="009770E7">
    <w:pPr>
      <w:pStyle w:val="Header"/>
      <w:jc w:val="both"/>
    </w:pPr>
    <w:r w:rsidRPr="003C599C">
      <w:rPr>
        <w:b/>
        <w:bCs/>
      </w:rPr>
      <w:fldChar w:fldCharType="begin"/>
    </w:r>
    <w:r w:rsidR="007B41CB" w:rsidRPr="009770E7">
      <w:rPr>
        <w:b/>
        <w:bCs/>
        <w:lang w:val="en-US"/>
      </w:rPr>
      <w:instrText xml:space="preserve"> PAGE </w:instrText>
    </w:r>
    <w:r w:rsidRPr="003C599C">
      <w:rPr>
        <w:b/>
        <w:bCs/>
      </w:rPr>
      <w:fldChar w:fldCharType="separate"/>
    </w:r>
    <w:r w:rsidR="00043AA0">
      <w:rPr>
        <w:b/>
        <w:bCs/>
        <w:noProof/>
        <w:lang w:val="en-US"/>
      </w:rPr>
      <w:t>ii</w:t>
    </w:r>
    <w:r w:rsidRPr="009770E7">
      <w:fldChar w:fldCharType="end"/>
    </w:r>
    <w:r w:rsidR="007B41CB" w:rsidRPr="009770E7">
      <w:rPr>
        <w:lang w:val="en-US"/>
      </w:rPr>
      <w:tab/>
    </w:r>
    <w:fldSimple w:instr=" DOCPROPERTY &quot;Header 2&quot; \* MERGEFORMAT ">
      <w:r w:rsidR="005063E6">
        <w:rPr>
          <w:b/>
          <w:bCs/>
          <w:lang w:val="en-US"/>
        </w:rPr>
        <w:t xml:space="preserve">Rep. </w:t>
      </w:r>
    </w:fldSimple>
    <w:r w:rsidR="007B41CB" w:rsidRPr="009770E7">
      <w:rPr>
        <w:b/>
        <w:bCs/>
      </w:rPr>
      <w:t xml:space="preserve"> </w:t>
    </w:r>
    <w:r w:rsidRPr="003C599C">
      <w:rPr>
        <w:b/>
        <w:bCs/>
      </w:rPr>
      <w:fldChar w:fldCharType="begin"/>
    </w:r>
    <w:r w:rsidR="007B41CB" w:rsidRPr="009770E7">
      <w:rPr>
        <w:b/>
        <w:bCs/>
        <w:lang w:val="en-US"/>
      </w:rPr>
      <w:instrText>styleref href</w:instrText>
    </w:r>
    <w:r w:rsidRPr="003C599C">
      <w:rPr>
        <w:b/>
        <w:bCs/>
      </w:rPr>
      <w:fldChar w:fldCharType="separate"/>
    </w:r>
    <w:r w:rsidR="00043AA0">
      <w:rPr>
        <w:b/>
        <w:bCs/>
        <w:noProof/>
      </w:rPr>
      <w:t>ITU-R  SA.2167</w:t>
    </w:r>
    <w:r w:rsidRPr="009770E7">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1CB" w:rsidRDefault="007B41CB"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1CB" w:rsidRDefault="003C599C" w:rsidP="003C0BC7">
    <w:pPr>
      <w:pStyle w:val="Header"/>
      <w:jc w:val="left"/>
      <w:rPr>
        <w:lang w:val="en-US"/>
      </w:rPr>
    </w:pPr>
    <w:r>
      <w:rPr>
        <w:rStyle w:val="PageNumber"/>
        <w:b/>
        <w:bCs/>
      </w:rPr>
      <w:fldChar w:fldCharType="begin"/>
    </w:r>
    <w:r w:rsidR="007B41CB">
      <w:rPr>
        <w:rStyle w:val="PageNumber"/>
        <w:b/>
        <w:bCs/>
        <w:lang w:val="en-US"/>
      </w:rPr>
      <w:instrText xml:space="preserve"> PAGE </w:instrText>
    </w:r>
    <w:r>
      <w:rPr>
        <w:rStyle w:val="PageNumber"/>
        <w:b/>
        <w:bCs/>
      </w:rPr>
      <w:fldChar w:fldCharType="separate"/>
    </w:r>
    <w:r w:rsidR="00043AA0">
      <w:rPr>
        <w:rStyle w:val="PageNumber"/>
        <w:b/>
        <w:bCs/>
        <w:noProof/>
        <w:lang w:val="en-US"/>
      </w:rPr>
      <w:t>8</w:t>
    </w:r>
    <w:r>
      <w:rPr>
        <w:rStyle w:val="PageNumber"/>
        <w:b/>
        <w:bCs/>
      </w:rPr>
      <w:fldChar w:fldCharType="end"/>
    </w:r>
    <w:r w:rsidR="007B41CB">
      <w:rPr>
        <w:lang w:val="en-US"/>
      </w:rPr>
      <w:tab/>
    </w:r>
    <w:fldSimple w:instr=" DOCPROPERTY &quot;Header 2&quot; \* MERGEFORMAT ">
      <w:r w:rsidR="005063E6">
        <w:rPr>
          <w:b/>
          <w:bCs/>
          <w:lang w:val="en-US"/>
        </w:rPr>
        <w:t xml:space="preserve">Rep. </w:t>
      </w:r>
    </w:fldSimple>
    <w:r w:rsidR="007B41CB" w:rsidRPr="009770E7">
      <w:rPr>
        <w:b/>
        <w:bCs/>
      </w:rPr>
      <w:t xml:space="preserve"> </w:t>
    </w:r>
    <w:r w:rsidRPr="003C599C">
      <w:rPr>
        <w:b/>
        <w:bCs/>
      </w:rPr>
      <w:fldChar w:fldCharType="begin"/>
    </w:r>
    <w:r w:rsidR="007B41CB" w:rsidRPr="009770E7">
      <w:rPr>
        <w:b/>
        <w:bCs/>
        <w:lang w:val="en-US"/>
      </w:rPr>
      <w:instrText>styleref href</w:instrText>
    </w:r>
    <w:r w:rsidRPr="003C599C">
      <w:rPr>
        <w:b/>
        <w:bCs/>
      </w:rPr>
      <w:fldChar w:fldCharType="separate"/>
    </w:r>
    <w:r w:rsidR="00043AA0">
      <w:rPr>
        <w:b/>
        <w:bCs/>
        <w:noProof/>
      </w:rPr>
      <w:t>ITU-R  SA.2167</w:t>
    </w:r>
    <w:r w:rsidRPr="009770E7">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1CB" w:rsidRPr="009770E7" w:rsidRDefault="007B41CB" w:rsidP="009770E7">
    <w:pPr>
      <w:pStyle w:val="Header"/>
      <w:jc w:val="both"/>
    </w:pPr>
    <w:r w:rsidRPr="009770E7">
      <w:rPr>
        <w:lang w:val="en-US"/>
      </w:rPr>
      <w:tab/>
    </w:r>
    <w:fldSimple w:instr=" DOCPROPERTY &quot;Header 2&quot; \* MERGEFORMAT ">
      <w:r w:rsidR="005063E6">
        <w:rPr>
          <w:b/>
          <w:bCs/>
          <w:lang w:val="en-US"/>
        </w:rPr>
        <w:t xml:space="preserve">Rep. </w:t>
      </w:r>
    </w:fldSimple>
    <w:r w:rsidRPr="009770E7">
      <w:rPr>
        <w:b/>
        <w:bCs/>
      </w:rPr>
      <w:t xml:space="preserve"> </w:t>
    </w:r>
    <w:r w:rsidR="003C599C" w:rsidRPr="003C599C">
      <w:rPr>
        <w:b/>
        <w:bCs/>
      </w:rPr>
      <w:fldChar w:fldCharType="begin"/>
    </w:r>
    <w:r w:rsidRPr="009770E7">
      <w:rPr>
        <w:b/>
        <w:bCs/>
        <w:lang w:val="en-US"/>
      </w:rPr>
      <w:instrText>styleref href</w:instrText>
    </w:r>
    <w:r w:rsidR="003C599C" w:rsidRPr="003C599C">
      <w:rPr>
        <w:b/>
        <w:bCs/>
      </w:rPr>
      <w:fldChar w:fldCharType="separate"/>
    </w:r>
    <w:r w:rsidR="00043AA0">
      <w:rPr>
        <w:b/>
        <w:bCs/>
        <w:noProof/>
      </w:rPr>
      <w:t>ITU-R  SA.2167</w:t>
    </w:r>
    <w:r w:rsidR="003C599C" w:rsidRPr="009770E7">
      <w:fldChar w:fldCharType="end"/>
    </w:r>
    <w:r w:rsidRPr="009770E7">
      <w:tab/>
    </w:r>
    <w:r w:rsidR="003C599C" w:rsidRPr="003C599C">
      <w:rPr>
        <w:b/>
        <w:bCs/>
      </w:rPr>
      <w:fldChar w:fldCharType="begin"/>
    </w:r>
    <w:r w:rsidRPr="009770E7">
      <w:rPr>
        <w:b/>
        <w:bCs/>
        <w:lang w:val="en-US"/>
      </w:rPr>
      <w:instrText xml:space="preserve"> PAGE </w:instrText>
    </w:r>
    <w:r w:rsidR="003C599C" w:rsidRPr="003C599C">
      <w:rPr>
        <w:b/>
        <w:bCs/>
      </w:rPr>
      <w:fldChar w:fldCharType="separate"/>
    </w:r>
    <w:r w:rsidR="00043AA0">
      <w:rPr>
        <w:b/>
        <w:bCs/>
        <w:noProof/>
        <w:lang w:val="en-US"/>
      </w:rPr>
      <w:t>9</w:t>
    </w:r>
    <w:r w:rsidR="003C599C" w:rsidRPr="009770E7">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59A7402"/>
    <w:lvl w:ilvl="0">
      <w:start w:val="1"/>
      <w:numFmt w:val="bullet"/>
      <w:lvlText w:val=""/>
      <w:lvlJc w:val="left"/>
      <w:pPr>
        <w:tabs>
          <w:tab w:val="num" w:pos="360"/>
        </w:tabs>
        <w:ind w:left="360" w:hanging="360"/>
      </w:pPr>
      <w:rPr>
        <w:rFonts w:ascii="Symbol" w:hAnsi="Symbol" w:hint="default"/>
      </w:rPr>
    </w:lvl>
  </w:abstractNum>
  <w:abstractNum w:abstractNumId="1">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6385">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43AA0"/>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A5259"/>
    <w:rsid w:val="001C70F6"/>
    <w:rsid w:val="00201545"/>
    <w:rsid w:val="002058CE"/>
    <w:rsid w:val="00205EEB"/>
    <w:rsid w:val="002165F1"/>
    <w:rsid w:val="00247681"/>
    <w:rsid w:val="002558DC"/>
    <w:rsid w:val="00267ED8"/>
    <w:rsid w:val="00276D21"/>
    <w:rsid w:val="00280CD5"/>
    <w:rsid w:val="00296D7F"/>
    <w:rsid w:val="00297D43"/>
    <w:rsid w:val="002B32C9"/>
    <w:rsid w:val="002B3CF6"/>
    <w:rsid w:val="002C768A"/>
    <w:rsid w:val="002D1160"/>
    <w:rsid w:val="002D76C4"/>
    <w:rsid w:val="002D77AF"/>
    <w:rsid w:val="00351573"/>
    <w:rsid w:val="003571CE"/>
    <w:rsid w:val="00357282"/>
    <w:rsid w:val="00362ED1"/>
    <w:rsid w:val="00377D55"/>
    <w:rsid w:val="00382E8A"/>
    <w:rsid w:val="003B4EE8"/>
    <w:rsid w:val="003C0BC7"/>
    <w:rsid w:val="003C599C"/>
    <w:rsid w:val="004056F5"/>
    <w:rsid w:val="00420DFD"/>
    <w:rsid w:val="00430679"/>
    <w:rsid w:val="004319C1"/>
    <w:rsid w:val="00470E28"/>
    <w:rsid w:val="004720FC"/>
    <w:rsid w:val="004733C8"/>
    <w:rsid w:val="0048516D"/>
    <w:rsid w:val="004934C5"/>
    <w:rsid w:val="00505FB4"/>
    <w:rsid w:val="005063E6"/>
    <w:rsid w:val="00526063"/>
    <w:rsid w:val="00531521"/>
    <w:rsid w:val="00532358"/>
    <w:rsid w:val="00556548"/>
    <w:rsid w:val="005600C9"/>
    <w:rsid w:val="00560D86"/>
    <w:rsid w:val="00586EF8"/>
    <w:rsid w:val="005A791E"/>
    <w:rsid w:val="005B49AB"/>
    <w:rsid w:val="005B50E7"/>
    <w:rsid w:val="005D3544"/>
    <w:rsid w:val="005E7B4F"/>
    <w:rsid w:val="00607D68"/>
    <w:rsid w:val="006149B1"/>
    <w:rsid w:val="00680D2B"/>
    <w:rsid w:val="00681B32"/>
    <w:rsid w:val="006A1F02"/>
    <w:rsid w:val="006E2037"/>
    <w:rsid w:val="006F2B77"/>
    <w:rsid w:val="00712870"/>
    <w:rsid w:val="00743D85"/>
    <w:rsid w:val="0074518F"/>
    <w:rsid w:val="00752FD3"/>
    <w:rsid w:val="00753CF4"/>
    <w:rsid w:val="007565CC"/>
    <w:rsid w:val="00763B9A"/>
    <w:rsid w:val="007A4F79"/>
    <w:rsid w:val="007A6AA8"/>
    <w:rsid w:val="007B203C"/>
    <w:rsid w:val="007B41CB"/>
    <w:rsid w:val="007C2459"/>
    <w:rsid w:val="00811FBD"/>
    <w:rsid w:val="008310C9"/>
    <w:rsid w:val="00836298"/>
    <w:rsid w:val="00852A34"/>
    <w:rsid w:val="00870342"/>
    <w:rsid w:val="0087251C"/>
    <w:rsid w:val="008815AC"/>
    <w:rsid w:val="008B2CC6"/>
    <w:rsid w:val="008C7848"/>
    <w:rsid w:val="008D3D8D"/>
    <w:rsid w:val="009030CC"/>
    <w:rsid w:val="00917AF2"/>
    <w:rsid w:val="0092418A"/>
    <w:rsid w:val="00934ED7"/>
    <w:rsid w:val="009474D9"/>
    <w:rsid w:val="009543C3"/>
    <w:rsid w:val="00966E1B"/>
    <w:rsid w:val="00972367"/>
    <w:rsid w:val="009770E7"/>
    <w:rsid w:val="009A351D"/>
    <w:rsid w:val="009D7EA3"/>
    <w:rsid w:val="009F2D2C"/>
    <w:rsid w:val="00A54559"/>
    <w:rsid w:val="00A6617B"/>
    <w:rsid w:val="00A6716A"/>
    <w:rsid w:val="00A71FE5"/>
    <w:rsid w:val="00AA3AD8"/>
    <w:rsid w:val="00AB0DC8"/>
    <w:rsid w:val="00AC3946"/>
    <w:rsid w:val="00AD26B8"/>
    <w:rsid w:val="00B033C8"/>
    <w:rsid w:val="00B036D9"/>
    <w:rsid w:val="00B257C1"/>
    <w:rsid w:val="00B33425"/>
    <w:rsid w:val="00B44E24"/>
    <w:rsid w:val="00B47809"/>
    <w:rsid w:val="00B54ECC"/>
    <w:rsid w:val="00B567BC"/>
    <w:rsid w:val="00B61918"/>
    <w:rsid w:val="00B714F3"/>
    <w:rsid w:val="00B75A37"/>
    <w:rsid w:val="00BC5D77"/>
    <w:rsid w:val="00BC6FC2"/>
    <w:rsid w:val="00BD3F5C"/>
    <w:rsid w:val="00BE5B84"/>
    <w:rsid w:val="00BF15C3"/>
    <w:rsid w:val="00BF487A"/>
    <w:rsid w:val="00C114A7"/>
    <w:rsid w:val="00C46BD9"/>
    <w:rsid w:val="00C55258"/>
    <w:rsid w:val="00C728FC"/>
    <w:rsid w:val="00C73560"/>
    <w:rsid w:val="00C7612E"/>
    <w:rsid w:val="00C7761D"/>
    <w:rsid w:val="00C93B65"/>
    <w:rsid w:val="00CA7678"/>
    <w:rsid w:val="00CB0F14"/>
    <w:rsid w:val="00CB1116"/>
    <w:rsid w:val="00CB47A0"/>
    <w:rsid w:val="00CB60A4"/>
    <w:rsid w:val="00CD58B5"/>
    <w:rsid w:val="00CD659B"/>
    <w:rsid w:val="00CD7A62"/>
    <w:rsid w:val="00CF0D45"/>
    <w:rsid w:val="00CF34B5"/>
    <w:rsid w:val="00D0034D"/>
    <w:rsid w:val="00D069F2"/>
    <w:rsid w:val="00D10CF1"/>
    <w:rsid w:val="00D503C9"/>
    <w:rsid w:val="00D50B43"/>
    <w:rsid w:val="00D55B55"/>
    <w:rsid w:val="00D57367"/>
    <w:rsid w:val="00D722EF"/>
    <w:rsid w:val="00D73FBE"/>
    <w:rsid w:val="00D8150A"/>
    <w:rsid w:val="00D83331"/>
    <w:rsid w:val="00D91F7F"/>
    <w:rsid w:val="00DB4F6A"/>
    <w:rsid w:val="00DF087C"/>
    <w:rsid w:val="00DF4176"/>
    <w:rsid w:val="00E17240"/>
    <w:rsid w:val="00E1785F"/>
    <w:rsid w:val="00E7610E"/>
    <w:rsid w:val="00E83CDE"/>
    <w:rsid w:val="00E84492"/>
    <w:rsid w:val="00ED683F"/>
    <w:rsid w:val="00EF1E72"/>
    <w:rsid w:val="00F0629A"/>
    <w:rsid w:val="00F103A9"/>
    <w:rsid w:val="00F20231"/>
    <w:rsid w:val="00F30C9B"/>
    <w:rsid w:val="00F354B1"/>
    <w:rsid w:val="00F545E6"/>
    <w:rsid w:val="00F573E6"/>
    <w:rsid w:val="00F65D6F"/>
    <w:rsid w:val="00F72869"/>
    <w:rsid w:val="00F77437"/>
    <w:rsid w:val="00F828FF"/>
    <w:rsid w:val="00F90896"/>
    <w:rsid w:val="00F9736D"/>
    <w:rsid w:val="00FB0E4E"/>
    <w:rsid w:val="00FE0F20"/>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6385">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0BC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0BC7"/>
    <w:pPr>
      <w:keepNext/>
      <w:keepLines/>
      <w:spacing w:before="480"/>
      <w:ind w:left="794" w:hanging="794"/>
      <w:outlineLvl w:val="0"/>
    </w:pPr>
    <w:rPr>
      <w:b/>
    </w:rPr>
  </w:style>
  <w:style w:type="paragraph" w:styleId="Heading2">
    <w:name w:val="heading 2"/>
    <w:basedOn w:val="Heading1"/>
    <w:next w:val="Normal"/>
    <w:link w:val="Heading2Char"/>
    <w:qFormat/>
    <w:rsid w:val="003C0BC7"/>
    <w:pPr>
      <w:spacing w:before="320"/>
      <w:outlineLvl w:val="1"/>
    </w:pPr>
  </w:style>
  <w:style w:type="paragraph" w:styleId="Heading3">
    <w:name w:val="heading 3"/>
    <w:basedOn w:val="Heading1"/>
    <w:next w:val="Normal"/>
    <w:link w:val="Heading3Char"/>
    <w:qFormat/>
    <w:rsid w:val="003C0BC7"/>
    <w:pPr>
      <w:spacing w:before="200"/>
      <w:outlineLvl w:val="2"/>
    </w:pPr>
  </w:style>
  <w:style w:type="paragraph" w:styleId="Heading4">
    <w:name w:val="heading 4"/>
    <w:basedOn w:val="Heading3"/>
    <w:next w:val="Normal"/>
    <w:link w:val="Heading4Char"/>
    <w:qFormat/>
    <w:rsid w:val="003C0BC7"/>
    <w:pPr>
      <w:tabs>
        <w:tab w:val="clear" w:pos="794"/>
        <w:tab w:val="left" w:pos="992"/>
      </w:tabs>
      <w:ind w:left="992" w:hanging="992"/>
      <w:outlineLvl w:val="3"/>
    </w:pPr>
  </w:style>
  <w:style w:type="paragraph" w:styleId="Heading5">
    <w:name w:val="heading 5"/>
    <w:basedOn w:val="Heading4"/>
    <w:next w:val="Normal"/>
    <w:link w:val="Heading5Char"/>
    <w:qFormat/>
    <w:rsid w:val="003C0BC7"/>
    <w:pPr>
      <w:outlineLvl w:val="4"/>
    </w:pPr>
  </w:style>
  <w:style w:type="paragraph" w:styleId="Heading6">
    <w:name w:val="heading 6"/>
    <w:basedOn w:val="Heading4"/>
    <w:next w:val="Normal"/>
    <w:link w:val="Heading6Char"/>
    <w:qFormat/>
    <w:rsid w:val="003C0BC7"/>
    <w:pPr>
      <w:tabs>
        <w:tab w:val="clear" w:pos="992"/>
        <w:tab w:val="clear" w:pos="1191"/>
      </w:tabs>
      <w:ind w:left="1588" w:hanging="1588"/>
      <w:outlineLvl w:val="5"/>
    </w:pPr>
  </w:style>
  <w:style w:type="paragraph" w:styleId="Heading7">
    <w:name w:val="heading 7"/>
    <w:basedOn w:val="Heading6"/>
    <w:next w:val="Normal"/>
    <w:link w:val="Heading7Char"/>
    <w:qFormat/>
    <w:rsid w:val="003C0BC7"/>
    <w:pPr>
      <w:outlineLvl w:val="6"/>
    </w:pPr>
  </w:style>
  <w:style w:type="paragraph" w:styleId="Heading8">
    <w:name w:val="heading 8"/>
    <w:basedOn w:val="Heading6"/>
    <w:next w:val="Normal"/>
    <w:link w:val="Heading8Char"/>
    <w:qFormat/>
    <w:rsid w:val="003C0BC7"/>
    <w:pPr>
      <w:outlineLvl w:val="7"/>
    </w:pPr>
  </w:style>
  <w:style w:type="paragraph" w:styleId="Heading9">
    <w:name w:val="heading 9"/>
    <w:basedOn w:val="Heading6"/>
    <w:next w:val="Normal"/>
    <w:link w:val="Heading9Char"/>
    <w:qFormat/>
    <w:rsid w:val="003C0BC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7EA3"/>
    <w:rPr>
      <w:b/>
      <w:sz w:val="24"/>
      <w:lang w:val="fr-FR" w:eastAsia="en-US"/>
    </w:rPr>
  </w:style>
  <w:style w:type="character" w:customStyle="1" w:styleId="Heading2Char">
    <w:name w:val="Heading 2 Char"/>
    <w:basedOn w:val="DefaultParagraphFont"/>
    <w:link w:val="Heading2"/>
    <w:rsid w:val="009D7EA3"/>
    <w:rPr>
      <w:b/>
      <w:sz w:val="24"/>
      <w:lang w:val="fr-FR" w:eastAsia="en-US"/>
    </w:rPr>
  </w:style>
  <w:style w:type="character" w:customStyle="1" w:styleId="Heading3Char">
    <w:name w:val="Heading 3 Char"/>
    <w:basedOn w:val="DefaultParagraphFont"/>
    <w:link w:val="Heading3"/>
    <w:rsid w:val="009D7EA3"/>
    <w:rPr>
      <w:b/>
      <w:sz w:val="24"/>
      <w:lang w:val="fr-FR" w:eastAsia="en-US"/>
    </w:rPr>
  </w:style>
  <w:style w:type="character" w:customStyle="1" w:styleId="Heading4Char">
    <w:name w:val="Heading 4 Char"/>
    <w:basedOn w:val="DefaultParagraphFont"/>
    <w:link w:val="Heading4"/>
    <w:rsid w:val="009D7EA3"/>
    <w:rPr>
      <w:b/>
      <w:sz w:val="24"/>
      <w:lang w:val="fr-FR" w:eastAsia="en-US"/>
    </w:rPr>
  </w:style>
  <w:style w:type="character" w:customStyle="1" w:styleId="Heading5Char">
    <w:name w:val="Heading 5 Char"/>
    <w:basedOn w:val="DefaultParagraphFont"/>
    <w:link w:val="Heading5"/>
    <w:rsid w:val="009D7EA3"/>
    <w:rPr>
      <w:b/>
      <w:sz w:val="24"/>
      <w:lang w:val="fr-FR" w:eastAsia="en-US"/>
    </w:rPr>
  </w:style>
  <w:style w:type="character" w:customStyle="1" w:styleId="Heading6Char">
    <w:name w:val="Heading 6 Char"/>
    <w:basedOn w:val="DefaultParagraphFont"/>
    <w:link w:val="Heading6"/>
    <w:rsid w:val="009D7EA3"/>
    <w:rPr>
      <w:b/>
      <w:sz w:val="24"/>
      <w:lang w:val="fr-FR" w:eastAsia="en-US"/>
    </w:rPr>
  </w:style>
  <w:style w:type="character" w:customStyle="1" w:styleId="Heading7Char">
    <w:name w:val="Heading 7 Char"/>
    <w:basedOn w:val="DefaultParagraphFont"/>
    <w:link w:val="Heading7"/>
    <w:rsid w:val="009D7EA3"/>
    <w:rPr>
      <w:b/>
      <w:sz w:val="24"/>
      <w:lang w:val="fr-FR" w:eastAsia="en-US"/>
    </w:rPr>
  </w:style>
  <w:style w:type="character" w:customStyle="1" w:styleId="Heading8Char">
    <w:name w:val="Heading 8 Char"/>
    <w:basedOn w:val="DefaultParagraphFont"/>
    <w:link w:val="Heading8"/>
    <w:rsid w:val="009D7EA3"/>
    <w:rPr>
      <w:b/>
      <w:sz w:val="24"/>
      <w:lang w:val="fr-FR" w:eastAsia="en-US"/>
    </w:rPr>
  </w:style>
  <w:style w:type="character" w:customStyle="1" w:styleId="Heading9Char">
    <w:name w:val="Heading 9 Char"/>
    <w:basedOn w:val="DefaultParagraphFont"/>
    <w:link w:val="Heading9"/>
    <w:rsid w:val="009D7EA3"/>
    <w:rPr>
      <w:b/>
      <w:sz w:val="24"/>
      <w:lang w:val="fr-FR" w:eastAsia="en-US"/>
    </w:rPr>
  </w:style>
  <w:style w:type="paragraph" w:customStyle="1" w:styleId="Annexref">
    <w:name w:val="Annex_ref"/>
    <w:basedOn w:val="Normal"/>
    <w:next w:val="Normalaftertitle"/>
    <w:rsid w:val="003C0BC7"/>
    <w:pPr>
      <w:keepNext/>
      <w:keepLines/>
      <w:spacing w:after="280"/>
      <w:jc w:val="center"/>
    </w:pPr>
  </w:style>
  <w:style w:type="paragraph" w:customStyle="1" w:styleId="Normalaftertitle">
    <w:name w:val="Normal_after_title"/>
    <w:basedOn w:val="Normal"/>
    <w:next w:val="Normal"/>
    <w:rsid w:val="003C0BC7"/>
    <w:pPr>
      <w:spacing w:before="320"/>
    </w:pPr>
  </w:style>
  <w:style w:type="paragraph" w:customStyle="1" w:styleId="Tabletext">
    <w:name w:val="Table_text"/>
    <w:basedOn w:val="Normal"/>
    <w:rsid w:val="003C0B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3C0BC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9D7EA3"/>
    <w:rPr>
      <w:sz w:val="24"/>
      <w:lang w:val="fr-FR" w:eastAsia="en-US"/>
    </w:rPr>
  </w:style>
  <w:style w:type="paragraph" w:styleId="Footer">
    <w:name w:val="footer"/>
    <w:basedOn w:val="Normal"/>
    <w:link w:val="FooterChar"/>
    <w:rsid w:val="003C0BC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9D7EA3"/>
    <w:rPr>
      <w:noProof/>
      <w:sz w:val="18"/>
      <w:lang w:val="fr-FR" w:eastAsia="en-US"/>
    </w:rPr>
  </w:style>
  <w:style w:type="character" w:styleId="PageNumber">
    <w:name w:val="page number"/>
    <w:basedOn w:val="DefaultParagraphFont"/>
    <w:rsid w:val="003C0BC7"/>
  </w:style>
  <w:style w:type="paragraph" w:customStyle="1" w:styleId="Headingb">
    <w:name w:val="Heading_b"/>
    <w:basedOn w:val="Heading3"/>
    <w:next w:val="Normal"/>
    <w:rsid w:val="003C0BC7"/>
    <w:pPr>
      <w:spacing w:before="160"/>
      <w:ind w:left="0" w:firstLine="0"/>
      <w:outlineLvl w:val="9"/>
    </w:pPr>
  </w:style>
  <w:style w:type="paragraph" w:customStyle="1" w:styleId="Headingi">
    <w:name w:val="Heading_i"/>
    <w:basedOn w:val="Heading3"/>
    <w:next w:val="Normal"/>
    <w:rsid w:val="003C0BC7"/>
    <w:pPr>
      <w:spacing w:before="160"/>
      <w:ind w:left="0" w:firstLine="0"/>
    </w:pPr>
    <w:rPr>
      <w:b w:val="0"/>
      <w:i/>
    </w:rPr>
  </w:style>
  <w:style w:type="character" w:customStyle="1" w:styleId="href">
    <w:name w:val="href"/>
    <w:basedOn w:val="DefaultParagraphFont"/>
    <w:rsid w:val="003C0BC7"/>
  </w:style>
  <w:style w:type="paragraph" w:customStyle="1" w:styleId="AnnexNoTitle">
    <w:name w:val="Annex_NoTitle"/>
    <w:basedOn w:val="Normal"/>
    <w:next w:val="Normalaftertitle"/>
    <w:rsid w:val="003C0BC7"/>
    <w:pPr>
      <w:keepNext/>
      <w:keepLines/>
      <w:spacing w:before="480" w:after="80"/>
      <w:jc w:val="center"/>
    </w:pPr>
    <w:rPr>
      <w:b/>
      <w:sz w:val="28"/>
    </w:rPr>
  </w:style>
  <w:style w:type="paragraph" w:customStyle="1" w:styleId="enumlev1">
    <w:name w:val="enumlev1"/>
    <w:basedOn w:val="Normal"/>
    <w:rsid w:val="003C0BC7"/>
    <w:pPr>
      <w:spacing w:before="80"/>
      <w:ind w:left="794" w:hanging="794"/>
    </w:pPr>
  </w:style>
  <w:style w:type="paragraph" w:customStyle="1" w:styleId="Equation">
    <w:name w:val="Equation"/>
    <w:basedOn w:val="Normal"/>
    <w:rsid w:val="003C0BC7"/>
    <w:pPr>
      <w:tabs>
        <w:tab w:val="clear" w:pos="1191"/>
        <w:tab w:val="clear" w:pos="1588"/>
        <w:tab w:val="clear" w:pos="1985"/>
        <w:tab w:val="center" w:pos="4820"/>
        <w:tab w:val="right" w:pos="9639"/>
      </w:tabs>
    </w:pPr>
  </w:style>
  <w:style w:type="paragraph" w:customStyle="1" w:styleId="enumlev2">
    <w:name w:val="enumlev2"/>
    <w:basedOn w:val="enumlev1"/>
    <w:rsid w:val="003C0BC7"/>
    <w:pPr>
      <w:ind w:left="1191" w:hanging="397"/>
    </w:pPr>
  </w:style>
  <w:style w:type="paragraph" w:styleId="FootnoteText">
    <w:name w:val="footnote text"/>
    <w:basedOn w:val="Normal"/>
    <w:link w:val="FootnoteTextChar"/>
    <w:semiHidden/>
    <w:rsid w:val="003C0BC7"/>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9D7EA3"/>
    <w:rPr>
      <w:sz w:val="22"/>
      <w:lang w:val="fr-FR" w:eastAsia="en-US"/>
    </w:rPr>
  </w:style>
  <w:style w:type="paragraph" w:customStyle="1" w:styleId="enumlev3">
    <w:name w:val="enumlev3"/>
    <w:basedOn w:val="enumlev2"/>
    <w:rsid w:val="003C0BC7"/>
    <w:pPr>
      <w:ind w:left="1588"/>
    </w:pPr>
  </w:style>
  <w:style w:type="paragraph" w:customStyle="1" w:styleId="Note">
    <w:name w:val="Note"/>
    <w:basedOn w:val="Normal"/>
    <w:rsid w:val="003C0BC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C0BC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C0BC7"/>
    <w:pPr>
      <w:keepNext/>
      <w:keepLines/>
      <w:spacing w:before="240"/>
      <w:jc w:val="center"/>
    </w:pPr>
    <w:rPr>
      <w:b/>
      <w:sz w:val="28"/>
    </w:rPr>
  </w:style>
  <w:style w:type="paragraph" w:customStyle="1" w:styleId="Recref">
    <w:name w:val="Rec_ref"/>
    <w:basedOn w:val="Normal"/>
    <w:next w:val="Recdate"/>
    <w:rsid w:val="003C0BC7"/>
    <w:pPr>
      <w:jc w:val="center"/>
    </w:pPr>
  </w:style>
  <w:style w:type="paragraph" w:customStyle="1" w:styleId="Recdate">
    <w:name w:val="Rec_date"/>
    <w:basedOn w:val="Recref"/>
    <w:next w:val="Normalaftertitle"/>
    <w:rsid w:val="003C0BC7"/>
    <w:pPr>
      <w:jc w:val="right"/>
    </w:pPr>
  </w:style>
  <w:style w:type="paragraph" w:customStyle="1" w:styleId="HeadingSum">
    <w:name w:val="Heading_Sum"/>
    <w:basedOn w:val="Headingb"/>
    <w:next w:val="Normal"/>
    <w:rsid w:val="003C0BC7"/>
    <w:pPr>
      <w:spacing w:before="240"/>
    </w:pPr>
    <w:rPr>
      <w:sz w:val="22"/>
      <w:lang w:val="es-ES_tradnl"/>
    </w:rPr>
  </w:style>
  <w:style w:type="paragraph" w:customStyle="1" w:styleId="AppendixNoTitle">
    <w:name w:val="Appendix_NoTitle"/>
    <w:basedOn w:val="AnnexNoTitle"/>
    <w:next w:val="Normal"/>
    <w:rsid w:val="003C0BC7"/>
  </w:style>
  <w:style w:type="paragraph" w:customStyle="1" w:styleId="Tablefin">
    <w:name w:val="Table_fin"/>
    <w:basedOn w:val="Normal"/>
    <w:next w:val="Normal"/>
    <w:rsid w:val="003C0BC7"/>
    <w:pPr>
      <w:spacing w:before="0"/>
    </w:pPr>
    <w:rPr>
      <w:sz w:val="20"/>
      <w:lang w:val="en-GB"/>
    </w:rPr>
  </w:style>
  <w:style w:type="paragraph" w:customStyle="1" w:styleId="Tablehead">
    <w:name w:val="Table_head"/>
    <w:basedOn w:val="Normal"/>
    <w:next w:val="Normal"/>
    <w:rsid w:val="003C0BC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C0B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9D7EA3"/>
    <w:rPr>
      <w:sz w:val="22"/>
      <w:lang w:val="fr-FR" w:eastAsia="en-US"/>
    </w:rPr>
  </w:style>
  <w:style w:type="paragraph" w:customStyle="1" w:styleId="TableNo">
    <w:name w:val="Table_No"/>
    <w:basedOn w:val="Normal"/>
    <w:next w:val="Normal"/>
    <w:rsid w:val="003C0BC7"/>
    <w:pPr>
      <w:keepNext/>
      <w:spacing w:before="360" w:after="120"/>
      <w:jc w:val="center"/>
    </w:pPr>
  </w:style>
  <w:style w:type="paragraph" w:customStyle="1" w:styleId="Equationlegend">
    <w:name w:val="Equation_legend"/>
    <w:basedOn w:val="NormalIndent"/>
    <w:rsid w:val="003C0BC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0BC7"/>
    <w:pPr>
      <w:ind w:left="794"/>
    </w:pPr>
  </w:style>
  <w:style w:type="paragraph" w:customStyle="1" w:styleId="Figurelegend">
    <w:name w:val="Figure_legend"/>
    <w:basedOn w:val="Normal"/>
    <w:rsid w:val="003C0BC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C0BC7"/>
    <w:pPr>
      <w:keepNext/>
      <w:keepLines/>
      <w:spacing w:before="480" w:after="80"/>
      <w:jc w:val="center"/>
    </w:pPr>
    <w:rPr>
      <w:caps/>
      <w:sz w:val="18"/>
    </w:rPr>
  </w:style>
  <w:style w:type="paragraph" w:customStyle="1" w:styleId="Figuretitle">
    <w:name w:val="Figure_title"/>
    <w:basedOn w:val="Normal"/>
    <w:next w:val="Figure"/>
    <w:rsid w:val="003C0BC7"/>
    <w:pPr>
      <w:keepNext/>
      <w:spacing w:before="0" w:after="120"/>
      <w:jc w:val="center"/>
    </w:pPr>
    <w:rPr>
      <w:rFonts w:ascii="Times New Roman Bold" w:hAnsi="Times New Roman Bold"/>
      <w:b/>
      <w:sz w:val="18"/>
    </w:rPr>
  </w:style>
  <w:style w:type="paragraph" w:customStyle="1" w:styleId="Figure">
    <w:name w:val="Figure"/>
    <w:basedOn w:val="FigureNo"/>
    <w:next w:val="Normal"/>
    <w:rsid w:val="003C0BC7"/>
    <w:pPr>
      <w:keepNext w:val="0"/>
      <w:spacing w:before="0" w:after="240"/>
    </w:pPr>
  </w:style>
  <w:style w:type="paragraph" w:customStyle="1" w:styleId="tocpart">
    <w:name w:val="tocpart"/>
    <w:basedOn w:val="Normal"/>
    <w:rsid w:val="003C0BC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0BC7"/>
    <w:pPr>
      <w:keepNext/>
      <w:keepLines/>
      <w:spacing w:before="480"/>
      <w:jc w:val="center"/>
    </w:pPr>
    <w:rPr>
      <w:sz w:val="28"/>
    </w:rPr>
  </w:style>
  <w:style w:type="paragraph" w:customStyle="1" w:styleId="Arttitle">
    <w:name w:val="Art_title"/>
    <w:basedOn w:val="Normal"/>
    <w:next w:val="Normalaftertitle"/>
    <w:rsid w:val="003C0BC7"/>
    <w:pPr>
      <w:keepNext/>
      <w:keepLines/>
      <w:spacing w:before="240"/>
      <w:jc w:val="center"/>
    </w:pPr>
    <w:rPr>
      <w:b/>
      <w:sz w:val="28"/>
    </w:rPr>
  </w:style>
  <w:style w:type="paragraph" w:customStyle="1" w:styleId="ASN1">
    <w:name w:val="ASN.1"/>
    <w:basedOn w:val="Normal"/>
    <w:next w:val="Normal"/>
    <w:rsid w:val="003C0BC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C0BC7"/>
    <w:pPr>
      <w:keepNext/>
      <w:keepLines/>
      <w:spacing w:before="160"/>
      <w:ind w:left="794"/>
    </w:pPr>
    <w:rPr>
      <w:i/>
    </w:rPr>
  </w:style>
  <w:style w:type="paragraph" w:customStyle="1" w:styleId="ChapNo">
    <w:name w:val="Chap_No"/>
    <w:basedOn w:val="ArtNo"/>
    <w:next w:val="Chaptitle"/>
    <w:rsid w:val="003C0BC7"/>
    <w:rPr>
      <w:b/>
    </w:rPr>
  </w:style>
  <w:style w:type="paragraph" w:customStyle="1" w:styleId="Chaptitle">
    <w:name w:val="Chap_title"/>
    <w:basedOn w:val="Arttitle"/>
    <w:next w:val="Normalaftertitle"/>
    <w:rsid w:val="003C0BC7"/>
  </w:style>
  <w:style w:type="character" w:styleId="FootnoteReference">
    <w:name w:val="footnote reference"/>
    <w:basedOn w:val="DefaultParagraphFont"/>
    <w:semiHidden/>
    <w:rsid w:val="003C0BC7"/>
    <w:rPr>
      <w:position w:val="6"/>
      <w:sz w:val="18"/>
    </w:rPr>
  </w:style>
  <w:style w:type="paragraph" w:styleId="Index1">
    <w:name w:val="index 1"/>
    <w:basedOn w:val="Normal"/>
    <w:next w:val="Normal"/>
    <w:semiHidden/>
    <w:rsid w:val="003C0BC7"/>
  </w:style>
  <w:style w:type="paragraph" w:styleId="Index2">
    <w:name w:val="index 2"/>
    <w:basedOn w:val="Normal"/>
    <w:next w:val="Normal"/>
    <w:semiHidden/>
    <w:rsid w:val="003C0BC7"/>
    <w:pPr>
      <w:ind w:left="283"/>
    </w:pPr>
  </w:style>
  <w:style w:type="paragraph" w:styleId="Index3">
    <w:name w:val="index 3"/>
    <w:basedOn w:val="Normal"/>
    <w:next w:val="Normal"/>
    <w:semiHidden/>
    <w:rsid w:val="003C0BC7"/>
    <w:pPr>
      <w:ind w:left="566"/>
    </w:pPr>
  </w:style>
  <w:style w:type="paragraph" w:styleId="IndexHeading">
    <w:name w:val="index heading"/>
    <w:basedOn w:val="Normal"/>
    <w:next w:val="Index1"/>
    <w:semiHidden/>
    <w:rsid w:val="003C0BC7"/>
  </w:style>
  <w:style w:type="paragraph" w:customStyle="1" w:styleId="Line">
    <w:name w:val="Line"/>
    <w:basedOn w:val="Normal"/>
    <w:next w:val="Normal"/>
    <w:rsid w:val="003C0BC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0BC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0BC7"/>
  </w:style>
  <w:style w:type="paragraph" w:customStyle="1" w:styleId="Partref">
    <w:name w:val="Part_ref"/>
    <w:basedOn w:val="Normal"/>
    <w:next w:val="Normal"/>
    <w:rsid w:val="003C0BC7"/>
    <w:pPr>
      <w:keepNext/>
      <w:keepLines/>
      <w:spacing w:after="280"/>
      <w:jc w:val="center"/>
    </w:pPr>
  </w:style>
  <w:style w:type="paragraph" w:customStyle="1" w:styleId="Parttitle">
    <w:name w:val="Part_title"/>
    <w:basedOn w:val="Normal"/>
    <w:next w:val="Normalaftertitle"/>
    <w:rsid w:val="003C0BC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0BC7"/>
  </w:style>
  <w:style w:type="paragraph" w:customStyle="1" w:styleId="QuestionNo">
    <w:name w:val="Question_No"/>
    <w:basedOn w:val="RecNo"/>
    <w:next w:val="Normal"/>
    <w:rsid w:val="003C0BC7"/>
  </w:style>
  <w:style w:type="paragraph" w:customStyle="1" w:styleId="Questionref">
    <w:name w:val="Question_ref"/>
    <w:basedOn w:val="Recref"/>
    <w:next w:val="Questiondate"/>
    <w:rsid w:val="003C0BC7"/>
  </w:style>
  <w:style w:type="paragraph" w:customStyle="1" w:styleId="Questiontitle">
    <w:name w:val="Question_title"/>
    <w:basedOn w:val="Normal"/>
    <w:next w:val="Questionref"/>
    <w:rsid w:val="003C0BC7"/>
  </w:style>
  <w:style w:type="paragraph" w:customStyle="1" w:styleId="Reftext">
    <w:name w:val="Ref_text"/>
    <w:basedOn w:val="Normal"/>
    <w:rsid w:val="003C0BC7"/>
    <w:pPr>
      <w:ind w:left="794" w:hanging="794"/>
    </w:pPr>
    <w:rPr>
      <w:sz w:val="22"/>
    </w:rPr>
  </w:style>
  <w:style w:type="paragraph" w:customStyle="1" w:styleId="Reftitle">
    <w:name w:val="Ref_title"/>
    <w:basedOn w:val="Normal"/>
    <w:next w:val="Reftext"/>
    <w:rsid w:val="003C0BC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0BC7"/>
  </w:style>
  <w:style w:type="paragraph" w:customStyle="1" w:styleId="RepNo">
    <w:name w:val="Rep_No"/>
    <w:basedOn w:val="RecNo"/>
    <w:next w:val="Reptitle"/>
    <w:rsid w:val="003C0BC7"/>
  </w:style>
  <w:style w:type="paragraph" w:customStyle="1" w:styleId="Reptitle">
    <w:name w:val="Rep_title"/>
    <w:basedOn w:val="Rectitle"/>
    <w:next w:val="Repref"/>
    <w:rsid w:val="003C0BC7"/>
  </w:style>
  <w:style w:type="paragraph" w:customStyle="1" w:styleId="Repref">
    <w:name w:val="Rep_ref"/>
    <w:basedOn w:val="Recref"/>
    <w:next w:val="Repdate"/>
    <w:rsid w:val="003C0BC7"/>
  </w:style>
  <w:style w:type="paragraph" w:customStyle="1" w:styleId="Resdate">
    <w:name w:val="Res_date"/>
    <w:basedOn w:val="Recdate"/>
    <w:next w:val="Normalaftertitle"/>
    <w:rsid w:val="003C0BC7"/>
  </w:style>
  <w:style w:type="paragraph" w:customStyle="1" w:styleId="ResNo">
    <w:name w:val="Res_No"/>
    <w:basedOn w:val="RecNo"/>
    <w:next w:val="Restitle"/>
    <w:rsid w:val="003C0BC7"/>
  </w:style>
  <w:style w:type="paragraph" w:customStyle="1" w:styleId="Restitle">
    <w:name w:val="Res_title"/>
    <w:basedOn w:val="Normal"/>
    <w:next w:val="Resref"/>
    <w:rsid w:val="003C0BC7"/>
    <w:pPr>
      <w:spacing w:before="240"/>
      <w:jc w:val="center"/>
    </w:pPr>
    <w:rPr>
      <w:b/>
      <w:sz w:val="28"/>
    </w:rPr>
  </w:style>
  <w:style w:type="paragraph" w:customStyle="1" w:styleId="Resref">
    <w:name w:val="Res_ref"/>
    <w:basedOn w:val="Recref"/>
    <w:next w:val="Resdate"/>
    <w:rsid w:val="003C0BC7"/>
  </w:style>
  <w:style w:type="paragraph" w:customStyle="1" w:styleId="SectionNo">
    <w:name w:val="Section_No"/>
    <w:basedOn w:val="Normal"/>
    <w:next w:val="Normal"/>
    <w:rsid w:val="003C0BC7"/>
  </w:style>
  <w:style w:type="paragraph" w:customStyle="1" w:styleId="Sectiontitle">
    <w:name w:val="Section_title"/>
    <w:basedOn w:val="Normal"/>
    <w:next w:val="Normalaftertitle"/>
    <w:rsid w:val="003C0BC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0BC7"/>
    <w:pPr>
      <w:tabs>
        <w:tab w:val="clear" w:pos="794"/>
        <w:tab w:val="clear" w:pos="1191"/>
        <w:tab w:val="clear" w:pos="1588"/>
        <w:tab w:val="clear" w:pos="1985"/>
        <w:tab w:val="right" w:pos="9611"/>
      </w:tabs>
    </w:pPr>
    <w:rPr>
      <w:i/>
    </w:rPr>
  </w:style>
  <w:style w:type="paragraph" w:styleId="TOC1">
    <w:name w:val="toc 1"/>
    <w:basedOn w:val="Normal"/>
    <w:semiHidden/>
    <w:rsid w:val="003C0BC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C0BC7"/>
    <w:pPr>
      <w:tabs>
        <w:tab w:val="clear" w:pos="567"/>
        <w:tab w:val="left" w:pos="1276"/>
      </w:tabs>
      <w:spacing w:before="160"/>
      <w:ind w:left="1276" w:hanging="709"/>
    </w:pPr>
  </w:style>
  <w:style w:type="paragraph" w:styleId="TOC3">
    <w:name w:val="toc 3"/>
    <w:basedOn w:val="TOC2"/>
    <w:semiHidden/>
    <w:rsid w:val="003C0BC7"/>
    <w:pPr>
      <w:tabs>
        <w:tab w:val="clear" w:pos="1276"/>
        <w:tab w:val="left" w:pos="2155"/>
      </w:tabs>
      <w:ind w:left="2155" w:hanging="879"/>
    </w:pPr>
  </w:style>
  <w:style w:type="paragraph" w:styleId="TOC4">
    <w:name w:val="toc 4"/>
    <w:basedOn w:val="TOC3"/>
    <w:semiHidden/>
    <w:rsid w:val="003C0BC7"/>
    <w:pPr>
      <w:tabs>
        <w:tab w:val="left" w:pos="3261"/>
      </w:tabs>
      <w:spacing w:before="80"/>
      <w:ind w:left="3261" w:hanging="993"/>
    </w:pPr>
  </w:style>
  <w:style w:type="paragraph" w:styleId="TOC5">
    <w:name w:val="toc 5"/>
    <w:basedOn w:val="TOC4"/>
    <w:semiHidden/>
    <w:rsid w:val="003C0BC7"/>
  </w:style>
  <w:style w:type="paragraph" w:styleId="TOC6">
    <w:name w:val="toc 6"/>
    <w:basedOn w:val="TOC4"/>
    <w:semiHidden/>
    <w:rsid w:val="003C0BC7"/>
  </w:style>
  <w:style w:type="paragraph" w:styleId="TOC7">
    <w:name w:val="toc 7"/>
    <w:basedOn w:val="TOC4"/>
    <w:semiHidden/>
    <w:rsid w:val="003C0BC7"/>
  </w:style>
  <w:style w:type="paragraph" w:styleId="TOC8">
    <w:name w:val="toc 8"/>
    <w:basedOn w:val="TOC4"/>
    <w:semiHidden/>
    <w:rsid w:val="003C0BC7"/>
  </w:style>
  <w:style w:type="paragraph" w:customStyle="1" w:styleId="Appendixref">
    <w:name w:val="Appendix_ref"/>
    <w:basedOn w:val="Annexref"/>
    <w:next w:val="Normalaftertitle"/>
    <w:rsid w:val="003C0BC7"/>
  </w:style>
  <w:style w:type="paragraph" w:customStyle="1" w:styleId="Tabletitle">
    <w:name w:val="Table_title"/>
    <w:basedOn w:val="Normal"/>
    <w:next w:val="Tablehead"/>
    <w:rsid w:val="003C0BC7"/>
    <w:pPr>
      <w:keepNext/>
      <w:spacing w:before="0" w:after="120"/>
      <w:jc w:val="center"/>
    </w:pPr>
    <w:rPr>
      <w:b/>
    </w:rPr>
  </w:style>
  <w:style w:type="paragraph" w:customStyle="1" w:styleId="Summary">
    <w:name w:val="Summary"/>
    <w:basedOn w:val="Normal"/>
    <w:next w:val="Normalaftertitle"/>
    <w:rsid w:val="003C0BC7"/>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C0BC7"/>
    <w:pPr>
      <w:ind w:left="-85" w:firstLine="0"/>
    </w:pPr>
    <w:rPr>
      <w:lang w:val="en-US"/>
    </w:rPr>
  </w:style>
  <w:style w:type="paragraph" w:customStyle="1" w:styleId="Tableref">
    <w:name w:val="Table_ref"/>
    <w:basedOn w:val="Normal"/>
    <w:next w:val="Tabletitle"/>
    <w:rsid w:val="009D7EA3"/>
    <w:pPr>
      <w:keepNext/>
      <w:spacing w:before="0" w:after="120"/>
      <w:jc w:val="center"/>
    </w:pPr>
    <w:rPr>
      <w:lang w:val="en-GB"/>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emf"/><Relationship Id="rId18"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117</TotalTime>
  <Pages>16</Pages>
  <Words>4685</Words>
  <Characters>25961</Characters>
  <Application>Microsoft Office Word</Application>
  <DocSecurity>0</DocSecurity>
  <Lines>529</Lines>
  <Paragraphs>348</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30298</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Factors affecting the choice of frequency bands for space research service deep-space (space-to-Earth) telecommunication links</dc:title>
  <dc:subject/>
  <dc:creator>ITU Radiocommunication Bureau (BR)</dc:creator>
  <cp:keywords>,</cp:keywords>
  <dc:description>Santosbo, 12/04/2010, MSB106309</dc:description>
  <cp:lastModifiedBy>santosbo</cp:lastModifiedBy>
  <cp:revision>11</cp:revision>
  <cp:lastPrinted>2009-07-02T15:41:00Z</cp:lastPrinted>
  <dcterms:created xsi:type="dcterms:W3CDTF">2010-03-12T13:23:00Z</dcterms:created>
  <dcterms:modified xsi:type="dcterms:W3CDTF">2010-04-12T08:17:00Z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12 April 2010</vt:lpwstr>
  </property>
</Properties>
</file>