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67A" w:rsidRDefault="00E6067A" w:rsidP="00E6067A">
      <w:bookmarkStart w:id="0" w:name="_GoBack"/>
      <w:bookmarkEnd w:id="0"/>
    </w:p>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p w:rsidR="00E6067A" w:rsidRDefault="00E6067A" w:rsidP="00E6067A"/>
    <w:tbl>
      <w:tblPr>
        <w:tblW w:w="10089" w:type="dxa"/>
        <w:tblLook w:val="01E0" w:firstRow="1" w:lastRow="1" w:firstColumn="1" w:lastColumn="1" w:noHBand="0" w:noVBand="0"/>
      </w:tblPr>
      <w:tblGrid>
        <w:gridCol w:w="10089"/>
      </w:tblGrid>
      <w:tr w:rsidR="00E6067A" w:rsidRPr="00EF1E72" w:rsidTr="001D086F">
        <w:tc>
          <w:tcPr>
            <w:tcW w:w="10089" w:type="dxa"/>
          </w:tcPr>
          <w:p w:rsidR="00E6067A" w:rsidRPr="00EF1E72" w:rsidRDefault="00E6067A" w:rsidP="001D086F">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5pt;height:17.2pt" o:ole="">
                  <v:imagedata r:id="rId8" o:title=""/>
                </v:shape>
                <o:OLEObject Type="Embed" ProgID="Equation.3" ShapeID="_x0000_i1025" DrawAspect="Content" ObjectID="_1603112073" r:id="rId9"/>
              </w:object>
            </w:r>
          </w:p>
          <w:p w:rsidR="00E6067A" w:rsidRPr="00E6067A" w:rsidRDefault="00E6067A" w:rsidP="006C6716">
            <w:pPr>
              <w:spacing w:before="380" w:line="280" w:lineRule="exact"/>
              <w:jc w:val="right"/>
              <w:rPr>
                <w:rFonts w:ascii="Tahoma" w:hAnsi="Tahoma" w:cs="Tahoma"/>
                <w:b/>
                <w:bCs/>
                <w:iCs/>
                <w:color w:val="509141"/>
                <w:sz w:val="36"/>
                <w:szCs w:val="36"/>
                <w:lang w:val="fr-CH"/>
              </w:rPr>
            </w:pPr>
            <w:proofErr w:type="gramStart"/>
            <w:r w:rsidRPr="00E6067A">
              <w:rPr>
                <w:rFonts w:ascii="Tahoma" w:hAnsi="Tahoma" w:cs="Tahoma"/>
                <w:b/>
                <w:bCs/>
                <w:iCs/>
                <w:color w:val="509141"/>
                <w:sz w:val="36"/>
                <w:szCs w:val="36"/>
                <w:lang w:val="fr-CH"/>
              </w:rPr>
              <w:t>Report  ITU</w:t>
            </w:r>
            <w:proofErr w:type="gramEnd"/>
            <w:r w:rsidRPr="00E6067A">
              <w:rPr>
                <w:rFonts w:ascii="Tahoma" w:hAnsi="Tahoma" w:cs="Tahoma"/>
                <w:b/>
                <w:bCs/>
                <w:iCs/>
                <w:color w:val="509141"/>
                <w:sz w:val="36"/>
                <w:szCs w:val="36"/>
                <w:lang w:val="fr-CH"/>
              </w:rPr>
              <w:t>-R  SA.</w:t>
            </w:r>
            <w:r w:rsidR="006C6716">
              <w:rPr>
                <w:rFonts w:ascii="Tahoma" w:hAnsi="Tahoma" w:cs="Tahoma"/>
                <w:b/>
                <w:bCs/>
                <w:iCs/>
                <w:color w:val="509141"/>
                <w:sz w:val="36"/>
                <w:szCs w:val="36"/>
                <w:lang w:val="fr-CH"/>
              </w:rPr>
              <w:t>2425</w:t>
            </w:r>
            <w:r>
              <w:rPr>
                <w:rFonts w:ascii="Tahoma" w:hAnsi="Tahoma" w:cs="Tahoma"/>
                <w:b/>
                <w:bCs/>
                <w:iCs/>
                <w:color w:val="509141"/>
                <w:sz w:val="36"/>
                <w:szCs w:val="36"/>
                <w:lang w:val="fr-CH"/>
              </w:rPr>
              <w:t>-0</w:t>
            </w:r>
          </w:p>
          <w:p w:rsidR="00E6067A" w:rsidRPr="00E6067A" w:rsidRDefault="00E6067A" w:rsidP="006C6716">
            <w:pPr>
              <w:spacing w:before="80" w:line="280" w:lineRule="exact"/>
              <w:jc w:val="right"/>
              <w:rPr>
                <w:rFonts w:ascii="Tahoma" w:hAnsi="Tahoma" w:cs="Tahoma"/>
                <w:iCs/>
                <w:color w:val="509141"/>
                <w:szCs w:val="24"/>
                <w:lang w:val="fr-CH"/>
              </w:rPr>
            </w:pPr>
            <w:r w:rsidRPr="00E6067A">
              <w:rPr>
                <w:rFonts w:ascii="Tahoma" w:hAnsi="Tahoma" w:cs="Tahoma"/>
                <w:b/>
                <w:bCs/>
                <w:iCs/>
                <w:color w:val="509141"/>
                <w:szCs w:val="24"/>
                <w:lang w:val="fr-CH"/>
              </w:rPr>
              <w:t>(0</w:t>
            </w:r>
            <w:r w:rsidR="006C6716">
              <w:rPr>
                <w:rFonts w:ascii="Tahoma" w:hAnsi="Tahoma" w:cs="Tahoma"/>
                <w:b/>
                <w:bCs/>
                <w:iCs/>
                <w:color w:val="509141"/>
                <w:szCs w:val="24"/>
                <w:lang w:val="fr-CH"/>
              </w:rPr>
              <w:t>9</w:t>
            </w:r>
            <w:r w:rsidRPr="00E6067A">
              <w:rPr>
                <w:rFonts w:ascii="Tahoma" w:hAnsi="Tahoma" w:cs="Tahoma"/>
                <w:b/>
                <w:bCs/>
                <w:iCs/>
                <w:color w:val="509141"/>
                <w:szCs w:val="24"/>
                <w:lang w:val="fr-CH"/>
              </w:rPr>
              <w:t>/</w:t>
            </w:r>
            <w:r>
              <w:rPr>
                <w:rFonts w:ascii="Tahoma" w:hAnsi="Tahoma" w:cs="Tahoma"/>
                <w:b/>
                <w:bCs/>
                <w:iCs/>
                <w:color w:val="509141"/>
                <w:szCs w:val="24"/>
                <w:lang w:val="fr-CH"/>
              </w:rPr>
              <w:t>201</w:t>
            </w:r>
            <w:r w:rsidR="006C6716">
              <w:rPr>
                <w:rFonts w:ascii="Tahoma" w:hAnsi="Tahoma" w:cs="Tahoma"/>
                <w:b/>
                <w:bCs/>
                <w:iCs/>
                <w:color w:val="509141"/>
                <w:szCs w:val="24"/>
                <w:lang w:val="fr-CH"/>
              </w:rPr>
              <w:t>8</w:t>
            </w:r>
            <w:r w:rsidRPr="00E6067A">
              <w:rPr>
                <w:rFonts w:ascii="Tahoma" w:hAnsi="Tahoma" w:cs="Tahoma"/>
                <w:b/>
                <w:bCs/>
                <w:iCs/>
                <w:color w:val="509141"/>
                <w:szCs w:val="24"/>
                <w:lang w:val="fr-CH"/>
              </w:rPr>
              <w:t>)</w:t>
            </w:r>
          </w:p>
        </w:tc>
      </w:tr>
      <w:tr w:rsidR="00E6067A" w:rsidRPr="00C83BD1" w:rsidTr="001D086F">
        <w:tc>
          <w:tcPr>
            <w:tcW w:w="10089" w:type="dxa"/>
          </w:tcPr>
          <w:p w:rsidR="00E6067A" w:rsidRPr="00E6067A" w:rsidRDefault="00E6067A" w:rsidP="001D086F">
            <w:pPr>
              <w:spacing w:before="80" w:line="500" w:lineRule="exact"/>
              <w:jc w:val="right"/>
              <w:rPr>
                <w:rFonts w:ascii="Tahoma" w:hAnsi="Tahoma" w:cs="Tahoma"/>
                <w:b/>
                <w:bCs/>
                <w:iCs/>
                <w:color w:val="509141"/>
                <w:sz w:val="44"/>
                <w:szCs w:val="44"/>
                <w:lang w:val="en-US"/>
              </w:rPr>
            </w:pPr>
          </w:p>
          <w:p w:rsidR="00E6067A" w:rsidRPr="00EF1E72" w:rsidRDefault="006C6716" w:rsidP="006C6716">
            <w:pPr>
              <w:spacing w:before="80" w:line="500" w:lineRule="exact"/>
              <w:jc w:val="right"/>
              <w:rPr>
                <w:rFonts w:ascii="Tahoma" w:hAnsi="Tahoma" w:cs="Tahoma"/>
                <w:b/>
                <w:bCs/>
                <w:iCs/>
                <w:color w:val="509141"/>
                <w:sz w:val="44"/>
                <w:szCs w:val="44"/>
                <w:lang w:val="en-US"/>
              </w:rPr>
            </w:pPr>
            <w:r w:rsidRPr="006C6716">
              <w:rPr>
                <w:rFonts w:ascii="Tahoma" w:hAnsi="Tahoma" w:cs="Tahoma"/>
                <w:b/>
                <w:bCs/>
                <w:iCs/>
                <w:color w:val="509141"/>
                <w:sz w:val="44"/>
                <w:szCs w:val="44"/>
                <w:lang w:val="en-GB"/>
              </w:rPr>
              <w:t>Studies to accommodate spectrum requirements in the space operation service for non-geostationary satellites with short duration missions</w:t>
            </w:r>
          </w:p>
          <w:p w:rsidR="00E6067A" w:rsidRPr="00EF1E72" w:rsidRDefault="00E6067A" w:rsidP="001D086F">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E6067A" w:rsidRPr="00EF1E72" w:rsidTr="001D086F">
        <w:tc>
          <w:tcPr>
            <w:tcW w:w="10089" w:type="dxa"/>
          </w:tcPr>
          <w:p w:rsidR="00E6067A" w:rsidRPr="00EF1E72" w:rsidRDefault="00E6067A" w:rsidP="001D086F">
            <w:pPr>
              <w:spacing w:before="80" w:line="280" w:lineRule="exact"/>
              <w:ind w:right="640"/>
              <w:rPr>
                <w:rFonts w:ascii="Tahoma" w:hAnsi="Tahoma" w:cs="Tahoma"/>
                <w:b/>
                <w:bCs/>
                <w:iCs/>
                <w:color w:val="243285"/>
                <w:sz w:val="32"/>
                <w:szCs w:val="32"/>
                <w:lang w:val="en-US"/>
              </w:rPr>
            </w:pPr>
          </w:p>
          <w:p w:rsidR="00E6067A" w:rsidRPr="00EF1E72" w:rsidRDefault="00E6067A" w:rsidP="001D086F">
            <w:pPr>
              <w:spacing w:before="80" w:line="280" w:lineRule="exact"/>
              <w:ind w:right="640"/>
              <w:rPr>
                <w:rFonts w:ascii="Tahoma" w:hAnsi="Tahoma" w:cs="Tahoma"/>
                <w:b/>
                <w:bCs/>
                <w:iCs/>
                <w:color w:val="243285"/>
                <w:sz w:val="32"/>
                <w:szCs w:val="32"/>
                <w:lang w:val="en-US"/>
              </w:rPr>
            </w:pPr>
          </w:p>
          <w:p w:rsidR="00E6067A" w:rsidRPr="00EF1E72" w:rsidRDefault="00E6067A" w:rsidP="001D086F">
            <w:pPr>
              <w:spacing w:before="80" w:line="280" w:lineRule="exact"/>
              <w:ind w:right="640"/>
              <w:rPr>
                <w:rFonts w:ascii="Tahoma" w:hAnsi="Tahoma" w:cs="Tahoma"/>
                <w:b/>
                <w:bCs/>
                <w:iCs/>
                <w:color w:val="243285"/>
                <w:sz w:val="32"/>
                <w:szCs w:val="32"/>
                <w:lang w:val="en-US"/>
              </w:rPr>
            </w:pPr>
          </w:p>
          <w:p w:rsidR="00E6067A" w:rsidRPr="00EF1E72" w:rsidRDefault="00E6067A" w:rsidP="001D086F">
            <w:pPr>
              <w:spacing w:before="80" w:after="180" w:line="360" w:lineRule="exact"/>
              <w:jc w:val="right"/>
              <w:rPr>
                <w:rFonts w:ascii="Tahoma" w:hAnsi="Tahoma" w:cs="Tahoma"/>
                <w:b/>
                <w:bCs/>
                <w:iCs/>
                <w:color w:val="243285"/>
                <w:sz w:val="36"/>
                <w:szCs w:val="36"/>
                <w:lang w:val="en-US"/>
              </w:rPr>
            </w:pPr>
          </w:p>
          <w:p w:rsidR="00E6067A" w:rsidRPr="00EF1E72" w:rsidRDefault="00E6067A" w:rsidP="001D086F">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E6067A" w:rsidRPr="00EF1E72" w:rsidRDefault="00E6067A" w:rsidP="001D086F">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E6067A" w:rsidRDefault="00E6067A" w:rsidP="00E6067A">
      <w:pPr>
        <w:spacing w:before="80"/>
        <w:rPr>
          <w:i/>
          <w:sz w:val="22"/>
          <w:lang w:val="en-US"/>
        </w:rPr>
      </w:pPr>
    </w:p>
    <w:p w:rsidR="00E6067A" w:rsidRDefault="00E6067A" w:rsidP="00E6067A">
      <w:pPr>
        <w:spacing w:before="80"/>
        <w:rPr>
          <w:i/>
          <w:sz w:val="22"/>
          <w:lang w:val="en-US"/>
        </w:rPr>
      </w:pPr>
    </w:p>
    <w:p w:rsidR="00E6067A" w:rsidRDefault="00E6067A" w:rsidP="00E6067A">
      <w:pPr>
        <w:spacing w:before="80"/>
        <w:rPr>
          <w:i/>
          <w:sz w:val="22"/>
          <w:lang w:val="en-US"/>
        </w:rPr>
      </w:pPr>
    </w:p>
    <w:p w:rsidR="00E6067A" w:rsidRDefault="00E6067A" w:rsidP="00E6067A">
      <w:pPr>
        <w:spacing w:before="80"/>
        <w:rPr>
          <w:i/>
          <w:sz w:val="22"/>
          <w:lang w:val="en-US"/>
        </w:rPr>
      </w:pPr>
    </w:p>
    <w:p w:rsidR="00E6067A" w:rsidRDefault="00E6067A" w:rsidP="00E6067A">
      <w:pPr>
        <w:spacing w:before="80"/>
        <w:rPr>
          <w:i/>
          <w:sz w:val="22"/>
          <w:lang w:val="en-US"/>
        </w:rPr>
      </w:pPr>
    </w:p>
    <w:p w:rsidR="00E6067A" w:rsidRDefault="00E6067A" w:rsidP="00E6067A">
      <w:pPr>
        <w:spacing w:before="80"/>
        <w:rPr>
          <w:i/>
          <w:sz w:val="22"/>
          <w:lang w:val="en-US"/>
        </w:rPr>
      </w:pPr>
    </w:p>
    <w:p w:rsidR="00E6067A" w:rsidRDefault="00E6067A" w:rsidP="00E6067A">
      <w:pPr>
        <w:rPr>
          <w:rFonts w:ascii="Palatino Linotype" w:hAnsi="Palatino Linotype"/>
          <w:lang w:val="en-US"/>
        </w:rPr>
        <w:sectPr w:rsidR="00E6067A" w:rsidSect="001D086F">
          <w:headerReference w:type="even" r:id="rId10"/>
          <w:headerReference w:type="default" r:id="rId11"/>
          <w:pgSz w:w="11907" w:h="16840" w:code="9"/>
          <w:pgMar w:top="1089" w:right="1089" w:bottom="284" w:left="1089" w:header="567" w:footer="284" w:gutter="0"/>
          <w:pgNumType w:start="1"/>
          <w:cols w:space="720"/>
        </w:sectPr>
      </w:pPr>
    </w:p>
    <w:p w:rsidR="00E6067A" w:rsidRDefault="00E6067A" w:rsidP="00E6067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E6067A" w:rsidRDefault="00E6067A" w:rsidP="00E6067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6067A" w:rsidRDefault="00E6067A" w:rsidP="00E6067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6067A" w:rsidRDefault="00E6067A" w:rsidP="00E6067A">
      <w:pPr>
        <w:pStyle w:val="Heading1"/>
        <w:spacing w:before="400"/>
        <w:jc w:val="center"/>
        <w:rPr>
          <w:szCs w:val="24"/>
          <w:lang w:val="en-US"/>
        </w:rPr>
      </w:pPr>
    </w:p>
    <w:p w:rsidR="00E6067A" w:rsidRDefault="00E6067A" w:rsidP="00E6067A">
      <w:pPr>
        <w:pStyle w:val="Heading1"/>
        <w:spacing w:before="540"/>
        <w:jc w:val="center"/>
        <w:rPr>
          <w:szCs w:val="24"/>
          <w:lang w:val="en-US"/>
        </w:rPr>
      </w:pPr>
      <w:bookmarkStart w:id="2" w:name="_Toc422147833"/>
      <w:bookmarkStart w:id="3" w:name="_Toc422147923"/>
      <w:bookmarkStart w:id="4" w:name="_Toc422205195"/>
      <w:r>
        <w:rPr>
          <w:szCs w:val="24"/>
          <w:lang w:val="en-US"/>
        </w:rPr>
        <w:t>Policy on Intellectual Property Right (IPR)</w:t>
      </w:r>
      <w:bookmarkEnd w:id="2"/>
      <w:bookmarkEnd w:id="3"/>
      <w:bookmarkEnd w:id="4"/>
    </w:p>
    <w:p w:rsidR="00E6067A" w:rsidRDefault="00E6067A" w:rsidP="00E6067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6067A" w:rsidRDefault="00E6067A" w:rsidP="00E6067A">
      <w:pPr>
        <w:jc w:val="center"/>
        <w:rPr>
          <w:sz w:val="22"/>
          <w:lang w:val="en-US"/>
        </w:rPr>
      </w:pPr>
    </w:p>
    <w:p w:rsidR="00E6067A" w:rsidRDefault="00E6067A" w:rsidP="00E6067A">
      <w:pPr>
        <w:jc w:val="center"/>
        <w:rPr>
          <w:sz w:val="22"/>
          <w:lang w:val="en-US"/>
        </w:rPr>
      </w:pPr>
    </w:p>
    <w:p w:rsidR="00E6067A" w:rsidRDefault="00E6067A" w:rsidP="00E6067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6067A" w:rsidRPr="00C83BD1" w:rsidTr="001D086F">
        <w:tc>
          <w:tcPr>
            <w:tcW w:w="9360" w:type="dxa"/>
            <w:gridSpan w:val="2"/>
            <w:tcBorders>
              <w:top w:val="single" w:sz="12" w:space="0" w:color="000080"/>
              <w:left w:val="single" w:sz="12" w:space="0" w:color="000080"/>
              <w:bottom w:val="nil"/>
              <w:right w:val="single" w:sz="12" w:space="0" w:color="000080"/>
            </w:tcBorders>
          </w:tcPr>
          <w:p w:rsidR="00E6067A" w:rsidRPr="00C7761D" w:rsidRDefault="00E6067A" w:rsidP="001D086F">
            <w:pPr>
              <w:pStyle w:val="ChapNo"/>
              <w:spacing w:before="240"/>
              <w:rPr>
                <w:sz w:val="22"/>
                <w:szCs w:val="22"/>
                <w:lang w:val="en-US"/>
              </w:rPr>
            </w:pPr>
            <w:r w:rsidRPr="00C7761D">
              <w:rPr>
                <w:sz w:val="22"/>
                <w:szCs w:val="22"/>
                <w:lang w:val="en-US"/>
              </w:rPr>
              <w:t xml:space="preserve">Series of ITU-R Reports </w:t>
            </w:r>
          </w:p>
          <w:p w:rsidR="00E6067A"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6067A" w:rsidTr="001D086F">
        <w:tc>
          <w:tcPr>
            <w:tcW w:w="1140" w:type="dxa"/>
            <w:tcBorders>
              <w:top w:val="nil"/>
              <w:left w:val="single" w:sz="12" w:space="0" w:color="000080"/>
              <w:bottom w:val="nil"/>
              <w:right w:val="nil"/>
            </w:tcBorders>
          </w:tcPr>
          <w:p w:rsidR="00E6067A" w:rsidRDefault="00E6067A" w:rsidP="001D086F">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6067A"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6067A" w:rsidTr="001D086F">
        <w:tc>
          <w:tcPr>
            <w:tcW w:w="1140" w:type="dxa"/>
            <w:tcBorders>
              <w:top w:val="nil"/>
              <w:left w:val="single" w:sz="12" w:space="0" w:color="000080"/>
              <w:bottom w:val="nil"/>
              <w:right w:val="nil"/>
            </w:tcBorders>
            <w:shd w:val="clear" w:color="auto" w:fill="auto"/>
          </w:tcPr>
          <w:p w:rsidR="00E6067A" w:rsidRPr="006F2B77" w:rsidRDefault="00E6067A" w:rsidP="001D086F">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E6067A" w:rsidRPr="006F2B77"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E6067A" w:rsidRPr="00C83BD1" w:rsidTr="001D086F">
        <w:tc>
          <w:tcPr>
            <w:tcW w:w="1140" w:type="dxa"/>
            <w:tcBorders>
              <w:top w:val="nil"/>
              <w:left w:val="single" w:sz="12" w:space="0" w:color="000080"/>
              <w:bottom w:val="nil"/>
              <w:right w:val="nil"/>
            </w:tcBorders>
          </w:tcPr>
          <w:p w:rsidR="00E6067A" w:rsidRDefault="00E6067A" w:rsidP="001D086F">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E6067A"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E6067A" w:rsidRPr="00D55B55" w:rsidTr="001D086F">
        <w:tc>
          <w:tcPr>
            <w:tcW w:w="1140" w:type="dxa"/>
            <w:tcBorders>
              <w:top w:val="nil"/>
              <w:left w:val="single" w:sz="12" w:space="0" w:color="000080"/>
              <w:bottom w:val="nil"/>
              <w:right w:val="nil"/>
            </w:tcBorders>
            <w:shd w:val="clear" w:color="auto" w:fill="auto"/>
          </w:tcPr>
          <w:p w:rsidR="00E6067A" w:rsidRPr="00D55B55" w:rsidRDefault="00E6067A" w:rsidP="001D086F">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E6067A" w:rsidRPr="00D55B55"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E6067A" w:rsidRPr="00BD3F5C" w:rsidTr="001D086F">
        <w:tc>
          <w:tcPr>
            <w:tcW w:w="1140" w:type="dxa"/>
            <w:tcBorders>
              <w:top w:val="nil"/>
              <w:left w:val="single" w:sz="12" w:space="0" w:color="000080"/>
              <w:bottom w:val="nil"/>
              <w:right w:val="nil"/>
            </w:tcBorders>
            <w:shd w:val="clear" w:color="auto" w:fill="auto"/>
          </w:tcPr>
          <w:p w:rsidR="00E6067A" w:rsidRPr="00BD3F5C" w:rsidRDefault="00E6067A" w:rsidP="001D086F">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6067A" w:rsidRPr="00BD3F5C"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E6067A" w:rsidRPr="00D069F2" w:rsidTr="001D086F">
        <w:tc>
          <w:tcPr>
            <w:tcW w:w="1140" w:type="dxa"/>
            <w:tcBorders>
              <w:top w:val="nil"/>
              <w:left w:val="single" w:sz="12" w:space="0" w:color="000080"/>
              <w:bottom w:val="nil"/>
              <w:right w:val="nil"/>
            </w:tcBorders>
            <w:shd w:val="clear" w:color="auto" w:fill="auto"/>
          </w:tcPr>
          <w:p w:rsidR="00E6067A" w:rsidRPr="00D069F2" w:rsidRDefault="00E6067A" w:rsidP="001D086F">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E6067A" w:rsidRPr="00D069F2" w:rsidRDefault="00E6067A" w:rsidP="001D086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E6067A" w:rsidRPr="008D3D8D" w:rsidTr="001D086F">
        <w:tc>
          <w:tcPr>
            <w:tcW w:w="1140" w:type="dxa"/>
            <w:tcBorders>
              <w:top w:val="nil"/>
              <w:left w:val="single" w:sz="12" w:space="0" w:color="000080"/>
              <w:bottom w:val="nil"/>
              <w:right w:val="nil"/>
            </w:tcBorders>
            <w:shd w:val="clear" w:color="auto" w:fill="auto"/>
          </w:tcPr>
          <w:p w:rsidR="00E6067A" w:rsidRPr="008D3D8D" w:rsidRDefault="00E6067A" w:rsidP="001D086F">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E6067A" w:rsidRPr="008D3D8D" w:rsidRDefault="00E6067A" w:rsidP="001D086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E6067A" w:rsidRPr="002D77AF" w:rsidTr="001D086F">
        <w:tc>
          <w:tcPr>
            <w:tcW w:w="1140" w:type="dxa"/>
            <w:tcBorders>
              <w:top w:val="nil"/>
              <w:left w:val="single" w:sz="12" w:space="0" w:color="000080"/>
              <w:bottom w:val="nil"/>
              <w:right w:val="nil"/>
            </w:tcBorders>
            <w:shd w:val="clear" w:color="auto" w:fill="auto"/>
          </w:tcPr>
          <w:p w:rsidR="00E6067A" w:rsidRPr="002D77AF" w:rsidRDefault="00E6067A" w:rsidP="001D086F">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E6067A" w:rsidRPr="002D77AF" w:rsidRDefault="00E6067A" w:rsidP="001D086F">
            <w:pPr>
              <w:spacing w:before="30" w:after="30"/>
              <w:jc w:val="left"/>
              <w:rPr>
                <w:sz w:val="20"/>
                <w:lang w:val="fr-CH"/>
              </w:rPr>
            </w:pPr>
            <w:r w:rsidRPr="002D77AF">
              <w:rPr>
                <w:sz w:val="20"/>
                <w:lang w:val="fr-CH"/>
              </w:rPr>
              <w:t>Radiowave propagation</w:t>
            </w:r>
          </w:p>
        </w:tc>
      </w:tr>
      <w:tr w:rsidR="00E6067A" w:rsidRPr="003B4EE8" w:rsidTr="001D086F">
        <w:tc>
          <w:tcPr>
            <w:tcW w:w="1140" w:type="dxa"/>
            <w:tcBorders>
              <w:top w:val="nil"/>
              <w:left w:val="single" w:sz="12" w:space="0" w:color="000080"/>
              <w:bottom w:val="nil"/>
              <w:right w:val="nil"/>
            </w:tcBorders>
            <w:shd w:val="clear" w:color="auto" w:fill="auto"/>
          </w:tcPr>
          <w:p w:rsidR="00E6067A" w:rsidRPr="003B4EE8" w:rsidRDefault="00E6067A" w:rsidP="001D086F">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E6067A" w:rsidRPr="003B4EE8" w:rsidRDefault="00E6067A" w:rsidP="001D086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E6067A" w:rsidRPr="00CB1116" w:rsidTr="001D086F">
        <w:tc>
          <w:tcPr>
            <w:tcW w:w="1140" w:type="dxa"/>
            <w:tcBorders>
              <w:top w:val="nil"/>
              <w:left w:val="single" w:sz="12" w:space="0" w:color="000080"/>
              <w:bottom w:val="nil"/>
              <w:right w:val="nil"/>
            </w:tcBorders>
            <w:shd w:val="clear" w:color="auto" w:fill="auto"/>
          </w:tcPr>
          <w:p w:rsidR="00E6067A" w:rsidRPr="00CB1116" w:rsidRDefault="00E6067A" w:rsidP="001D086F">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E6067A" w:rsidRPr="00CB1116" w:rsidRDefault="00E6067A" w:rsidP="001D086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E6067A" w:rsidRPr="00C114A7" w:rsidTr="001D086F">
        <w:tc>
          <w:tcPr>
            <w:tcW w:w="1140" w:type="dxa"/>
            <w:tcBorders>
              <w:top w:val="nil"/>
              <w:left w:val="single" w:sz="12" w:space="0" w:color="000080"/>
              <w:bottom w:val="nil"/>
              <w:right w:val="nil"/>
            </w:tcBorders>
            <w:shd w:val="clear" w:color="auto" w:fill="auto"/>
          </w:tcPr>
          <w:p w:rsidR="00E6067A" w:rsidRPr="00C114A7" w:rsidRDefault="00E6067A" w:rsidP="001D086F">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E6067A" w:rsidRPr="00C114A7" w:rsidRDefault="00E6067A" w:rsidP="001D086F">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E6067A" w:rsidRPr="00C114A7" w:rsidTr="001D086F">
        <w:tc>
          <w:tcPr>
            <w:tcW w:w="1140" w:type="dxa"/>
            <w:tcBorders>
              <w:top w:val="nil"/>
              <w:left w:val="single" w:sz="12" w:space="0" w:color="000080"/>
              <w:bottom w:val="nil"/>
              <w:right w:val="nil"/>
            </w:tcBorders>
            <w:shd w:val="clear" w:color="auto" w:fill="F3F3F3"/>
          </w:tcPr>
          <w:p w:rsidR="00E6067A" w:rsidRPr="00C114A7" w:rsidRDefault="00E6067A" w:rsidP="001D086F">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E6067A" w:rsidRPr="00C114A7" w:rsidRDefault="00E6067A" w:rsidP="001D086F">
            <w:pPr>
              <w:spacing w:before="30" w:after="30"/>
              <w:jc w:val="left"/>
              <w:rPr>
                <w:b/>
                <w:bCs/>
                <w:color w:val="000080"/>
                <w:sz w:val="20"/>
                <w:lang w:val="en-US"/>
              </w:rPr>
            </w:pPr>
            <w:r w:rsidRPr="00C114A7">
              <w:rPr>
                <w:b/>
                <w:bCs/>
                <w:color w:val="000080"/>
                <w:sz w:val="20"/>
                <w:lang w:val="en-US"/>
              </w:rPr>
              <w:t>Space applications and meteorology</w:t>
            </w:r>
          </w:p>
        </w:tc>
      </w:tr>
      <w:tr w:rsidR="00E6067A" w:rsidRPr="00C83BD1" w:rsidTr="001D086F">
        <w:tc>
          <w:tcPr>
            <w:tcW w:w="1140" w:type="dxa"/>
            <w:tcBorders>
              <w:top w:val="nil"/>
              <w:left w:val="single" w:sz="12" w:space="0" w:color="000080"/>
              <w:bottom w:val="nil"/>
              <w:right w:val="nil"/>
            </w:tcBorders>
          </w:tcPr>
          <w:p w:rsidR="00E6067A" w:rsidRDefault="00E6067A" w:rsidP="001D086F">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E6067A" w:rsidRDefault="00E6067A" w:rsidP="001D086F">
            <w:pPr>
              <w:spacing w:before="30" w:after="30"/>
              <w:jc w:val="left"/>
              <w:rPr>
                <w:sz w:val="20"/>
                <w:lang w:val="en-US"/>
              </w:rPr>
            </w:pPr>
            <w:r>
              <w:rPr>
                <w:sz w:val="20"/>
                <w:lang w:val="en-US"/>
              </w:rPr>
              <w:t>Frequency sharing and coordination between fixed-satellite and fixed service systems</w:t>
            </w:r>
          </w:p>
        </w:tc>
      </w:tr>
      <w:tr w:rsidR="00E6067A" w:rsidTr="001D086F">
        <w:tc>
          <w:tcPr>
            <w:tcW w:w="1140" w:type="dxa"/>
            <w:tcBorders>
              <w:top w:val="nil"/>
              <w:left w:val="single" w:sz="12" w:space="0" w:color="000080"/>
              <w:bottom w:val="single" w:sz="12" w:space="0" w:color="000080"/>
              <w:right w:val="nil"/>
            </w:tcBorders>
          </w:tcPr>
          <w:p w:rsidR="00E6067A" w:rsidRDefault="00E6067A" w:rsidP="001D086F">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E6067A" w:rsidRDefault="00E6067A" w:rsidP="001D086F">
            <w:pPr>
              <w:spacing w:before="30" w:after="180"/>
              <w:jc w:val="left"/>
              <w:rPr>
                <w:sz w:val="20"/>
                <w:lang w:val="en-US"/>
              </w:rPr>
            </w:pPr>
            <w:r>
              <w:rPr>
                <w:sz w:val="20"/>
                <w:lang w:val="en-US"/>
              </w:rPr>
              <w:t>Spectrum management</w:t>
            </w:r>
          </w:p>
        </w:tc>
      </w:tr>
    </w:tbl>
    <w:p w:rsidR="00E6067A" w:rsidRDefault="00E6067A" w:rsidP="00E6067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6067A" w:rsidTr="001D086F">
        <w:tc>
          <w:tcPr>
            <w:tcW w:w="720" w:type="dxa"/>
          </w:tcPr>
          <w:p w:rsidR="00E6067A" w:rsidRDefault="00E6067A" w:rsidP="001D086F">
            <w:pPr>
              <w:jc w:val="center"/>
              <w:rPr>
                <w:sz w:val="22"/>
                <w:lang w:val="en-US"/>
              </w:rPr>
            </w:pPr>
          </w:p>
        </w:tc>
      </w:tr>
    </w:tbl>
    <w:p w:rsidR="00E6067A" w:rsidRDefault="00E6067A" w:rsidP="00E6067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E6067A" w:rsidRPr="00C83BD1" w:rsidTr="001D086F">
        <w:tc>
          <w:tcPr>
            <w:tcW w:w="9360" w:type="dxa"/>
            <w:tcBorders>
              <w:top w:val="single" w:sz="12" w:space="0" w:color="000080"/>
              <w:left w:val="single" w:sz="12" w:space="0" w:color="000080"/>
              <w:bottom w:val="single" w:sz="12" w:space="0" w:color="000080"/>
              <w:right w:val="single" w:sz="12" w:space="0" w:color="000080"/>
            </w:tcBorders>
          </w:tcPr>
          <w:p w:rsidR="00E6067A" w:rsidRPr="00EF1E72" w:rsidRDefault="00E6067A" w:rsidP="001D086F">
            <w:pPr>
              <w:spacing w:after="120"/>
              <w:jc w:val="left"/>
              <w:rPr>
                <w:b/>
                <w:bCs/>
                <w:sz w:val="20"/>
                <w:lang w:val="en-US"/>
              </w:rPr>
            </w:pPr>
            <w:r w:rsidRPr="00EF1E72">
              <w:rPr>
                <w:b/>
                <w:bCs/>
                <w:i/>
                <w:iCs/>
                <w:sz w:val="20"/>
                <w:lang w:val="en-US"/>
              </w:rPr>
              <w:t>Note</w:t>
            </w:r>
            <w:r w:rsidRPr="00EF1E72">
              <w:rPr>
                <w:i/>
                <w:iCs/>
                <w:sz w:val="20"/>
                <w:lang w:val="en-US"/>
              </w:rPr>
              <w:t>: This ITU-R Report was approved in English by the Study Group under the procedure detailed in Resolution</w:t>
            </w:r>
            <w:r>
              <w:rPr>
                <w:i/>
                <w:iCs/>
                <w:sz w:val="20"/>
                <w:lang w:val="en-US"/>
              </w:rPr>
              <w:t> </w:t>
            </w:r>
            <w:r w:rsidRPr="00EF1E72">
              <w:rPr>
                <w:i/>
                <w:iCs/>
                <w:sz w:val="20"/>
                <w:lang w:val="en-US"/>
              </w:rPr>
              <w:t>ITU-R 1.</w:t>
            </w:r>
          </w:p>
        </w:tc>
      </w:tr>
    </w:tbl>
    <w:p w:rsidR="00E6067A" w:rsidRDefault="00E6067A" w:rsidP="00E6067A">
      <w:pPr>
        <w:spacing w:before="0"/>
        <w:jc w:val="center"/>
        <w:rPr>
          <w:sz w:val="22"/>
          <w:lang w:val="en-US"/>
        </w:rPr>
      </w:pPr>
    </w:p>
    <w:p w:rsidR="00E6067A" w:rsidRDefault="00E6067A" w:rsidP="00E6067A">
      <w:pPr>
        <w:spacing w:before="0"/>
        <w:jc w:val="center"/>
        <w:rPr>
          <w:sz w:val="22"/>
          <w:lang w:val="en-US"/>
        </w:rPr>
      </w:pPr>
    </w:p>
    <w:p w:rsidR="00E6067A" w:rsidRDefault="00E6067A" w:rsidP="00E6067A">
      <w:pPr>
        <w:spacing w:before="0"/>
        <w:jc w:val="right"/>
        <w:rPr>
          <w:i/>
          <w:iCs/>
          <w:sz w:val="20"/>
          <w:lang w:val="en-US"/>
        </w:rPr>
      </w:pPr>
      <w:r>
        <w:rPr>
          <w:i/>
          <w:iCs/>
          <w:sz w:val="20"/>
          <w:lang w:val="en-US"/>
        </w:rPr>
        <w:t>Electronic Publication</w:t>
      </w:r>
    </w:p>
    <w:p w:rsidR="00E6067A" w:rsidRDefault="00E6067A" w:rsidP="00E6067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6C6716">
        <w:rPr>
          <w:sz w:val="20"/>
          <w:lang w:val="en-US"/>
        </w:rPr>
        <w:t>, 2018</w:t>
      </w:r>
    </w:p>
    <w:p w:rsidR="00E6067A" w:rsidRDefault="00E6067A" w:rsidP="00E6067A">
      <w:pPr>
        <w:jc w:val="center"/>
        <w:rPr>
          <w:sz w:val="20"/>
          <w:lang w:val="en-US"/>
        </w:rPr>
      </w:pPr>
      <w:r>
        <w:rPr>
          <w:sz w:val="20"/>
          <w:lang w:val="en-US"/>
        </w:rPr>
        <w:sym w:font="Symbol" w:char="00E3"/>
      </w:r>
      <w:r>
        <w:rPr>
          <w:sz w:val="20"/>
          <w:lang w:val="en-US"/>
        </w:rPr>
        <w:t xml:space="preserve"> ITU </w:t>
      </w:r>
      <w:bookmarkStart w:id="5" w:name="iiannee"/>
      <w:bookmarkEnd w:id="5"/>
      <w:r w:rsidR="006C6716">
        <w:rPr>
          <w:sz w:val="20"/>
          <w:lang w:val="en-US"/>
        </w:rPr>
        <w:t>2018</w:t>
      </w:r>
    </w:p>
    <w:p w:rsidR="00E6067A" w:rsidRDefault="00E6067A" w:rsidP="00E6067A">
      <w:pPr>
        <w:rPr>
          <w:sz w:val="18"/>
          <w:szCs w:val="18"/>
          <w:lang w:val="en-US"/>
        </w:rPr>
      </w:pPr>
      <w:r>
        <w:rPr>
          <w:sz w:val="18"/>
          <w:szCs w:val="18"/>
          <w:lang w:val="en-US"/>
        </w:rPr>
        <w:t>All rights reserved. No part of this publication may be reproduced, by any means whatsoever, without written permission of ITU.</w:t>
      </w:r>
    </w:p>
    <w:p w:rsidR="00E6067A" w:rsidRDefault="00E6067A" w:rsidP="00E6067A">
      <w:pPr>
        <w:tabs>
          <w:tab w:val="clear" w:pos="794"/>
          <w:tab w:val="clear" w:pos="1191"/>
          <w:tab w:val="clear" w:pos="1588"/>
          <w:tab w:val="clear" w:pos="1985"/>
        </w:tabs>
        <w:overflowPunct/>
        <w:autoSpaceDE/>
        <w:autoSpaceDN/>
        <w:adjustRightInd/>
        <w:spacing w:before="0"/>
        <w:jc w:val="left"/>
        <w:rPr>
          <w:i/>
          <w:sz w:val="20"/>
          <w:lang w:val="en-US"/>
        </w:rPr>
        <w:sectPr w:rsidR="00E6067A">
          <w:pgSz w:w="11907" w:h="16834"/>
          <w:pgMar w:top="1418" w:right="1134" w:bottom="1134" w:left="1134" w:header="720" w:footer="482" w:gutter="0"/>
          <w:paperSrc w:first="15" w:other="15"/>
          <w:pgNumType w:fmt="lowerRoman" w:start="2"/>
          <w:cols w:space="720"/>
        </w:sectPr>
      </w:pPr>
    </w:p>
    <w:p w:rsidR="00E6067A" w:rsidRPr="008D3D8D" w:rsidRDefault="00E6067A" w:rsidP="006C6716">
      <w:pPr>
        <w:pStyle w:val="RepNo"/>
        <w:spacing w:before="0"/>
        <w:rPr>
          <w:lang w:val="en-US"/>
        </w:rPr>
      </w:pPr>
      <w:bookmarkStart w:id="6" w:name="irecnoe"/>
      <w:bookmarkEnd w:id="6"/>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Pr>
          <w:rStyle w:val="href"/>
          <w:lang w:val="en-US"/>
        </w:rPr>
        <w:t>2</w:t>
      </w:r>
      <w:r w:rsidR="006C6716">
        <w:rPr>
          <w:rStyle w:val="href"/>
          <w:lang w:val="en-US"/>
        </w:rPr>
        <w:t>425</w:t>
      </w:r>
      <w:r>
        <w:rPr>
          <w:rStyle w:val="href"/>
          <w:lang w:val="en-US"/>
        </w:rPr>
        <w:t>-0</w:t>
      </w:r>
    </w:p>
    <w:p w:rsidR="00A6617B" w:rsidRDefault="006C6716" w:rsidP="006C6716">
      <w:pPr>
        <w:pStyle w:val="Reptitle"/>
        <w:rPr>
          <w:lang w:val="en-US" w:eastAsia="zh-CN"/>
        </w:rPr>
      </w:pPr>
      <w:r w:rsidRPr="006C6716">
        <w:rPr>
          <w:lang w:val="en-GB" w:eastAsia="zh-CN"/>
        </w:rPr>
        <w:t>Studies to accommodate spectrum requirements in the space operation service for non-geostationary satellites with short duration missions</w:t>
      </w:r>
    </w:p>
    <w:p w:rsidR="00F7085A" w:rsidRDefault="00F7085A" w:rsidP="006C6716">
      <w:pPr>
        <w:pStyle w:val="Repdate"/>
        <w:rPr>
          <w:lang w:val="en-US" w:eastAsia="zh-CN"/>
        </w:rPr>
      </w:pPr>
      <w:r>
        <w:rPr>
          <w:lang w:val="en-US" w:eastAsia="zh-CN"/>
        </w:rPr>
        <w:t>(201</w:t>
      </w:r>
      <w:r w:rsidR="006C6716">
        <w:rPr>
          <w:lang w:val="en-US" w:eastAsia="zh-CN"/>
        </w:rPr>
        <w:t>8</w:t>
      </w:r>
      <w:r>
        <w:rPr>
          <w:lang w:val="en-US" w:eastAsia="zh-CN"/>
        </w:rPr>
        <w:t>)</w:t>
      </w:r>
    </w:p>
    <w:p w:rsidR="00176299" w:rsidRPr="00176299" w:rsidRDefault="00176299" w:rsidP="00B263D4">
      <w:pPr>
        <w:pStyle w:val="Heading1"/>
        <w:rPr>
          <w:lang w:val="en-GB" w:eastAsia="zh-CN"/>
        </w:rPr>
      </w:pPr>
      <w:r w:rsidRPr="00176299">
        <w:rPr>
          <w:lang w:val="en-GB" w:eastAsia="zh-CN"/>
        </w:rPr>
        <w:t>1</w:t>
      </w:r>
      <w:r w:rsidRPr="00176299">
        <w:rPr>
          <w:lang w:val="en-GB" w:eastAsia="zh-CN"/>
        </w:rPr>
        <w:tab/>
        <w:t>Introduction</w:t>
      </w:r>
    </w:p>
    <w:p w:rsidR="00176299" w:rsidRPr="00176299" w:rsidRDefault="00176299" w:rsidP="00B263D4">
      <w:pPr>
        <w:rPr>
          <w:lang w:val="en-GB" w:eastAsia="zh-CN"/>
        </w:rPr>
      </w:pPr>
      <w:r w:rsidRPr="00176299">
        <w:rPr>
          <w:lang w:val="en-GB" w:eastAsia="zh-CN"/>
        </w:rPr>
        <w:t xml:space="preserve">This Report responds to </w:t>
      </w:r>
      <w:r w:rsidRPr="00176299">
        <w:rPr>
          <w:i/>
          <w:iCs/>
          <w:lang w:val="en-GB" w:eastAsia="zh-CN"/>
        </w:rPr>
        <w:t xml:space="preserve">invites </w:t>
      </w:r>
      <w:r w:rsidRPr="00176299">
        <w:rPr>
          <w:iCs/>
          <w:lang w:val="en-GB" w:eastAsia="zh-CN"/>
        </w:rPr>
        <w:t xml:space="preserve">1 in </w:t>
      </w:r>
      <w:r w:rsidRPr="00176299">
        <w:rPr>
          <w:lang w:val="en-GB" w:eastAsia="zh-CN"/>
        </w:rPr>
        <w:t xml:space="preserve">Resolution </w:t>
      </w:r>
      <w:r w:rsidRPr="00176299">
        <w:rPr>
          <w:b/>
          <w:lang w:val="en-GB" w:eastAsia="zh-CN"/>
        </w:rPr>
        <w:t xml:space="preserve">659 (WRC-15) </w:t>
      </w:r>
      <w:r w:rsidRPr="00176299">
        <w:rPr>
          <w:lang w:val="en-GB" w:eastAsia="zh-CN"/>
        </w:rPr>
        <w:t xml:space="preserve">described below and studies the spectrum requirements for telemetry, tracking and command in the space operations service for non-GSO (NGSO) satellites with short duration missions. The companion Report ITU-R </w:t>
      </w:r>
      <w:r w:rsidRPr="00176299">
        <w:rPr>
          <w:lang w:val="en-GB"/>
        </w:rPr>
        <w:t xml:space="preserve">SA.2426-0 </w:t>
      </w:r>
      <w:r w:rsidRPr="00176299">
        <w:rPr>
          <w:lang w:val="en-GB" w:eastAsia="zh-CN"/>
        </w:rPr>
        <w:t>was used as a source of technical characteristics of such missions.</w:t>
      </w:r>
    </w:p>
    <w:p w:rsidR="00176299" w:rsidRPr="00176299" w:rsidRDefault="00176299" w:rsidP="00B263D4">
      <w:pPr>
        <w:rPr>
          <w:lang w:val="en-GB"/>
        </w:rPr>
      </w:pPr>
      <w:r w:rsidRPr="00176299">
        <w:rPr>
          <w:lang w:val="en-GB" w:eastAsia="zh-CN"/>
        </w:rPr>
        <w:t xml:space="preserve">Resolution </w:t>
      </w:r>
      <w:r w:rsidRPr="00176299">
        <w:rPr>
          <w:b/>
          <w:bCs/>
          <w:lang w:val="en-GB" w:eastAsia="zh-CN"/>
        </w:rPr>
        <w:t>659 (WRC-15)</w:t>
      </w:r>
      <w:r w:rsidRPr="00176299">
        <w:rPr>
          <w:lang w:val="en-GB" w:eastAsia="zh-CN"/>
        </w:rPr>
        <w:t xml:space="preserve"> calls </w:t>
      </w:r>
      <w:r w:rsidRPr="00176299">
        <w:rPr>
          <w:lang w:val="en-GB"/>
        </w:rPr>
        <w:t>to study the spectrum needs for telemetry, tracking and command in the space operation service for NGSO satellites with short duration missions, to assess the suitability of existing allocations to the space operation service and, if necessary, to consider new allocations.</w:t>
      </w:r>
    </w:p>
    <w:p w:rsidR="00176299" w:rsidRPr="00176299" w:rsidRDefault="00176299" w:rsidP="00176299">
      <w:pPr>
        <w:tabs>
          <w:tab w:val="clear" w:pos="794"/>
          <w:tab w:val="clear" w:pos="1191"/>
          <w:tab w:val="clear" w:pos="1588"/>
          <w:tab w:val="clear" w:pos="1985"/>
          <w:tab w:val="left" w:pos="1134"/>
          <w:tab w:val="left" w:pos="1871"/>
          <w:tab w:val="left" w:pos="2268"/>
        </w:tabs>
        <w:jc w:val="left"/>
        <w:rPr>
          <w:lang w:val="en-GB" w:eastAsia="zh-CN"/>
        </w:rPr>
      </w:pPr>
      <w:r w:rsidRPr="00176299">
        <w:rPr>
          <w:lang w:val="en-GB" w:eastAsia="zh-CN"/>
        </w:rPr>
        <w:t xml:space="preserve">Resolution </w:t>
      </w:r>
      <w:r w:rsidRPr="00176299">
        <w:rPr>
          <w:b/>
          <w:bCs/>
          <w:lang w:val="en-GB" w:eastAsia="zh-CN"/>
        </w:rPr>
        <w:t>659</w:t>
      </w:r>
      <w:r w:rsidRPr="00176299">
        <w:rPr>
          <w:lang w:val="en-GB" w:eastAsia="zh-CN"/>
        </w:rPr>
        <w:t xml:space="preserve"> </w:t>
      </w:r>
      <w:r w:rsidRPr="00176299">
        <w:rPr>
          <w:b/>
          <w:lang w:val="en-GB" w:eastAsia="zh-CN"/>
        </w:rPr>
        <w:t>(WRC-15)</w:t>
      </w:r>
      <w:r w:rsidRPr="00176299">
        <w:rPr>
          <w:lang w:val="en-GB" w:eastAsia="zh-CN"/>
        </w:rPr>
        <w:t xml:space="preserve"> </w:t>
      </w:r>
      <w:r w:rsidRPr="00176299">
        <w:rPr>
          <w:i/>
          <w:iCs/>
          <w:lang w:val="en-GB" w:eastAsia="zh-CN"/>
        </w:rPr>
        <w:t>invites ITU-R</w:t>
      </w:r>
      <w:r w:rsidRPr="00176299">
        <w:rPr>
          <w:lang w:val="en-GB" w:eastAsia="zh-CN"/>
        </w:rPr>
        <w:t>:</w:t>
      </w:r>
    </w:p>
    <w:p w:rsidR="00176299" w:rsidRPr="00176299" w:rsidRDefault="00176299" w:rsidP="00B263D4">
      <w:pPr>
        <w:pStyle w:val="enumlev1"/>
        <w:rPr>
          <w:lang w:val="en-GB" w:eastAsia="zh-CN"/>
        </w:rPr>
      </w:pPr>
      <w:r w:rsidRPr="00176299">
        <w:rPr>
          <w:lang w:val="en-GB" w:eastAsia="zh-CN"/>
        </w:rPr>
        <w:t>1</w:t>
      </w:r>
      <w:r w:rsidRPr="00176299">
        <w:rPr>
          <w:lang w:val="en-GB" w:eastAsia="zh-CN"/>
        </w:rPr>
        <w:tab/>
        <w:t xml:space="preserve">to study the spectrum requirements for telemetry, tracking and command in the space operation service for the growing number of non-GSO satellites with short duration missions, taking into account No. </w:t>
      </w:r>
      <w:r w:rsidRPr="00176299">
        <w:rPr>
          <w:b/>
          <w:lang w:val="en-GB" w:eastAsia="zh-CN"/>
        </w:rPr>
        <w:t>1.23</w:t>
      </w:r>
      <w:r w:rsidRPr="00176299">
        <w:rPr>
          <w:lang w:val="en-GB" w:eastAsia="zh-CN"/>
        </w:rPr>
        <w:t>;</w:t>
      </w:r>
    </w:p>
    <w:p w:rsidR="00176299" w:rsidRPr="00176299" w:rsidRDefault="00176299" w:rsidP="00B263D4">
      <w:pPr>
        <w:pStyle w:val="enumlev1"/>
        <w:rPr>
          <w:lang w:val="en-GB" w:eastAsia="zh-CN"/>
        </w:rPr>
      </w:pPr>
      <w:r w:rsidRPr="00176299">
        <w:rPr>
          <w:lang w:val="en-GB" w:eastAsia="zh-CN"/>
        </w:rPr>
        <w:t>2</w:t>
      </w:r>
      <w:r w:rsidRPr="00176299">
        <w:rPr>
          <w:lang w:val="en-GB" w:eastAsia="zh-CN"/>
        </w:rPr>
        <w:tab/>
        <w:t xml:space="preserve">to assess the suitability of existing allocations to the space operation service in the frequency range below 1 GHz, taking into account </w:t>
      </w:r>
      <w:r w:rsidRPr="00176299">
        <w:rPr>
          <w:i/>
          <w:lang w:val="en-GB" w:eastAsia="zh-CN"/>
        </w:rPr>
        <w:t>recognizing a)</w:t>
      </w:r>
      <w:r w:rsidRPr="00176299">
        <w:rPr>
          <w:lang w:val="en-GB" w:eastAsia="zh-CN"/>
        </w:rPr>
        <w:t xml:space="preserve"> and current use;</w:t>
      </w:r>
    </w:p>
    <w:p w:rsidR="00176299" w:rsidRPr="00176299" w:rsidRDefault="00176299" w:rsidP="00B263D4">
      <w:pPr>
        <w:pStyle w:val="enumlev1"/>
        <w:rPr>
          <w:lang w:val="en-GB" w:eastAsia="zh-CN"/>
        </w:rPr>
      </w:pPr>
      <w:r w:rsidRPr="00176299">
        <w:rPr>
          <w:lang w:val="en-GB" w:eastAsia="zh-CN"/>
        </w:rPr>
        <w:t>3</w:t>
      </w:r>
      <w:r w:rsidRPr="00176299">
        <w:rPr>
          <w:lang w:val="en-GB" w:eastAsia="zh-CN"/>
        </w:rPr>
        <w:tab/>
        <w:t xml:space="preserve">if studies of the current allocations to the space operations service indicate that requirements cannot be met under </w:t>
      </w:r>
      <w:r w:rsidRPr="00176299">
        <w:rPr>
          <w:i/>
          <w:lang w:val="en-GB" w:eastAsia="zh-CN"/>
        </w:rPr>
        <w:t>invites ITU-R</w:t>
      </w:r>
      <w:r w:rsidRPr="00176299">
        <w:rPr>
          <w:lang w:val="en-GB" w:eastAsia="zh-CN"/>
        </w:rPr>
        <w:t xml:space="preserve"> 1 and 2, to conduct sharing and compatibility studies, and study mitigation techniques to protect the incumbent services, both in-band as well as in adjacent bands, in order to consider possible new allocations or an upgrade of the existing allocations to the space operation service within the frequency ranges 150.05-174 MHz and 400.15</w:t>
      </w:r>
      <w:r w:rsidRPr="00176299">
        <w:rPr>
          <w:lang w:val="en-GB" w:eastAsia="zh-CN"/>
        </w:rPr>
        <w:noBreakHyphen/>
        <w:t>420 MHz.</w:t>
      </w:r>
    </w:p>
    <w:p w:rsidR="00176299" w:rsidRPr="00176299" w:rsidRDefault="00176299" w:rsidP="00B263D4">
      <w:pPr>
        <w:rPr>
          <w:highlight w:val="cyan"/>
          <w:lang w:val="en-GB"/>
        </w:rPr>
      </w:pPr>
      <w:r w:rsidRPr="00176299">
        <w:rPr>
          <w:lang w:val="en-GB"/>
        </w:rPr>
        <w:t xml:space="preserve">Resolution </w:t>
      </w:r>
      <w:r w:rsidRPr="00176299">
        <w:rPr>
          <w:b/>
          <w:bCs/>
          <w:lang w:val="en-GB"/>
        </w:rPr>
        <w:t>659 (WRC-15)</w:t>
      </w:r>
      <w:r w:rsidRPr="00176299">
        <w:rPr>
          <w:lang w:val="en-GB"/>
        </w:rPr>
        <w:t xml:space="preserve"> considering </w:t>
      </w:r>
      <w:r w:rsidRPr="00176299">
        <w:rPr>
          <w:i/>
          <w:iCs/>
          <w:lang w:val="en-GB"/>
        </w:rPr>
        <w:t>a)</w:t>
      </w:r>
      <w:r w:rsidRPr="00176299">
        <w:rPr>
          <w:lang w:val="en-GB"/>
        </w:rPr>
        <w:t xml:space="preserve"> states “that the term “short duration mission” used in this Resolution refers to a mission having a limited period of validity of not more than typically three years”. Therefore, the term “short duration mission” is not directly tied to the lifetime of the spacecraft. For example, a single spacecraft with a lifetime of less than typically three years, where the operator does not launch a replenishment or replacement spacecraft, is a short duration mission. However, in the case of a (or multiple) spacecraft with a lifetime of less than typically three years, where the operator launches a (or multiple) replenishment or replacement spacecraft(s) such that the operator has a persistent frequency assignments longer than typically three years, is not a short duration mission.</w:t>
      </w:r>
    </w:p>
    <w:p w:rsidR="00176299" w:rsidRPr="00176299" w:rsidRDefault="00176299" w:rsidP="00B263D4">
      <w:pPr>
        <w:rPr>
          <w:lang w:val="en-GB"/>
        </w:rPr>
      </w:pPr>
      <w:r w:rsidRPr="00176299">
        <w:rPr>
          <w:lang w:val="en-GB"/>
        </w:rPr>
        <w:t>To assist in determining the requirements for short duration NGSO operations, the Technical University of Berlin (TU Berlin) compiled information, both space and ground segments, of existing and planned small satellite systems (i.e. nanosatellites and picosatellites as discussed in Report ITU-R SA.2312). Spreadsheets (one for the ground segment and one for the space segment) containing this data are attached in Annex 2 and Annex 3 respectively. Therefore, it is noted that some of the systems contained in the database represent satellites with missions exceeding the three</w:t>
      </w:r>
      <w:r w:rsidRPr="00176299">
        <w:rPr>
          <w:lang w:val="en-GB"/>
        </w:rPr>
        <w:noBreakHyphen/>
        <w:t xml:space="preserve">year period of validity criterion established in Resolution </w:t>
      </w:r>
      <w:r w:rsidRPr="00176299">
        <w:rPr>
          <w:b/>
          <w:lang w:val="en-GB"/>
        </w:rPr>
        <w:t xml:space="preserve">659 </w:t>
      </w:r>
      <w:r w:rsidRPr="00176299">
        <w:rPr>
          <w:b/>
          <w:bCs/>
          <w:lang w:val="en-GB"/>
        </w:rPr>
        <w:t>(WRC-15)</w:t>
      </w:r>
      <w:r w:rsidRPr="00176299">
        <w:rPr>
          <w:lang w:val="en-GB"/>
        </w:rPr>
        <w:t>.</w:t>
      </w:r>
    </w:p>
    <w:p w:rsidR="00176299" w:rsidRPr="00176299" w:rsidRDefault="00176299" w:rsidP="00B263D4">
      <w:pPr>
        <w:pStyle w:val="Heading1"/>
        <w:rPr>
          <w:lang w:val="en-GB"/>
        </w:rPr>
      </w:pPr>
      <w:r w:rsidRPr="00176299">
        <w:rPr>
          <w:lang w:val="en-GB"/>
        </w:rPr>
        <w:lastRenderedPageBreak/>
        <w:t>2</w:t>
      </w:r>
      <w:r w:rsidRPr="00176299">
        <w:rPr>
          <w:lang w:val="en-GB"/>
        </w:rPr>
        <w:tab/>
        <w:t>Technical and operational characteristics of NGSO satellites with short duration missions</w:t>
      </w:r>
    </w:p>
    <w:p w:rsidR="00176299" w:rsidRPr="00176299" w:rsidRDefault="00176299" w:rsidP="00B263D4">
      <w:pPr>
        <w:rPr>
          <w:lang w:val="en-GB"/>
        </w:rPr>
      </w:pPr>
      <w:r w:rsidRPr="00176299">
        <w:rPr>
          <w:lang w:val="en-GB"/>
        </w:rPr>
        <w:t>Technical and operational characteristics of NGSO satellites with short duration missions are described in Report ITU-R SA.2426-0.</w:t>
      </w:r>
    </w:p>
    <w:p w:rsidR="00176299" w:rsidRPr="00176299" w:rsidRDefault="00176299" w:rsidP="00B263D4">
      <w:pPr>
        <w:pStyle w:val="Heading1"/>
        <w:rPr>
          <w:lang w:val="en-GB" w:eastAsia="zh-CN"/>
        </w:rPr>
      </w:pPr>
      <w:r w:rsidRPr="00176299">
        <w:rPr>
          <w:lang w:val="en-GB" w:eastAsia="zh-CN"/>
        </w:rPr>
        <w:t>3</w:t>
      </w:r>
      <w:r w:rsidRPr="00176299">
        <w:rPr>
          <w:lang w:val="en-GB" w:eastAsia="zh-CN"/>
        </w:rPr>
        <w:tab/>
        <w:t>Assessment of spectrum requirements</w:t>
      </w:r>
    </w:p>
    <w:p w:rsidR="00176299" w:rsidRPr="00176299" w:rsidRDefault="00176299" w:rsidP="00B263D4">
      <w:pPr>
        <w:rPr>
          <w:lang w:val="en-GB" w:eastAsia="zh-CN"/>
        </w:rPr>
      </w:pPr>
      <w:r w:rsidRPr="00176299">
        <w:rPr>
          <w:i/>
          <w:lang w:val="en-GB" w:eastAsia="zh-CN"/>
        </w:rPr>
        <w:t>Invites</w:t>
      </w:r>
      <w:r w:rsidRPr="00176299">
        <w:rPr>
          <w:lang w:val="en-GB" w:eastAsia="zh-CN"/>
        </w:rPr>
        <w:t xml:space="preserve"> 1 of Resolution </w:t>
      </w:r>
      <w:r w:rsidRPr="00176299">
        <w:rPr>
          <w:b/>
          <w:lang w:val="en-GB" w:eastAsia="zh-CN"/>
        </w:rPr>
        <w:t>659</w:t>
      </w:r>
      <w:r w:rsidRPr="00176299">
        <w:rPr>
          <w:lang w:val="en-GB" w:eastAsia="zh-CN"/>
        </w:rPr>
        <w:t xml:space="preserve"> </w:t>
      </w:r>
      <w:r w:rsidRPr="00176299">
        <w:rPr>
          <w:b/>
          <w:lang w:val="en-GB" w:eastAsia="zh-CN"/>
        </w:rPr>
        <w:t>(WRC-15)</w:t>
      </w:r>
      <w:r w:rsidRPr="00176299">
        <w:rPr>
          <w:lang w:val="en-GB" w:eastAsia="zh-CN"/>
        </w:rPr>
        <w:t xml:space="preserve"> calls for the study of the spectrum requirements of Telemetry, Tracking and Command (TT&amp;C) of NGSO satellites with short duration missions, taking into account the definition of the space operation service under RR No. </w:t>
      </w:r>
      <w:r w:rsidRPr="00176299">
        <w:rPr>
          <w:b/>
          <w:lang w:val="en-GB" w:eastAsia="zh-CN"/>
        </w:rPr>
        <w:t>1.23</w:t>
      </w:r>
      <w:r w:rsidRPr="00176299">
        <w:rPr>
          <w:lang w:val="en-GB" w:eastAsia="zh-CN"/>
        </w:rPr>
        <w:t xml:space="preserve"> which states that the space operation service is “A radio communication service concerned exclusively with the operation of spacecraft, in particular space tracking, space telemetry and space telecommand.” </w:t>
      </w:r>
    </w:p>
    <w:p w:rsidR="00176299" w:rsidRPr="00176299" w:rsidRDefault="00176299" w:rsidP="00B263D4">
      <w:pPr>
        <w:rPr>
          <w:lang w:val="en-GB" w:eastAsia="zh-CN"/>
        </w:rPr>
      </w:pPr>
      <w:r w:rsidRPr="00176299">
        <w:rPr>
          <w:lang w:val="en-GB" w:eastAsia="zh-CN"/>
        </w:rPr>
        <w:t>It should be noted that these</w:t>
      </w:r>
      <w:r w:rsidRPr="00176299">
        <w:rPr>
          <w:b/>
          <w:lang w:val="en-GB" w:eastAsia="zh-CN"/>
        </w:rPr>
        <w:t xml:space="preserve"> </w:t>
      </w:r>
      <w:r w:rsidRPr="00176299">
        <w:rPr>
          <w:lang w:val="en-GB" w:eastAsia="zh-CN"/>
        </w:rPr>
        <w:t xml:space="preserve">TT&amp;C functions will normally be provided within </w:t>
      </w:r>
      <w:r w:rsidRPr="00176299">
        <w:rPr>
          <w:lang w:val="en-GB"/>
        </w:rPr>
        <w:t>the service</w:t>
      </w:r>
      <w:r w:rsidRPr="00176299">
        <w:rPr>
          <w:lang w:val="en-GB" w:eastAsia="zh-CN"/>
        </w:rPr>
        <w:t xml:space="preserve"> in which the space station is operating.</w:t>
      </w:r>
    </w:p>
    <w:p w:rsidR="00176299" w:rsidRPr="00176299" w:rsidRDefault="00176299" w:rsidP="00B263D4">
      <w:pPr>
        <w:rPr>
          <w:lang w:val="en-GB" w:eastAsia="zh-CN"/>
        </w:rPr>
      </w:pPr>
      <w:r w:rsidRPr="00176299">
        <w:rPr>
          <w:lang w:val="en-GB" w:eastAsia="zh-CN"/>
        </w:rPr>
        <w:t>According to a questionnaire, 93% of the responding participants who plan short duration missions have indicated that they plan to perform TT&amp;C operations in bands below 1 GHz. The questionnaire does not identify the radiocommunication service in which the service links of these space stations operate in and if TT&amp;C could be performed in this radiocommunication service.</w:t>
      </w:r>
    </w:p>
    <w:p w:rsidR="00176299" w:rsidRPr="00176299" w:rsidRDefault="00176299" w:rsidP="00B263D4">
      <w:pPr>
        <w:rPr>
          <w:lang w:val="en-GB"/>
        </w:rPr>
      </w:pPr>
      <w:r w:rsidRPr="00176299">
        <w:rPr>
          <w:lang w:val="en-GB"/>
        </w:rPr>
        <w:t>Statistics contained in the questionnaire contained in Annex 1 to this Report only represent the actual use of the bands by short duration NGSO systems in a certain region, since there were only a limited number of responses received on this matter from other regions.</w:t>
      </w:r>
    </w:p>
    <w:p w:rsidR="00176299" w:rsidRPr="00176299" w:rsidRDefault="00176299" w:rsidP="00B263D4">
      <w:pPr>
        <w:pStyle w:val="Heading2"/>
        <w:rPr>
          <w:lang w:val="en-GB" w:eastAsia="zh-CN"/>
        </w:rPr>
      </w:pPr>
      <w:r w:rsidRPr="00176299">
        <w:rPr>
          <w:lang w:val="en-GB" w:eastAsia="zh-CN"/>
        </w:rPr>
        <w:t>3.1</w:t>
      </w:r>
      <w:r w:rsidRPr="00176299">
        <w:rPr>
          <w:lang w:val="en-GB" w:eastAsia="zh-CN"/>
        </w:rPr>
        <w:tab/>
        <w:t>Expected number of NGSO satellites with short duration missions</w:t>
      </w:r>
    </w:p>
    <w:p w:rsidR="00176299" w:rsidRPr="00176299" w:rsidRDefault="00176299" w:rsidP="00B263D4">
      <w:pPr>
        <w:rPr>
          <w:lang w:val="en-GB" w:eastAsia="zh-CN"/>
        </w:rPr>
      </w:pPr>
      <w:r w:rsidRPr="00176299">
        <w:rPr>
          <w:lang w:val="en-GB" w:eastAsia="zh-CN"/>
        </w:rPr>
        <w:t>Future trends of short duration missions may be assumed to, at a minimum, maintain launch numbers following historical trends.</w:t>
      </w:r>
    </w:p>
    <w:p w:rsidR="00176299" w:rsidRPr="00176299" w:rsidRDefault="00176299" w:rsidP="00B263D4">
      <w:pPr>
        <w:pStyle w:val="Heading3"/>
        <w:rPr>
          <w:lang w:val="en-GB" w:eastAsia="zh-CN"/>
        </w:rPr>
      </w:pPr>
      <w:r w:rsidRPr="00176299">
        <w:rPr>
          <w:lang w:val="en-GB" w:eastAsia="zh-CN"/>
        </w:rPr>
        <w:t>3.1.1</w:t>
      </w:r>
      <w:r w:rsidRPr="00176299">
        <w:rPr>
          <w:lang w:val="en-GB" w:eastAsia="zh-CN"/>
        </w:rPr>
        <w:tab/>
        <w:t>Short duration mission satellites launched between 2000 and July 2017</w:t>
      </w:r>
    </w:p>
    <w:p w:rsidR="00176299" w:rsidRPr="00176299" w:rsidRDefault="00176299" w:rsidP="00B263D4">
      <w:pPr>
        <w:rPr>
          <w:lang w:val="en-GB" w:eastAsia="zh-CN"/>
        </w:rPr>
      </w:pPr>
      <w:r w:rsidRPr="00176299">
        <w:rPr>
          <w:lang w:val="en-GB" w:eastAsia="zh-CN"/>
        </w:rPr>
        <w:t>An analysis of satellite launches over the period of 2000 to July 2017 shows that the number of satellites launched over this period has increased.</w:t>
      </w:r>
    </w:p>
    <w:p w:rsidR="00176299" w:rsidRPr="00176299" w:rsidRDefault="00176299" w:rsidP="00B263D4">
      <w:pPr>
        <w:rPr>
          <w:lang w:val="en-GB" w:eastAsia="zh-CN"/>
        </w:rPr>
      </w:pPr>
      <w:r w:rsidRPr="00176299">
        <w:rPr>
          <w:lang w:val="en-GB" w:eastAsia="zh-CN"/>
        </w:rPr>
        <w:t>Table 1 of Report ITU-R SA.2312 provides the typical mass for nanosatellites to be less than 10 kg and a mission duration (which is directly linked to the period of validity) of less than three years. A study was performed to determine the amount of satellites with a mass between 1 kg and 10 kg launched over the period from the year 2000 up to July 2017 in order to validate the assumed number of satellites. This study is based on data available in the public domain.</w:t>
      </w:r>
    </w:p>
    <w:p w:rsidR="00176299" w:rsidRPr="00176299" w:rsidRDefault="00176299" w:rsidP="00B263D4">
      <w:pPr>
        <w:rPr>
          <w:lang w:val="en-GB" w:eastAsia="zh-CN"/>
        </w:rPr>
      </w:pPr>
      <w:r w:rsidRPr="00176299">
        <w:rPr>
          <w:lang w:val="en-GB" w:eastAsia="zh-CN"/>
        </w:rPr>
        <w:t>It has to be noted that some of the satellites in the mass range considered are part of coordinated constellations, therefore the study has made an attempt to distinguish between satellites part of constellations and satellites that are not part of a constellation. Figures 1 and 2 show the study results, presenting the number of satellites launched per year within the mass range of 1 to 10 kg. Figure 1 presents these statistics for “single” satellites and Fig. 2 presents these statistics for satellites which are part of constellations.</w:t>
      </w:r>
    </w:p>
    <w:p w:rsidR="00176299" w:rsidRPr="00176299" w:rsidRDefault="00176299" w:rsidP="001D74A7">
      <w:pPr>
        <w:pStyle w:val="FigureNo"/>
        <w:rPr>
          <w:lang w:val="en-GB"/>
        </w:rPr>
      </w:pPr>
      <w:r w:rsidRPr="00176299">
        <w:rPr>
          <w:lang w:val="en-GB"/>
        </w:rPr>
        <w:lastRenderedPageBreak/>
        <w:t>Figure 1</w:t>
      </w:r>
    </w:p>
    <w:p w:rsidR="00176299" w:rsidRPr="00176299" w:rsidRDefault="00176299" w:rsidP="001D74A7">
      <w:pPr>
        <w:pStyle w:val="Figuretitle"/>
        <w:rPr>
          <w:lang w:val="en-GB"/>
        </w:rPr>
      </w:pPr>
      <w:r w:rsidRPr="00176299">
        <w:rPr>
          <w:lang w:val="en-GB"/>
        </w:rPr>
        <w:t>Number of satellites launched per year, mass range 1 to 10 kg – single satellites</w:t>
      </w:r>
    </w:p>
    <w:p w:rsidR="00176299" w:rsidRPr="00176299" w:rsidRDefault="001932A6" w:rsidP="001D74A7">
      <w:pPr>
        <w:pStyle w:val="Figure"/>
        <w:rPr>
          <w:lang w:val="en-GB"/>
        </w:rPr>
      </w:pPr>
      <w:r>
        <w:rPr>
          <w:noProof/>
          <w:lang w:val="en-GB" w:eastAsia="en-GB"/>
        </w:rPr>
        <w:drawing>
          <wp:inline distT="0" distB="0" distL="0" distR="0">
            <wp:extent cx="3444247" cy="261518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2425-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4247" cy="2615189"/>
                    </a:xfrm>
                    <a:prstGeom prst="rect">
                      <a:avLst/>
                    </a:prstGeom>
                  </pic:spPr>
                </pic:pic>
              </a:graphicData>
            </a:graphic>
          </wp:inline>
        </w:drawing>
      </w:r>
    </w:p>
    <w:p w:rsidR="00176299" w:rsidRPr="00176299" w:rsidRDefault="00176299" w:rsidP="001D74A7">
      <w:pPr>
        <w:pStyle w:val="FigureNo"/>
        <w:rPr>
          <w:lang w:val="en-GB"/>
        </w:rPr>
      </w:pPr>
      <w:r w:rsidRPr="00176299">
        <w:rPr>
          <w:lang w:val="en-GB"/>
        </w:rPr>
        <w:t>Figure 2</w:t>
      </w:r>
    </w:p>
    <w:p w:rsidR="00176299" w:rsidRPr="00176299" w:rsidRDefault="00176299" w:rsidP="001D74A7">
      <w:pPr>
        <w:pStyle w:val="Figuretitle"/>
        <w:rPr>
          <w:lang w:val="en-GB"/>
        </w:rPr>
      </w:pPr>
      <w:r w:rsidRPr="00176299">
        <w:rPr>
          <w:lang w:val="en-GB"/>
        </w:rPr>
        <w:t>Number of satellites launched per year, mass range 1 to 10 kg – satellites part of constellations</w:t>
      </w:r>
    </w:p>
    <w:p w:rsidR="00176299" w:rsidRPr="00176299" w:rsidRDefault="003D5511" w:rsidP="001D74A7">
      <w:pPr>
        <w:pStyle w:val="Figure"/>
        <w:rPr>
          <w:lang w:val="en-GB"/>
        </w:rPr>
      </w:pPr>
      <w:r>
        <w:rPr>
          <w:noProof/>
          <w:lang w:val="en-GB" w:eastAsia="en-GB"/>
        </w:rPr>
        <w:drawing>
          <wp:inline distT="0" distB="0" distL="0" distR="0">
            <wp:extent cx="3486919" cy="25938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2425-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6919" cy="2593853"/>
                    </a:xfrm>
                    <a:prstGeom prst="rect">
                      <a:avLst/>
                    </a:prstGeom>
                  </pic:spPr>
                </pic:pic>
              </a:graphicData>
            </a:graphic>
          </wp:inline>
        </w:drawing>
      </w:r>
    </w:p>
    <w:p w:rsidR="00176299" w:rsidRPr="00176299" w:rsidRDefault="00176299" w:rsidP="001D74A7">
      <w:pPr>
        <w:pStyle w:val="Normalaftertitle"/>
        <w:rPr>
          <w:lang w:val="en-GB"/>
        </w:rPr>
      </w:pPr>
      <w:r w:rsidRPr="00176299">
        <w:rPr>
          <w:lang w:val="en-GB"/>
        </w:rPr>
        <w:t>A number of observations can be made when analysing these statistics:</w:t>
      </w:r>
    </w:p>
    <w:p w:rsidR="00176299" w:rsidRPr="00176299" w:rsidRDefault="00176299" w:rsidP="001D74A7">
      <w:pPr>
        <w:pStyle w:val="enumlev1"/>
        <w:rPr>
          <w:lang w:val="en-GB"/>
        </w:rPr>
      </w:pPr>
      <w:r w:rsidRPr="00176299">
        <w:rPr>
          <w:lang w:val="en-GB"/>
        </w:rPr>
        <w:t>1</w:t>
      </w:r>
      <w:r w:rsidRPr="00176299">
        <w:rPr>
          <w:lang w:val="en-GB"/>
        </w:rPr>
        <w:tab/>
        <w:t>The number of satellites with short duration missions launched into non-GSO orbits has increased significantly over the time period 2010 to July 2017.</w:t>
      </w:r>
    </w:p>
    <w:p w:rsidR="00176299" w:rsidRPr="00176299" w:rsidRDefault="00176299" w:rsidP="001D74A7">
      <w:pPr>
        <w:pStyle w:val="enumlev1"/>
        <w:rPr>
          <w:lang w:val="en-GB"/>
        </w:rPr>
      </w:pPr>
      <w:r w:rsidRPr="00176299">
        <w:rPr>
          <w:lang w:val="en-GB"/>
        </w:rPr>
        <w:t>2</w:t>
      </w:r>
      <w:r w:rsidRPr="00176299">
        <w:rPr>
          <w:lang w:val="en-GB"/>
        </w:rPr>
        <w:tab/>
        <w:t>Constellations of satellites in the mass range considered in the study have only appeared since 2013.</w:t>
      </w:r>
    </w:p>
    <w:p w:rsidR="00176299" w:rsidRPr="00176299" w:rsidRDefault="00176299" w:rsidP="001D74A7">
      <w:pPr>
        <w:pStyle w:val="enumlev1"/>
        <w:rPr>
          <w:lang w:val="en-GB"/>
        </w:rPr>
      </w:pPr>
      <w:r w:rsidRPr="00176299">
        <w:rPr>
          <w:lang w:val="en-GB"/>
        </w:rPr>
        <w:t>3</w:t>
      </w:r>
      <w:r w:rsidRPr="00176299">
        <w:rPr>
          <w:lang w:val="en-GB"/>
        </w:rPr>
        <w:tab/>
        <w:t>Of the single satellites, on average approximately 60 satellites have been launched per year since 2013.</w:t>
      </w:r>
    </w:p>
    <w:p w:rsidR="00176299" w:rsidRPr="00176299" w:rsidRDefault="00176299" w:rsidP="001D74A7">
      <w:pPr>
        <w:rPr>
          <w:lang w:val="en-GB"/>
        </w:rPr>
      </w:pPr>
      <w:r w:rsidRPr="00176299">
        <w:rPr>
          <w:lang w:val="en-GB"/>
        </w:rPr>
        <w:t>Commercial constellations of small satellites typically have a period of validity of the associated filing which is much longer than three years since the operator files a system once and then replenishes the satellite hardware in space. Therefore, it is not realistic to assume that satellites part of these constellations fall under the short duration NGSO category.</w:t>
      </w:r>
    </w:p>
    <w:p w:rsidR="00176299" w:rsidRPr="00176299" w:rsidRDefault="00176299" w:rsidP="001D74A7">
      <w:pPr>
        <w:rPr>
          <w:lang w:val="en-GB" w:eastAsia="zh-CN"/>
        </w:rPr>
      </w:pPr>
      <w:r w:rsidRPr="00176299">
        <w:rPr>
          <w:lang w:val="en-GB" w:eastAsia="zh-CN"/>
        </w:rPr>
        <w:lastRenderedPageBreak/>
        <w:t>On the basis of this recent trend, it could be reasonably anticipated to expect new launches for any given year in the near future to at least maintain levels seen in the previous three years and total active satellite missions maintain on the order of at least 300 satellites.</w:t>
      </w:r>
    </w:p>
    <w:p w:rsidR="00176299" w:rsidRPr="00176299" w:rsidRDefault="00176299" w:rsidP="001D74A7">
      <w:pPr>
        <w:pStyle w:val="Heading3"/>
        <w:rPr>
          <w:lang w:val="en-GB" w:eastAsia="zh-CN"/>
        </w:rPr>
      </w:pPr>
      <w:r w:rsidRPr="00176299">
        <w:rPr>
          <w:lang w:val="en-GB" w:eastAsia="zh-CN"/>
        </w:rPr>
        <w:t>3.1.2</w:t>
      </w:r>
      <w:r w:rsidRPr="00176299">
        <w:rPr>
          <w:lang w:val="en-GB" w:eastAsia="zh-CN"/>
        </w:rPr>
        <w:tab/>
        <w:t>Expected number of short duration mission satellites in operation (per year) between 2017 and 2030</w:t>
      </w:r>
    </w:p>
    <w:p w:rsidR="00176299" w:rsidRPr="00176299" w:rsidRDefault="00176299" w:rsidP="00C76D8D">
      <w:pPr>
        <w:rPr>
          <w:lang w:val="en-GB"/>
        </w:rPr>
      </w:pPr>
      <w:r w:rsidRPr="00176299">
        <w:rPr>
          <w:szCs w:val="24"/>
          <w:lang w:val="en-GB" w:eastAsia="zh-CN"/>
        </w:rPr>
        <w:t>Based on the observations in the previous section</w:t>
      </w:r>
      <w:r w:rsidRPr="00176299">
        <w:rPr>
          <w:lang w:val="en-GB" w:eastAsia="zh-CN"/>
        </w:rPr>
        <w:t xml:space="preserve">, it could be reasonably anticipated to expect new launches for any given year in the near future to at least maintain levels seen in the previous three years. </w:t>
      </w:r>
      <w:r w:rsidRPr="00176299">
        <w:rPr>
          <w:lang w:val="en-GB"/>
        </w:rPr>
        <w:t xml:space="preserve">This means that a total number of at least 3*60 = 180 short duration NGSO satellites must be sustained during any time window spanning </w:t>
      </w:r>
      <w:r w:rsidR="00C76D8D">
        <w:rPr>
          <w:lang w:val="en-GB"/>
        </w:rPr>
        <w:t>three</w:t>
      </w:r>
      <w:r w:rsidRPr="00176299">
        <w:rPr>
          <w:lang w:val="en-GB"/>
        </w:rPr>
        <w:t xml:space="preserve"> years. However, it is expected that the number of short duration mission satellites will grow in the near future. Therefore, it would be appropriate to assume that a worst case number of 300 satellites would need to be accommodated simultaneously. This accounts for an average population growth of 60 new satellites per year and also provides sufficient margin to take variations of the number of satellites launched into account.</w:t>
      </w:r>
    </w:p>
    <w:p w:rsidR="00176299" w:rsidRPr="00176299" w:rsidRDefault="00176299" w:rsidP="001D74A7">
      <w:pPr>
        <w:pStyle w:val="Heading2"/>
        <w:rPr>
          <w:lang w:val="en-GB" w:eastAsia="zh-CN"/>
        </w:rPr>
      </w:pPr>
      <w:r w:rsidRPr="00176299">
        <w:rPr>
          <w:lang w:val="en-GB" w:eastAsia="zh-CN"/>
        </w:rPr>
        <w:t>3.2</w:t>
      </w:r>
      <w:r w:rsidRPr="00176299">
        <w:rPr>
          <w:lang w:val="en-GB" w:eastAsia="zh-CN"/>
        </w:rPr>
        <w:tab/>
        <w:t>Spectrum requirements analysis</w:t>
      </w:r>
    </w:p>
    <w:p w:rsidR="00176299" w:rsidRPr="00176299" w:rsidRDefault="00176299" w:rsidP="001D74A7">
      <w:pPr>
        <w:rPr>
          <w:lang w:val="en-GB" w:eastAsia="zh-CN"/>
        </w:rPr>
      </w:pPr>
      <w:r w:rsidRPr="00176299">
        <w:rPr>
          <w:lang w:val="en-GB" w:eastAsia="zh-CN"/>
        </w:rPr>
        <w:t>A set of general input simulation parameters used for spectrum requirements analysis are given in Table 1 below.</w:t>
      </w:r>
    </w:p>
    <w:p w:rsidR="00176299" w:rsidRPr="00176299" w:rsidRDefault="00176299" w:rsidP="001D74A7">
      <w:pPr>
        <w:pStyle w:val="Note"/>
        <w:rPr>
          <w:lang w:val="en-GB" w:eastAsia="zh-CN"/>
        </w:rPr>
      </w:pPr>
      <w:r w:rsidRPr="00176299">
        <w:rPr>
          <w:lang w:val="en-GB" w:eastAsia="zh-CN"/>
        </w:rPr>
        <w:t>NOTE ‒ There are no SOS Earth-to-space allocations below 1 GHz that are not subject to RR No. </w:t>
      </w:r>
      <w:r w:rsidRPr="00176299">
        <w:rPr>
          <w:b/>
          <w:lang w:val="en-GB" w:eastAsia="zh-CN"/>
        </w:rPr>
        <w:t>9.21</w:t>
      </w:r>
      <w:r w:rsidRPr="00176299">
        <w:rPr>
          <w:lang w:val="en-GB" w:eastAsia="zh-CN"/>
        </w:rPr>
        <w:t xml:space="preserve"> and therefore the uplink frequency parameters of 149 MHz and 450 MHz have been used as input simulation parameters.</w:t>
      </w:r>
    </w:p>
    <w:p w:rsidR="00176299" w:rsidRPr="00176299" w:rsidRDefault="001D74A7" w:rsidP="001D74A7">
      <w:pPr>
        <w:pStyle w:val="TableNo"/>
        <w:rPr>
          <w:lang w:val="en-GB"/>
        </w:rPr>
      </w:pPr>
      <w:r w:rsidRPr="00176299">
        <w:rPr>
          <w:lang w:val="en-GB"/>
        </w:rPr>
        <w:t xml:space="preserve">TABLE </w:t>
      </w:r>
      <w:r w:rsidR="00176299" w:rsidRPr="00176299">
        <w:rPr>
          <w:lang w:val="en-GB"/>
        </w:rPr>
        <w:t>1</w:t>
      </w:r>
    </w:p>
    <w:p w:rsidR="00176299" w:rsidRPr="00176299" w:rsidRDefault="00176299" w:rsidP="001D74A7">
      <w:pPr>
        <w:pStyle w:val="Tabletitle"/>
        <w:rPr>
          <w:lang w:val="en-GB"/>
        </w:rPr>
      </w:pPr>
      <w:r w:rsidRPr="00176299">
        <w:rPr>
          <w:lang w:val="en-GB"/>
        </w:rPr>
        <w:t>Input simulation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9"/>
        <w:gridCol w:w="2631"/>
        <w:gridCol w:w="4529"/>
      </w:tblGrid>
      <w:tr w:rsidR="00176299" w:rsidRPr="00176299" w:rsidTr="001D74A7">
        <w:trPr>
          <w:cantSplit/>
          <w:tblHeader/>
          <w:jc w:val="center"/>
        </w:trPr>
        <w:tc>
          <w:tcPr>
            <w:tcW w:w="2479" w:type="dxa"/>
            <w:shd w:val="clear" w:color="auto" w:fill="auto"/>
            <w:noWrap/>
            <w:vAlign w:val="bottom"/>
            <w:hideMark/>
          </w:tcPr>
          <w:p w:rsidR="00176299" w:rsidRPr="00176299" w:rsidRDefault="00176299" w:rsidP="001D74A7">
            <w:pPr>
              <w:pStyle w:val="Tablehead"/>
              <w:rPr>
                <w:lang w:val="en-GB" w:eastAsia="nl-NL"/>
              </w:rPr>
            </w:pPr>
            <w:r w:rsidRPr="00176299">
              <w:rPr>
                <w:lang w:val="en-GB" w:eastAsia="nl-NL"/>
              </w:rPr>
              <w:t>Characteristic group</w:t>
            </w:r>
          </w:p>
        </w:tc>
        <w:tc>
          <w:tcPr>
            <w:tcW w:w="2631" w:type="dxa"/>
            <w:shd w:val="clear" w:color="auto" w:fill="auto"/>
            <w:noWrap/>
            <w:vAlign w:val="bottom"/>
            <w:hideMark/>
          </w:tcPr>
          <w:p w:rsidR="00176299" w:rsidRPr="00176299" w:rsidRDefault="00176299" w:rsidP="001D74A7">
            <w:pPr>
              <w:pStyle w:val="Tablehead"/>
              <w:rPr>
                <w:lang w:val="en-GB" w:eastAsia="nl-NL"/>
              </w:rPr>
            </w:pPr>
            <w:r w:rsidRPr="00176299">
              <w:rPr>
                <w:lang w:val="en-GB" w:eastAsia="nl-NL"/>
              </w:rPr>
              <w:t>Parameter</w:t>
            </w:r>
          </w:p>
        </w:tc>
        <w:tc>
          <w:tcPr>
            <w:tcW w:w="4529" w:type="dxa"/>
            <w:shd w:val="clear" w:color="auto" w:fill="auto"/>
            <w:noWrap/>
            <w:vAlign w:val="bottom"/>
            <w:hideMark/>
          </w:tcPr>
          <w:p w:rsidR="00176299" w:rsidRPr="00176299" w:rsidRDefault="00176299" w:rsidP="001D74A7">
            <w:pPr>
              <w:pStyle w:val="Tablehead"/>
              <w:rPr>
                <w:lang w:val="en-GB" w:eastAsia="nl-NL"/>
              </w:rPr>
            </w:pPr>
            <w:r w:rsidRPr="00176299">
              <w:rPr>
                <w:lang w:val="en-GB" w:eastAsia="nl-NL"/>
              </w:rPr>
              <w:t>Value</w:t>
            </w:r>
          </w:p>
        </w:tc>
      </w:tr>
      <w:tr w:rsidR="00176299" w:rsidRPr="00176299" w:rsidTr="001D74A7">
        <w:trPr>
          <w:cantSplit/>
          <w:jc w:val="center"/>
        </w:trPr>
        <w:tc>
          <w:tcPr>
            <w:tcW w:w="2479" w:type="dxa"/>
            <w:vMerge w:val="restart"/>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Frequency</w:t>
            </w:r>
          </w:p>
        </w:tc>
        <w:tc>
          <w:tcPr>
            <w:tcW w:w="2631" w:type="dxa"/>
            <w:shd w:val="clear" w:color="auto" w:fill="auto"/>
            <w:noWrap/>
            <w:vAlign w:val="bottom"/>
            <w:hideMark/>
          </w:tcPr>
          <w:p w:rsidR="00176299" w:rsidRPr="00176299" w:rsidRDefault="00176299" w:rsidP="001D74A7">
            <w:pPr>
              <w:pStyle w:val="Tabletext"/>
              <w:rPr>
                <w:lang w:val="en-GB" w:eastAsia="nl-NL"/>
              </w:rPr>
            </w:pPr>
            <w:r w:rsidRPr="00176299">
              <w:rPr>
                <w:lang w:val="en-GB" w:eastAsia="nl-NL"/>
              </w:rPr>
              <w:t>Downlink frequency</w:t>
            </w:r>
          </w:p>
        </w:tc>
        <w:tc>
          <w:tcPr>
            <w:tcW w:w="4529" w:type="dxa"/>
            <w:shd w:val="clear" w:color="auto" w:fill="auto"/>
            <w:noWrap/>
            <w:vAlign w:val="bottom"/>
            <w:hideMark/>
          </w:tcPr>
          <w:p w:rsidR="00176299" w:rsidRPr="00176299" w:rsidRDefault="00176299" w:rsidP="001D74A7">
            <w:pPr>
              <w:pStyle w:val="Tabletext"/>
              <w:rPr>
                <w:lang w:val="en-GB" w:eastAsia="nl-NL"/>
              </w:rPr>
            </w:pPr>
            <w:r w:rsidRPr="00176299">
              <w:rPr>
                <w:lang w:val="en-GB" w:eastAsia="nl-NL"/>
              </w:rPr>
              <w:t>137.5 MHz and 401 MHz</w:t>
            </w:r>
          </w:p>
        </w:tc>
      </w:tr>
      <w:tr w:rsidR="00176299" w:rsidRPr="00176299" w:rsidTr="001D74A7">
        <w:trPr>
          <w:cantSplit/>
          <w:jc w:val="center"/>
        </w:trPr>
        <w:tc>
          <w:tcPr>
            <w:tcW w:w="2479" w:type="dxa"/>
            <w:vMerge/>
            <w:shd w:val="clear" w:color="auto" w:fill="auto"/>
            <w:noWrap/>
            <w:vAlign w:val="center"/>
            <w:hideMark/>
          </w:tcPr>
          <w:p w:rsidR="00176299" w:rsidRPr="00176299" w:rsidRDefault="00176299" w:rsidP="001D74A7">
            <w:pPr>
              <w:pStyle w:val="Tabletext"/>
              <w:rPr>
                <w:lang w:val="en-GB" w:eastAsia="nl-NL"/>
              </w:rPr>
            </w:pPr>
          </w:p>
        </w:tc>
        <w:tc>
          <w:tcPr>
            <w:tcW w:w="2631" w:type="dxa"/>
            <w:shd w:val="clear" w:color="auto" w:fill="auto"/>
            <w:noWrap/>
            <w:vAlign w:val="bottom"/>
            <w:hideMark/>
          </w:tcPr>
          <w:p w:rsidR="00176299" w:rsidRPr="00176299" w:rsidRDefault="00176299" w:rsidP="001D74A7">
            <w:pPr>
              <w:pStyle w:val="Tabletext"/>
              <w:rPr>
                <w:lang w:val="en-GB" w:eastAsia="nl-NL"/>
              </w:rPr>
            </w:pPr>
            <w:r w:rsidRPr="00176299">
              <w:rPr>
                <w:lang w:val="en-GB" w:eastAsia="nl-NL"/>
              </w:rPr>
              <w:t>Uplink frequency</w:t>
            </w:r>
          </w:p>
        </w:tc>
        <w:tc>
          <w:tcPr>
            <w:tcW w:w="4529" w:type="dxa"/>
            <w:shd w:val="clear" w:color="auto" w:fill="auto"/>
            <w:noWrap/>
            <w:vAlign w:val="bottom"/>
            <w:hideMark/>
          </w:tcPr>
          <w:p w:rsidR="00176299" w:rsidRPr="00176299" w:rsidRDefault="00176299" w:rsidP="001D74A7">
            <w:pPr>
              <w:pStyle w:val="Tabletext"/>
              <w:rPr>
                <w:lang w:val="en-GB" w:eastAsia="nl-NL"/>
              </w:rPr>
            </w:pPr>
            <w:r w:rsidRPr="00176299">
              <w:rPr>
                <w:lang w:val="en-GB" w:eastAsia="nl-NL"/>
              </w:rPr>
              <w:t>149 MHz and 450 MHz</w:t>
            </w:r>
          </w:p>
        </w:tc>
      </w:tr>
      <w:tr w:rsidR="00176299" w:rsidRPr="00176299" w:rsidTr="001D74A7">
        <w:trPr>
          <w:cantSplit/>
          <w:jc w:val="center"/>
        </w:trPr>
        <w:tc>
          <w:tcPr>
            <w:tcW w:w="2479" w:type="dxa"/>
            <w:vMerge w:val="restart"/>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Orbit</w:t>
            </w:r>
          </w:p>
        </w:tc>
        <w:tc>
          <w:tcPr>
            <w:tcW w:w="2631" w:type="dxa"/>
            <w:shd w:val="clear" w:color="auto" w:fill="auto"/>
            <w:noWrap/>
            <w:hideMark/>
          </w:tcPr>
          <w:p w:rsidR="00176299" w:rsidRPr="00176299" w:rsidRDefault="00176299" w:rsidP="001D74A7">
            <w:pPr>
              <w:pStyle w:val="Tabletext"/>
              <w:rPr>
                <w:lang w:val="en-GB" w:eastAsia="nl-NL"/>
              </w:rPr>
            </w:pPr>
            <w:r w:rsidRPr="00176299">
              <w:rPr>
                <w:lang w:val="en-GB" w:eastAsia="nl-NL"/>
              </w:rPr>
              <w:t>Orbital altitude</w:t>
            </w:r>
          </w:p>
        </w:tc>
        <w:tc>
          <w:tcPr>
            <w:tcW w:w="4529" w:type="dxa"/>
            <w:shd w:val="clear" w:color="auto" w:fill="auto"/>
            <w:vAlign w:val="bottom"/>
            <w:hideMark/>
          </w:tcPr>
          <w:p w:rsidR="00176299" w:rsidRPr="00176299" w:rsidRDefault="00176299" w:rsidP="001D74A7">
            <w:pPr>
              <w:pStyle w:val="Tabletext"/>
              <w:rPr>
                <w:sz w:val="16"/>
                <w:szCs w:val="16"/>
                <w:lang w:val="en-GB"/>
              </w:rPr>
            </w:pPr>
            <w:r w:rsidRPr="00176299">
              <w:rPr>
                <w:lang w:val="en-GB" w:eastAsia="nl-NL"/>
              </w:rPr>
              <w:t>300-1000 km, using the following distribution: (300-500): 59%; (500-750): 38%; (750-1000): 3%, uniform distribution inside each bin</w:t>
            </w:r>
          </w:p>
          <w:p w:rsidR="00176299" w:rsidRPr="00176299" w:rsidRDefault="00176299" w:rsidP="001D74A7">
            <w:pPr>
              <w:pStyle w:val="Tabletext"/>
              <w:rPr>
                <w:lang w:val="fr-CH" w:eastAsia="nl-NL"/>
              </w:rPr>
            </w:pPr>
            <w:r w:rsidRPr="00176299">
              <w:rPr>
                <w:lang w:val="fr-CH"/>
              </w:rPr>
              <w:t>(Source: TU Berlin Satellite Database, see Annex</w:t>
            </w:r>
            <w:r w:rsidR="001D74A7">
              <w:rPr>
                <w:lang w:val="fr-CH"/>
              </w:rPr>
              <w:t> </w:t>
            </w:r>
            <w:r w:rsidRPr="00176299">
              <w:rPr>
                <w:lang w:val="fr-CH"/>
              </w:rPr>
              <w:t>2)</w:t>
            </w:r>
          </w:p>
        </w:tc>
      </w:tr>
      <w:tr w:rsidR="00176299" w:rsidRPr="00176299" w:rsidTr="001D74A7">
        <w:trPr>
          <w:cantSplit/>
          <w:jc w:val="center"/>
        </w:trPr>
        <w:tc>
          <w:tcPr>
            <w:tcW w:w="2479" w:type="dxa"/>
            <w:vMerge/>
            <w:shd w:val="clear" w:color="auto" w:fill="auto"/>
            <w:noWrap/>
            <w:vAlign w:val="center"/>
            <w:hideMark/>
          </w:tcPr>
          <w:p w:rsidR="00176299" w:rsidRPr="00176299" w:rsidRDefault="00176299" w:rsidP="001D74A7">
            <w:pPr>
              <w:pStyle w:val="Tabletext"/>
              <w:rPr>
                <w:lang w:val="fr-CH" w:eastAsia="nl-NL"/>
              </w:rPr>
            </w:pPr>
          </w:p>
        </w:tc>
        <w:tc>
          <w:tcPr>
            <w:tcW w:w="2631" w:type="dxa"/>
            <w:shd w:val="clear" w:color="auto" w:fill="auto"/>
            <w:noWrap/>
            <w:hideMark/>
          </w:tcPr>
          <w:p w:rsidR="00176299" w:rsidRPr="00176299" w:rsidRDefault="00176299" w:rsidP="001D74A7">
            <w:pPr>
              <w:pStyle w:val="Tabletext"/>
              <w:rPr>
                <w:lang w:val="en-GB" w:eastAsia="nl-NL"/>
              </w:rPr>
            </w:pPr>
            <w:r w:rsidRPr="00176299">
              <w:rPr>
                <w:lang w:val="en-GB" w:eastAsia="nl-NL"/>
              </w:rPr>
              <w:t>Inclination</w:t>
            </w:r>
          </w:p>
        </w:tc>
        <w:tc>
          <w:tcPr>
            <w:tcW w:w="4529" w:type="dxa"/>
            <w:shd w:val="clear" w:color="auto" w:fill="auto"/>
            <w:vAlign w:val="bottom"/>
            <w:hideMark/>
          </w:tcPr>
          <w:p w:rsidR="00176299" w:rsidRPr="00176299" w:rsidRDefault="00176299" w:rsidP="001D74A7">
            <w:pPr>
              <w:pStyle w:val="Tabletext"/>
              <w:rPr>
                <w:lang w:val="en-GB" w:eastAsia="nl-NL"/>
              </w:rPr>
            </w:pPr>
            <w:r w:rsidRPr="00176299">
              <w:rPr>
                <w:lang w:val="en-GB" w:eastAsia="nl-NL"/>
              </w:rPr>
              <w:t>0-100 degrees, using the following distribution: (0-40): 5% (40-60): 45%; (60-90): 5%; (90-100) 45%, uniform distribution inside each bin</w:t>
            </w:r>
          </w:p>
          <w:p w:rsidR="00176299" w:rsidRPr="00176299" w:rsidRDefault="00176299" w:rsidP="001D74A7">
            <w:pPr>
              <w:pStyle w:val="Tabletext"/>
              <w:rPr>
                <w:lang w:val="fr-CH" w:eastAsia="nl-NL"/>
              </w:rPr>
            </w:pPr>
            <w:r w:rsidRPr="00176299">
              <w:rPr>
                <w:lang w:val="fr-CH"/>
              </w:rPr>
              <w:t>(Source: TU Berlin Satellite Database, see Annex</w:t>
            </w:r>
            <w:r w:rsidR="001D74A7">
              <w:rPr>
                <w:lang w:val="fr-CH"/>
              </w:rPr>
              <w:t> </w:t>
            </w:r>
            <w:r w:rsidRPr="00176299">
              <w:rPr>
                <w:lang w:val="fr-CH"/>
              </w:rPr>
              <w:t>2)</w:t>
            </w:r>
          </w:p>
        </w:tc>
      </w:tr>
      <w:tr w:rsidR="00176299" w:rsidRPr="00C83BD1" w:rsidTr="001D74A7">
        <w:trPr>
          <w:cantSplit/>
          <w:jc w:val="center"/>
        </w:trPr>
        <w:tc>
          <w:tcPr>
            <w:tcW w:w="2479" w:type="dxa"/>
            <w:vMerge/>
            <w:shd w:val="clear" w:color="auto" w:fill="auto"/>
            <w:noWrap/>
            <w:vAlign w:val="center"/>
            <w:hideMark/>
          </w:tcPr>
          <w:p w:rsidR="00176299" w:rsidRPr="00176299" w:rsidRDefault="00176299" w:rsidP="001D74A7">
            <w:pPr>
              <w:pStyle w:val="Tabletext"/>
              <w:rPr>
                <w:lang w:val="fr-CH" w:eastAsia="nl-NL"/>
              </w:rPr>
            </w:pPr>
          </w:p>
        </w:tc>
        <w:tc>
          <w:tcPr>
            <w:tcW w:w="2631" w:type="dxa"/>
            <w:shd w:val="clear" w:color="auto" w:fill="auto"/>
            <w:noWrap/>
            <w:vAlign w:val="bottom"/>
            <w:hideMark/>
          </w:tcPr>
          <w:p w:rsidR="00176299" w:rsidRPr="00176299" w:rsidRDefault="00176299" w:rsidP="001D74A7">
            <w:pPr>
              <w:pStyle w:val="Tabletext"/>
              <w:rPr>
                <w:lang w:val="en-GB" w:eastAsia="nl-NL"/>
              </w:rPr>
            </w:pPr>
            <w:r w:rsidRPr="00176299">
              <w:rPr>
                <w:lang w:val="en-GB" w:eastAsia="nl-NL"/>
              </w:rPr>
              <w:t>Mean anomaly</w:t>
            </w:r>
          </w:p>
        </w:tc>
        <w:tc>
          <w:tcPr>
            <w:tcW w:w="4529" w:type="dxa"/>
            <w:shd w:val="clear" w:color="auto" w:fill="auto"/>
            <w:noWrap/>
            <w:vAlign w:val="bottom"/>
            <w:hideMark/>
          </w:tcPr>
          <w:p w:rsidR="00176299" w:rsidRPr="00176299" w:rsidRDefault="00176299" w:rsidP="001D74A7">
            <w:pPr>
              <w:pStyle w:val="Tabletext"/>
              <w:rPr>
                <w:lang w:val="en-GB" w:eastAsia="nl-NL"/>
              </w:rPr>
            </w:pPr>
            <w:r w:rsidRPr="00176299">
              <w:rPr>
                <w:lang w:val="en-GB" w:eastAsia="nl-NL"/>
              </w:rPr>
              <w:t>0-360 degrees, using a uniform distribution</w:t>
            </w:r>
          </w:p>
        </w:tc>
      </w:tr>
      <w:tr w:rsidR="00176299" w:rsidRPr="00C83BD1" w:rsidTr="001D74A7">
        <w:trPr>
          <w:cantSplit/>
          <w:jc w:val="center"/>
        </w:trPr>
        <w:tc>
          <w:tcPr>
            <w:tcW w:w="2479" w:type="dxa"/>
            <w:vMerge/>
            <w:shd w:val="clear" w:color="auto" w:fill="auto"/>
            <w:noWrap/>
            <w:vAlign w:val="center"/>
            <w:hideMark/>
          </w:tcPr>
          <w:p w:rsidR="00176299" w:rsidRPr="00176299" w:rsidRDefault="00176299" w:rsidP="001D74A7">
            <w:pPr>
              <w:pStyle w:val="Tabletext"/>
              <w:rPr>
                <w:lang w:val="en-GB" w:eastAsia="nl-NL"/>
              </w:rPr>
            </w:pPr>
          </w:p>
        </w:tc>
        <w:tc>
          <w:tcPr>
            <w:tcW w:w="2631" w:type="dxa"/>
            <w:shd w:val="clear" w:color="auto" w:fill="auto"/>
            <w:noWrap/>
            <w:vAlign w:val="bottom"/>
            <w:hideMark/>
          </w:tcPr>
          <w:p w:rsidR="00176299" w:rsidRPr="00176299" w:rsidRDefault="00176299" w:rsidP="001D74A7">
            <w:pPr>
              <w:pStyle w:val="Tabletext"/>
              <w:rPr>
                <w:lang w:val="en-GB" w:eastAsia="nl-NL"/>
              </w:rPr>
            </w:pPr>
            <w:r w:rsidRPr="00176299">
              <w:rPr>
                <w:lang w:val="en-GB" w:eastAsia="nl-NL"/>
              </w:rPr>
              <w:t>Argument of periapsis</w:t>
            </w:r>
          </w:p>
        </w:tc>
        <w:tc>
          <w:tcPr>
            <w:tcW w:w="4529" w:type="dxa"/>
            <w:shd w:val="clear" w:color="auto" w:fill="auto"/>
            <w:noWrap/>
            <w:vAlign w:val="bottom"/>
            <w:hideMark/>
          </w:tcPr>
          <w:p w:rsidR="00176299" w:rsidRPr="00176299" w:rsidRDefault="00176299" w:rsidP="001D74A7">
            <w:pPr>
              <w:pStyle w:val="Tabletext"/>
              <w:rPr>
                <w:lang w:val="en-GB" w:eastAsia="nl-NL"/>
              </w:rPr>
            </w:pPr>
            <w:r w:rsidRPr="00176299">
              <w:rPr>
                <w:lang w:val="en-GB" w:eastAsia="nl-NL"/>
              </w:rPr>
              <w:t>0-360 degrees, using a uniform distribution</w:t>
            </w:r>
          </w:p>
        </w:tc>
      </w:tr>
      <w:tr w:rsidR="00176299" w:rsidRPr="00C83BD1" w:rsidTr="001D74A7">
        <w:trPr>
          <w:cantSplit/>
          <w:jc w:val="center"/>
        </w:trPr>
        <w:tc>
          <w:tcPr>
            <w:tcW w:w="2479" w:type="dxa"/>
            <w:vMerge/>
            <w:shd w:val="clear" w:color="auto" w:fill="auto"/>
            <w:noWrap/>
            <w:vAlign w:val="center"/>
            <w:hideMark/>
          </w:tcPr>
          <w:p w:rsidR="00176299" w:rsidRPr="00176299" w:rsidRDefault="00176299" w:rsidP="001D74A7">
            <w:pPr>
              <w:pStyle w:val="Tabletext"/>
              <w:rPr>
                <w:lang w:val="en-GB" w:eastAsia="nl-NL"/>
              </w:rPr>
            </w:pPr>
          </w:p>
        </w:tc>
        <w:tc>
          <w:tcPr>
            <w:tcW w:w="2631" w:type="dxa"/>
            <w:shd w:val="clear" w:color="auto" w:fill="auto"/>
            <w:vAlign w:val="bottom"/>
            <w:hideMark/>
          </w:tcPr>
          <w:p w:rsidR="00176299" w:rsidRPr="00176299" w:rsidRDefault="00176299" w:rsidP="001D74A7">
            <w:pPr>
              <w:pStyle w:val="Tabletext"/>
              <w:rPr>
                <w:lang w:val="en-GB" w:eastAsia="nl-NL"/>
              </w:rPr>
            </w:pPr>
            <w:r w:rsidRPr="00176299">
              <w:rPr>
                <w:lang w:val="en-GB" w:eastAsia="nl-NL"/>
              </w:rPr>
              <w:t>Right ascension of the ascending node (with respect to the prime meridian)</w:t>
            </w:r>
          </w:p>
        </w:tc>
        <w:tc>
          <w:tcPr>
            <w:tcW w:w="4529" w:type="dxa"/>
            <w:shd w:val="clear" w:color="auto" w:fill="auto"/>
            <w:noWrap/>
            <w:hideMark/>
          </w:tcPr>
          <w:p w:rsidR="00176299" w:rsidRPr="00176299" w:rsidRDefault="00176299" w:rsidP="001D74A7">
            <w:pPr>
              <w:pStyle w:val="Tabletext"/>
              <w:rPr>
                <w:lang w:val="en-GB" w:eastAsia="nl-NL"/>
              </w:rPr>
            </w:pPr>
            <w:r w:rsidRPr="00176299">
              <w:rPr>
                <w:lang w:val="en-GB" w:eastAsia="nl-NL"/>
              </w:rPr>
              <w:t>0-360 degrees, using a uniform distribution</w:t>
            </w:r>
          </w:p>
        </w:tc>
      </w:tr>
      <w:tr w:rsidR="00176299" w:rsidRPr="00176299" w:rsidTr="001D74A7">
        <w:trPr>
          <w:cantSplit/>
          <w:jc w:val="center"/>
        </w:trPr>
        <w:tc>
          <w:tcPr>
            <w:tcW w:w="2479" w:type="dxa"/>
            <w:vMerge/>
            <w:shd w:val="clear" w:color="auto" w:fill="auto"/>
            <w:noWrap/>
            <w:vAlign w:val="center"/>
            <w:hideMark/>
          </w:tcPr>
          <w:p w:rsidR="00176299" w:rsidRPr="00176299" w:rsidRDefault="00176299" w:rsidP="001D74A7">
            <w:pPr>
              <w:pStyle w:val="Tabletext"/>
              <w:rPr>
                <w:lang w:val="en-GB" w:eastAsia="nl-NL"/>
              </w:rPr>
            </w:pPr>
          </w:p>
        </w:tc>
        <w:tc>
          <w:tcPr>
            <w:tcW w:w="2631" w:type="dxa"/>
            <w:shd w:val="clear" w:color="auto" w:fill="auto"/>
            <w:noWrap/>
            <w:vAlign w:val="bottom"/>
            <w:hideMark/>
          </w:tcPr>
          <w:p w:rsidR="00176299" w:rsidRPr="00176299" w:rsidRDefault="00176299" w:rsidP="001D74A7">
            <w:pPr>
              <w:pStyle w:val="Tabletext"/>
              <w:rPr>
                <w:lang w:val="en-GB" w:eastAsia="nl-NL"/>
              </w:rPr>
            </w:pPr>
            <w:r w:rsidRPr="00176299">
              <w:rPr>
                <w:lang w:val="en-GB" w:eastAsia="nl-NL"/>
              </w:rPr>
              <w:t>Eccentricity</w:t>
            </w:r>
          </w:p>
        </w:tc>
        <w:tc>
          <w:tcPr>
            <w:tcW w:w="4529" w:type="dxa"/>
            <w:shd w:val="clear" w:color="auto" w:fill="auto"/>
            <w:noWrap/>
            <w:vAlign w:val="bottom"/>
            <w:hideMark/>
          </w:tcPr>
          <w:p w:rsidR="00176299" w:rsidRPr="00176299" w:rsidRDefault="00176299" w:rsidP="001D74A7">
            <w:pPr>
              <w:pStyle w:val="Tabletext"/>
              <w:jc w:val="center"/>
              <w:rPr>
                <w:lang w:val="en-GB" w:eastAsia="nl-NL"/>
              </w:rPr>
            </w:pPr>
            <w:r w:rsidRPr="00176299">
              <w:rPr>
                <w:lang w:val="en-GB" w:eastAsia="nl-NL"/>
              </w:rPr>
              <w:t>0</w:t>
            </w:r>
          </w:p>
        </w:tc>
      </w:tr>
    </w:tbl>
    <w:p w:rsidR="001D74A7" w:rsidRDefault="001D74A7">
      <w:r>
        <w:br w:type="page"/>
      </w:r>
    </w:p>
    <w:p w:rsidR="001D74A7" w:rsidRPr="00176299" w:rsidRDefault="001D74A7" w:rsidP="001D74A7">
      <w:pPr>
        <w:pStyle w:val="TableNo"/>
        <w:rPr>
          <w:lang w:val="en-GB"/>
        </w:rPr>
      </w:pPr>
      <w:r w:rsidRPr="00176299">
        <w:rPr>
          <w:lang w:val="en-GB"/>
        </w:rPr>
        <w:lastRenderedPageBreak/>
        <w:t>TABLE 1</w:t>
      </w:r>
      <w:r>
        <w:rPr>
          <w:lang w:val="en-GB"/>
        </w:rPr>
        <w:t xml:space="preserve"> (</w:t>
      </w:r>
      <w:r w:rsidRPr="001D74A7">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9"/>
        <w:gridCol w:w="2631"/>
        <w:gridCol w:w="4529"/>
      </w:tblGrid>
      <w:tr w:rsidR="001D74A7" w:rsidRPr="00176299" w:rsidTr="001D74A7">
        <w:trPr>
          <w:cantSplit/>
          <w:tblHeader/>
          <w:jc w:val="center"/>
        </w:trPr>
        <w:tc>
          <w:tcPr>
            <w:tcW w:w="2479" w:type="dxa"/>
            <w:shd w:val="clear" w:color="auto" w:fill="auto"/>
            <w:noWrap/>
            <w:vAlign w:val="bottom"/>
            <w:hideMark/>
          </w:tcPr>
          <w:p w:rsidR="001D74A7" w:rsidRPr="00176299" w:rsidRDefault="001D74A7" w:rsidP="003F4D00">
            <w:pPr>
              <w:pStyle w:val="Tablehead"/>
              <w:rPr>
                <w:lang w:val="en-GB" w:eastAsia="nl-NL"/>
              </w:rPr>
            </w:pPr>
            <w:r w:rsidRPr="00176299">
              <w:rPr>
                <w:lang w:val="en-GB" w:eastAsia="nl-NL"/>
              </w:rPr>
              <w:t>Characteristic group</w:t>
            </w:r>
          </w:p>
        </w:tc>
        <w:tc>
          <w:tcPr>
            <w:tcW w:w="2631" w:type="dxa"/>
            <w:shd w:val="clear" w:color="auto" w:fill="auto"/>
            <w:noWrap/>
            <w:vAlign w:val="bottom"/>
            <w:hideMark/>
          </w:tcPr>
          <w:p w:rsidR="001D74A7" w:rsidRPr="00176299" w:rsidRDefault="001D74A7" w:rsidP="003F4D00">
            <w:pPr>
              <w:pStyle w:val="Tablehead"/>
              <w:rPr>
                <w:lang w:val="en-GB" w:eastAsia="nl-NL"/>
              </w:rPr>
            </w:pPr>
            <w:r w:rsidRPr="00176299">
              <w:rPr>
                <w:lang w:val="en-GB" w:eastAsia="nl-NL"/>
              </w:rPr>
              <w:t>Parameter</w:t>
            </w:r>
          </w:p>
        </w:tc>
        <w:tc>
          <w:tcPr>
            <w:tcW w:w="4529" w:type="dxa"/>
            <w:shd w:val="clear" w:color="auto" w:fill="auto"/>
            <w:noWrap/>
            <w:vAlign w:val="bottom"/>
            <w:hideMark/>
          </w:tcPr>
          <w:p w:rsidR="001D74A7" w:rsidRPr="00176299" w:rsidRDefault="001D74A7" w:rsidP="003F4D00">
            <w:pPr>
              <w:pStyle w:val="Tablehead"/>
              <w:rPr>
                <w:lang w:val="en-GB" w:eastAsia="nl-NL"/>
              </w:rPr>
            </w:pPr>
            <w:r w:rsidRPr="00176299">
              <w:rPr>
                <w:lang w:val="en-GB" w:eastAsia="nl-NL"/>
              </w:rPr>
              <w:t>Value</w:t>
            </w:r>
          </w:p>
        </w:tc>
      </w:tr>
      <w:tr w:rsidR="00176299" w:rsidRPr="00C83BD1" w:rsidTr="001D74A7">
        <w:trPr>
          <w:cantSplit/>
          <w:jc w:val="center"/>
        </w:trPr>
        <w:tc>
          <w:tcPr>
            <w:tcW w:w="2479" w:type="dxa"/>
            <w:vMerge w:val="restart"/>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Transmission scheme</w:t>
            </w:r>
          </w:p>
        </w:tc>
        <w:tc>
          <w:tcPr>
            <w:tcW w:w="2631" w:type="dxa"/>
            <w:shd w:val="clear" w:color="auto" w:fill="auto"/>
            <w:noWrap/>
            <w:vAlign w:val="bottom"/>
            <w:hideMark/>
          </w:tcPr>
          <w:p w:rsidR="00176299" w:rsidRPr="00176299" w:rsidRDefault="00176299" w:rsidP="001D74A7">
            <w:pPr>
              <w:pStyle w:val="Tabletext"/>
              <w:rPr>
                <w:lang w:val="en-GB" w:eastAsia="nl-NL"/>
              </w:rPr>
            </w:pPr>
            <w:r w:rsidRPr="00176299">
              <w:rPr>
                <w:lang w:val="en-GB" w:eastAsia="nl-NL"/>
              </w:rPr>
              <w:t>Earth-to-space direction (uplink)</w:t>
            </w:r>
          </w:p>
        </w:tc>
        <w:tc>
          <w:tcPr>
            <w:tcW w:w="4529" w:type="dxa"/>
            <w:shd w:val="clear" w:color="auto" w:fill="auto"/>
            <w:vAlign w:val="bottom"/>
            <w:hideMark/>
          </w:tcPr>
          <w:p w:rsidR="00176299" w:rsidRPr="00176299" w:rsidRDefault="00176299" w:rsidP="001D74A7">
            <w:pPr>
              <w:pStyle w:val="Tabletext"/>
              <w:rPr>
                <w:lang w:val="en-GB" w:eastAsia="nl-NL"/>
              </w:rPr>
            </w:pPr>
            <w:r w:rsidRPr="00176299">
              <w:rPr>
                <w:lang w:val="en-GB" w:eastAsia="nl-NL"/>
              </w:rPr>
              <w:t>Once a day during the largest time in which the satellite is in the earth station visibility cone</w:t>
            </w:r>
          </w:p>
        </w:tc>
      </w:tr>
      <w:tr w:rsidR="00176299" w:rsidRPr="00C83BD1" w:rsidTr="001D74A7">
        <w:trPr>
          <w:cantSplit/>
          <w:jc w:val="center"/>
        </w:trPr>
        <w:tc>
          <w:tcPr>
            <w:tcW w:w="2479" w:type="dxa"/>
            <w:vMerge/>
            <w:shd w:val="clear" w:color="auto" w:fill="auto"/>
            <w:noWrap/>
            <w:vAlign w:val="center"/>
            <w:hideMark/>
          </w:tcPr>
          <w:p w:rsidR="00176299" w:rsidRPr="00176299" w:rsidRDefault="00176299" w:rsidP="001D74A7">
            <w:pPr>
              <w:pStyle w:val="Tabletext"/>
              <w:rPr>
                <w:lang w:val="en-GB" w:eastAsia="nl-NL"/>
              </w:rPr>
            </w:pPr>
          </w:p>
        </w:tc>
        <w:tc>
          <w:tcPr>
            <w:tcW w:w="2631" w:type="dxa"/>
            <w:shd w:val="clear" w:color="auto" w:fill="auto"/>
            <w:noWrap/>
            <w:hideMark/>
          </w:tcPr>
          <w:p w:rsidR="00176299" w:rsidRPr="00176299" w:rsidRDefault="00176299" w:rsidP="001D74A7">
            <w:pPr>
              <w:pStyle w:val="Tabletext"/>
              <w:rPr>
                <w:lang w:val="en-GB" w:eastAsia="nl-NL"/>
              </w:rPr>
            </w:pPr>
            <w:r w:rsidRPr="00176299">
              <w:rPr>
                <w:lang w:val="en-GB" w:eastAsia="nl-NL"/>
              </w:rPr>
              <w:t>Space-to-Earth direction (downlink)</w:t>
            </w:r>
          </w:p>
        </w:tc>
        <w:tc>
          <w:tcPr>
            <w:tcW w:w="4529" w:type="dxa"/>
            <w:shd w:val="clear" w:color="auto" w:fill="auto"/>
            <w:vAlign w:val="bottom"/>
            <w:hideMark/>
          </w:tcPr>
          <w:p w:rsidR="00176299" w:rsidRPr="00176299" w:rsidRDefault="00176299" w:rsidP="001D74A7">
            <w:pPr>
              <w:pStyle w:val="Tabletext"/>
              <w:ind w:left="284" w:hanging="284"/>
              <w:rPr>
                <w:lang w:val="en-GB"/>
              </w:rPr>
            </w:pPr>
            <w:r w:rsidRPr="00176299">
              <w:rPr>
                <w:lang w:val="en-GB"/>
              </w:rPr>
              <w:t>1</w:t>
            </w:r>
            <w:r w:rsidRPr="00176299">
              <w:rPr>
                <w:lang w:val="en-GB"/>
              </w:rPr>
              <w:tab/>
              <w:t>Continuous while the satellite is in the earth station visibility cone</w:t>
            </w:r>
          </w:p>
          <w:p w:rsidR="00176299" w:rsidRPr="00176299" w:rsidRDefault="00176299" w:rsidP="001D74A7">
            <w:pPr>
              <w:pStyle w:val="Tabletext"/>
              <w:ind w:left="284" w:hanging="284"/>
              <w:rPr>
                <w:lang w:val="en-GB"/>
              </w:rPr>
            </w:pPr>
            <w:r w:rsidRPr="00176299">
              <w:rPr>
                <w:lang w:val="en-GB"/>
              </w:rPr>
              <w:t>and</w:t>
            </w:r>
          </w:p>
          <w:p w:rsidR="00176299" w:rsidRPr="00176299" w:rsidRDefault="00176299" w:rsidP="001D74A7">
            <w:pPr>
              <w:pStyle w:val="Tabletext"/>
              <w:ind w:left="284" w:hanging="284"/>
              <w:rPr>
                <w:lang w:val="en-GB" w:eastAsia="nl-NL"/>
              </w:rPr>
            </w:pPr>
            <w:r w:rsidRPr="00176299">
              <w:rPr>
                <w:lang w:val="en-GB"/>
              </w:rPr>
              <w:t>2</w:t>
            </w:r>
            <w:r w:rsidRPr="00176299">
              <w:rPr>
                <w:lang w:val="en-GB"/>
              </w:rPr>
              <w:tab/>
              <w:t>Once a day during the largest time in which the satellite is in the earth station visibility cone that day</w:t>
            </w:r>
          </w:p>
        </w:tc>
      </w:tr>
      <w:tr w:rsidR="00176299" w:rsidRPr="00C83BD1"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Earth station antenna radiation pattern</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1D74A7">
            <w:pPr>
              <w:pStyle w:val="Tabletext"/>
              <w:rPr>
                <w:lang w:val="en-GB" w:eastAsia="nl-NL"/>
              </w:rPr>
            </w:pPr>
            <w:r w:rsidRPr="00176299">
              <w:rPr>
                <w:lang w:val="en-GB" w:eastAsia="nl-NL"/>
              </w:rPr>
              <w:t>Per Rec. ITU-R F.699-7 (tracking antenna)</w:t>
            </w:r>
          </w:p>
        </w:tc>
      </w:tr>
      <w:tr w:rsidR="00176299" w:rsidRPr="00C83BD1"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Earth station antenna gain</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1D74A7">
            <w:pPr>
              <w:pStyle w:val="Tabletext"/>
              <w:rPr>
                <w:lang w:val="en-GB" w:eastAsia="nl-NL"/>
              </w:rPr>
            </w:pPr>
            <w:r w:rsidRPr="00176299">
              <w:rPr>
                <w:lang w:val="en-GB" w:eastAsia="nl-NL"/>
              </w:rPr>
              <w:t>12 dBi at VHF, 16 dBi at UHF</w:t>
            </w:r>
          </w:p>
        </w:tc>
      </w:tr>
      <w:tr w:rsidR="00176299" w:rsidRPr="00C83BD1" w:rsidTr="001D74A7">
        <w:trPr>
          <w:cantSplit/>
          <w:trHeight w:val="822"/>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Earth station system noise temperature</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1D74A7">
            <w:pPr>
              <w:pStyle w:val="Tabletext"/>
              <w:rPr>
                <w:lang w:val="en-GB" w:eastAsia="nl-NL"/>
              </w:rPr>
            </w:pPr>
            <w:r w:rsidRPr="00176299">
              <w:rPr>
                <w:lang w:val="en-GB" w:eastAsia="nl-NL"/>
              </w:rPr>
              <w:t>500 K max at UHF; 1500 K max at VHF</w:t>
            </w:r>
          </w:p>
        </w:tc>
      </w:tr>
      <w:tr w:rsidR="00176299" w:rsidRPr="00176299"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Space station antenna type</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364142">
            <w:pPr>
              <w:pStyle w:val="Tabletext"/>
              <w:jc w:val="center"/>
              <w:rPr>
                <w:lang w:val="en-GB" w:eastAsia="nl-NL"/>
              </w:rPr>
            </w:pPr>
            <w:r w:rsidRPr="00176299">
              <w:rPr>
                <w:lang w:val="en-GB" w:eastAsia="nl-NL"/>
              </w:rPr>
              <w:t>Omnidirectional</w:t>
            </w:r>
          </w:p>
        </w:tc>
      </w:tr>
      <w:tr w:rsidR="00176299" w:rsidRPr="00176299"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Space station antenna gain</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364142">
            <w:pPr>
              <w:pStyle w:val="Tabletext"/>
              <w:jc w:val="center"/>
              <w:rPr>
                <w:lang w:val="en-GB" w:eastAsia="nl-NL"/>
              </w:rPr>
            </w:pPr>
            <w:r w:rsidRPr="00176299">
              <w:rPr>
                <w:lang w:val="en-GB"/>
              </w:rPr>
              <w:t xml:space="preserve">≤ </w:t>
            </w:r>
            <w:r w:rsidRPr="00176299">
              <w:rPr>
                <w:lang w:val="en-GB" w:eastAsia="nl-NL"/>
              </w:rPr>
              <w:t>3 dBi</w:t>
            </w:r>
          </w:p>
        </w:tc>
      </w:tr>
      <w:tr w:rsidR="00176299" w:rsidRPr="00176299" w:rsidTr="001D74A7">
        <w:trPr>
          <w:cantSplit/>
          <w:jc w:val="center"/>
        </w:trPr>
        <w:tc>
          <w:tcPr>
            <w:tcW w:w="2479" w:type="dxa"/>
            <w:shd w:val="clear" w:color="auto" w:fill="auto"/>
            <w:noWrap/>
            <w:vAlign w:val="center"/>
          </w:tcPr>
          <w:p w:rsidR="00176299" w:rsidRPr="00176299" w:rsidRDefault="00176299" w:rsidP="001D74A7">
            <w:pPr>
              <w:pStyle w:val="Tabletext"/>
              <w:rPr>
                <w:lang w:val="en-GB" w:eastAsia="nl-NL"/>
              </w:rPr>
            </w:pPr>
            <w:r w:rsidRPr="00176299">
              <w:rPr>
                <w:lang w:val="en-GB" w:eastAsia="nl-NL"/>
              </w:rPr>
              <w:t>Space station antenna pattern</w:t>
            </w:r>
          </w:p>
        </w:tc>
        <w:tc>
          <w:tcPr>
            <w:tcW w:w="2631" w:type="dxa"/>
            <w:shd w:val="clear" w:color="auto" w:fill="auto"/>
            <w:noWrap/>
            <w:vAlign w:val="bottom"/>
          </w:tcPr>
          <w:p w:rsidR="00176299" w:rsidRPr="00176299" w:rsidRDefault="00176299" w:rsidP="001D74A7">
            <w:pPr>
              <w:pStyle w:val="Tabletext"/>
              <w:rPr>
                <w:lang w:val="en-GB" w:eastAsia="nl-NL"/>
              </w:rPr>
            </w:pPr>
          </w:p>
        </w:tc>
        <w:tc>
          <w:tcPr>
            <w:tcW w:w="4529" w:type="dxa"/>
            <w:shd w:val="clear" w:color="auto" w:fill="auto"/>
            <w:noWrap/>
          </w:tcPr>
          <w:p w:rsidR="00176299" w:rsidRPr="00176299" w:rsidRDefault="00176299" w:rsidP="00364142">
            <w:pPr>
              <w:pStyle w:val="Tabletext"/>
              <w:jc w:val="center"/>
              <w:rPr>
                <w:lang w:val="en-GB" w:eastAsia="nl-NL"/>
              </w:rPr>
            </w:pPr>
            <w:r w:rsidRPr="00176299">
              <w:rPr>
                <w:lang w:val="en-GB" w:eastAsia="nl-NL"/>
              </w:rPr>
              <w:t>ND-SPACE</w:t>
            </w:r>
          </w:p>
        </w:tc>
      </w:tr>
      <w:tr w:rsidR="00176299" w:rsidRPr="00176299"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Space station system noise temperature</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364142">
            <w:pPr>
              <w:pStyle w:val="Tabletext"/>
              <w:jc w:val="center"/>
              <w:rPr>
                <w:lang w:val="en-GB" w:eastAsia="nl-NL"/>
              </w:rPr>
            </w:pPr>
            <w:r w:rsidRPr="00176299">
              <w:rPr>
                <w:lang w:val="en-GB" w:eastAsia="nl-NL"/>
              </w:rPr>
              <w:t>500 to 1 000 K</w:t>
            </w:r>
          </w:p>
        </w:tc>
      </w:tr>
      <w:tr w:rsidR="00176299" w:rsidRPr="00176299"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Protection criteria</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364142">
            <w:pPr>
              <w:pStyle w:val="Tabletext"/>
              <w:jc w:val="center"/>
              <w:rPr>
                <w:lang w:val="fr-CH" w:eastAsia="nl-NL"/>
              </w:rPr>
            </w:pPr>
            <w:r w:rsidRPr="00176299">
              <w:rPr>
                <w:lang w:val="fr-CH" w:eastAsia="nl-NL"/>
              </w:rPr>
              <w:t>Per Rec. ITU-R SA.363-5</w:t>
            </w:r>
          </w:p>
        </w:tc>
      </w:tr>
      <w:tr w:rsidR="00176299" w:rsidRPr="00176299"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Simulation duration</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364142">
            <w:pPr>
              <w:pStyle w:val="Tabletext"/>
              <w:jc w:val="center"/>
              <w:rPr>
                <w:lang w:val="en-GB" w:eastAsia="nl-NL"/>
              </w:rPr>
            </w:pPr>
            <w:r w:rsidRPr="00176299">
              <w:rPr>
                <w:lang w:val="en-GB" w:eastAsia="nl-NL"/>
              </w:rPr>
              <w:t>7 days</w:t>
            </w:r>
          </w:p>
        </w:tc>
      </w:tr>
      <w:tr w:rsidR="00176299" w:rsidRPr="00176299"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Time step</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364142">
            <w:pPr>
              <w:pStyle w:val="Tabletext"/>
              <w:jc w:val="center"/>
              <w:rPr>
                <w:lang w:val="en-GB" w:eastAsia="nl-NL"/>
              </w:rPr>
            </w:pPr>
            <w:r w:rsidRPr="00176299">
              <w:rPr>
                <w:lang w:val="en-GB" w:eastAsia="nl-NL"/>
              </w:rPr>
              <w:t>10 s</w:t>
            </w:r>
          </w:p>
        </w:tc>
      </w:tr>
      <w:tr w:rsidR="00176299" w:rsidRPr="00176299"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Number of satellites considered</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364142">
            <w:pPr>
              <w:pStyle w:val="Tabletext"/>
              <w:jc w:val="center"/>
              <w:rPr>
                <w:lang w:val="en-GB" w:eastAsia="nl-NL"/>
              </w:rPr>
            </w:pPr>
            <w:r w:rsidRPr="00176299">
              <w:rPr>
                <w:lang w:val="en-GB" w:eastAsia="nl-NL"/>
              </w:rPr>
              <w:t>300</w:t>
            </w:r>
          </w:p>
        </w:tc>
      </w:tr>
      <w:tr w:rsidR="00176299" w:rsidRPr="00C83BD1"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Earth station deployment</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hideMark/>
          </w:tcPr>
          <w:p w:rsidR="00176299" w:rsidRPr="00176299" w:rsidRDefault="00176299" w:rsidP="001D74A7">
            <w:pPr>
              <w:pStyle w:val="Tabletext"/>
              <w:rPr>
                <w:lang w:val="en-GB" w:eastAsia="nl-NL"/>
              </w:rPr>
            </w:pPr>
            <w:r w:rsidRPr="00176299">
              <w:rPr>
                <w:lang w:val="en-GB" w:eastAsia="nl-NL"/>
              </w:rPr>
              <w:t>To be taken from TU Berlin small satellite database (see Annex 3)</w:t>
            </w:r>
          </w:p>
        </w:tc>
      </w:tr>
      <w:tr w:rsidR="00176299" w:rsidRPr="00176299"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Number of earth stations per satellite</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364142">
            <w:pPr>
              <w:pStyle w:val="Tabletext"/>
              <w:jc w:val="center"/>
              <w:rPr>
                <w:lang w:val="en-GB" w:eastAsia="nl-NL"/>
              </w:rPr>
            </w:pPr>
            <w:r w:rsidRPr="00176299">
              <w:rPr>
                <w:lang w:val="en-GB" w:eastAsia="nl-NL"/>
              </w:rPr>
              <w:t>1</w:t>
            </w:r>
          </w:p>
        </w:tc>
      </w:tr>
      <w:tr w:rsidR="00176299" w:rsidRPr="00176299" w:rsidTr="001D74A7">
        <w:trPr>
          <w:cantSplit/>
          <w:jc w:val="center"/>
        </w:trPr>
        <w:tc>
          <w:tcPr>
            <w:tcW w:w="2479" w:type="dxa"/>
            <w:shd w:val="clear" w:color="auto" w:fill="auto"/>
            <w:noWrap/>
            <w:vAlign w:val="center"/>
            <w:hideMark/>
          </w:tcPr>
          <w:p w:rsidR="00176299" w:rsidRPr="00176299" w:rsidRDefault="00176299" w:rsidP="001D74A7">
            <w:pPr>
              <w:pStyle w:val="Tabletext"/>
              <w:rPr>
                <w:lang w:val="en-GB" w:eastAsia="nl-NL"/>
              </w:rPr>
            </w:pPr>
            <w:r w:rsidRPr="00176299">
              <w:rPr>
                <w:lang w:val="en-GB" w:eastAsia="nl-NL"/>
              </w:rPr>
              <w:t>Number of satellites per earth station</w:t>
            </w:r>
          </w:p>
        </w:tc>
        <w:tc>
          <w:tcPr>
            <w:tcW w:w="2631" w:type="dxa"/>
            <w:shd w:val="clear" w:color="auto" w:fill="auto"/>
            <w:noWrap/>
            <w:vAlign w:val="bottom"/>
            <w:hideMark/>
          </w:tcPr>
          <w:p w:rsidR="00176299" w:rsidRPr="00176299" w:rsidRDefault="00176299" w:rsidP="001D74A7">
            <w:pPr>
              <w:pStyle w:val="Tabletext"/>
              <w:rPr>
                <w:lang w:val="en-GB" w:eastAsia="nl-NL"/>
              </w:rPr>
            </w:pPr>
          </w:p>
        </w:tc>
        <w:tc>
          <w:tcPr>
            <w:tcW w:w="4529" w:type="dxa"/>
            <w:shd w:val="clear" w:color="auto" w:fill="auto"/>
            <w:noWrap/>
            <w:hideMark/>
          </w:tcPr>
          <w:p w:rsidR="00176299" w:rsidRPr="00176299" w:rsidRDefault="00176299" w:rsidP="00364142">
            <w:pPr>
              <w:pStyle w:val="Tabletext"/>
              <w:jc w:val="center"/>
              <w:rPr>
                <w:lang w:val="en-GB" w:eastAsia="nl-NL"/>
              </w:rPr>
            </w:pPr>
            <w:r w:rsidRPr="00176299">
              <w:rPr>
                <w:lang w:val="en-GB" w:eastAsia="nl-NL"/>
              </w:rPr>
              <w:t>1</w:t>
            </w:r>
          </w:p>
        </w:tc>
      </w:tr>
    </w:tbl>
    <w:p w:rsidR="00176299" w:rsidRPr="00176299" w:rsidRDefault="00176299" w:rsidP="00176299">
      <w:pPr>
        <w:spacing w:before="0"/>
        <w:textAlignment w:val="auto"/>
        <w:rPr>
          <w:sz w:val="20"/>
          <w:lang w:val="en-GB"/>
        </w:rPr>
      </w:pPr>
    </w:p>
    <w:p w:rsidR="00176299" w:rsidRPr="00176299" w:rsidRDefault="00176299" w:rsidP="003F4D00">
      <w:pPr>
        <w:pStyle w:val="Heading3"/>
        <w:rPr>
          <w:lang w:val="en-GB"/>
        </w:rPr>
      </w:pPr>
      <w:r w:rsidRPr="00176299">
        <w:rPr>
          <w:lang w:val="en-GB"/>
        </w:rPr>
        <w:t>3.2.1</w:t>
      </w:r>
      <w:r w:rsidRPr="00176299">
        <w:rPr>
          <w:lang w:val="en-GB"/>
        </w:rPr>
        <w:tab/>
        <w:t>Method for selection of system parameters for use in simulations</w:t>
      </w:r>
    </w:p>
    <w:p w:rsidR="00176299" w:rsidRPr="00176299" w:rsidRDefault="00176299" w:rsidP="00C76D8D">
      <w:pPr>
        <w:rPr>
          <w:lang w:val="en-GB"/>
        </w:rPr>
      </w:pPr>
      <w:r w:rsidRPr="00176299">
        <w:rPr>
          <w:lang w:val="en-GB"/>
        </w:rPr>
        <w:t xml:space="preserve">The system parameters used in the simulations are based in the majority on the latest values (agreed at the time of this Report) in Table 1 above and also additional parameters as necessary from Report </w:t>
      </w:r>
      <w:hyperlink r:id="rId16" w:history="1">
        <w:r w:rsidRPr="00176299">
          <w:rPr>
            <w:lang w:val="en-GB"/>
          </w:rPr>
          <w:t>ITU-R SA.2312</w:t>
        </w:r>
      </w:hyperlink>
      <w:r w:rsidRPr="00176299">
        <w:rPr>
          <w:lang w:val="en-GB"/>
        </w:rPr>
        <w:t xml:space="preserve"> </w:t>
      </w:r>
      <w:r w:rsidR="00C76D8D">
        <w:rPr>
          <w:lang w:val="en-GB"/>
        </w:rPr>
        <w:t>‒</w:t>
      </w:r>
      <w:r w:rsidRPr="00176299">
        <w:rPr>
          <w:lang w:val="en-GB"/>
        </w:rPr>
        <w:t xml:space="preserve"> </w:t>
      </w:r>
      <w:r w:rsidRPr="00C76D8D">
        <w:rPr>
          <w:iCs/>
          <w:lang w:val="en-GB"/>
        </w:rPr>
        <w:t>Characteristics, definitions and spectrum requirements of nanosatellites and picosatellites, as well as systems composed of such satellites</w:t>
      </w:r>
      <w:r w:rsidRPr="00176299">
        <w:rPr>
          <w:lang w:val="en-GB"/>
        </w:rPr>
        <w:t>. For some technical parameters that are not specified in these two sources, examples of real existing systems, systematically compiled, are used to determine general trends for those parameters.</w:t>
      </w:r>
    </w:p>
    <w:p w:rsidR="00176299" w:rsidRPr="00176299" w:rsidRDefault="00176299" w:rsidP="003F4D00">
      <w:pPr>
        <w:rPr>
          <w:lang w:val="en-GB"/>
        </w:rPr>
      </w:pPr>
      <w:r w:rsidRPr="00176299">
        <w:rPr>
          <w:lang w:val="en-GB"/>
        </w:rPr>
        <w:t xml:space="preserve">An example of a supplementary source of system parameter information, consulted to develop the tables, was a database developed by the Technical University of Berlin’s Department of Aeronautics and Astronautics. The table contains 568 small satellites launched from the year 2000 to 2016. Out </w:t>
      </w:r>
      <w:r w:rsidRPr="00176299">
        <w:rPr>
          <w:lang w:val="en-GB"/>
        </w:rPr>
        <w:lastRenderedPageBreak/>
        <w:t>of these systems, more than 500 use or used links below 1 GHz. The table is a useful compilation of orbital parameters, however, there still exist many gaps on the transmission parameters which are required for a comprehensive interference analysis with the objective of this section’s undertaking. However, the data can be used for assumptions on the distribution of orbital parameters.</w:t>
      </w:r>
    </w:p>
    <w:p w:rsidR="00176299" w:rsidRPr="00176299" w:rsidRDefault="00176299" w:rsidP="003F4D00">
      <w:pPr>
        <w:rPr>
          <w:lang w:val="en-GB" w:eastAsia="zh-CN"/>
        </w:rPr>
      </w:pPr>
      <w:r w:rsidRPr="00176299">
        <w:rPr>
          <w:lang w:val="en-GB" w:eastAsia="zh-CN"/>
        </w:rPr>
        <w:t>Spectrum needs for a single system can be determined from specific operational technical requirements through link budget analysis. Moreover, multiple systems utilizing overlapping co</w:t>
      </w:r>
      <w:r w:rsidRPr="00176299">
        <w:rPr>
          <w:lang w:val="en-GB" w:eastAsia="zh-CN"/>
        </w:rPr>
        <w:noBreakHyphen/>
        <w:t>channel frequency bandwidths have the potential to interfere with each other. Therefore, this set of co-channel operations imposes a limitation on total supportable systems operational within a given bandwidth. The saturation of the given bandwidth can be determined by comparing the statistics of interference signal levels with relevant regulatory protection criteria. Specifically, a method to determine the amount of TT&amp;C spectrum required for a volume of short duration NGSO missions is to determine how many simultaneous operations may be sustained in co-channel operational bandwidth of spectrum (BW) on a non-coordinated basis and to multiply that ratio (BW(kHz) divided by the number of satellites) times the number of such satellites which might be expected to operate simultaneously in a given region. This will be called the baseline sustainability factor.</w:t>
      </w:r>
    </w:p>
    <w:p w:rsidR="00176299" w:rsidRPr="00176299" w:rsidRDefault="00176299" w:rsidP="003F4D00">
      <w:pPr>
        <w:rPr>
          <w:szCs w:val="24"/>
          <w:lang w:val="en-GB" w:eastAsia="zh-CN"/>
        </w:rPr>
      </w:pPr>
      <w:r w:rsidRPr="00176299">
        <w:rPr>
          <w:szCs w:val="24"/>
          <w:lang w:val="en-GB" w:eastAsia="zh-CN"/>
        </w:rPr>
        <w:t>It is important to note that spectrum efficiency engineering/management techniques such as code-division and time-division multiple access (TDMA, CDMA), as well as orbit planning, and ground segment coordination should substantially increase the maximum supportable number of satellites for the given bandwidth. A new sustainability factor may be determined by incorporating such techniques.</w:t>
      </w:r>
    </w:p>
    <w:p w:rsidR="00176299" w:rsidRPr="00176299" w:rsidRDefault="00176299" w:rsidP="003F4D00">
      <w:pPr>
        <w:rPr>
          <w:lang w:val="en-GB" w:eastAsia="zh-CN"/>
        </w:rPr>
      </w:pPr>
      <w:r w:rsidRPr="00176299">
        <w:rPr>
          <w:lang w:val="en-GB" w:eastAsia="zh-CN"/>
        </w:rPr>
        <w:t>That factor may reasonably be expected to exceed the baseline factor. However, it is noted that there does not appear to exist any ITU-R guidance specifically available for achieving satellite load capacities using these techniques. There does however exist ITU-R regulatory guidance for limiting interference power for space operations service as discussed below.</w:t>
      </w:r>
    </w:p>
    <w:p w:rsidR="00176299" w:rsidRPr="00176299" w:rsidRDefault="00176299" w:rsidP="003F4D00">
      <w:pPr>
        <w:rPr>
          <w:lang w:val="en-GB"/>
        </w:rPr>
      </w:pPr>
      <w:r w:rsidRPr="00176299">
        <w:rPr>
          <w:lang w:val="en-GB"/>
        </w:rPr>
        <w:t xml:space="preserve">Recommendation </w:t>
      </w:r>
      <w:hyperlink r:id="rId17" w:history="1">
        <w:r w:rsidRPr="00176299">
          <w:rPr>
            <w:lang w:val="en-GB"/>
          </w:rPr>
          <w:t>ITU-R SA.363-5</w:t>
        </w:r>
      </w:hyperlink>
      <w:r w:rsidRPr="00176299">
        <w:rPr>
          <w:lang w:val="en-GB"/>
        </w:rPr>
        <w:t xml:space="preserve"> contains guidance on frequencies, bandwidths and protection criteria for space operation systems. Section 5.5 of that Recommendation specifies the following criteria:</w:t>
      </w:r>
    </w:p>
    <w:p w:rsidR="00176299" w:rsidRPr="00176299" w:rsidRDefault="00176299" w:rsidP="003F4D00">
      <w:pPr>
        <w:pStyle w:val="Headingb"/>
        <w:rPr>
          <w:lang w:val="en-GB"/>
        </w:rPr>
      </w:pPr>
      <w:r w:rsidRPr="00176299">
        <w:rPr>
          <w:lang w:val="en-GB"/>
        </w:rPr>
        <w:t>Uplinks:</w:t>
      </w:r>
    </w:p>
    <w:p w:rsidR="00176299" w:rsidRPr="003F4D00" w:rsidRDefault="00176299" w:rsidP="003F4D00">
      <w:pPr>
        <w:rPr>
          <w:i/>
          <w:iCs/>
          <w:lang w:val="en-GB"/>
        </w:rPr>
      </w:pPr>
      <w:r w:rsidRPr="003F4D00">
        <w:rPr>
          <w:i/>
          <w:iCs/>
          <w:lang w:val="en-GB"/>
        </w:rPr>
        <w:t>“For space stations carrying out space operation functions, the ratio of signal power to total interference power in any 1 kHz band should not fall below 20 dB for a period exceeding 1% of the time each day.”</w:t>
      </w:r>
    </w:p>
    <w:p w:rsidR="00176299" w:rsidRPr="00176299" w:rsidRDefault="00176299" w:rsidP="003F4D00">
      <w:pPr>
        <w:rPr>
          <w:lang w:val="en-GB"/>
        </w:rPr>
      </w:pPr>
      <w:r w:rsidRPr="00176299">
        <w:rPr>
          <w:lang w:val="en-GB"/>
        </w:rPr>
        <w:t xml:space="preserve">Hence, for the uplink direction, the guidance indicates that the </w:t>
      </w:r>
      <w:r w:rsidRPr="00176299">
        <w:rPr>
          <w:iCs/>
          <w:lang w:val="en-GB"/>
        </w:rPr>
        <w:t>C</w:t>
      </w:r>
      <w:r w:rsidRPr="00176299">
        <w:rPr>
          <w:lang w:val="en-GB"/>
        </w:rPr>
        <w:t>/</w:t>
      </w:r>
      <w:r w:rsidRPr="00176299">
        <w:rPr>
          <w:iCs/>
          <w:lang w:val="en-GB"/>
        </w:rPr>
        <w:t>I</w:t>
      </w:r>
      <w:r w:rsidRPr="00176299">
        <w:rPr>
          <w:lang w:val="en-GB"/>
        </w:rPr>
        <w:t xml:space="preserve"> should not fall below 20 dB for a period exceeding 1% of the link time each day.</w:t>
      </w:r>
    </w:p>
    <w:p w:rsidR="00176299" w:rsidRPr="00176299" w:rsidRDefault="00176299" w:rsidP="003F4D00">
      <w:pPr>
        <w:pStyle w:val="Headingb"/>
        <w:rPr>
          <w:lang w:val="en-GB"/>
        </w:rPr>
      </w:pPr>
      <w:r w:rsidRPr="00176299">
        <w:rPr>
          <w:lang w:val="en-GB"/>
        </w:rPr>
        <w:t>Downlinks:</w:t>
      </w:r>
    </w:p>
    <w:p w:rsidR="00176299" w:rsidRPr="00176299" w:rsidRDefault="00176299" w:rsidP="00364142">
      <w:pPr>
        <w:rPr>
          <w:szCs w:val="24"/>
          <w:lang w:val="en-GB"/>
        </w:rPr>
      </w:pPr>
      <w:r w:rsidRPr="00176299">
        <w:rPr>
          <w:szCs w:val="24"/>
          <w:lang w:val="en-GB"/>
        </w:rPr>
        <w:t>“</w:t>
      </w:r>
      <w:r w:rsidRPr="00176299">
        <w:rPr>
          <w:i/>
          <w:szCs w:val="24"/>
          <w:lang w:val="en-GB"/>
        </w:rPr>
        <w:t xml:space="preserve">For earth stations </w:t>
      </w:r>
      <w:r w:rsidRPr="00176299">
        <w:rPr>
          <w:i/>
          <w:iCs/>
          <w:lang w:val="en-GB"/>
        </w:rPr>
        <w:t>carrying</w:t>
      </w:r>
      <w:r w:rsidRPr="00176299">
        <w:rPr>
          <w:i/>
          <w:szCs w:val="24"/>
          <w:lang w:val="en-GB"/>
        </w:rPr>
        <w:t xml:space="preserve"> out space operation functions, above 1 GHz, the total interference power at the receiver input in any 1 kHz band should not exceed </w:t>
      </w:r>
      <w:r w:rsidR="00364142">
        <w:rPr>
          <w:i/>
          <w:szCs w:val="24"/>
          <w:lang w:val="en-GB"/>
        </w:rPr>
        <w:t>−</w:t>
      </w:r>
      <w:r w:rsidRPr="00176299">
        <w:rPr>
          <w:i/>
          <w:szCs w:val="24"/>
          <w:lang w:val="en-GB"/>
        </w:rPr>
        <w:t>184 dBW for more than 1% of the time each day; below 1 GHz, this value may be increased by 20 dB per decreasing frequency decade</w:t>
      </w:r>
      <w:r w:rsidRPr="00176299">
        <w:rPr>
          <w:szCs w:val="24"/>
          <w:lang w:val="en-GB"/>
        </w:rPr>
        <w:t>.”</w:t>
      </w:r>
    </w:p>
    <w:p w:rsidR="00176299" w:rsidRPr="00176299" w:rsidRDefault="00176299" w:rsidP="003F4D00">
      <w:pPr>
        <w:rPr>
          <w:szCs w:val="24"/>
          <w:lang w:val="en-GB"/>
        </w:rPr>
      </w:pPr>
      <w:r w:rsidRPr="00176299">
        <w:rPr>
          <w:szCs w:val="24"/>
          <w:lang w:val="en-GB"/>
        </w:rPr>
        <w:t xml:space="preserve">Table 2 lists the actual values of the </w:t>
      </w:r>
      <w:r w:rsidRPr="00176299">
        <w:rPr>
          <w:lang w:val="en-GB"/>
        </w:rPr>
        <w:t>protection</w:t>
      </w:r>
      <w:r w:rsidRPr="00176299">
        <w:rPr>
          <w:szCs w:val="24"/>
          <w:lang w:val="en-GB"/>
        </w:rPr>
        <w:t xml:space="preserve"> criteria used in the downlink direction at the simulation frequencies of 137 and 401 MHz taking into account the 20 dB per decade increase of the interference power spectral density (PSD) threshold. The PSD values in Table 2 are determined by linear interpolation between 1 GHz and 100 MHz (one frequency decade).</w:t>
      </w:r>
    </w:p>
    <w:p w:rsidR="00176299" w:rsidRPr="00176299" w:rsidRDefault="005F321F" w:rsidP="003F4D00">
      <w:pPr>
        <w:pStyle w:val="TableNo"/>
        <w:rPr>
          <w:lang w:val="en-GB"/>
        </w:rPr>
      </w:pPr>
      <w:r w:rsidRPr="00176299">
        <w:rPr>
          <w:lang w:val="en-GB"/>
        </w:rPr>
        <w:lastRenderedPageBreak/>
        <w:t xml:space="preserve">TABLE </w:t>
      </w:r>
      <w:r w:rsidR="00176299" w:rsidRPr="00176299">
        <w:rPr>
          <w:lang w:val="en-GB"/>
        </w:rPr>
        <w:t>2</w:t>
      </w:r>
    </w:p>
    <w:p w:rsidR="00176299" w:rsidRPr="00176299" w:rsidRDefault="00176299" w:rsidP="005F321F">
      <w:pPr>
        <w:pStyle w:val="Tabletitle"/>
        <w:rPr>
          <w:lang w:val="en-GB"/>
        </w:rPr>
      </w:pPr>
      <w:r w:rsidRPr="00176299">
        <w:rPr>
          <w:lang w:val="en-GB"/>
        </w:rPr>
        <w:t xml:space="preserve">Downlink threshold interference PSD levels calculated </w:t>
      </w:r>
      <w:r w:rsidR="00C76D8D">
        <w:rPr>
          <w:lang w:val="en-GB"/>
        </w:rPr>
        <w:br/>
      </w:r>
      <w:r w:rsidRPr="00176299">
        <w:rPr>
          <w:lang w:val="en-GB"/>
        </w:rPr>
        <w:t>using Recommendation ITU-R SA.363-5 at 137 MHz and 401 MHz</w:t>
      </w:r>
    </w:p>
    <w:tbl>
      <w:tblPr>
        <w:tblStyle w:val="TableGrid"/>
        <w:tblW w:w="6804" w:type="dxa"/>
        <w:jc w:val="center"/>
        <w:tblLayout w:type="fixed"/>
        <w:tblLook w:val="04A0" w:firstRow="1" w:lastRow="0" w:firstColumn="1" w:lastColumn="0" w:noHBand="0" w:noVBand="1"/>
      </w:tblPr>
      <w:tblGrid>
        <w:gridCol w:w="3848"/>
        <w:gridCol w:w="1478"/>
        <w:gridCol w:w="1478"/>
      </w:tblGrid>
      <w:tr w:rsidR="00176299" w:rsidRPr="00176299" w:rsidTr="005F321F">
        <w:trPr>
          <w:trHeight w:val="300"/>
          <w:jc w:val="center"/>
        </w:trPr>
        <w:tc>
          <w:tcPr>
            <w:tcW w:w="2500" w:type="dxa"/>
            <w:noWrap/>
            <w:hideMark/>
          </w:tcPr>
          <w:p w:rsidR="00176299" w:rsidRPr="005F321F" w:rsidRDefault="00176299" w:rsidP="005F321F">
            <w:pPr>
              <w:pStyle w:val="Tabletext"/>
              <w:rPr>
                <w:rFonts w:asciiTheme="majorBidi" w:hAnsiTheme="majorBidi" w:cstheme="majorBidi"/>
                <w:lang w:val="en-GB"/>
              </w:rPr>
            </w:pPr>
            <w:r w:rsidRPr="005F321F">
              <w:rPr>
                <w:rFonts w:asciiTheme="majorBidi" w:hAnsiTheme="majorBidi" w:cstheme="majorBidi"/>
                <w:lang w:val="en-GB"/>
              </w:rPr>
              <w:t>Frequency (MHz)</w:t>
            </w:r>
          </w:p>
        </w:tc>
        <w:tc>
          <w:tcPr>
            <w:tcW w:w="960" w:type="dxa"/>
            <w:noWrap/>
            <w:hideMark/>
          </w:tcPr>
          <w:p w:rsidR="00176299" w:rsidRPr="005F321F" w:rsidRDefault="00176299" w:rsidP="008931E5">
            <w:pPr>
              <w:pStyle w:val="Tabletext"/>
              <w:jc w:val="center"/>
              <w:rPr>
                <w:rFonts w:asciiTheme="majorBidi" w:hAnsiTheme="majorBidi" w:cstheme="majorBidi"/>
                <w:lang w:val="en-GB"/>
              </w:rPr>
            </w:pPr>
            <w:r w:rsidRPr="005F321F">
              <w:rPr>
                <w:rFonts w:asciiTheme="majorBidi" w:hAnsiTheme="majorBidi" w:cstheme="majorBidi"/>
                <w:lang w:val="en-GB"/>
              </w:rPr>
              <w:t>137</w:t>
            </w:r>
          </w:p>
        </w:tc>
        <w:tc>
          <w:tcPr>
            <w:tcW w:w="960" w:type="dxa"/>
            <w:noWrap/>
            <w:hideMark/>
          </w:tcPr>
          <w:p w:rsidR="00176299" w:rsidRPr="005F321F" w:rsidRDefault="00176299" w:rsidP="008931E5">
            <w:pPr>
              <w:pStyle w:val="Tabletext"/>
              <w:jc w:val="center"/>
              <w:rPr>
                <w:rFonts w:asciiTheme="majorBidi" w:hAnsiTheme="majorBidi" w:cstheme="majorBidi"/>
                <w:lang w:val="en-GB"/>
              </w:rPr>
            </w:pPr>
            <w:r w:rsidRPr="005F321F">
              <w:rPr>
                <w:rFonts w:asciiTheme="majorBidi" w:hAnsiTheme="majorBidi" w:cstheme="majorBidi"/>
                <w:lang w:val="en-GB"/>
              </w:rPr>
              <w:t>401</w:t>
            </w:r>
          </w:p>
        </w:tc>
      </w:tr>
      <w:tr w:rsidR="00176299" w:rsidRPr="00176299" w:rsidTr="005F321F">
        <w:trPr>
          <w:trHeight w:val="300"/>
          <w:jc w:val="center"/>
        </w:trPr>
        <w:tc>
          <w:tcPr>
            <w:tcW w:w="2500" w:type="dxa"/>
            <w:noWrap/>
            <w:hideMark/>
          </w:tcPr>
          <w:p w:rsidR="00176299" w:rsidRPr="005F321F" w:rsidRDefault="00176299" w:rsidP="005F321F">
            <w:pPr>
              <w:pStyle w:val="Tabletext"/>
              <w:rPr>
                <w:rFonts w:asciiTheme="majorBidi" w:hAnsiTheme="majorBidi" w:cstheme="majorBidi"/>
                <w:lang w:val="en-GB"/>
              </w:rPr>
            </w:pPr>
            <w:r w:rsidRPr="005F321F">
              <w:rPr>
                <w:rFonts w:asciiTheme="majorBidi" w:hAnsiTheme="majorBidi" w:cstheme="majorBidi"/>
                <w:lang w:val="en-GB"/>
              </w:rPr>
              <w:t>PSD threshold (dBW/kHz)</w:t>
            </w:r>
          </w:p>
        </w:tc>
        <w:tc>
          <w:tcPr>
            <w:tcW w:w="960" w:type="dxa"/>
            <w:noWrap/>
            <w:hideMark/>
          </w:tcPr>
          <w:p w:rsidR="00176299" w:rsidRPr="005F321F" w:rsidRDefault="00364142" w:rsidP="008931E5">
            <w:pPr>
              <w:pStyle w:val="Tabletext"/>
              <w:jc w:val="center"/>
              <w:rPr>
                <w:rFonts w:asciiTheme="majorBidi" w:hAnsiTheme="majorBidi" w:cstheme="majorBidi"/>
                <w:lang w:val="en-GB"/>
              </w:rPr>
            </w:pPr>
            <w:r>
              <w:rPr>
                <w:rFonts w:asciiTheme="majorBidi" w:hAnsiTheme="majorBidi" w:cstheme="majorBidi"/>
                <w:lang w:val="en-GB"/>
              </w:rPr>
              <w:t>−</w:t>
            </w:r>
            <w:r w:rsidR="00176299" w:rsidRPr="005F321F">
              <w:rPr>
                <w:rFonts w:asciiTheme="majorBidi" w:hAnsiTheme="majorBidi" w:cstheme="majorBidi"/>
                <w:lang w:val="en-GB"/>
              </w:rPr>
              <w:t>166.7</w:t>
            </w:r>
          </w:p>
        </w:tc>
        <w:tc>
          <w:tcPr>
            <w:tcW w:w="960" w:type="dxa"/>
            <w:noWrap/>
            <w:hideMark/>
          </w:tcPr>
          <w:p w:rsidR="00176299" w:rsidRPr="005F321F" w:rsidRDefault="00364142" w:rsidP="008931E5">
            <w:pPr>
              <w:pStyle w:val="Tabletext"/>
              <w:jc w:val="center"/>
              <w:rPr>
                <w:rFonts w:asciiTheme="majorBidi" w:hAnsiTheme="majorBidi" w:cstheme="majorBidi"/>
                <w:lang w:val="en-GB"/>
              </w:rPr>
            </w:pPr>
            <w:r>
              <w:rPr>
                <w:rFonts w:asciiTheme="majorBidi" w:hAnsiTheme="majorBidi" w:cstheme="majorBidi"/>
                <w:lang w:val="en-GB"/>
              </w:rPr>
              <w:t>−</w:t>
            </w:r>
            <w:r w:rsidR="00176299" w:rsidRPr="005F321F">
              <w:rPr>
                <w:rFonts w:asciiTheme="majorBidi" w:hAnsiTheme="majorBidi" w:cstheme="majorBidi"/>
                <w:lang w:val="en-GB"/>
              </w:rPr>
              <w:t>176</w:t>
            </w:r>
          </w:p>
        </w:tc>
      </w:tr>
      <w:tr w:rsidR="00176299" w:rsidRPr="00176299" w:rsidTr="005F321F">
        <w:trPr>
          <w:trHeight w:val="300"/>
          <w:jc w:val="center"/>
        </w:trPr>
        <w:tc>
          <w:tcPr>
            <w:tcW w:w="2500" w:type="dxa"/>
            <w:noWrap/>
            <w:hideMark/>
          </w:tcPr>
          <w:p w:rsidR="00176299" w:rsidRPr="005F321F" w:rsidRDefault="00176299" w:rsidP="005F321F">
            <w:pPr>
              <w:pStyle w:val="Tabletext"/>
              <w:rPr>
                <w:rFonts w:asciiTheme="majorBidi" w:hAnsiTheme="majorBidi" w:cstheme="majorBidi"/>
                <w:lang w:val="en-GB"/>
              </w:rPr>
            </w:pPr>
            <w:r w:rsidRPr="005F321F">
              <w:rPr>
                <w:rFonts w:asciiTheme="majorBidi" w:hAnsiTheme="majorBidi" w:cstheme="majorBidi"/>
                <w:lang w:val="en-GB"/>
              </w:rPr>
              <w:t>PSD threshold (dBW/Hz)</w:t>
            </w:r>
          </w:p>
        </w:tc>
        <w:tc>
          <w:tcPr>
            <w:tcW w:w="960" w:type="dxa"/>
            <w:noWrap/>
            <w:hideMark/>
          </w:tcPr>
          <w:p w:rsidR="00176299" w:rsidRPr="005F321F" w:rsidRDefault="00364142" w:rsidP="008931E5">
            <w:pPr>
              <w:pStyle w:val="Tabletext"/>
              <w:jc w:val="center"/>
              <w:rPr>
                <w:rFonts w:asciiTheme="majorBidi" w:hAnsiTheme="majorBidi" w:cstheme="majorBidi"/>
                <w:lang w:val="en-GB"/>
              </w:rPr>
            </w:pPr>
            <w:r>
              <w:rPr>
                <w:rFonts w:asciiTheme="majorBidi" w:hAnsiTheme="majorBidi" w:cstheme="majorBidi"/>
                <w:lang w:val="en-GB"/>
              </w:rPr>
              <w:t>−</w:t>
            </w:r>
            <w:r w:rsidR="00176299" w:rsidRPr="005F321F">
              <w:rPr>
                <w:rFonts w:asciiTheme="majorBidi" w:hAnsiTheme="majorBidi" w:cstheme="majorBidi"/>
                <w:lang w:val="en-GB"/>
              </w:rPr>
              <w:t>196.7</w:t>
            </w:r>
          </w:p>
        </w:tc>
        <w:tc>
          <w:tcPr>
            <w:tcW w:w="960" w:type="dxa"/>
            <w:noWrap/>
            <w:hideMark/>
          </w:tcPr>
          <w:p w:rsidR="00176299" w:rsidRPr="005F321F" w:rsidRDefault="00364142" w:rsidP="008931E5">
            <w:pPr>
              <w:pStyle w:val="Tabletext"/>
              <w:jc w:val="center"/>
              <w:rPr>
                <w:rFonts w:asciiTheme="majorBidi" w:hAnsiTheme="majorBidi" w:cstheme="majorBidi"/>
                <w:lang w:val="en-GB"/>
              </w:rPr>
            </w:pPr>
            <w:r>
              <w:rPr>
                <w:rFonts w:asciiTheme="majorBidi" w:hAnsiTheme="majorBidi" w:cstheme="majorBidi"/>
                <w:lang w:val="en-GB"/>
              </w:rPr>
              <w:t>−</w:t>
            </w:r>
            <w:r w:rsidR="00176299" w:rsidRPr="005F321F">
              <w:rPr>
                <w:rFonts w:asciiTheme="majorBidi" w:hAnsiTheme="majorBidi" w:cstheme="majorBidi"/>
                <w:lang w:val="en-GB"/>
              </w:rPr>
              <w:t>206</w:t>
            </w:r>
          </w:p>
        </w:tc>
      </w:tr>
    </w:tbl>
    <w:p w:rsidR="00176299" w:rsidRPr="00176299" w:rsidRDefault="00176299" w:rsidP="00176299">
      <w:pPr>
        <w:spacing w:before="0"/>
        <w:textAlignment w:val="auto"/>
        <w:rPr>
          <w:sz w:val="20"/>
          <w:lang w:val="en-GB" w:eastAsia="zh-CN"/>
        </w:rPr>
      </w:pPr>
    </w:p>
    <w:p w:rsidR="00176299" w:rsidRPr="00176299" w:rsidRDefault="00176299" w:rsidP="008931E5">
      <w:pPr>
        <w:pStyle w:val="Heading3"/>
        <w:rPr>
          <w:lang w:val="en-GB" w:eastAsia="zh-CN"/>
        </w:rPr>
      </w:pPr>
      <w:r w:rsidRPr="00176299">
        <w:rPr>
          <w:lang w:val="en-GB" w:eastAsia="zh-CN"/>
        </w:rPr>
        <w:t>3.2.2</w:t>
      </w:r>
      <w:r w:rsidRPr="00176299">
        <w:rPr>
          <w:lang w:val="en-GB" w:eastAsia="zh-CN"/>
        </w:rPr>
        <w:tab/>
        <w:t>Simulation approach for populating the satellite and earth station sample set</w:t>
      </w:r>
    </w:p>
    <w:p w:rsidR="00176299" w:rsidRPr="00176299" w:rsidRDefault="00176299" w:rsidP="00C76D8D">
      <w:pPr>
        <w:rPr>
          <w:lang w:val="en-GB" w:eastAsia="zh-CN"/>
        </w:rPr>
      </w:pPr>
      <w:r w:rsidRPr="00176299">
        <w:rPr>
          <w:lang w:val="en-GB" w:eastAsia="zh-CN"/>
        </w:rPr>
        <w:t>A dynamic simulation environment was developed taking into account the parameters listed in Table</w:t>
      </w:r>
      <w:r w:rsidR="00C76D8D">
        <w:rPr>
          <w:lang w:val="en-GB" w:eastAsia="zh-CN"/>
        </w:rPr>
        <w:t> </w:t>
      </w:r>
      <w:r w:rsidRPr="00176299">
        <w:rPr>
          <w:lang w:val="en-GB" w:eastAsia="zh-CN"/>
        </w:rPr>
        <w:t xml:space="preserve">1 as well as the RF characteristics as agreed in the </w:t>
      </w:r>
      <w:r w:rsidRPr="00176299">
        <w:rPr>
          <w:lang w:val="en-GB"/>
        </w:rPr>
        <w:t>Report ITU-R SA.2426-0</w:t>
      </w:r>
      <w:r w:rsidRPr="00176299">
        <w:rPr>
          <w:lang w:val="en-GB" w:eastAsia="zh-CN"/>
        </w:rPr>
        <w:t xml:space="preserve">. This simulation assumes 300 uncoordinated satellite-earth station combinations, and serves to determine the amount of satellite-earth station combinations which can operate co-frequency while not violating the protection criteria given by Recommendation </w:t>
      </w:r>
      <w:hyperlink r:id="rId18" w:history="1">
        <w:r w:rsidRPr="00176299">
          <w:rPr>
            <w:lang w:val="en-GB" w:eastAsia="zh-CN"/>
          </w:rPr>
          <w:t>ITU</w:t>
        </w:r>
        <w:r w:rsidRPr="00176299">
          <w:rPr>
            <w:lang w:val="en-GB" w:eastAsia="zh-CN"/>
          </w:rPr>
          <w:noBreakHyphen/>
          <w:t>R SA.363-5</w:t>
        </w:r>
      </w:hyperlink>
      <w:r w:rsidRPr="00176299">
        <w:rPr>
          <w:lang w:val="en-GB" w:eastAsia="zh-CN"/>
        </w:rPr>
        <w:t>.</w:t>
      </w:r>
    </w:p>
    <w:p w:rsidR="00176299" w:rsidRPr="00176299" w:rsidRDefault="00176299" w:rsidP="008931E5">
      <w:pPr>
        <w:rPr>
          <w:lang w:val="en-GB" w:eastAsia="zh-CN"/>
        </w:rPr>
      </w:pPr>
      <w:r w:rsidRPr="00176299">
        <w:rPr>
          <w:lang w:val="en-GB" w:eastAsia="zh-CN"/>
        </w:rPr>
        <w:t>Based on the distribution in the Table, a set of 300 satellites and their corresponding orbits are created. Second, 300 earth stations are distributed. The distribution is based on the actual distribution of small satellite earth stations according to the TU Berlin database and the ITU SNS database. Out of these databases, for each satellite only one filing per location was selected. For example, when for a given satellite there were earth station assignments for two or more different services or multiple frequencies, the earth station was nevertheless only inserted once in the distribution. This method allows simulation of a currently realistic environment, since most existing earth stations are distributed over the United States of America, Europe and parts of Asia rather than uniformly over the whole world. Rather than population density weighting as initially agreed, the actual earth station locations from the TU Berlin database were taken as inputs as this was understood to be the most realistic. Figure 3 shows the earth station distribution.</w:t>
      </w:r>
    </w:p>
    <w:p w:rsidR="00176299" w:rsidRPr="00176299" w:rsidRDefault="00176299" w:rsidP="008931E5">
      <w:pPr>
        <w:pStyle w:val="FigureNo"/>
        <w:rPr>
          <w:lang w:val="en-GB"/>
        </w:rPr>
      </w:pPr>
      <w:r w:rsidRPr="00176299">
        <w:rPr>
          <w:lang w:val="en-GB"/>
        </w:rPr>
        <w:t>Figure 3</w:t>
      </w:r>
    </w:p>
    <w:p w:rsidR="00176299" w:rsidRPr="00176299" w:rsidRDefault="00176299" w:rsidP="008931E5">
      <w:pPr>
        <w:pStyle w:val="Figuretitle"/>
        <w:rPr>
          <w:lang w:val="en-GB" w:eastAsia="zh-CN"/>
        </w:rPr>
      </w:pPr>
      <w:r w:rsidRPr="00176299">
        <w:rPr>
          <w:lang w:val="en-GB"/>
        </w:rPr>
        <w:t>Earth station distribution for simulation</w:t>
      </w:r>
    </w:p>
    <w:p w:rsidR="00176299" w:rsidRPr="00176299" w:rsidRDefault="00782D81" w:rsidP="008931E5">
      <w:pPr>
        <w:pStyle w:val="Figure"/>
        <w:rPr>
          <w:lang w:val="en-GB"/>
        </w:rPr>
      </w:pPr>
      <w:r>
        <w:rPr>
          <w:noProof/>
          <w:lang w:val="en-GB" w:eastAsia="en-GB"/>
        </w:rPr>
        <w:drawing>
          <wp:inline distT="0" distB="0" distL="0" distR="0">
            <wp:extent cx="5809500" cy="332232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2425-03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9500" cy="3322327"/>
                    </a:xfrm>
                    <a:prstGeom prst="rect">
                      <a:avLst/>
                    </a:prstGeom>
                  </pic:spPr>
                </pic:pic>
              </a:graphicData>
            </a:graphic>
          </wp:inline>
        </w:drawing>
      </w:r>
    </w:p>
    <w:p w:rsidR="00176299" w:rsidRPr="00176299" w:rsidRDefault="00176299" w:rsidP="00B36FE1">
      <w:pPr>
        <w:pStyle w:val="Normalaftertitle"/>
        <w:rPr>
          <w:lang w:val="en-GB" w:eastAsia="zh-CN"/>
        </w:rPr>
      </w:pPr>
      <w:r w:rsidRPr="00176299">
        <w:rPr>
          <w:lang w:val="en-GB" w:eastAsia="zh-CN"/>
        </w:rPr>
        <w:lastRenderedPageBreak/>
        <w:t>After creating the earth station distribution, the 300 satellites are linked to the 300 earth stations from the TU Berlin database by means of random permutation pairs.</w:t>
      </w:r>
    </w:p>
    <w:p w:rsidR="00176299" w:rsidRPr="00176299" w:rsidRDefault="00176299" w:rsidP="008931E5">
      <w:pPr>
        <w:rPr>
          <w:lang w:val="en-GB" w:eastAsia="zh-CN"/>
        </w:rPr>
      </w:pPr>
      <w:r w:rsidRPr="00176299">
        <w:rPr>
          <w:lang w:val="en-GB" w:eastAsia="zh-CN"/>
        </w:rPr>
        <w:t xml:space="preserve">Finally, the RF characteristics as contained in the </w:t>
      </w:r>
      <w:r w:rsidRPr="00176299">
        <w:rPr>
          <w:lang w:val="en-GB"/>
        </w:rPr>
        <w:t xml:space="preserve">Report ITU-R SA.2426-0 </w:t>
      </w:r>
      <w:r w:rsidRPr="00176299">
        <w:rPr>
          <w:lang w:val="en-GB" w:eastAsia="zh-CN"/>
        </w:rPr>
        <w:t xml:space="preserve">are attributed to each satellite and earth station. For the earth station antenna gain pattern, a pattern according to Recommendation </w:t>
      </w:r>
      <w:hyperlink r:id="rId20" w:history="1">
        <w:r w:rsidRPr="00176299">
          <w:rPr>
            <w:lang w:val="en-GB" w:eastAsia="zh-CN"/>
          </w:rPr>
          <w:t>ITU-R F.699</w:t>
        </w:r>
      </w:hyperlink>
      <w:r w:rsidRPr="00176299">
        <w:rPr>
          <w:lang w:val="en-GB" w:eastAsia="zh-CN"/>
        </w:rPr>
        <w:t xml:space="preserve"> is assumed, furthermore assuming that the antenna is tracking such that the maximum gain is always directed at the satellite associated with that respective earth station. Figure 4 shows the earth station antenna gain as a function of the off-axis angle, assuming a 12 dBi maximum gain on VHF frequencies, and 16 dBi maximum gain on UHF frequencies.</w:t>
      </w:r>
    </w:p>
    <w:p w:rsidR="00176299" w:rsidRPr="00176299" w:rsidRDefault="00176299" w:rsidP="008931E5">
      <w:pPr>
        <w:pStyle w:val="FigureNo"/>
        <w:rPr>
          <w:lang w:val="en-GB"/>
        </w:rPr>
      </w:pPr>
      <w:r w:rsidRPr="00176299">
        <w:rPr>
          <w:lang w:val="en-GB"/>
        </w:rPr>
        <w:t>Figure 4</w:t>
      </w:r>
    </w:p>
    <w:p w:rsidR="00176299" w:rsidRPr="00176299" w:rsidRDefault="00176299" w:rsidP="008931E5">
      <w:pPr>
        <w:pStyle w:val="Figuretitle"/>
        <w:rPr>
          <w:lang w:val="en-GB"/>
        </w:rPr>
      </w:pPr>
      <w:r w:rsidRPr="00176299">
        <w:rPr>
          <w:lang w:val="en-GB"/>
        </w:rPr>
        <w:t>Earth station antenna gain patterns at 137 MHz (12 dBi maximum gain) and 401 MHz (16 dBi maximum gain)</w:t>
      </w:r>
    </w:p>
    <w:p w:rsidR="00176299" w:rsidRPr="00176299" w:rsidRDefault="006672AB" w:rsidP="008931E5">
      <w:pPr>
        <w:pStyle w:val="Figure"/>
        <w:rPr>
          <w:lang w:val="en-GB"/>
        </w:rPr>
      </w:pPr>
      <w:r>
        <w:rPr>
          <w:noProof/>
          <w:lang w:val="en-GB" w:eastAsia="en-GB"/>
        </w:rPr>
        <w:drawing>
          <wp:inline distT="0" distB="0" distL="0" distR="0">
            <wp:extent cx="3499111" cy="328270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2425-04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9111" cy="3282703"/>
                    </a:xfrm>
                    <a:prstGeom prst="rect">
                      <a:avLst/>
                    </a:prstGeom>
                  </pic:spPr>
                </pic:pic>
              </a:graphicData>
            </a:graphic>
          </wp:inline>
        </w:drawing>
      </w:r>
    </w:p>
    <w:p w:rsidR="00176299" w:rsidRPr="00176299" w:rsidRDefault="00176299" w:rsidP="008931E5">
      <w:pPr>
        <w:pStyle w:val="Heading3"/>
        <w:rPr>
          <w:lang w:val="en-GB" w:eastAsia="zh-CN"/>
        </w:rPr>
      </w:pPr>
      <w:r w:rsidRPr="00176299">
        <w:rPr>
          <w:lang w:val="en-GB" w:eastAsia="zh-CN"/>
        </w:rPr>
        <w:t>3.2.3</w:t>
      </w:r>
      <w:r w:rsidRPr="00176299">
        <w:rPr>
          <w:lang w:val="en-GB" w:eastAsia="zh-CN"/>
        </w:rPr>
        <w:tab/>
        <w:t>Simulation approach in the space-to-Earth direction</w:t>
      </w:r>
    </w:p>
    <w:p w:rsidR="00176299" w:rsidRPr="00176299" w:rsidRDefault="00176299" w:rsidP="008931E5">
      <w:pPr>
        <w:rPr>
          <w:lang w:val="en-GB" w:eastAsia="zh-CN"/>
        </w:rPr>
      </w:pPr>
      <w:r w:rsidRPr="00176299">
        <w:rPr>
          <w:lang w:val="en-GB" w:eastAsia="zh-CN"/>
        </w:rPr>
        <w:t xml:space="preserve">An orbit propagator based on a Keplerian orbit model propagates the satellite orbits. When the satellite is above the minimum elevation angle of 5 degrees the range of each satellite to the earth station is determined. The angle of the satellite-earth station vector for the satellite associated with a particular earth station (the wanted link) is set to 0 degrees, assuming a tracking earth station antenna and no pointing error. If other satellites have co-visibility to the earth station under consideration, </w:t>
      </w:r>
      <w:r w:rsidRPr="00176299">
        <w:rPr>
          <w:iCs/>
          <w:lang w:val="en-GB" w:eastAsia="zh-CN"/>
        </w:rPr>
        <w:t>and</w:t>
      </w:r>
      <w:r w:rsidRPr="00176299">
        <w:rPr>
          <w:i/>
          <w:lang w:val="en-GB" w:eastAsia="zh-CN"/>
        </w:rPr>
        <w:t xml:space="preserve"> </w:t>
      </w:r>
      <w:r w:rsidRPr="00176299">
        <w:rPr>
          <w:lang w:val="en-GB" w:eastAsia="zh-CN"/>
        </w:rPr>
        <w:t>have visibility to their own associated earth station, the range of these satellites to this earth station is determined. The (off-axis) angle of the satellite-earth station vector for each of these satellites is determined as well and stored for later use in the interference calculations.</w:t>
      </w:r>
    </w:p>
    <w:p w:rsidR="00176299" w:rsidRPr="00176299" w:rsidRDefault="00176299" w:rsidP="008931E5">
      <w:pPr>
        <w:rPr>
          <w:lang w:val="en-GB" w:eastAsia="zh-CN"/>
        </w:rPr>
      </w:pPr>
      <w:r w:rsidRPr="00176299">
        <w:rPr>
          <w:lang w:val="en-GB" w:eastAsia="zh-CN"/>
        </w:rPr>
        <w:t>Based on the above calculation of the range and off-axis angle of the satellite-earth station vectors, the aggregate received interference PSD (denoted by the symbol I</w:t>
      </w:r>
      <w:r w:rsidRPr="00176299">
        <w:rPr>
          <w:vertAlign w:val="subscript"/>
          <w:lang w:val="en-GB" w:eastAsia="zh-CN"/>
        </w:rPr>
        <w:t>0</w:t>
      </w:r>
      <w:r w:rsidRPr="00176299">
        <w:rPr>
          <w:lang w:val="en-GB" w:eastAsia="zh-CN"/>
        </w:rPr>
        <w:t>) received by each earth station is calculated for each time step. After that, the cumulative distribution function (CDF) of the interference PSD is calculated. CDF calculations are performed for two emission scheduling scenarios as outlined in Table 1:</w:t>
      </w:r>
    </w:p>
    <w:p w:rsidR="00176299" w:rsidRPr="00176299" w:rsidRDefault="00176299" w:rsidP="008931E5">
      <w:pPr>
        <w:pStyle w:val="enumlev1"/>
        <w:rPr>
          <w:lang w:val="en-GB" w:eastAsia="zh-CN"/>
        </w:rPr>
      </w:pPr>
      <w:r w:rsidRPr="00176299">
        <w:rPr>
          <w:lang w:val="en-GB" w:eastAsia="zh-CN"/>
        </w:rPr>
        <w:t>1</w:t>
      </w:r>
      <w:r w:rsidRPr="00176299">
        <w:rPr>
          <w:lang w:val="en-GB" w:eastAsia="zh-CN"/>
        </w:rPr>
        <w:tab/>
        <w:t>Continuous while the satellite is in the earth station visibility cone.</w:t>
      </w:r>
    </w:p>
    <w:p w:rsidR="00176299" w:rsidRPr="00176299" w:rsidRDefault="00176299" w:rsidP="008931E5">
      <w:pPr>
        <w:pStyle w:val="enumlev1"/>
        <w:rPr>
          <w:lang w:val="en-GB" w:eastAsia="zh-CN"/>
        </w:rPr>
      </w:pPr>
      <w:r w:rsidRPr="00176299">
        <w:rPr>
          <w:lang w:val="en-GB" w:eastAsia="zh-CN"/>
        </w:rPr>
        <w:tab/>
        <w:t>In this case, the aggregate interference power spectral density statistics are determined over the total active link time.</w:t>
      </w:r>
    </w:p>
    <w:p w:rsidR="00176299" w:rsidRPr="00176299" w:rsidRDefault="00176299" w:rsidP="008931E5">
      <w:pPr>
        <w:pStyle w:val="enumlev1"/>
        <w:rPr>
          <w:lang w:val="en-GB" w:eastAsia="zh-CN"/>
        </w:rPr>
      </w:pPr>
      <w:r w:rsidRPr="00176299">
        <w:rPr>
          <w:lang w:val="en-GB" w:eastAsia="zh-CN"/>
        </w:rPr>
        <w:lastRenderedPageBreak/>
        <w:t>2</w:t>
      </w:r>
      <w:r w:rsidRPr="00176299">
        <w:rPr>
          <w:lang w:val="en-GB" w:eastAsia="zh-CN"/>
        </w:rPr>
        <w:tab/>
        <w:t>Once a day during the largest time in which the satellite is in the earth station visibility cone that day.</w:t>
      </w:r>
    </w:p>
    <w:p w:rsidR="00176299" w:rsidRPr="00176299" w:rsidRDefault="00176299" w:rsidP="008931E5">
      <w:pPr>
        <w:pStyle w:val="enumlev1"/>
        <w:rPr>
          <w:lang w:val="en-GB" w:eastAsia="zh-CN"/>
        </w:rPr>
      </w:pPr>
      <w:r w:rsidRPr="00176299">
        <w:rPr>
          <w:lang w:val="en-GB" w:eastAsia="zh-CN"/>
        </w:rPr>
        <w:tab/>
        <w:t>In this case, the aggregate interference power spectral density statistics are determined over the largest time in which the satellite is above the minimum elevation of 5 degrees for each day in the simulation out of the total of seven simulation days.</w:t>
      </w:r>
    </w:p>
    <w:p w:rsidR="00176299" w:rsidRPr="00176299" w:rsidRDefault="00176299" w:rsidP="008931E5">
      <w:pPr>
        <w:rPr>
          <w:caps/>
          <w:sz w:val="20"/>
          <w:lang w:val="en-GB"/>
        </w:rPr>
      </w:pPr>
      <w:r w:rsidRPr="00176299">
        <w:rPr>
          <w:lang w:val="en-GB" w:eastAsia="zh-CN"/>
        </w:rPr>
        <w:t xml:space="preserve">An example for the space-to-Earth direction considering 10 satellite-earth station combinations can be found in Fig. 5. The red dotted lines indicate the interference PSD threshold as specified by Recommendation </w:t>
      </w:r>
      <w:hyperlink r:id="rId22" w:history="1">
        <w:r w:rsidRPr="00176299">
          <w:rPr>
            <w:lang w:val="en-GB" w:eastAsia="zh-CN"/>
          </w:rPr>
          <w:t>ITU-R SA.363-5</w:t>
        </w:r>
      </w:hyperlink>
      <w:r w:rsidRPr="00176299">
        <w:rPr>
          <w:lang w:val="en-GB" w:eastAsia="zh-CN"/>
        </w:rPr>
        <w:t>, in this case for a frequency of 401 MHz. Finally, for each earth station in the simulation, it is determined whether the threshold is exceeded. This data is then passed on for further statistics processing.</w:t>
      </w:r>
    </w:p>
    <w:p w:rsidR="00176299" w:rsidRPr="00176299" w:rsidRDefault="00176299" w:rsidP="008931E5">
      <w:pPr>
        <w:pStyle w:val="FigureNo"/>
        <w:rPr>
          <w:lang w:val="en-GB"/>
        </w:rPr>
      </w:pPr>
      <w:r w:rsidRPr="00176299">
        <w:rPr>
          <w:lang w:val="en-GB"/>
        </w:rPr>
        <w:t>Figure 5</w:t>
      </w:r>
    </w:p>
    <w:p w:rsidR="00176299" w:rsidRPr="00176299" w:rsidRDefault="00176299" w:rsidP="008931E5">
      <w:pPr>
        <w:pStyle w:val="Figuretitle"/>
        <w:rPr>
          <w:lang w:val="en-GB"/>
        </w:rPr>
      </w:pPr>
      <w:r w:rsidRPr="00176299">
        <w:rPr>
          <w:lang w:val="en-GB"/>
        </w:rPr>
        <w:t xml:space="preserve">Example of aggregate interference PSD statistics from emissions of NGSO SD satellites at the earth station </w:t>
      </w:r>
      <w:r w:rsidR="008931E5">
        <w:rPr>
          <w:lang w:val="en-GB"/>
        </w:rPr>
        <w:br/>
      </w:r>
      <w:r w:rsidRPr="00176299">
        <w:rPr>
          <w:lang w:val="en-GB"/>
        </w:rPr>
        <w:t>(space-to-Earth direction)</w:t>
      </w:r>
    </w:p>
    <w:p w:rsidR="00176299" w:rsidRPr="00176299" w:rsidRDefault="001B19EF" w:rsidP="008931E5">
      <w:pPr>
        <w:pStyle w:val="Figure"/>
        <w:rPr>
          <w:lang w:val="en-GB"/>
        </w:rPr>
      </w:pPr>
      <w:r>
        <w:rPr>
          <w:noProof/>
          <w:lang w:val="en-GB" w:eastAsia="en-GB"/>
        </w:rPr>
        <w:drawing>
          <wp:inline distT="0" distB="0" distL="0" distR="0">
            <wp:extent cx="3493015" cy="30144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2425-05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3015" cy="3014478"/>
                    </a:xfrm>
                    <a:prstGeom prst="rect">
                      <a:avLst/>
                    </a:prstGeom>
                  </pic:spPr>
                </pic:pic>
              </a:graphicData>
            </a:graphic>
          </wp:inline>
        </w:drawing>
      </w:r>
    </w:p>
    <w:p w:rsidR="00176299" w:rsidRPr="00176299" w:rsidRDefault="00176299" w:rsidP="008931E5">
      <w:pPr>
        <w:pStyle w:val="Heading3"/>
        <w:rPr>
          <w:lang w:val="en-GB" w:eastAsia="zh-CN"/>
        </w:rPr>
      </w:pPr>
      <w:r w:rsidRPr="00176299">
        <w:rPr>
          <w:lang w:val="en-GB" w:eastAsia="zh-CN"/>
        </w:rPr>
        <w:t>3.2.4</w:t>
      </w:r>
      <w:r w:rsidRPr="00176299">
        <w:rPr>
          <w:lang w:val="en-GB" w:eastAsia="zh-CN"/>
        </w:rPr>
        <w:tab/>
        <w:t>Simulation approach in the Earth-to-space direction</w:t>
      </w:r>
    </w:p>
    <w:p w:rsidR="00176299" w:rsidRPr="00176299" w:rsidRDefault="00176299" w:rsidP="008931E5">
      <w:pPr>
        <w:rPr>
          <w:lang w:val="en-GB" w:eastAsia="zh-CN"/>
        </w:rPr>
      </w:pPr>
      <w:r w:rsidRPr="00176299">
        <w:rPr>
          <w:lang w:val="en-GB" w:eastAsia="zh-CN"/>
        </w:rPr>
        <w:t>A similar calculation as in the space-to-Earth direction is performed, but this time, the received carrier power (denoted by the symbol C) at the output of each satellite antenna is calculated for the wanted links. Furthermore, the aggregate interference power (denoted by the symbol I) at the output of each satellite antenna is determined.</w:t>
      </w:r>
    </w:p>
    <w:p w:rsidR="00176299" w:rsidRPr="00176299" w:rsidRDefault="00176299" w:rsidP="008931E5">
      <w:pPr>
        <w:rPr>
          <w:lang w:val="en-GB" w:eastAsia="zh-CN"/>
        </w:rPr>
      </w:pPr>
      <w:r w:rsidRPr="00176299">
        <w:rPr>
          <w:lang w:val="en-GB" w:eastAsia="zh-CN"/>
        </w:rPr>
        <w:t>CDF calculations are performed for one emission scheduling scenario as outlined in Table 1:</w:t>
      </w:r>
    </w:p>
    <w:p w:rsidR="00176299" w:rsidRPr="00176299" w:rsidRDefault="00176299" w:rsidP="008931E5">
      <w:pPr>
        <w:pStyle w:val="enumlev1"/>
        <w:rPr>
          <w:lang w:val="en-GB" w:eastAsia="zh-CN"/>
        </w:rPr>
      </w:pPr>
      <w:r w:rsidRPr="00176299">
        <w:rPr>
          <w:lang w:val="en-GB" w:eastAsia="zh-CN"/>
        </w:rPr>
        <w:t>1</w:t>
      </w:r>
      <w:r w:rsidRPr="00176299">
        <w:rPr>
          <w:lang w:val="en-GB" w:eastAsia="zh-CN"/>
        </w:rPr>
        <w:tab/>
        <w:t>Once a day during the largest time in which the satellite is in the earth station visibility cone that day.</w:t>
      </w:r>
    </w:p>
    <w:p w:rsidR="00176299" w:rsidRPr="00176299" w:rsidRDefault="00176299" w:rsidP="008931E5">
      <w:pPr>
        <w:pStyle w:val="enumlev1"/>
        <w:rPr>
          <w:lang w:val="en-GB" w:eastAsia="zh-CN"/>
        </w:rPr>
      </w:pPr>
      <w:r w:rsidRPr="00176299">
        <w:rPr>
          <w:lang w:val="en-GB" w:eastAsia="zh-CN"/>
        </w:rPr>
        <w:tab/>
        <w:t>In this case, the aggregate interference PSD statistics are determined over the largest time in which the satellite is above the minimum elevation of 5 degrees for each day in the simulation out of the total of seven simulation days.</w:t>
      </w:r>
    </w:p>
    <w:p w:rsidR="00176299" w:rsidRPr="00176299" w:rsidRDefault="00176299" w:rsidP="008931E5">
      <w:pPr>
        <w:rPr>
          <w:lang w:val="en-GB" w:eastAsia="zh-CN"/>
        </w:rPr>
      </w:pPr>
      <w:r w:rsidRPr="00176299">
        <w:rPr>
          <w:lang w:val="en-GB" w:eastAsia="zh-CN"/>
        </w:rPr>
        <w:t xml:space="preserve">An example plot of the cumulative distribution of the </w:t>
      </w:r>
      <w:r w:rsidRPr="00176299">
        <w:rPr>
          <w:i/>
          <w:iCs/>
          <w:lang w:val="en-GB" w:eastAsia="zh-CN"/>
        </w:rPr>
        <w:t>C</w:t>
      </w:r>
      <w:r w:rsidRPr="00176299">
        <w:rPr>
          <w:lang w:val="en-GB" w:eastAsia="zh-CN"/>
        </w:rPr>
        <w:t>/</w:t>
      </w:r>
      <w:r w:rsidRPr="00176299">
        <w:rPr>
          <w:i/>
          <w:iCs/>
          <w:lang w:val="en-GB" w:eastAsia="zh-CN"/>
        </w:rPr>
        <w:t>I</w:t>
      </w:r>
      <w:r w:rsidRPr="00176299">
        <w:rPr>
          <w:lang w:val="en-GB" w:eastAsia="zh-CN"/>
        </w:rPr>
        <w:t xml:space="preserve"> for a simulation with 10 satellite-earth station combinations is given in Fig. 6 for the Earth-to-space direction.</w:t>
      </w:r>
    </w:p>
    <w:p w:rsidR="00176299" w:rsidRPr="00176299" w:rsidRDefault="00176299" w:rsidP="008931E5">
      <w:pPr>
        <w:pStyle w:val="FigureNo"/>
        <w:rPr>
          <w:lang w:val="en-GB"/>
        </w:rPr>
      </w:pPr>
      <w:r w:rsidRPr="00176299">
        <w:rPr>
          <w:lang w:val="en-GB"/>
        </w:rPr>
        <w:lastRenderedPageBreak/>
        <w:t>Figure 6</w:t>
      </w:r>
    </w:p>
    <w:p w:rsidR="00176299" w:rsidRPr="00176299" w:rsidRDefault="00176299" w:rsidP="008931E5">
      <w:pPr>
        <w:pStyle w:val="Figuretitle"/>
        <w:rPr>
          <w:lang w:val="en-GB" w:eastAsia="zh-CN"/>
        </w:rPr>
      </w:pPr>
      <w:r w:rsidRPr="00176299">
        <w:rPr>
          <w:lang w:val="en-GB"/>
        </w:rPr>
        <w:t xml:space="preserve">Example of </w:t>
      </w:r>
      <w:r w:rsidRPr="00176299">
        <w:rPr>
          <w:i/>
          <w:iCs/>
          <w:lang w:val="en-GB"/>
        </w:rPr>
        <w:t>C</w:t>
      </w:r>
      <w:r w:rsidRPr="00176299">
        <w:rPr>
          <w:lang w:val="en-GB"/>
        </w:rPr>
        <w:t>/</w:t>
      </w:r>
      <w:r w:rsidRPr="00176299">
        <w:rPr>
          <w:i/>
          <w:iCs/>
          <w:lang w:val="en-GB"/>
        </w:rPr>
        <w:t>I</w:t>
      </w:r>
      <w:r w:rsidRPr="00176299">
        <w:rPr>
          <w:lang w:val="en-GB"/>
        </w:rPr>
        <w:t xml:space="preserve"> statistics at NGSO SD satellite from emissions of earth stations (Earth-to-space direction)</w:t>
      </w:r>
    </w:p>
    <w:p w:rsidR="00176299" w:rsidRPr="00176299" w:rsidRDefault="003321C0" w:rsidP="008931E5">
      <w:pPr>
        <w:pStyle w:val="Figure"/>
        <w:rPr>
          <w:lang w:val="en-GB"/>
        </w:rPr>
      </w:pPr>
      <w:r>
        <w:rPr>
          <w:noProof/>
          <w:lang w:val="en-GB" w:eastAsia="en-GB"/>
        </w:rPr>
        <w:drawing>
          <wp:inline distT="0" distB="0" distL="0" distR="0">
            <wp:extent cx="3416815" cy="299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2425-06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6815" cy="2996190"/>
                    </a:xfrm>
                    <a:prstGeom prst="rect">
                      <a:avLst/>
                    </a:prstGeom>
                  </pic:spPr>
                </pic:pic>
              </a:graphicData>
            </a:graphic>
          </wp:inline>
        </w:drawing>
      </w:r>
    </w:p>
    <w:p w:rsidR="00176299" w:rsidRPr="00176299" w:rsidRDefault="00176299" w:rsidP="008931E5">
      <w:pPr>
        <w:pStyle w:val="Heading3"/>
        <w:rPr>
          <w:lang w:val="en-GB" w:eastAsia="zh-CN"/>
        </w:rPr>
      </w:pPr>
      <w:r w:rsidRPr="00176299">
        <w:rPr>
          <w:lang w:val="en-GB" w:eastAsia="zh-CN"/>
        </w:rPr>
        <w:t>3.2.5</w:t>
      </w:r>
      <w:r w:rsidRPr="00176299">
        <w:rPr>
          <w:lang w:val="en-GB" w:eastAsia="zh-CN"/>
        </w:rPr>
        <w:tab/>
        <w:t>Processing of simulation results</w:t>
      </w:r>
    </w:p>
    <w:p w:rsidR="00176299" w:rsidRPr="00176299" w:rsidRDefault="00176299" w:rsidP="008931E5">
      <w:pPr>
        <w:rPr>
          <w:lang w:val="en-GB" w:eastAsia="zh-CN"/>
        </w:rPr>
      </w:pPr>
      <w:r w:rsidRPr="00176299">
        <w:rPr>
          <w:lang w:val="en-GB" w:eastAsia="zh-CN"/>
        </w:rPr>
        <w:t>A single simulation run consists of a number n of satellite-earth station pairs. For each value of n ranging from 2 to 40, a total of 100 simulation runs is performed, each run taking a new random selection from the sample set of 300 pairs.</w:t>
      </w:r>
    </w:p>
    <w:p w:rsidR="00176299" w:rsidRPr="00176299" w:rsidRDefault="00176299" w:rsidP="008931E5">
      <w:pPr>
        <w:rPr>
          <w:lang w:val="en-GB" w:eastAsia="zh-CN"/>
        </w:rPr>
      </w:pPr>
      <w:r w:rsidRPr="00176299">
        <w:rPr>
          <w:lang w:val="en-GB" w:eastAsia="zh-CN"/>
        </w:rPr>
        <w:t xml:space="preserve">For each simulation run, the amount of earth stations or satellites (depending on the link direction simulated) at which the protection criteria of Recommendation </w:t>
      </w:r>
      <w:hyperlink r:id="rId25" w:history="1">
        <w:r w:rsidRPr="00176299">
          <w:rPr>
            <w:lang w:val="en-GB" w:eastAsia="zh-CN"/>
          </w:rPr>
          <w:t>ITU-R SA.363-5</w:t>
        </w:r>
      </w:hyperlink>
      <w:r w:rsidRPr="00176299">
        <w:rPr>
          <w:lang w:val="en-GB" w:eastAsia="zh-CN"/>
        </w:rPr>
        <w:t xml:space="preserve"> are exceeded is calculated and stored. Upon completion of the simulation for a particular value of </w:t>
      </w:r>
      <w:r w:rsidRPr="00176299">
        <w:rPr>
          <w:i/>
          <w:iCs/>
          <w:lang w:val="en-GB" w:eastAsia="zh-CN"/>
        </w:rPr>
        <w:t>n</w:t>
      </w:r>
      <w:r w:rsidRPr="00176299">
        <w:rPr>
          <w:lang w:val="en-GB" w:eastAsia="zh-CN"/>
        </w:rPr>
        <w:t>, the number of runs in which the protection criteria is exceeded for at least one satellite-earth station pair is determined and subsequently stored.</w:t>
      </w:r>
    </w:p>
    <w:p w:rsidR="00176299" w:rsidRPr="00176299" w:rsidRDefault="00176299" w:rsidP="008931E5">
      <w:pPr>
        <w:pStyle w:val="Heading3"/>
        <w:rPr>
          <w:lang w:val="en-GB" w:eastAsia="zh-CN"/>
        </w:rPr>
      </w:pPr>
      <w:r w:rsidRPr="00176299">
        <w:rPr>
          <w:lang w:val="en-GB" w:eastAsia="zh-CN"/>
        </w:rPr>
        <w:t>3.2.6</w:t>
      </w:r>
      <w:r w:rsidRPr="00176299">
        <w:rPr>
          <w:lang w:val="en-GB" w:eastAsia="zh-CN"/>
        </w:rPr>
        <w:tab/>
        <w:t>Simulation results</w:t>
      </w:r>
    </w:p>
    <w:p w:rsidR="00176299" w:rsidRPr="00176299" w:rsidRDefault="00176299" w:rsidP="008931E5">
      <w:pPr>
        <w:rPr>
          <w:lang w:val="en-GB" w:eastAsia="zh-CN"/>
        </w:rPr>
      </w:pPr>
      <w:r w:rsidRPr="00176299">
        <w:rPr>
          <w:lang w:val="en-GB" w:eastAsia="zh-CN"/>
        </w:rPr>
        <w:t>A total of six overall simulations were performed in accordance with the simulation parameters contained in Table 1. Table 3 lists the simulations which have been run.</w:t>
      </w:r>
    </w:p>
    <w:p w:rsidR="00176299" w:rsidRPr="00176299" w:rsidRDefault="008931E5" w:rsidP="008931E5">
      <w:pPr>
        <w:pStyle w:val="TableNo"/>
        <w:rPr>
          <w:lang w:val="en-GB"/>
        </w:rPr>
      </w:pPr>
      <w:r w:rsidRPr="00176299">
        <w:rPr>
          <w:lang w:val="en-GB"/>
        </w:rPr>
        <w:t xml:space="preserve">TABLE </w:t>
      </w:r>
      <w:r w:rsidR="00176299" w:rsidRPr="00176299">
        <w:rPr>
          <w:lang w:val="en-GB"/>
        </w:rPr>
        <w:t>3</w:t>
      </w:r>
    </w:p>
    <w:p w:rsidR="00176299" w:rsidRPr="00176299" w:rsidRDefault="00176299" w:rsidP="008931E5">
      <w:pPr>
        <w:pStyle w:val="Tabletitle"/>
        <w:rPr>
          <w:lang w:val="en-GB"/>
        </w:rPr>
      </w:pPr>
      <w:r w:rsidRPr="00176299">
        <w:rPr>
          <w:lang w:val="en-GB"/>
        </w:rPr>
        <w:t>Simulation overview</w:t>
      </w:r>
    </w:p>
    <w:tbl>
      <w:tblPr>
        <w:tblW w:w="7371" w:type="dxa"/>
        <w:jc w:val="center"/>
        <w:tblLayout w:type="fixed"/>
        <w:tblCellMar>
          <w:left w:w="70" w:type="dxa"/>
          <w:right w:w="70" w:type="dxa"/>
        </w:tblCellMar>
        <w:tblLook w:val="04A0" w:firstRow="1" w:lastRow="0" w:firstColumn="1" w:lastColumn="0" w:noHBand="0" w:noVBand="1"/>
      </w:tblPr>
      <w:tblGrid>
        <w:gridCol w:w="1332"/>
        <w:gridCol w:w="1141"/>
        <w:gridCol w:w="1902"/>
        <w:gridCol w:w="2996"/>
      </w:tblGrid>
      <w:tr w:rsidR="00176299" w:rsidRPr="00176299" w:rsidTr="008931E5">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6299" w:rsidRPr="00176299" w:rsidRDefault="00176299" w:rsidP="008931E5">
            <w:pPr>
              <w:pStyle w:val="Tablehead"/>
              <w:rPr>
                <w:lang w:val="en-GB" w:eastAsia="nl-NL"/>
              </w:rPr>
            </w:pPr>
            <w:r w:rsidRPr="00176299">
              <w:rPr>
                <w:lang w:val="en-GB" w:eastAsia="nl-NL"/>
              </w:rPr>
              <w:t>Simulation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76299" w:rsidRPr="00176299" w:rsidRDefault="00176299" w:rsidP="008931E5">
            <w:pPr>
              <w:pStyle w:val="Tablehead"/>
              <w:rPr>
                <w:lang w:val="en-GB" w:eastAsia="nl-NL"/>
              </w:rPr>
            </w:pPr>
            <w:r w:rsidRPr="00176299">
              <w:rPr>
                <w:lang w:val="en-GB" w:eastAsia="nl-NL"/>
              </w:rPr>
              <w:t>Direction</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76299" w:rsidRPr="00176299" w:rsidRDefault="00176299" w:rsidP="008931E5">
            <w:pPr>
              <w:pStyle w:val="Tablehead"/>
              <w:rPr>
                <w:lang w:val="en-GB" w:eastAsia="nl-NL"/>
              </w:rPr>
            </w:pPr>
            <w:r w:rsidRPr="00176299">
              <w:rPr>
                <w:lang w:val="en-GB" w:eastAsia="nl-NL"/>
              </w:rPr>
              <w:t>Frequency band</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176299" w:rsidRPr="00176299" w:rsidRDefault="00176299" w:rsidP="008931E5">
            <w:pPr>
              <w:pStyle w:val="Tablehead"/>
              <w:rPr>
                <w:lang w:val="en-GB" w:eastAsia="nl-NL"/>
              </w:rPr>
            </w:pPr>
            <w:r w:rsidRPr="00176299">
              <w:rPr>
                <w:lang w:val="en-GB" w:eastAsia="nl-NL"/>
              </w:rPr>
              <w:t>Wanted link active during</w:t>
            </w:r>
          </w:p>
        </w:tc>
      </w:tr>
      <w:tr w:rsidR="00176299" w:rsidRPr="00176299" w:rsidTr="008931E5">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s-E</w:t>
            </w:r>
          </w:p>
        </w:tc>
        <w:tc>
          <w:tcPr>
            <w:tcW w:w="160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137 MHz</w:t>
            </w:r>
          </w:p>
        </w:tc>
        <w:tc>
          <w:tcPr>
            <w:tcW w:w="252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8931E5">
            <w:pPr>
              <w:pStyle w:val="Tabletext"/>
              <w:rPr>
                <w:lang w:val="en-GB"/>
              </w:rPr>
            </w:pPr>
            <w:r w:rsidRPr="00176299">
              <w:rPr>
                <w:lang w:val="en-GB"/>
              </w:rPr>
              <w:t>All passes</w:t>
            </w:r>
          </w:p>
        </w:tc>
      </w:tr>
      <w:tr w:rsidR="00176299" w:rsidRPr="00176299" w:rsidTr="008931E5">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s-E</w:t>
            </w:r>
          </w:p>
        </w:tc>
        <w:tc>
          <w:tcPr>
            <w:tcW w:w="160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401 MHz</w:t>
            </w:r>
          </w:p>
        </w:tc>
        <w:tc>
          <w:tcPr>
            <w:tcW w:w="252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8931E5">
            <w:pPr>
              <w:pStyle w:val="Tabletext"/>
              <w:rPr>
                <w:lang w:val="en-GB"/>
              </w:rPr>
            </w:pPr>
            <w:r w:rsidRPr="00176299">
              <w:rPr>
                <w:lang w:val="en-GB"/>
              </w:rPr>
              <w:t>All passes</w:t>
            </w:r>
          </w:p>
        </w:tc>
      </w:tr>
      <w:tr w:rsidR="00176299" w:rsidRPr="00176299" w:rsidTr="008931E5">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s-E</w:t>
            </w:r>
          </w:p>
        </w:tc>
        <w:tc>
          <w:tcPr>
            <w:tcW w:w="160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137 MHz</w:t>
            </w:r>
          </w:p>
        </w:tc>
        <w:tc>
          <w:tcPr>
            <w:tcW w:w="252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8931E5">
            <w:pPr>
              <w:pStyle w:val="Tabletext"/>
              <w:rPr>
                <w:lang w:val="en-GB"/>
              </w:rPr>
            </w:pPr>
            <w:r w:rsidRPr="00176299">
              <w:rPr>
                <w:lang w:val="en-GB"/>
              </w:rPr>
              <w:t>Longest pass per day</w:t>
            </w:r>
          </w:p>
        </w:tc>
      </w:tr>
      <w:tr w:rsidR="00176299" w:rsidRPr="00176299" w:rsidTr="008931E5">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s-E</w:t>
            </w:r>
          </w:p>
        </w:tc>
        <w:tc>
          <w:tcPr>
            <w:tcW w:w="160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401 MHz</w:t>
            </w:r>
          </w:p>
        </w:tc>
        <w:tc>
          <w:tcPr>
            <w:tcW w:w="252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8931E5">
            <w:pPr>
              <w:pStyle w:val="Tabletext"/>
              <w:rPr>
                <w:lang w:val="en-GB"/>
              </w:rPr>
            </w:pPr>
            <w:r w:rsidRPr="00176299">
              <w:rPr>
                <w:lang w:val="en-GB"/>
              </w:rPr>
              <w:t>Longest pass per day</w:t>
            </w:r>
          </w:p>
        </w:tc>
      </w:tr>
      <w:tr w:rsidR="00176299" w:rsidRPr="00176299" w:rsidTr="008931E5">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5</w:t>
            </w:r>
          </w:p>
        </w:tc>
        <w:tc>
          <w:tcPr>
            <w:tcW w:w="96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E-s</w:t>
            </w:r>
          </w:p>
        </w:tc>
        <w:tc>
          <w:tcPr>
            <w:tcW w:w="160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148 MHz</w:t>
            </w:r>
          </w:p>
        </w:tc>
        <w:tc>
          <w:tcPr>
            <w:tcW w:w="252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8931E5">
            <w:pPr>
              <w:pStyle w:val="Tabletext"/>
              <w:rPr>
                <w:lang w:val="en-GB"/>
              </w:rPr>
            </w:pPr>
            <w:r w:rsidRPr="00176299">
              <w:rPr>
                <w:lang w:val="en-GB"/>
              </w:rPr>
              <w:t>Longest pass per day</w:t>
            </w:r>
          </w:p>
        </w:tc>
      </w:tr>
      <w:tr w:rsidR="00176299" w:rsidRPr="00176299" w:rsidTr="008931E5">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6</w:t>
            </w:r>
          </w:p>
        </w:tc>
        <w:tc>
          <w:tcPr>
            <w:tcW w:w="96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E-s</w:t>
            </w:r>
          </w:p>
        </w:tc>
        <w:tc>
          <w:tcPr>
            <w:tcW w:w="160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1F3A93">
            <w:pPr>
              <w:pStyle w:val="Tabletext"/>
              <w:jc w:val="center"/>
              <w:rPr>
                <w:lang w:val="en-GB"/>
              </w:rPr>
            </w:pPr>
            <w:r w:rsidRPr="00176299">
              <w:rPr>
                <w:lang w:val="en-GB"/>
              </w:rPr>
              <w:t>450 MHz</w:t>
            </w:r>
          </w:p>
        </w:tc>
        <w:tc>
          <w:tcPr>
            <w:tcW w:w="2520" w:type="dxa"/>
            <w:tcBorders>
              <w:top w:val="nil"/>
              <w:left w:val="nil"/>
              <w:bottom w:val="single" w:sz="4" w:space="0" w:color="auto"/>
              <w:right w:val="single" w:sz="4" w:space="0" w:color="auto"/>
            </w:tcBorders>
            <w:shd w:val="clear" w:color="auto" w:fill="auto"/>
            <w:noWrap/>
            <w:vAlign w:val="bottom"/>
            <w:hideMark/>
          </w:tcPr>
          <w:p w:rsidR="00176299" w:rsidRPr="00176299" w:rsidRDefault="00176299" w:rsidP="008931E5">
            <w:pPr>
              <w:pStyle w:val="Tabletext"/>
              <w:rPr>
                <w:lang w:val="en-GB"/>
              </w:rPr>
            </w:pPr>
            <w:r w:rsidRPr="00176299">
              <w:rPr>
                <w:lang w:val="en-GB"/>
              </w:rPr>
              <w:t>Longest pass per day</w:t>
            </w:r>
          </w:p>
        </w:tc>
      </w:tr>
    </w:tbl>
    <w:p w:rsidR="00176299" w:rsidRPr="00176299" w:rsidRDefault="00176299" w:rsidP="00176299">
      <w:pPr>
        <w:spacing w:before="0"/>
        <w:textAlignment w:val="auto"/>
        <w:rPr>
          <w:sz w:val="20"/>
          <w:lang w:val="en-GB" w:eastAsia="zh-CN"/>
        </w:rPr>
      </w:pPr>
    </w:p>
    <w:p w:rsidR="00176299" w:rsidRPr="00176299" w:rsidRDefault="00176299" w:rsidP="001F3A93">
      <w:pPr>
        <w:rPr>
          <w:lang w:val="en-GB" w:eastAsia="zh-CN"/>
        </w:rPr>
      </w:pPr>
      <w:r w:rsidRPr="00176299">
        <w:rPr>
          <w:lang w:val="en-GB" w:eastAsia="zh-CN"/>
        </w:rPr>
        <w:t>Simulation results can be found in Figs 7, 8 and 9.</w:t>
      </w:r>
    </w:p>
    <w:p w:rsidR="00176299" w:rsidRPr="00176299" w:rsidRDefault="00176299" w:rsidP="001F3A93">
      <w:pPr>
        <w:pStyle w:val="FigureNo"/>
        <w:rPr>
          <w:lang w:val="en-GB"/>
        </w:rPr>
      </w:pPr>
      <w:r w:rsidRPr="00176299">
        <w:rPr>
          <w:lang w:val="en-GB"/>
        </w:rPr>
        <w:lastRenderedPageBreak/>
        <w:t>Figure 7</w:t>
      </w:r>
    </w:p>
    <w:p w:rsidR="00176299" w:rsidRPr="00176299" w:rsidRDefault="00176299" w:rsidP="001F3A93">
      <w:pPr>
        <w:pStyle w:val="Figuretitle"/>
        <w:rPr>
          <w:lang w:val="en-GB" w:eastAsia="zh-CN"/>
        </w:rPr>
      </w:pPr>
      <w:r w:rsidRPr="00176299">
        <w:rPr>
          <w:lang w:val="en-GB"/>
        </w:rPr>
        <w:t>Simulation results for simulation</w:t>
      </w:r>
      <w:r w:rsidR="001F3A93">
        <w:rPr>
          <w:lang w:val="en-GB"/>
        </w:rPr>
        <w:t>s</w:t>
      </w:r>
      <w:r w:rsidRPr="00176299">
        <w:rPr>
          <w:lang w:val="en-GB"/>
        </w:rPr>
        <w:t xml:space="preserve"> 1 and 2</w:t>
      </w:r>
    </w:p>
    <w:p w:rsidR="00176299" w:rsidRPr="00176299" w:rsidRDefault="00795938" w:rsidP="00795938">
      <w:pPr>
        <w:pStyle w:val="Figure"/>
        <w:rPr>
          <w:lang w:val="en-GB"/>
        </w:rPr>
      </w:pPr>
      <w:r>
        <w:rPr>
          <w:noProof/>
          <w:lang w:val="en-GB" w:eastAsia="en-GB"/>
        </w:rPr>
        <w:drawing>
          <wp:inline distT="0" distB="0" distL="0" distR="0">
            <wp:extent cx="5897892" cy="493777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2425-07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97892" cy="4937770"/>
                    </a:xfrm>
                    <a:prstGeom prst="rect">
                      <a:avLst/>
                    </a:prstGeom>
                  </pic:spPr>
                </pic:pic>
              </a:graphicData>
            </a:graphic>
          </wp:inline>
        </w:drawing>
      </w:r>
    </w:p>
    <w:p w:rsidR="00176299" w:rsidRPr="00176299" w:rsidRDefault="00176299" w:rsidP="001F3A93">
      <w:pPr>
        <w:pStyle w:val="FigureNo"/>
        <w:rPr>
          <w:lang w:val="en-GB"/>
        </w:rPr>
      </w:pPr>
      <w:r w:rsidRPr="00176299">
        <w:rPr>
          <w:lang w:val="en-GB"/>
        </w:rPr>
        <w:lastRenderedPageBreak/>
        <w:t>Figure 8</w:t>
      </w:r>
    </w:p>
    <w:p w:rsidR="00176299" w:rsidRPr="00176299" w:rsidRDefault="00176299" w:rsidP="001F3A93">
      <w:pPr>
        <w:pStyle w:val="Figuretitle"/>
        <w:rPr>
          <w:lang w:val="en-GB" w:eastAsia="zh-CN"/>
        </w:rPr>
      </w:pPr>
      <w:r w:rsidRPr="00176299">
        <w:rPr>
          <w:lang w:val="en-GB"/>
        </w:rPr>
        <w:t>Simulation results for simulation</w:t>
      </w:r>
      <w:r w:rsidR="001F3A93">
        <w:rPr>
          <w:lang w:val="en-GB"/>
        </w:rPr>
        <w:t>s</w:t>
      </w:r>
      <w:r w:rsidRPr="00176299">
        <w:rPr>
          <w:lang w:val="en-GB"/>
        </w:rPr>
        <w:t xml:space="preserve"> 3 and 4</w:t>
      </w:r>
    </w:p>
    <w:p w:rsidR="00176299" w:rsidRPr="00176299" w:rsidRDefault="00B93423" w:rsidP="00B93423">
      <w:pPr>
        <w:pStyle w:val="Figure"/>
        <w:rPr>
          <w:lang w:val="en-GB"/>
        </w:rPr>
      </w:pPr>
      <w:r>
        <w:rPr>
          <w:noProof/>
          <w:lang w:val="en-GB" w:eastAsia="en-GB"/>
        </w:rPr>
        <w:drawing>
          <wp:inline distT="0" distB="0" distL="0" distR="0">
            <wp:extent cx="5876556" cy="49164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2425-08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6556" cy="4916434"/>
                    </a:xfrm>
                    <a:prstGeom prst="rect">
                      <a:avLst/>
                    </a:prstGeom>
                  </pic:spPr>
                </pic:pic>
              </a:graphicData>
            </a:graphic>
          </wp:inline>
        </w:drawing>
      </w:r>
    </w:p>
    <w:p w:rsidR="00176299" w:rsidRPr="00176299" w:rsidRDefault="00176299" w:rsidP="001F3A93">
      <w:pPr>
        <w:pStyle w:val="FigureNo"/>
        <w:rPr>
          <w:lang w:val="en-GB"/>
        </w:rPr>
      </w:pPr>
      <w:r w:rsidRPr="00176299">
        <w:rPr>
          <w:lang w:val="en-GB"/>
        </w:rPr>
        <w:lastRenderedPageBreak/>
        <w:t>Figure 9</w:t>
      </w:r>
    </w:p>
    <w:p w:rsidR="00176299" w:rsidRPr="00176299" w:rsidRDefault="00176299" w:rsidP="001F3A93">
      <w:pPr>
        <w:pStyle w:val="Figuretitle"/>
        <w:rPr>
          <w:lang w:val="en-GB" w:eastAsia="zh-CN"/>
        </w:rPr>
      </w:pPr>
      <w:r w:rsidRPr="00176299">
        <w:rPr>
          <w:lang w:val="en-GB"/>
        </w:rPr>
        <w:t>Simulation results for simulation</w:t>
      </w:r>
      <w:r w:rsidR="001F3A93">
        <w:rPr>
          <w:lang w:val="en-GB"/>
        </w:rPr>
        <w:t>s</w:t>
      </w:r>
      <w:r w:rsidRPr="00176299">
        <w:rPr>
          <w:lang w:val="en-GB"/>
        </w:rPr>
        <w:t xml:space="preserve"> 5 and 6</w:t>
      </w:r>
    </w:p>
    <w:p w:rsidR="0075506B" w:rsidRDefault="003C6091" w:rsidP="001F3A93">
      <w:pPr>
        <w:pStyle w:val="Normalaftertitle"/>
        <w:rPr>
          <w:lang w:val="en-GB" w:eastAsia="zh-CN"/>
        </w:rPr>
      </w:pPr>
      <w:r>
        <w:rPr>
          <w:noProof/>
          <w:lang w:val="en-GB" w:eastAsia="en-GB"/>
        </w:rPr>
        <w:drawing>
          <wp:inline distT="0" distB="0" distL="0" distR="0">
            <wp:extent cx="5894844" cy="493472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2425-09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4844" cy="4934722"/>
                    </a:xfrm>
                    <a:prstGeom prst="rect">
                      <a:avLst/>
                    </a:prstGeom>
                  </pic:spPr>
                </pic:pic>
              </a:graphicData>
            </a:graphic>
          </wp:inline>
        </w:drawing>
      </w:r>
    </w:p>
    <w:p w:rsidR="00176299" w:rsidRPr="00176299" w:rsidRDefault="00176299" w:rsidP="001F3A93">
      <w:pPr>
        <w:pStyle w:val="Normalaftertitle"/>
        <w:rPr>
          <w:lang w:val="en-GB" w:eastAsia="zh-CN"/>
        </w:rPr>
      </w:pPr>
      <w:r w:rsidRPr="00176299">
        <w:rPr>
          <w:lang w:val="en-GB" w:eastAsia="zh-CN"/>
        </w:rPr>
        <w:t>For each Figure, the upper plots show the percentage of earth stations or satellites at which the protection criteria are exceeded as a function of the number of satellite-earth station combinations.</w:t>
      </w:r>
    </w:p>
    <w:p w:rsidR="00176299" w:rsidRPr="00176299" w:rsidRDefault="00176299" w:rsidP="001F3A93">
      <w:pPr>
        <w:rPr>
          <w:lang w:val="en-GB" w:eastAsia="zh-CN"/>
        </w:rPr>
      </w:pPr>
      <w:r w:rsidRPr="00176299">
        <w:rPr>
          <w:lang w:val="en-GB" w:eastAsia="zh-CN"/>
        </w:rPr>
        <w:t>As indicated before, there are 100 runs for every n pairs of satellite-earth station combinations. The vertical axis in these plots indicates the percentage of pairs for which the protection criteria are exceeded for each run, represented by a cross. Note that some of the 100 crosses can be on top of each other, which is not visible in the plot.</w:t>
      </w:r>
    </w:p>
    <w:p w:rsidR="00176299" w:rsidRPr="00176299" w:rsidRDefault="00176299" w:rsidP="001F3A93">
      <w:pPr>
        <w:rPr>
          <w:lang w:val="en-GB" w:eastAsia="zh-CN"/>
        </w:rPr>
      </w:pPr>
      <w:r w:rsidRPr="00176299">
        <w:rPr>
          <w:lang w:val="en-GB" w:eastAsia="zh-CN"/>
        </w:rPr>
        <w:t>The lower plots show the percentage of simulation runs out of the total of 100 runs in which the protection criteria are exceeded for at least one satellite-earth station pair.</w:t>
      </w:r>
    </w:p>
    <w:p w:rsidR="00176299" w:rsidRPr="00176299" w:rsidRDefault="00176299" w:rsidP="001F3A93">
      <w:pPr>
        <w:rPr>
          <w:lang w:val="en-GB" w:eastAsia="zh-CN"/>
        </w:rPr>
      </w:pPr>
      <w:r w:rsidRPr="00176299">
        <w:rPr>
          <w:lang w:val="en-GB" w:eastAsia="zh-CN"/>
        </w:rPr>
        <w:t>Two observations can be made:</w:t>
      </w:r>
    </w:p>
    <w:p w:rsidR="00176299" w:rsidRPr="00176299" w:rsidRDefault="00176299" w:rsidP="001F3A93">
      <w:pPr>
        <w:pStyle w:val="enumlev1"/>
        <w:rPr>
          <w:lang w:val="en-GB" w:eastAsia="zh-CN"/>
        </w:rPr>
      </w:pPr>
      <w:r w:rsidRPr="00176299">
        <w:rPr>
          <w:lang w:val="en-GB" w:eastAsia="zh-CN"/>
        </w:rPr>
        <w:t>1</w:t>
      </w:r>
      <w:r w:rsidRPr="00176299">
        <w:rPr>
          <w:lang w:val="en-GB" w:eastAsia="zh-CN"/>
        </w:rPr>
        <w:tab/>
        <w:t>The simulation results show only a small difference in the results between the VHF and UHF frequency ranges.</w:t>
      </w:r>
    </w:p>
    <w:p w:rsidR="00176299" w:rsidRPr="00176299" w:rsidRDefault="00176299" w:rsidP="001F3A93">
      <w:pPr>
        <w:pStyle w:val="enumlev1"/>
        <w:rPr>
          <w:lang w:val="en-GB" w:eastAsia="zh-CN"/>
        </w:rPr>
      </w:pPr>
      <w:r w:rsidRPr="00176299">
        <w:rPr>
          <w:lang w:val="en-GB" w:eastAsia="zh-CN"/>
        </w:rPr>
        <w:t>2</w:t>
      </w:r>
      <w:r w:rsidRPr="00176299">
        <w:rPr>
          <w:lang w:val="en-GB" w:eastAsia="zh-CN"/>
        </w:rPr>
        <w:tab/>
        <w:t xml:space="preserve">The protection criteria could be exceeded for the case of two satellite-earth station pairs, for example in Simulation 1. On the other hand, for eight satellite-earth station combinations in Simulation 1 there are still runs showing no violation of the protection criteria, although the vast majority of runs do give a violation of the protection criteria for this number of satellite-earth station combinations. If the visibility of the randomly picked earth stations overlap, violation of the protection criteria is almost certain. If the distribution is such that there is </w:t>
      </w:r>
      <w:r w:rsidRPr="00176299">
        <w:rPr>
          <w:lang w:val="en-GB" w:eastAsia="zh-CN"/>
        </w:rPr>
        <w:lastRenderedPageBreak/>
        <w:t>little overlap, there can also be cases where the protection criteria are not exceeded. In practice, due to coordination, the actual value of co-existing satellite-earth station combinations could be somewhere between these values, since interference issues can at least partially be resolved by means of coordination. Furthermore, it is expected that some of the 300 satellite-earth station combinations will be in centrally-controlled multi-satellite (and earth station) systems, in which spectrum use is coordinated and thus efficiencies are gained.</w:t>
      </w:r>
    </w:p>
    <w:p w:rsidR="00176299" w:rsidRPr="00176299" w:rsidRDefault="00176299" w:rsidP="001F3A93">
      <w:pPr>
        <w:rPr>
          <w:lang w:val="en-GB" w:eastAsia="zh-CN"/>
        </w:rPr>
      </w:pPr>
      <w:r w:rsidRPr="00176299">
        <w:rPr>
          <w:lang w:val="en-GB" w:eastAsia="zh-CN"/>
        </w:rPr>
        <w:t>Taking Simulation 2 into account, a reasonable assumption could be that the protection criteria may be exceeded in between 30 to 50% of the simulation runs. This means that 70 to 50% of the simulation runs had no interference events that exceed the protection criteria.</w:t>
      </w:r>
    </w:p>
    <w:p w:rsidR="00176299" w:rsidRPr="00176299" w:rsidRDefault="00176299" w:rsidP="001F3A93">
      <w:pPr>
        <w:rPr>
          <w:lang w:val="en-GB" w:eastAsia="zh-CN"/>
        </w:rPr>
      </w:pPr>
      <w:r w:rsidRPr="00176299">
        <w:rPr>
          <w:lang w:val="en-GB" w:eastAsia="zh-CN"/>
        </w:rPr>
        <w:t>Table 4 summarizes the spectrum requirements for a set of 300 satellite-earth station combinations assuming that the protection criteria may be exceeded in 30% of the simulation runs, and Table 5 summarizes the spectrum requirements for a set of 300 systems assuming that the protection criteria may be exceeded in 50% of the simulation runs. In these tables, the spectrum requirement value is determined by dividing the total number of satellite-earth station combinations (300) by the number of satellites which can operate co-frequency, and multiplying the result by the necessary bandwidth per satellite (25 kHz).</w:t>
      </w:r>
    </w:p>
    <w:p w:rsidR="00176299" w:rsidRPr="00176299" w:rsidRDefault="00176299" w:rsidP="001F3A93">
      <w:pPr>
        <w:rPr>
          <w:lang w:val="en-GB" w:eastAsia="zh-CN"/>
        </w:rPr>
      </w:pPr>
      <w:r w:rsidRPr="00176299">
        <w:rPr>
          <w:lang w:val="en-GB" w:eastAsia="zh-CN"/>
        </w:rPr>
        <w:t>As an example of how to calculate the spectrum requirement based on the simulations results one could consider the example where for 30% of the simulation runs the protection criteria was exceeded for the 137 MHz space-to-Earth scenario and emission schedule such that the satellite transmits during the total time it is in the earth station visibility cone. Then from Fig. 7 lower left the number of pairs which can operate co-frequency is determined to be equal to 3. This translates to a spectrum requirement of 300/3 times 25 kHz equals 2.5 MHz.</w:t>
      </w:r>
    </w:p>
    <w:p w:rsidR="00176299" w:rsidRPr="00176299" w:rsidRDefault="001F3A93" w:rsidP="001F3A93">
      <w:pPr>
        <w:pStyle w:val="TableNo"/>
        <w:rPr>
          <w:lang w:val="en-GB"/>
        </w:rPr>
      </w:pPr>
      <w:r w:rsidRPr="00176299">
        <w:rPr>
          <w:lang w:val="en-GB"/>
        </w:rPr>
        <w:t xml:space="preserve">TABLE </w:t>
      </w:r>
      <w:r w:rsidR="00176299" w:rsidRPr="00176299">
        <w:rPr>
          <w:lang w:val="en-GB"/>
        </w:rPr>
        <w:t>4</w:t>
      </w:r>
    </w:p>
    <w:p w:rsidR="00176299" w:rsidRPr="00176299" w:rsidRDefault="00176299" w:rsidP="001F3A93">
      <w:pPr>
        <w:pStyle w:val="Tabletitle"/>
        <w:rPr>
          <w:szCs w:val="24"/>
          <w:lang w:val="en-GB"/>
        </w:rPr>
      </w:pPr>
      <w:r w:rsidRPr="00176299">
        <w:rPr>
          <w:lang w:val="en-GB"/>
        </w:rPr>
        <w:t>Spectrum requirements for 300 short duration NGSO satellite-earth station combinations,</w:t>
      </w:r>
      <w:r w:rsidRPr="00176299">
        <w:rPr>
          <w:lang w:val="en-GB"/>
        </w:rPr>
        <w:br/>
        <w:t>violation of 30% of simulation runs</w:t>
      </w:r>
    </w:p>
    <w:tbl>
      <w:tblPr>
        <w:tblStyle w:val="TableGrid"/>
        <w:tblW w:w="9639" w:type="dxa"/>
        <w:tblLayout w:type="fixed"/>
        <w:tblLook w:val="04A0" w:firstRow="1" w:lastRow="0" w:firstColumn="1" w:lastColumn="0" w:noHBand="0" w:noVBand="1"/>
      </w:tblPr>
      <w:tblGrid>
        <w:gridCol w:w="3706"/>
        <w:gridCol w:w="988"/>
        <w:gridCol w:w="989"/>
        <w:gridCol w:w="989"/>
        <w:gridCol w:w="989"/>
        <w:gridCol w:w="989"/>
        <w:gridCol w:w="989"/>
      </w:tblGrid>
      <w:tr w:rsidR="00176299" w:rsidRPr="0022689C" w:rsidTr="001F3A93">
        <w:trPr>
          <w:trHeight w:val="300"/>
        </w:trPr>
        <w:tc>
          <w:tcPr>
            <w:tcW w:w="3760" w:type="dxa"/>
            <w:noWrap/>
          </w:tcPr>
          <w:p w:rsidR="00176299" w:rsidRPr="0022689C" w:rsidRDefault="00176299" w:rsidP="0022689C">
            <w:pPr>
              <w:pStyle w:val="Tabletext"/>
              <w:rPr>
                <w:rFonts w:asciiTheme="majorBidi" w:hAnsiTheme="majorBidi" w:cstheme="majorBidi"/>
                <w:sz w:val="20"/>
                <w:lang w:val="en-GB" w:eastAsia="zh-CN"/>
              </w:rPr>
            </w:pPr>
            <w:r w:rsidRPr="0022689C">
              <w:rPr>
                <w:rFonts w:asciiTheme="majorBidi" w:hAnsiTheme="majorBidi" w:cstheme="majorBidi"/>
                <w:sz w:val="20"/>
                <w:lang w:val="en-GB" w:eastAsia="zh-CN"/>
              </w:rPr>
              <w:t>Simulation</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2</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3</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4</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5</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6</w:t>
            </w:r>
          </w:p>
        </w:tc>
      </w:tr>
      <w:tr w:rsidR="00176299" w:rsidRPr="0022689C" w:rsidTr="001F3A93">
        <w:trPr>
          <w:trHeight w:val="300"/>
        </w:trPr>
        <w:tc>
          <w:tcPr>
            <w:tcW w:w="3760" w:type="dxa"/>
            <w:noWrap/>
            <w:hideMark/>
          </w:tcPr>
          <w:p w:rsidR="00176299" w:rsidRPr="0022689C" w:rsidRDefault="00176299" w:rsidP="0022689C">
            <w:pPr>
              <w:pStyle w:val="Tabletext"/>
              <w:rPr>
                <w:rFonts w:asciiTheme="majorBidi" w:hAnsiTheme="majorBidi" w:cstheme="majorBidi"/>
                <w:sz w:val="20"/>
                <w:lang w:val="en-GB" w:eastAsia="zh-CN"/>
              </w:rPr>
            </w:pPr>
            <w:r w:rsidRPr="0022689C">
              <w:rPr>
                <w:rFonts w:asciiTheme="majorBidi" w:hAnsiTheme="majorBidi" w:cstheme="majorBidi"/>
                <w:sz w:val="20"/>
                <w:lang w:val="en-GB" w:eastAsia="zh-CN"/>
              </w:rPr>
              <w:t>Frequency (MHz)</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137</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401</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137</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401</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148</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450</w:t>
            </w:r>
          </w:p>
        </w:tc>
      </w:tr>
      <w:tr w:rsidR="00176299" w:rsidRPr="0022689C" w:rsidTr="001F3A93">
        <w:trPr>
          <w:trHeight w:val="600"/>
        </w:trPr>
        <w:tc>
          <w:tcPr>
            <w:tcW w:w="3760" w:type="dxa"/>
            <w:noWrap/>
            <w:hideMark/>
          </w:tcPr>
          <w:p w:rsidR="00176299" w:rsidRPr="0022689C" w:rsidRDefault="00176299" w:rsidP="0022689C">
            <w:pPr>
              <w:pStyle w:val="Tabletext"/>
              <w:rPr>
                <w:rFonts w:asciiTheme="majorBidi" w:hAnsiTheme="majorBidi" w:cstheme="majorBidi"/>
                <w:sz w:val="20"/>
                <w:lang w:val="en-GB" w:eastAsia="zh-CN"/>
              </w:rPr>
            </w:pPr>
            <w:r w:rsidRPr="0022689C">
              <w:rPr>
                <w:rFonts w:asciiTheme="majorBidi" w:hAnsiTheme="majorBidi" w:cstheme="majorBidi"/>
                <w:sz w:val="20"/>
                <w:lang w:val="en-GB" w:eastAsia="zh-CN"/>
              </w:rPr>
              <w:t>Direction</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space-to-Earth</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space-to-Earth</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space-to-Earth</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space-to-Earth</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Earth-to-space</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Earth-to-space</w:t>
            </w:r>
          </w:p>
        </w:tc>
      </w:tr>
      <w:tr w:rsidR="00176299" w:rsidRPr="00C83BD1" w:rsidTr="001F3A93">
        <w:trPr>
          <w:trHeight w:val="1199"/>
        </w:trPr>
        <w:tc>
          <w:tcPr>
            <w:tcW w:w="3760" w:type="dxa"/>
            <w:noWrap/>
            <w:hideMark/>
          </w:tcPr>
          <w:p w:rsidR="00176299" w:rsidRPr="0022689C" w:rsidRDefault="00176299" w:rsidP="0022689C">
            <w:pPr>
              <w:pStyle w:val="Tabletext"/>
              <w:rPr>
                <w:rFonts w:asciiTheme="majorBidi" w:hAnsiTheme="majorBidi" w:cstheme="majorBidi"/>
                <w:sz w:val="20"/>
                <w:lang w:val="en-GB" w:eastAsia="zh-CN"/>
              </w:rPr>
            </w:pPr>
            <w:r w:rsidRPr="0022689C">
              <w:rPr>
                <w:rFonts w:asciiTheme="majorBidi" w:hAnsiTheme="majorBidi" w:cstheme="majorBidi"/>
                <w:sz w:val="20"/>
                <w:lang w:val="en-GB" w:eastAsia="zh-CN"/>
              </w:rPr>
              <w:t>Time criterion</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Total time in visibility cone</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Total time in visibility cone</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Longest time in visibility cone per day</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Longest time in visibility cone per day</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Longest time in visibility cone per day</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Longest time in visibility cone per day</w:t>
            </w:r>
          </w:p>
        </w:tc>
      </w:tr>
      <w:tr w:rsidR="00176299" w:rsidRPr="0022689C" w:rsidTr="001F3A93">
        <w:trPr>
          <w:trHeight w:val="600"/>
        </w:trPr>
        <w:tc>
          <w:tcPr>
            <w:tcW w:w="3760" w:type="dxa"/>
            <w:hideMark/>
          </w:tcPr>
          <w:p w:rsidR="00176299" w:rsidRPr="0022689C" w:rsidRDefault="00176299" w:rsidP="0022689C">
            <w:pPr>
              <w:pStyle w:val="Tabletext"/>
              <w:rPr>
                <w:rFonts w:asciiTheme="majorBidi" w:hAnsiTheme="majorBidi" w:cstheme="majorBidi"/>
                <w:sz w:val="20"/>
                <w:lang w:val="en-GB" w:eastAsia="zh-CN"/>
              </w:rPr>
            </w:pPr>
            <w:r w:rsidRPr="0022689C">
              <w:rPr>
                <w:rFonts w:asciiTheme="majorBidi" w:hAnsiTheme="majorBidi" w:cstheme="majorBidi"/>
                <w:sz w:val="20"/>
                <w:lang w:val="en-GB" w:eastAsia="zh-CN"/>
              </w:rPr>
              <w:t>Amount of satellite – earth station combinations which can operate co-frequency (baseline sustainability factor)</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3</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3</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8</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8</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8</w:t>
            </w:r>
          </w:p>
        </w:tc>
        <w:tc>
          <w:tcPr>
            <w:tcW w:w="1000" w:type="dxa"/>
            <w:hideMark/>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9</w:t>
            </w:r>
          </w:p>
        </w:tc>
      </w:tr>
      <w:tr w:rsidR="00176299" w:rsidRPr="0022689C" w:rsidTr="001F3A93">
        <w:trPr>
          <w:trHeight w:val="300"/>
        </w:trPr>
        <w:tc>
          <w:tcPr>
            <w:tcW w:w="3760" w:type="dxa"/>
            <w:noWrap/>
            <w:hideMark/>
          </w:tcPr>
          <w:p w:rsidR="00176299" w:rsidRPr="0022689C" w:rsidRDefault="00176299" w:rsidP="0022689C">
            <w:pPr>
              <w:pStyle w:val="Tabletext"/>
              <w:rPr>
                <w:rFonts w:asciiTheme="majorBidi" w:hAnsiTheme="majorBidi" w:cstheme="majorBidi"/>
                <w:b/>
                <w:sz w:val="20"/>
                <w:lang w:val="en-GB" w:eastAsia="zh-CN"/>
              </w:rPr>
            </w:pPr>
            <w:r w:rsidRPr="0022689C">
              <w:rPr>
                <w:rFonts w:asciiTheme="majorBidi" w:hAnsiTheme="majorBidi" w:cstheme="majorBidi"/>
                <w:b/>
                <w:sz w:val="20"/>
                <w:lang w:val="en-GB" w:eastAsia="zh-CN"/>
              </w:rPr>
              <w:t>Spectrum requirement (MHz)</w:t>
            </w:r>
          </w:p>
        </w:tc>
        <w:tc>
          <w:tcPr>
            <w:tcW w:w="1000" w:type="dxa"/>
            <w:hideMark/>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2.5</w:t>
            </w:r>
          </w:p>
        </w:tc>
        <w:tc>
          <w:tcPr>
            <w:tcW w:w="1000" w:type="dxa"/>
            <w:hideMark/>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2.5</w:t>
            </w:r>
          </w:p>
        </w:tc>
        <w:tc>
          <w:tcPr>
            <w:tcW w:w="1000" w:type="dxa"/>
            <w:hideMark/>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0.938</w:t>
            </w:r>
          </w:p>
        </w:tc>
        <w:tc>
          <w:tcPr>
            <w:tcW w:w="1000" w:type="dxa"/>
            <w:hideMark/>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0.938</w:t>
            </w:r>
          </w:p>
        </w:tc>
        <w:tc>
          <w:tcPr>
            <w:tcW w:w="1000" w:type="dxa"/>
            <w:hideMark/>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0.938</w:t>
            </w:r>
          </w:p>
        </w:tc>
        <w:tc>
          <w:tcPr>
            <w:tcW w:w="1000" w:type="dxa"/>
            <w:hideMark/>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0.834</w:t>
            </w:r>
          </w:p>
        </w:tc>
      </w:tr>
    </w:tbl>
    <w:p w:rsidR="00176299" w:rsidRPr="00176299" w:rsidRDefault="00176299" w:rsidP="00176299">
      <w:pPr>
        <w:spacing w:before="0"/>
        <w:textAlignment w:val="auto"/>
        <w:rPr>
          <w:sz w:val="20"/>
          <w:lang w:val="en-GB"/>
        </w:rPr>
      </w:pPr>
    </w:p>
    <w:p w:rsidR="00176299" w:rsidRPr="00176299" w:rsidRDefault="001F3A93" w:rsidP="0022689C">
      <w:pPr>
        <w:pStyle w:val="TableNo"/>
        <w:keepLines/>
        <w:widowControl w:val="0"/>
        <w:rPr>
          <w:lang w:val="en-GB"/>
        </w:rPr>
      </w:pPr>
      <w:r w:rsidRPr="00176299">
        <w:rPr>
          <w:lang w:val="en-GB"/>
        </w:rPr>
        <w:lastRenderedPageBreak/>
        <w:t xml:space="preserve">TABLE </w:t>
      </w:r>
      <w:r w:rsidR="00176299" w:rsidRPr="00176299">
        <w:rPr>
          <w:lang w:val="en-GB"/>
        </w:rPr>
        <w:t>5</w:t>
      </w:r>
    </w:p>
    <w:p w:rsidR="00176299" w:rsidRPr="00176299" w:rsidRDefault="00176299" w:rsidP="0022689C">
      <w:pPr>
        <w:pStyle w:val="Tabletitle"/>
        <w:keepLines/>
        <w:widowControl w:val="0"/>
        <w:rPr>
          <w:szCs w:val="24"/>
          <w:lang w:val="en-GB"/>
        </w:rPr>
      </w:pPr>
      <w:r w:rsidRPr="00176299">
        <w:rPr>
          <w:lang w:val="en-GB"/>
        </w:rPr>
        <w:t>Spectrum requirements for 300 short duration NGSO satellite-earth station combinations,</w:t>
      </w:r>
      <w:r w:rsidRPr="00176299">
        <w:rPr>
          <w:lang w:val="en-GB"/>
        </w:rPr>
        <w:br/>
        <w:t>violation of 50% of simulation runs</w:t>
      </w:r>
    </w:p>
    <w:tbl>
      <w:tblPr>
        <w:tblStyle w:val="TableGrid"/>
        <w:tblW w:w="9639" w:type="dxa"/>
        <w:tblLayout w:type="fixed"/>
        <w:tblLook w:val="04A0" w:firstRow="1" w:lastRow="0" w:firstColumn="1" w:lastColumn="0" w:noHBand="0" w:noVBand="1"/>
      </w:tblPr>
      <w:tblGrid>
        <w:gridCol w:w="3706"/>
        <w:gridCol w:w="988"/>
        <w:gridCol w:w="989"/>
        <w:gridCol w:w="989"/>
        <w:gridCol w:w="989"/>
        <w:gridCol w:w="989"/>
        <w:gridCol w:w="989"/>
      </w:tblGrid>
      <w:tr w:rsidR="00176299" w:rsidRPr="00176299" w:rsidTr="0022689C">
        <w:trPr>
          <w:trHeight w:val="300"/>
        </w:trPr>
        <w:tc>
          <w:tcPr>
            <w:tcW w:w="3760" w:type="dxa"/>
            <w:noWrap/>
          </w:tcPr>
          <w:p w:rsidR="00176299" w:rsidRPr="0022689C" w:rsidRDefault="00176299" w:rsidP="0022689C">
            <w:pPr>
              <w:pStyle w:val="Tabletext"/>
              <w:keepNext/>
              <w:keepLines/>
              <w:widowControl w:val="0"/>
              <w:rPr>
                <w:rFonts w:asciiTheme="majorBidi" w:hAnsiTheme="majorBidi" w:cstheme="majorBidi"/>
                <w:sz w:val="20"/>
                <w:lang w:val="en-GB" w:eastAsia="zh-CN"/>
              </w:rPr>
            </w:pPr>
            <w:r w:rsidRPr="0022689C">
              <w:rPr>
                <w:rFonts w:asciiTheme="majorBidi" w:hAnsiTheme="majorBidi" w:cstheme="majorBidi"/>
                <w:sz w:val="20"/>
                <w:lang w:val="en-GB" w:eastAsia="zh-CN"/>
              </w:rPr>
              <w:t>Simulation</w:t>
            </w:r>
          </w:p>
        </w:tc>
        <w:tc>
          <w:tcPr>
            <w:tcW w:w="1000" w:type="dxa"/>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w:t>
            </w:r>
          </w:p>
        </w:tc>
        <w:tc>
          <w:tcPr>
            <w:tcW w:w="1000" w:type="dxa"/>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2</w:t>
            </w:r>
          </w:p>
        </w:tc>
        <w:tc>
          <w:tcPr>
            <w:tcW w:w="1000" w:type="dxa"/>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3</w:t>
            </w:r>
          </w:p>
        </w:tc>
        <w:tc>
          <w:tcPr>
            <w:tcW w:w="1000" w:type="dxa"/>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4</w:t>
            </w:r>
          </w:p>
        </w:tc>
        <w:tc>
          <w:tcPr>
            <w:tcW w:w="1000" w:type="dxa"/>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5</w:t>
            </w:r>
          </w:p>
        </w:tc>
        <w:tc>
          <w:tcPr>
            <w:tcW w:w="1000" w:type="dxa"/>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6</w:t>
            </w:r>
          </w:p>
        </w:tc>
      </w:tr>
      <w:tr w:rsidR="00176299" w:rsidRPr="00176299" w:rsidTr="0022689C">
        <w:trPr>
          <w:trHeight w:val="300"/>
        </w:trPr>
        <w:tc>
          <w:tcPr>
            <w:tcW w:w="3760" w:type="dxa"/>
            <w:noWrap/>
            <w:hideMark/>
          </w:tcPr>
          <w:p w:rsidR="00176299" w:rsidRPr="0022689C" w:rsidRDefault="00176299" w:rsidP="0022689C">
            <w:pPr>
              <w:pStyle w:val="Tabletext"/>
              <w:keepNext/>
              <w:keepLines/>
              <w:widowControl w:val="0"/>
              <w:rPr>
                <w:rFonts w:asciiTheme="majorBidi" w:hAnsiTheme="majorBidi" w:cstheme="majorBidi"/>
                <w:sz w:val="20"/>
                <w:lang w:val="en-GB" w:eastAsia="zh-CN"/>
              </w:rPr>
            </w:pPr>
            <w:r w:rsidRPr="0022689C">
              <w:rPr>
                <w:rFonts w:asciiTheme="majorBidi" w:hAnsiTheme="majorBidi" w:cstheme="majorBidi"/>
                <w:sz w:val="20"/>
                <w:lang w:val="en-GB" w:eastAsia="zh-CN"/>
              </w:rPr>
              <w:t>Frequency (MHz)</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137</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401</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137</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401</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148</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450</w:t>
            </w:r>
          </w:p>
        </w:tc>
      </w:tr>
      <w:tr w:rsidR="00176299" w:rsidRPr="00176299" w:rsidTr="0022689C">
        <w:trPr>
          <w:trHeight w:val="600"/>
        </w:trPr>
        <w:tc>
          <w:tcPr>
            <w:tcW w:w="3760" w:type="dxa"/>
            <w:noWrap/>
            <w:hideMark/>
          </w:tcPr>
          <w:p w:rsidR="00176299" w:rsidRPr="0022689C" w:rsidRDefault="00176299" w:rsidP="0022689C">
            <w:pPr>
              <w:pStyle w:val="Tabletext"/>
              <w:keepNext/>
              <w:keepLines/>
              <w:widowControl w:val="0"/>
              <w:rPr>
                <w:rFonts w:asciiTheme="majorBidi" w:hAnsiTheme="majorBidi" w:cstheme="majorBidi"/>
                <w:sz w:val="20"/>
                <w:lang w:val="en-GB" w:eastAsia="zh-CN"/>
              </w:rPr>
            </w:pPr>
            <w:r w:rsidRPr="0022689C">
              <w:rPr>
                <w:rFonts w:asciiTheme="majorBidi" w:hAnsiTheme="majorBidi" w:cstheme="majorBidi"/>
                <w:sz w:val="20"/>
                <w:lang w:val="en-GB" w:eastAsia="zh-CN"/>
              </w:rPr>
              <w:t>Direction</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space-to-Earth</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space-to-Earth</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space-to-Earth</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space-to-Earth</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Earth-to-space</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Earth-to-space</w:t>
            </w:r>
          </w:p>
        </w:tc>
      </w:tr>
      <w:tr w:rsidR="00176299" w:rsidRPr="00C83BD1" w:rsidTr="0022689C">
        <w:trPr>
          <w:trHeight w:val="1199"/>
        </w:trPr>
        <w:tc>
          <w:tcPr>
            <w:tcW w:w="3760" w:type="dxa"/>
            <w:noWrap/>
            <w:hideMark/>
          </w:tcPr>
          <w:p w:rsidR="00176299" w:rsidRPr="0022689C" w:rsidRDefault="00176299" w:rsidP="0022689C">
            <w:pPr>
              <w:pStyle w:val="Tabletext"/>
              <w:keepNext/>
              <w:keepLines/>
              <w:widowControl w:val="0"/>
              <w:rPr>
                <w:rFonts w:asciiTheme="majorBidi" w:hAnsiTheme="majorBidi" w:cstheme="majorBidi"/>
                <w:sz w:val="20"/>
                <w:lang w:val="en-GB" w:eastAsia="zh-CN"/>
              </w:rPr>
            </w:pPr>
            <w:r w:rsidRPr="0022689C">
              <w:rPr>
                <w:rFonts w:asciiTheme="majorBidi" w:hAnsiTheme="majorBidi" w:cstheme="majorBidi"/>
                <w:sz w:val="20"/>
                <w:lang w:val="en-GB" w:eastAsia="zh-CN"/>
              </w:rPr>
              <w:t>Time criterion</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Total time in visibility cone</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Total time in visibility cone</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Longest time in visibility cone per day</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Longest time in visibility cone per day</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Longest time in visibility cone per day</w:t>
            </w:r>
          </w:p>
        </w:tc>
        <w:tc>
          <w:tcPr>
            <w:tcW w:w="1000" w:type="dxa"/>
            <w:hideMark/>
          </w:tcPr>
          <w:p w:rsidR="00176299" w:rsidRPr="0022689C" w:rsidRDefault="00176299" w:rsidP="0022689C">
            <w:pPr>
              <w:pStyle w:val="Tabletext"/>
              <w:keepNext/>
              <w:keepLines/>
              <w:widowControl w:val="0"/>
              <w:jc w:val="center"/>
              <w:rPr>
                <w:rFonts w:asciiTheme="majorBidi" w:hAnsiTheme="majorBidi" w:cstheme="majorBidi"/>
                <w:sz w:val="20"/>
                <w:lang w:val="en-GB" w:eastAsia="zh-CN"/>
              </w:rPr>
            </w:pPr>
            <w:r w:rsidRPr="0022689C">
              <w:rPr>
                <w:rFonts w:asciiTheme="majorBidi" w:hAnsiTheme="majorBidi" w:cstheme="majorBidi"/>
                <w:sz w:val="20"/>
                <w:lang w:val="en-GB" w:eastAsia="zh-CN"/>
              </w:rPr>
              <w:t>Longest time in visibility cone per day</w:t>
            </w:r>
          </w:p>
        </w:tc>
      </w:tr>
      <w:tr w:rsidR="00176299" w:rsidRPr="00176299" w:rsidTr="0022689C">
        <w:trPr>
          <w:trHeight w:val="600"/>
        </w:trPr>
        <w:tc>
          <w:tcPr>
            <w:tcW w:w="3760" w:type="dxa"/>
            <w:hideMark/>
          </w:tcPr>
          <w:p w:rsidR="00176299" w:rsidRPr="0022689C" w:rsidRDefault="00176299" w:rsidP="0022689C">
            <w:pPr>
              <w:pStyle w:val="Tabletext"/>
              <w:rPr>
                <w:rFonts w:asciiTheme="majorBidi" w:hAnsiTheme="majorBidi" w:cstheme="majorBidi"/>
                <w:sz w:val="20"/>
                <w:lang w:val="en-GB" w:eastAsia="zh-CN"/>
              </w:rPr>
            </w:pPr>
            <w:r w:rsidRPr="0022689C">
              <w:rPr>
                <w:rFonts w:asciiTheme="majorBidi" w:hAnsiTheme="majorBidi" w:cstheme="majorBidi"/>
                <w:sz w:val="20"/>
                <w:lang w:val="en-GB" w:eastAsia="zh-CN"/>
              </w:rPr>
              <w:t>Amount of satellite-earth station combinations which can operate co</w:t>
            </w:r>
            <w:r w:rsidRPr="0022689C">
              <w:rPr>
                <w:rFonts w:asciiTheme="majorBidi" w:hAnsiTheme="majorBidi" w:cstheme="majorBidi"/>
                <w:sz w:val="20"/>
                <w:lang w:val="en-GB" w:eastAsia="zh-CN"/>
              </w:rPr>
              <w:noBreakHyphen/>
              <w:t>frequency (baseline sustainability factor)</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4</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4</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12</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12</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11</w:t>
            </w:r>
          </w:p>
        </w:tc>
        <w:tc>
          <w:tcPr>
            <w:tcW w:w="1000" w:type="dxa"/>
          </w:tcPr>
          <w:p w:rsidR="00176299" w:rsidRPr="0022689C" w:rsidRDefault="00176299" w:rsidP="0022689C">
            <w:pPr>
              <w:pStyle w:val="Tabletext"/>
              <w:jc w:val="center"/>
              <w:rPr>
                <w:rFonts w:asciiTheme="majorBidi" w:hAnsiTheme="majorBidi" w:cstheme="majorBidi"/>
                <w:sz w:val="20"/>
                <w:lang w:val="en-GB" w:eastAsia="zh-CN"/>
              </w:rPr>
            </w:pPr>
            <w:r w:rsidRPr="0022689C">
              <w:rPr>
                <w:rFonts w:asciiTheme="majorBidi" w:hAnsiTheme="majorBidi" w:cstheme="majorBidi"/>
                <w:sz w:val="20"/>
                <w:lang w:val="en-GB" w:eastAsia="zh-CN"/>
              </w:rPr>
              <w:t>11</w:t>
            </w:r>
          </w:p>
        </w:tc>
      </w:tr>
      <w:tr w:rsidR="00176299" w:rsidRPr="00176299" w:rsidTr="0022689C">
        <w:trPr>
          <w:trHeight w:val="300"/>
        </w:trPr>
        <w:tc>
          <w:tcPr>
            <w:tcW w:w="3760" w:type="dxa"/>
            <w:noWrap/>
            <w:hideMark/>
          </w:tcPr>
          <w:p w:rsidR="00176299" w:rsidRPr="0022689C" w:rsidRDefault="00176299" w:rsidP="0022689C">
            <w:pPr>
              <w:pStyle w:val="Tabletext"/>
              <w:rPr>
                <w:rFonts w:asciiTheme="majorBidi" w:hAnsiTheme="majorBidi" w:cstheme="majorBidi"/>
                <w:b/>
                <w:bCs/>
                <w:sz w:val="20"/>
                <w:lang w:val="en-GB" w:eastAsia="zh-CN"/>
              </w:rPr>
            </w:pPr>
            <w:r w:rsidRPr="0022689C">
              <w:rPr>
                <w:rFonts w:asciiTheme="majorBidi" w:hAnsiTheme="majorBidi" w:cstheme="majorBidi"/>
                <w:b/>
                <w:bCs/>
                <w:sz w:val="20"/>
                <w:lang w:val="en-GB" w:eastAsia="zh-CN"/>
              </w:rPr>
              <w:t>Spectrum requirement (MHz)</w:t>
            </w:r>
          </w:p>
        </w:tc>
        <w:tc>
          <w:tcPr>
            <w:tcW w:w="1000" w:type="dxa"/>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1.875</w:t>
            </w:r>
          </w:p>
        </w:tc>
        <w:tc>
          <w:tcPr>
            <w:tcW w:w="1000" w:type="dxa"/>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1.875</w:t>
            </w:r>
          </w:p>
        </w:tc>
        <w:tc>
          <w:tcPr>
            <w:tcW w:w="1000" w:type="dxa"/>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0.625</w:t>
            </w:r>
          </w:p>
        </w:tc>
        <w:tc>
          <w:tcPr>
            <w:tcW w:w="1000" w:type="dxa"/>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0.625</w:t>
            </w:r>
          </w:p>
        </w:tc>
        <w:tc>
          <w:tcPr>
            <w:tcW w:w="1000" w:type="dxa"/>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0.682</w:t>
            </w:r>
          </w:p>
        </w:tc>
        <w:tc>
          <w:tcPr>
            <w:tcW w:w="1000" w:type="dxa"/>
          </w:tcPr>
          <w:p w:rsidR="00176299" w:rsidRPr="0022689C" w:rsidRDefault="00176299" w:rsidP="0022689C">
            <w:pPr>
              <w:pStyle w:val="Tabletext"/>
              <w:jc w:val="center"/>
              <w:rPr>
                <w:rFonts w:asciiTheme="majorBidi" w:hAnsiTheme="majorBidi" w:cstheme="majorBidi"/>
                <w:b/>
                <w:sz w:val="20"/>
                <w:lang w:val="en-GB" w:eastAsia="zh-CN"/>
              </w:rPr>
            </w:pPr>
            <w:r w:rsidRPr="0022689C">
              <w:rPr>
                <w:rFonts w:asciiTheme="majorBidi" w:hAnsiTheme="majorBidi" w:cstheme="majorBidi"/>
                <w:b/>
                <w:sz w:val="20"/>
                <w:lang w:val="en-GB" w:eastAsia="zh-CN"/>
              </w:rPr>
              <w:t>0.682</w:t>
            </w:r>
          </w:p>
        </w:tc>
      </w:tr>
    </w:tbl>
    <w:p w:rsidR="00176299" w:rsidRPr="00176299" w:rsidRDefault="00176299" w:rsidP="00176299">
      <w:pPr>
        <w:spacing w:before="0"/>
        <w:textAlignment w:val="auto"/>
        <w:rPr>
          <w:sz w:val="20"/>
          <w:lang w:val="en-GB"/>
        </w:rPr>
      </w:pPr>
    </w:p>
    <w:p w:rsidR="00176299" w:rsidRPr="00176299" w:rsidRDefault="00176299" w:rsidP="0022689C">
      <w:pPr>
        <w:pStyle w:val="Heading3"/>
        <w:rPr>
          <w:lang w:val="en-GB"/>
        </w:rPr>
      </w:pPr>
      <w:r w:rsidRPr="00176299">
        <w:rPr>
          <w:lang w:val="en-GB"/>
        </w:rPr>
        <w:t>3.2.7</w:t>
      </w:r>
      <w:r w:rsidRPr="00176299">
        <w:rPr>
          <w:bCs/>
          <w:lang w:val="en-GB"/>
        </w:rPr>
        <w:tab/>
      </w:r>
      <w:r w:rsidRPr="00176299">
        <w:rPr>
          <w:lang w:val="en-GB"/>
        </w:rPr>
        <w:t>Validation of simulation results in the Space-to-Earth direction</w:t>
      </w:r>
    </w:p>
    <w:p w:rsidR="00176299" w:rsidRPr="00176299" w:rsidRDefault="00176299" w:rsidP="0022689C">
      <w:pPr>
        <w:rPr>
          <w:lang w:val="en-GB" w:eastAsia="zh-CN"/>
        </w:rPr>
      </w:pPr>
      <w:r w:rsidRPr="00176299">
        <w:rPr>
          <w:lang w:val="en-GB" w:eastAsia="zh-CN"/>
        </w:rPr>
        <w:t>An additional analysis, using the same input parameters but a different, independent simulation environment was performed to validate the simulation results.</w:t>
      </w:r>
    </w:p>
    <w:p w:rsidR="00176299" w:rsidRPr="00176299" w:rsidRDefault="00176299" w:rsidP="00B752D2">
      <w:pPr>
        <w:rPr>
          <w:spacing w:val="-2"/>
          <w:lang w:val="en-GB" w:eastAsia="zh-CN"/>
        </w:rPr>
      </w:pPr>
      <w:r w:rsidRPr="00176299">
        <w:rPr>
          <w:spacing w:val="-2"/>
          <w:lang w:val="en-GB" w:eastAsia="zh-CN"/>
        </w:rPr>
        <w:t xml:space="preserve">Out of the 300 satellite-earth station combinations, a number of m = 2 satellite-earth station combinations are randomly chosen. One system is the wanted satellite-earth station link, the other one is a possibly interfering link. According to the protection criteria in Recommendation </w:t>
      </w:r>
      <w:hyperlink r:id="rId29" w:history="1">
        <w:r w:rsidRPr="00176299">
          <w:rPr>
            <w:spacing w:val="-2"/>
            <w:lang w:val="en-GB" w:eastAsia="zh-CN"/>
          </w:rPr>
          <w:t>ITU-R SA.363</w:t>
        </w:r>
        <w:r w:rsidRPr="00176299">
          <w:rPr>
            <w:spacing w:val="-2"/>
            <w:lang w:val="en-GB" w:eastAsia="zh-CN"/>
          </w:rPr>
          <w:noBreakHyphen/>
          <w:t>5</w:t>
        </w:r>
      </w:hyperlink>
      <w:r w:rsidRPr="00176299">
        <w:rPr>
          <w:spacing w:val="-2"/>
          <w:lang w:val="en-GB" w:eastAsia="zh-CN"/>
        </w:rPr>
        <w:t xml:space="preserve">, the interference of the system for a frequency of 401 MHz should not exceed </w:t>
      </w:r>
      <w:r w:rsidRPr="00176299">
        <w:rPr>
          <w:spacing w:val="-2"/>
          <w:lang w:val="en-GB" w:eastAsia="zh-CN"/>
        </w:rPr>
        <w:br/>
      </w:r>
      <w:r w:rsidR="00B752D2">
        <w:rPr>
          <w:spacing w:val="-2"/>
          <w:lang w:val="en-GB" w:eastAsia="zh-CN"/>
        </w:rPr>
        <w:t>−</w:t>
      </w:r>
      <w:r w:rsidRPr="00176299">
        <w:rPr>
          <w:spacing w:val="-2"/>
          <w:lang w:val="en-GB" w:eastAsia="zh-CN"/>
        </w:rPr>
        <w:t>176 dBW/kHz during more than 1% of the link time (</w:t>
      </w:r>
      <w:r w:rsidR="00B752D2">
        <w:rPr>
          <w:spacing w:val="-2"/>
          <w:lang w:val="en-GB" w:eastAsia="zh-CN"/>
        </w:rPr>
        <w:t>−</w:t>
      </w:r>
      <w:r w:rsidRPr="00176299">
        <w:rPr>
          <w:spacing w:val="-2"/>
          <w:lang w:val="en-GB" w:eastAsia="zh-CN"/>
        </w:rPr>
        <w:t>166.76 dBW/kHz for 137.5 MHz). Therefore, the percentage of time in which this threshold is exceeded is calculated. Since the calculation highly depends on the random pick of satellites and earth stations, the simulation is repeated 300 times for both VHF and UHF.</w:t>
      </w:r>
    </w:p>
    <w:p w:rsidR="00176299" w:rsidRPr="00176299" w:rsidRDefault="00176299" w:rsidP="0022689C">
      <w:pPr>
        <w:rPr>
          <w:lang w:val="en-GB" w:eastAsia="zh-CN"/>
        </w:rPr>
      </w:pPr>
      <w:r w:rsidRPr="00176299">
        <w:rPr>
          <w:lang w:val="en-GB" w:eastAsia="zh-CN"/>
        </w:rPr>
        <w:t>After the simulation was performed for two satellite-earth station combinations, it is repeated for m = 3 combinations (1 wanted link and 2 interferers) up to m = 8 combinations. The results are presented in Table 6.</w:t>
      </w:r>
    </w:p>
    <w:p w:rsidR="00176299" w:rsidRPr="00176299" w:rsidRDefault="00B752D2" w:rsidP="00B752D2">
      <w:pPr>
        <w:pStyle w:val="TableNo"/>
        <w:rPr>
          <w:lang w:val="en-GB"/>
        </w:rPr>
      </w:pPr>
      <w:r w:rsidRPr="00176299">
        <w:rPr>
          <w:lang w:val="en-GB"/>
        </w:rPr>
        <w:t xml:space="preserve">TABLE </w:t>
      </w:r>
      <w:r w:rsidR="00176299" w:rsidRPr="00176299">
        <w:rPr>
          <w:lang w:val="en-GB"/>
        </w:rPr>
        <w:t>6</w:t>
      </w:r>
    </w:p>
    <w:p w:rsidR="00176299" w:rsidRPr="00176299" w:rsidRDefault="00176299" w:rsidP="00B752D2">
      <w:pPr>
        <w:pStyle w:val="Tabletitle"/>
        <w:rPr>
          <w:lang w:val="en-GB"/>
        </w:rPr>
      </w:pPr>
      <w:r w:rsidRPr="00176299">
        <w:rPr>
          <w:lang w:val="en-GB"/>
        </w:rPr>
        <w:t xml:space="preserve">Average period of time in which the protection criteria of </w:t>
      </w:r>
      <w:r w:rsidR="00B752D2">
        <w:rPr>
          <w:lang w:val="en-GB"/>
        </w:rPr>
        <w:t>−</w:t>
      </w:r>
      <w:r w:rsidRPr="00176299">
        <w:rPr>
          <w:lang w:val="en-GB"/>
        </w:rPr>
        <w:t xml:space="preserve">176 dBW/kHz (UHF) / </w:t>
      </w:r>
      <w:r w:rsidR="00B752D2">
        <w:rPr>
          <w:lang w:val="en-GB"/>
        </w:rPr>
        <w:t>−</w:t>
      </w:r>
      <w:r w:rsidRPr="00176299">
        <w:rPr>
          <w:lang w:val="en-GB"/>
        </w:rPr>
        <w:t>166.76</w:t>
      </w:r>
      <w:r w:rsidR="00B752D2">
        <w:rPr>
          <w:lang w:val="en-GB"/>
        </w:rPr>
        <w:t> </w:t>
      </w:r>
      <w:r w:rsidRPr="00176299">
        <w:rPr>
          <w:lang w:val="en-GB"/>
        </w:rPr>
        <w:t xml:space="preserve">dBW/kHz (VHF) is exceeded for </w:t>
      </w:r>
      <w:r w:rsidRPr="00176299">
        <w:rPr>
          <w:i/>
          <w:iCs/>
          <w:lang w:val="en-GB"/>
        </w:rPr>
        <w:t>m</w:t>
      </w:r>
      <w:r w:rsidRPr="00176299">
        <w:rPr>
          <w:lang w:val="en-GB"/>
        </w:rPr>
        <w:t xml:space="preserve"> satellite-earth station combinations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2"/>
        <w:gridCol w:w="948"/>
        <w:gridCol w:w="949"/>
        <w:gridCol w:w="950"/>
        <w:gridCol w:w="950"/>
        <w:gridCol w:w="950"/>
        <w:gridCol w:w="950"/>
        <w:gridCol w:w="950"/>
      </w:tblGrid>
      <w:tr w:rsidR="00176299" w:rsidRPr="00176299" w:rsidTr="00B752D2">
        <w:trPr>
          <w:cantSplit/>
          <w:jc w:val="center"/>
        </w:trPr>
        <w:tc>
          <w:tcPr>
            <w:tcW w:w="2764" w:type="dxa"/>
            <w:tcBorders>
              <w:top w:val="single" w:sz="4" w:space="0" w:color="auto"/>
              <w:left w:val="single" w:sz="4" w:space="0" w:color="auto"/>
              <w:bottom w:val="single" w:sz="4" w:space="0" w:color="auto"/>
              <w:right w:val="single" w:sz="4" w:space="0" w:color="auto"/>
            </w:tcBorders>
            <w:noWrap/>
            <w:vAlign w:val="center"/>
            <w:hideMark/>
          </w:tcPr>
          <w:p w:rsidR="00176299" w:rsidRPr="00AC032C" w:rsidRDefault="00176299" w:rsidP="00B752D2">
            <w:pPr>
              <w:pStyle w:val="Tabletext"/>
              <w:jc w:val="center"/>
              <w:rPr>
                <w:rFonts w:asciiTheme="majorBidi" w:hAnsiTheme="majorBidi" w:cstheme="majorBidi"/>
                <w:b/>
                <w:szCs w:val="22"/>
                <w:lang w:val="en-GB" w:eastAsia="zh-CN"/>
              </w:rPr>
            </w:pPr>
            <w:r w:rsidRPr="00AC032C">
              <w:rPr>
                <w:rFonts w:asciiTheme="majorBidi" w:hAnsiTheme="majorBidi" w:cstheme="majorBidi"/>
                <w:b/>
                <w:szCs w:val="22"/>
                <w:lang w:val="en-GB" w:eastAsia="zh-CN"/>
              </w:rPr>
              <w:t>Number of satellite-earth station combinations (m)</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2</w:t>
            </w:r>
          </w:p>
        </w:tc>
        <w:tc>
          <w:tcPr>
            <w:tcW w:w="877" w:type="dxa"/>
            <w:tcBorders>
              <w:top w:val="single" w:sz="4" w:space="0" w:color="auto"/>
              <w:left w:val="single" w:sz="4" w:space="0" w:color="auto"/>
              <w:bottom w:val="single" w:sz="4" w:space="0" w:color="auto"/>
              <w:right w:val="single" w:sz="4" w:space="0" w:color="auto"/>
            </w:tcBorders>
            <w:noWrap/>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3</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4</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5</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6</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7</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8</w:t>
            </w:r>
          </w:p>
        </w:tc>
      </w:tr>
      <w:tr w:rsidR="00176299" w:rsidRPr="00176299" w:rsidTr="00B752D2">
        <w:trPr>
          <w:cantSplit/>
          <w:jc w:val="center"/>
        </w:trPr>
        <w:tc>
          <w:tcPr>
            <w:tcW w:w="2764" w:type="dxa"/>
            <w:tcBorders>
              <w:top w:val="single" w:sz="4" w:space="0" w:color="auto"/>
              <w:left w:val="single" w:sz="4" w:space="0" w:color="auto"/>
              <w:bottom w:val="single" w:sz="4" w:space="0" w:color="auto"/>
              <w:right w:val="single" w:sz="4" w:space="0" w:color="auto"/>
            </w:tcBorders>
            <w:noWrap/>
            <w:vAlign w:val="center"/>
            <w:hideMark/>
          </w:tcPr>
          <w:p w:rsidR="00176299" w:rsidRPr="00AC032C" w:rsidRDefault="00176299" w:rsidP="00B752D2">
            <w:pPr>
              <w:pStyle w:val="Tabletext"/>
              <w:jc w:val="center"/>
              <w:rPr>
                <w:rFonts w:asciiTheme="majorBidi" w:hAnsiTheme="majorBidi" w:cstheme="majorBidi"/>
                <w:b/>
                <w:szCs w:val="22"/>
                <w:lang w:val="en-GB" w:eastAsia="zh-CN"/>
              </w:rPr>
            </w:pPr>
            <w:r w:rsidRPr="00AC032C">
              <w:rPr>
                <w:rFonts w:asciiTheme="majorBidi" w:hAnsiTheme="majorBidi" w:cstheme="majorBidi"/>
                <w:b/>
                <w:szCs w:val="22"/>
                <w:lang w:val="en-GB" w:eastAsia="zh-CN"/>
              </w:rPr>
              <w:t>Exceedance of protection criteria in UHF (in %)</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0.42</w:t>
            </w:r>
          </w:p>
        </w:tc>
        <w:tc>
          <w:tcPr>
            <w:tcW w:w="877" w:type="dxa"/>
            <w:tcBorders>
              <w:top w:val="single" w:sz="4" w:space="0" w:color="auto"/>
              <w:left w:val="single" w:sz="4" w:space="0" w:color="auto"/>
              <w:bottom w:val="single" w:sz="4" w:space="0" w:color="auto"/>
              <w:right w:val="single" w:sz="4" w:space="0" w:color="auto"/>
            </w:tcBorders>
            <w:noWrap/>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1.17</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1.53</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2.29</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2.36</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3.64</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3.85</w:t>
            </w:r>
          </w:p>
        </w:tc>
      </w:tr>
      <w:tr w:rsidR="00176299" w:rsidRPr="00176299" w:rsidTr="00B752D2">
        <w:trPr>
          <w:cantSplit/>
          <w:jc w:val="center"/>
        </w:trPr>
        <w:tc>
          <w:tcPr>
            <w:tcW w:w="2764" w:type="dxa"/>
            <w:tcBorders>
              <w:top w:val="single" w:sz="4" w:space="0" w:color="auto"/>
              <w:left w:val="single" w:sz="4" w:space="0" w:color="auto"/>
              <w:bottom w:val="single" w:sz="4" w:space="0" w:color="auto"/>
              <w:right w:val="single" w:sz="4" w:space="0" w:color="auto"/>
            </w:tcBorders>
            <w:noWrap/>
            <w:vAlign w:val="center"/>
            <w:hideMark/>
          </w:tcPr>
          <w:p w:rsidR="00176299" w:rsidRPr="00AC032C" w:rsidRDefault="00176299" w:rsidP="00B752D2">
            <w:pPr>
              <w:pStyle w:val="Tabletext"/>
              <w:jc w:val="center"/>
              <w:rPr>
                <w:rFonts w:asciiTheme="majorBidi" w:hAnsiTheme="majorBidi" w:cstheme="majorBidi"/>
                <w:b/>
                <w:szCs w:val="22"/>
                <w:lang w:val="en-GB" w:eastAsia="zh-CN"/>
              </w:rPr>
            </w:pPr>
            <w:r w:rsidRPr="00AC032C">
              <w:rPr>
                <w:rFonts w:asciiTheme="majorBidi" w:hAnsiTheme="majorBidi" w:cstheme="majorBidi"/>
                <w:b/>
                <w:szCs w:val="22"/>
                <w:lang w:val="en-GB" w:eastAsia="zh-CN"/>
              </w:rPr>
              <w:t>Exceedance of protection criteria in VHF (in %)</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0.51</w:t>
            </w:r>
          </w:p>
        </w:tc>
        <w:tc>
          <w:tcPr>
            <w:tcW w:w="877" w:type="dxa"/>
            <w:tcBorders>
              <w:top w:val="single" w:sz="4" w:space="0" w:color="auto"/>
              <w:left w:val="single" w:sz="4" w:space="0" w:color="auto"/>
              <w:bottom w:val="single" w:sz="4" w:space="0" w:color="auto"/>
              <w:right w:val="single" w:sz="4" w:space="0" w:color="auto"/>
            </w:tcBorders>
            <w:noWrap/>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0.99</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1.52</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1.87</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2.45</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3.16</w:t>
            </w:r>
          </w:p>
        </w:tc>
        <w:tc>
          <w:tcPr>
            <w:tcW w:w="877" w:type="dxa"/>
            <w:tcBorders>
              <w:top w:val="single" w:sz="4" w:space="0" w:color="auto"/>
              <w:left w:val="single" w:sz="4" w:space="0" w:color="auto"/>
              <w:bottom w:val="single" w:sz="4" w:space="0" w:color="auto"/>
              <w:right w:val="single" w:sz="4" w:space="0" w:color="auto"/>
            </w:tcBorders>
            <w:vAlign w:val="center"/>
            <w:hideMark/>
          </w:tcPr>
          <w:p w:rsidR="00176299" w:rsidRPr="00AC032C" w:rsidRDefault="00176299" w:rsidP="00B752D2">
            <w:pPr>
              <w:pStyle w:val="Tabletext"/>
              <w:keepNext/>
              <w:keepLines/>
              <w:widowControl w:val="0"/>
              <w:jc w:val="center"/>
              <w:rPr>
                <w:rFonts w:asciiTheme="majorBidi" w:hAnsiTheme="majorBidi" w:cstheme="majorBidi"/>
                <w:szCs w:val="22"/>
                <w:lang w:val="en-GB" w:eastAsia="zh-CN"/>
              </w:rPr>
            </w:pPr>
            <w:r w:rsidRPr="00AC032C">
              <w:rPr>
                <w:rFonts w:asciiTheme="majorBidi" w:hAnsiTheme="majorBidi" w:cstheme="majorBidi"/>
                <w:szCs w:val="22"/>
                <w:lang w:val="en-GB" w:eastAsia="zh-CN"/>
              </w:rPr>
              <w:t>3.77</w:t>
            </w:r>
          </w:p>
        </w:tc>
      </w:tr>
    </w:tbl>
    <w:p w:rsidR="00176299" w:rsidRPr="00176299" w:rsidRDefault="00176299" w:rsidP="00176299">
      <w:pPr>
        <w:spacing w:before="0"/>
        <w:textAlignment w:val="auto"/>
        <w:rPr>
          <w:sz w:val="20"/>
          <w:lang w:val="en-GB" w:eastAsia="zh-CN"/>
        </w:rPr>
      </w:pPr>
    </w:p>
    <w:p w:rsidR="00176299" w:rsidRPr="00176299" w:rsidRDefault="00176299" w:rsidP="00AC032C">
      <w:pPr>
        <w:rPr>
          <w:lang w:val="en-GB" w:eastAsia="zh-CN"/>
        </w:rPr>
      </w:pPr>
      <w:r w:rsidRPr="00176299">
        <w:rPr>
          <w:lang w:val="en-GB" w:eastAsia="zh-CN"/>
        </w:rPr>
        <w:t xml:space="preserve">Table 6 shows that in the UHF frequency region, not more than two satellite-earth station combinations can use the same frequency in the same geographical area (three systems for VHF). Obviously, this depends on the distribution of earth stations and there are many possible distributions where more than two satellite-earth station combinations can share the same frequency (e.g. three </w:t>
      </w:r>
      <w:r w:rsidRPr="00176299">
        <w:rPr>
          <w:lang w:val="en-GB" w:eastAsia="zh-CN"/>
        </w:rPr>
        <w:lastRenderedPageBreak/>
        <w:t>systems with earth stations in Europe, the United States of America and Japan). To include this circumstance in the simulation, a further analysis is performed. In this analysis, the maximum number of coexisting satellite-earth station combinations in which none of the earth stations is interfered with more than 1% of the link time is calculated. Since this case is more favourable for sharing studies, it is named “best case for sharing” in the following.</w:t>
      </w:r>
    </w:p>
    <w:p w:rsidR="00176299" w:rsidRPr="00176299" w:rsidRDefault="00176299" w:rsidP="00AC032C">
      <w:pPr>
        <w:rPr>
          <w:lang w:val="en-GB" w:eastAsia="zh-CN"/>
        </w:rPr>
      </w:pPr>
      <w:r w:rsidRPr="00176299">
        <w:rPr>
          <w:i/>
          <w:lang w:val="en-GB" w:eastAsia="zh-CN"/>
        </w:rPr>
        <w:t>Example:</w:t>
      </w:r>
      <w:r w:rsidRPr="00176299">
        <w:rPr>
          <w:lang w:val="en-GB" w:eastAsia="zh-CN"/>
        </w:rPr>
        <w:t xml:space="preserve"> Seven earth stations are randomly distributed (Fig. 10). For each of the seven earth stations, an interference analysis is performed. If all analyses state that the protection criteria is not exceeded more than 1% of the time, the distribution is considered to be feasible.</w:t>
      </w:r>
    </w:p>
    <w:p w:rsidR="00176299" w:rsidRPr="00176299" w:rsidRDefault="00176299" w:rsidP="00AC032C">
      <w:pPr>
        <w:pStyle w:val="FigureNo"/>
        <w:rPr>
          <w:lang w:val="en-GB"/>
        </w:rPr>
      </w:pPr>
      <w:r w:rsidRPr="00176299">
        <w:rPr>
          <w:lang w:val="en-GB"/>
        </w:rPr>
        <w:t>Figure 10</w:t>
      </w:r>
    </w:p>
    <w:p w:rsidR="00176299" w:rsidRPr="00176299" w:rsidRDefault="00176299" w:rsidP="00AC032C">
      <w:pPr>
        <w:pStyle w:val="Figuretitle"/>
        <w:rPr>
          <w:lang w:val="en-GB"/>
        </w:rPr>
      </w:pPr>
      <w:r w:rsidRPr="00176299">
        <w:rPr>
          <w:lang w:val="en-GB"/>
        </w:rPr>
        <w:t>Example of feasible distribution of seven satellites and seven earth stations using</w:t>
      </w:r>
      <w:r w:rsidRPr="00176299">
        <w:rPr>
          <w:lang w:val="en-GB"/>
        </w:rPr>
        <w:br/>
        <w:t>the same frequency without harmful interference</w:t>
      </w:r>
    </w:p>
    <w:p w:rsidR="00176299" w:rsidRPr="00176299" w:rsidRDefault="001A02D8" w:rsidP="001A02D8">
      <w:pPr>
        <w:pStyle w:val="Figure"/>
        <w:rPr>
          <w:lang w:val="en-GB"/>
        </w:rPr>
      </w:pPr>
      <w:r>
        <w:rPr>
          <w:noProof/>
          <w:lang w:val="en-GB" w:eastAsia="en-GB"/>
        </w:rPr>
        <w:drawing>
          <wp:inline distT="0" distB="0" distL="0" distR="0">
            <wp:extent cx="5529083" cy="2968758"/>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A.2425-10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29083" cy="2968758"/>
                    </a:xfrm>
                    <a:prstGeom prst="rect">
                      <a:avLst/>
                    </a:prstGeom>
                  </pic:spPr>
                </pic:pic>
              </a:graphicData>
            </a:graphic>
          </wp:inline>
        </w:drawing>
      </w:r>
    </w:p>
    <w:p w:rsidR="00176299" w:rsidRPr="00176299" w:rsidRDefault="00176299" w:rsidP="001A02D8">
      <w:pPr>
        <w:pStyle w:val="Normalaftertitle"/>
        <w:rPr>
          <w:lang w:val="en-GB" w:eastAsia="zh-CN"/>
        </w:rPr>
      </w:pPr>
      <w:r w:rsidRPr="00176299">
        <w:rPr>
          <w:lang w:val="en-GB" w:eastAsia="zh-CN"/>
        </w:rPr>
        <w:t>The simulation is performed for each number of coexisting satellite-earth station combinations up to 300 times and results in the maximum number of seven coexisting satellite-earth station combination that do not harmfully interfere with each other (Fig. 10) for a frequency of 401 MHz. For a frequency of 137.5 MHz, the critical number is five satellite-earth station combinations.</w:t>
      </w:r>
    </w:p>
    <w:p w:rsidR="00176299" w:rsidRPr="00176299" w:rsidRDefault="00176299" w:rsidP="00AC032C">
      <w:pPr>
        <w:rPr>
          <w:lang w:val="en-GB" w:eastAsia="zh-CN"/>
        </w:rPr>
      </w:pPr>
      <w:r w:rsidRPr="00176299">
        <w:rPr>
          <w:lang w:val="en-GB" w:eastAsia="zh-CN"/>
        </w:rPr>
        <w:t>It should be noted that this represents the maximum number of systems per frequency. Since many earth stations are in the same region, the average number of non-interfering stations will be lower.</w:t>
      </w:r>
    </w:p>
    <w:p w:rsidR="00176299" w:rsidRPr="00176299" w:rsidRDefault="00176299" w:rsidP="00AC032C">
      <w:pPr>
        <w:rPr>
          <w:lang w:val="en-GB" w:eastAsia="zh-CN"/>
        </w:rPr>
      </w:pPr>
      <w:r w:rsidRPr="00176299">
        <w:rPr>
          <w:lang w:val="en-GB" w:eastAsia="zh-CN"/>
        </w:rPr>
        <w:t>The results of the validation for the space-to-Earth direction are summarized in Table 7. According to this analysis, the maximum number of satellite-earth station combinations per frequency varies between two and seven for UHF and between three and five in VHF. Accordingly, the spectrum needs vary between 3.75 MHz (random distribution case) and 1.07 MHz (best case for sharing) for UHF and between 2.5 MHz (random distribution case) and 1.5 MHz (best case for sharing) for VHF.</w:t>
      </w:r>
    </w:p>
    <w:p w:rsidR="00176299" w:rsidRPr="00176299" w:rsidRDefault="00176299" w:rsidP="00AC032C">
      <w:pPr>
        <w:rPr>
          <w:lang w:val="en-GB" w:eastAsia="zh-CN"/>
        </w:rPr>
      </w:pPr>
      <w:r w:rsidRPr="00176299">
        <w:rPr>
          <w:lang w:val="en-GB" w:eastAsia="zh-CN"/>
        </w:rPr>
        <w:t>As can be seen, the results obtained in the space-to-Earth direction for the case where the satellite link is active during all passes over the associated earth station in § 3.4.6 fall within the minimum and maximum spectrum requirements bounds obtained in the validation.</w:t>
      </w:r>
    </w:p>
    <w:p w:rsidR="00176299" w:rsidRPr="00176299" w:rsidRDefault="00AC032C" w:rsidP="00AC032C">
      <w:pPr>
        <w:pStyle w:val="TableNo"/>
        <w:rPr>
          <w:lang w:val="en-GB"/>
        </w:rPr>
      </w:pPr>
      <w:r w:rsidRPr="00176299">
        <w:rPr>
          <w:lang w:val="en-GB"/>
        </w:rPr>
        <w:lastRenderedPageBreak/>
        <w:t xml:space="preserve">TABLE </w:t>
      </w:r>
      <w:r w:rsidR="00176299" w:rsidRPr="00176299">
        <w:rPr>
          <w:lang w:val="en-GB"/>
        </w:rPr>
        <w:t>7</w:t>
      </w:r>
    </w:p>
    <w:p w:rsidR="00176299" w:rsidRPr="00176299" w:rsidRDefault="00176299" w:rsidP="00AC032C">
      <w:pPr>
        <w:pStyle w:val="Tabletitle"/>
        <w:rPr>
          <w:szCs w:val="24"/>
          <w:lang w:val="en-GB"/>
        </w:rPr>
      </w:pPr>
      <w:r w:rsidRPr="00176299">
        <w:rPr>
          <w:lang w:val="en-GB"/>
        </w:rPr>
        <w:t>Validation results in the space-to-Earth direction – total time in visibility cone</w:t>
      </w:r>
    </w:p>
    <w:tbl>
      <w:tblPr>
        <w:tblStyle w:val="TableGrid"/>
        <w:tblW w:w="9639" w:type="dxa"/>
        <w:jc w:val="center"/>
        <w:tblLayout w:type="fixed"/>
        <w:tblLook w:val="04A0" w:firstRow="1" w:lastRow="0" w:firstColumn="1" w:lastColumn="0" w:noHBand="0" w:noVBand="1"/>
      </w:tblPr>
      <w:tblGrid>
        <w:gridCol w:w="5958"/>
        <w:gridCol w:w="1867"/>
        <w:gridCol w:w="1814"/>
      </w:tblGrid>
      <w:tr w:rsidR="00176299" w:rsidRPr="00176299" w:rsidTr="00AC032C">
        <w:trPr>
          <w:trHeight w:val="300"/>
          <w:jc w:val="center"/>
        </w:trPr>
        <w:tc>
          <w:tcPr>
            <w:tcW w:w="4820" w:type="dxa"/>
            <w:noWrap/>
            <w:hideMark/>
          </w:tcPr>
          <w:p w:rsidR="00176299" w:rsidRPr="00AC032C" w:rsidRDefault="00176299" w:rsidP="00AC032C">
            <w:pPr>
              <w:pStyle w:val="Tabletext"/>
              <w:rPr>
                <w:rFonts w:asciiTheme="majorBidi" w:hAnsiTheme="majorBidi" w:cstheme="majorBidi"/>
                <w:lang w:val="en-GB"/>
              </w:rPr>
            </w:pPr>
            <w:r w:rsidRPr="00AC032C">
              <w:rPr>
                <w:rFonts w:asciiTheme="majorBidi" w:hAnsiTheme="majorBidi" w:cstheme="majorBidi"/>
                <w:lang w:val="en-GB"/>
              </w:rPr>
              <w:t>Frequency (MHz)</w:t>
            </w:r>
          </w:p>
        </w:tc>
        <w:tc>
          <w:tcPr>
            <w:tcW w:w="1510" w:type="dxa"/>
            <w:hideMark/>
          </w:tcPr>
          <w:p w:rsidR="00176299" w:rsidRPr="00AC032C" w:rsidRDefault="00176299" w:rsidP="00AC032C">
            <w:pPr>
              <w:pStyle w:val="Tabletext"/>
              <w:jc w:val="center"/>
              <w:rPr>
                <w:rFonts w:asciiTheme="majorBidi" w:hAnsiTheme="majorBidi" w:cstheme="majorBidi"/>
                <w:lang w:val="en-GB"/>
              </w:rPr>
            </w:pPr>
            <w:r w:rsidRPr="00AC032C">
              <w:rPr>
                <w:rFonts w:asciiTheme="majorBidi" w:hAnsiTheme="majorBidi" w:cstheme="majorBidi"/>
                <w:lang w:val="en-GB"/>
              </w:rPr>
              <w:t>137</w:t>
            </w:r>
          </w:p>
        </w:tc>
        <w:tc>
          <w:tcPr>
            <w:tcW w:w="1467" w:type="dxa"/>
            <w:hideMark/>
          </w:tcPr>
          <w:p w:rsidR="00176299" w:rsidRPr="00AC032C" w:rsidRDefault="00176299" w:rsidP="00AC032C">
            <w:pPr>
              <w:pStyle w:val="Tabletext"/>
              <w:jc w:val="center"/>
              <w:rPr>
                <w:rFonts w:asciiTheme="majorBidi" w:hAnsiTheme="majorBidi" w:cstheme="majorBidi"/>
                <w:lang w:val="en-GB"/>
              </w:rPr>
            </w:pPr>
            <w:r w:rsidRPr="00AC032C">
              <w:rPr>
                <w:rFonts w:asciiTheme="majorBidi" w:hAnsiTheme="majorBidi" w:cstheme="majorBidi"/>
                <w:lang w:val="en-GB"/>
              </w:rPr>
              <w:t>401</w:t>
            </w:r>
          </w:p>
        </w:tc>
      </w:tr>
      <w:tr w:rsidR="00176299" w:rsidRPr="00176299" w:rsidTr="00AC032C">
        <w:trPr>
          <w:trHeight w:val="600"/>
          <w:jc w:val="center"/>
        </w:trPr>
        <w:tc>
          <w:tcPr>
            <w:tcW w:w="4820" w:type="dxa"/>
            <w:noWrap/>
            <w:hideMark/>
          </w:tcPr>
          <w:p w:rsidR="00176299" w:rsidRPr="00AC032C" w:rsidRDefault="00176299" w:rsidP="00AC032C">
            <w:pPr>
              <w:pStyle w:val="Tabletext"/>
              <w:rPr>
                <w:rFonts w:asciiTheme="majorBidi" w:hAnsiTheme="majorBidi" w:cstheme="majorBidi"/>
                <w:lang w:val="en-GB"/>
              </w:rPr>
            </w:pPr>
            <w:r w:rsidRPr="00AC032C">
              <w:rPr>
                <w:rFonts w:asciiTheme="majorBidi" w:hAnsiTheme="majorBidi" w:cstheme="majorBidi"/>
                <w:lang w:val="en-GB"/>
              </w:rPr>
              <w:t>Direction</w:t>
            </w:r>
          </w:p>
        </w:tc>
        <w:tc>
          <w:tcPr>
            <w:tcW w:w="1510" w:type="dxa"/>
            <w:hideMark/>
          </w:tcPr>
          <w:p w:rsidR="00176299" w:rsidRPr="00AC032C" w:rsidRDefault="00176299" w:rsidP="00AC032C">
            <w:pPr>
              <w:pStyle w:val="Tabletext"/>
              <w:jc w:val="center"/>
              <w:rPr>
                <w:rFonts w:asciiTheme="majorBidi" w:hAnsiTheme="majorBidi" w:cstheme="majorBidi"/>
                <w:lang w:val="en-GB"/>
              </w:rPr>
            </w:pPr>
            <w:r w:rsidRPr="00AC032C">
              <w:rPr>
                <w:rFonts w:asciiTheme="majorBidi" w:hAnsiTheme="majorBidi" w:cstheme="majorBidi"/>
                <w:lang w:val="en-GB"/>
              </w:rPr>
              <w:t>space-to-Earth</w:t>
            </w:r>
          </w:p>
        </w:tc>
        <w:tc>
          <w:tcPr>
            <w:tcW w:w="1467" w:type="dxa"/>
            <w:hideMark/>
          </w:tcPr>
          <w:p w:rsidR="00176299" w:rsidRPr="00AC032C" w:rsidRDefault="00176299" w:rsidP="00AC032C">
            <w:pPr>
              <w:pStyle w:val="Tabletext"/>
              <w:jc w:val="center"/>
              <w:rPr>
                <w:rFonts w:asciiTheme="majorBidi" w:hAnsiTheme="majorBidi" w:cstheme="majorBidi"/>
                <w:lang w:val="en-GB"/>
              </w:rPr>
            </w:pPr>
            <w:r w:rsidRPr="00AC032C">
              <w:rPr>
                <w:rFonts w:asciiTheme="majorBidi" w:hAnsiTheme="majorBidi" w:cstheme="majorBidi"/>
                <w:lang w:val="en-GB"/>
              </w:rPr>
              <w:t>space-to-Earth</w:t>
            </w:r>
          </w:p>
        </w:tc>
      </w:tr>
      <w:tr w:rsidR="00176299" w:rsidRPr="00C83BD1" w:rsidTr="00AC032C">
        <w:trPr>
          <w:trHeight w:val="1199"/>
          <w:jc w:val="center"/>
        </w:trPr>
        <w:tc>
          <w:tcPr>
            <w:tcW w:w="4820" w:type="dxa"/>
            <w:noWrap/>
            <w:hideMark/>
          </w:tcPr>
          <w:p w:rsidR="00176299" w:rsidRPr="00AC032C" w:rsidRDefault="00176299" w:rsidP="00AC032C">
            <w:pPr>
              <w:pStyle w:val="Tabletext"/>
              <w:rPr>
                <w:rFonts w:asciiTheme="majorBidi" w:hAnsiTheme="majorBidi" w:cstheme="majorBidi"/>
                <w:lang w:val="en-GB"/>
              </w:rPr>
            </w:pPr>
            <w:r w:rsidRPr="00AC032C">
              <w:rPr>
                <w:rFonts w:asciiTheme="majorBidi" w:hAnsiTheme="majorBidi" w:cstheme="majorBidi"/>
                <w:lang w:val="en-GB"/>
              </w:rPr>
              <w:t>Time criterion</w:t>
            </w:r>
          </w:p>
        </w:tc>
        <w:tc>
          <w:tcPr>
            <w:tcW w:w="1510" w:type="dxa"/>
            <w:hideMark/>
          </w:tcPr>
          <w:p w:rsidR="00176299" w:rsidRPr="00AC032C" w:rsidRDefault="00176299" w:rsidP="00AC032C">
            <w:pPr>
              <w:pStyle w:val="Tabletext"/>
              <w:jc w:val="center"/>
              <w:rPr>
                <w:rFonts w:asciiTheme="majorBidi" w:hAnsiTheme="majorBidi" w:cstheme="majorBidi"/>
                <w:lang w:val="en-GB"/>
              </w:rPr>
            </w:pPr>
            <w:r w:rsidRPr="00AC032C">
              <w:rPr>
                <w:rFonts w:asciiTheme="majorBidi" w:hAnsiTheme="majorBidi" w:cstheme="majorBidi"/>
                <w:lang w:val="en-GB"/>
              </w:rPr>
              <w:t>Total time in visibility cone</w:t>
            </w:r>
          </w:p>
        </w:tc>
        <w:tc>
          <w:tcPr>
            <w:tcW w:w="1467" w:type="dxa"/>
            <w:hideMark/>
          </w:tcPr>
          <w:p w:rsidR="00176299" w:rsidRPr="00AC032C" w:rsidRDefault="00176299" w:rsidP="00AC032C">
            <w:pPr>
              <w:pStyle w:val="Tabletext"/>
              <w:jc w:val="center"/>
              <w:rPr>
                <w:rFonts w:asciiTheme="majorBidi" w:hAnsiTheme="majorBidi" w:cstheme="majorBidi"/>
                <w:lang w:val="en-GB"/>
              </w:rPr>
            </w:pPr>
            <w:r w:rsidRPr="00AC032C">
              <w:rPr>
                <w:rFonts w:asciiTheme="majorBidi" w:hAnsiTheme="majorBidi" w:cstheme="majorBidi"/>
                <w:lang w:val="en-GB"/>
              </w:rPr>
              <w:t>Total time in visibility cone</w:t>
            </w:r>
          </w:p>
        </w:tc>
      </w:tr>
      <w:tr w:rsidR="00176299" w:rsidRPr="00176299" w:rsidTr="00AC032C">
        <w:trPr>
          <w:trHeight w:val="600"/>
          <w:jc w:val="center"/>
        </w:trPr>
        <w:tc>
          <w:tcPr>
            <w:tcW w:w="4820" w:type="dxa"/>
            <w:hideMark/>
          </w:tcPr>
          <w:p w:rsidR="00176299" w:rsidRPr="00AC032C" w:rsidRDefault="00176299" w:rsidP="00AC032C">
            <w:pPr>
              <w:pStyle w:val="Tabletext"/>
              <w:rPr>
                <w:rFonts w:asciiTheme="majorBidi" w:hAnsiTheme="majorBidi" w:cstheme="majorBidi"/>
                <w:lang w:val="en-GB"/>
              </w:rPr>
            </w:pPr>
            <w:r w:rsidRPr="00AC032C">
              <w:rPr>
                <w:rFonts w:asciiTheme="majorBidi" w:hAnsiTheme="majorBidi" w:cstheme="majorBidi"/>
                <w:lang w:val="en-GB"/>
              </w:rPr>
              <w:t>Amount of satellite-earth station combinations which can operate co-frequency (baseline sustainability factor) – random distribution case</w:t>
            </w:r>
          </w:p>
        </w:tc>
        <w:tc>
          <w:tcPr>
            <w:tcW w:w="1510" w:type="dxa"/>
          </w:tcPr>
          <w:p w:rsidR="00176299" w:rsidRPr="00AC032C" w:rsidRDefault="00176299" w:rsidP="00AC032C">
            <w:pPr>
              <w:pStyle w:val="Tabletext"/>
              <w:jc w:val="center"/>
              <w:rPr>
                <w:rFonts w:asciiTheme="majorBidi" w:hAnsiTheme="majorBidi" w:cstheme="majorBidi"/>
                <w:lang w:val="en-GB"/>
              </w:rPr>
            </w:pPr>
            <w:r w:rsidRPr="00AC032C">
              <w:rPr>
                <w:rFonts w:asciiTheme="majorBidi" w:hAnsiTheme="majorBidi" w:cstheme="majorBidi"/>
                <w:lang w:val="en-GB"/>
              </w:rPr>
              <w:t>3</w:t>
            </w:r>
          </w:p>
        </w:tc>
        <w:tc>
          <w:tcPr>
            <w:tcW w:w="1467" w:type="dxa"/>
          </w:tcPr>
          <w:p w:rsidR="00176299" w:rsidRPr="00AC032C" w:rsidRDefault="00176299" w:rsidP="00AC032C">
            <w:pPr>
              <w:pStyle w:val="Tabletext"/>
              <w:jc w:val="center"/>
              <w:rPr>
                <w:rFonts w:asciiTheme="majorBidi" w:hAnsiTheme="majorBidi" w:cstheme="majorBidi"/>
                <w:lang w:val="en-GB"/>
              </w:rPr>
            </w:pPr>
            <w:r w:rsidRPr="00AC032C">
              <w:rPr>
                <w:rFonts w:asciiTheme="majorBidi" w:hAnsiTheme="majorBidi" w:cstheme="majorBidi"/>
                <w:lang w:val="en-GB"/>
              </w:rPr>
              <w:t>2</w:t>
            </w:r>
          </w:p>
        </w:tc>
      </w:tr>
      <w:tr w:rsidR="00176299" w:rsidRPr="00176299" w:rsidTr="00AC032C">
        <w:trPr>
          <w:trHeight w:val="300"/>
          <w:jc w:val="center"/>
        </w:trPr>
        <w:tc>
          <w:tcPr>
            <w:tcW w:w="4820" w:type="dxa"/>
            <w:noWrap/>
            <w:hideMark/>
          </w:tcPr>
          <w:p w:rsidR="00176299" w:rsidRPr="00AC032C" w:rsidRDefault="00176299" w:rsidP="00AC032C">
            <w:pPr>
              <w:pStyle w:val="Tabletext"/>
              <w:rPr>
                <w:rFonts w:asciiTheme="majorBidi" w:hAnsiTheme="majorBidi" w:cstheme="majorBidi"/>
                <w:b/>
                <w:bCs/>
                <w:lang w:val="en-GB"/>
              </w:rPr>
            </w:pPr>
            <w:r w:rsidRPr="00AC032C">
              <w:rPr>
                <w:rFonts w:asciiTheme="majorBidi" w:hAnsiTheme="majorBidi" w:cstheme="majorBidi"/>
                <w:b/>
                <w:bCs/>
                <w:lang w:val="en-GB"/>
              </w:rPr>
              <w:t>Spectrum requirement (MHz) (random distribution)</w:t>
            </w:r>
          </w:p>
        </w:tc>
        <w:tc>
          <w:tcPr>
            <w:tcW w:w="1510" w:type="dxa"/>
          </w:tcPr>
          <w:p w:rsidR="00176299" w:rsidRPr="00AC032C" w:rsidRDefault="00176299" w:rsidP="00AC032C">
            <w:pPr>
              <w:pStyle w:val="Tabletext"/>
              <w:jc w:val="center"/>
              <w:rPr>
                <w:rFonts w:asciiTheme="majorBidi" w:hAnsiTheme="majorBidi" w:cstheme="majorBidi"/>
                <w:b/>
                <w:bCs/>
                <w:lang w:val="en-GB"/>
              </w:rPr>
            </w:pPr>
            <w:r w:rsidRPr="00AC032C">
              <w:rPr>
                <w:rFonts w:asciiTheme="majorBidi" w:hAnsiTheme="majorBidi" w:cstheme="majorBidi"/>
                <w:b/>
                <w:bCs/>
                <w:lang w:val="en-GB"/>
              </w:rPr>
              <w:t>2.5</w:t>
            </w:r>
          </w:p>
        </w:tc>
        <w:tc>
          <w:tcPr>
            <w:tcW w:w="1467" w:type="dxa"/>
          </w:tcPr>
          <w:p w:rsidR="00176299" w:rsidRPr="00AC032C" w:rsidRDefault="00176299" w:rsidP="00AC032C">
            <w:pPr>
              <w:pStyle w:val="Tabletext"/>
              <w:jc w:val="center"/>
              <w:rPr>
                <w:rFonts w:asciiTheme="majorBidi" w:hAnsiTheme="majorBidi" w:cstheme="majorBidi"/>
                <w:b/>
                <w:bCs/>
                <w:lang w:val="en-GB"/>
              </w:rPr>
            </w:pPr>
            <w:r w:rsidRPr="00AC032C">
              <w:rPr>
                <w:rFonts w:asciiTheme="majorBidi" w:hAnsiTheme="majorBidi" w:cstheme="majorBidi"/>
                <w:b/>
                <w:bCs/>
                <w:lang w:val="en-GB"/>
              </w:rPr>
              <w:t>3.75</w:t>
            </w:r>
          </w:p>
        </w:tc>
      </w:tr>
      <w:tr w:rsidR="00176299" w:rsidRPr="00176299" w:rsidTr="00AC032C">
        <w:trPr>
          <w:trHeight w:val="300"/>
          <w:jc w:val="center"/>
        </w:trPr>
        <w:tc>
          <w:tcPr>
            <w:tcW w:w="4820" w:type="dxa"/>
            <w:noWrap/>
          </w:tcPr>
          <w:p w:rsidR="00176299" w:rsidRPr="00AC032C" w:rsidRDefault="00176299" w:rsidP="00AC032C">
            <w:pPr>
              <w:pStyle w:val="Tabletext"/>
              <w:rPr>
                <w:rFonts w:asciiTheme="majorBidi" w:hAnsiTheme="majorBidi" w:cstheme="majorBidi"/>
                <w:lang w:val="en-GB"/>
              </w:rPr>
            </w:pPr>
            <w:r w:rsidRPr="00AC032C">
              <w:rPr>
                <w:rFonts w:asciiTheme="majorBidi" w:hAnsiTheme="majorBidi" w:cstheme="majorBidi"/>
                <w:lang w:val="en-GB"/>
              </w:rPr>
              <w:t>Amount of satellite-earth station combinations which can operate co-frequency (baseline sustainability factor) – best case for sharing</w:t>
            </w:r>
          </w:p>
        </w:tc>
        <w:tc>
          <w:tcPr>
            <w:tcW w:w="1510" w:type="dxa"/>
          </w:tcPr>
          <w:p w:rsidR="00176299" w:rsidRPr="00AC032C" w:rsidRDefault="00176299" w:rsidP="00AC032C">
            <w:pPr>
              <w:pStyle w:val="Tabletext"/>
              <w:jc w:val="center"/>
              <w:rPr>
                <w:rFonts w:asciiTheme="majorBidi" w:hAnsiTheme="majorBidi" w:cstheme="majorBidi"/>
                <w:lang w:val="en-GB"/>
              </w:rPr>
            </w:pPr>
            <w:r w:rsidRPr="00AC032C">
              <w:rPr>
                <w:rFonts w:asciiTheme="majorBidi" w:hAnsiTheme="majorBidi" w:cstheme="majorBidi"/>
                <w:lang w:val="en-GB"/>
              </w:rPr>
              <w:t>5</w:t>
            </w:r>
          </w:p>
        </w:tc>
        <w:tc>
          <w:tcPr>
            <w:tcW w:w="1467" w:type="dxa"/>
          </w:tcPr>
          <w:p w:rsidR="00176299" w:rsidRPr="00AC032C" w:rsidRDefault="00176299" w:rsidP="00AC032C">
            <w:pPr>
              <w:pStyle w:val="Tabletext"/>
              <w:jc w:val="center"/>
              <w:rPr>
                <w:rFonts w:asciiTheme="majorBidi" w:hAnsiTheme="majorBidi" w:cstheme="majorBidi"/>
                <w:lang w:val="en-GB"/>
              </w:rPr>
            </w:pPr>
            <w:r w:rsidRPr="00AC032C">
              <w:rPr>
                <w:rFonts w:asciiTheme="majorBidi" w:hAnsiTheme="majorBidi" w:cstheme="majorBidi"/>
                <w:lang w:val="en-GB"/>
              </w:rPr>
              <w:t>7</w:t>
            </w:r>
          </w:p>
        </w:tc>
      </w:tr>
      <w:tr w:rsidR="00176299" w:rsidRPr="00176299" w:rsidTr="00AC032C">
        <w:trPr>
          <w:trHeight w:val="300"/>
          <w:jc w:val="center"/>
        </w:trPr>
        <w:tc>
          <w:tcPr>
            <w:tcW w:w="4820" w:type="dxa"/>
            <w:noWrap/>
          </w:tcPr>
          <w:p w:rsidR="00176299" w:rsidRPr="00AC032C" w:rsidRDefault="00176299" w:rsidP="00AC032C">
            <w:pPr>
              <w:pStyle w:val="Tabletext"/>
              <w:rPr>
                <w:rFonts w:asciiTheme="majorBidi" w:hAnsiTheme="majorBidi" w:cstheme="majorBidi"/>
                <w:b/>
                <w:bCs/>
                <w:lang w:val="en-GB"/>
              </w:rPr>
            </w:pPr>
            <w:r w:rsidRPr="00AC032C">
              <w:rPr>
                <w:rFonts w:asciiTheme="majorBidi" w:hAnsiTheme="majorBidi" w:cstheme="majorBidi"/>
                <w:b/>
                <w:bCs/>
                <w:lang w:val="en-GB"/>
              </w:rPr>
              <w:t>Spectrum requirement (MHz) (best case for sharing)</w:t>
            </w:r>
          </w:p>
        </w:tc>
        <w:tc>
          <w:tcPr>
            <w:tcW w:w="1510" w:type="dxa"/>
          </w:tcPr>
          <w:p w:rsidR="00176299" w:rsidRPr="00AC032C" w:rsidRDefault="00176299" w:rsidP="00AC032C">
            <w:pPr>
              <w:pStyle w:val="Tabletext"/>
              <w:jc w:val="center"/>
              <w:rPr>
                <w:rFonts w:asciiTheme="majorBidi" w:hAnsiTheme="majorBidi" w:cstheme="majorBidi"/>
                <w:b/>
                <w:bCs/>
                <w:lang w:val="en-GB"/>
              </w:rPr>
            </w:pPr>
            <w:r w:rsidRPr="00AC032C">
              <w:rPr>
                <w:rFonts w:asciiTheme="majorBidi" w:hAnsiTheme="majorBidi" w:cstheme="majorBidi"/>
                <w:b/>
                <w:bCs/>
                <w:lang w:val="en-GB"/>
              </w:rPr>
              <w:t>1.5</w:t>
            </w:r>
          </w:p>
        </w:tc>
        <w:tc>
          <w:tcPr>
            <w:tcW w:w="1467" w:type="dxa"/>
          </w:tcPr>
          <w:p w:rsidR="00176299" w:rsidRPr="00AC032C" w:rsidRDefault="00176299" w:rsidP="00AC032C">
            <w:pPr>
              <w:pStyle w:val="Tabletext"/>
              <w:jc w:val="center"/>
              <w:rPr>
                <w:rFonts w:asciiTheme="majorBidi" w:hAnsiTheme="majorBidi" w:cstheme="majorBidi"/>
                <w:b/>
                <w:bCs/>
                <w:lang w:val="en-GB"/>
              </w:rPr>
            </w:pPr>
            <w:r w:rsidRPr="00AC032C">
              <w:rPr>
                <w:rFonts w:asciiTheme="majorBidi" w:hAnsiTheme="majorBidi" w:cstheme="majorBidi"/>
                <w:b/>
                <w:bCs/>
                <w:lang w:val="en-GB"/>
              </w:rPr>
              <w:t>1.07</w:t>
            </w:r>
          </w:p>
        </w:tc>
      </w:tr>
    </w:tbl>
    <w:p w:rsidR="00281503" w:rsidRDefault="00281503" w:rsidP="00281503">
      <w:pPr>
        <w:pStyle w:val="Tablefin"/>
        <w:rPr>
          <w:lang w:eastAsia="zh-CN"/>
        </w:rPr>
      </w:pPr>
    </w:p>
    <w:p w:rsidR="00176299" w:rsidRPr="00176299" w:rsidRDefault="00176299" w:rsidP="00AC032C">
      <w:pPr>
        <w:pStyle w:val="Heading1"/>
        <w:rPr>
          <w:lang w:val="en-GB" w:eastAsia="zh-CN"/>
        </w:rPr>
      </w:pPr>
      <w:r w:rsidRPr="00176299">
        <w:rPr>
          <w:lang w:val="en-GB" w:eastAsia="zh-CN"/>
        </w:rPr>
        <w:t>4</w:t>
      </w:r>
      <w:r w:rsidRPr="00176299">
        <w:rPr>
          <w:lang w:val="en-GB" w:eastAsia="zh-CN"/>
        </w:rPr>
        <w:tab/>
        <w:t>Summary</w:t>
      </w:r>
    </w:p>
    <w:p w:rsidR="00176299" w:rsidRPr="00176299" w:rsidRDefault="00176299" w:rsidP="00281503">
      <w:pPr>
        <w:rPr>
          <w:lang w:val="en-GB" w:eastAsia="zh-CN"/>
        </w:rPr>
      </w:pPr>
      <w:r w:rsidRPr="00176299">
        <w:rPr>
          <w:lang w:val="en-GB" w:eastAsia="zh-CN"/>
        </w:rPr>
        <w:t xml:space="preserve">This study determines the amount of TT&amp;C spectrum required for short duration NGSO missions, based on the protection criteria as outlined in Recommendation </w:t>
      </w:r>
      <w:hyperlink r:id="rId31" w:history="1">
        <w:r w:rsidRPr="00176299">
          <w:rPr>
            <w:lang w:val="en-GB" w:eastAsia="zh-CN"/>
          </w:rPr>
          <w:t>ITU-R SA.363-5</w:t>
        </w:r>
      </w:hyperlink>
      <w:r w:rsidRPr="00176299">
        <w:rPr>
          <w:lang w:val="en-GB" w:eastAsia="zh-CN"/>
        </w:rPr>
        <w:t>.</w:t>
      </w:r>
    </w:p>
    <w:p w:rsidR="00176299" w:rsidRPr="00176299" w:rsidRDefault="00176299" w:rsidP="00281503">
      <w:pPr>
        <w:rPr>
          <w:lang w:val="en-GB" w:eastAsia="zh-CN"/>
        </w:rPr>
      </w:pPr>
      <w:r w:rsidRPr="00176299">
        <w:rPr>
          <w:lang w:val="en-GB" w:eastAsia="zh-CN"/>
        </w:rPr>
        <w:t>Simulations have shown that the protection criteria could be exceeded for the case of two satellite-earth station pairs, for example in simulation 1. On the other hand, for eight satellite-earth station pairs in simulation 1 there are still simulation runs showing no violation of the protection criteria, although the vast majority of simulation runs do give a violation of the protection criteria for this number of satellite-earth station pairs. If the visibility cones of the randomly picked earth stations overlap, violation of the protection criteria is almost certain. If the distribution is such that there is little overlap, there can also be cases where the protection criteria are not exceeded. Therefore, in practice, some inter-operator coordination may be necessary. Furthermore such coordination may be necessary to account for the fact the satellite population is dynamic, i.e. satellites are added over time, while other satellites have reached end of mission. Finally, it is expected that some of the 300 satellite-earth station combinations will be in centrally-controlled multi-satellite (and earth station) systems, in which spectrum use is coordinated and thus efficiencies are gained.</w:t>
      </w:r>
    </w:p>
    <w:p w:rsidR="00176299" w:rsidRPr="00176299" w:rsidRDefault="00176299" w:rsidP="00281503">
      <w:pPr>
        <w:rPr>
          <w:lang w:val="en-GB" w:eastAsia="zh-CN"/>
        </w:rPr>
      </w:pPr>
      <w:r w:rsidRPr="00176299">
        <w:rPr>
          <w:lang w:val="en-GB" w:eastAsia="zh-CN"/>
        </w:rPr>
        <w:t>Taking the above observations into account, the spectrum requirements for short duration NGSO systems range from 0.625 MHz to 2.5 MHz in the space-to-Earth direction, and from 0.682 MHz to 0.938 MHz in the Earth-to-space direction, depending on the operational scenario.</w:t>
      </w:r>
    </w:p>
    <w:p w:rsidR="00176299" w:rsidRDefault="00176299" w:rsidP="00281503">
      <w:pPr>
        <w:rPr>
          <w:lang w:val="en-GB"/>
        </w:rPr>
      </w:pPr>
    </w:p>
    <w:p w:rsidR="00281503" w:rsidRPr="00176299" w:rsidRDefault="00281503" w:rsidP="00281503">
      <w:pPr>
        <w:rPr>
          <w:lang w:val="en-GB"/>
        </w:rPr>
      </w:pPr>
    </w:p>
    <w:p w:rsidR="00176299" w:rsidRPr="00176299" w:rsidRDefault="00176299" w:rsidP="00281503">
      <w:pPr>
        <w:pStyle w:val="AnnexNoTitle"/>
        <w:rPr>
          <w:lang w:val="en-GB"/>
        </w:rPr>
      </w:pPr>
      <w:r w:rsidRPr="00176299">
        <w:rPr>
          <w:caps/>
          <w:lang w:val="en-GB"/>
        </w:rPr>
        <w:lastRenderedPageBreak/>
        <w:t>A</w:t>
      </w:r>
      <w:r w:rsidR="00281503" w:rsidRPr="00176299">
        <w:rPr>
          <w:lang w:val="en-GB"/>
        </w:rPr>
        <w:t>nnex</w:t>
      </w:r>
      <w:r w:rsidRPr="00176299">
        <w:rPr>
          <w:caps/>
          <w:lang w:val="en-GB"/>
        </w:rPr>
        <w:t xml:space="preserve"> 1</w:t>
      </w:r>
      <w:r w:rsidR="00281503">
        <w:rPr>
          <w:caps/>
          <w:lang w:val="en-GB"/>
        </w:rPr>
        <w:br/>
      </w:r>
      <w:r w:rsidR="00281503">
        <w:rPr>
          <w:caps/>
          <w:lang w:val="en-GB"/>
        </w:rPr>
        <w:br/>
      </w:r>
      <w:r w:rsidRPr="00176299">
        <w:rPr>
          <w:lang w:val="en-GB"/>
        </w:rPr>
        <w:t>Results of a small satellite frequency use questionnaire</w:t>
      </w:r>
    </w:p>
    <w:p w:rsidR="00176299" w:rsidRPr="00176299" w:rsidRDefault="00176299" w:rsidP="00281503">
      <w:pPr>
        <w:pStyle w:val="Normalaftertitle"/>
        <w:rPr>
          <w:lang w:val="en-GB"/>
        </w:rPr>
      </w:pPr>
      <w:r w:rsidRPr="00176299">
        <w:rPr>
          <w:lang w:val="en-GB"/>
        </w:rPr>
        <w:t>In 2016, a questionnaire was created to analyse the expected increase of satellites with short duration missions. The questionnaire was sent to various representatives of the small satellite community and 58 responses were sent back. The summary of the results is attached below. As can be seen, the questions aimed to find out whether there is a need for TT&amp;C spectrum below 1 GHz. Also, it should identify whether small satellite developers consider their missions to last not more than the above mentioned three years. One question was to state the planned satellites for the upcoming five years. In total, the 58 participants stated that they plan up to 747 satellites in the upcoming five years from which 721 plan to use spectrum below 1 GHz.</w:t>
      </w:r>
    </w:p>
    <w:p w:rsidR="00176299" w:rsidRDefault="0081255D" w:rsidP="0081255D">
      <w:pPr>
        <w:pStyle w:val="Figure"/>
        <w:rPr>
          <w:lang w:val="en-GB"/>
        </w:rPr>
      </w:pPr>
      <w:r>
        <w:rPr>
          <w:noProof/>
          <w:lang w:val="en-GB" w:eastAsia="en-GB"/>
        </w:rPr>
        <w:lastRenderedPageBreak/>
        <w:drawing>
          <wp:inline distT="0" distB="0" distL="0" distR="0">
            <wp:extent cx="6120765" cy="75025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2425-Ann1-01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7502525"/>
                    </a:xfrm>
                    <a:prstGeom prst="rect">
                      <a:avLst/>
                    </a:prstGeom>
                  </pic:spPr>
                </pic:pic>
              </a:graphicData>
            </a:graphic>
          </wp:inline>
        </w:drawing>
      </w:r>
    </w:p>
    <w:p w:rsidR="00C83BD1" w:rsidRPr="00C83BD1" w:rsidRDefault="00C83BD1" w:rsidP="00C83BD1">
      <w:pPr>
        <w:pStyle w:val="Figure"/>
        <w:rPr>
          <w:lang w:val="en-GB"/>
        </w:rPr>
      </w:pPr>
      <w:r>
        <w:rPr>
          <w:noProof/>
          <w:lang w:val="en-GB" w:eastAsia="en-GB"/>
        </w:rPr>
        <w:lastRenderedPageBreak/>
        <w:drawing>
          <wp:inline distT="0" distB="0" distL="0" distR="0">
            <wp:extent cx="4282449" cy="8930658"/>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2425-Ann1-02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82449" cy="8930658"/>
                    </a:xfrm>
                    <a:prstGeom prst="rect">
                      <a:avLst/>
                    </a:prstGeom>
                  </pic:spPr>
                </pic:pic>
              </a:graphicData>
            </a:graphic>
          </wp:inline>
        </w:drawing>
      </w:r>
    </w:p>
    <w:p w:rsidR="00176299" w:rsidRPr="00176299" w:rsidRDefault="00176299" w:rsidP="0019125F">
      <w:pPr>
        <w:pStyle w:val="AnnexNoTitle"/>
        <w:rPr>
          <w:lang w:val="en-GB"/>
        </w:rPr>
      </w:pPr>
      <w:r w:rsidRPr="00176299">
        <w:rPr>
          <w:caps/>
          <w:lang w:val="en-GB"/>
        </w:rPr>
        <w:lastRenderedPageBreak/>
        <w:t>A</w:t>
      </w:r>
      <w:r w:rsidR="0019125F" w:rsidRPr="00176299">
        <w:rPr>
          <w:lang w:val="en-GB"/>
        </w:rPr>
        <w:t>nnex</w:t>
      </w:r>
      <w:r w:rsidRPr="00176299">
        <w:rPr>
          <w:caps/>
          <w:lang w:val="en-GB"/>
        </w:rPr>
        <w:t xml:space="preserve"> 2</w:t>
      </w:r>
      <w:r w:rsidR="0019125F">
        <w:rPr>
          <w:caps/>
          <w:lang w:val="en-GB"/>
        </w:rPr>
        <w:br/>
      </w:r>
      <w:r w:rsidR="0019125F">
        <w:rPr>
          <w:caps/>
          <w:lang w:val="en-GB"/>
        </w:rPr>
        <w:br/>
      </w:r>
      <w:r w:rsidRPr="00176299">
        <w:rPr>
          <w:lang w:val="en-GB"/>
        </w:rPr>
        <w:t xml:space="preserve">Excel file containing orbit parameters of satellites based </w:t>
      </w:r>
      <w:r w:rsidRPr="00176299">
        <w:rPr>
          <w:lang w:val="en-GB"/>
        </w:rPr>
        <w:br/>
        <w:t>on the TU Berlin Small Satellite Database</w:t>
      </w:r>
    </w:p>
    <w:p w:rsidR="00176299" w:rsidRPr="00176299" w:rsidRDefault="00176299" w:rsidP="00176299">
      <w:pPr>
        <w:tabs>
          <w:tab w:val="clear" w:pos="794"/>
          <w:tab w:val="clear" w:pos="1191"/>
          <w:tab w:val="clear" w:pos="1588"/>
          <w:tab w:val="clear" w:pos="1985"/>
          <w:tab w:val="left" w:pos="1134"/>
          <w:tab w:val="left" w:pos="1871"/>
          <w:tab w:val="left" w:pos="2268"/>
        </w:tabs>
        <w:jc w:val="left"/>
        <w:rPr>
          <w:lang w:val="en-GB" w:eastAsia="zh-CN"/>
        </w:rPr>
      </w:pPr>
    </w:p>
    <w:p w:rsidR="00176299" w:rsidRPr="00176299" w:rsidRDefault="00176299" w:rsidP="00176299">
      <w:pPr>
        <w:tabs>
          <w:tab w:val="clear" w:pos="794"/>
          <w:tab w:val="clear" w:pos="1191"/>
          <w:tab w:val="clear" w:pos="1588"/>
          <w:tab w:val="clear" w:pos="1985"/>
          <w:tab w:val="left" w:pos="1134"/>
          <w:tab w:val="left" w:pos="1871"/>
          <w:tab w:val="left" w:pos="2268"/>
        </w:tabs>
        <w:jc w:val="center"/>
        <w:rPr>
          <w:lang w:val="en-GB" w:eastAsia="zh-CN"/>
        </w:rPr>
      </w:pPr>
      <w:r w:rsidRPr="00176299">
        <w:rPr>
          <w:lang w:val="en-GB" w:eastAsia="nl-NL"/>
        </w:rPr>
        <w:object w:dxaOrig="1155" w:dyaOrig="734">
          <v:shape id="_x0000_i1026" type="#_x0000_t75" style="width:56.4pt;height:36pt" o:ole="">
            <v:imagedata r:id="rId34" o:title=""/>
          </v:shape>
          <o:OLEObject Type="Embed" ProgID="Excel.Sheet.12" ShapeID="_x0000_i1026" DrawAspect="Icon" ObjectID="_1603112074" r:id="rId35"/>
        </w:object>
      </w:r>
    </w:p>
    <w:p w:rsidR="00176299" w:rsidRPr="00176299" w:rsidRDefault="00176299" w:rsidP="00176299">
      <w:pPr>
        <w:tabs>
          <w:tab w:val="clear" w:pos="794"/>
          <w:tab w:val="clear" w:pos="1191"/>
          <w:tab w:val="clear" w:pos="1588"/>
          <w:tab w:val="clear" w:pos="1985"/>
          <w:tab w:val="left" w:pos="1134"/>
          <w:tab w:val="left" w:pos="1871"/>
          <w:tab w:val="left" w:pos="2268"/>
        </w:tabs>
        <w:jc w:val="left"/>
        <w:rPr>
          <w:lang w:val="en-GB" w:eastAsia="zh-CN"/>
        </w:rPr>
      </w:pPr>
    </w:p>
    <w:p w:rsidR="00176299" w:rsidRPr="00176299" w:rsidRDefault="00176299" w:rsidP="00176299">
      <w:pPr>
        <w:tabs>
          <w:tab w:val="clear" w:pos="794"/>
          <w:tab w:val="clear" w:pos="1191"/>
          <w:tab w:val="clear" w:pos="1588"/>
          <w:tab w:val="clear" w:pos="1985"/>
          <w:tab w:val="left" w:pos="1134"/>
          <w:tab w:val="left" w:pos="1871"/>
          <w:tab w:val="left" w:pos="2268"/>
        </w:tabs>
        <w:jc w:val="left"/>
        <w:rPr>
          <w:lang w:val="en-GB" w:eastAsia="zh-CN"/>
        </w:rPr>
      </w:pPr>
    </w:p>
    <w:p w:rsidR="00176299" w:rsidRPr="00176299" w:rsidRDefault="00176299" w:rsidP="0019125F">
      <w:pPr>
        <w:pStyle w:val="AnnexNoTitle"/>
        <w:rPr>
          <w:rFonts w:ascii="Times New Roman Bold" w:hAnsi="Times New Roman Bold"/>
          <w:b w:val="0"/>
          <w:lang w:val="en-GB"/>
        </w:rPr>
      </w:pPr>
      <w:r w:rsidRPr="00176299">
        <w:rPr>
          <w:caps/>
          <w:lang w:val="en-GB"/>
        </w:rPr>
        <w:t>A</w:t>
      </w:r>
      <w:r w:rsidR="0019125F" w:rsidRPr="00176299">
        <w:rPr>
          <w:lang w:val="en-GB"/>
        </w:rPr>
        <w:t>nnex</w:t>
      </w:r>
      <w:r w:rsidRPr="00176299">
        <w:rPr>
          <w:caps/>
          <w:lang w:val="en-GB"/>
        </w:rPr>
        <w:t xml:space="preserve"> 3</w:t>
      </w:r>
      <w:r w:rsidR="0019125F">
        <w:rPr>
          <w:lang w:val="en-GB"/>
        </w:rPr>
        <w:br/>
      </w:r>
      <w:r w:rsidR="0019125F">
        <w:rPr>
          <w:lang w:val="en-GB"/>
        </w:rPr>
        <w:br/>
      </w:r>
      <w:r w:rsidRPr="0019125F">
        <w:rPr>
          <w:lang w:val="en-GB"/>
        </w:rPr>
        <w:t>Excel file containing ground statio</w:t>
      </w:r>
      <w:r w:rsidRPr="00176299">
        <w:rPr>
          <w:rFonts w:ascii="Times New Roman Bold" w:hAnsi="Times New Roman Bold"/>
          <w:b w:val="0"/>
          <w:lang w:val="en-GB"/>
        </w:rPr>
        <w:t xml:space="preserve">ns of satellites based </w:t>
      </w:r>
      <w:r w:rsidRPr="00176299">
        <w:rPr>
          <w:rFonts w:ascii="Times New Roman Bold" w:hAnsi="Times New Roman Bold"/>
          <w:b w:val="0"/>
          <w:lang w:val="en-GB"/>
        </w:rPr>
        <w:br/>
        <w:t>on the TU Berlin Small Satellite Database</w:t>
      </w:r>
    </w:p>
    <w:p w:rsidR="00176299" w:rsidRPr="00176299" w:rsidRDefault="00176299" w:rsidP="00176299">
      <w:pPr>
        <w:tabs>
          <w:tab w:val="clear" w:pos="794"/>
          <w:tab w:val="clear" w:pos="1191"/>
          <w:tab w:val="clear" w:pos="1588"/>
          <w:tab w:val="clear" w:pos="1985"/>
          <w:tab w:val="left" w:pos="1134"/>
          <w:tab w:val="left" w:pos="1871"/>
          <w:tab w:val="left" w:pos="2268"/>
        </w:tabs>
        <w:jc w:val="left"/>
        <w:rPr>
          <w:lang w:val="en-GB" w:eastAsia="zh-CN"/>
        </w:rPr>
      </w:pPr>
    </w:p>
    <w:p w:rsidR="00176299" w:rsidRPr="00176299" w:rsidRDefault="00176299" w:rsidP="00176299">
      <w:pPr>
        <w:tabs>
          <w:tab w:val="clear" w:pos="794"/>
          <w:tab w:val="clear" w:pos="1191"/>
          <w:tab w:val="clear" w:pos="1588"/>
          <w:tab w:val="clear" w:pos="1985"/>
          <w:tab w:val="left" w:pos="1134"/>
          <w:tab w:val="left" w:pos="1871"/>
          <w:tab w:val="left" w:pos="2268"/>
        </w:tabs>
        <w:jc w:val="center"/>
        <w:rPr>
          <w:lang w:val="en-GB" w:eastAsia="nl-NL"/>
        </w:rPr>
      </w:pPr>
      <w:r w:rsidRPr="00176299">
        <w:rPr>
          <w:lang w:val="en-GB" w:eastAsia="nl-NL"/>
        </w:rPr>
        <w:object w:dxaOrig="1155" w:dyaOrig="734">
          <v:shape id="_x0000_i1027" type="#_x0000_t75" style="width:56.95pt;height:36pt" o:ole="">
            <v:imagedata r:id="rId36" o:title=""/>
          </v:shape>
          <o:OLEObject Type="Embed" ProgID="Excel.Sheet.12" ShapeID="_x0000_i1027" DrawAspect="Icon" ObjectID="_1603112075" r:id="rId37"/>
        </w:object>
      </w:r>
    </w:p>
    <w:p w:rsidR="00176299" w:rsidRPr="00176299" w:rsidRDefault="00176299" w:rsidP="00176299">
      <w:pPr>
        <w:tabs>
          <w:tab w:val="clear" w:pos="794"/>
          <w:tab w:val="clear" w:pos="1191"/>
          <w:tab w:val="clear" w:pos="1588"/>
          <w:tab w:val="clear" w:pos="1985"/>
          <w:tab w:val="left" w:pos="1134"/>
          <w:tab w:val="left" w:pos="1871"/>
          <w:tab w:val="left" w:pos="2268"/>
        </w:tabs>
        <w:jc w:val="left"/>
        <w:rPr>
          <w:lang w:val="en-GB" w:eastAsia="nl-NL"/>
        </w:rPr>
      </w:pPr>
    </w:p>
    <w:p w:rsidR="00176299" w:rsidRDefault="00176299" w:rsidP="00B263D4">
      <w:pPr>
        <w:pStyle w:val="Line"/>
        <w:rPr>
          <w:lang w:eastAsia="zh-CN"/>
        </w:rPr>
      </w:pPr>
    </w:p>
    <w:p w:rsidR="00176299" w:rsidRPr="00176299" w:rsidRDefault="00176299" w:rsidP="00176299">
      <w:pPr>
        <w:rPr>
          <w:lang w:val="en-US" w:eastAsia="zh-CN"/>
        </w:rPr>
      </w:pPr>
    </w:p>
    <w:sectPr w:rsidR="00176299" w:rsidRPr="00176299" w:rsidSect="00DE72DA">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D00" w:rsidRDefault="003F4D00">
      <w:r>
        <w:separator/>
      </w:r>
    </w:p>
  </w:endnote>
  <w:endnote w:type="continuationSeparator" w:id="0">
    <w:p w:rsidR="003F4D00" w:rsidRDefault="003F4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D00" w:rsidRDefault="003F4D00">
      <w:r>
        <w:separator/>
      </w:r>
    </w:p>
  </w:footnote>
  <w:footnote w:type="continuationSeparator" w:id="0">
    <w:p w:rsidR="003F4D00" w:rsidRDefault="003F4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00" w:rsidRPr="003A4856" w:rsidRDefault="003F4D00" w:rsidP="001D086F">
    <w:pPr>
      <w:pStyle w:val="Header"/>
      <w:jc w:val="both"/>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494A5F">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494A5F" w:rsidRPr="00494A5F">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494A5F">
      <w:rPr>
        <w:b/>
        <w:bCs/>
        <w:noProof/>
      </w:rPr>
      <w:t>ITU-R  SA.2425-0</w:t>
    </w:r>
    <w:r w:rsidRPr="009770E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00" w:rsidRDefault="003F4D00" w:rsidP="001D086F">
    <w:pPr>
      <w:pStyle w:val="Header"/>
      <w:ind w:right="360" w:firstLine="360"/>
    </w:pPr>
    <w:r>
      <w:rPr>
        <w:noProof/>
        <w:lang w:val="en-GB" w:eastAsia="en-GB"/>
      </w:rPr>
      <w:drawing>
        <wp:anchor distT="0" distB="0" distL="114300" distR="114300" simplePos="0" relativeHeight="251656192" behindDoc="1" locked="0" layoutInCell="1" allowOverlap="1" wp14:anchorId="69BC9DEA" wp14:editId="04030529">
          <wp:simplePos x="0" y="0"/>
          <wp:positionH relativeFrom="page">
            <wp:posOffset>0</wp:posOffset>
          </wp:positionH>
          <wp:positionV relativeFrom="page">
            <wp:posOffset>0</wp:posOffset>
          </wp:positionV>
          <wp:extent cx="7592060" cy="10753725"/>
          <wp:effectExtent l="19050" t="0" r="8890" b="0"/>
          <wp:wrapNone/>
          <wp:docPr id="24" name="Picture 24"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00" w:rsidRDefault="003F4D00" w:rsidP="003D79F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4A5F">
      <w:rPr>
        <w:rStyle w:val="PageNumber"/>
        <w:b/>
        <w:bCs/>
        <w:noProof/>
        <w:lang w:val="en-US"/>
      </w:rPr>
      <w:t>16</w:t>
    </w:r>
    <w:r>
      <w:rPr>
        <w:rStyle w:val="PageNumber"/>
        <w:b/>
        <w:bCs/>
      </w:rPr>
      <w:fldChar w:fldCharType="end"/>
    </w:r>
    <w:r>
      <w:rPr>
        <w:lang w:val="en-US"/>
      </w:rPr>
      <w:tab/>
    </w:r>
    <w:r>
      <w:fldChar w:fldCharType="begin"/>
    </w:r>
    <w:r w:rsidRPr="003A4856">
      <w:rPr>
        <w:lang w:val="en-US"/>
      </w:rPr>
      <w:instrText xml:space="preserve"> DOCPROPERTY "Header 2" \* MERGEFORMAT </w:instrText>
    </w:r>
    <w:r>
      <w:fldChar w:fldCharType="separate"/>
    </w:r>
    <w:r w:rsidR="00494A5F" w:rsidRPr="00494A5F">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494A5F">
      <w:rPr>
        <w:b/>
        <w:bCs/>
        <w:noProof/>
      </w:rPr>
      <w:t>ITU-R  SA.2425-0</w:t>
    </w:r>
    <w:r w:rsidRPr="009770E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00" w:rsidRDefault="003F4D00" w:rsidP="003D79F1">
    <w:pPr>
      <w:pStyle w:val="Header"/>
    </w:pPr>
    <w:r>
      <w:tab/>
    </w:r>
    <w:r>
      <w:fldChar w:fldCharType="begin"/>
    </w:r>
    <w:r w:rsidRPr="003A4856">
      <w:rPr>
        <w:lang w:val="en-US"/>
      </w:rPr>
      <w:instrText xml:space="preserve"> DOCPROPERTY "Header 2" \* MERGEFORMAT </w:instrText>
    </w:r>
    <w:r>
      <w:fldChar w:fldCharType="separate"/>
    </w:r>
    <w:r w:rsidR="00494A5F" w:rsidRPr="00494A5F">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494A5F">
      <w:rPr>
        <w:b/>
        <w:bCs/>
        <w:noProof/>
      </w:rPr>
      <w:t>ITU-R  SA.2425-0</w:t>
    </w:r>
    <w:r w:rsidRPr="009770E7">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94A5F">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51E4B"/>
    <w:multiLevelType w:val="hybridMultilevel"/>
    <w:tmpl w:val="1CE608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1" w15:restartNumberingAfterBreak="0">
    <w:nsid w:val="5A77611A"/>
    <w:multiLevelType w:val="hybridMultilevel"/>
    <w:tmpl w:val="C55C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7767BF"/>
    <w:multiLevelType w:val="multilevel"/>
    <w:tmpl w:val="6576EE4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90"/>
        </w:tabs>
        <w:ind w:left="1290" w:hanging="864"/>
      </w:pPr>
      <w:rPr>
        <w:rFonts w:hint="default"/>
        <w:b/>
        <w:bCs/>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67A"/>
    <w:rsid w:val="00006F70"/>
    <w:rsid w:val="000539DF"/>
    <w:rsid w:val="0006447A"/>
    <w:rsid w:val="00074106"/>
    <w:rsid w:val="000C3ED6"/>
    <w:rsid w:val="00116124"/>
    <w:rsid w:val="00133BB2"/>
    <w:rsid w:val="00152C9B"/>
    <w:rsid w:val="00176299"/>
    <w:rsid w:val="0018623D"/>
    <w:rsid w:val="0019125F"/>
    <w:rsid w:val="001932A6"/>
    <w:rsid w:val="001A02D8"/>
    <w:rsid w:val="001A4D7D"/>
    <w:rsid w:val="001B19EF"/>
    <w:rsid w:val="001D086F"/>
    <w:rsid w:val="001D2227"/>
    <w:rsid w:val="001D2E62"/>
    <w:rsid w:val="001D2FB3"/>
    <w:rsid w:val="001D74A7"/>
    <w:rsid w:val="001F3A93"/>
    <w:rsid w:val="00217EBF"/>
    <w:rsid w:val="0022689C"/>
    <w:rsid w:val="00242AEE"/>
    <w:rsid w:val="0024340A"/>
    <w:rsid w:val="00270A79"/>
    <w:rsid w:val="00281503"/>
    <w:rsid w:val="002C6E19"/>
    <w:rsid w:val="002D6429"/>
    <w:rsid w:val="002D76C4"/>
    <w:rsid w:val="003321C0"/>
    <w:rsid w:val="00354E74"/>
    <w:rsid w:val="00364142"/>
    <w:rsid w:val="00377BFE"/>
    <w:rsid w:val="0039534C"/>
    <w:rsid w:val="003B6E79"/>
    <w:rsid w:val="003C4B67"/>
    <w:rsid w:val="003C6091"/>
    <w:rsid w:val="003C650A"/>
    <w:rsid w:val="003D5511"/>
    <w:rsid w:val="003D79F1"/>
    <w:rsid w:val="003F390C"/>
    <w:rsid w:val="003F4D00"/>
    <w:rsid w:val="003F6D68"/>
    <w:rsid w:val="004263E1"/>
    <w:rsid w:val="004333C8"/>
    <w:rsid w:val="0043645F"/>
    <w:rsid w:val="00480A58"/>
    <w:rsid w:val="00490EDA"/>
    <w:rsid w:val="00494A5F"/>
    <w:rsid w:val="004F3FB0"/>
    <w:rsid w:val="00513922"/>
    <w:rsid w:val="0052529D"/>
    <w:rsid w:val="00552414"/>
    <w:rsid w:val="00584269"/>
    <w:rsid w:val="00591216"/>
    <w:rsid w:val="005A149D"/>
    <w:rsid w:val="005D3542"/>
    <w:rsid w:val="005F321F"/>
    <w:rsid w:val="00607D68"/>
    <w:rsid w:val="0061532F"/>
    <w:rsid w:val="006262DC"/>
    <w:rsid w:val="006415F5"/>
    <w:rsid w:val="00651A72"/>
    <w:rsid w:val="00667158"/>
    <w:rsid w:val="006672AB"/>
    <w:rsid w:val="00667D73"/>
    <w:rsid w:val="006B750B"/>
    <w:rsid w:val="006C0AD2"/>
    <w:rsid w:val="006C6716"/>
    <w:rsid w:val="006D14B5"/>
    <w:rsid w:val="006D50CF"/>
    <w:rsid w:val="006E54DC"/>
    <w:rsid w:val="007468DA"/>
    <w:rsid w:val="0075506B"/>
    <w:rsid w:val="00757A6C"/>
    <w:rsid w:val="00782D81"/>
    <w:rsid w:val="00782F22"/>
    <w:rsid w:val="0078342D"/>
    <w:rsid w:val="00795938"/>
    <w:rsid w:val="00812384"/>
    <w:rsid w:val="0081255D"/>
    <w:rsid w:val="00820574"/>
    <w:rsid w:val="008228C8"/>
    <w:rsid w:val="008931E5"/>
    <w:rsid w:val="008A131C"/>
    <w:rsid w:val="008B1A83"/>
    <w:rsid w:val="008F1DC3"/>
    <w:rsid w:val="008F294A"/>
    <w:rsid w:val="00905D06"/>
    <w:rsid w:val="00912AC7"/>
    <w:rsid w:val="00914113"/>
    <w:rsid w:val="00961E64"/>
    <w:rsid w:val="0099594C"/>
    <w:rsid w:val="009B1BE6"/>
    <w:rsid w:val="009D7202"/>
    <w:rsid w:val="009E00A8"/>
    <w:rsid w:val="009F1C96"/>
    <w:rsid w:val="00A0546D"/>
    <w:rsid w:val="00A150EB"/>
    <w:rsid w:val="00A6617B"/>
    <w:rsid w:val="00A74FAB"/>
    <w:rsid w:val="00A92823"/>
    <w:rsid w:val="00A942ED"/>
    <w:rsid w:val="00A949EA"/>
    <w:rsid w:val="00AB0DC8"/>
    <w:rsid w:val="00AC032C"/>
    <w:rsid w:val="00AC5509"/>
    <w:rsid w:val="00AD0C07"/>
    <w:rsid w:val="00AD46E5"/>
    <w:rsid w:val="00AF48E1"/>
    <w:rsid w:val="00B263D4"/>
    <w:rsid w:val="00B30579"/>
    <w:rsid w:val="00B330C6"/>
    <w:rsid w:val="00B36FE1"/>
    <w:rsid w:val="00B379B3"/>
    <w:rsid w:val="00B41DA6"/>
    <w:rsid w:val="00B44E24"/>
    <w:rsid w:val="00B6008A"/>
    <w:rsid w:val="00B7301D"/>
    <w:rsid w:val="00B752D2"/>
    <w:rsid w:val="00B85B67"/>
    <w:rsid w:val="00B910FA"/>
    <w:rsid w:val="00B93423"/>
    <w:rsid w:val="00B94565"/>
    <w:rsid w:val="00BC0F72"/>
    <w:rsid w:val="00BD08BB"/>
    <w:rsid w:val="00BD0A29"/>
    <w:rsid w:val="00BD5289"/>
    <w:rsid w:val="00C76D8D"/>
    <w:rsid w:val="00C83BD1"/>
    <w:rsid w:val="00C96721"/>
    <w:rsid w:val="00CD512F"/>
    <w:rsid w:val="00D20477"/>
    <w:rsid w:val="00D56093"/>
    <w:rsid w:val="00D72051"/>
    <w:rsid w:val="00D86580"/>
    <w:rsid w:val="00D87D5D"/>
    <w:rsid w:val="00DA2C34"/>
    <w:rsid w:val="00DE2EB2"/>
    <w:rsid w:val="00DE579C"/>
    <w:rsid w:val="00DE6359"/>
    <w:rsid w:val="00DE72DA"/>
    <w:rsid w:val="00DF4176"/>
    <w:rsid w:val="00E01599"/>
    <w:rsid w:val="00E11C5E"/>
    <w:rsid w:val="00E6067A"/>
    <w:rsid w:val="00E66ED8"/>
    <w:rsid w:val="00E942DB"/>
    <w:rsid w:val="00EA7F7B"/>
    <w:rsid w:val="00F151B8"/>
    <w:rsid w:val="00F2128A"/>
    <w:rsid w:val="00F22A9B"/>
    <w:rsid w:val="00F23801"/>
    <w:rsid w:val="00F37DC7"/>
    <w:rsid w:val="00F50B5F"/>
    <w:rsid w:val="00F7085A"/>
    <w:rsid w:val="00F81142"/>
    <w:rsid w:val="00F8472A"/>
    <w:rsid w:val="00FD119B"/>
    <w:rsid w:val="00FF0E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14:docId w14:val="2BBA482A"/>
  <w15:docId w15:val="{38C7BAEF-ED81-47F1-B37C-F38E057B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1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63D4"/>
    <w:pPr>
      <w:keepNext/>
      <w:keepLines/>
      <w:spacing w:before="480"/>
      <w:ind w:left="794" w:hanging="794"/>
      <w:outlineLvl w:val="0"/>
    </w:pPr>
    <w:rPr>
      <w:b/>
    </w:rPr>
  </w:style>
  <w:style w:type="paragraph" w:styleId="Heading2">
    <w:name w:val="heading 2"/>
    <w:basedOn w:val="Heading1"/>
    <w:next w:val="Normal"/>
    <w:link w:val="Heading2Char"/>
    <w:qFormat/>
    <w:rsid w:val="00B263D4"/>
    <w:pPr>
      <w:spacing w:before="320"/>
      <w:outlineLvl w:val="1"/>
    </w:pPr>
  </w:style>
  <w:style w:type="paragraph" w:styleId="Heading3">
    <w:name w:val="heading 3"/>
    <w:basedOn w:val="Heading1"/>
    <w:next w:val="Normal"/>
    <w:link w:val="Heading3Char"/>
    <w:qFormat/>
    <w:rsid w:val="00B263D4"/>
    <w:pPr>
      <w:spacing w:before="200"/>
      <w:outlineLvl w:val="2"/>
    </w:pPr>
  </w:style>
  <w:style w:type="paragraph" w:styleId="Heading4">
    <w:name w:val="heading 4"/>
    <w:basedOn w:val="Heading3"/>
    <w:next w:val="Normal"/>
    <w:link w:val="Heading4Char"/>
    <w:qFormat/>
    <w:rsid w:val="00B263D4"/>
    <w:pPr>
      <w:tabs>
        <w:tab w:val="clear" w:pos="794"/>
        <w:tab w:val="left" w:pos="992"/>
      </w:tabs>
      <w:ind w:left="992" w:hanging="992"/>
      <w:outlineLvl w:val="3"/>
    </w:pPr>
  </w:style>
  <w:style w:type="paragraph" w:styleId="Heading5">
    <w:name w:val="heading 5"/>
    <w:basedOn w:val="Heading4"/>
    <w:next w:val="Normal"/>
    <w:link w:val="Heading5Char"/>
    <w:qFormat/>
    <w:rsid w:val="00B263D4"/>
    <w:pPr>
      <w:outlineLvl w:val="4"/>
    </w:pPr>
  </w:style>
  <w:style w:type="paragraph" w:styleId="Heading6">
    <w:name w:val="heading 6"/>
    <w:basedOn w:val="Heading4"/>
    <w:next w:val="Normal"/>
    <w:link w:val="Heading6Char"/>
    <w:qFormat/>
    <w:rsid w:val="00B263D4"/>
    <w:pPr>
      <w:tabs>
        <w:tab w:val="clear" w:pos="992"/>
        <w:tab w:val="clear" w:pos="1191"/>
      </w:tabs>
      <w:ind w:left="1588" w:hanging="1588"/>
      <w:outlineLvl w:val="5"/>
    </w:pPr>
  </w:style>
  <w:style w:type="paragraph" w:styleId="Heading7">
    <w:name w:val="heading 7"/>
    <w:basedOn w:val="Heading6"/>
    <w:next w:val="Normal"/>
    <w:link w:val="Heading7Char"/>
    <w:qFormat/>
    <w:rsid w:val="00B263D4"/>
    <w:pPr>
      <w:outlineLvl w:val="6"/>
    </w:pPr>
  </w:style>
  <w:style w:type="paragraph" w:styleId="Heading8">
    <w:name w:val="heading 8"/>
    <w:basedOn w:val="Heading6"/>
    <w:next w:val="Normal"/>
    <w:link w:val="Heading8Char"/>
    <w:qFormat/>
    <w:rsid w:val="00B263D4"/>
    <w:pPr>
      <w:outlineLvl w:val="7"/>
    </w:pPr>
  </w:style>
  <w:style w:type="paragraph" w:styleId="Heading9">
    <w:name w:val="heading 9"/>
    <w:basedOn w:val="Heading6"/>
    <w:next w:val="Normal"/>
    <w:link w:val="Heading9Char"/>
    <w:qFormat/>
    <w:rsid w:val="00B263D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63D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63D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63D4"/>
  </w:style>
  <w:style w:type="paragraph" w:customStyle="1" w:styleId="Headingb">
    <w:name w:val="Heading_b"/>
    <w:basedOn w:val="Heading3"/>
    <w:next w:val="Normal"/>
    <w:rsid w:val="00B263D4"/>
    <w:pPr>
      <w:spacing w:before="160"/>
      <w:ind w:left="0" w:firstLine="0"/>
      <w:outlineLvl w:val="9"/>
    </w:pPr>
  </w:style>
  <w:style w:type="paragraph" w:customStyle="1" w:styleId="Headingi">
    <w:name w:val="Heading_i"/>
    <w:basedOn w:val="Heading3"/>
    <w:next w:val="Normal"/>
    <w:rsid w:val="00B263D4"/>
    <w:pPr>
      <w:spacing w:before="160"/>
      <w:ind w:left="0" w:firstLine="0"/>
    </w:pPr>
    <w:rPr>
      <w:b w:val="0"/>
      <w:i/>
    </w:rPr>
  </w:style>
  <w:style w:type="character" w:customStyle="1" w:styleId="href">
    <w:name w:val="href"/>
    <w:basedOn w:val="DefaultParagraphFont"/>
    <w:rsid w:val="00B263D4"/>
  </w:style>
  <w:style w:type="paragraph" w:customStyle="1" w:styleId="enumlev1">
    <w:name w:val="enumlev1"/>
    <w:basedOn w:val="Normal"/>
    <w:link w:val="enumlev1Char"/>
    <w:rsid w:val="00B263D4"/>
    <w:pPr>
      <w:spacing w:before="80"/>
      <w:ind w:left="794" w:hanging="794"/>
    </w:pPr>
  </w:style>
  <w:style w:type="paragraph" w:customStyle="1" w:styleId="enumlev2">
    <w:name w:val="enumlev2"/>
    <w:basedOn w:val="enumlev1"/>
    <w:rsid w:val="00B263D4"/>
    <w:pPr>
      <w:ind w:left="1191" w:hanging="397"/>
    </w:pPr>
  </w:style>
  <w:style w:type="paragraph" w:customStyle="1" w:styleId="enumlev3">
    <w:name w:val="enumlev3"/>
    <w:basedOn w:val="enumlev2"/>
    <w:rsid w:val="00B263D4"/>
    <w:pPr>
      <w:ind w:left="1588"/>
    </w:pPr>
  </w:style>
  <w:style w:type="paragraph" w:customStyle="1" w:styleId="Normalaftertitle">
    <w:name w:val="Normal_after_title"/>
    <w:basedOn w:val="Normal"/>
    <w:next w:val="Normal"/>
    <w:link w:val="NormalaftertitleChar"/>
    <w:rsid w:val="00B263D4"/>
    <w:pPr>
      <w:spacing w:before="320"/>
    </w:pPr>
  </w:style>
  <w:style w:type="paragraph" w:customStyle="1" w:styleId="Note">
    <w:name w:val="Note"/>
    <w:basedOn w:val="Normal"/>
    <w:link w:val="NoteChar"/>
    <w:rsid w:val="00B263D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63D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263D4"/>
    <w:pPr>
      <w:spacing w:before="240"/>
    </w:pPr>
    <w:rPr>
      <w:sz w:val="22"/>
      <w:lang w:val="es-ES_tradnl"/>
    </w:rPr>
  </w:style>
  <w:style w:type="paragraph" w:customStyle="1" w:styleId="Recref">
    <w:name w:val="Rec_ref"/>
    <w:basedOn w:val="Normal"/>
    <w:next w:val="Recdate"/>
    <w:rsid w:val="00B263D4"/>
    <w:pPr>
      <w:jc w:val="center"/>
    </w:pPr>
  </w:style>
  <w:style w:type="paragraph" w:customStyle="1" w:styleId="Recdate">
    <w:name w:val="Rec_date"/>
    <w:basedOn w:val="Recref"/>
    <w:next w:val="Normalaftertitle"/>
    <w:rsid w:val="00B263D4"/>
    <w:pPr>
      <w:jc w:val="right"/>
    </w:pPr>
  </w:style>
  <w:style w:type="paragraph" w:customStyle="1" w:styleId="AnnexNoTitle">
    <w:name w:val="Annex_NoTitle"/>
    <w:basedOn w:val="Normal"/>
    <w:next w:val="Normalaftertitle"/>
    <w:link w:val="AnnexNoTitleChar1"/>
    <w:rsid w:val="00364142"/>
    <w:pPr>
      <w:keepNext/>
      <w:keepLines/>
      <w:spacing w:before="480" w:after="80"/>
      <w:jc w:val="center"/>
      <w:outlineLvl w:val="0"/>
    </w:pPr>
    <w:rPr>
      <w:b/>
      <w:sz w:val="28"/>
    </w:rPr>
  </w:style>
  <w:style w:type="paragraph" w:customStyle="1" w:styleId="AppendixNoTitle">
    <w:name w:val="Appendix_NoTitle"/>
    <w:basedOn w:val="AnnexNoTitle"/>
    <w:next w:val="Normal"/>
    <w:rsid w:val="00B263D4"/>
  </w:style>
  <w:style w:type="paragraph" w:customStyle="1" w:styleId="Tablefin">
    <w:name w:val="Table_fin"/>
    <w:basedOn w:val="Normal"/>
    <w:next w:val="Normal"/>
    <w:rsid w:val="00B263D4"/>
    <w:pPr>
      <w:spacing w:before="0"/>
    </w:pPr>
    <w:rPr>
      <w:sz w:val="20"/>
      <w:lang w:val="en-GB"/>
    </w:rPr>
  </w:style>
  <w:style w:type="paragraph" w:customStyle="1" w:styleId="Tablehead">
    <w:name w:val="Table_head"/>
    <w:basedOn w:val="Normal"/>
    <w:next w:val="Normal"/>
    <w:link w:val="TableheadChar"/>
    <w:rsid w:val="00B263D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63D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63D4"/>
    <w:pPr>
      <w:keepNext/>
      <w:spacing w:before="360" w:after="120"/>
      <w:jc w:val="center"/>
    </w:pPr>
  </w:style>
  <w:style w:type="paragraph" w:customStyle="1" w:styleId="Tabletext">
    <w:name w:val="Table_text"/>
    <w:basedOn w:val="Normal"/>
    <w:link w:val="TabletextChar"/>
    <w:rsid w:val="001D74A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B263D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63D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63D4"/>
    <w:pPr>
      <w:ind w:left="794"/>
    </w:pPr>
  </w:style>
  <w:style w:type="paragraph" w:customStyle="1" w:styleId="Figurelegend">
    <w:name w:val="Figure_legend"/>
    <w:basedOn w:val="Normal"/>
    <w:rsid w:val="00B263D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63D4"/>
    <w:pPr>
      <w:keepNext/>
      <w:keepLines/>
      <w:spacing w:before="480" w:after="80"/>
      <w:jc w:val="center"/>
    </w:pPr>
    <w:rPr>
      <w:caps/>
      <w:sz w:val="18"/>
    </w:rPr>
  </w:style>
  <w:style w:type="paragraph" w:customStyle="1" w:styleId="tocpart">
    <w:name w:val="tocpart"/>
    <w:basedOn w:val="Normal"/>
    <w:rsid w:val="00B263D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263D4"/>
    <w:pPr>
      <w:keepNext/>
      <w:keepLines/>
      <w:spacing w:before="480"/>
      <w:jc w:val="center"/>
    </w:pPr>
    <w:rPr>
      <w:sz w:val="28"/>
    </w:rPr>
  </w:style>
  <w:style w:type="paragraph" w:customStyle="1" w:styleId="Arttitle">
    <w:name w:val="Art_title"/>
    <w:basedOn w:val="Normal"/>
    <w:next w:val="Normalaftertitle"/>
    <w:link w:val="ArttitleCar"/>
    <w:rsid w:val="00B263D4"/>
    <w:pPr>
      <w:keepNext/>
      <w:keepLines/>
      <w:spacing w:before="240"/>
      <w:jc w:val="center"/>
    </w:pPr>
    <w:rPr>
      <w:b/>
      <w:sz w:val="28"/>
    </w:rPr>
  </w:style>
  <w:style w:type="paragraph" w:customStyle="1" w:styleId="Blanc">
    <w:name w:val="Blanc"/>
    <w:basedOn w:val="Normal"/>
    <w:next w:val="Tabletext"/>
    <w:rsid w:val="00B263D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63D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63D4"/>
    <w:pPr>
      <w:keepNext/>
      <w:keepLines/>
      <w:spacing w:before="160"/>
      <w:ind w:left="794"/>
    </w:pPr>
    <w:rPr>
      <w:i/>
    </w:rPr>
  </w:style>
  <w:style w:type="paragraph" w:customStyle="1" w:styleId="ChapNo">
    <w:name w:val="Chap_No"/>
    <w:basedOn w:val="ArtNo"/>
    <w:next w:val="Chaptitle"/>
    <w:rsid w:val="00B263D4"/>
    <w:rPr>
      <w:b/>
    </w:rPr>
  </w:style>
  <w:style w:type="paragraph" w:customStyle="1" w:styleId="Chaptitle">
    <w:name w:val="Chap_title"/>
    <w:basedOn w:val="Arttitle"/>
    <w:next w:val="Normalaftertitle"/>
    <w:rsid w:val="00B263D4"/>
  </w:style>
  <w:style w:type="character" w:styleId="FootnoteReference">
    <w:name w:val="footnote reference"/>
    <w:basedOn w:val="DefaultParagraphFont"/>
    <w:rsid w:val="00B263D4"/>
    <w:rPr>
      <w:position w:val="6"/>
      <w:sz w:val="18"/>
    </w:rPr>
  </w:style>
  <w:style w:type="paragraph" w:styleId="FootnoteText">
    <w:name w:val="footnote text"/>
    <w:basedOn w:val="Normal"/>
    <w:link w:val="FootnoteTextChar"/>
    <w:rsid w:val="00B263D4"/>
    <w:pPr>
      <w:keepLines/>
      <w:tabs>
        <w:tab w:val="left" w:pos="255"/>
      </w:tabs>
      <w:ind w:left="255" w:hanging="255"/>
    </w:pPr>
    <w:rPr>
      <w:sz w:val="22"/>
    </w:rPr>
  </w:style>
  <w:style w:type="paragraph" w:styleId="Index1">
    <w:name w:val="index 1"/>
    <w:basedOn w:val="Normal"/>
    <w:next w:val="Normal"/>
    <w:rsid w:val="00B263D4"/>
  </w:style>
  <w:style w:type="paragraph" w:styleId="Index2">
    <w:name w:val="index 2"/>
    <w:basedOn w:val="Normal"/>
    <w:next w:val="Normal"/>
    <w:rsid w:val="00B263D4"/>
    <w:pPr>
      <w:ind w:left="283"/>
    </w:pPr>
  </w:style>
  <w:style w:type="paragraph" w:styleId="Index3">
    <w:name w:val="index 3"/>
    <w:basedOn w:val="Normal"/>
    <w:next w:val="Normal"/>
    <w:rsid w:val="00B263D4"/>
    <w:pPr>
      <w:ind w:left="566"/>
    </w:pPr>
  </w:style>
  <w:style w:type="paragraph" w:styleId="IndexHeading">
    <w:name w:val="index heading"/>
    <w:basedOn w:val="Normal"/>
    <w:next w:val="Index1"/>
    <w:rsid w:val="00B263D4"/>
  </w:style>
  <w:style w:type="paragraph" w:customStyle="1" w:styleId="Line">
    <w:name w:val="Line"/>
    <w:basedOn w:val="Normal"/>
    <w:next w:val="Normal"/>
    <w:rsid w:val="00B263D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63D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63D4"/>
  </w:style>
  <w:style w:type="paragraph" w:customStyle="1" w:styleId="Partref">
    <w:name w:val="Part_ref"/>
    <w:basedOn w:val="Normal"/>
    <w:next w:val="Normal"/>
    <w:rsid w:val="00B263D4"/>
    <w:pPr>
      <w:keepNext/>
      <w:keepLines/>
      <w:spacing w:after="280"/>
      <w:jc w:val="center"/>
    </w:pPr>
  </w:style>
  <w:style w:type="paragraph" w:customStyle="1" w:styleId="Parttitle">
    <w:name w:val="Part_title"/>
    <w:basedOn w:val="Normal"/>
    <w:next w:val="Normalaftertitle"/>
    <w:rsid w:val="00B263D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63D4"/>
  </w:style>
  <w:style w:type="paragraph" w:customStyle="1" w:styleId="QuestionNo">
    <w:name w:val="Question_No"/>
    <w:basedOn w:val="RecNo"/>
    <w:next w:val="Normal"/>
    <w:rsid w:val="00B263D4"/>
  </w:style>
  <w:style w:type="paragraph" w:customStyle="1" w:styleId="Questionref">
    <w:name w:val="Question_ref"/>
    <w:basedOn w:val="Recref"/>
    <w:next w:val="Questiondate"/>
    <w:rsid w:val="00B263D4"/>
  </w:style>
  <w:style w:type="paragraph" w:customStyle="1" w:styleId="Questiontitle">
    <w:name w:val="Question_title"/>
    <w:basedOn w:val="Normal"/>
    <w:next w:val="Questionref"/>
    <w:rsid w:val="00B263D4"/>
  </w:style>
  <w:style w:type="paragraph" w:customStyle="1" w:styleId="Reftext">
    <w:name w:val="Ref_text"/>
    <w:basedOn w:val="Normal"/>
    <w:rsid w:val="00B263D4"/>
    <w:pPr>
      <w:ind w:left="794" w:hanging="794"/>
    </w:pPr>
    <w:rPr>
      <w:sz w:val="22"/>
    </w:rPr>
  </w:style>
  <w:style w:type="paragraph" w:customStyle="1" w:styleId="Reftitle">
    <w:name w:val="Ref_title"/>
    <w:basedOn w:val="Normal"/>
    <w:next w:val="Reftext"/>
    <w:rsid w:val="00B263D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63D4"/>
  </w:style>
  <w:style w:type="paragraph" w:customStyle="1" w:styleId="RepNo">
    <w:name w:val="Rep_No"/>
    <w:basedOn w:val="RecNo"/>
    <w:next w:val="Reptitle"/>
    <w:rsid w:val="00B263D4"/>
  </w:style>
  <w:style w:type="paragraph" w:customStyle="1" w:styleId="Repref">
    <w:name w:val="Rep_ref"/>
    <w:basedOn w:val="Recref"/>
    <w:next w:val="Repdate"/>
    <w:rsid w:val="00B263D4"/>
  </w:style>
  <w:style w:type="paragraph" w:customStyle="1" w:styleId="Reptitle">
    <w:name w:val="Rep_title"/>
    <w:basedOn w:val="Rectitle"/>
    <w:next w:val="Repref"/>
    <w:rsid w:val="00B263D4"/>
  </w:style>
  <w:style w:type="paragraph" w:customStyle="1" w:styleId="Resdate">
    <w:name w:val="Res_date"/>
    <w:basedOn w:val="Recdate"/>
    <w:next w:val="Normalaftertitle"/>
    <w:rsid w:val="00B263D4"/>
  </w:style>
  <w:style w:type="paragraph" w:customStyle="1" w:styleId="ResNo">
    <w:name w:val="Res_No"/>
    <w:basedOn w:val="RecNo"/>
    <w:next w:val="Restitle"/>
    <w:link w:val="ResNoChar"/>
    <w:rsid w:val="00B263D4"/>
  </w:style>
  <w:style w:type="paragraph" w:customStyle="1" w:styleId="Resref">
    <w:name w:val="Res_ref"/>
    <w:basedOn w:val="Recref"/>
    <w:next w:val="Resdate"/>
    <w:rsid w:val="00B263D4"/>
  </w:style>
  <w:style w:type="paragraph" w:customStyle="1" w:styleId="Restitle">
    <w:name w:val="Res_title"/>
    <w:basedOn w:val="Normal"/>
    <w:next w:val="Resref"/>
    <w:link w:val="RestitleChar"/>
    <w:rsid w:val="00B263D4"/>
    <w:pPr>
      <w:spacing w:before="240"/>
      <w:jc w:val="center"/>
    </w:pPr>
    <w:rPr>
      <w:b/>
      <w:sz w:val="28"/>
    </w:rPr>
  </w:style>
  <w:style w:type="paragraph" w:customStyle="1" w:styleId="SectionNo">
    <w:name w:val="Section_No"/>
    <w:basedOn w:val="Normal"/>
    <w:next w:val="Normal"/>
    <w:rsid w:val="00B263D4"/>
  </w:style>
  <w:style w:type="paragraph" w:customStyle="1" w:styleId="Sectiontitle">
    <w:name w:val="Section_title"/>
    <w:basedOn w:val="Normal"/>
    <w:next w:val="Normalaftertitle"/>
    <w:rsid w:val="00B263D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63D4"/>
    <w:pPr>
      <w:tabs>
        <w:tab w:val="clear" w:pos="794"/>
        <w:tab w:val="clear" w:pos="1191"/>
        <w:tab w:val="clear" w:pos="1588"/>
        <w:tab w:val="clear" w:pos="1985"/>
        <w:tab w:val="right" w:pos="9611"/>
      </w:tabs>
    </w:pPr>
    <w:rPr>
      <w:i/>
    </w:rPr>
  </w:style>
  <w:style w:type="paragraph" w:styleId="TOC1">
    <w:name w:val="toc 1"/>
    <w:basedOn w:val="Normal"/>
    <w:rsid w:val="00B263D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63D4"/>
    <w:pPr>
      <w:tabs>
        <w:tab w:val="clear" w:pos="567"/>
        <w:tab w:val="left" w:pos="1276"/>
      </w:tabs>
      <w:spacing w:before="160"/>
      <w:ind w:left="1276" w:hanging="709"/>
    </w:pPr>
  </w:style>
  <w:style w:type="paragraph" w:styleId="TOC3">
    <w:name w:val="toc 3"/>
    <w:basedOn w:val="TOC2"/>
    <w:rsid w:val="00B263D4"/>
    <w:pPr>
      <w:tabs>
        <w:tab w:val="clear" w:pos="1276"/>
        <w:tab w:val="left" w:pos="2155"/>
      </w:tabs>
      <w:ind w:left="2155" w:hanging="879"/>
    </w:pPr>
  </w:style>
  <w:style w:type="paragraph" w:styleId="TOC4">
    <w:name w:val="toc 4"/>
    <w:basedOn w:val="TOC3"/>
    <w:rsid w:val="00B263D4"/>
    <w:pPr>
      <w:tabs>
        <w:tab w:val="left" w:pos="3261"/>
      </w:tabs>
      <w:spacing w:before="80"/>
      <w:ind w:left="3261" w:hanging="993"/>
    </w:pPr>
  </w:style>
  <w:style w:type="paragraph" w:styleId="TOC5">
    <w:name w:val="toc 5"/>
    <w:basedOn w:val="TOC4"/>
    <w:rsid w:val="00B263D4"/>
  </w:style>
  <w:style w:type="paragraph" w:styleId="TOC6">
    <w:name w:val="toc 6"/>
    <w:basedOn w:val="TOC4"/>
    <w:rsid w:val="00B263D4"/>
  </w:style>
  <w:style w:type="paragraph" w:styleId="TOC7">
    <w:name w:val="toc 7"/>
    <w:basedOn w:val="TOC4"/>
    <w:rsid w:val="00B263D4"/>
  </w:style>
  <w:style w:type="paragraph" w:styleId="TOC8">
    <w:name w:val="toc 8"/>
    <w:basedOn w:val="TOC4"/>
    <w:rsid w:val="00B263D4"/>
  </w:style>
  <w:style w:type="paragraph" w:customStyle="1" w:styleId="Rectitle">
    <w:name w:val="Rec_title"/>
    <w:basedOn w:val="Normal"/>
    <w:next w:val="Recref"/>
    <w:link w:val="RectitleChar"/>
    <w:rsid w:val="00B263D4"/>
    <w:pPr>
      <w:keepNext/>
      <w:keepLines/>
      <w:spacing w:before="240"/>
      <w:jc w:val="center"/>
    </w:pPr>
    <w:rPr>
      <w:b/>
      <w:sz w:val="28"/>
    </w:rPr>
  </w:style>
  <w:style w:type="paragraph" w:customStyle="1" w:styleId="Annexref">
    <w:name w:val="Annex_ref"/>
    <w:basedOn w:val="Normal"/>
    <w:next w:val="Normalaftertitle"/>
    <w:rsid w:val="00B263D4"/>
    <w:pPr>
      <w:keepNext/>
      <w:keepLines/>
      <w:spacing w:after="280"/>
      <w:jc w:val="center"/>
    </w:pPr>
  </w:style>
  <w:style w:type="paragraph" w:customStyle="1" w:styleId="Appendixref">
    <w:name w:val="Appendix_ref"/>
    <w:basedOn w:val="Annexref"/>
    <w:next w:val="Normalaftertitle"/>
    <w:rsid w:val="00B263D4"/>
  </w:style>
  <w:style w:type="paragraph" w:customStyle="1" w:styleId="Figuretitle">
    <w:name w:val="Figure_title"/>
    <w:basedOn w:val="Normal"/>
    <w:next w:val="Figure"/>
    <w:link w:val="FiguretitleChar"/>
    <w:rsid w:val="00B263D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263D4"/>
    <w:pPr>
      <w:keepNext/>
      <w:spacing w:before="0" w:after="120"/>
      <w:jc w:val="center"/>
    </w:pPr>
    <w:rPr>
      <w:b/>
    </w:rPr>
  </w:style>
  <w:style w:type="paragraph" w:customStyle="1" w:styleId="Summary">
    <w:name w:val="Summary"/>
    <w:basedOn w:val="Normal"/>
    <w:next w:val="Normalaftertitle"/>
    <w:autoRedefine/>
    <w:rsid w:val="00B263D4"/>
    <w:pPr>
      <w:spacing w:after="480"/>
    </w:pPr>
    <w:rPr>
      <w:sz w:val="22"/>
      <w:lang w:val="es-ES_tradnl"/>
    </w:rPr>
  </w:style>
  <w:style w:type="paragraph" w:customStyle="1" w:styleId="TableLegendNote">
    <w:name w:val="Table_Legend_Note"/>
    <w:basedOn w:val="Tablelegend"/>
    <w:next w:val="Tablelegend"/>
    <w:rsid w:val="00B263D4"/>
    <w:pPr>
      <w:ind w:left="-85" w:firstLine="0"/>
    </w:pPr>
    <w:rPr>
      <w:lang w:val="en-US"/>
    </w:rPr>
  </w:style>
  <w:style w:type="paragraph" w:customStyle="1" w:styleId="Figure">
    <w:name w:val="Figure"/>
    <w:basedOn w:val="FigureNo"/>
    <w:next w:val="Normal"/>
    <w:rsid w:val="00B263D4"/>
    <w:pPr>
      <w:keepNext w:val="0"/>
      <w:spacing w:before="0" w:after="240"/>
    </w:pPr>
  </w:style>
  <w:style w:type="character" w:customStyle="1" w:styleId="Heading1Char">
    <w:name w:val="Heading 1 Char"/>
    <w:basedOn w:val="DefaultParagraphFont"/>
    <w:link w:val="Heading1"/>
    <w:rsid w:val="00E6067A"/>
    <w:rPr>
      <w:b/>
      <w:sz w:val="24"/>
      <w:lang w:val="fr-FR" w:eastAsia="en-US"/>
    </w:rPr>
  </w:style>
  <w:style w:type="character" w:customStyle="1" w:styleId="HeaderChar">
    <w:name w:val="Header Char"/>
    <w:basedOn w:val="DefaultParagraphFont"/>
    <w:link w:val="Header"/>
    <w:rsid w:val="00E6067A"/>
    <w:rPr>
      <w:sz w:val="24"/>
      <w:lang w:val="fr-FR" w:eastAsia="en-US"/>
    </w:rPr>
  </w:style>
  <w:style w:type="character" w:styleId="Hyperlink">
    <w:name w:val="Hyperlink"/>
    <w:basedOn w:val="DefaultParagraphFont"/>
    <w:uiPriority w:val="99"/>
    <w:rsid w:val="00E6067A"/>
    <w:rPr>
      <w:color w:val="0000FF"/>
      <w:u w:val="single"/>
    </w:rPr>
  </w:style>
  <w:style w:type="character" w:customStyle="1" w:styleId="FooterChar">
    <w:name w:val="Footer Char"/>
    <w:basedOn w:val="DefaultParagraphFont"/>
    <w:link w:val="Footer"/>
    <w:rsid w:val="00E6067A"/>
    <w:rPr>
      <w:noProof/>
      <w:sz w:val="18"/>
      <w:lang w:val="fr-FR" w:eastAsia="en-US"/>
    </w:rPr>
  </w:style>
  <w:style w:type="character" w:customStyle="1" w:styleId="FootnoteTextChar">
    <w:name w:val="Footnote Text Char"/>
    <w:basedOn w:val="DefaultParagraphFont"/>
    <w:link w:val="FootnoteText"/>
    <w:rsid w:val="00E6067A"/>
    <w:rPr>
      <w:sz w:val="22"/>
      <w:lang w:val="fr-FR" w:eastAsia="en-US"/>
    </w:rPr>
  </w:style>
  <w:style w:type="character" w:customStyle="1" w:styleId="Heading2Char">
    <w:name w:val="Heading 2 Char"/>
    <w:basedOn w:val="DefaultParagraphFont"/>
    <w:link w:val="Heading2"/>
    <w:rsid w:val="00E6067A"/>
    <w:rPr>
      <w:b/>
      <w:sz w:val="24"/>
      <w:lang w:val="fr-FR" w:eastAsia="en-US"/>
    </w:rPr>
  </w:style>
  <w:style w:type="character" w:customStyle="1" w:styleId="Heading3Char">
    <w:name w:val="Heading 3 Char"/>
    <w:basedOn w:val="DefaultParagraphFont"/>
    <w:link w:val="Heading3"/>
    <w:rsid w:val="00E6067A"/>
    <w:rPr>
      <w:b/>
      <w:sz w:val="24"/>
      <w:lang w:val="fr-FR" w:eastAsia="en-US"/>
    </w:rPr>
  </w:style>
  <w:style w:type="character" w:customStyle="1" w:styleId="Heading4Char">
    <w:name w:val="Heading 4 Char"/>
    <w:basedOn w:val="DefaultParagraphFont"/>
    <w:link w:val="Heading4"/>
    <w:rsid w:val="00E6067A"/>
    <w:rPr>
      <w:b/>
      <w:sz w:val="24"/>
      <w:lang w:val="fr-FR" w:eastAsia="en-US"/>
    </w:rPr>
  </w:style>
  <w:style w:type="character" w:customStyle="1" w:styleId="Heading5Char">
    <w:name w:val="Heading 5 Char"/>
    <w:basedOn w:val="DefaultParagraphFont"/>
    <w:link w:val="Heading5"/>
    <w:rsid w:val="00E6067A"/>
    <w:rPr>
      <w:b/>
      <w:sz w:val="24"/>
      <w:lang w:val="fr-FR" w:eastAsia="en-US"/>
    </w:rPr>
  </w:style>
  <w:style w:type="character" w:customStyle="1" w:styleId="Heading6Char">
    <w:name w:val="Heading 6 Char"/>
    <w:basedOn w:val="DefaultParagraphFont"/>
    <w:link w:val="Heading6"/>
    <w:rsid w:val="00E6067A"/>
    <w:rPr>
      <w:b/>
      <w:sz w:val="24"/>
      <w:lang w:val="fr-FR" w:eastAsia="en-US"/>
    </w:rPr>
  </w:style>
  <w:style w:type="character" w:customStyle="1" w:styleId="Heading7Char">
    <w:name w:val="Heading 7 Char"/>
    <w:basedOn w:val="DefaultParagraphFont"/>
    <w:link w:val="Heading7"/>
    <w:rsid w:val="00E6067A"/>
    <w:rPr>
      <w:b/>
      <w:sz w:val="24"/>
      <w:lang w:val="fr-FR" w:eastAsia="en-US"/>
    </w:rPr>
  </w:style>
  <w:style w:type="character" w:customStyle="1" w:styleId="Heading8Char">
    <w:name w:val="Heading 8 Char"/>
    <w:basedOn w:val="DefaultParagraphFont"/>
    <w:link w:val="Heading8"/>
    <w:rsid w:val="00E6067A"/>
    <w:rPr>
      <w:b/>
      <w:sz w:val="24"/>
      <w:lang w:val="fr-FR" w:eastAsia="en-US"/>
    </w:rPr>
  </w:style>
  <w:style w:type="character" w:customStyle="1" w:styleId="Heading9Char">
    <w:name w:val="Heading 9 Char"/>
    <w:basedOn w:val="DefaultParagraphFont"/>
    <w:link w:val="Heading9"/>
    <w:rsid w:val="00E6067A"/>
    <w:rPr>
      <w:b/>
      <w:sz w:val="24"/>
      <w:lang w:val="fr-FR" w:eastAsia="en-US"/>
    </w:rPr>
  </w:style>
  <w:style w:type="character" w:customStyle="1" w:styleId="enumlev1Char">
    <w:name w:val="enumlev1 Char"/>
    <w:basedOn w:val="DefaultParagraphFont"/>
    <w:link w:val="enumlev1"/>
    <w:rsid w:val="00E6067A"/>
    <w:rPr>
      <w:sz w:val="24"/>
      <w:lang w:val="fr-FR" w:eastAsia="en-US"/>
    </w:rPr>
  </w:style>
  <w:style w:type="character" w:customStyle="1" w:styleId="ArttitleCar">
    <w:name w:val="Art_title Car"/>
    <w:basedOn w:val="DefaultParagraphFont"/>
    <w:link w:val="Arttitle"/>
    <w:locked/>
    <w:rsid w:val="00E6067A"/>
    <w:rPr>
      <w:b/>
      <w:sz w:val="28"/>
      <w:lang w:val="fr-FR" w:eastAsia="en-US"/>
    </w:rPr>
  </w:style>
  <w:style w:type="character" w:customStyle="1" w:styleId="ArtNoChar">
    <w:name w:val="Art_No Char"/>
    <w:basedOn w:val="DefaultParagraphFont"/>
    <w:link w:val="ArtNo"/>
    <w:locked/>
    <w:rsid w:val="00E6067A"/>
    <w:rPr>
      <w:sz w:val="28"/>
      <w:lang w:val="fr-FR" w:eastAsia="en-US"/>
    </w:rPr>
  </w:style>
  <w:style w:type="character" w:customStyle="1" w:styleId="TabletextChar">
    <w:name w:val="Table_text Char"/>
    <w:basedOn w:val="DefaultParagraphFont"/>
    <w:link w:val="Tabletext"/>
    <w:locked/>
    <w:rsid w:val="001D74A7"/>
    <w:rPr>
      <w:sz w:val="22"/>
      <w:lang w:val="fr-FR" w:eastAsia="en-US"/>
    </w:rPr>
  </w:style>
  <w:style w:type="character" w:customStyle="1" w:styleId="NoteChar">
    <w:name w:val="Note Char"/>
    <w:basedOn w:val="DefaultParagraphFont"/>
    <w:link w:val="Note"/>
    <w:locked/>
    <w:rsid w:val="00E6067A"/>
    <w:rPr>
      <w:sz w:val="22"/>
      <w:lang w:val="fr-FR" w:eastAsia="en-US"/>
    </w:rPr>
  </w:style>
  <w:style w:type="character" w:customStyle="1" w:styleId="RestitleChar">
    <w:name w:val="Res_title Char"/>
    <w:basedOn w:val="DefaultParagraphFont"/>
    <w:link w:val="Restitle"/>
    <w:locked/>
    <w:rsid w:val="00E6067A"/>
    <w:rPr>
      <w:b/>
      <w:sz w:val="28"/>
      <w:lang w:val="fr-FR" w:eastAsia="en-US"/>
    </w:rPr>
  </w:style>
  <w:style w:type="character" w:customStyle="1" w:styleId="ResNoChar">
    <w:name w:val="Res_No Char"/>
    <w:basedOn w:val="DefaultParagraphFont"/>
    <w:link w:val="ResNo"/>
    <w:locked/>
    <w:rsid w:val="00E6067A"/>
    <w:rPr>
      <w:sz w:val="28"/>
      <w:lang w:val="fr-FR" w:eastAsia="en-US"/>
    </w:rPr>
  </w:style>
  <w:style w:type="character" w:customStyle="1" w:styleId="TableheadChar">
    <w:name w:val="Table_head Char"/>
    <w:basedOn w:val="DefaultParagraphFont"/>
    <w:link w:val="Tablehead"/>
    <w:rsid w:val="00E6067A"/>
    <w:rPr>
      <w:b/>
      <w:sz w:val="22"/>
      <w:lang w:val="fr-FR" w:eastAsia="en-US"/>
    </w:rPr>
  </w:style>
  <w:style w:type="character" w:customStyle="1" w:styleId="TabletitleChar">
    <w:name w:val="Table_title Char"/>
    <w:basedOn w:val="DefaultParagraphFont"/>
    <w:link w:val="Tabletitle"/>
    <w:rsid w:val="00E6067A"/>
    <w:rPr>
      <w:b/>
      <w:sz w:val="24"/>
      <w:lang w:val="fr-FR" w:eastAsia="en-US"/>
    </w:rPr>
  </w:style>
  <w:style w:type="character" w:customStyle="1" w:styleId="TableNoChar">
    <w:name w:val="Table_No Char"/>
    <w:basedOn w:val="DefaultParagraphFont"/>
    <w:link w:val="TableNo"/>
    <w:locked/>
    <w:rsid w:val="00E6067A"/>
    <w:rPr>
      <w:sz w:val="24"/>
      <w:lang w:val="fr-FR" w:eastAsia="en-US"/>
    </w:rPr>
  </w:style>
  <w:style w:type="character" w:customStyle="1" w:styleId="NormalaftertitleChar">
    <w:name w:val="Normal_after_title Char"/>
    <w:link w:val="Normalaftertitle"/>
    <w:locked/>
    <w:rsid w:val="00E6067A"/>
    <w:rPr>
      <w:sz w:val="24"/>
      <w:lang w:val="fr-FR" w:eastAsia="en-US"/>
    </w:rPr>
  </w:style>
  <w:style w:type="character" w:customStyle="1" w:styleId="CallChar">
    <w:name w:val="Call Char"/>
    <w:basedOn w:val="DefaultParagraphFont"/>
    <w:link w:val="Call"/>
    <w:locked/>
    <w:rsid w:val="00E6067A"/>
    <w:rPr>
      <w:i/>
      <w:sz w:val="24"/>
      <w:lang w:val="fr-FR" w:eastAsia="en-US"/>
    </w:rPr>
  </w:style>
  <w:style w:type="character" w:customStyle="1" w:styleId="TablelegendChar">
    <w:name w:val="Table_legend Char"/>
    <w:basedOn w:val="TabletextChar"/>
    <w:link w:val="Tablelegend"/>
    <w:rsid w:val="00E6067A"/>
    <w:rPr>
      <w:sz w:val="22"/>
      <w:lang w:val="fr-FR" w:eastAsia="en-US"/>
    </w:rPr>
  </w:style>
  <w:style w:type="character" w:customStyle="1" w:styleId="FiguretitleChar">
    <w:name w:val="Figure_title Char"/>
    <w:link w:val="Figuretitle"/>
    <w:locked/>
    <w:rsid w:val="00E6067A"/>
    <w:rPr>
      <w:rFonts w:ascii="Times New Roman Bold" w:hAnsi="Times New Roman Bold"/>
      <w:b/>
      <w:sz w:val="18"/>
      <w:lang w:val="fr-FR" w:eastAsia="en-US"/>
    </w:rPr>
  </w:style>
  <w:style w:type="character" w:customStyle="1" w:styleId="FigureNoChar">
    <w:name w:val="Figure_No Char"/>
    <w:link w:val="FigureNo"/>
    <w:locked/>
    <w:rsid w:val="00E6067A"/>
    <w:rPr>
      <w:caps/>
      <w:sz w:val="18"/>
      <w:lang w:val="fr-FR" w:eastAsia="en-US"/>
    </w:rPr>
  </w:style>
  <w:style w:type="paragraph" w:styleId="Revision">
    <w:name w:val="Revision"/>
    <w:hidden/>
    <w:uiPriority w:val="99"/>
    <w:semiHidden/>
    <w:rsid w:val="00E6067A"/>
    <w:rPr>
      <w:rFonts w:eastAsia="Batang"/>
      <w:sz w:val="24"/>
      <w:lang w:val="en-GB" w:eastAsia="en-US"/>
    </w:rPr>
  </w:style>
  <w:style w:type="character" w:customStyle="1" w:styleId="EquationChar">
    <w:name w:val="Equation Char"/>
    <w:link w:val="Equation"/>
    <w:rsid w:val="00E6067A"/>
    <w:rPr>
      <w:sz w:val="24"/>
      <w:lang w:val="fr-FR" w:eastAsia="en-US"/>
    </w:rPr>
  </w:style>
  <w:style w:type="character" w:customStyle="1" w:styleId="EquationlegendChar">
    <w:name w:val="Equation_legend Char"/>
    <w:link w:val="Equationlegend"/>
    <w:locked/>
    <w:rsid w:val="00E6067A"/>
    <w:rPr>
      <w:sz w:val="24"/>
      <w:lang w:eastAsia="en-US"/>
    </w:rPr>
  </w:style>
  <w:style w:type="character" w:customStyle="1" w:styleId="RectitleChar">
    <w:name w:val="Rec_title Char"/>
    <w:link w:val="Rectitle"/>
    <w:rsid w:val="00E6067A"/>
    <w:rPr>
      <w:b/>
      <w:sz w:val="28"/>
      <w:lang w:val="fr-FR" w:eastAsia="en-US"/>
    </w:rPr>
  </w:style>
  <w:style w:type="character" w:customStyle="1" w:styleId="RecNoChar">
    <w:name w:val="Rec_No Char"/>
    <w:link w:val="RecNo"/>
    <w:locked/>
    <w:rsid w:val="00E6067A"/>
    <w:rPr>
      <w:sz w:val="28"/>
      <w:lang w:val="fr-FR" w:eastAsia="en-US"/>
    </w:rPr>
  </w:style>
  <w:style w:type="character" w:customStyle="1" w:styleId="AnnexNoTitleChar1">
    <w:name w:val="Annex_NoTitle Char1"/>
    <w:link w:val="AnnexNoTitle"/>
    <w:locked/>
    <w:rsid w:val="00364142"/>
    <w:rPr>
      <w:b/>
      <w:sz w:val="28"/>
      <w:lang w:val="fr-FR" w:eastAsia="en-US"/>
    </w:rPr>
  </w:style>
  <w:style w:type="table" w:styleId="TableGrid">
    <w:name w:val="Table Grid"/>
    <w:basedOn w:val="TableNormal"/>
    <w:rsid w:val="00176299"/>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itu.int/rec/R-REC-SA.363/en" TargetMode="External"/><Relationship Id="rId26" Type="http://schemas.openxmlformats.org/officeDocument/2006/relationships/image" Target="media/image9.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itu.int/rec/R-REC-SA.363/en" TargetMode="External"/><Relationship Id="rId25" Type="http://schemas.openxmlformats.org/officeDocument/2006/relationships/hyperlink" Target="http://www.itu.int/rec/R-REC-SA.363/en" TargetMode="External"/><Relationship Id="rId33" Type="http://schemas.openxmlformats.org/officeDocument/2006/relationships/image" Target="media/image14.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itu.int/pub/R-REP-SA.2312" TargetMode="External"/><Relationship Id="rId20" Type="http://schemas.openxmlformats.org/officeDocument/2006/relationships/hyperlink" Target="http://www.itu.int/rec/R-REC-F.699/en" TargetMode="External"/><Relationship Id="rId29" Type="http://schemas.openxmlformats.org/officeDocument/2006/relationships/hyperlink" Target="http://www.itu.int/rec/R-REC-SA.363/e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package" Target="embeddings/Microsoft_Excel_Worksheet1.xls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6.emf"/><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www.itu.int/rec/R-REC-SA.363/e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yperlink" Target="http://www.itu.int/rec/R-REC-SA.363/en"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package" Target="embeddings/Microsoft_Excel_Worksheet.xlsx"/></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F1766-E55A-4919-9567-C96DC3DD7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TotalTime>
  <Pages>23</Pages>
  <Words>5648</Words>
  <Characters>32200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32</cp:revision>
  <cp:lastPrinted>2018-11-07T15:05:00Z</cp:lastPrinted>
  <dcterms:created xsi:type="dcterms:W3CDTF">2018-11-01T09:41:00Z</dcterms:created>
  <dcterms:modified xsi:type="dcterms:W3CDTF">2018-11-07T15:05:00Z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