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86C" w:rsidRPr="00CA3220" w:rsidRDefault="009E286C" w:rsidP="00664299">
      <w:pPr>
        <w:rPr>
          <w:lang w:val="fr-CH"/>
        </w:rPr>
      </w:pPr>
      <w:bookmarkStart w:id="0" w:name="_GoBack"/>
      <w:bookmarkEnd w:id="0"/>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p w:rsidR="009E286C" w:rsidRPr="00CA3220" w:rsidRDefault="009E286C" w:rsidP="00664299">
      <w:pPr>
        <w:rPr>
          <w:lang w:val="fr-CH"/>
        </w:rPr>
      </w:pPr>
    </w:p>
    <w:tbl>
      <w:tblPr>
        <w:tblW w:w="10089" w:type="dxa"/>
        <w:tblLook w:val="01E0" w:firstRow="1" w:lastRow="1" w:firstColumn="1" w:lastColumn="1" w:noHBand="0" w:noVBand="0"/>
      </w:tblPr>
      <w:tblGrid>
        <w:gridCol w:w="10089"/>
      </w:tblGrid>
      <w:tr w:rsidR="009E286C" w:rsidRPr="00CA3220" w:rsidTr="004D0B82">
        <w:tc>
          <w:tcPr>
            <w:tcW w:w="10089" w:type="dxa"/>
          </w:tcPr>
          <w:p w:rsidR="009E286C" w:rsidRPr="00CA3220" w:rsidRDefault="009E286C" w:rsidP="00664299">
            <w:pPr>
              <w:spacing w:before="380"/>
              <w:jc w:val="right"/>
              <w:rPr>
                <w:rFonts w:ascii="Tahoma" w:hAnsi="Tahoma" w:cs="Tahoma"/>
                <w:b/>
                <w:bCs/>
                <w:iCs/>
                <w:color w:val="509141"/>
                <w:sz w:val="32"/>
                <w:szCs w:val="32"/>
                <w:lang w:val="fr-CH"/>
              </w:rPr>
            </w:pPr>
            <w:r w:rsidRPr="00CA3220">
              <w:rPr>
                <w:rFonts w:ascii="Tahoma" w:hAnsi="Tahoma" w:cs="Tahoma"/>
                <w:b/>
                <w:bCs/>
                <w:iCs/>
                <w:color w:val="509141"/>
                <w:position w:val="-10"/>
                <w:sz w:val="32"/>
                <w:szCs w:val="32"/>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6.85pt" o:ole="">
                  <v:imagedata r:id="rId8" o:title=""/>
                </v:shape>
                <o:OLEObject Type="Embed" ProgID="Equation.3" ShapeID="_x0000_i1025" DrawAspect="Content" ObjectID="_1572260666" r:id="rId9"/>
              </w:object>
            </w:r>
          </w:p>
          <w:p w:rsidR="009E286C" w:rsidRPr="00CA3220" w:rsidRDefault="009E286C" w:rsidP="00664299">
            <w:pPr>
              <w:spacing w:before="380"/>
              <w:jc w:val="right"/>
              <w:rPr>
                <w:rFonts w:ascii="Tahoma" w:hAnsi="Tahoma" w:cs="Tahoma"/>
                <w:b/>
                <w:bCs/>
                <w:iCs/>
                <w:color w:val="509141"/>
                <w:sz w:val="36"/>
                <w:szCs w:val="36"/>
                <w:lang w:val="fr-CH"/>
              </w:rPr>
            </w:pPr>
            <w:r w:rsidRPr="00CA3220">
              <w:rPr>
                <w:rFonts w:ascii="Tahoma" w:hAnsi="Tahoma" w:cs="Tahoma"/>
                <w:b/>
                <w:bCs/>
                <w:iCs/>
                <w:color w:val="509141"/>
                <w:sz w:val="36"/>
                <w:szCs w:val="36"/>
                <w:lang w:val="fr-CH"/>
              </w:rPr>
              <w:t xml:space="preserve">Rapport  UIT-R  </w:t>
            </w:r>
            <w:r w:rsidR="00BE66B1" w:rsidRPr="00CA3220">
              <w:rPr>
                <w:rFonts w:ascii="Tahoma" w:hAnsi="Tahoma" w:cs="Tahoma"/>
                <w:b/>
                <w:bCs/>
                <w:iCs/>
                <w:color w:val="509141"/>
                <w:sz w:val="36"/>
                <w:szCs w:val="36"/>
                <w:lang w:val="fr-CH"/>
              </w:rPr>
              <w:t>S</w:t>
            </w:r>
            <w:r w:rsidR="005E2B1B" w:rsidRPr="00CA3220">
              <w:rPr>
                <w:rFonts w:ascii="Tahoma" w:hAnsi="Tahoma" w:cs="Tahoma"/>
                <w:b/>
                <w:bCs/>
                <w:iCs/>
                <w:color w:val="509141"/>
                <w:sz w:val="36"/>
                <w:szCs w:val="36"/>
                <w:lang w:val="fr-CH"/>
              </w:rPr>
              <w:t>M</w:t>
            </w:r>
            <w:r w:rsidRPr="00CA3220">
              <w:rPr>
                <w:rFonts w:ascii="Tahoma" w:hAnsi="Tahoma" w:cs="Tahoma"/>
                <w:b/>
                <w:bCs/>
                <w:iCs/>
                <w:color w:val="509141"/>
                <w:sz w:val="36"/>
                <w:szCs w:val="36"/>
                <w:lang w:val="fr-CH"/>
              </w:rPr>
              <w:t>.</w:t>
            </w:r>
            <w:r w:rsidR="006D2CCA" w:rsidRPr="00CA3220">
              <w:rPr>
                <w:rFonts w:ascii="Tahoma" w:hAnsi="Tahoma" w:cs="Tahoma"/>
                <w:b/>
                <w:bCs/>
                <w:iCs/>
                <w:color w:val="509141"/>
                <w:sz w:val="36"/>
                <w:szCs w:val="36"/>
                <w:lang w:val="fr-CH"/>
              </w:rPr>
              <w:t>2351-</w:t>
            </w:r>
            <w:r w:rsidR="00C12461" w:rsidRPr="00CA3220">
              <w:rPr>
                <w:rFonts w:ascii="Tahoma" w:hAnsi="Tahoma" w:cs="Tahoma"/>
                <w:b/>
                <w:bCs/>
                <w:iCs/>
                <w:color w:val="509141"/>
                <w:sz w:val="36"/>
                <w:szCs w:val="36"/>
                <w:lang w:val="fr-CH"/>
              </w:rPr>
              <w:t>1</w:t>
            </w:r>
          </w:p>
          <w:p w:rsidR="009E286C" w:rsidRPr="00CA3220" w:rsidRDefault="009E286C" w:rsidP="00664299">
            <w:pPr>
              <w:spacing w:before="80"/>
              <w:jc w:val="right"/>
              <w:rPr>
                <w:rFonts w:ascii="Tahoma" w:hAnsi="Tahoma" w:cs="Tahoma"/>
                <w:b/>
                <w:bCs/>
                <w:iCs/>
                <w:color w:val="509141"/>
                <w:szCs w:val="24"/>
                <w:lang w:val="fr-CH"/>
              </w:rPr>
            </w:pPr>
            <w:r w:rsidRPr="00CA3220">
              <w:rPr>
                <w:rFonts w:ascii="Tahoma" w:hAnsi="Tahoma" w:cs="Tahoma"/>
                <w:b/>
                <w:bCs/>
                <w:iCs/>
                <w:color w:val="509141"/>
                <w:szCs w:val="24"/>
                <w:lang w:val="fr-CH"/>
              </w:rPr>
              <w:t>(</w:t>
            </w:r>
            <w:r w:rsidR="00C12461" w:rsidRPr="00CA3220">
              <w:rPr>
                <w:rFonts w:ascii="Tahoma" w:hAnsi="Tahoma" w:cs="Tahoma"/>
                <w:b/>
                <w:bCs/>
                <w:iCs/>
                <w:color w:val="509141"/>
                <w:szCs w:val="24"/>
                <w:lang w:val="fr-CH"/>
              </w:rPr>
              <w:t>08/2016</w:t>
            </w:r>
            <w:r w:rsidRPr="00CA3220">
              <w:rPr>
                <w:rFonts w:ascii="Tahoma" w:hAnsi="Tahoma" w:cs="Tahoma"/>
                <w:b/>
                <w:bCs/>
                <w:iCs/>
                <w:color w:val="509141"/>
                <w:szCs w:val="24"/>
                <w:lang w:val="fr-CH"/>
              </w:rPr>
              <w:t>)</w:t>
            </w:r>
          </w:p>
        </w:tc>
      </w:tr>
      <w:tr w:rsidR="009E286C" w:rsidRPr="00CA3220" w:rsidTr="004D0B82">
        <w:tc>
          <w:tcPr>
            <w:tcW w:w="10089" w:type="dxa"/>
          </w:tcPr>
          <w:p w:rsidR="009E286C" w:rsidRPr="00CA3220" w:rsidRDefault="009E286C" w:rsidP="00664299">
            <w:pPr>
              <w:spacing w:before="80"/>
              <w:jc w:val="right"/>
              <w:rPr>
                <w:rFonts w:ascii="Tahoma" w:hAnsi="Tahoma" w:cs="Tahoma"/>
                <w:b/>
                <w:bCs/>
                <w:iCs/>
                <w:color w:val="509141"/>
                <w:sz w:val="44"/>
                <w:szCs w:val="44"/>
                <w:lang w:val="fr-CH"/>
              </w:rPr>
            </w:pPr>
          </w:p>
          <w:p w:rsidR="009E286C" w:rsidRPr="00CA3220" w:rsidRDefault="009E34ED" w:rsidP="00664299">
            <w:pPr>
              <w:spacing w:before="80"/>
              <w:jc w:val="right"/>
              <w:rPr>
                <w:rFonts w:ascii="Tahoma" w:hAnsi="Tahoma" w:cs="Tahoma"/>
                <w:b/>
                <w:bCs/>
                <w:iCs/>
                <w:color w:val="509141"/>
                <w:sz w:val="44"/>
                <w:szCs w:val="44"/>
                <w:lang w:val="fr-CH"/>
              </w:rPr>
            </w:pPr>
            <w:r w:rsidRPr="00CA3220">
              <w:rPr>
                <w:rFonts w:ascii="Tahoma" w:hAnsi="Tahoma" w:cs="Tahoma"/>
                <w:b/>
                <w:bCs/>
                <w:iCs/>
                <w:color w:val="509141"/>
                <w:sz w:val="44"/>
                <w:szCs w:val="44"/>
                <w:lang w:val="fr-CH"/>
              </w:rPr>
              <w:t>Systèmes de gestion des réseaux intelligents</w:t>
            </w:r>
            <w:r w:rsidR="00272B57" w:rsidRPr="00CA3220">
              <w:rPr>
                <w:rFonts w:ascii="Tahoma" w:hAnsi="Tahoma" w:cs="Tahoma"/>
                <w:b/>
                <w:bCs/>
                <w:iCs/>
                <w:color w:val="509141"/>
                <w:sz w:val="44"/>
                <w:szCs w:val="44"/>
                <w:lang w:val="fr-CH"/>
              </w:rPr>
              <w:t xml:space="preserve"> pour services collectifs      </w:t>
            </w:r>
            <w:r w:rsidRPr="00CA3220">
              <w:rPr>
                <w:rFonts w:ascii="Tahoma" w:hAnsi="Tahoma" w:cs="Tahoma"/>
                <w:b/>
                <w:bCs/>
                <w:iCs/>
                <w:color w:val="509141"/>
                <w:sz w:val="44"/>
                <w:szCs w:val="44"/>
                <w:lang w:val="fr-CH"/>
              </w:rPr>
              <w:t xml:space="preserve"> </w:t>
            </w:r>
            <w:r w:rsidRPr="00CA3220">
              <w:rPr>
                <w:rFonts w:ascii="Tahoma" w:hAnsi="Tahoma" w:cs="Tahoma"/>
                <w:b/>
                <w:bCs/>
                <w:iCs/>
                <w:color w:val="509141"/>
                <w:sz w:val="44"/>
                <w:szCs w:val="44"/>
                <w:lang w:val="fr-CH"/>
              </w:rPr>
              <w:br/>
            </w:r>
          </w:p>
        </w:tc>
      </w:tr>
      <w:tr w:rsidR="009E286C" w:rsidRPr="00CA3220" w:rsidTr="004D0B82">
        <w:tc>
          <w:tcPr>
            <w:tcW w:w="10089" w:type="dxa"/>
          </w:tcPr>
          <w:p w:rsidR="009E286C" w:rsidRPr="00CA3220" w:rsidRDefault="009E286C" w:rsidP="00664299">
            <w:pPr>
              <w:spacing w:before="80"/>
              <w:ind w:right="640"/>
              <w:rPr>
                <w:rFonts w:ascii="Tahoma" w:hAnsi="Tahoma" w:cs="Tahoma"/>
                <w:b/>
                <w:bCs/>
                <w:iCs/>
                <w:color w:val="243285"/>
                <w:sz w:val="32"/>
                <w:szCs w:val="32"/>
                <w:lang w:val="fr-CH"/>
              </w:rPr>
            </w:pPr>
          </w:p>
          <w:p w:rsidR="009E286C" w:rsidRPr="00CA3220" w:rsidRDefault="009E286C" w:rsidP="00664299">
            <w:pPr>
              <w:spacing w:before="80"/>
              <w:ind w:right="640"/>
              <w:rPr>
                <w:rFonts w:ascii="Tahoma" w:hAnsi="Tahoma" w:cs="Tahoma"/>
                <w:b/>
                <w:bCs/>
                <w:iCs/>
                <w:color w:val="243285"/>
                <w:sz w:val="32"/>
                <w:szCs w:val="32"/>
                <w:lang w:val="fr-CH"/>
              </w:rPr>
            </w:pPr>
          </w:p>
          <w:p w:rsidR="009E286C" w:rsidRPr="00CA3220" w:rsidRDefault="009E286C" w:rsidP="00664299">
            <w:pPr>
              <w:spacing w:before="80"/>
              <w:ind w:right="640"/>
              <w:rPr>
                <w:rFonts w:ascii="Tahoma" w:hAnsi="Tahoma" w:cs="Tahoma"/>
                <w:b/>
                <w:bCs/>
                <w:iCs/>
                <w:color w:val="243285"/>
                <w:sz w:val="32"/>
                <w:szCs w:val="32"/>
                <w:lang w:val="fr-CH"/>
              </w:rPr>
            </w:pPr>
          </w:p>
          <w:p w:rsidR="009E286C" w:rsidRPr="00CA3220" w:rsidRDefault="009E286C" w:rsidP="00664299">
            <w:pPr>
              <w:spacing w:before="80" w:after="180"/>
              <w:jc w:val="right"/>
              <w:rPr>
                <w:rFonts w:ascii="Tahoma" w:hAnsi="Tahoma" w:cs="Tahoma"/>
                <w:b/>
                <w:bCs/>
                <w:iCs/>
                <w:color w:val="243285"/>
                <w:sz w:val="36"/>
                <w:szCs w:val="36"/>
                <w:lang w:val="fr-CH"/>
              </w:rPr>
            </w:pPr>
          </w:p>
          <w:p w:rsidR="009E286C" w:rsidRPr="00CA3220" w:rsidRDefault="009E286C" w:rsidP="00664299">
            <w:pPr>
              <w:spacing w:before="80" w:after="180"/>
              <w:jc w:val="right"/>
              <w:rPr>
                <w:rFonts w:ascii="Tahoma" w:hAnsi="Tahoma" w:cs="Tahoma"/>
                <w:b/>
                <w:bCs/>
                <w:iCs/>
                <w:color w:val="509141"/>
                <w:sz w:val="36"/>
                <w:szCs w:val="36"/>
                <w:lang w:val="fr-CH"/>
              </w:rPr>
            </w:pPr>
            <w:r w:rsidRPr="00CA3220">
              <w:rPr>
                <w:rFonts w:ascii="Tahoma" w:hAnsi="Tahoma" w:cs="Tahoma"/>
                <w:b/>
                <w:bCs/>
                <w:iCs/>
                <w:color w:val="509141"/>
                <w:sz w:val="36"/>
                <w:szCs w:val="36"/>
                <w:lang w:val="fr-CH"/>
              </w:rPr>
              <w:t xml:space="preserve">Série </w:t>
            </w:r>
            <w:r w:rsidR="00BE66B1" w:rsidRPr="00CA3220">
              <w:rPr>
                <w:rFonts w:ascii="Tahoma" w:hAnsi="Tahoma" w:cs="Tahoma"/>
                <w:b/>
                <w:bCs/>
                <w:iCs/>
                <w:color w:val="509141"/>
                <w:sz w:val="36"/>
                <w:szCs w:val="36"/>
                <w:lang w:val="fr-CH"/>
              </w:rPr>
              <w:t>S</w:t>
            </w:r>
            <w:r w:rsidR="005E2B1B" w:rsidRPr="00CA3220">
              <w:rPr>
                <w:rFonts w:ascii="Tahoma" w:hAnsi="Tahoma" w:cs="Tahoma"/>
                <w:b/>
                <w:bCs/>
                <w:iCs/>
                <w:color w:val="509141"/>
                <w:sz w:val="36"/>
                <w:szCs w:val="36"/>
                <w:lang w:val="fr-CH"/>
              </w:rPr>
              <w:t>M</w:t>
            </w:r>
          </w:p>
          <w:p w:rsidR="009230C7" w:rsidRPr="00CA3220" w:rsidRDefault="005E2B1B" w:rsidP="00664299">
            <w:pPr>
              <w:spacing w:before="80"/>
              <w:jc w:val="right"/>
              <w:rPr>
                <w:rFonts w:ascii="Tahoma" w:hAnsi="Tahoma" w:cs="Tahoma"/>
                <w:b/>
                <w:bCs/>
                <w:iCs/>
                <w:color w:val="509141"/>
                <w:sz w:val="32"/>
                <w:szCs w:val="32"/>
                <w:lang w:val="fr-CH"/>
              </w:rPr>
            </w:pPr>
            <w:r w:rsidRPr="00CA3220">
              <w:rPr>
                <w:rFonts w:ascii="Tahoma" w:hAnsi="Tahoma" w:cs="Tahoma"/>
                <w:b/>
                <w:bCs/>
                <w:iCs/>
                <w:color w:val="509141"/>
                <w:sz w:val="36"/>
                <w:szCs w:val="36"/>
                <w:lang w:val="fr-CH"/>
              </w:rPr>
              <w:t>Gestion du spectre</w:t>
            </w:r>
          </w:p>
        </w:tc>
      </w:tr>
    </w:tbl>
    <w:p w:rsidR="009E286C" w:rsidRPr="00CA3220" w:rsidRDefault="009E286C" w:rsidP="00664299">
      <w:pPr>
        <w:spacing w:before="80"/>
        <w:rPr>
          <w:i/>
          <w:sz w:val="22"/>
          <w:lang w:val="fr-CH"/>
        </w:rPr>
      </w:pPr>
    </w:p>
    <w:p w:rsidR="009E286C" w:rsidRPr="00CA3220" w:rsidRDefault="009E286C" w:rsidP="00664299">
      <w:pPr>
        <w:spacing w:before="80"/>
        <w:rPr>
          <w:i/>
          <w:sz w:val="22"/>
          <w:lang w:val="fr-CH"/>
        </w:rPr>
      </w:pPr>
    </w:p>
    <w:p w:rsidR="009E286C" w:rsidRPr="00CA3220" w:rsidRDefault="009E286C" w:rsidP="00664299">
      <w:pPr>
        <w:spacing w:before="80"/>
        <w:rPr>
          <w:i/>
          <w:sz w:val="22"/>
          <w:lang w:val="fr-CH"/>
        </w:rPr>
      </w:pPr>
    </w:p>
    <w:p w:rsidR="009E286C" w:rsidRPr="00CA3220" w:rsidRDefault="009E286C" w:rsidP="00664299">
      <w:pPr>
        <w:spacing w:before="80"/>
        <w:rPr>
          <w:i/>
          <w:sz w:val="22"/>
          <w:lang w:val="fr-CH"/>
        </w:rPr>
      </w:pPr>
    </w:p>
    <w:p w:rsidR="009E286C" w:rsidRPr="00CA3220" w:rsidRDefault="009E286C" w:rsidP="00664299">
      <w:pPr>
        <w:spacing w:before="80"/>
        <w:rPr>
          <w:i/>
          <w:sz w:val="22"/>
          <w:lang w:val="fr-CH"/>
        </w:rPr>
      </w:pPr>
    </w:p>
    <w:p w:rsidR="009E286C" w:rsidRPr="00CA3220" w:rsidRDefault="009E286C" w:rsidP="00664299">
      <w:pPr>
        <w:spacing w:before="80"/>
        <w:rPr>
          <w:i/>
          <w:sz w:val="22"/>
          <w:lang w:val="fr-CH"/>
        </w:rPr>
      </w:pPr>
    </w:p>
    <w:p w:rsidR="005632C0" w:rsidRPr="00CA3220" w:rsidRDefault="005632C0" w:rsidP="00664299">
      <w:pPr>
        <w:pStyle w:val="Equation"/>
        <w:tabs>
          <w:tab w:val="clear" w:pos="4820"/>
          <w:tab w:val="clear" w:pos="9639"/>
          <w:tab w:val="left" w:pos="1191"/>
          <w:tab w:val="left" w:pos="1588"/>
          <w:tab w:val="left" w:pos="1985"/>
        </w:tabs>
        <w:rPr>
          <w:rFonts w:ascii="Palatino Linotype" w:hAnsi="Palatino Linotype"/>
          <w:lang w:val="fr-CH"/>
        </w:rPr>
        <w:sectPr w:rsidR="005632C0" w:rsidRPr="00CA3220">
          <w:headerReference w:type="even" r:id="rId10"/>
          <w:headerReference w:type="default" r:id="rId11"/>
          <w:pgSz w:w="11907" w:h="16840" w:code="9"/>
          <w:pgMar w:top="1089" w:right="1089" w:bottom="284" w:left="1089" w:header="567" w:footer="284" w:gutter="0"/>
          <w:pgNumType w:start="1"/>
          <w:cols w:space="720"/>
        </w:sectPr>
      </w:pPr>
    </w:p>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CA3220">
        <w:rPr>
          <w:bCs/>
          <w:sz w:val="24"/>
          <w:szCs w:val="24"/>
          <w:lang w:val="fr-CH"/>
        </w:rPr>
        <w:lastRenderedPageBreak/>
        <w:t>Avant-propos</w:t>
      </w:r>
    </w:p>
    <w:p w:rsidR="009E286C" w:rsidRPr="00CA3220" w:rsidRDefault="009E286C" w:rsidP="00664299">
      <w:pPr>
        <w:spacing w:before="240"/>
        <w:rPr>
          <w:sz w:val="20"/>
          <w:lang w:val="fr-CH"/>
        </w:rPr>
      </w:pPr>
      <w:r w:rsidRPr="00CA3220">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E286C" w:rsidRPr="00CA3220" w:rsidRDefault="009E286C" w:rsidP="00664299">
      <w:pPr>
        <w:rPr>
          <w:sz w:val="20"/>
          <w:lang w:val="fr-CH"/>
        </w:rPr>
      </w:pPr>
      <w:r w:rsidRPr="00CA322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9E286C" w:rsidRPr="00CA3220" w:rsidRDefault="009E286C" w:rsidP="00664299">
      <w:pPr>
        <w:spacing w:before="0"/>
        <w:rPr>
          <w:sz w:val="20"/>
          <w:lang w:val="fr-CH"/>
        </w:rPr>
      </w:pPr>
    </w:p>
    <w:p w:rsidR="009E286C" w:rsidRPr="00CA3220" w:rsidRDefault="009E286C" w:rsidP="00664299">
      <w:pPr>
        <w:spacing w:before="0"/>
        <w:rPr>
          <w:sz w:val="20"/>
          <w:lang w:val="fr-CH"/>
        </w:rPr>
      </w:pPr>
    </w:p>
    <w:p w:rsidR="009E286C" w:rsidRPr="00CA3220" w:rsidRDefault="009E286C" w:rsidP="00664299">
      <w:pPr>
        <w:pStyle w:val="Heading1"/>
        <w:spacing w:before="360"/>
        <w:jc w:val="center"/>
        <w:rPr>
          <w:szCs w:val="24"/>
          <w:lang w:val="fr-CH"/>
        </w:rPr>
      </w:pPr>
      <w:bookmarkStart w:id="2" w:name="_Toc440533888"/>
      <w:bookmarkStart w:id="3" w:name="_Toc498437757"/>
      <w:bookmarkStart w:id="4" w:name="_Toc498500095"/>
      <w:bookmarkStart w:id="5" w:name="_Toc498500346"/>
      <w:bookmarkStart w:id="6" w:name="_Toc498516111"/>
      <w:r w:rsidRPr="00CA3220">
        <w:rPr>
          <w:szCs w:val="24"/>
          <w:lang w:val="fr-CH"/>
        </w:rPr>
        <w:t>Politique en matière de droits de propriété intellectuelle (IPR)</w:t>
      </w:r>
      <w:bookmarkEnd w:id="2"/>
      <w:bookmarkEnd w:id="3"/>
      <w:bookmarkEnd w:id="4"/>
      <w:bookmarkEnd w:id="5"/>
      <w:bookmarkEnd w:id="6"/>
    </w:p>
    <w:p w:rsidR="009E286C" w:rsidRPr="00CA3220" w:rsidRDefault="009E286C" w:rsidP="00664299">
      <w:pPr>
        <w:spacing w:before="240"/>
        <w:rPr>
          <w:sz w:val="20"/>
          <w:lang w:val="fr-CH"/>
        </w:rPr>
      </w:pPr>
      <w:r w:rsidRPr="00CA3220">
        <w:rPr>
          <w:sz w:val="20"/>
          <w:lang w:val="fr-CH"/>
        </w:rPr>
        <w:t>La politique de l'UIT</w:t>
      </w:r>
      <w:r w:rsidRPr="00CA3220">
        <w:rPr>
          <w:sz w:val="20"/>
          <w:lang w:val="fr-CH"/>
        </w:rPr>
        <w:noBreakHyphen/>
        <w:t>R en matière de droits de propriété intellectuelle est décrite dans la «Politique commune de l'UIT</w:t>
      </w:r>
      <w:r w:rsidRPr="00CA3220">
        <w:rPr>
          <w:sz w:val="20"/>
          <w:lang w:val="fr-CH"/>
        </w:rPr>
        <w:noBreakHyphen/>
        <w:t>T, l'UIT</w:t>
      </w:r>
      <w:r w:rsidRPr="00CA3220">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CA3220">
          <w:rPr>
            <w:rStyle w:val="Hyperlink"/>
            <w:sz w:val="20"/>
            <w:lang w:val="fr-CH"/>
          </w:rPr>
          <w:t>http://www.itu.int/ITU-R/go/patents/fr</w:t>
        </w:r>
      </w:hyperlink>
      <w:r w:rsidRPr="00CA3220">
        <w:rPr>
          <w:sz w:val="20"/>
          <w:lang w:val="fr-CH"/>
        </w:rPr>
        <w:t>, où l'on trouvera également les Lignes directrices pour la mise en oeuvre de la politique commune en matière de brevets de l'UIT</w:t>
      </w:r>
      <w:r w:rsidRPr="00CA3220">
        <w:rPr>
          <w:sz w:val="20"/>
          <w:lang w:val="fr-CH"/>
        </w:rPr>
        <w:noBreakHyphen/>
        <w:t>T, l'UIT</w:t>
      </w:r>
      <w:r w:rsidRPr="00CA3220">
        <w:rPr>
          <w:sz w:val="20"/>
          <w:lang w:val="fr-CH"/>
        </w:rPr>
        <w:noBreakHyphen/>
        <w:t>R, l'ISO et la CEI</w:t>
      </w:r>
      <w:r w:rsidRPr="00CA3220" w:rsidDel="0061025C">
        <w:rPr>
          <w:sz w:val="20"/>
          <w:lang w:val="fr-CH"/>
        </w:rPr>
        <w:t xml:space="preserve"> </w:t>
      </w:r>
      <w:r w:rsidRPr="00CA3220">
        <w:rPr>
          <w:sz w:val="20"/>
          <w:lang w:val="fr-CH"/>
        </w:rPr>
        <w:t>et la base de données en matière de brevets de l'UIT-R.</w:t>
      </w:r>
    </w:p>
    <w:p w:rsidR="009E286C" w:rsidRPr="00CA3220" w:rsidRDefault="009E286C" w:rsidP="00664299">
      <w:pPr>
        <w:spacing w:before="0"/>
        <w:jc w:val="center"/>
        <w:rPr>
          <w:sz w:val="22"/>
          <w:lang w:val="fr-CH"/>
        </w:rPr>
      </w:pPr>
    </w:p>
    <w:p w:rsidR="009E286C" w:rsidRPr="00CA3220" w:rsidRDefault="009E286C" w:rsidP="0066429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286C" w:rsidRPr="00CA3220" w:rsidTr="004253E2">
        <w:tc>
          <w:tcPr>
            <w:tcW w:w="9360" w:type="dxa"/>
            <w:gridSpan w:val="2"/>
          </w:tcPr>
          <w:p w:rsidR="009E286C" w:rsidRPr="00CA3220" w:rsidRDefault="009E286C" w:rsidP="00664299">
            <w:pPr>
              <w:pStyle w:val="Chaptitle"/>
              <w:keepLines w:val="0"/>
              <w:tabs>
                <w:tab w:val="clear" w:pos="794"/>
                <w:tab w:val="clear" w:pos="1191"/>
                <w:tab w:val="clear" w:pos="1588"/>
                <w:tab w:val="clear" w:pos="1985"/>
              </w:tabs>
              <w:overflowPunct/>
              <w:spacing w:before="140"/>
              <w:textAlignment w:val="auto"/>
              <w:rPr>
                <w:sz w:val="22"/>
                <w:szCs w:val="22"/>
                <w:lang w:val="fr-CH"/>
              </w:rPr>
            </w:pPr>
            <w:r w:rsidRPr="00CA3220">
              <w:rPr>
                <w:sz w:val="22"/>
                <w:szCs w:val="22"/>
                <w:lang w:val="fr-CH"/>
              </w:rPr>
              <w:t xml:space="preserve">Séries des Rapports UIT-R </w:t>
            </w:r>
          </w:p>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A3220">
              <w:rPr>
                <w:b w:val="0"/>
                <w:sz w:val="18"/>
                <w:szCs w:val="18"/>
                <w:lang w:val="fr-CH"/>
              </w:rPr>
              <w:t xml:space="preserve">(Egalement disponible en ligne: </w:t>
            </w:r>
            <w:hyperlink r:id="rId13" w:history="1">
              <w:r w:rsidRPr="00CA3220">
                <w:rPr>
                  <w:rStyle w:val="Hyperlink"/>
                  <w:b w:val="0"/>
                  <w:sz w:val="18"/>
                  <w:szCs w:val="18"/>
                  <w:lang w:val="fr-CH"/>
                </w:rPr>
                <w:t>http://www.itu.int/publ/R-REP/fr</w:t>
              </w:r>
            </w:hyperlink>
            <w:r w:rsidRPr="00CA3220">
              <w:rPr>
                <w:b w:val="0"/>
                <w:bCs/>
                <w:sz w:val="18"/>
                <w:szCs w:val="18"/>
                <w:lang w:val="fr-CH"/>
              </w:rPr>
              <w:t>)</w:t>
            </w:r>
          </w:p>
        </w:tc>
      </w:tr>
      <w:tr w:rsidR="009E286C" w:rsidRPr="00CA3220" w:rsidTr="00322748">
        <w:tc>
          <w:tcPr>
            <w:tcW w:w="1140" w:type="dxa"/>
            <w:tcBorders>
              <w:bottom w:val="nil"/>
            </w:tcBorders>
          </w:tcPr>
          <w:p w:rsidR="009E286C" w:rsidRPr="00CA3220" w:rsidRDefault="009E286C" w:rsidP="00664299">
            <w:pPr>
              <w:spacing w:before="90" w:after="100"/>
              <w:ind w:left="57"/>
              <w:rPr>
                <w:b/>
                <w:bCs/>
                <w:sz w:val="20"/>
                <w:lang w:val="fr-CH"/>
              </w:rPr>
            </w:pPr>
            <w:r w:rsidRPr="00CA3220">
              <w:rPr>
                <w:b/>
                <w:bCs/>
                <w:sz w:val="20"/>
                <w:lang w:val="fr-CH"/>
              </w:rPr>
              <w:t>Séries</w:t>
            </w:r>
          </w:p>
        </w:tc>
        <w:tc>
          <w:tcPr>
            <w:tcW w:w="8220" w:type="dxa"/>
            <w:tcBorders>
              <w:bottom w:val="nil"/>
            </w:tcBorders>
          </w:tcPr>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A3220">
              <w:rPr>
                <w:bCs/>
                <w:sz w:val="20"/>
                <w:lang w:val="fr-CH"/>
              </w:rPr>
              <w:t>Titre</w:t>
            </w:r>
          </w:p>
        </w:tc>
      </w:tr>
      <w:tr w:rsidR="009E286C" w:rsidRPr="00CA3220" w:rsidTr="00BC69EE">
        <w:tc>
          <w:tcPr>
            <w:tcW w:w="1140" w:type="dxa"/>
            <w:tcBorders>
              <w:top w:val="nil"/>
              <w:bottom w:val="nil"/>
            </w:tcBorders>
            <w:shd w:val="clear" w:color="auto" w:fill="auto"/>
          </w:tcPr>
          <w:p w:rsidR="009E286C" w:rsidRPr="00CA3220" w:rsidRDefault="009E286C" w:rsidP="00664299">
            <w:pPr>
              <w:spacing w:before="30" w:after="30"/>
              <w:ind w:left="57"/>
              <w:jc w:val="left"/>
              <w:rPr>
                <w:b/>
                <w:sz w:val="20"/>
                <w:lang w:val="fr-CH"/>
              </w:rPr>
            </w:pPr>
            <w:r w:rsidRPr="00CA3220">
              <w:rPr>
                <w:b/>
                <w:sz w:val="20"/>
                <w:lang w:val="fr-CH"/>
              </w:rPr>
              <w:t>BO</w:t>
            </w:r>
          </w:p>
        </w:tc>
        <w:tc>
          <w:tcPr>
            <w:tcW w:w="8220" w:type="dxa"/>
            <w:tcBorders>
              <w:top w:val="nil"/>
              <w:bottom w:val="nil"/>
            </w:tcBorders>
            <w:shd w:val="clear" w:color="auto" w:fill="auto"/>
          </w:tcPr>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A3220">
              <w:rPr>
                <w:b w:val="0"/>
                <w:bCs/>
                <w:sz w:val="20"/>
                <w:lang w:val="fr-CH"/>
              </w:rPr>
              <w:t>Diffusion par satellite</w:t>
            </w:r>
          </w:p>
        </w:tc>
      </w:tr>
      <w:tr w:rsidR="009E286C" w:rsidRPr="00CA3220" w:rsidTr="00233361">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BR</w:t>
            </w:r>
          </w:p>
        </w:tc>
        <w:tc>
          <w:tcPr>
            <w:tcW w:w="8220" w:type="dxa"/>
            <w:tcBorders>
              <w:top w:val="nil"/>
              <w:bottom w:val="nil"/>
            </w:tcBorders>
            <w:shd w:val="clear" w:color="auto" w:fill="auto"/>
          </w:tcPr>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A3220">
              <w:rPr>
                <w:b w:val="0"/>
                <w:sz w:val="20"/>
                <w:lang w:val="fr-CH"/>
              </w:rPr>
              <w:t>Enregistrement pour la production, l'archivage et la diffusion; films pour la télévision</w:t>
            </w:r>
          </w:p>
        </w:tc>
      </w:tr>
      <w:tr w:rsidR="009E286C" w:rsidRPr="00CA3220" w:rsidTr="00704932">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BS</w:t>
            </w:r>
          </w:p>
        </w:tc>
        <w:tc>
          <w:tcPr>
            <w:tcW w:w="8220" w:type="dxa"/>
            <w:tcBorders>
              <w:top w:val="nil"/>
              <w:bottom w:val="nil"/>
            </w:tcBorders>
            <w:shd w:val="clear" w:color="auto" w:fill="auto"/>
          </w:tcPr>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A3220">
              <w:rPr>
                <w:b w:val="0"/>
                <w:sz w:val="20"/>
                <w:lang w:val="fr-CH"/>
              </w:rPr>
              <w:t>Service de radiodiffusion sonore</w:t>
            </w:r>
          </w:p>
        </w:tc>
      </w:tr>
      <w:tr w:rsidR="009E286C" w:rsidRPr="00CA3220" w:rsidTr="009230C7">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BT</w:t>
            </w:r>
          </w:p>
        </w:tc>
        <w:tc>
          <w:tcPr>
            <w:tcW w:w="8220" w:type="dxa"/>
            <w:tcBorders>
              <w:top w:val="nil"/>
              <w:bottom w:val="nil"/>
            </w:tcBorders>
            <w:shd w:val="clear" w:color="auto" w:fill="auto"/>
          </w:tcPr>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A3220">
              <w:rPr>
                <w:b w:val="0"/>
                <w:sz w:val="20"/>
                <w:lang w:val="fr-CH"/>
              </w:rPr>
              <w:t>Service de radiodiffusion télévisuelle</w:t>
            </w:r>
          </w:p>
        </w:tc>
      </w:tr>
      <w:tr w:rsidR="009E286C" w:rsidRPr="00CA3220" w:rsidTr="001D3951">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F</w:t>
            </w:r>
          </w:p>
        </w:tc>
        <w:tc>
          <w:tcPr>
            <w:tcW w:w="8220" w:type="dxa"/>
            <w:tcBorders>
              <w:top w:val="nil"/>
              <w:bottom w:val="nil"/>
            </w:tcBorders>
            <w:shd w:val="clear" w:color="auto" w:fill="auto"/>
          </w:tcPr>
          <w:p w:rsidR="009E286C" w:rsidRPr="00CA3220" w:rsidRDefault="009E286C" w:rsidP="006642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A3220">
              <w:rPr>
                <w:sz w:val="20"/>
                <w:lang w:val="fr-CH"/>
              </w:rPr>
              <w:t>Service fixe</w:t>
            </w:r>
          </w:p>
        </w:tc>
      </w:tr>
      <w:tr w:rsidR="009E286C" w:rsidRPr="00CA3220" w:rsidTr="00250106">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M</w:t>
            </w:r>
          </w:p>
        </w:tc>
        <w:tc>
          <w:tcPr>
            <w:tcW w:w="8220" w:type="dxa"/>
            <w:tcBorders>
              <w:top w:val="nil"/>
              <w:bottom w:val="nil"/>
            </w:tcBorders>
            <w:shd w:val="clear" w:color="auto" w:fill="auto"/>
          </w:tcPr>
          <w:p w:rsidR="009E286C" w:rsidRPr="00CA3220" w:rsidRDefault="009E286C" w:rsidP="006642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A3220">
              <w:rPr>
                <w:b w:val="0"/>
                <w:sz w:val="20"/>
                <w:lang w:val="fr-CH"/>
              </w:rPr>
              <w:t>Services mobile, de radiorepérage et d'amateur y compris les services par satellite associés</w:t>
            </w:r>
          </w:p>
        </w:tc>
      </w:tr>
      <w:tr w:rsidR="009E286C" w:rsidRPr="00CA3220" w:rsidTr="00BE66B1">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P</w:t>
            </w:r>
          </w:p>
        </w:tc>
        <w:tc>
          <w:tcPr>
            <w:tcW w:w="8220" w:type="dxa"/>
            <w:tcBorders>
              <w:top w:val="nil"/>
              <w:bottom w:val="nil"/>
            </w:tcBorders>
            <w:shd w:val="clear" w:color="auto" w:fill="auto"/>
          </w:tcPr>
          <w:p w:rsidR="009E286C" w:rsidRPr="00CA3220" w:rsidRDefault="009E286C" w:rsidP="00664299">
            <w:pPr>
              <w:spacing w:before="30" w:after="30"/>
              <w:jc w:val="left"/>
              <w:rPr>
                <w:sz w:val="20"/>
                <w:lang w:val="fr-CH"/>
              </w:rPr>
            </w:pPr>
            <w:r w:rsidRPr="00CA3220">
              <w:rPr>
                <w:sz w:val="20"/>
                <w:lang w:val="fr-CH"/>
              </w:rPr>
              <w:t>Propagation des ondes radioélectriques</w:t>
            </w:r>
          </w:p>
        </w:tc>
      </w:tr>
      <w:tr w:rsidR="009E286C" w:rsidRPr="00CA3220" w:rsidTr="00B03866">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RA</w:t>
            </w:r>
          </w:p>
        </w:tc>
        <w:tc>
          <w:tcPr>
            <w:tcW w:w="8220" w:type="dxa"/>
            <w:tcBorders>
              <w:top w:val="nil"/>
              <w:bottom w:val="nil"/>
            </w:tcBorders>
            <w:shd w:val="clear" w:color="auto" w:fill="auto"/>
          </w:tcPr>
          <w:p w:rsidR="009E286C" w:rsidRPr="00CA3220" w:rsidRDefault="009E286C" w:rsidP="006642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A3220">
              <w:rPr>
                <w:sz w:val="20"/>
                <w:lang w:val="fr-CH"/>
              </w:rPr>
              <w:t>Radio astronomie</w:t>
            </w:r>
          </w:p>
        </w:tc>
      </w:tr>
      <w:tr w:rsidR="009E286C" w:rsidRPr="00CA3220" w:rsidTr="004A523E">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RS</w:t>
            </w:r>
          </w:p>
        </w:tc>
        <w:tc>
          <w:tcPr>
            <w:tcW w:w="8220" w:type="dxa"/>
            <w:tcBorders>
              <w:top w:val="nil"/>
              <w:bottom w:val="nil"/>
            </w:tcBorders>
            <w:shd w:val="clear" w:color="auto" w:fill="auto"/>
          </w:tcPr>
          <w:p w:rsidR="009E286C" w:rsidRPr="00CA3220" w:rsidRDefault="009E286C" w:rsidP="006642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A3220">
              <w:rPr>
                <w:sz w:val="20"/>
                <w:lang w:val="fr-CH"/>
              </w:rPr>
              <w:t>Systèmes de télédétection</w:t>
            </w:r>
          </w:p>
        </w:tc>
      </w:tr>
      <w:tr w:rsidR="009E286C" w:rsidRPr="00CA3220" w:rsidTr="0071504A">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S</w:t>
            </w:r>
          </w:p>
        </w:tc>
        <w:tc>
          <w:tcPr>
            <w:tcW w:w="8220" w:type="dxa"/>
            <w:tcBorders>
              <w:top w:val="nil"/>
              <w:bottom w:val="nil"/>
            </w:tcBorders>
            <w:shd w:val="clear" w:color="auto" w:fill="auto"/>
          </w:tcPr>
          <w:p w:rsidR="009E286C" w:rsidRPr="00CA3220" w:rsidRDefault="009E286C" w:rsidP="00664299">
            <w:pPr>
              <w:spacing w:before="30" w:after="30"/>
              <w:jc w:val="left"/>
              <w:rPr>
                <w:sz w:val="20"/>
                <w:lang w:val="fr-CH"/>
              </w:rPr>
            </w:pPr>
            <w:r w:rsidRPr="00CA3220">
              <w:rPr>
                <w:sz w:val="20"/>
                <w:lang w:val="fr-CH"/>
              </w:rPr>
              <w:t>Service</w:t>
            </w:r>
            <w:r w:rsidR="00AE342D" w:rsidRPr="00CA3220">
              <w:rPr>
                <w:sz w:val="20"/>
                <w:lang w:val="fr-CH"/>
              </w:rPr>
              <w:t xml:space="preserve"> fixe</w:t>
            </w:r>
            <w:r w:rsidRPr="00CA3220">
              <w:rPr>
                <w:sz w:val="20"/>
                <w:lang w:val="fr-CH"/>
              </w:rPr>
              <w:t xml:space="preserve"> par satellite</w:t>
            </w:r>
          </w:p>
        </w:tc>
      </w:tr>
      <w:tr w:rsidR="009E286C" w:rsidRPr="00CA3220" w:rsidTr="005E2B1B">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SA</w:t>
            </w:r>
          </w:p>
        </w:tc>
        <w:tc>
          <w:tcPr>
            <w:tcW w:w="8220" w:type="dxa"/>
            <w:tcBorders>
              <w:top w:val="nil"/>
              <w:bottom w:val="nil"/>
            </w:tcBorders>
            <w:shd w:val="clear" w:color="auto" w:fill="auto"/>
          </w:tcPr>
          <w:p w:rsidR="009E286C" w:rsidRPr="00CA3220" w:rsidRDefault="009E286C" w:rsidP="00664299">
            <w:pPr>
              <w:spacing w:before="30" w:after="30"/>
              <w:jc w:val="left"/>
              <w:rPr>
                <w:sz w:val="20"/>
                <w:lang w:val="fr-CH"/>
              </w:rPr>
            </w:pPr>
            <w:r w:rsidRPr="00CA3220">
              <w:rPr>
                <w:sz w:val="20"/>
                <w:lang w:val="fr-CH"/>
              </w:rPr>
              <w:t>Applications spatiales et météorologie</w:t>
            </w:r>
          </w:p>
        </w:tc>
      </w:tr>
      <w:tr w:rsidR="009E286C" w:rsidRPr="00CA3220" w:rsidTr="005E2B1B">
        <w:tc>
          <w:tcPr>
            <w:tcW w:w="1140" w:type="dxa"/>
            <w:tcBorders>
              <w:top w:val="nil"/>
              <w:bottom w:val="nil"/>
            </w:tcBorders>
            <w:shd w:val="clear" w:color="auto" w:fill="auto"/>
          </w:tcPr>
          <w:p w:rsidR="009E286C" w:rsidRPr="00CA3220" w:rsidRDefault="009E286C" w:rsidP="00664299">
            <w:pPr>
              <w:spacing w:before="30" w:after="30"/>
              <w:ind w:left="57"/>
              <w:jc w:val="left"/>
              <w:rPr>
                <w:b/>
                <w:bCs/>
                <w:sz w:val="20"/>
                <w:lang w:val="fr-CH"/>
              </w:rPr>
            </w:pPr>
            <w:r w:rsidRPr="00CA3220">
              <w:rPr>
                <w:b/>
                <w:bCs/>
                <w:sz w:val="20"/>
                <w:lang w:val="fr-CH"/>
              </w:rPr>
              <w:t>SF</w:t>
            </w:r>
          </w:p>
        </w:tc>
        <w:tc>
          <w:tcPr>
            <w:tcW w:w="8220" w:type="dxa"/>
            <w:tcBorders>
              <w:top w:val="nil"/>
              <w:bottom w:val="nil"/>
            </w:tcBorders>
            <w:shd w:val="clear" w:color="auto" w:fill="auto"/>
          </w:tcPr>
          <w:p w:rsidR="009E286C" w:rsidRPr="00CA3220" w:rsidRDefault="009E286C" w:rsidP="00664299">
            <w:pPr>
              <w:spacing w:before="30" w:after="30"/>
              <w:jc w:val="left"/>
              <w:rPr>
                <w:sz w:val="20"/>
                <w:lang w:val="fr-CH"/>
              </w:rPr>
            </w:pPr>
            <w:r w:rsidRPr="00CA3220">
              <w:rPr>
                <w:sz w:val="20"/>
                <w:lang w:val="fr-CH"/>
              </w:rPr>
              <w:t>Partage des fréquences et coordination entre les systèmes du service fixe par satellite et du service fixe</w:t>
            </w:r>
          </w:p>
        </w:tc>
      </w:tr>
      <w:tr w:rsidR="009E286C" w:rsidRPr="00CA3220" w:rsidTr="00EB0625">
        <w:tc>
          <w:tcPr>
            <w:tcW w:w="1140" w:type="dxa"/>
            <w:tcBorders>
              <w:top w:val="nil"/>
              <w:bottom w:val="nil"/>
            </w:tcBorders>
            <w:shd w:val="clear" w:color="auto" w:fill="F3F3F3"/>
          </w:tcPr>
          <w:p w:rsidR="009E286C" w:rsidRPr="00CA3220" w:rsidRDefault="009E286C" w:rsidP="00664299">
            <w:pPr>
              <w:spacing w:before="30" w:after="30"/>
              <w:ind w:left="57"/>
              <w:jc w:val="left"/>
              <w:rPr>
                <w:b/>
                <w:bCs/>
                <w:color w:val="000080"/>
                <w:sz w:val="20"/>
                <w:lang w:val="fr-CH"/>
              </w:rPr>
            </w:pPr>
            <w:r w:rsidRPr="00CA3220">
              <w:rPr>
                <w:b/>
                <w:bCs/>
                <w:color w:val="000080"/>
                <w:sz w:val="20"/>
                <w:lang w:val="fr-CH"/>
              </w:rPr>
              <w:t>SM</w:t>
            </w:r>
          </w:p>
        </w:tc>
        <w:tc>
          <w:tcPr>
            <w:tcW w:w="8220" w:type="dxa"/>
            <w:tcBorders>
              <w:top w:val="nil"/>
              <w:bottom w:val="nil"/>
            </w:tcBorders>
            <w:shd w:val="clear" w:color="auto" w:fill="F3F3F3"/>
          </w:tcPr>
          <w:p w:rsidR="009E286C" w:rsidRPr="00CA3220" w:rsidRDefault="009E286C" w:rsidP="00664299">
            <w:pPr>
              <w:spacing w:before="30" w:after="30"/>
              <w:jc w:val="left"/>
              <w:rPr>
                <w:b/>
                <w:bCs/>
                <w:color w:val="000080"/>
                <w:sz w:val="20"/>
                <w:lang w:val="fr-CH"/>
              </w:rPr>
            </w:pPr>
            <w:r w:rsidRPr="00CA3220">
              <w:rPr>
                <w:b/>
                <w:bCs/>
                <w:color w:val="000080"/>
                <w:sz w:val="20"/>
                <w:lang w:val="fr-CH"/>
              </w:rPr>
              <w:t>Gestion du spectre</w:t>
            </w:r>
          </w:p>
        </w:tc>
      </w:tr>
      <w:tr w:rsidR="00EB0625" w:rsidRPr="00CA3220" w:rsidTr="00EB0625">
        <w:tc>
          <w:tcPr>
            <w:tcW w:w="1140" w:type="dxa"/>
            <w:tcBorders>
              <w:top w:val="nil"/>
              <w:bottom w:val="single" w:sz="12" w:space="0" w:color="000080"/>
            </w:tcBorders>
            <w:shd w:val="clear" w:color="auto" w:fill="auto"/>
          </w:tcPr>
          <w:p w:rsidR="00EB0625" w:rsidRPr="00CA3220" w:rsidRDefault="00EB0625" w:rsidP="00664299">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EB0625" w:rsidRPr="00CA3220" w:rsidRDefault="00EB0625" w:rsidP="00664299">
            <w:pPr>
              <w:spacing w:before="30" w:after="30"/>
              <w:jc w:val="left"/>
              <w:rPr>
                <w:b/>
                <w:bCs/>
                <w:sz w:val="20"/>
                <w:lang w:val="fr-CH"/>
              </w:rPr>
            </w:pPr>
          </w:p>
        </w:tc>
      </w:tr>
    </w:tbl>
    <w:p w:rsidR="009E286C" w:rsidRPr="00CA3220" w:rsidRDefault="009E286C" w:rsidP="00664299">
      <w:pPr>
        <w:spacing w:before="0"/>
        <w:jc w:val="center"/>
        <w:rPr>
          <w:sz w:val="20"/>
          <w:lang w:val="fr-CH"/>
        </w:rPr>
      </w:pPr>
    </w:p>
    <w:p w:rsidR="009E286C" w:rsidRPr="00CA3220" w:rsidRDefault="009E286C" w:rsidP="00664299">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E286C" w:rsidRPr="00CA3220" w:rsidTr="004D0B82">
        <w:tc>
          <w:tcPr>
            <w:tcW w:w="9360" w:type="dxa"/>
          </w:tcPr>
          <w:p w:rsidR="009E286C" w:rsidRPr="00CA3220" w:rsidRDefault="009E286C" w:rsidP="00664299">
            <w:pPr>
              <w:spacing w:before="80" w:after="80"/>
              <w:jc w:val="left"/>
              <w:rPr>
                <w:i/>
                <w:iCs/>
                <w:sz w:val="20"/>
                <w:lang w:val="fr-CH"/>
              </w:rPr>
            </w:pPr>
            <w:r w:rsidRPr="00CA3220">
              <w:rPr>
                <w:b/>
                <w:bCs/>
                <w:i/>
                <w:iCs/>
                <w:sz w:val="20"/>
                <w:lang w:val="fr-CH"/>
              </w:rPr>
              <w:t>Note</w:t>
            </w:r>
            <w:r w:rsidRPr="00CA3220">
              <w:rPr>
                <w:i/>
                <w:iCs/>
                <w:sz w:val="20"/>
                <w:lang w:val="fr-CH"/>
              </w:rPr>
              <w:t xml:space="preserve">: Ce Rapport UIT-R a été approuvé en anglais par la Commission d’études aux termes de la procédure détaillée dans la Résolution UIT-R 1. </w:t>
            </w:r>
          </w:p>
        </w:tc>
      </w:tr>
    </w:tbl>
    <w:p w:rsidR="009E286C" w:rsidRPr="00CA3220" w:rsidRDefault="009E286C" w:rsidP="00664299">
      <w:pPr>
        <w:spacing w:before="0"/>
        <w:jc w:val="center"/>
        <w:rPr>
          <w:sz w:val="22"/>
          <w:lang w:val="fr-CH"/>
        </w:rPr>
      </w:pPr>
    </w:p>
    <w:p w:rsidR="009E286C" w:rsidRPr="00CA3220" w:rsidRDefault="009E286C" w:rsidP="00664299">
      <w:pPr>
        <w:spacing w:before="100"/>
        <w:jc w:val="right"/>
        <w:rPr>
          <w:i/>
          <w:iCs/>
          <w:sz w:val="20"/>
          <w:lang w:val="fr-CH"/>
        </w:rPr>
      </w:pPr>
      <w:r w:rsidRPr="00CA3220">
        <w:rPr>
          <w:i/>
          <w:iCs/>
          <w:sz w:val="20"/>
          <w:lang w:val="fr-CH"/>
        </w:rPr>
        <w:t>Publication électronique</w:t>
      </w:r>
    </w:p>
    <w:p w:rsidR="009E286C" w:rsidRPr="00CA3220" w:rsidRDefault="009E286C" w:rsidP="00D861C9">
      <w:pPr>
        <w:spacing w:before="0"/>
        <w:jc w:val="right"/>
        <w:rPr>
          <w:sz w:val="20"/>
          <w:lang w:val="fr-CH"/>
        </w:rPr>
      </w:pPr>
      <w:r w:rsidRPr="00CA3220">
        <w:rPr>
          <w:sz w:val="20"/>
          <w:lang w:val="fr-CH"/>
        </w:rPr>
        <w:t>Genève, 20</w:t>
      </w:r>
      <w:r w:rsidR="004B10DD" w:rsidRPr="00CA3220">
        <w:rPr>
          <w:sz w:val="20"/>
          <w:lang w:val="fr-CH"/>
        </w:rPr>
        <w:t>1</w:t>
      </w:r>
      <w:r w:rsidR="00D861C9">
        <w:rPr>
          <w:sz w:val="20"/>
          <w:lang w:val="fr-CH"/>
        </w:rPr>
        <w:t>7</w:t>
      </w:r>
    </w:p>
    <w:p w:rsidR="009E286C" w:rsidRPr="00CA3220" w:rsidRDefault="009E286C" w:rsidP="00664299">
      <w:pPr>
        <w:spacing w:before="200"/>
        <w:jc w:val="center"/>
        <w:rPr>
          <w:sz w:val="20"/>
          <w:lang w:val="fr-CH"/>
        </w:rPr>
      </w:pPr>
      <w:r w:rsidRPr="00CA3220">
        <w:rPr>
          <w:sz w:val="20"/>
          <w:lang w:val="fr-CH"/>
        </w:rPr>
        <w:sym w:font="Symbol" w:char="F0E3"/>
      </w:r>
      <w:r w:rsidRPr="00CA3220">
        <w:rPr>
          <w:sz w:val="20"/>
          <w:lang w:val="fr-CH"/>
        </w:rPr>
        <w:t xml:space="preserve"> UIT 20</w:t>
      </w:r>
      <w:r w:rsidR="004B10DD" w:rsidRPr="00CA3220">
        <w:rPr>
          <w:sz w:val="20"/>
          <w:lang w:val="fr-CH"/>
        </w:rPr>
        <w:t>1</w:t>
      </w:r>
      <w:r w:rsidR="00D861C9">
        <w:rPr>
          <w:sz w:val="20"/>
          <w:lang w:val="fr-CH"/>
        </w:rPr>
        <w:t>7</w:t>
      </w:r>
    </w:p>
    <w:p w:rsidR="005632C0" w:rsidRPr="00CA3220" w:rsidRDefault="009E286C" w:rsidP="00664299">
      <w:pPr>
        <w:spacing w:before="80"/>
        <w:rPr>
          <w:sz w:val="18"/>
          <w:szCs w:val="18"/>
          <w:lang w:val="fr-CH"/>
        </w:rPr>
      </w:pPr>
      <w:r w:rsidRPr="00CA3220">
        <w:rPr>
          <w:sz w:val="18"/>
          <w:szCs w:val="18"/>
          <w:lang w:val="fr-CH"/>
        </w:rPr>
        <w:t>Tous droits réservés. Aucune partie de cette publication ne peut être reproduite, par quelque procédé que ce soit, sans l’accord écrit préalable de l’UIT.</w:t>
      </w:r>
    </w:p>
    <w:p w:rsidR="005632C0" w:rsidRPr="00CA3220" w:rsidRDefault="005632C0" w:rsidP="00664299">
      <w:pPr>
        <w:spacing w:before="160"/>
        <w:rPr>
          <w:i/>
          <w:sz w:val="20"/>
          <w:highlight w:val="yellow"/>
          <w:lang w:val="fr-CH"/>
        </w:rPr>
        <w:sectPr w:rsidR="005632C0" w:rsidRPr="00CA3220" w:rsidSect="007565CC">
          <w:headerReference w:type="even" r:id="rId14"/>
          <w:headerReference w:type="default" r:id="rId15"/>
          <w:pgSz w:w="11907" w:h="16834" w:code="9"/>
          <w:pgMar w:top="1418" w:right="1134" w:bottom="1134" w:left="1134" w:header="720" w:footer="482" w:gutter="0"/>
          <w:pgNumType w:fmt="lowerRoman" w:start="2"/>
          <w:cols w:space="720"/>
        </w:sectPr>
      </w:pPr>
    </w:p>
    <w:p w:rsidR="00DE31BE" w:rsidRPr="00CA3220" w:rsidRDefault="00F31654" w:rsidP="00664299">
      <w:pPr>
        <w:pStyle w:val="RecNo"/>
        <w:spacing w:before="240"/>
        <w:rPr>
          <w:lang w:val="fr-CH"/>
        </w:rPr>
      </w:pPr>
      <w:r w:rsidRPr="00CA3220">
        <w:rPr>
          <w:lang w:val="fr-CH"/>
        </w:rPr>
        <w:lastRenderedPageBreak/>
        <w:t xml:space="preserve">RAPPORT  </w:t>
      </w:r>
      <w:r w:rsidRPr="00CA3220">
        <w:rPr>
          <w:rStyle w:val="href"/>
          <w:lang w:val="fr-CH"/>
        </w:rPr>
        <w:t>UIT-R  SM.2351-</w:t>
      </w:r>
      <w:r w:rsidR="00C12461" w:rsidRPr="00CA3220">
        <w:rPr>
          <w:rStyle w:val="href"/>
          <w:lang w:val="fr-CH"/>
        </w:rPr>
        <w:t>1</w:t>
      </w:r>
    </w:p>
    <w:p w:rsidR="00DE31BE" w:rsidRPr="00CA3220" w:rsidRDefault="00DE31BE" w:rsidP="00664299">
      <w:pPr>
        <w:pStyle w:val="Rectitle"/>
        <w:rPr>
          <w:lang w:val="fr-CH"/>
        </w:rPr>
      </w:pPr>
      <w:r w:rsidRPr="00CA3220">
        <w:rPr>
          <w:lang w:val="fr-CH"/>
        </w:rPr>
        <w:t xml:space="preserve">Systèmes de gestion des réseaux intelligents </w:t>
      </w:r>
      <w:r w:rsidRPr="00CA3220">
        <w:rPr>
          <w:lang w:val="fr-CH"/>
        </w:rPr>
        <w:br/>
        <w:t>pour services collectifs</w:t>
      </w:r>
    </w:p>
    <w:p w:rsidR="00DE31BE" w:rsidRPr="00CA3220" w:rsidRDefault="00DE31BE" w:rsidP="00664299">
      <w:pPr>
        <w:pStyle w:val="Recdate"/>
        <w:rPr>
          <w:lang w:val="fr-CH"/>
        </w:rPr>
      </w:pPr>
      <w:r w:rsidRPr="00CA3220">
        <w:rPr>
          <w:lang w:val="fr-CH"/>
        </w:rPr>
        <w:t>(2015)</w:t>
      </w:r>
    </w:p>
    <w:p w:rsidR="00DE31BE" w:rsidRPr="00CA3220" w:rsidRDefault="00DE31BE" w:rsidP="00664299">
      <w:pPr>
        <w:pStyle w:val="Title1"/>
        <w:rPr>
          <w:lang w:val="fr-CH"/>
        </w:rPr>
      </w:pPr>
      <w:r w:rsidRPr="00CA3220">
        <w:rPr>
          <w:lang w:val="fr-CH"/>
        </w:rPr>
        <w:t>Table des matières</w:t>
      </w:r>
    </w:p>
    <w:p w:rsidR="00953485" w:rsidRDefault="00953485" w:rsidP="00953485">
      <w:pPr>
        <w:pStyle w:val="toc0"/>
        <w:ind w:right="992"/>
        <w:rPr>
          <w:noProof/>
        </w:rPr>
      </w:pPr>
      <w:bookmarkStart w:id="7" w:name="_Toc438029873"/>
      <w:bookmarkStart w:id="8" w:name="_Toc440533889"/>
      <w:r>
        <w:rPr>
          <w:lang w:val="fr-CH"/>
        </w:rPr>
        <w:tab/>
        <w:t>Page</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1</w:t>
      </w:r>
      <w:r w:rsidRPr="00953485">
        <w:rPr>
          <w:rFonts w:asciiTheme="minorHAnsi" w:eastAsiaTheme="minorEastAsia" w:hAnsiTheme="minorHAnsi" w:cstheme="minorBidi"/>
          <w:noProof/>
          <w:sz w:val="22"/>
          <w:szCs w:val="22"/>
          <w:lang w:val="fr-FR" w:eastAsia="zh-CN"/>
        </w:rPr>
        <w:tab/>
      </w:r>
      <w:r w:rsidRPr="00953485">
        <w:rPr>
          <w:noProof/>
          <w:lang w:val="fr-CH"/>
        </w:rPr>
        <w:t>Introduction</w:t>
      </w:r>
      <w:r>
        <w:rPr>
          <w:noProof/>
          <w:lang w:val="fr-CH"/>
        </w:rPr>
        <w:tab/>
      </w:r>
      <w:r>
        <w:rPr>
          <w:noProof/>
          <w:lang w:val="fr-CH"/>
        </w:rPr>
        <w:tab/>
      </w:r>
      <w:r w:rsidRPr="00953485">
        <w:rPr>
          <w:noProof/>
          <w:lang w:val="fr-FR"/>
        </w:rPr>
        <w:t>3</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2</w:t>
      </w:r>
      <w:r w:rsidRPr="00953485">
        <w:rPr>
          <w:rFonts w:asciiTheme="minorHAnsi" w:eastAsiaTheme="minorEastAsia" w:hAnsiTheme="minorHAnsi" w:cstheme="minorBidi"/>
          <w:noProof/>
          <w:sz w:val="22"/>
          <w:szCs w:val="22"/>
          <w:lang w:val="fr-FR" w:eastAsia="zh-CN"/>
        </w:rPr>
        <w:tab/>
      </w:r>
      <w:r w:rsidRPr="002C70E8">
        <w:rPr>
          <w:noProof/>
          <w:lang w:val="fr-CH"/>
        </w:rPr>
        <w:t xml:space="preserve">Communications et fonctionnalités des réseaux </w:t>
      </w:r>
      <w:r w:rsidRPr="00953485">
        <w:rPr>
          <w:noProof/>
          <w:lang w:val="fr-CH"/>
        </w:rPr>
        <w:t>intelligents</w:t>
      </w:r>
      <w:r>
        <w:rPr>
          <w:noProof/>
          <w:lang w:val="fr-CH"/>
        </w:rPr>
        <w:tab/>
      </w:r>
      <w:r>
        <w:rPr>
          <w:noProof/>
          <w:lang w:val="fr-CH"/>
        </w:rPr>
        <w:tab/>
      </w:r>
      <w:r w:rsidRPr="00953485">
        <w:rPr>
          <w:noProof/>
          <w:lang w:val="fr-FR"/>
        </w:rPr>
        <w:t>4</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3</w:t>
      </w:r>
      <w:r w:rsidRPr="00953485">
        <w:rPr>
          <w:rFonts w:asciiTheme="minorHAnsi" w:eastAsiaTheme="minorEastAsia" w:hAnsiTheme="minorHAnsi" w:cstheme="minorBidi"/>
          <w:noProof/>
          <w:sz w:val="22"/>
          <w:szCs w:val="22"/>
          <w:lang w:val="fr-FR" w:eastAsia="zh-CN"/>
        </w:rPr>
        <w:tab/>
      </w:r>
      <w:r w:rsidRPr="002C70E8">
        <w:rPr>
          <w:noProof/>
          <w:lang w:val="fr-CH"/>
        </w:rPr>
        <w:t xml:space="preserve">Technologies des réseaux de communication utilisées dans les réseaux de distribution </w:t>
      </w:r>
      <w:r w:rsidRPr="00953485">
        <w:rPr>
          <w:noProof/>
          <w:lang w:val="fr-CH"/>
        </w:rPr>
        <w:t>intelligents</w:t>
      </w:r>
      <w:r>
        <w:rPr>
          <w:noProof/>
          <w:lang w:val="fr-CH"/>
        </w:rPr>
        <w:tab/>
      </w:r>
      <w:r>
        <w:rPr>
          <w:noProof/>
          <w:lang w:val="fr-CH"/>
        </w:rPr>
        <w:tab/>
      </w:r>
      <w:r w:rsidRPr="00953485">
        <w:rPr>
          <w:noProof/>
          <w:lang w:val="fr-FR"/>
        </w:rPr>
        <w:t>5</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3.1</w:t>
      </w:r>
      <w:r w:rsidRPr="00953485">
        <w:rPr>
          <w:rFonts w:asciiTheme="minorHAnsi" w:eastAsiaTheme="minorEastAsia" w:hAnsiTheme="minorHAnsi" w:cstheme="minorBidi"/>
          <w:noProof/>
          <w:sz w:val="22"/>
          <w:szCs w:val="22"/>
          <w:lang w:val="fr-FR" w:eastAsia="zh-CN"/>
        </w:rPr>
        <w:tab/>
      </w:r>
      <w:r w:rsidRPr="002C70E8">
        <w:rPr>
          <w:noProof/>
          <w:lang w:val="fr-CH"/>
        </w:rPr>
        <w:t xml:space="preserve">Rôle de l'UIT et des organisations de </w:t>
      </w:r>
      <w:r w:rsidRPr="00953485">
        <w:rPr>
          <w:noProof/>
          <w:lang w:val="fr-CH"/>
        </w:rPr>
        <w:t>normalisation</w:t>
      </w:r>
      <w:r>
        <w:rPr>
          <w:noProof/>
          <w:lang w:val="fr-CH"/>
        </w:rPr>
        <w:tab/>
      </w:r>
      <w:r>
        <w:rPr>
          <w:noProof/>
          <w:lang w:val="fr-CH"/>
        </w:rPr>
        <w:tab/>
      </w:r>
      <w:r w:rsidRPr="00953485">
        <w:rPr>
          <w:noProof/>
          <w:lang w:val="fr-FR"/>
        </w:rPr>
        <w:t>6</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3.2</w:t>
      </w:r>
      <w:r w:rsidRPr="00953485">
        <w:rPr>
          <w:rFonts w:asciiTheme="minorHAnsi" w:eastAsiaTheme="minorEastAsia" w:hAnsiTheme="minorHAnsi" w:cstheme="minorBidi"/>
          <w:noProof/>
          <w:sz w:val="22"/>
          <w:szCs w:val="22"/>
          <w:lang w:val="fr-FR" w:eastAsia="zh-CN"/>
        </w:rPr>
        <w:tab/>
      </w:r>
      <w:r w:rsidRPr="002C70E8">
        <w:rPr>
          <w:noProof/>
          <w:lang w:val="fr-CH"/>
        </w:rPr>
        <w:t xml:space="preserve">Coordination au sein de </w:t>
      </w:r>
      <w:r w:rsidRPr="00953485">
        <w:rPr>
          <w:noProof/>
          <w:lang w:val="fr-CH"/>
        </w:rPr>
        <w:t>l'UIT</w:t>
      </w:r>
      <w:r>
        <w:rPr>
          <w:noProof/>
          <w:lang w:val="fr-CH"/>
        </w:rPr>
        <w:tab/>
      </w:r>
      <w:r>
        <w:rPr>
          <w:noProof/>
          <w:lang w:val="fr-CH"/>
        </w:rPr>
        <w:tab/>
      </w:r>
      <w:r w:rsidRPr="00953485">
        <w:rPr>
          <w:noProof/>
          <w:lang w:val="fr-FR"/>
        </w:rPr>
        <w:t>7</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4</w:t>
      </w:r>
      <w:r w:rsidRPr="00953485">
        <w:rPr>
          <w:rFonts w:asciiTheme="minorHAnsi" w:eastAsiaTheme="minorEastAsia" w:hAnsiTheme="minorHAnsi" w:cstheme="minorBidi"/>
          <w:noProof/>
          <w:sz w:val="22"/>
          <w:szCs w:val="22"/>
          <w:lang w:val="fr-FR" w:eastAsia="zh-CN"/>
        </w:rPr>
        <w:tab/>
      </w:r>
      <w:r w:rsidRPr="002C70E8">
        <w:rPr>
          <w:noProof/>
          <w:lang w:val="fr-CH"/>
        </w:rPr>
        <w:t xml:space="preserve">Objectifs et avantages des réseaux </w:t>
      </w:r>
      <w:r w:rsidRPr="00953485">
        <w:rPr>
          <w:noProof/>
          <w:lang w:val="fr-CH"/>
        </w:rPr>
        <w:t>intelligents</w:t>
      </w:r>
      <w:r>
        <w:rPr>
          <w:noProof/>
          <w:lang w:val="fr-CH"/>
        </w:rPr>
        <w:tab/>
      </w:r>
      <w:r>
        <w:rPr>
          <w:noProof/>
          <w:lang w:val="fr-CH"/>
        </w:rPr>
        <w:tab/>
      </w:r>
      <w:r w:rsidRPr="00953485">
        <w:rPr>
          <w:noProof/>
          <w:lang w:val="fr-FR"/>
        </w:rPr>
        <w:t>8</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4.1</w:t>
      </w:r>
      <w:r w:rsidRPr="00953485">
        <w:rPr>
          <w:rFonts w:asciiTheme="minorHAnsi" w:eastAsiaTheme="minorEastAsia" w:hAnsiTheme="minorHAnsi" w:cstheme="minorBidi"/>
          <w:noProof/>
          <w:sz w:val="22"/>
          <w:szCs w:val="22"/>
          <w:lang w:val="fr-FR" w:eastAsia="zh-CN"/>
        </w:rPr>
        <w:tab/>
      </w:r>
      <w:r w:rsidRPr="002C70E8">
        <w:rPr>
          <w:noProof/>
          <w:lang w:val="fr-CH"/>
        </w:rPr>
        <w:t xml:space="preserve">Réduction de la demande globale d'électricité grâce à l'optimisation des </w:t>
      </w:r>
      <w:r w:rsidRPr="00953485">
        <w:rPr>
          <w:noProof/>
          <w:lang w:val="fr-CH"/>
        </w:rPr>
        <w:t>systèmes</w:t>
      </w:r>
      <w:r>
        <w:rPr>
          <w:noProof/>
          <w:lang w:val="fr-CH"/>
        </w:rPr>
        <w:tab/>
      </w:r>
      <w:r>
        <w:rPr>
          <w:noProof/>
          <w:lang w:val="fr-CH"/>
        </w:rPr>
        <w:tab/>
      </w:r>
      <w:r w:rsidRPr="00953485">
        <w:rPr>
          <w:noProof/>
          <w:lang w:val="fr-FR"/>
        </w:rPr>
        <w:t>8</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4.2</w:t>
      </w:r>
      <w:r w:rsidRPr="00953485">
        <w:rPr>
          <w:rFonts w:asciiTheme="minorHAnsi" w:eastAsiaTheme="minorEastAsia" w:hAnsiTheme="minorHAnsi" w:cstheme="minorBidi"/>
          <w:noProof/>
          <w:sz w:val="22"/>
          <w:szCs w:val="22"/>
          <w:lang w:val="fr-FR" w:eastAsia="zh-CN"/>
        </w:rPr>
        <w:tab/>
      </w:r>
      <w:r w:rsidRPr="002C70E8">
        <w:rPr>
          <w:noProof/>
          <w:lang w:val="fr-CH"/>
        </w:rPr>
        <w:t xml:space="preserve">Intégration des ressources d'énergies renouvelables et </w:t>
      </w:r>
      <w:r w:rsidRPr="00953485">
        <w:rPr>
          <w:noProof/>
          <w:lang w:val="fr-CH"/>
        </w:rPr>
        <w:t>décentralisées</w:t>
      </w:r>
      <w:r>
        <w:rPr>
          <w:noProof/>
          <w:lang w:val="fr-CH"/>
        </w:rPr>
        <w:tab/>
      </w:r>
      <w:r>
        <w:rPr>
          <w:noProof/>
          <w:lang w:val="fr-CH"/>
        </w:rPr>
        <w:tab/>
      </w:r>
      <w:r w:rsidRPr="00953485">
        <w:rPr>
          <w:noProof/>
          <w:lang w:val="fr-FR"/>
        </w:rPr>
        <w:t>8</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4.3</w:t>
      </w:r>
      <w:r w:rsidRPr="00953485">
        <w:rPr>
          <w:rFonts w:asciiTheme="minorHAnsi" w:eastAsiaTheme="minorEastAsia" w:hAnsiTheme="minorHAnsi" w:cstheme="minorBidi"/>
          <w:noProof/>
          <w:sz w:val="22"/>
          <w:szCs w:val="22"/>
          <w:lang w:val="fr-FR" w:eastAsia="zh-CN"/>
        </w:rPr>
        <w:tab/>
      </w:r>
      <w:r w:rsidRPr="002C70E8">
        <w:rPr>
          <w:noProof/>
          <w:lang w:val="fr-CH"/>
        </w:rPr>
        <w:t xml:space="preserve">Prise en charge du comptage </w:t>
      </w:r>
      <w:r w:rsidRPr="00953485">
        <w:rPr>
          <w:noProof/>
          <w:lang w:val="fr-CH"/>
        </w:rPr>
        <w:t>intelligent</w:t>
      </w:r>
      <w:r>
        <w:rPr>
          <w:noProof/>
          <w:lang w:val="fr-CH"/>
        </w:rPr>
        <w:tab/>
      </w:r>
      <w:r>
        <w:rPr>
          <w:noProof/>
          <w:lang w:val="fr-CH"/>
        </w:rPr>
        <w:tab/>
      </w:r>
      <w:r w:rsidRPr="00953485">
        <w:rPr>
          <w:noProof/>
          <w:lang w:val="fr-FR"/>
        </w:rPr>
        <w:t>9</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4.4</w:t>
      </w:r>
      <w:r w:rsidRPr="00953485">
        <w:rPr>
          <w:rFonts w:asciiTheme="minorHAnsi" w:eastAsiaTheme="minorEastAsia" w:hAnsiTheme="minorHAnsi" w:cstheme="minorBidi"/>
          <w:noProof/>
          <w:sz w:val="22"/>
          <w:szCs w:val="22"/>
          <w:lang w:val="fr-FR" w:eastAsia="zh-CN"/>
        </w:rPr>
        <w:tab/>
      </w:r>
      <w:r w:rsidRPr="002C70E8">
        <w:rPr>
          <w:noProof/>
          <w:lang w:val="fr-CH"/>
        </w:rPr>
        <w:t xml:space="preserve">Fourniture d'un réseau </w:t>
      </w:r>
      <w:r w:rsidRPr="00953485">
        <w:rPr>
          <w:noProof/>
          <w:lang w:val="fr-CH"/>
        </w:rPr>
        <w:t>résilient</w:t>
      </w:r>
      <w:r>
        <w:rPr>
          <w:noProof/>
          <w:lang w:val="fr-CH"/>
        </w:rPr>
        <w:tab/>
      </w:r>
      <w:r>
        <w:rPr>
          <w:noProof/>
          <w:lang w:val="fr-CH"/>
        </w:rPr>
        <w:tab/>
      </w:r>
      <w:r w:rsidRPr="00953485">
        <w:rPr>
          <w:noProof/>
          <w:lang w:val="fr-FR"/>
        </w:rPr>
        <w:t>10</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5</w:t>
      </w:r>
      <w:r w:rsidRPr="00953485">
        <w:rPr>
          <w:rFonts w:asciiTheme="minorHAnsi" w:eastAsiaTheme="minorEastAsia" w:hAnsiTheme="minorHAnsi" w:cstheme="minorBidi"/>
          <w:noProof/>
          <w:sz w:val="22"/>
          <w:szCs w:val="22"/>
          <w:lang w:val="fr-FR" w:eastAsia="zh-CN"/>
        </w:rPr>
        <w:tab/>
      </w:r>
      <w:r w:rsidRPr="002C70E8">
        <w:rPr>
          <w:noProof/>
          <w:lang w:val="fr-CH"/>
        </w:rPr>
        <w:t xml:space="preserve">Aperçu de l'architecture de référence pour les réseaux de distribution </w:t>
      </w:r>
      <w:r w:rsidRPr="00953485">
        <w:rPr>
          <w:noProof/>
          <w:lang w:val="fr-CH"/>
        </w:rPr>
        <w:t>intelligents</w:t>
      </w:r>
      <w:r>
        <w:rPr>
          <w:noProof/>
          <w:lang w:val="fr-CH"/>
        </w:rPr>
        <w:tab/>
      </w:r>
      <w:r>
        <w:rPr>
          <w:noProof/>
          <w:lang w:val="fr-CH"/>
        </w:rPr>
        <w:tab/>
      </w:r>
      <w:r w:rsidRPr="00953485">
        <w:rPr>
          <w:noProof/>
          <w:lang w:val="fr-FR"/>
        </w:rPr>
        <w:t>11</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6</w:t>
      </w:r>
      <w:r w:rsidRPr="00953485">
        <w:rPr>
          <w:rFonts w:asciiTheme="minorHAnsi" w:eastAsiaTheme="minorEastAsia" w:hAnsiTheme="minorHAnsi" w:cstheme="minorBidi"/>
          <w:noProof/>
          <w:sz w:val="22"/>
          <w:szCs w:val="22"/>
          <w:lang w:val="fr-FR" w:eastAsia="zh-CN"/>
        </w:rPr>
        <w:tab/>
      </w:r>
      <w:r w:rsidRPr="002C70E8">
        <w:rPr>
          <w:noProof/>
          <w:lang w:val="fr-CH"/>
        </w:rPr>
        <w:t xml:space="preserve">Normes sur les courants porteurs en ligne et sur les réseaux câblés pour les télécommunications dans les réseaux de distribution </w:t>
      </w:r>
      <w:r w:rsidRPr="00953485">
        <w:rPr>
          <w:noProof/>
          <w:lang w:val="fr-CH"/>
        </w:rPr>
        <w:t>intelligents</w:t>
      </w:r>
      <w:r>
        <w:rPr>
          <w:noProof/>
          <w:lang w:val="fr-CH"/>
        </w:rPr>
        <w:tab/>
      </w:r>
      <w:r>
        <w:rPr>
          <w:noProof/>
          <w:lang w:val="fr-CH"/>
        </w:rPr>
        <w:tab/>
      </w:r>
      <w:r w:rsidRPr="00953485">
        <w:rPr>
          <w:noProof/>
          <w:lang w:val="fr-FR"/>
        </w:rPr>
        <w:t>13</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6.1</w:t>
      </w:r>
      <w:r w:rsidRPr="00953485">
        <w:rPr>
          <w:rFonts w:asciiTheme="minorHAnsi" w:eastAsiaTheme="minorEastAsia" w:hAnsiTheme="minorHAnsi" w:cstheme="minorBidi"/>
          <w:noProof/>
          <w:sz w:val="22"/>
          <w:szCs w:val="22"/>
          <w:lang w:val="fr-FR" w:eastAsia="zh-CN"/>
        </w:rPr>
        <w:tab/>
      </w:r>
      <w:r w:rsidRPr="002C70E8">
        <w:rPr>
          <w:noProof/>
          <w:lang w:val="fr-CH"/>
        </w:rPr>
        <w:t xml:space="preserve">Communications utilisant les courants porteurs en ligne pour réseaux de distribution </w:t>
      </w:r>
      <w:r w:rsidRPr="00953485">
        <w:rPr>
          <w:noProof/>
          <w:lang w:val="fr-CH"/>
        </w:rPr>
        <w:t>intelligents</w:t>
      </w:r>
      <w:r>
        <w:rPr>
          <w:noProof/>
          <w:lang w:val="fr-CH"/>
        </w:rPr>
        <w:tab/>
      </w:r>
      <w:r>
        <w:rPr>
          <w:noProof/>
          <w:lang w:val="fr-CH"/>
        </w:rPr>
        <w:tab/>
      </w:r>
      <w:r w:rsidRPr="00953485">
        <w:rPr>
          <w:noProof/>
          <w:lang w:val="fr-FR"/>
        </w:rPr>
        <w:t>13</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6.2</w:t>
      </w:r>
      <w:r w:rsidRPr="00953485">
        <w:rPr>
          <w:rFonts w:asciiTheme="minorHAnsi" w:eastAsiaTheme="minorEastAsia" w:hAnsiTheme="minorHAnsi" w:cstheme="minorBidi"/>
          <w:noProof/>
          <w:sz w:val="22"/>
          <w:szCs w:val="22"/>
          <w:lang w:val="fr-FR" w:eastAsia="zh-CN"/>
        </w:rPr>
        <w:tab/>
      </w:r>
      <w:r w:rsidRPr="002C70E8">
        <w:rPr>
          <w:noProof/>
          <w:lang w:val="fr-CH"/>
        </w:rPr>
        <w:t xml:space="preserve">Communications par réseaux câblés pour les réseaux de distribution </w:t>
      </w:r>
      <w:r w:rsidRPr="00953485">
        <w:rPr>
          <w:noProof/>
          <w:lang w:val="fr-CH"/>
        </w:rPr>
        <w:t>intelligents</w:t>
      </w:r>
      <w:r>
        <w:rPr>
          <w:noProof/>
          <w:lang w:val="fr-CH"/>
        </w:rPr>
        <w:tab/>
      </w:r>
      <w:r>
        <w:rPr>
          <w:noProof/>
          <w:lang w:val="fr-CH"/>
        </w:rPr>
        <w:tab/>
      </w:r>
      <w:r w:rsidRPr="00953485">
        <w:rPr>
          <w:noProof/>
          <w:lang w:val="fr-FR"/>
        </w:rPr>
        <w:t>14</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7</w:t>
      </w:r>
      <w:r w:rsidRPr="00953485">
        <w:rPr>
          <w:rFonts w:asciiTheme="minorHAnsi" w:eastAsiaTheme="minorEastAsia" w:hAnsiTheme="minorHAnsi" w:cstheme="minorBidi"/>
          <w:noProof/>
          <w:sz w:val="22"/>
          <w:szCs w:val="22"/>
          <w:lang w:val="fr-FR" w:eastAsia="zh-CN"/>
        </w:rPr>
        <w:tab/>
      </w:r>
      <w:r w:rsidRPr="002C70E8">
        <w:rPr>
          <w:noProof/>
          <w:lang w:val="fr-CH"/>
        </w:rPr>
        <w:t xml:space="preserve">Normes hertziennes pour les télécommunications dans les réseaux de distribution </w:t>
      </w:r>
      <w:r w:rsidRPr="00953485">
        <w:rPr>
          <w:noProof/>
          <w:lang w:val="fr-CH"/>
        </w:rPr>
        <w:t>intelligents</w:t>
      </w:r>
      <w:r>
        <w:rPr>
          <w:noProof/>
          <w:lang w:val="fr-CH"/>
        </w:rPr>
        <w:tab/>
      </w:r>
      <w:r>
        <w:rPr>
          <w:noProof/>
          <w:lang w:val="fr-CH"/>
        </w:rPr>
        <w:tab/>
      </w:r>
      <w:r w:rsidRPr="00953485">
        <w:rPr>
          <w:noProof/>
          <w:lang w:val="fr-FR"/>
        </w:rPr>
        <w:t>14</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7.1</w:t>
      </w:r>
      <w:r w:rsidRPr="00953485">
        <w:rPr>
          <w:rFonts w:asciiTheme="minorHAnsi" w:eastAsiaTheme="minorEastAsia" w:hAnsiTheme="minorHAnsi" w:cstheme="minorBidi"/>
          <w:noProof/>
          <w:sz w:val="22"/>
          <w:szCs w:val="22"/>
          <w:lang w:val="fr-FR" w:eastAsia="zh-CN"/>
        </w:rPr>
        <w:tab/>
      </w:r>
      <w:r w:rsidRPr="002C70E8">
        <w:rPr>
          <w:noProof/>
          <w:lang w:val="fr-CH"/>
        </w:rPr>
        <w:t xml:space="preserve">Réseau </w:t>
      </w:r>
      <w:r w:rsidRPr="00953485">
        <w:rPr>
          <w:noProof/>
          <w:lang w:val="fr-CH"/>
        </w:rPr>
        <w:t>domestique</w:t>
      </w:r>
      <w:r>
        <w:rPr>
          <w:noProof/>
          <w:lang w:val="fr-CH"/>
        </w:rPr>
        <w:tab/>
      </w:r>
      <w:r>
        <w:rPr>
          <w:noProof/>
          <w:lang w:val="fr-CH"/>
        </w:rPr>
        <w:tab/>
      </w:r>
      <w:r w:rsidRPr="00953485">
        <w:rPr>
          <w:noProof/>
          <w:lang w:val="fr-FR"/>
        </w:rPr>
        <w:t>14</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7.2</w:t>
      </w:r>
      <w:r w:rsidRPr="00953485">
        <w:rPr>
          <w:rFonts w:asciiTheme="minorHAnsi" w:eastAsiaTheme="minorEastAsia" w:hAnsiTheme="minorHAnsi" w:cstheme="minorBidi"/>
          <w:noProof/>
          <w:sz w:val="22"/>
          <w:szCs w:val="22"/>
          <w:lang w:val="fr-FR" w:eastAsia="zh-CN"/>
        </w:rPr>
        <w:tab/>
      </w:r>
      <w:r w:rsidRPr="002C70E8">
        <w:rPr>
          <w:noProof/>
          <w:lang w:val="fr-CH"/>
        </w:rPr>
        <w:t>Réseaux WAN/NAN/</w:t>
      </w:r>
      <w:r w:rsidRPr="00953485">
        <w:rPr>
          <w:noProof/>
          <w:lang w:val="fr-CH"/>
        </w:rPr>
        <w:t>FAN</w:t>
      </w:r>
      <w:r>
        <w:rPr>
          <w:noProof/>
          <w:lang w:val="fr-CH"/>
        </w:rPr>
        <w:tab/>
      </w:r>
      <w:r>
        <w:rPr>
          <w:noProof/>
          <w:lang w:val="fr-CH"/>
        </w:rPr>
        <w:tab/>
      </w:r>
      <w:r w:rsidRPr="00953485">
        <w:rPr>
          <w:noProof/>
          <w:lang w:val="fr-FR"/>
        </w:rPr>
        <w:t>16</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8</w:t>
      </w:r>
      <w:r w:rsidRPr="00953485">
        <w:rPr>
          <w:rFonts w:asciiTheme="minorHAnsi" w:eastAsiaTheme="minorEastAsia" w:hAnsiTheme="minorHAnsi" w:cstheme="minorBidi"/>
          <w:noProof/>
          <w:sz w:val="22"/>
          <w:szCs w:val="22"/>
          <w:lang w:val="fr-FR" w:eastAsia="zh-CN"/>
        </w:rPr>
        <w:tab/>
      </w:r>
      <w:r w:rsidRPr="002C70E8">
        <w:rPr>
          <w:noProof/>
          <w:lang w:val="fr-CH"/>
        </w:rPr>
        <w:t xml:space="preserve">Considérations liées aux brouillages associées à la mise en oeuvre de technologies hertziennes ou filaires de transmission de données utilisées pour les systèmes de gestion des réseaux de distribution </w:t>
      </w:r>
      <w:r w:rsidRPr="00953485">
        <w:rPr>
          <w:noProof/>
          <w:lang w:val="fr-CH"/>
        </w:rPr>
        <w:t>d'électricité</w:t>
      </w:r>
      <w:r>
        <w:rPr>
          <w:noProof/>
          <w:lang w:val="fr-CH"/>
        </w:rPr>
        <w:tab/>
      </w:r>
      <w:r>
        <w:rPr>
          <w:noProof/>
          <w:lang w:val="fr-CH"/>
        </w:rPr>
        <w:tab/>
      </w:r>
      <w:r w:rsidRPr="00953485">
        <w:rPr>
          <w:noProof/>
          <w:lang w:val="fr-FR"/>
        </w:rPr>
        <w:t>17</w:t>
      </w:r>
    </w:p>
    <w:p w:rsidR="00953485" w:rsidRDefault="00953485" w:rsidP="00953485">
      <w:pPr>
        <w:pStyle w:val="toc0"/>
        <w:rPr>
          <w:noProof/>
          <w:lang w:val="fr-CH"/>
        </w:rPr>
      </w:pPr>
      <w:r>
        <w:rPr>
          <w:noProof/>
          <w:lang w:val="fr-CH"/>
        </w:rPr>
        <w:tab/>
      </w:r>
    </w:p>
    <w:p w:rsidR="00953485" w:rsidRDefault="00953485" w:rsidP="00953485">
      <w:pPr>
        <w:pStyle w:val="toc0"/>
        <w:rPr>
          <w:noProof/>
          <w:lang w:val="fr-CH"/>
        </w:rPr>
      </w:pPr>
      <w:r>
        <w:rPr>
          <w:noProof/>
          <w:lang w:val="fr-CH"/>
        </w:rPr>
        <w:lastRenderedPageBreak/>
        <w:tab/>
        <w:t>Page</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9</w:t>
      </w:r>
      <w:r w:rsidRPr="00953485">
        <w:rPr>
          <w:rFonts w:asciiTheme="minorHAnsi" w:eastAsiaTheme="minorEastAsia" w:hAnsiTheme="minorHAnsi" w:cstheme="minorBidi"/>
          <w:noProof/>
          <w:sz w:val="22"/>
          <w:szCs w:val="22"/>
          <w:lang w:val="fr-FR" w:eastAsia="zh-CN"/>
        </w:rPr>
        <w:tab/>
      </w:r>
      <w:r w:rsidRPr="002C70E8">
        <w:rPr>
          <w:noProof/>
          <w:lang w:val="fr-CH"/>
        </w:rPr>
        <w:t xml:space="preserve">Incidences sur la disponibilité du spectre du déploiement à grande échelle des réseaux filaires et hertziens utilisés pour les systèmes de gestion du réseau de distribution </w:t>
      </w:r>
      <w:r w:rsidRPr="00953485">
        <w:rPr>
          <w:noProof/>
          <w:lang w:val="fr-CH"/>
        </w:rPr>
        <w:t>d'électricité</w:t>
      </w:r>
      <w:r>
        <w:rPr>
          <w:noProof/>
          <w:lang w:val="fr-CH"/>
        </w:rPr>
        <w:tab/>
      </w:r>
      <w:r>
        <w:rPr>
          <w:noProof/>
          <w:lang w:val="fr-CH"/>
        </w:rPr>
        <w:tab/>
      </w:r>
      <w:r w:rsidRPr="00953485">
        <w:rPr>
          <w:noProof/>
          <w:lang w:val="fr-FR"/>
        </w:rPr>
        <w:t>19</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10</w:t>
      </w:r>
      <w:r w:rsidRPr="00953485">
        <w:rPr>
          <w:rFonts w:asciiTheme="minorHAnsi" w:eastAsiaTheme="minorEastAsia" w:hAnsiTheme="minorHAnsi" w:cstheme="minorBidi"/>
          <w:noProof/>
          <w:sz w:val="22"/>
          <w:szCs w:val="22"/>
          <w:lang w:val="fr-FR" w:eastAsia="zh-CN"/>
        </w:rPr>
        <w:tab/>
      </w:r>
      <w:r w:rsidRPr="00953485">
        <w:rPr>
          <w:noProof/>
          <w:lang w:val="fr-CH"/>
        </w:rPr>
        <w:t>Conclusion</w:t>
      </w:r>
      <w:r>
        <w:rPr>
          <w:noProof/>
          <w:lang w:val="fr-CH"/>
        </w:rPr>
        <w:tab/>
      </w:r>
      <w:r>
        <w:rPr>
          <w:noProof/>
          <w:lang w:val="fr-CH"/>
        </w:rPr>
        <w:tab/>
      </w:r>
      <w:r w:rsidRPr="00953485">
        <w:rPr>
          <w:noProof/>
          <w:lang w:val="fr-FR"/>
        </w:rPr>
        <w:t>20</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 xml:space="preserve">Annexe 1 </w:t>
      </w:r>
      <w:r>
        <w:rPr>
          <w:noProof/>
          <w:lang w:val="fr-CH"/>
        </w:rPr>
        <w:t>–</w:t>
      </w:r>
      <w:r w:rsidRPr="002C70E8">
        <w:rPr>
          <w:noProof/>
          <w:lang w:val="fr-CH"/>
        </w:rPr>
        <w:t xml:space="preserve"> Exemple de normes existantes concernant les systèmes de gestion  des réseaux de distribution </w:t>
      </w:r>
      <w:r w:rsidRPr="00953485">
        <w:rPr>
          <w:noProof/>
          <w:lang w:val="fr-CH"/>
        </w:rPr>
        <w:t>d'électricité</w:t>
      </w:r>
      <w:r>
        <w:rPr>
          <w:noProof/>
          <w:lang w:val="fr-CH"/>
        </w:rPr>
        <w:tab/>
      </w:r>
      <w:r>
        <w:rPr>
          <w:noProof/>
          <w:lang w:val="fr-CH"/>
        </w:rPr>
        <w:tab/>
      </w:r>
      <w:r w:rsidRPr="00953485">
        <w:rPr>
          <w:noProof/>
          <w:lang w:val="fr-FR"/>
        </w:rPr>
        <w:t>20</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A1.1</w:t>
      </w:r>
      <w:r w:rsidRPr="00953485">
        <w:rPr>
          <w:rFonts w:asciiTheme="minorHAnsi" w:eastAsiaTheme="minorEastAsia" w:hAnsiTheme="minorHAnsi" w:cstheme="minorBidi"/>
          <w:noProof/>
          <w:sz w:val="22"/>
          <w:szCs w:val="22"/>
          <w:lang w:val="fr-FR" w:eastAsia="zh-CN"/>
        </w:rPr>
        <w:tab/>
      </w:r>
      <w:r w:rsidRPr="002C70E8">
        <w:rPr>
          <w:noProof/>
          <w:lang w:val="fr-CH"/>
        </w:rPr>
        <w:t xml:space="preserve">Normes </w:t>
      </w:r>
      <w:r w:rsidRPr="00953485">
        <w:rPr>
          <w:noProof/>
          <w:lang w:val="fr-CH"/>
        </w:rPr>
        <w:t>IEEE</w:t>
      </w:r>
      <w:r>
        <w:rPr>
          <w:noProof/>
          <w:lang w:val="fr-CH"/>
        </w:rPr>
        <w:tab/>
      </w:r>
      <w:r>
        <w:rPr>
          <w:noProof/>
          <w:lang w:val="fr-CH"/>
        </w:rPr>
        <w:tab/>
      </w:r>
      <w:r w:rsidRPr="00953485">
        <w:rPr>
          <w:noProof/>
          <w:lang w:val="fr-FR"/>
        </w:rPr>
        <w:t>20</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A1.2</w:t>
      </w:r>
      <w:r w:rsidRPr="00953485">
        <w:rPr>
          <w:rFonts w:asciiTheme="minorHAnsi" w:eastAsiaTheme="minorEastAsia" w:hAnsiTheme="minorHAnsi" w:cstheme="minorBidi"/>
          <w:noProof/>
          <w:sz w:val="22"/>
          <w:szCs w:val="22"/>
          <w:lang w:val="fr-FR" w:eastAsia="zh-CN"/>
        </w:rPr>
        <w:tab/>
      </w:r>
      <w:r w:rsidRPr="002C70E8">
        <w:rPr>
          <w:noProof/>
          <w:lang w:val="fr-CH"/>
        </w:rPr>
        <w:t>Normes UIT-</w:t>
      </w:r>
      <w:r w:rsidRPr="00953485">
        <w:rPr>
          <w:noProof/>
          <w:lang w:val="fr-CH"/>
        </w:rPr>
        <w:t>T</w:t>
      </w:r>
      <w:r>
        <w:rPr>
          <w:noProof/>
          <w:lang w:val="fr-CH"/>
        </w:rPr>
        <w:tab/>
      </w:r>
      <w:r>
        <w:rPr>
          <w:noProof/>
          <w:lang w:val="fr-CH"/>
        </w:rPr>
        <w:tab/>
      </w:r>
      <w:r w:rsidRPr="00953485">
        <w:rPr>
          <w:noProof/>
          <w:lang w:val="fr-FR"/>
        </w:rPr>
        <w:t>27</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A1.3</w:t>
      </w:r>
      <w:r w:rsidRPr="00953485">
        <w:rPr>
          <w:rFonts w:asciiTheme="minorHAnsi" w:eastAsiaTheme="minorEastAsia" w:hAnsiTheme="minorHAnsi" w:cstheme="minorBidi"/>
          <w:noProof/>
          <w:sz w:val="22"/>
          <w:szCs w:val="22"/>
          <w:lang w:val="fr-FR" w:eastAsia="zh-CN"/>
        </w:rPr>
        <w:tab/>
      </w:r>
      <w:r w:rsidRPr="002C70E8">
        <w:rPr>
          <w:noProof/>
          <w:lang w:val="fr-CH"/>
        </w:rPr>
        <w:t xml:space="preserve">Normes </w:t>
      </w:r>
      <w:r w:rsidRPr="00953485">
        <w:rPr>
          <w:noProof/>
          <w:lang w:val="fr-CH"/>
        </w:rPr>
        <w:t>3GPP</w:t>
      </w:r>
      <w:r>
        <w:rPr>
          <w:noProof/>
          <w:lang w:val="fr-CH"/>
        </w:rPr>
        <w:tab/>
      </w:r>
      <w:r>
        <w:rPr>
          <w:noProof/>
          <w:lang w:val="fr-CH"/>
        </w:rPr>
        <w:tab/>
      </w:r>
      <w:r w:rsidRPr="00953485">
        <w:rPr>
          <w:noProof/>
          <w:lang w:val="fr-FR"/>
        </w:rPr>
        <w:t>27</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A1.4</w:t>
      </w:r>
      <w:r w:rsidRPr="00953485">
        <w:rPr>
          <w:rFonts w:asciiTheme="minorHAnsi" w:eastAsiaTheme="minorEastAsia" w:hAnsiTheme="minorHAnsi" w:cstheme="minorBidi"/>
          <w:noProof/>
          <w:sz w:val="22"/>
          <w:szCs w:val="22"/>
          <w:lang w:val="fr-FR" w:eastAsia="zh-CN"/>
        </w:rPr>
        <w:tab/>
      </w:r>
      <w:r w:rsidRPr="002C70E8">
        <w:rPr>
          <w:noProof/>
          <w:lang w:val="fr-CH"/>
        </w:rPr>
        <w:t xml:space="preserve">Normes </w:t>
      </w:r>
      <w:r w:rsidRPr="00953485">
        <w:rPr>
          <w:noProof/>
          <w:lang w:val="fr-CH"/>
        </w:rPr>
        <w:t>3GPP2</w:t>
      </w:r>
      <w:r>
        <w:rPr>
          <w:noProof/>
          <w:lang w:val="fr-CH"/>
        </w:rPr>
        <w:tab/>
      </w:r>
      <w:r>
        <w:rPr>
          <w:noProof/>
          <w:lang w:val="fr-CH"/>
        </w:rPr>
        <w:tab/>
      </w:r>
      <w:r w:rsidRPr="00953485">
        <w:rPr>
          <w:noProof/>
          <w:lang w:val="fr-FR"/>
        </w:rPr>
        <w:t>38</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 xml:space="preserve">Annexe 2 </w:t>
      </w:r>
      <w:r>
        <w:rPr>
          <w:noProof/>
          <w:lang w:val="fr-CH"/>
        </w:rPr>
        <w:t>–</w:t>
      </w:r>
      <w:r w:rsidRPr="002C70E8">
        <w:rPr>
          <w:noProof/>
          <w:lang w:val="fr-CH"/>
        </w:rPr>
        <w:t xml:space="preserve"> Réseaux intelligents en Amérique du </w:t>
      </w:r>
      <w:r w:rsidRPr="00953485">
        <w:rPr>
          <w:noProof/>
          <w:lang w:val="fr-CH"/>
        </w:rPr>
        <w:t>Nord</w:t>
      </w:r>
      <w:r>
        <w:rPr>
          <w:noProof/>
          <w:lang w:val="fr-CH"/>
        </w:rPr>
        <w:tab/>
      </w:r>
      <w:r>
        <w:rPr>
          <w:noProof/>
          <w:lang w:val="fr-CH"/>
        </w:rPr>
        <w:tab/>
      </w:r>
      <w:r w:rsidRPr="00953485">
        <w:rPr>
          <w:noProof/>
          <w:lang w:val="fr-FR"/>
        </w:rPr>
        <w:t>41</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A2.1</w:t>
      </w:r>
      <w:r w:rsidRPr="00953485">
        <w:rPr>
          <w:rFonts w:asciiTheme="minorHAnsi" w:eastAsiaTheme="minorEastAsia" w:hAnsiTheme="minorHAnsi" w:cstheme="minorBidi"/>
          <w:noProof/>
          <w:sz w:val="22"/>
          <w:szCs w:val="22"/>
          <w:lang w:val="fr-FR" w:eastAsia="zh-CN"/>
        </w:rPr>
        <w:tab/>
      </w:r>
      <w:r w:rsidRPr="00953485">
        <w:rPr>
          <w:noProof/>
          <w:lang w:val="fr-CH"/>
        </w:rPr>
        <w:t>Introduction</w:t>
      </w:r>
      <w:r>
        <w:rPr>
          <w:noProof/>
          <w:lang w:val="fr-CH"/>
        </w:rPr>
        <w:tab/>
      </w:r>
      <w:r>
        <w:rPr>
          <w:noProof/>
          <w:lang w:val="fr-CH"/>
        </w:rPr>
        <w:tab/>
      </w:r>
      <w:r w:rsidRPr="00953485">
        <w:rPr>
          <w:noProof/>
          <w:lang w:val="fr-FR"/>
        </w:rPr>
        <w:t>41</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A2.2</w:t>
      </w:r>
      <w:r w:rsidRPr="00953485">
        <w:rPr>
          <w:rFonts w:asciiTheme="minorHAnsi" w:eastAsiaTheme="minorEastAsia" w:hAnsiTheme="minorHAnsi" w:cstheme="minorBidi"/>
          <w:noProof/>
          <w:sz w:val="22"/>
          <w:szCs w:val="22"/>
          <w:lang w:val="fr-FR" w:eastAsia="zh-CN"/>
        </w:rPr>
        <w:tab/>
      </w:r>
      <w:r w:rsidRPr="002C70E8">
        <w:rPr>
          <w:noProof/>
          <w:lang w:val="fr-CH"/>
        </w:rPr>
        <w:t xml:space="preserve">Objet du déploiement des réseaux </w:t>
      </w:r>
      <w:r w:rsidRPr="00953485">
        <w:rPr>
          <w:noProof/>
          <w:lang w:val="fr-CH"/>
        </w:rPr>
        <w:t>intelligents</w:t>
      </w:r>
      <w:r>
        <w:rPr>
          <w:noProof/>
          <w:lang w:val="fr-CH"/>
        </w:rPr>
        <w:tab/>
      </w:r>
      <w:r>
        <w:rPr>
          <w:noProof/>
          <w:lang w:val="fr-CH"/>
        </w:rPr>
        <w:tab/>
      </w:r>
      <w:r w:rsidRPr="00953485">
        <w:rPr>
          <w:noProof/>
          <w:lang w:val="fr-FR"/>
        </w:rPr>
        <w:t>42</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 xml:space="preserve">Annexe 3 </w:t>
      </w:r>
      <w:r>
        <w:rPr>
          <w:noProof/>
          <w:lang w:val="fr-CH"/>
        </w:rPr>
        <w:t>–</w:t>
      </w:r>
      <w:r w:rsidRPr="002C70E8">
        <w:rPr>
          <w:noProof/>
          <w:lang w:val="fr-CH"/>
        </w:rPr>
        <w:t xml:space="preserve"> Réseaux intelligents en </w:t>
      </w:r>
      <w:r w:rsidRPr="00953485">
        <w:rPr>
          <w:noProof/>
          <w:lang w:val="fr-CH"/>
        </w:rPr>
        <w:t>Europe</w:t>
      </w:r>
      <w:r>
        <w:rPr>
          <w:noProof/>
          <w:lang w:val="fr-CH"/>
        </w:rPr>
        <w:tab/>
      </w:r>
      <w:r>
        <w:rPr>
          <w:noProof/>
          <w:lang w:val="fr-CH"/>
        </w:rPr>
        <w:tab/>
      </w:r>
      <w:r w:rsidRPr="00953485">
        <w:rPr>
          <w:noProof/>
          <w:lang w:val="fr-FR"/>
        </w:rPr>
        <w:t>43</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A3.1</w:t>
      </w:r>
      <w:r w:rsidRPr="00953485">
        <w:rPr>
          <w:rFonts w:asciiTheme="minorHAnsi" w:eastAsiaTheme="minorEastAsia" w:hAnsiTheme="minorHAnsi" w:cstheme="minorBidi"/>
          <w:noProof/>
          <w:sz w:val="22"/>
          <w:szCs w:val="22"/>
          <w:lang w:val="fr-FR" w:eastAsia="zh-CN"/>
        </w:rPr>
        <w:tab/>
      </w:r>
      <w:r w:rsidRPr="00953485">
        <w:rPr>
          <w:noProof/>
          <w:lang w:val="fr-CH"/>
        </w:rPr>
        <w:t>Introduction</w:t>
      </w:r>
      <w:r>
        <w:rPr>
          <w:noProof/>
          <w:lang w:val="fr-CH"/>
        </w:rPr>
        <w:tab/>
      </w:r>
      <w:r>
        <w:rPr>
          <w:noProof/>
          <w:lang w:val="fr-CH"/>
        </w:rPr>
        <w:tab/>
      </w:r>
      <w:r w:rsidRPr="00953485">
        <w:rPr>
          <w:noProof/>
          <w:lang w:val="fr-FR"/>
        </w:rPr>
        <w:t>43</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A3.2</w:t>
      </w:r>
      <w:r w:rsidRPr="00953485">
        <w:rPr>
          <w:rFonts w:asciiTheme="minorHAnsi" w:eastAsiaTheme="minorEastAsia" w:hAnsiTheme="minorHAnsi" w:cstheme="minorBidi"/>
          <w:noProof/>
          <w:sz w:val="22"/>
          <w:szCs w:val="22"/>
          <w:lang w:val="fr-FR" w:eastAsia="zh-CN"/>
        </w:rPr>
        <w:tab/>
      </w:r>
      <w:r w:rsidRPr="002C70E8">
        <w:rPr>
          <w:noProof/>
          <w:lang w:val="fr-CH"/>
        </w:rPr>
        <w:t xml:space="preserve">Activités européennes menées dans certains Etats </w:t>
      </w:r>
      <w:r w:rsidRPr="00953485">
        <w:rPr>
          <w:noProof/>
          <w:lang w:val="fr-CH"/>
        </w:rPr>
        <w:t>Membres</w:t>
      </w:r>
      <w:r>
        <w:rPr>
          <w:noProof/>
          <w:lang w:val="fr-CH"/>
        </w:rPr>
        <w:tab/>
      </w:r>
      <w:r>
        <w:rPr>
          <w:noProof/>
          <w:lang w:val="fr-CH"/>
        </w:rPr>
        <w:tab/>
      </w:r>
      <w:r w:rsidRPr="00953485">
        <w:rPr>
          <w:noProof/>
          <w:lang w:val="fr-FR"/>
        </w:rPr>
        <w:t>44</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 xml:space="preserve">Annexe 4 </w:t>
      </w:r>
      <w:r>
        <w:rPr>
          <w:noProof/>
          <w:lang w:val="fr-CH"/>
        </w:rPr>
        <w:t>–</w:t>
      </w:r>
      <w:r w:rsidRPr="002C70E8">
        <w:rPr>
          <w:noProof/>
          <w:lang w:val="fr-CH"/>
        </w:rPr>
        <w:t xml:space="preserve"> Réseau intelligent au </w:t>
      </w:r>
      <w:r w:rsidRPr="00953485">
        <w:rPr>
          <w:noProof/>
          <w:lang w:val="fr-CH"/>
        </w:rPr>
        <w:t>Brésil</w:t>
      </w:r>
      <w:r>
        <w:rPr>
          <w:noProof/>
          <w:lang w:val="fr-CH"/>
        </w:rPr>
        <w:tab/>
      </w:r>
      <w:r>
        <w:rPr>
          <w:noProof/>
          <w:lang w:val="fr-CH"/>
        </w:rPr>
        <w:tab/>
      </w:r>
      <w:r w:rsidRPr="00953485">
        <w:rPr>
          <w:noProof/>
          <w:lang w:val="fr-FR"/>
        </w:rPr>
        <w:t>46</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A4.1</w:t>
      </w:r>
      <w:r w:rsidRPr="00953485">
        <w:rPr>
          <w:rFonts w:asciiTheme="minorHAnsi" w:eastAsiaTheme="minorEastAsia" w:hAnsiTheme="minorHAnsi" w:cstheme="minorBidi"/>
          <w:noProof/>
          <w:sz w:val="22"/>
          <w:szCs w:val="22"/>
          <w:lang w:val="fr-FR" w:eastAsia="zh-CN"/>
        </w:rPr>
        <w:tab/>
      </w:r>
      <w:r w:rsidRPr="00953485">
        <w:rPr>
          <w:noProof/>
          <w:lang w:val="fr-CH"/>
        </w:rPr>
        <w:t>Introduction</w:t>
      </w:r>
      <w:r>
        <w:rPr>
          <w:noProof/>
          <w:lang w:val="fr-CH"/>
        </w:rPr>
        <w:tab/>
      </w:r>
      <w:r>
        <w:rPr>
          <w:noProof/>
          <w:lang w:val="fr-CH"/>
        </w:rPr>
        <w:tab/>
      </w:r>
      <w:r w:rsidRPr="00953485">
        <w:rPr>
          <w:noProof/>
          <w:lang w:val="fr-FR"/>
        </w:rPr>
        <w:t>46</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A4.2</w:t>
      </w:r>
      <w:r w:rsidRPr="00953485">
        <w:rPr>
          <w:rFonts w:asciiTheme="minorHAnsi" w:eastAsiaTheme="minorEastAsia" w:hAnsiTheme="minorHAnsi" w:cstheme="minorBidi"/>
          <w:noProof/>
          <w:sz w:val="22"/>
          <w:szCs w:val="22"/>
          <w:lang w:val="fr-FR" w:eastAsia="zh-CN"/>
        </w:rPr>
        <w:tab/>
      </w:r>
      <w:r w:rsidRPr="002C70E8">
        <w:rPr>
          <w:noProof/>
          <w:lang w:val="fr-CH"/>
        </w:rPr>
        <w:t xml:space="preserve">Secteur brésilien de </w:t>
      </w:r>
      <w:r w:rsidRPr="00953485">
        <w:rPr>
          <w:noProof/>
          <w:lang w:val="fr-CH"/>
        </w:rPr>
        <w:t>l'électricité</w:t>
      </w:r>
      <w:r>
        <w:rPr>
          <w:noProof/>
          <w:lang w:val="fr-CH"/>
        </w:rPr>
        <w:tab/>
      </w:r>
      <w:r>
        <w:rPr>
          <w:noProof/>
          <w:lang w:val="fr-CH"/>
        </w:rPr>
        <w:tab/>
      </w:r>
      <w:r w:rsidRPr="00953485">
        <w:rPr>
          <w:noProof/>
          <w:lang w:val="fr-FR"/>
        </w:rPr>
        <w:t>47</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A4.3</w:t>
      </w:r>
      <w:r w:rsidRPr="00953485">
        <w:rPr>
          <w:rFonts w:asciiTheme="minorHAnsi" w:eastAsiaTheme="minorEastAsia" w:hAnsiTheme="minorHAnsi" w:cstheme="minorBidi"/>
          <w:noProof/>
          <w:sz w:val="22"/>
          <w:szCs w:val="22"/>
          <w:lang w:val="fr-FR" w:eastAsia="zh-CN"/>
        </w:rPr>
        <w:tab/>
      </w:r>
      <w:r w:rsidRPr="002C70E8">
        <w:rPr>
          <w:noProof/>
          <w:lang w:val="fr-CH"/>
        </w:rPr>
        <w:t xml:space="preserve">Groupe d'étude brésilien sur le réseau </w:t>
      </w:r>
      <w:r w:rsidRPr="00953485">
        <w:rPr>
          <w:noProof/>
          <w:lang w:val="fr-CH"/>
        </w:rPr>
        <w:t>intelligent</w:t>
      </w:r>
      <w:r>
        <w:rPr>
          <w:noProof/>
          <w:lang w:val="fr-CH"/>
        </w:rPr>
        <w:tab/>
      </w:r>
      <w:r>
        <w:rPr>
          <w:noProof/>
          <w:lang w:val="fr-CH"/>
        </w:rPr>
        <w:tab/>
      </w:r>
      <w:r w:rsidRPr="00953485">
        <w:rPr>
          <w:noProof/>
          <w:lang w:val="fr-FR"/>
        </w:rPr>
        <w:t>48</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A4.4</w:t>
      </w:r>
      <w:r w:rsidRPr="00953485">
        <w:rPr>
          <w:rFonts w:asciiTheme="minorHAnsi" w:eastAsiaTheme="minorEastAsia" w:hAnsiTheme="minorHAnsi" w:cstheme="minorBidi"/>
          <w:noProof/>
          <w:sz w:val="22"/>
          <w:szCs w:val="22"/>
          <w:lang w:val="fr-FR" w:eastAsia="zh-CN"/>
        </w:rPr>
        <w:tab/>
      </w:r>
      <w:r w:rsidRPr="002C70E8">
        <w:rPr>
          <w:noProof/>
          <w:lang w:val="fr-CH"/>
        </w:rPr>
        <w:t xml:space="preserve">Questions liées aux </w:t>
      </w:r>
      <w:r w:rsidRPr="00953485">
        <w:rPr>
          <w:noProof/>
          <w:lang w:val="fr-CH"/>
        </w:rPr>
        <w:t>télécommunications</w:t>
      </w:r>
      <w:r>
        <w:rPr>
          <w:noProof/>
          <w:lang w:val="fr-CH"/>
        </w:rPr>
        <w:tab/>
      </w:r>
      <w:r>
        <w:rPr>
          <w:noProof/>
          <w:lang w:val="fr-CH"/>
        </w:rPr>
        <w:tab/>
      </w:r>
      <w:r w:rsidRPr="00953485">
        <w:rPr>
          <w:noProof/>
          <w:lang w:val="fr-FR"/>
        </w:rPr>
        <w:t>48</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A4.5</w:t>
      </w:r>
      <w:r w:rsidRPr="00953485">
        <w:rPr>
          <w:rFonts w:asciiTheme="minorHAnsi" w:eastAsiaTheme="minorEastAsia" w:hAnsiTheme="minorHAnsi" w:cstheme="minorBidi"/>
          <w:noProof/>
          <w:sz w:val="22"/>
          <w:szCs w:val="22"/>
          <w:lang w:val="fr-FR" w:eastAsia="zh-CN"/>
        </w:rPr>
        <w:tab/>
      </w:r>
      <w:r w:rsidRPr="002C70E8">
        <w:rPr>
          <w:noProof/>
          <w:lang w:val="fr-CH"/>
        </w:rPr>
        <w:t xml:space="preserve">Données </w:t>
      </w:r>
      <w:r w:rsidRPr="00953485">
        <w:rPr>
          <w:noProof/>
          <w:lang w:val="fr-CH"/>
        </w:rPr>
        <w:t>techniques</w:t>
      </w:r>
      <w:r>
        <w:rPr>
          <w:noProof/>
          <w:lang w:val="fr-CH"/>
        </w:rPr>
        <w:tab/>
      </w:r>
      <w:r>
        <w:rPr>
          <w:noProof/>
          <w:lang w:val="fr-CH"/>
        </w:rPr>
        <w:tab/>
      </w:r>
      <w:r w:rsidRPr="00953485">
        <w:rPr>
          <w:noProof/>
          <w:lang w:val="fr-FR"/>
        </w:rPr>
        <w:t>49</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A4.6</w:t>
      </w:r>
      <w:r w:rsidRPr="00953485">
        <w:rPr>
          <w:rFonts w:asciiTheme="minorHAnsi" w:eastAsiaTheme="minorEastAsia" w:hAnsiTheme="minorHAnsi" w:cstheme="minorBidi"/>
          <w:noProof/>
          <w:sz w:val="22"/>
          <w:szCs w:val="22"/>
          <w:lang w:val="fr-FR" w:eastAsia="zh-CN"/>
        </w:rPr>
        <w:tab/>
      </w:r>
      <w:r w:rsidRPr="002C70E8">
        <w:rPr>
          <w:noProof/>
          <w:lang w:val="fr-CH"/>
        </w:rPr>
        <w:t xml:space="preserve">Mesures dans la bande d'ondes </w:t>
      </w:r>
      <w:r w:rsidRPr="00953485">
        <w:rPr>
          <w:noProof/>
          <w:lang w:val="fr-CH"/>
        </w:rPr>
        <w:t>kilométriques</w:t>
      </w:r>
      <w:r>
        <w:rPr>
          <w:noProof/>
          <w:lang w:val="fr-CH"/>
        </w:rPr>
        <w:tab/>
      </w:r>
      <w:r>
        <w:rPr>
          <w:noProof/>
          <w:lang w:val="fr-CH"/>
        </w:rPr>
        <w:tab/>
      </w:r>
      <w:r w:rsidRPr="00953485">
        <w:rPr>
          <w:noProof/>
          <w:lang w:val="fr-FR"/>
        </w:rPr>
        <w:t>49</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A4.7</w:t>
      </w:r>
      <w:r w:rsidRPr="00953485">
        <w:rPr>
          <w:rFonts w:asciiTheme="minorHAnsi" w:eastAsiaTheme="minorEastAsia" w:hAnsiTheme="minorHAnsi" w:cstheme="minorBidi"/>
          <w:noProof/>
          <w:sz w:val="22"/>
          <w:szCs w:val="22"/>
          <w:lang w:val="fr-FR" w:eastAsia="zh-CN"/>
        </w:rPr>
        <w:tab/>
      </w:r>
      <w:r w:rsidRPr="00953485">
        <w:rPr>
          <w:noProof/>
          <w:lang w:val="fr-CH"/>
        </w:rPr>
        <w:t>Conclusion</w:t>
      </w:r>
      <w:r>
        <w:rPr>
          <w:noProof/>
          <w:lang w:val="fr-CH"/>
        </w:rPr>
        <w:tab/>
      </w:r>
      <w:r>
        <w:rPr>
          <w:noProof/>
          <w:lang w:val="fr-CH"/>
        </w:rPr>
        <w:tab/>
      </w:r>
      <w:r w:rsidRPr="00953485">
        <w:rPr>
          <w:noProof/>
          <w:lang w:val="fr-FR"/>
        </w:rPr>
        <w:t>50</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953485">
        <w:rPr>
          <w:noProof/>
          <w:lang w:val="fr-CH"/>
        </w:rPr>
        <w:t>Référence</w:t>
      </w:r>
      <w:r>
        <w:rPr>
          <w:noProof/>
          <w:lang w:val="fr-CH"/>
        </w:rPr>
        <w:tab/>
      </w:r>
      <w:r>
        <w:rPr>
          <w:noProof/>
          <w:lang w:val="fr-CH"/>
        </w:rPr>
        <w:tab/>
      </w:r>
      <w:r w:rsidRPr="00953485">
        <w:rPr>
          <w:noProof/>
          <w:lang w:val="fr-FR"/>
        </w:rPr>
        <w:t>50</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 xml:space="preserve">Annexe 5 </w:t>
      </w:r>
      <w:r>
        <w:rPr>
          <w:noProof/>
          <w:lang w:val="fr-CH"/>
        </w:rPr>
        <w:t>–</w:t>
      </w:r>
      <w:r w:rsidRPr="002C70E8">
        <w:rPr>
          <w:noProof/>
          <w:lang w:val="fr-CH"/>
        </w:rPr>
        <w:t xml:space="preserve"> Réseau intelligent en République de </w:t>
      </w:r>
      <w:r w:rsidRPr="00953485">
        <w:rPr>
          <w:noProof/>
          <w:lang w:val="fr-CH"/>
        </w:rPr>
        <w:t>Corée</w:t>
      </w:r>
      <w:r>
        <w:rPr>
          <w:noProof/>
          <w:lang w:val="fr-CH"/>
        </w:rPr>
        <w:tab/>
      </w:r>
      <w:r>
        <w:rPr>
          <w:noProof/>
          <w:lang w:val="fr-CH"/>
        </w:rPr>
        <w:tab/>
      </w:r>
      <w:r w:rsidRPr="00953485">
        <w:rPr>
          <w:noProof/>
          <w:lang w:val="fr-FR"/>
        </w:rPr>
        <w:t>50</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A5.1</w:t>
      </w:r>
      <w:r w:rsidRPr="00953485">
        <w:rPr>
          <w:rFonts w:asciiTheme="minorHAnsi" w:eastAsiaTheme="minorEastAsia" w:hAnsiTheme="minorHAnsi" w:cstheme="minorBidi"/>
          <w:noProof/>
          <w:sz w:val="22"/>
          <w:szCs w:val="22"/>
          <w:lang w:val="fr-FR" w:eastAsia="zh-CN"/>
        </w:rPr>
        <w:tab/>
      </w:r>
      <w:r w:rsidRPr="002C70E8">
        <w:rPr>
          <w:noProof/>
          <w:lang w:val="fr-CH"/>
        </w:rPr>
        <w:t xml:space="preserve">Feuille de route sur un réseau intelligent en </w:t>
      </w:r>
      <w:r w:rsidRPr="00953485">
        <w:rPr>
          <w:noProof/>
          <w:lang w:val="fr-CH"/>
        </w:rPr>
        <w:t>Corée</w:t>
      </w:r>
      <w:r>
        <w:rPr>
          <w:noProof/>
          <w:lang w:val="fr-CH"/>
        </w:rPr>
        <w:tab/>
      </w:r>
      <w:r>
        <w:rPr>
          <w:noProof/>
          <w:lang w:val="fr-CH"/>
        </w:rPr>
        <w:tab/>
      </w:r>
      <w:r w:rsidRPr="00953485">
        <w:rPr>
          <w:noProof/>
          <w:lang w:val="fr-FR"/>
        </w:rPr>
        <w:t>50</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A5.2</w:t>
      </w:r>
      <w:r w:rsidRPr="00953485">
        <w:rPr>
          <w:rFonts w:asciiTheme="minorHAnsi" w:eastAsiaTheme="minorEastAsia" w:hAnsiTheme="minorHAnsi" w:cstheme="minorBidi"/>
          <w:noProof/>
          <w:sz w:val="22"/>
          <w:szCs w:val="22"/>
          <w:lang w:val="fr-FR" w:eastAsia="zh-CN"/>
        </w:rPr>
        <w:tab/>
      </w:r>
      <w:r w:rsidRPr="002C70E8">
        <w:rPr>
          <w:noProof/>
          <w:lang w:val="fr-CH"/>
        </w:rPr>
        <w:t xml:space="preserve">Mise au point des </w:t>
      </w:r>
      <w:r w:rsidRPr="00953485">
        <w:rPr>
          <w:noProof/>
          <w:lang w:val="fr-CH"/>
        </w:rPr>
        <w:t>technologies</w:t>
      </w:r>
      <w:r>
        <w:rPr>
          <w:noProof/>
          <w:lang w:val="fr-CH"/>
        </w:rPr>
        <w:tab/>
      </w:r>
      <w:r>
        <w:rPr>
          <w:noProof/>
          <w:lang w:val="fr-CH"/>
        </w:rPr>
        <w:tab/>
      </w:r>
      <w:r w:rsidRPr="00953485">
        <w:rPr>
          <w:noProof/>
          <w:lang w:val="fr-FR"/>
        </w:rPr>
        <w:t>52</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 xml:space="preserve">Annexe 6 </w:t>
      </w:r>
      <w:r>
        <w:rPr>
          <w:noProof/>
          <w:lang w:val="fr-CH"/>
        </w:rPr>
        <w:t>–</w:t>
      </w:r>
      <w:r w:rsidRPr="002C70E8">
        <w:rPr>
          <w:noProof/>
          <w:lang w:val="fr-CH"/>
        </w:rPr>
        <w:t xml:space="preserve"> Réseau intelligent en </w:t>
      </w:r>
      <w:r w:rsidRPr="00953485">
        <w:rPr>
          <w:noProof/>
          <w:lang w:val="fr-CH"/>
        </w:rPr>
        <w:t>Indonésie</w:t>
      </w:r>
      <w:r>
        <w:rPr>
          <w:noProof/>
          <w:lang w:val="fr-CH"/>
        </w:rPr>
        <w:tab/>
      </w:r>
      <w:r>
        <w:rPr>
          <w:noProof/>
          <w:lang w:val="fr-CH"/>
        </w:rPr>
        <w:tab/>
      </w:r>
      <w:r w:rsidRPr="00953485">
        <w:rPr>
          <w:noProof/>
          <w:lang w:val="fr-FR"/>
        </w:rPr>
        <w:t>53</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A6.1</w:t>
      </w:r>
      <w:r w:rsidRPr="00953485">
        <w:rPr>
          <w:rFonts w:asciiTheme="minorHAnsi" w:eastAsiaTheme="minorEastAsia" w:hAnsiTheme="minorHAnsi" w:cstheme="minorBidi"/>
          <w:noProof/>
          <w:sz w:val="22"/>
          <w:szCs w:val="22"/>
          <w:lang w:val="fr-FR" w:eastAsia="zh-CN"/>
        </w:rPr>
        <w:tab/>
      </w:r>
      <w:r w:rsidRPr="00953485">
        <w:rPr>
          <w:noProof/>
          <w:lang w:val="fr-CH"/>
        </w:rPr>
        <w:t>Introduction</w:t>
      </w:r>
      <w:r>
        <w:rPr>
          <w:noProof/>
          <w:lang w:val="fr-CH"/>
        </w:rPr>
        <w:tab/>
      </w:r>
      <w:r>
        <w:rPr>
          <w:noProof/>
          <w:lang w:val="fr-CH"/>
        </w:rPr>
        <w:tab/>
      </w:r>
      <w:r w:rsidRPr="00953485">
        <w:rPr>
          <w:noProof/>
          <w:lang w:val="fr-FR"/>
        </w:rPr>
        <w:t>53</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A6.2</w:t>
      </w:r>
      <w:r w:rsidRPr="00953485">
        <w:rPr>
          <w:rFonts w:asciiTheme="minorHAnsi" w:eastAsiaTheme="minorEastAsia" w:hAnsiTheme="minorHAnsi" w:cstheme="minorBidi"/>
          <w:noProof/>
          <w:sz w:val="22"/>
          <w:szCs w:val="22"/>
          <w:lang w:val="fr-FR" w:eastAsia="zh-CN"/>
        </w:rPr>
        <w:tab/>
      </w:r>
      <w:r w:rsidRPr="002C70E8">
        <w:rPr>
          <w:noProof/>
          <w:lang w:val="fr-CH"/>
        </w:rPr>
        <w:t xml:space="preserve">Développement du réseau intelligent et questions à </w:t>
      </w:r>
      <w:r w:rsidRPr="00953485">
        <w:rPr>
          <w:noProof/>
          <w:lang w:val="fr-CH"/>
        </w:rPr>
        <w:t>résoudre</w:t>
      </w:r>
      <w:r>
        <w:rPr>
          <w:noProof/>
          <w:lang w:val="fr-CH"/>
        </w:rPr>
        <w:tab/>
      </w:r>
      <w:r>
        <w:rPr>
          <w:noProof/>
          <w:lang w:val="fr-CH"/>
        </w:rPr>
        <w:tab/>
      </w:r>
      <w:r w:rsidRPr="00953485">
        <w:rPr>
          <w:noProof/>
          <w:lang w:val="fr-FR"/>
        </w:rPr>
        <w:t>53</w:t>
      </w:r>
    </w:p>
    <w:p w:rsidR="00953485" w:rsidRDefault="00953485" w:rsidP="00953485">
      <w:pPr>
        <w:pStyle w:val="toc0"/>
        <w:rPr>
          <w:noProof/>
          <w:lang w:val="fr-CH"/>
        </w:rPr>
      </w:pPr>
      <w:r>
        <w:rPr>
          <w:noProof/>
          <w:lang w:val="fr-CH"/>
        </w:rPr>
        <w:lastRenderedPageBreak/>
        <w:tab/>
        <w:t>Page</w:t>
      </w:r>
    </w:p>
    <w:p w:rsidR="00953485" w:rsidRPr="00953485" w:rsidRDefault="00953485" w:rsidP="00953485">
      <w:pPr>
        <w:pStyle w:val="TOC1"/>
        <w:ind w:right="992"/>
        <w:rPr>
          <w:rFonts w:asciiTheme="minorHAnsi" w:eastAsiaTheme="minorEastAsia" w:hAnsiTheme="minorHAnsi" w:cstheme="minorBidi"/>
          <w:noProof/>
          <w:sz w:val="22"/>
          <w:szCs w:val="22"/>
          <w:lang w:val="fr-FR" w:eastAsia="zh-CN"/>
        </w:rPr>
      </w:pPr>
      <w:r w:rsidRPr="002C70E8">
        <w:rPr>
          <w:noProof/>
          <w:lang w:val="fr-CH"/>
        </w:rPr>
        <w:t xml:space="preserve">Annexe 7 </w:t>
      </w:r>
      <w:r>
        <w:rPr>
          <w:noProof/>
          <w:lang w:val="fr-CH"/>
        </w:rPr>
        <w:t>–</w:t>
      </w:r>
      <w:r w:rsidRPr="002C70E8">
        <w:rPr>
          <w:noProof/>
          <w:lang w:val="fr-CH"/>
        </w:rPr>
        <w:t xml:space="preserve"> Activités de recherche sur les technologies d'accès hertzien  pour les réseaux intelligents en </w:t>
      </w:r>
      <w:r w:rsidRPr="00953485">
        <w:rPr>
          <w:noProof/>
          <w:lang w:val="fr-CH"/>
        </w:rPr>
        <w:t>Chine</w:t>
      </w:r>
      <w:r>
        <w:rPr>
          <w:noProof/>
          <w:lang w:val="fr-CH"/>
        </w:rPr>
        <w:tab/>
      </w:r>
      <w:r>
        <w:rPr>
          <w:noProof/>
          <w:lang w:val="fr-CH"/>
        </w:rPr>
        <w:tab/>
      </w:r>
      <w:r w:rsidRPr="00953485">
        <w:rPr>
          <w:noProof/>
          <w:lang w:val="fr-FR"/>
        </w:rPr>
        <w:t>55</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A7.1</w:t>
      </w:r>
      <w:r w:rsidRPr="00953485">
        <w:rPr>
          <w:rFonts w:asciiTheme="minorHAnsi" w:eastAsiaTheme="minorEastAsia" w:hAnsiTheme="minorHAnsi" w:cstheme="minorBidi"/>
          <w:noProof/>
          <w:sz w:val="22"/>
          <w:szCs w:val="22"/>
          <w:lang w:val="fr-FR" w:eastAsia="zh-CN"/>
        </w:rPr>
        <w:tab/>
      </w:r>
      <w:r w:rsidRPr="00953485">
        <w:rPr>
          <w:noProof/>
          <w:lang w:val="fr-CH"/>
        </w:rPr>
        <w:t>Introduction</w:t>
      </w:r>
      <w:r>
        <w:rPr>
          <w:noProof/>
          <w:lang w:val="fr-CH"/>
        </w:rPr>
        <w:tab/>
      </w:r>
      <w:r>
        <w:rPr>
          <w:noProof/>
          <w:lang w:val="fr-CH"/>
        </w:rPr>
        <w:tab/>
      </w:r>
      <w:r w:rsidRPr="00953485">
        <w:rPr>
          <w:noProof/>
          <w:lang w:val="fr-FR"/>
        </w:rPr>
        <w:t>55</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A7.2</w:t>
      </w:r>
      <w:r w:rsidRPr="00953485">
        <w:rPr>
          <w:rFonts w:asciiTheme="minorHAnsi" w:eastAsiaTheme="minorEastAsia" w:hAnsiTheme="minorHAnsi" w:cstheme="minorBidi"/>
          <w:noProof/>
          <w:sz w:val="22"/>
          <w:szCs w:val="22"/>
          <w:lang w:val="fr-FR" w:eastAsia="zh-CN"/>
        </w:rPr>
        <w:tab/>
      </w:r>
      <w:r w:rsidRPr="002C70E8">
        <w:rPr>
          <w:noProof/>
          <w:lang w:val="fr-CH"/>
        </w:rPr>
        <w:t xml:space="preserve">Technologie d'accès hertzien pour le réseau intelligent en </w:t>
      </w:r>
      <w:r w:rsidRPr="00953485">
        <w:rPr>
          <w:noProof/>
          <w:lang w:val="fr-CH"/>
        </w:rPr>
        <w:t>Chine</w:t>
      </w:r>
      <w:r>
        <w:rPr>
          <w:noProof/>
          <w:lang w:val="fr-CH"/>
        </w:rPr>
        <w:tab/>
      </w:r>
      <w:r>
        <w:rPr>
          <w:noProof/>
          <w:lang w:val="fr-CH"/>
        </w:rPr>
        <w:tab/>
      </w:r>
      <w:r w:rsidRPr="00953485">
        <w:rPr>
          <w:noProof/>
          <w:lang w:val="fr-FR"/>
        </w:rPr>
        <w:t>55</w:t>
      </w:r>
    </w:p>
    <w:p w:rsidR="00953485" w:rsidRPr="00953485" w:rsidRDefault="00953485" w:rsidP="00953485">
      <w:pPr>
        <w:pStyle w:val="TOC2"/>
        <w:ind w:right="992"/>
        <w:rPr>
          <w:rFonts w:asciiTheme="minorHAnsi" w:eastAsiaTheme="minorEastAsia" w:hAnsiTheme="minorHAnsi" w:cstheme="minorBidi"/>
          <w:noProof/>
          <w:sz w:val="22"/>
          <w:szCs w:val="22"/>
          <w:lang w:val="fr-FR" w:eastAsia="zh-CN"/>
        </w:rPr>
      </w:pPr>
      <w:r w:rsidRPr="002C70E8">
        <w:rPr>
          <w:noProof/>
          <w:lang w:val="fr-CH"/>
        </w:rPr>
        <w:t>A7.3</w:t>
      </w:r>
      <w:r w:rsidRPr="00953485">
        <w:rPr>
          <w:rFonts w:asciiTheme="minorHAnsi" w:eastAsiaTheme="minorEastAsia" w:hAnsiTheme="minorHAnsi" w:cstheme="minorBidi"/>
          <w:noProof/>
          <w:sz w:val="22"/>
          <w:szCs w:val="22"/>
          <w:lang w:val="fr-FR" w:eastAsia="zh-CN"/>
        </w:rPr>
        <w:tab/>
      </w:r>
      <w:r w:rsidRPr="00953485">
        <w:rPr>
          <w:noProof/>
          <w:lang w:val="fr-CH"/>
        </w:rPr>
        <w:t>Conclusion</w:t>
      </w:r>
      <w:r>
        <w:rPr>
          <w:noProof/>
          <w:lang w:val="fr-CH"/>
        </w:rPr>
        <w:tab/>
      </w:r>
      <w:r>
        <w:rPr>
          <w:noProof/>
          <w:lang w:val="fr-CH"/>
        </w:rPr>
        <w:tab/>
      </w:r>
      <w:r w:rsidRPr="00953485">
        <w:rPr>
          <w:noProof/>
          <w:lang w:val="fr-FR"/>
        </w:rPr>
        <w:t>57</w:t>
      </w:r>
    </w:p>
    <w:p w:rsidR="00953485" w:rsidRPr="00953485" w:rsidRDefault="00953485" w:rsidP="00953485">
      <w:pPr>
        <w:rPr>
          <w:lang w:val="fr-CH"/>
        </w:rPr>
      </w:pPr>
      <w:r>
        <w:rPr>
          <w:lang w:val="fr-CH"/>
        </w:rPr>
        <w:tab/>
      </w:r>
    </w:p>
    <w:p w:rsidR="009B21E1" w:rsidRPr="009B21E1" w:rsidRDefault="009B21E1" w:rsidP="009B21E1">
      <w:pPr>
        <w:rPr>
          <w:lang w:val="fr-CH"/>
        </w:rPr>
      </w:pPr>
      <w:r>
        <w:rPr>
          <w:lang w:val="fr-CH"/>
        </w:rPr>
        <w:tab/>
      </w:r>
    </w:p>
    <w:p w:rsidR="009B21E1" w:rsidRPr="009B21E1" w:rsidRDefault="009B21E1" w:rsidP="009B21E1">
      <w:pPr>
        <w:rPr>
          <w:lang w:val="fr-CH"/>
        </w:rPr>
      </w:pPr>
      <w:r>
        <w:rPr>
          <w:lang w:val="fr-CH"/>
        </w:rPr>
        <w:tab/>
      </w:r>
    </w:p>
    <w:p w:rsidR="00DE31BE" w:rsidRPr="00CA3220" w:rsidRDefault="00DE31BE" w:rsidP="00664299">
      <w:pPr>
        <w:pStyle w:val="Heading1"/>
        <w:rPr>
          <w:szCs w:val="24"/>
          <w:lang w:val="fr-CH"/>
        </w:rPr>
      </w:pPr>
      <w:bookmarkStart w:id="9" w:name="_Toc498437758"/>
      <w:bookmarkStart w:id="10" w:name="_Toc498500096"/>
      <w:bookmarkStart w:id="11" w:name="_Toc498500347"/>
      <w:bookmarkStart w:id="12" w:name="_Toc498516112"/>
      <w:r w:rsidRPr="00CA3220">
        <w:rPr>
          <w:szCs w:val="24"/>
          <w:lang w:val="fr-CH"/>
        </w:rPr>
        <w:t>1</w:t>
      </w:r>
      <w:r w:rsidRPr="00CA3220">
        <w:rPr>
          <w:szCs w:val="24"/>
          <w:lang w:val="fr-CH"/>
        </w:rPr>
        <w:tab/>
        <w:t>Introduction</w:t>
      </w:r>
      <w:bookmarkEnd w:id="7"/>
      <w:bookmarkEnd w:id="8"/>
      <w:bookmarkEnd w:id="9"/>
      <w:bookmarkEnd w:id="10"/>
      <w:bookmarkEnd w:id="11"/>
      <w:bookmarkEnd w:id="12"/>
    </w:p>
    <w:p w:rsidR="00DE31BE" w:rsidRPr="00CA3220" w:rsidRDefault="00DE31BE" w:rsidP="00664299">
      <w:pPr>
        <w:rPr>
          <w:lang w:val="fr-CH"/>
        </w:rPr>
      </w:pPr>
      <w:r w:rsidRPr="00CA3220">
        <w:rPr>
          <w:lang w:val="fr-CH"/>
        </w:rPr>
        <w:t>L'expression «réseau intelligent» désigne les systèmes évolués de fourniture de services collectifs (électricité, gaz et eau) depuis les lieux de génération et de production jusqu'aux points de consommation, et couvre tous les systèmes de gestion et administratifs connexes, ainsi que les technologies de l'information numériques modernes intégrées. A terme, l'amélioration de la fiabilité, de la sécurité et de l'efficacité de l'infrastructure de distribution que constituent les réseaux intelligents devrait entraîner une baisse des coûts de fourniture des services collectifs aux usagers.</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technologies de communication sont très vite devenues un outil essentiel utilisé par de nombreuses entreprises de services collectifs pour mettre en place leur infrastructure de réseaux intelligents. Ces dernières années par exemple, les administrations et les commissions nationales chargées de superviser la production, la distribution et la consommation d'électricité ont pris des engagements afin d'améliorer l'efficacité, le stockage, la sécurité et la fiabilité dans le cadre de l'action qu'elles mènent pour parvenir à réduire la part de la production d'électricité dans les émissions mondiales de gaz à effet de serre, qui est de 40%</w:t>
      </w:r>
      <w:r w:rsidRPr="00CA3220">
        <w:rPr>
          <w:rStyle w:val="FootnoteReference"/>
          <w:rFonts w:asciiTheme="majorBidi" w:hAnsiTheme="majorBidi" w:cstheme="majorBidi"/>
          <w:szCs w:val="24"/>
          <w:lang w:val="fr-CH"/>
        </w:rPr>
        <w:footnoteReference w:id="1"/>
      </w:r>
      <w:r w:rsidRPr="00CA3220">
        <w:rPr>
          <w:rFonts w:asciiTheme="majorBidi" w:hAnsiTheme="majorBidi" w:cstheme="majorBidi"/>
          <w:szCs w:val="24"/>
          <w:lang w:val="fr-CH"/>
        </w:rPr>
        <w:t>. Les systèmes de réseaux intelligents représentent une technologie essentielle pour y parvenir.</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principaux objectifs de la mise en place de réseaux intelligents sont les suivants:</w:t>
      </w:r>
    </w:p>
    <w:p w:rsidR="00DE31BE" w:rsidRPr="00CA3220" w:rsidRDefault="00DE31BE" w:rsidP="00A7174B">
      <w:pPr>
        <w:pStyle w:val="enumlev1"/>
        <w:spacing w:before="40"/>
        <w:rPr>
          <w:lang w:val="fr-CH"/>
        </w:rPr>
      </w:pPr>
      <w:r w:rsidRPr="00CA3220">
        <w:rPr>
          <w:lang w:val="fr-CH"/>
        </w:rPr>
        <w:t>–</w:t>
      </w:r>
      <w:r w:rsidRPr="00CA3220">
        <w:rPr>
          <w:lang w:val="fr-CH"/>
        </w:rPr>
        <w:tab/>
        <w:t>assurer une fourniture sécurisée;</w:t>
      </w:r>
    </w:p>
    <w:p w:rsidR="00DE31BE" w:rsidRPr="00CA3220" w:rsidRDefault="00DE31BE" w:rsidP="00A7174B">
      <w:pPr>
        <w:pStyle w:val="enumlev1"/>
        <w:spacing w:before="40"/>
        <w:rPr>
          <w:lang w:val="fr-CH"/>
        </w:rPr>
      </w:pPr>
      <w:r w:rsidRPr="00CA3220">
        <w:rPr>
          <w:lang w:val="fr-CH"/>
        </w:rPr>
        <w:t>–</w:t>
      </w:r>
      <w:r w:rsidRPr="00CA3220">
        <w:rPr>
          <w:lang w:val="fr-CH"/>
        </w:rPr>
        <w:tab/>
        <w:t>faciliter le passage à une économie à faible empreinte carbone;</w:t>
      </w:r>
    </w:p>
    <w:p w:rsidR="00DE31BE" w:rsidRPr="00CA3220" w:rsidRDefault="00DE31BE" w:rsidP="00A7174B">
      <w:pPr>
        <w:pStyle w:val="enumlev1"/>
        <w:spacing w:before="40"/>
        <w:rPr>
          <w:lang w:val="fr-CH"/>
        </w:rPr>
      </w:pPr>
      <w:r w:rsidRPr="00CA3220">
        <w:rPr>
          <w:lang w:val="fr-CH"/>
        </w:rPr>
        <w:t>–</w:t>
      </w:r>
      <w:r w:rsidRPr="00CA3220">
        <w:rPr>
          <w:lang w:val="fr-CH"/>
        </w:rPr>
        <w:tab/>
        <w:t>maintenir des prix stables et abordables.</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 xml:space="preserve">Les communications sécurisées sont un élément clé du réseau intelligent, sur lequel repose le déploiement de réseaux intelligents parmi les </w:t>
      </w:r>
      <w:r w:rsidR="00967DD2" w:rsidRPr="00CA3220">
        <w:rPr>
          <w:rFonts w:asciiTheme="majorBidi" w:hAnsiTheme="majorBidi" w:cstheme="majorBidi"/>
          <w:szCs w:val="24"/>
          <w:lang w:val="fr-CH"/>
        </w:rPr>
        <w:t xml:space="preserve">plus </w:t>
      </w:r>
      <w:r w:rsidRPr="00CA3220">
        <w:rPr>
          <w:rFonts w:asciiTheme="majorBidi" w:hAnsiTheme="majorBidi" w:cstheme="majorBidi"/>
          <w:szCs w:val="24"/>
          <w:lang w:val="fr-CH"/>
        </w:rPr>
        <w:t>grands et les plus évolués en cours aujourd'hui. Par ailleurs, parce qu'il est composé d'une superposition de technologies de l'information, un réseau intelligent est capable d'anticiper et de se rétablir seul, ce qui permet d'éviter les problèmes de manière automatique. Point essentiel du projet de réseaux intelligents, les particuliers et les entreprises doivent être équipés de compteurs intelligents efficaces qui permettent de suivre en temps réel la consommation et de communiquer, également en temps réel, avec les centres de commande des réseaux afin d'adapter la production en fonction de la consommation et de fournir les services au meilleur prix.</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lastRenderedPageBreak/>
        <w:t>A l'UIT, la mise en oeuvre des réseaux intelligents est devenue intrinsèquement liée aux diverses technologies filaires et hertziennes élaborées pour établir différents types de réseaux</w:t>
      </w:r>
      <w:r w:rsidRPr="00CA3220">
        <w:rPr>
          <w:rStyle w:val="FootnoteReference"/>
          <w:rFonts w:asciiTheme="majorBidi" w:hAnsiTheme="majorBidi" w:cstheme="majorBidi"/>
          <w:szCs w:val="24"/>
          <w:lang w:val="fr-CH"/>
        </w:rPr>
        <w:footnoteReference w:id="2"/>
      </w:r>
      <w:r w:rsidRPr="00CA3220">
        <w:rPr>
          <w:rFonts w:asciiTheme="majorBidi" w:hAnsiTheme="majorBidi" w:cstheme="majorBidi"/>
          <w:szCs w:val="24"/>
          <w:lang w:val="fr-CH"/>
        </w:rPr>
        <w:t>. Les services de réseaux intelligents à l'extérieur des habitations comprennent l'infrastructure de comptage évoluée (AMI), la gestion automatique des compteurs (AMM), le relevé automatique des compteurs (AMR) et l'automatisation de la distribution. A l'intérieur des habitations, les applications de réseau intelligent auront pour tâche principale d'assurer des communications relatives au comptage, à la surveillance et à la commande entre le fournisseur de services collectifs, les compteurs intelligents et les appareils électroménagers intelligents (système de chauffage, climatiseur, lave-linge, lave</w:t>
      </w:r>
      <w:r w:rsidRPr="00CA3220">
        <w:rPr>
          <w:rFonts w:asciiTheme="majorBidi" w:hAnsiTheme="majorBidi" w:cstheme="majorBidi"/>
          <w:szCs w:val="24"/>
          <w:lang w:val="fr-CH"/>
        </w:rPr>
        <w:noBreakHyphen/>
        <w:t>vaisselle, etc.). Une autre grande application qui devrait voir le jour concerne les communications relatives à la facturation et à la tarification entre les véhicules électriques et les stations de recharge. Grâce aux services de réseau intelligent à l'intérieur d'une habitation, il sera possible de commander de manière granulaire les appareils électroménagers intelligents, de gérer à distance les appareils électriques et d'afficher la consommation et les coûts associés afin de mieux informer les consommateurs et, partant, de les inciter à économiser l'énergie.</w:t>
      </w:r>
    </w:p>
    <w:p w:rsidR="00DE31BE" w:rsidRPr="00CA3220" w:rsidRDefault="00DE31BE" w:rsidP="00664299">
      <w:pPr>
        <w:pStyle w:val="Heading1"/>
        <w:rPr>
          <w:szCs w:val="24"/>
          <w:lang w:val="fr-CH"/>
        </w:rPr>
      </w:pPr>
      <w:bookmarkStart w:id="13" w:name="_Toc438029874"/>
      <w:bookmarkStart w:id="14" w:name="_Toc440533890"/>
      <w:bookmarkStart w:id="15" w:name="_Toc498437759"/>
      <w:bookmarkStart w:id="16" w:name="_Toc498500097"/>
      <w:bookmarkStart w:id="17" w:name="_Toc498500348"/>
      <w:bookmarkStart w:id="18" w:name="_Toc498516113"/>
      <w:r w:rsidRPr="00CA3220">
        <w:rPr>
          <w:szCs w:val="24"/>
          <w:lang w:val="fr-CH"/>
        </w:rPr>
        <w:t>2</w:t>
      </w:r>
      <w:r w:rsidRPr="00CA3220">
        <w:rPr>
          <w:szCs w:val="24"/>
          <w:lang w:val="fr-CH"/>
        </w:rPr>
        <w:tab/>
      </w:r>
      <w:r w:rsidR="00C12461" w:rsidRPr="00CA3220">
        <w:rPr>
          <w:szCs w:val="24"/>
          <w:lang w:val="fr-CH"/>
        </w:rPr>
        <w:t>Communications et f</w:t>
      </w:r>
      <w:r w:rsidRPr="00CA3220">
        <w:rPr>
          <w:szCs w:val="24"/>
          <w:lang w:val="fr-CH"/>
        </w:rPr>
        <w:t>onctionnalités des réseaux intelligents</w:t>
      </w:r>
      <w:bookmarkEnd w:id="13"/>
      <w:bookmarkEnd w:id="14"/>
      <w:bookmarkEnd w:id="15"/>
      <w:bookmarkEnd w:id="16"/>
      <w:bookmarkEnd w:id="17"/>
      <w:bookmarkEnd w:id="18"/>
    </w:p>
    <w:p w:rsidR="00DE31BE" w:rsidRPr="008242F1" w:rsidRDefault="00DE31BE" w:rsidP="00063D07">
      <w:pPr>
        <w:rPr>
          <w:rFonts w:asciiTheme="majorBidi" w:hAnsiTheme="majorBidi" w:cstheme="majorBidi"/>
          <w:spacing w:val="-2"/>
          <w:szCs w:val="24"/>
          <w:lang w:val="fr-CH"/>
        </w:rPr>
      </w:pPr>
      <w:r w:rsidRPr="008242F1">
        <w:rPr>
          <w:rFonts w:asciiTheme="majorBidi" w:hAnsiTheme="majorBidi" w:cstheme="majorBidi"/>
          <w:spacing w:val="-2"/>
          <w:szCs w:val="24"/>
          <w:lang w:val="fr-CH"/>
        </w:rPr>
        <w:t xml:space="preserve">Le projet de réseaux intelligents prévoit une connectivité ubiquitaire sur toutes les parties des réseaux de distribution de services collectifs, depuis le point d'alimentation du réseau en passant par les centres de gestion des réseaux et jusqu'aux différents locaux et appareils électroménagers. Ces réseaux nécessiteront des flux de données bidirectionnels d'une capacité considérable et une connectivité complexe d'une qualité équivalente à celle de l'Internet. De plus amples renseignements sur les flux de communication qu'il est envisagé de faire circuler sur les réseaux de distribution d'électricité sont présentés dans le </w:t>
      </w:r>
      <w:r w:rsidR="00967DD2" w:rsidRPr="008242F1">
        <w:rPr>
          <w:rFonts w:asciiTheme="majorBidi" w:hAnsiTheme="majorBidi" w:cstheme="majorBidi"/>
          <w:spacing w:val="-2"/>
          <w:szCs w:val="24"/>
          <w:lang w:val="fr-CH"/>
        </w:rPr>
        <w:t>d</w:t>
      </w:r>
      <w:r w:rsidRPr="008242F1">
        <w:rPr>
          <w:rFonts w:asciiTheme="majorBidi" w:hAnsiTheme="majorBidi" w:cstheme="majorBidi"/>
          <w:spacing w:val="-2"/>
          <w:szCs w:val="24"/>
          <w:lang w:val="fr-CH"/>
        </w:rPr>
        <w:t xml:space="preserve">ocument technique de l'UIT </w:t>
      </w:r>
      <w:r w:rsidR="0068312A">
        <w:rPr>
          <w:rFonts w:asciiTheme="majorBidi" w:hAnsiTheme="majorBidi" w:cstheme="majorBidi"/>
          <w:spacing w:val="-2"/>
          <w:szCs w:val="24"/>
          <w:lang w:val="fr-CH"/>
        </w:rPr>
        <w:t>"</w:t>
      </w:r>
      <w:r w:rsidRPr="00063D07">
        <w:rPr>
          <w:rFonts w:asciiTheme="majorBidi" w:hAnsiTheme="majorBidi" w:cstheme="majorBidi"/>
          <w:i/>
          <w:iCs/>
          <w:spacing w:val="-2"/>
          <w:szCs w:val="24"/>
          <w:lang w:val="fr-CH"/>
        </w:rPr>
        <w:t>Applications des émetteurs-récepteurs UIT-T G.9960 et UIT</w:t>
      </w:r>
      <w:r w:rsidRPr="00063D07">
        <w:rPr>
          <w:rFonts w:asciiTheme="majorBidi" w:hAnsiTheme="majorBidi" w:cstheme="majorBidi"/>
          <w:i/>
          <w:iCs/>
          <w:spacing w:val="-2"/>
          <w:szCs w:val="24"/>
          <w:lang w:val="fr-CH"/>
        </w:rPr>
        <w:noBreakHyphen/>
        <w:t>T G.9961 pour applications de réseaux intelligents: Infrastructure de comptage évoluée, gestion de l'énergie au domicile et dans les véhicules électriques</w:t>
      </w:r>
      <w:r w:rsidR="0068312A">
        <w:rPr>
          <w:rFonts w:asciiTheme="majorBidi" w:hAnsiTheme="majorBidi" w:cstheme="majorBidi"/>
          <w:spacing w:val="-2"/>
          <w:szCs w:val="24"/>
          <w:lang w:val="fr-CH"/>
        </w:rPr>
        <w:t>"</w:t>
      </w:r>
      <w:r w:rsidRPr="008242F1">
        <w:rPr>
          <w:rStyle w:val="FootnoteReference"/>
          <w:rFonts w:asciiTheme="majorBidi" w:hAnsiTheme="majorBidi" w:cstheme="majorBidi"/>
          <w:spacing w:val="-2"/>
          <w:szCs w:val="24"/>
          <w:lang w:val="fr-CH"/>
        </w:rPr>
        <w:footnoteReference w:id="3"/>
      </w:r>
      <w:r w:rsidRPr="008242F1">
        <w:rPr>
          <w:rFonts w:asciiTheme="majorBidi" w:hAnsiTheme="majorBidi" w:cstheme="majorBidi"/>
          <w:spacing w:val="-2"/>
          <w:szCs w:val="24"/>
          <w:lang w:val="fr-CH"/>
        </w:rPr>
        <w:t>. Afin de mettre davantage en avant les activités liées au projet de réseaux de distribution intelligents au sein de l'UIT-T, les travaux concernant la fourniture d'une connectivité sur les réseaux électriques et la conception de modems CPL pour les applications de réseaux intelligents ont été séparés des travaux plus généraux menés sur les réseaux domestiques dans le cadre de la Recommandation UIT-T G.9960 et se poursuivent désormais dans le cadre des activités relatives aux Recommandations UIT-T de la série G.990x (ex-UIT-T G.9955), c'est</w:t>
      </w:r>
      <w:r w:rsidRPr="008242F1">
        <w:rPr>
          <w:rFonts w:asciiTheme="majorBidi" w:hAnsiTheme="majorBidi" w:cstheme="majorBidi"/>
          <w:spacing w:val="-2"/>
          <w:szCs w:val="24"/>
          <w:lang w:val="fr-CH"/>
        </w:rPr>
        <w:noBreakHyphen/>
        <w:t>à</w:t>
      </w:r>
      <w:r w:rsidRPr="008242F1">
        <w:rPr>
          <w:rFonts w:asciiTheme="majorBidi" w:hAnsiTheme="majorBidi" w:cstheme="majorBidi"/>
          <w:spacing w:val="-2"/>
          <w:szCs w:val="24"/>
          <w:lang w:val="fr-CH"/>
        </w:rPr>
        <w:noBreakHyphen/>
        <w:t>dire les Recommandations UIT-T G.9901, G.9902, G.9903, G.9904.</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réseaux intelligents fourniront l'infrastructure permettant de superposer et de commander les informations, ce qui permettra de créer un réseau de communication et de détection intégré. Grâce à ces réseaux de distribution intelligents, les entreprises de services collectifs comme les clients peuvent mieux maîtriser l'utilisation de l'électricité, de l'eau et du gaz. En outre, les réseaux de distribution des services collectifs fonctionneront avec une efficacité encore jamais atteinte.</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pays, les instituts de recherche, les commissions, les entreprises et les organisations de normalisation ci-après ont tous identifié des fonctionnalités et des caractéristiques pour les réseaux de distribution et les systèmes de compteurs intelligents:</w:t>
      </w:r>
    </w:p>
    <w:p w:rsidR="00DE31BE" w:rsidRPr="00CA3220" w:rsidRDefault="00DE31BE" w:rsidP="00664299">
      <w:pPr>
        <w:pStyle w:val="enumlev1"/>
        <w:rPr>
          <w:lang w:val="fr-CH"/>
        </w:rPr>
      </w:pPr>
      <w:r w:rsidRPr="00CA3220">
        <w:rPr>
          <w:lang w:val="fr-CH"/>
        </w:rPr>
        <w:t>–</w:t>
      </w:r>
      <w:r w:rsidRPr="00CA3220">
        <w:rPr>
          <w:lang w:val="fr-CH"/>
        </w:rPr>
        <w:tab/>
        <w:t>les Etats-Unis, qui ont adopté récemment une législation</w:t>
      </w:r>
      <w:r w:rsidRPr="00CA3220">
        <w:rPr>
          <w:rStyle w:val="FootnoteReference"/>
          <w:rFonts w:asciiTheme="majorBidi" w:hAnsiTheme="majorBidi" w:cstheme="majorBidi"/>
          <w:szCs w:val="24"/>
          <w:lang w:val="fr-CH"/>
        </w:rPr>
        <w:footnoteReference w:id="4"/>
      </w:r>
      <w:r w:rsidRPr="00CA3220">
        <w:rPr>
          <w:lang w:val="fr-CH"/>
        </w:rPr>
        <w:t>;</w:t>
      </w:r>
    </w:p>
    <w:p w:rsidR="00DE31BE" w:rsidRPr="00CA3220" w:rsidRDefault="00DE31BE" w:rsidP="00664299">
      <w:pPr>
        <w:pStyle w:val="enumlev1"/>
        <w:rPr>
          <w:lang w:val="fr-CH"/>
        </w:rPr>
      </w:pPr>
      <w:r w:rsidRPr="00CA3220">
        <w:rPr>
          <w:lang w:val="fr-CH"/>
        </w:rPr>
        <w:lastRenderedPageBreak/>
        <w:t>–</w:t>
      </w:r>
      <w:r w:rsidRPr="00CA3220">
        <w:rPr>
          <w:lang w:val="fr-CH"/>
        </w:rPr>
        <w:tab/>
        <w:t>le Groupe sur l'interopérabilité des réseaux électriques intelligents (SGIP)</w:t>
      </w:r>
      <w:r w:rsidRPr="00CA3220">
        <w:rPr>
          <w:rStyle w:val="FootnoteReference"/>
          <w:rFonts w:asciiTheme="majorBidi" w:hAnsiTheme="majorBidi" w:cstheme="majorBidi"/>
          <w:szCs w:val="24"/>
          <w:lang w:val="fr-CH"/>
        </w:rPr>
        <w:footnoteReference w:id="5"/>
      </w:r>
      <w:r w:rsidRPr="00CA3220">
        <w:rPr>
          <w:lang w:val="fr-CH"/>
        </w:rPr>
        <w:t>;</w:t>
      </w:r>
    </w:p>
    <w:p w:rsidR="00DE31BE" w:rsidRPr="007B6CF9" w:rsidRDefault="00DE31BE" w:rsidP="00664299">
      <w:pPr>
        <w:pStyle w:val="enumlev1"/>
        <w:rPr>
          <w:lang w:val="en-US"/>
        </w:rPr>
      </w:pPr>
      <w:r w:rsidRPr="007B6CF9">
        <w:rPr>
          <w:lang w:val="en-US"/>
        </w:rPr>
        <w:t>–</w:t>
      </w:r>
      <w:r w:rsidRPr="007B6CF9">
        <w:rPr>
          <w:lang w:val="en-US"/>
        </w:rPr>
        <w:tab/>
        <w:t>l'Electric Power Research Institute (EPRI)</w:t>
      </w:r>
      <w:r w:rsidRPr="00CA3220">
        <w:rPr>
          <w:rStyle w:val="FootnoteReference"/>
          <w:rFonts w:asciiTheme="majorBidi" w:hAnsiTheme="majorBidi" w:cstheme="majorBidi"/>
          <w:szCs w:val="24"/>
          <w:lang w:val="fr-CH"/>
        </w:rPr>
        <w:footnoteReference w:id="6"/>
      </w:r>
      <w:r w:rsidRPr="007B6CF9">
        <w:rPr>
          <w:lang w:val="en-US"/>
        </w:rPr>
        <w:t>;</w:t>
      </w:r>
    </w:p>
    <w:p w:rsidR="00DE31BE" w:rsidRPr="00CA3220" w:rsidRDefault="00DE31BE" w:rsidP="00664299">
      <w:pPr>
        <w:pStyle w:val="enumlev1"/>
        <w:rPr>
          <w:lang w:val="fr-CH"/>
        </w:rPr>
      </w:pPr>
      <w:r w:rsidRPr="00CA3220">
        <w:rPr>
          <w:lang w:val="fr-CH"/>
        </w:rPr>
        <w:t>–</w:t>
      </w:r>
      <w:r w:rsidRPr="00CA3220">
        <w:rPr>
          <w:lang w:val="fr-CH"/>
        </w:rPr>
        <w:tab/>
        <w:t>l'initiative Modern Grid appuyée par le Département américain de l'énergie</w:t>
      </w:r>
      <w:r w:rsidRPr="00CA3220">
        <w:rPr>
          <w:rStyle w:val="FootnoteReference"/>
          <w:rFonts w:asciiTheme="majorBidi" w:hAnsiTheme="majorBidi" w:cstheme="majorBidi"/>
          <w:szCs w:val="24"/>
          <w:lang w:val="fr-CH"/>
        </w:rPr>
        <w:footnoteReference w:id="7"/>
      </w:r>
      <w:r w:rsidRPr="00CA3220">
        <w:rPr>
          <w:lang w:val="fr-CH"/>
        </w:rPr>
        <w:t>;</w:t>
      </w:r>
    </w:p>
    <w:p w:rsidR="00DE31BE" w:rsidRPr="00CA3220" w:rsidRDefault="00DE31BE" w:rsidP="00664299">
      <w:pPr>
        <w:pStyle w:val="enumlev1"/>
        <w:rPr>
          <w:lang w:val="fr-CH"/>
        </w:rPr>
      </w:pPr>
      <w:r w:rsidRPr="00CA3220">
        <w:rPr>
          <w:lang w:val="fr-CH"/>
        </w:rPr>
        <w:t>–</w:t>
      </w:r>
      <w:r w:rsidRPr="00CA3220">
        <w:rPr>
          <w:lang w:val="fr-CH"/>
        </w:rPr>
        <w:tab/>
        <w:t>la Commission européenne, avec son programme de recherche stratégique</w:t>
      </w:r>
      <w:r w:rsidRPr="00CA3220">
        <w:rPr>
          <w:rStyle w:val="FootnoteReference"/>
          <w:rFonts w:asciiTheme="majorBidi" w:hAnsiTheme="majorBidi" w:cstheme="majorBidi"/>
          <w:szCs w:val="24"/>
          <w:lang w:val="fr-CH"/>
        </w:rPr>
        <w:footnoteReference w:id="8"/>
      </w:r>
      <w:r w:rsidRPr="00CA3220">
        <w:rPr>
          <w:lang w:val="fr-CH"/>
        </w:rPr>
        <w:t>;</w:t>
      </w:r>
    </w:p>
    <w:p w:rsidR="00DE31BE" w:rsidRPr="00CA3220" w:rsidRDefault="00DE31BE" w:rsidP="00664299">
      <w:pPr>
        <w:pStyle w:val="enumlev1"/>
        <w:rPr>
          <w:lang w:val="fr-CH"/>
        </w:rPr>
      </w:pPr>
      <w:r w:rsidRPr="00CA3220">
        <w:rPr>
          <w:lang w:val="fr-CH"/>
        </w:rPr>
        <w:t>–</w:t>
      </w:r>
      <w:r w:rsidRPr="00CA3220">
        <w:rPr>
          <w:lang w:val="fr-CH"/>
        </w:rPr>
        <w:tab/>
        <w:t>le Royaume-Uni, qui a récemment tenu des consultations sur la mise en oeuvre du comptage intelligent</w:t>
      </w:r>
      <w:r w:rsidRPr="00CA3220">
        <w:rPr>
          <w:rStyle w:val="FootnoteReference"/>
          <w:rFonts w:asciiTheme="majorBidi" w:hAnsiTheme="majorBidi" w:cstheme="majorBidi"/>
          <w:szCs w:val="24"/>
          <w:lang w:val="fr-CH"/>
        </w:rPr>
        <w:footnoteReference w:id="9"/>
      </w:r>
      <w:r w:rsidRPr="00CA3220">
        <w:rPr>
          <w:lang w:val="fr-CH"/>
        </w:rPr>
        <w:t>;</w:t>
      </w:r>
    </w:p>
    <w:p w:rsidR="00DE31BE" w:rsidRPr="00CA3220" w:rsidRDefault="00DE31BE" w:rsidP="00664299">
      <w:pPr>
        <w:pStyle w:val="enumlev1"/>
        <w:rPr>
          <w:lang w:val="fr-CH"/>
        </w:rPr>
      </w:pPr>
      <w:r w:rsidRPr="00CA3220">
        <w:rPr>
          <w:lang w:val="fr-CH"/>
        </w:rPr>
        <w:t>–</w:t>
      </w:r>
      <w:r w:rsidRPr="00CA3220">
        <w:rPr>
          <w:lang w:val="fr-CH"/>
        </w:rPr>
        <w:tab/>
        <w:t>la Commission TR51 de la Telecommunications Industry Association, qui s'occupe des réseaux de services collectifs intelligents</w:t>
      </w:r>
      <w:r w:rsidRPr="00CA3220">
        <w:rPr>
          <w:rStyle w:val="FootnoteReference"/>
          <w:lang w:val="fr-CH"/>
        </w:rPr>
        <w:footnoteReference w:id="10"/>
      </w:r>
      <w:r w:rsidRPr="00CA3220">
        <w:rPr>
          <w:lang w:val="fr-CH"/>
        </w:rPr>
        <w:t>.</w:t>
      </w:r>
    </w:p>
    <w:p w:rsidR="00DE31BE" w:rsidRPr="00CA3220" w:rsidRDefault="00DE31BE" w:rsidP="00664299">
      <w:pPr>
        <w:pStyle w:val="Heading1"/>
        <w:rPr>
          <w:szCs w:val="24"/>
          <w:lang w:val="fr-CH"/>
        </w:rPr>
      </w:pPr>
      <w:bookmarkStart w:id="19" w:name="_Toc438029875"/>
      <w:bookmarkStart w:id="20" w:name="_Toc440533891"/>
      <w:bookmarkStart w:id="21" w:name="_Toc498437760"/>
      <w:bookmarkStart w:id="22" w:name="_Toc498500098"/>
      <w:bookmarkStart w:id="23" w:name="_Toc498500349"/>
      <w:bookmarkStart w:id="24" w:name="_Toc498516114"/>
      <w:r w:rsidRPr="00CA3220">
        <w:rPr>
          <w:szCs w:val="24"/>
          <w:lang w:val="fr-CH"/>
        </w:rPr>
        <w:t>3</w:t>
      </w:r>
      <w:r w:rsidRPr="00CA3220">
        <w:rPr>
          <w:szCs w:val="24"/>
          <w:lang w:val="fr-CH"/>
        </w:rPr>
        <w:tab/>
        <w:t>Technologies des réseaux de communication utilisées dans les réseaux de distribution intelligents</w:t>
      </w:r>
      <w:bookmarkEnd w:id="19"/>
      <w:bookmarkEnd w:id="20"/>
      <w:bookmarkEnd w:id="21"/>
      <w:bookmarkEnd w:id="22"/>
      <w:bookmarkEnd w:id="23"/>
      <w:bookmarkEnd w:id="24"/>
    </w:p>
    <w:p w:rsidR="00DE31BE" w:rsidRPr="00A7174B" w:rsidRDefault="00DE31BE" w:rsidP="00664299">
      <w:pPr>
        <w:rPr>
          <w:rFonts w:asciiTheme="majorBidi" w:hAnsiTheme="majorBidi" w:cstheme="majorBidi"/>
          <w:spacing w:val="-2"/>
          <w:szCs w:val="24"/>
          <w:lang w:val="fr-CH"/>
        </w:rPr>
      </w:pPr>
      <w:r w:rsidRPr="00A7174B">
        <w:rPr>
          <w:rFonts w:asciiTheme="majorBidi" w:hAnsiTheme="majorBidi" w:cstheme="majorBidi"/>
          <w:spacing w:val="-2"/>
          <w:szCs w:val="24"/>
          <w:lang w:val="fr-CH"/>
        </w:rPr>
        <w:t>Différents types de réseaux de communication pourront être utilisés pour la mise en oeuvre des réseaux de distribution intelligents. Ces réseaux de communication doivent toutefois offrir une capacité suffisante pour prendre en charge les applications simples et évoluées de réseaux de distribution intelligents qui existent aujourd'hui, ainsi que celles qui seront disponibles dans un avenir proche.</w:t>
      </w:r>
    </w:p>
    <w:p w:rsidR="00E27478" w:rsidRPr="00CA3220" w:rsidRDefault="00E27478" w:rsidP="000476E5">
      <w:pPr>
        <w:rPr>
          <w:rFonts w:asciiTheme="majorBidi" w:hAnsiTheme="majorBidi" w:cstheme="majorBidi"/>
          <w:szCs w:val="24"/>
          <w:lang w:val="fr-CH"/>
        </w:rPr>
      </w:pPr>
      <w:r w:rsidRPr="00CA3220">
        <w:rPr>
          <w:rFonts w:asciiTheme="majorBidi" w:hAnsiTheme="majorBidi" w:cstheme="majorBidi"/>
          <w:szCs w:val="24"/>
          <w:lang w:val="fr-CH"/>
        </w:rPr>
        <w:t>Le réseau électrique est un système de distribution d'un bien marchand</w:t>
      </w:r>
      <w:r w:rsidR="0017715E" w:rsidRPr="00CA3220">
        <w:rPr>
          <w:rFonts w:asciiTheme="majorBidi" w:hAnsiTheme="majorBidi" w:cstheme="majorBidi"/>
          <w:szCs w:val="24"/>
          <w:lang w:val="fr-CH"/>
        </w:rPr>
        <w:t xml:space="preserve"> dans lequel la durée du cycle entre la production et la consommation du bien (l'électricité) est quasi nulle: la production, la fourniture e</w:t>
      </w:r>
      <w:r w:rsidR="00664299" w:rsidRPr="00CA3220">
        <w:rPr>
          <w:rFonts w:asciiTheme="majorBidi" w:hAnsiTheme="majorBidi" w:cstheme="majorBidi"/>
          <w:szCs w:val="24"/>
          <w:lang w:val="fr-CH"/>
        </w:rPr>
        <w:t>t la consommation sont presque «</w:t>
      </w:r>
      <w:r w:rsidR="0017715E" w:rsidRPr="00CA3220">
        <w:rPr>
          <w:rFonts w:asciiTheme="majorBidi" w:hAnsiTheme="majorBidi" w:cstheme="majorBidi"/>
          <w:szCs w:val="24"/>
          <w:lang w:val="fr-CH"/>
        </w:rPr>
        <w:t>toutes</w:t>
      </w:r>
      <w:r w:rsidR="00664299" w:rsidRPr="00CA3220">
        <w:rPr>
          <w:rFonts w:asciiTheme="majorBidi" w:hAnsiTheme="majorBidi" w:cstheme="majorBidi"/>
          <w:szCs w:val="24"/>
          <w:lang w:val="fr-CH"/>
        </w:rPr>
        <w:t>»</w:t>
      </w:r>
      <w:r w:rsidR="0017715E" w:rsidRPr="00CA3220">
        <w:rPr>
          <w:rFonts w:asciiTheme="majorBidi" w:hAnsiTheme="majorBidi" w:cstheme="majorBidi"/>
          <w:szCs w:val="24"/>
          <w:lang w:val="fr-CH"/>
        </w:rPr>
        <w:t xml:space="preserve"> simultanée</w:t>
      </w:r>
      <w:r w:rsidR="00664299" w:rsidRPr="00CA3220">
        <w:rPr>
          <w:rFonts w:asciiTheme="majorBidi" w:hAnsiTheme="majorBidi" w:cstheme="majorBidi"/>
          <w:szCs w:val="24"/>
          <w:lang w:val="fr-CH"/>
        </w:rPr>
        <w:t>s</w:t>
      </w:r>
      <w:r w:rsidR="0017715E" w:rsidRPr="00CA3220">
        <w:rPr>
          <w:rFonts w:asciiTheme="majorBidi" w:hAnsiTheme="majorBidi" w:cstheme="majorBidi"/>
          <w:szCs w:val="24"/>
          <w:lang w:val="fr-CH"/>
        </w:rPr>
        <w:t xml:space="preserve">. Il sera encore plus difficile d'équilibrer la production et la demande avec l'intégration de nouvelles technologies </w:t>
      </w:r>
      <w:r w:rsidR="000476E5" w:rsidRPr="00CA3220">
        <w:rPr>
          <w:rFonts w:asciiTheme="majorBidi" w:hAnsiTheme="majorBidi" w:cstheme="majorBidi"/>
          <w:szCs w:val="24"/>
          <w:lang w:val="fr-CH"/>
        </w:rPr>
        <w:t xml:space="preserve">visant à </w:t>
      </w:r>
      <w:r w:rsidR="0017715E" w:rsidRPr="00CA3220">
        <w:rPr>
          <w:rFonts w:asciiTheme="majorBidi" w:hAnsiTheme="majorBidi" w:cstheme="majorBidi"/>
          <w:szCs w:val="24"/>
          <w:lang w:val="fr-CH"/>
        </w:rPr>
        <w:t>apporter une solution durable aux questions d'indépendance énergétique et de modernisation des réseaux électriques vieilliss</w:t>
      </w:r>
      <w:r w:rsidR="00664299" w:rsidRPr="00CA3220">
        <w:rPr>
          <w:rFonts w:asciiTheme="majorBidi" w:hAnsiTheme="majorBidi" w:cstheme="majorBidi"/>
          <w:szCs w:val="24"/>
          <w:lang w:val="fr-CH"/>
        </w:rPr>
        <w:t>ants –</w:t>
      </w:r>
      <w:r w:rsidR="0017715E" w:rsidRPr="00CA3220">
        <w:rPr>
          <w:rFonts w:asciiTheme="majorBidi" w:hAnsiTheme="majorBidi" w:cstheme="majorBidi"/>
          <w:szCs w:val="24"/>
          <w:lang w:val="fr-CH"/>
        </w:rPr>
        <w:t xml:space="preserve"> production d'énergie renouvelable, production décentralisée d'énergie, véhicules électriques rechargeables, maîtrise et prise en charge de la demande en énergie, stockage, participation des consommateurs, etc. </w:t>
      </w:r>
      <w:r w:rsidR="00C70FA5" w:rsidRPr="00CA3220">
        <w:rPr>
          <w:rFonts w:asciiTheme="majorBidi" w:hAnsiTheme="majorBidi" w:cstheme="majorBidi"/>
          <w:szCs w:val="24"/>
          <w:lang w:val="fr-CH"/>
        </w:rPr>
        <w:t>Pour équilibrer la production et la dem</w:t>
      </w:r>
      <w:r w:rsidR="000476E5" w:rsidRPr="00CA3220">
        <w:rPr>
          <w:rFonts w:asciiTheme="majorBidi" w:hAnsiTheme="majorBidi" w:cstheme="majorBidi"/>
          <w:szCs w:val="24"/>
          <w:lang w:val="fr-CH"/>
        </w:rPr>
        <w:t xml:space="preserve">ande avec </w:t>
      </w:r>
      <w:r w:rsidR="00664299" w:rsidRPr="00CA3220">
        <w:rPr>
          <w:rFonts w:asciiTheme="majorBidi" w:hAnsiTheme="majorBidi" w:cstheme="majorBidi"/>
          <w:szCs w:val="24"/>
          <w:lang w:val="fr-CH"/>
        </w:rPr>
        <w:t>un système «</w:t>
      </w:r>
      <w:r w:rsidR="00C70FA5" w:rsidRPr="00CA3220">
        <w:rPr>
          <w:rFonts w:asciiTheme="majorBidi" w:hAnsiTheme="majorBidi" w:cstheme="majorBidi"/>
          <w:szCs w:val="24"/>
          <w:lang w:val="fr-CH"/>
        </w:rPr>
        <w:t>juste à temps parfait</w:t>
      </w:r>
      <w:r w:rsidR="00664299" w:rsidRPr="00CA3220">
        <w:rPr>
          <w:rFonts w:asciiTheme="majorBidi" w:hAnsiTheme="majorBidi" w:cstheme="majorBidi"/>
          <w:szCs w:val="24"/>
          <w:lang w:val="fr-CH"/>
        </w:rPr>
        <w:t>»</w:t>
      </w:r>
      <w:r w:rsidR="00C70FA5" w:rsidRPr="00CA3220">
        <w:rPr>
          <w:rFonts w:asciiTheme="majorBidi" w:hAnsiTheme="majorBidi" w:cstheme="majorBidi"/>
          <w:szCs w:val="24"/>
          <w:lang w:val="fr-CH"/>
        </w:rPr>
        <w:t>, il faut intégrer des technologies de protection et de commande supplémentaires pour garantir la stabilité du réseau de distribution</w:t>
      </w:r>
      <w:r w:rsidR="000476E5" w:rsidRPr="00CA3220">
        <w:rPr>
          <w:rFonts w:asciiTheme="majorBidi" w:hAnsiTheme="majorBidi" w:cstheme="majorBidi"/>
          <w:szCs w:val="24"/>
          <w:lang w:val="fr-CH"/>
        </w:rPr>
        <w:t>,</w:t>
      </w:r>
      <w:r w:rsidR="00C70FA5" w:rsidRPr="00CA3220">
        <w:rPr>
          <w:rFonts w:asciiTheme="majorBidi" w:hAnsiTheme="majorBidi" w:cstheme="majorBidi"/>
          <w:szCs w:val="24"/>
          <w:lang w:val="fr-CH"/>
        </w:rPr>
        <w:t xml:space="preserve"> et non </w:t>
      </w:r>
      <w:r w:rsidR="000476E5" w:rsidRPr="00CA3220">
        <w:rPr>
          <w:rFonts w:asciiTheme="majorBidi" w:hAnsiTheme="majorBidi" w:cstheme="majorBidi"/>
          <w:szCs w:val="24"/>
          <w:lang w:val="fr-CH"/>
        </w:rPr>
        <w:t>se contenter d'</w:t>
      </w:r>
      <w:r w:rsidR="00C70FA5" w:rsidRPr="00CA3220">
        <w:rPr>
          <w:rFonts w:asciiTheme="majorBidi" w:hAnsiTheme="majorBidi" w:cstheme="majorBidi"/>
          <w:szCs w:val="24"/>
          <w:lang w:val="fr-CH"/>
        </w:rPr>
        <w:t>ajouter un simple correctif au réseau existant, ce qui constitue un véritable défi sur le plan de la conception étant donné que la production et la charge deviennent aléatoire</w:t>
      </w:r>
      <w:r w:rsidR="000476E5" w:rsidRPr="00CA3220">
        <w:rPr>
          <w:rFonts w:asciiTheme="majorBidi" w:hAnsiTheme="majorBidi" w:cstheme="majorBidi"/>
          <w:szCs w:val="24"/>
          <w:lang w:val="fr-CH"/>
        </w:rPr>
        <w:t>s</w:t>
      </w:r>
      <w:r w:rsidR="00C70FA5" w:rsidRPr="00CA3220">
        <w:rPr>
          <w:rFonts w:asciiTheme="majorBidi" w:hAnsiTheme="majorBidi" w:cstheme="majorBidi"/>
          <w:szCs w:val="24"/>
          <w:lang w:val="fr-CH"/>
        </w:rPr>
        <w:t xml:space="preserve"> par nature.</w:t>
      </w:r>
    </w:p>
    <w:p w:rsidR="00C70FA5" w:rsidRPr="00CA3220" w:rsidRDefault="00C70FA5" w:rsidP="000476E5">
      <w:pPr>
        <w:rPr>
          <w:rFonts w:asciiTheme="majorBidi" w:hAnsiTheme="majorBidi" w:cstheme="majorBidi"/>
          <w:szCs w:val="24"/>
          <w:lang w:val="fr-CH"/>
        </w:rPr>
      </w:pPr>
      <w:r w:rsidRPr="00CA3220">
        <w:rPr>
          <w:rFonts w:asciiTheme="majorBidi" w:hAnsiTheme="majorBidi" w:cstheme="majorBidi"/>
          <w:szCs w:val="24"/>
          <w:lang w:val="fr-CH"/>
        </w:rPr>
        <w:lastRenderedPageBreak/>
        <w:t>Pour assurer la prise en charge de ces technologies et applications, il faut pouvoir disposer d'un réseau de communication moderne, souple et modulable, dans lequel les fonctions de surveillance et de commande seront étroitement liées. Grâce aux technologies de l'information et de la communication, les compagnies d'électricité pourront, à distance, localiser les pannes, en déterminer la cause et rétablir le courant en moins de temps qu'à l'heure actuelle, ce qui contribuera à améliorer la stabilité du réseau. Les technologies de l'information et de la communication permettront également d'intégrer plus facilement dans le réseau des sources d'énergie renouvelable variable</w:t>
      </w:r>
      <w:r w:rsidR="000476E5" w:rsidRPr="00CA3220">
        <w:rPr>
          <w:rFonts w:asciiTheme="majorBidi" w:hAnsiTheme="majorBidi" w:cstheme="majorBidi"/>
          <w:szCs w:val="24"/>
          <w:lang w:val="fr-CH"/>
        </w:rPr>
        <w:t>s</w:t>
      </w:r>
      <w:r w:rsidRPr="00CA3220">
        <w:rPr>
          <w:rFonts w:asciiTheme="majorBidi" w:hAnsiTheme="majorBidi" w:cstheme="majorBidi"/>
          <w:szCs w:val="24"/>
          <w:lang w:val="fr-CH"/>
        </w:rPr>
        <w:t xml:space="preserve"> dans le temps et de contrôler la charge du réseau de manière plus précise et plus dynamique</w:t>
      </w:r>
      <w:r w:rsidR="000476E5" w:rsidRPr="00CA3220">
        <w:rPr>
          <w:rFonts w:asciiTheme="majorBidi" w:hAnsiTheme="majorBidi" w:cstheme="majorBidi"/>
          <w:szCs w:val="24"/>
          <w:lang w:val="fr-CH"/>
        </w:rPr>
        <w:t>,</w:t>
      </w:r>
      <w:r w:rsidRPr="00CA3220">
        <w:rPr>
          <w:rFonts w:asciiTheme="majorBidi" w:hAnsiTheme="majorBidi" w:cstheme="majorBidi"/>
          <w:szCs w:val="24"/>
          <w:lang w:val="fr-CH"/>
        </w:rPr>
        <w:t xml:space="preserve"> et offriront en outre aux </w:t>
      </w:r>
      <w:r w:rsidR="000476E5" w:rsidRPr="00CA3220">
        <w:rPr>
          <w:rFonts w:asciiTheme="majorBidi" w:hAnsiTheme="majorBidi" w:cstheme="majorBidi"/>
          <w:szCs w:val="24"/>
          <w:lang w:val="fr-CH"/>
        </w:rPr>
        <w:t>consommateurs</w:t>
      </w:r>
      <w:r w:rsidRPr="00CA3220">
        <w:rPr>
          <w:rFonts w:asciiTheme="majorBidi" w:hAnsiTheme="majorBidi" w:cstheme="majorBidi"/>
          <w:szCs w:val="24"/>
          <w:lang w:val="fr-CH"/>
        </w:rPr>
        <w:t xml:space="preserve"> des outils pour optimiser leur consommation d'énergie.</w:t>
      </w:r>
    </w:p>
    <w:p w:rsidR="00BA1DAA" w:rsidRPr="00CA3220" w:rsidRDefault="00BA1DAA" w:rsidP="00664299">
      <w:pPr>
        <w:keepNext/>
        <w:keepLines/>
        <w:rPr>
          <w:rFonts w:asciiTheme="majorBidi" w:hAnsiTheme="majorBidi" w:cstheme="majorBidi"/>
          <w:szCs w:val="24"/>
          <w:lang w:val="fr-CH"/>
        </w:rPr>
      </w:pPr>
      <w:r w:rsidRPr="00CA3220">
        <w:rPr>
          <w:rFonts w:asciiTheme="majorBidi" w:hAnsiTheme="majorBidi" w:cstheme="majorBidi"/>
          <w:szCs w:val="24"/>
          <w:lang w:val="fr-CH"/>
        </w:rPr>
        <w:t>Pour atteindre ces objectifs, il faut s'appuyer sur des normes</w:t>
      </w:r>
      <w:r w:rsidR="007928CD" w:rsidRPr="00CA3220">
        <w:rPr>
          <w:rFonts w:asciiTheme="majorBidi" w:hAnsiTheme="majorBidi" w:cstheme="majorBidi"/>
          <w:szCs w:val="24"/>
          <w:lang w:val="fr-CH"/>
        </w:rPr>
        <w:t xml:space="preserve"> garantissant que les différentes technologies et les différents équipements prenant en charge les communications pour les réseaux de distribution intelligents sont adaptés et ne sont pas en contradiction les uns avec les autres ou avec d'autres systèmes de télécommunication et que les éléments utilisant les fréquences radi</w:t>
      </w:r>
      <w:r w:rsidR="000476E5" w:rsidRPr="00CA3220">
        <w:rPr>
          <w:rFonts w:asciiTheme="majorBidi" w:hAnsiTheme="majorBidi" w:cstheme="majorBidi"/>
          <w:szCs w:val="24"/>
          <w:lang w:val="fr-CH"/>
        </w:rPr>
        <w:t>oélectriques ne brouillent pas l</w:t>
      </w:r>
      <w:r w:rsidR="007928CD" w:rsidRPr="00CA3220">
        <w:rPr>
          <w:rFonts w:asciiTheme="majorBidi" w:hAnsiTheme="majorBidi" w:cstheme="majorBidi"/>
          <w:szCs w:val="24"/>
          <w:lang w:val="fr-CH"/>
        </w:rPr>
        <w:t>es services de radiocommunication.</w:t>
      </w:r>
    </w:p>
    <w:p w:rsidR="007928CD" w:rsidRPr="00CA3220" w:rsidRDefault="007928CD" w:rsidP="00D63148">
      <w:pPr>
        <w:pStyle w:val="Heading2"/>
        <w:rPr>
          <w:lang w:val="fr-CH"/>
        </w:rPr>
      </w:pPr>
      <w:bookmarkStart w:id="25" w:name="_Toc498500099"/>
      <w:bookmarkStart w:id="26" w:name="_Toc498500350"/>
      <w:bookmarkStart w:id="27" w:name="_Toc498516115"/>
      <w:r w:rsidRPr="00CA3220">
        <w:rPr>
          <w:lang w:val="fr-CH"/>
        </w:rPr>
        <w:t>3.1</w:t>
      </w:r>
      <w:r w:rsidRPr="00CA3220">
        <w:rPr>
          <w:lang w:val="fr-CH"/>
        </w:rPr>
        <w:tab/>
        <w:t>Rôle de l'UIT et des organisations de normalisation</w:t>
      </w:r>
      <w:bookmarkEnd w:id="25"/>
      <w:bookmarkEnd w:id="26"/>
      <w:bookmarkEnd w:id="27"/>
    </w:p>
    <w:p w:rsidR="007928CD" w:rsidRPr="00CA3220" w:rsidRDefault="00C61EE9" w:rsidP="000476E5">
      <w:pPr>
        <w:rPr>
          <w:rFonts w:asciiTheme="majorBidi" w:hAnsiTheme="majorBidi" w:cstheme="majorBidi"/>
          <w:szCs w:val="24"/>
          <w:lang w:val="fr-CH"/>
        </w:rPr>
      </w:pPr>
      <w:r w:rsidRPr="00CA3220">
        <w:rPr>
          <w:rFonts w:asciiTheme="majorBidi" w:hAnsiTheme="majorBidi" w:cstheme="majorBidi"/>
          <w:szCs w:val="24"/>
          <w:lang w:val="fr-CH"/>
        </w:rPr>
        <w:t xml:space="preserve">Le secteur des télécommunications a un rôle capital à jouer en ce qui concerne les applications des réseaux intelligents; par exemple, l'accès large bande peut être utilisé pour maîtriser la demande en énergie, et les prestataires de services énergétiques en nuage peuvent également intervenir chez leurs clients grâce aux technologies d'accès large bande existantes. En outre, le </w:t>
      </w:r>
      <w:r w:rsidR="00B33BAA">
        <w:rPr>
          <w:rFonts w:asciiTheme="majorBidi" w:hAnsiTheme="majorBidi" w:cstheme="majorBidi"/>
          <w:szCs w:val="24"/>
          <w:lang w:val="fr-CH"/>
        </w:rPr>
        <w:t xml:space="preserve">secteur de l'électronique grand </w:t>
      </w:r>
      <w:r w:rsidRPr="00CA3220">
        <w:rPr>
          <w:rFonts w:asciiTheme="majorBidi" w:hAnsiTheme="majorBidi" w:cstheme="majorBidi"/>
          <w:szCs w:val="24"/>
          <w:lang w:val="fr-CH"/>
        </w:rPr>
        <w:t xml:space="preserve">public </w:t>
      </w:r>
      <w:r w:rsidR="000476E5" w:rsidRPr="00CA3220">
        <w:rPr>
          <w:rFonts w:asciiTheme="majorBidi" w:hAnsiTheme="majorBidi" w:cstheme="majorBidi"/>
          <w:szCs w:val="24"/>
          <w:lang w:val="fr-CH"/>
        </w:rPr>
        <w:t>concevra</w:t>
      </w:r>
      <w:r w:rsidRPr="00CA3220">
        <w:rPr>
          <w:rFonts w:asciiTheme="majorBidi" w:hAnsiTheme="majorBidi" w:cstheme="majorBidi"/>
          <w:szCs w:val="24"/>
          <w:lang w:val="fr-CH"/>
        </w:rPr>
        <w:t xml:space="preserve"> de nouveaux produits conformes aux nouvelles normes d'efficacité énergétique, qui prendront eux aussi en charge des applications des r</w:t>
      </w:r>
      <w:r w:rsidR="00AD4496" w:rsidRPr="00CA3220">
        <w:rPr>
          <w:rFonts w:asciiTheme="majorBidi" w:hAnsiTheme="majorBidi" w:cstheme="majorBidi"/>
          <w:szCs w:val="24"/>
          <w:lang w:val="fr-CH"/>
        </w:rPr>
        <w:t>éseaux électriques intelligents</w:t>
      </w:r>
      <w:r w:rsidRPr="00CA3220">
        <w:rPr>
          <w:rFonts w:asciiTheme="majorBidi" w:hAnsiTheme="majorBidi" w:cstheme="majorBidi"/>
          <w:szCs w:val="24"/>
          <w:lang w:val="fr-CH"/>
        </w:rPr>
        <w:t>. La convergence des secteurs des télécommunications, de l'éne</w:t>
      </w:r>
      <w:r w:rsidR="00B33BAA">
        <w:rPr>
          <w:rFonts w:asciiTheme="majorBidi" w:hAnsiTheme="majorBidi" w:cstheme="majorBidi"/>
          <w:szCs w:val="24"/>
          <w:lang w:val="fr-CH"/>
        </w:rPr>
        <w:t xml:space="preserve">rgie et de l'électronique grand </w:t>
      </w:r>
      <w:r w:rsidRPr="00CA3220">
        <w:rPr>
          <w:rFonts w:asciiTheme="majorBidi" w:hAnsiTheme="majorBidi" w:cstheme="majorBidi"/>
          <w:szCs w:val="24"/>
          <w:lang w:val="fr-CH"/>
        </w:rPr>
        <w:t>public au niveau des applications des réseaux électriques intelligents va stimuler le développement d'un nouvel écosystème de produits. Il faut que cette convergence ait lieu sous les auspices des organis</w:t>
      </w:r>
      <w:r w:rsidR="000476E5" w:rsidRPr="00CA3220">
        <w:rPr>
          <w:rFonts w:asciiTheme="majorBidi" w:hAnsiTheme="majorBidi" w:cstheme="majorBidi"/>
          <w:szCs w:val="24"/>
          <w:lang w:val="fr-CH"/>
        </w:rPr>
        <w:t>ation</w:t>
      </w:r>
      <w:r w:rsidRPr="00CA3220">
        <w:rPr>
          <w:rFonts w:asciiTheme="majorBidi" w:hAnsiTheme="majorBidi" w:cstheme="majorBidi"/>
          <w:szCs w:val="24"/>
          <w:lang w:val="fr-CH"/>
        </w:rPr>
        <w:t>s internationa</w:t>
      </w:r>
      <w:r w:rsidR="000476E5" w:rsidRPr="00CA3220">
        <w:rPr>
          <w:rFonts w:asciiTheme="majorBidi" w:hAnsiTheme="majorBidi" w:cstheme="majorBidi"/>
          <w:szCs w:val="24"/>
          <w:lang w:val="fr-CH"/>
        </w:rPr>
        <w:t>les</w:t>
      </w:r>
      <w:r w:rsidRPr="00CA3220">
        <w:rPr>
          <w:rFonts w:asciiTheme="majorBidi" w:hAnsiTheme="majorBidi" w:cstheme="majorBidi"/>
          <w:szCs w:val="24"/>
          <w:lang w:val="fr-CH"/>
        </w:rPr>
        <w:t xml:space="preserve"> de normalisation</w:t>
      </w:r>
      <w:r w:rsidR="00AD4496" w:rsidRPr="00CA3220">
        <w:rPr>
          <w:rFonts w:asciiTheme="majorBidi" w:hAnsiTheme="majorBidi" w:cstheme="majorBidi"/>
          <w:szCs w:val="24"/>
          <w:lang w:val="fr-CH"/>
        </w:rPr>
        <w:t>.</w:t>
      </w:r>
    </w:p>
    <w:p w:rsidR="00AD4496" w:rsidRPr="00CA3220" w:rsidRDefault="00AD4496" w:rsidP="000476E5">
      <w:pPr>
        <w:rPr>
          <w:rFonts w:asciiTheme="majorBidi" w:hAnsiTheme="majorBidi" w:cstheme="majorBidi"/>
          <w:szCs w:val="24"/>
          <w:lang w:val="fr-CH"/>
        </w:rPr>
      </w:pPr>
      <w:r w:rsidRPr="00CA3220">
        <w:rPr>
          <w:rFonts w:asciiTheme="majorBidi" w:hAnsiTheme="majorBidi" w:cstheme="majorBidi"/>
          <w:szCs w:val="24"/>
          <w:lang w:val="fr-CH"/>
        </w:rPr>
        <w:t>La prise en charge de ces applications et la convergence du secteur nécessiter</w:t>
      </w:r>
      <w:r w:rsidR="000476E5" w:rsidRPr="00CA3220">
        <w:rPr>
          <w:rFonts w:asciiTheme="majorBidi" w:hAnsiTheme="majorBidi" w:cstheme="majorBidi"/>
          <w:szCs w:val="24"/>
          <w:lang w:val="fr-CH"/>
        </w:rPr>
        <w:t>ont</w:t>
      </w:r>
      <w:r w:rsidRPr="00CA3220">
        <w:rPr>
          <w:rFonts w:asciiTheme="majorBidi" w:hAnsiTheme="majorBidi" w:cstheme="majorBidi"/>
          <w:szCs w:val="24"/>
          <w:lang w:val="fr-CH"/>
        </w:rPr>
        <w:t xml:space="preserve"> l'élaboration de nouvelles Recommandations et la modification de Recommandations existantes relatives à tous les aspects des communications à bande étroite et à large bande et de leur gestion sur le réseau électrique, depuis la génération jusqu'à la charge. Les études réalisées à cette fin porteront </w:t>
      </w:r>
      <w:r w:rsidR="000476E5" w:rsidRPr="00CA3220">
        <w:rPr>
          <w:rFonts w:asciiTheme="majorBidi" w:hAnsiTheme="majorBidi" w:cstheme="majorBidi"/>
          <w:szCs w:val="24"/>
          <w:lang w:val="fr-CH"/>
        </w:rPr>
        <w:t xml:space="preserve">sur des questions de communication allant de la couche physique aux </w:t>
      </w:r>
      <w:r w:rsidRPr="00CA3220">
        <w:rPr>
          <w:rFonts w:asciiTheme="majorBidi" w:hAnsiTheme="majorBidi" w:cstheme="majorBidi"/>
          <w:szCs w:val="24"/>
          <w:lang w:val="fr-CH"/>
        </w:rPr>
        <w:t xml:space="preserve">protocoles </w:t>
      </w:r>
      <w:r w:rsidR="000476E5" w:rsidRPr="00CA3220">
        <w:rPr>
          <w:rFonts w:asciiTheme="majorBidi" w:hAnsiTheme="majorBidi" w:cstheme="majorBidi"/>
          <w:szCs w:val="24"/>
          <w:lang w:val="fr-CH"/>
        </w:rPr>
        <w:t xml:space="preserve">de transport ou </w:t>
      </w:r>
      <w:r w:rsidRPr="00CA3220">
        <w:rPr>
          <w:rFonts w:asciiTheme="majorBidi" w:hAnsiTheme="majorBidi" w:cstheme="majorBidi"/>
          <w:szCs w:val="24"/>
          <w:lang w:val="fr-CH"/>
        </w:rPr>
        <w:t xml:space="preserve">de couches supérieures sur des réseaux hétérogènes, ainsi que sur la définition d'une architecture </w:t>
      </w:r>
      <w:r w:rsidR="000476E5" w:rsidRPr="00CA3220">
        <w:rPr>
          <w:rFonts w:asciiTheme="majorBidi" w:hAnsiTheme="majorBidi" w:cstheme="majorBidi"/>
          <w:szCs w:val="24"/>
          <w:lang w:val="fr-CH"/>
        </w:rPr>
        <w:t xml:space="preserve">de communication et d'exigences pour </w:t>
      </w:r>
      <w:r w:rsidRPr="00CA3220">
        <w:rPr>
          <w:rFonts w:asciiTheme="majorBidi" w:hAnsiTheme="majorBidi" w:cstheme="majorBidi"/>
          <w:szCs w:val="24"/>
          <w:lang w:val="fr-CH"/>
        </w:rPr>
        <w:t xml:space="preserve">les réseaux électriques intelligents. </w:t>
      </w:r>
    </w:p>
    <w:p w:rsidR="00AD4496" w:rsidRPr="00CA3220" w:rsidRDefault="00AD4496" w:rsidP="000476E5">
      <w:pPr>
        <w:rPr>
          <w:rFonts w:asciiTheme="majorBidi" w:hAnsiTheme="majorBidi" w:cstheme="majorBidi"/>
          <w:szCs w:val="24"/>
          <w:lang w:val="fr-CH"/>
        </w:rPr>
      </w:pPr>
      <w:r w:rsidRPr="00CA3220">
        <w:rPr>
          <w:rFonts w:asciiTheme="majorBidi" w:hAnsiTheme="majorBidi" w:cstheme="majorBidi"/>
          <w:szCs w:val="24"/>
          <w:lang w:val="fr-CH"/>
        </w:rPr>
        <w:t>Les applications de ces réseaux étant, par nature, interdisciplinaires, il faudra une coopération très étroite entre les Secteurs de l'UIT (commissions d'études, groupes chargés de l'étude des Questions, groupes spécialisés</w:t>
      </w:r>
      <w:r w:rsidR="000476E5" w:rsidRPr="00CA3220">
        <w:rPr>
          <w:rFonts w:asciiTheme="majorBidi" w:hAnsiTheme="majorBidi" w:cstheme="majorBidi"/>
          <w:szCs w:val="24"/>
          <w:lang w:val="fr-CH"/>
        </w:rPr>
        <w:t xml:space="preserve"> (FG)</w:t>
      </w:r>
      <w:r w:rsidRPr="00CA3220">
        <w:rPr>
          <w:rFonts w:asciiTheme="majorBidi" w:hAnsiTheme="majorBidi" w:cstheme="majorBidi"/>
          <w:szCs w:val="24"/>
          <w:lang w:val="fr-CH"/>
        </w:rPr>
        <w:t>, activité conjointes de coordination</w:t>
      </w:r>
      <w:r w:rsidR="000476E5" w:rsidRPr="00CA3220">
        <w:rPr>
          <w:rFonts w:asciiTheme="majorBidi" w:hAnsiTheme="majorBidi" w:cstheme="majorBidi"/>
          <w:szCs w:val="24"/>
          <w:lang w:val="fr-CH"/>
        </w:rPr>
        <w:t xml:space="preserve"> (JCA)</w:t>
      </w:r>
      <w:r w:rsidRPr="00CA3220">
        <w:rPr>
          <w:rFonts w:asciiTheme="majorBidi" w:hAnsiTheme="majorBidi" w:cstheme="majorBidi"/>
          <w:szCs w:val="24"/>
          <w:lang w:val="fr-CH"/>
        </w:rPr>
        <w:t>, initiatives relatives aux normes mondiales</w:t>
      </w:r>
      <w:r w:rsidR="000476E5" w:rsidRPr="00CA3220">
        <w:rPr>
          <w:rFonts w:asciiTheme="majorBidi" w:hAnsiTheme="majorBidi" w:cstheme="majorBidi"/>
          <w:szCs w:val="24"/>
          <w:lang w:val="fr-CH"/>
        </w:rPr>
        <w:t xml:space="preserve"> (GSI)</w:t>
      </w:r>
      <w:r w:rsidRPr="00CA3220">
        <w:rPr>
          <w:rFonts w:asciiTheme="majorBidi" w:hAnsiTheme="majorBidi" w:cstheme="majorBidi"/>
          <w:szCs w:val="24"/>
          <w:lang w:val="fr-CH"/>
        </w:rPr>
        <w:t>), ainsi qu'avec les organismes internationaux, les instituts de recherche, les con</w:t>
      </w:r>
      <w:r w:rsidR="001E03AD" w:rsidRPr="00CA3220">
        <w:rPr>
          <w:rFonts w:asciiTheme="majorBidi" w:hAnsiTheme="majorBidi" w:cstheme="majorBidi"/>
          <w:szCs w:val="24"/>
          <w:lang w:val="fr-CH"/>
        </w:rPr>
        <w:t xml:space="preserve">sortiums de l'industrie et </w:t>
      </w:r>
      <w:r w:rsidR="000476E5" w:rsidRPr="00CA3220">
        <w:rPr>
          <w:rFonts w:asciiTheme="majorBidi" w:hAnsiTheme="majorBidi" w:cstheme="majorBidi"/>
          <w:szCs w:val="24"/>
          <w:lang w:val="fr-CH"/>
        </w:rPr>
        <w:t>d'</w:t>
      </w:r>
      <w:r w:rsidR="001E03AD" w:rsidRPr="00CA3220">
        <w:rPr>
          <w:rFonts w:asciiTheme="majorBidi" w:hAnsiTheme="majorBidi" w:cstheme="majorBidi"/>
          <w:szCs w:val="24"/>
          <w:lang w:val="fr-CH"/>
        </w:rPr>
        <w:t>autres forums participant au projet de réseau</w:t>
      </w:r>
      <w:r w:rsidR="000476E5" w:rsidRPr="00CA3220">
        <w:rPr>
          <w:rFonts w:asciiTheme="majorBidi" w:hAnsiTheme="majorBidi" w:cstheme="majorBidi"/>
          <w:szCs w:val="24"/>
          <w:lang w:val="fr-CH"/>
        </w:rPr>
        <w:t>x</w:t>
      </w:r>
      <w:r w:rsidR="001E03AD" w:rsidRPr="00CA3220">
        <w:rPr>
          <w:rFonts w:asciiTheme="majorBidi" w:hAnsiTheme="majorBidi" w:cstheme="majorBidi"/>
          <w:szCs w:val="24"/>
          <w:lang w:val="fr-CH"/>
        </w:rPr>
        <w:t xml:space="preserve"> intelligent</w:t>
      </w:r>
      <w:r w:rsidR="000476E5" w:rsidRPr="00CA3220">
        <w:rPr>
          <w:rFonts w:asciiTheme="majorBidi" w:hAnsiTheme="majorBidi" w:cstheme="majorBidi"/>
          <w:szCs w:val="24"/>
          <w:lang w:val="fr-CH"/>
        </w:rPr>
        <w:t>s</w:t>
      </w:r>
      <w:r w:rsidR="001E03AD" w:rsidRPr="00CA3220">
        <w:rPr>
          <w:rFonts w:asciiTheme="majorBidi" w:hAnsiTheme="majorBidi" w:cstheme="majorBidi"/>
          <w:szCs w:val="24"/>
          <w:lang w:val="fr-CH"/>
        </w:rPr>
        <w:t>.</w:t>
      </w:r>
    </w:p>
    <w:p w:rsidR="00FE2A92" w:rsidRPr="00CA3220" w:rsidRDefault="00FE2A92" w:rsidP="007A0CC4">
      <w:pPr>
        <w:rPr>
          <w:rFonts w:asciiTheme="majorBidi" w:hAnsiTheme="majorBidi" w:cstheme="majorBidi"/>
          <w:szCs w:val="24"/>
          <w:lang w:val="fr-CH"/>
        </w:rPr>
      </w:pPr>
      <w:r w:rsidRPr="00CA3220">
        <w:rPr>
          <w:rFonts w:asciiTheme="majorBidi" w:hAnsiTheme="majorBidi" w:cstheme="majorBidi"/>
          <w:szCs w:val="24"/>
          <w:lang w:val="fr-CH"/>
        </w:rPr>
        <w:t xml:space="preserve">La coordination mondiale concernant les normes applicables aux réseaux de distribution intelligents a lieu dans le cadre de la CEI, qui a élaboré une position stratégique et une feuille de route </w:t>
      </w:r>
      <w:r w:rsidR="007A0CC4" w:rsidRPr="00CA3220">
        <w:rPr>
          <w:rFonts w:asciiTheme="majorBidi" w:hAnsiTheme="majorBidi" w:cstheme="majorBidi"/>
          <w:szCs w:val="24"/>
          <w:lang w:val="fr-CH"/>
        </w:rPr>
        <w:t>sur</w:t>
      </w:r>
      <w:r w:rsidRPr="00CA3220">
        <w:rPr>
          <w:rFonts w:asciiTheme="majorBidi" w:hAnsiTheme="majorBidi" w:cstheme="majorBidi"/>
          <w:szCs w:val="24"/>
          <w:lang w:val="fr-CH"/>
        </w:rPr>
        <w:t xml:space="preserve"> les activités </w:t>
      </w:r>
      <w:r w:rsidR="007A0CC4" w:rsidRPr="00CA3220">
        <w:rPr>
          <w:rFonts w:asciiTheme="majorBidi" w:hAnsiTheme="majorBidi" w:cstheme="majorBidi"/>
          <w:szCs w:val="24"/>
          <w:lang w:val="fr-CH"/>
        </w:rPr>
        <w:t>relatives aux</w:t>
      </w:r>
      <w:r w:rsidRPr="00CA3220">
        <w:rPr>
          <w:rFonts w:asciiTheme="majorBidi" w:hAnsiTheme="majorBidi" w:cstheme="majorBidi"/>
          <w:szCs w:val="24"/>
          <w:lang w:val="fr-CH"/>
        </w:rPr>
        <w:t xml:space="preserve"> réseaux de distribution intelligents</w:t>
      </w:r>
      <w:r w:rsidRPr="00CA3220">
        <w:rPr>
          <w:rStyle w:val="FootnoteReference"/>
          <w:rFonts w:asciiTheme="majorBidi" w:hAnsiTheme="majorBidi" w:cstheme="majorBidi"/>
          <w:szCs w:val="24"/>
          <w:lang w:val="fr-CH"/>
        </w:rPr>
        <w:footnoteReference w:id="11"/>
      </w:r>
      <w:r w:rsidR="007C3E03" w:rsidRPr="00CA3220">
        <w:rPr>
          <w:rFonts w:asciiTheme="majorBidi" w:hAnsiTheme="majorBidi" w:cstheme="majorBidi"/>
          <w:szCs w:val="24"/>
          <w:lang w:val="fr-CH"/>
        </w:rPr>
        <w:t xml:space="preserve">, </w:t>
      </w:r>
      <w:r w:rsidR="007A0CC4" w:rsidRPr="00CA3220">
        <w:rPr>
          <w:rFonts w:asciiTheme="majorBidi" w:hAnsiTheme="majorBidi" w:cstheme="majorBidi"/>
          <w:szCs w:val="24"/>
          <w:lang w:val="fr-CH"/>
        </w:rPr>
        <w:t>qui indique</w:t>
      </w:r>
      <w:r w:rsidR="007C3E03" w:rsidRPr="00CA3220">
        <w:rPr>
          <w:rFonts w:asciiTheme="majorBidi" w:hAnsiTheme="majorBidi" w:cstheme="majorBidi"/>
          <w:szCs w:val="24"/>
          <w:lang w:val="fr-CH"/>
        </w:rPr>
        <w:t xml:space="preserve"> les domaines dans lesquels des normes doivent être élaborées et </w:t>
      </w:r>
      <w:r w:rsidR="007A0CC4" w:rsidRPr="00CA3220">
        <w:rPr>
          <w:rFonts w:asciiTheme="majorBidi" w:hAnsiTheme="majorBidi" w:cstheme="majorBidi"/>
          <w:szCs w:val="24"/>
          <w:lang w:val="fr-CH"/>
        </w:rPr>
        <w:t xml:space="preserve">contient </w:t>
      </w:r>
      <w:r w:rsidR="007C3E03" w:rsidRPr="00CA3220">
        <w:rPr>
          <w:rFonts w:asciiTheme="majorBidi" w:hAnsiTheme="majorBidi" w:cstheme="majorBidi"/>
          <w:szCs w:val="24"/>
          <w:lang w:val="fr-CH"/>
        </w:rPr>
        <w:t>des recommandations.</w:t>
      </w:r>
    </w:p>
    <w:p w:rsidR="007C3E03" w:rsidRPr="00CA3220" w:rsidRDefault="007B6CF9" w:rsidP="00664299">
      <w:pPr>
        <w:rPr>
          <w:rFonts w:asciiTheme="majorBidi" w:hAnsiTheme="majorBidi" w:cstheme="majorBidi"/>
          <w:szCs w:val="24"/>
          <w:lang w:val="fr-CH"/>
        </w:rPr>
      </w:pPr>
      <w:r>
        <w:rPr>
          <w:rFonts w:asciiTheme="majorBidi" w:hAnsiTheme="majorBidi" w:cstheme="majorBidi"/>
          <w:szCs w:val="24"/>
          <w:lang w:val="fr-CH"/>
        </w:rPr>
        <w:t>L'UIT-T coopè</w:t>
      </w:r>
      <w:r w:rsidR="007C3E03" w:rsidRPr="00CA3220">
        <w:rPr>
          <w:rFonts w:asciiTheme="majorBidi" w:hAnsiTheme="majorBidi" w:cstheme="majorBidi"/>
          <w:szCs w:val="24"/>
          <w:lang w:val="fr-CH"/>
        </w:rPr>
        <w:t xml:space="preserve">re avec la CEI en soumettant des contributions sur les aspects des réseaux de distribution intelligents se rapportant aux communications. </w:t>
      </w:r>
      <w:r w:rsidR="00CE375D" w:rsidRPr="00CA3220">
        <w:rPr>
          <w:rFonts w:asciiTheme="majorBidi" w:hAnsiTheme="majorBidi" w:cstheme="majorBidi"/>
          <w:szCs w:val="24"/>
          <w:lang w:val="fr-CH"/>
        </w:rPr>
        <w:t xml:space="preserve">La collaboration est déjà très étroite avec le GT 20 du TC 57 de la CEI et sera étendue à d'autres comités techniques de la CEI et d'autres </w:t>
      </w:r>
      <w:r w:rsidR="00CE375D" w:rsidRPr="00CA3220">
        <w:rPr>
          <w:rFonts w:asciiTheme="majorBidi" w:hAnsiTheme="majorBidi" w:cstheme="majorBidi"/>
          <w:szCs w:val="24"/>
          <w:lang w:val="fr-CH"/>
        </w:rPr>
        <w:lastRenderedPageBreak/>
        <w:t>organisations extér</w:t>
      </w:r>
      <w:r w:rsidR="00F625FD" w:rsidRPr="00CA3220">
        <w:rPr>
          <w:rFonts w:asciiTheme="majorBidi" w:hAnsiTheme="majorBidi" w:cstheme="majorBidi"/>
          <w:szCs w:val="24"/>
          <w:lang w:val="fr-CH"/>
        </w:rPr>
        <w:t>i</w:t>
      </w:r>
      <w:r w:rsidR="00CE375D" w:rsidRPr="00CA3220">
        <w:rPr>
          <w:rFonts w:asciiTheme="majorBidi" w:hAnsiTheme="majorBidi" w:cstheme="majorBidi"/>
          <w:szCs w:val="24"/>
          <w:lang w:val="fr-CH"/>
        </w:rPr>
        <w:t xml:space="preserve">eures selon qu'il conviendra. Sans un effort important de coordination, il existe </w:t>
      </w:r>
      <w:r w:rsidR="00CE375D" w:rsidRPr="00CA3220">
        <w:rPr>
          <w:rFonts w:asciiTheme="majorBidi" w:hAnsiTheme="majorBidi" w:cstheme="majorBidi"/>
          <w:spacing w:val="-2"/>
          <w:szCs w:val="24"/>
          <w:lang w:val="fr-CH"/>
        </w:rPr>
        <w:t xml:space="preserve">un fort risque de duplication des travaux et d'élaboration de normes incompatibles et </w:t>
      </w:r>
      <w:r w:rsidR="00F625FD" w:rsidRPr="00CA3220">
        <w:rPr>
          <w:rFonts w:asciiTheme="majorBidi" w:hAnsiTheme="majorBidi" w:cstheme="majorBidi"/>
          <w:spacing w:val="-2"/>
          <w:szCs w:val="24"/>
          <w:lang w:val="fr-CH"/>
        </w:rPr>
        <w:t xml:space="preserve">non </w:t>
      </w:r>
      <w:r w:rsidR="00CE375D" w:rsidRPr="00CA3220">
        <w:rPr>
          <w:rFonts w:asciiTheme="majorBidi" w:hAnsiTheme="majorBidi" w:cstheme="majorBidi"/>
          <w:spacing w:val="-2"/>
          <w:szCs w:val="24"/>
          <w:lang w:val="fr-CH"/>
        </w:rPr>
        <w:t>interopérables.</w:t>
      </w:r>
    </w:p>
    <w:p w:rsidR="00CE375D" w:rsidRPr="00CA3220" w:rsidRDefault="00CE375D" w:rsidP="00D63148">
      <w:pPr>
        <w:pStyle w:val="Heading2"/>
        <w:rPr>
          <w:lang w:val="fr-CH"/>
        </w:rPr>
      </w:pPr>
      <w:bookmarkStart w:id="28" w:name="_Toc498500100"/>
      <w:bookmarkStart w:id="29" w:name="_Toc498500351"/>
      <w:bookmarkStart w:id="30" w:name="_Toc498516116"/>
      <w:r w:rsidRPr="00CA3220">
        <w:rPr>
          <w:lang w:val="fr-CH"/>
        </w:rPr>
        <w:t>3.2</w:t>
      </w:r>
      <w:r w:rsidRPr="00CA3220">
        <w:rPr>
          <w:lang w:val="fr-CH"/>
        </w:rPr>
        <w:tab/>
        <w:t>Coordination au sein de l'UIT</w:t>
      </w:r>
      <w:bookmarkEnd w:id="28"/>
      <w:bookmarkEnd w:id="29"/>
      <w:bookmarkEnd w:id="30"/>
    </w:p>
    <w:p w:rsidR="001B724C" w:rsidRPr="00CA3220" w:rsidRDefault="00F93900" w:rsidP="004F67CE">
      <w:pPr>
        <w:rPr>
          <w:rFonts w:asciiTheme="majorBidi" w:hAnsiTheme="majorBidi" w:cstheme="majorBidi"/>
          <w:szCs w:val="24"/>
          <w:lang w:val="fr-CH"/>
        </w:rPr>
      </w:pPr>
      <w:r w:rsidRPr="00CA3220">
        <w:rPr>
          <w:rFonts w:asciiTheme="majorBidi" w:hAnsiTheme="majorBidi" w:cstheme="majorBidi"/>
          <w:szCs w:val="24"/>
          <w:lang w:val="fr-CH"/>
        </w:rPr>
        <w:t xml:space="preserve">Au sein de l'UIT-T, l'étude et l'élaboration des Recommandations relatives au transport dans le réseau d'accès ont lieu dans le cadre de plusieurs commissions d'études (par exemple, les CE 5, 9, 13, 15, 16 et 17). </w:t>
      </w:r>
      <w:r w:rsidR="004F67CE" w:rsidRPr="00CA3220">
        <w:rPr>
          <w:rFonts w:asciiTheme="majorBidi" w:hAnsiTheme="majorBidi" w:cstheme="majorBidi"/>
          <w:szCs w:val="24"/>
          <w:lang w:val="fr-CH"/>
        </w:rPr>
        <w:t>Les initiatives</w:t>
      </w:r>
      <w:r w:rsidR="001B724C" w:rsidRPr="00CA3220">
        <w:rPr>
          <w:rFonts w:asciiTheme="majorBidi" w:hAnsiTheme="majorBidi" w:cstheme="majorBidi"/>
          <w:szCs w:val="24"/>
          <w:lang w:val="fr-CH"/>
        </w:rPr>
        <w:t xml:space="preserve"> de coordination </w:t>
      </w:r>
      <w:r w:rsidR="004F67CE" w:rsidRPr="00CA3220">
        <w:rPr>
          <w:rFonts w:asciiTheme="majorBidi" w:hAnsiTheme="majorBidi" w:cstheme="majorBidi"/>
          <w:szCs w:val="24"/>
          <w:lang w:val="fr-CH"/>
        </w:rPr>
        <w:t>au sein de l'UIT</w:t>
      </w:r>
      <w:r w:rsidR="004F67CE" w:rsidRPr="00CA3220">
        <w:rPr>
          <w:rFonts w:asciiTheme="majorBidi" w:hAnsiTheme="majorBidi" w:cstheme="majorBidi"/>
          <w:szCs w:val="24"/>
          <w:lang w:val="fr-CH"/>
        </w:rPr>
        <w:noBreakHyphen/>
        <w:t xml:space="preserve">T </w:t>
      </w:r>
      <w:r w:rsidR="001B724C" w:rsidRPr="00CA3220">
        <w:rPr>
          <w:rFonts w:asciiTheme="majorBidi" w:hAnsiTheme="majorBidi" w:cstheme="majorBidi"/>
          <w:szCs w:val="24"/>
          <w:lang w:val="fr-CH"/>
        </w:rPr>
        <w:t>s'appuie</w:t>
      </w:r>
      <w:r w:rsidR="004F67CE" w:rsidRPr="00CA3220">
        <w:rPr>
          <w:rFonts w:asciiTheme="majorBidi" w:hAnsiTheme="majorBidi" w:cstheme="majorBidi"/>
          <w:szCs w:val="24"/>
          <w:lang w:val="fr-CH"/>
        </w:rPr>
        <w:t>nt</w:t>
      </w:r>
      <w:r w:rsidR="001B724C" w:rsidRPr="00CA3220">
        <w:rPr>
          <w:rFonts w:asciiTheme="majorBidi" w:hAnsiTheme="majorBidi" w:cstheme="majorBidi"/>
          <w:szCs w:val="24"/>
          <w:lang w:val="fr-CH"/>
        </w:rPr>
        <w:t xml:space="preserve"> sur des informations détaillées qui étaient auparavant centralisées dans le cadre du Groupe spécialisé de l'UIT-T sur les réseaux électriques intelligents, créé par le </w:t>
      </w:r>
      <w:r w:rsidR="004F67CE" w:rsidRPr="00CA3220">
        <w:rPr>
          <w:rFonts w:asciiTheme="majorBidi" w:hAnsiTheme="majorBidi" w:cstheme="majorBidi"/>
          <w:szCs w:val="24"/>
          <w:lang w:val="fr-CH"/>
        </w:rPr>
        <w:t>Groupe consultatif de la normalisation des télécommunications</w:t>
      </w:r>
      <w:r w:rsidR="001B724C" w:rsidRPr="00CA3220">
        <w:rPr>
          <w:rFonts w:asciiTheme="majorBidi" w:hAnsiTheme="majorBidi" w:cstheme="majorBidi"/>
          <w:szCs w:val="24"/>
          <w:lang w:val="fr-CH"/>
        </w:rPr>
        <w:t xml:space="preserve"> à sa réunion de f</w:t>
      </w:r>
      <w:r w:rsidR="007B6CF9">
        <w:rPr>
          <w:rFonts w:asciiTheme="majorBidi" w:hAnsiTheme="majorBidi" w:cstheme="majorBidi"/>
          <w:szCs w:val="24"/>
          <w:lang w:val="fr-CH"/>
        </w:rPr>
        <w:t>évrier 2010 afin de donner aux C</w:t>
      </w:r>
      <w:r w:rsidR="001B724C" w:rsidRPr="00CA3220">
        <w:rPr>
          <w:rFonts w:asciiTheme="majorBidi" w:hAnsiTheme="majorBidi" w:cstheme="majorBidi"/>
          <w:szCs w:val="24"/>
          <w:lang w:val="fr-CH"/>
        </w:rPr>
        <w:t>ommissions d'études de l'UIT-T un cadre commun pour les activités relatives à la normalisation des réseaux intelligents et de collaborer avec les communautés du monde entier s'occupant de réseaux intelligents (par exemple, instituts de recherche, forums, établissements universitaires, organisations de normalisation et groupes du secteur privé). Les objectifs suivants avaient été définis:</w:t>
      </w:r>
    </w:p>
    <w:p w:rsidR="001B724C" w:rsidRPr="00CA3220" w:rsidRDefault="001B724C" w:rsidP="00664299">
      <w:pPr>
        <w:pStyle w:val="enumlev1"/>
        <w:rPr>
          <w:lang w:val="fr-CH"/>
        </w:rPr>
      </w:pPr>
      <w:r w:rsidRPr="00CA3220">
        <w:rPr>
          <w:lang w:val="fr-CH"/>
        </w:rPr>
        <w:t>–</w:t>
      </w:r>
      <w:r w:rsidRPr="00CA3220">
        <w:rPr>
          <w:lang w:val="fr-CH"/>
        </w:rPr>
        <w:tab/>
        <w:t>identifier les incidences potentielles sur la normalisation;</w:t>
      </w:r>
    </w:p>
    <w:p w:rsidR="001B724C" w:rsidRPr="00CA3220" w:rsidRDefault="001B724C" w:rsidP="00664299">
      <w:pPr>
        <w:pStyle w:val="enumlev1"/>
        <w:rPr>
          <w:lang w:val="fr-CH"/>
        </w:rPr>
      </w:pPr>
      <w:r w:rsidRPr="00CA3220">
        <w:rPr>
          <w:lang w:val="fr-CH"/>
        </w:rPr>
        <w:t>–</w:t>
      </w:r>
      <w:r w:rsidRPr="00CA3220">
        <w:rPr>
          <w:lang w:val="fr-CH"/>
        </w:rPr>
        <w:tab/>
        <w:t>déterminer de futurs sujets d'étude pour l'UIT-T et les actions connexes;</w:t>
      </w:r>
    </w:p>
    <w:p w:rsidR="001B724C" w:rsidRPr="00CA3220" w:rsidRDefault="001B724C" w:rsidP="00664299">
      <w:pPr>
        <w:pStyle w:val="enumlev1"/>
        <w:rPr>
          <w:lang w:val="fr-CH"/>
        </w:rPr>
      </w:pPr>
      <w:r w:rsidRPr="00CA3220">
        <w:rPr>
          <w:lang w:val="fr-CH"/>
        </w:rPr>
        <w:t>–</w:t>
      </w:r>
      <w:r w:rsidRPr="00CA3220">
        <w:rPr>
          <w:lang w:val="fr-CH"/>
        </w:rPr>
        <w:tab/>
        <w:t>sensibiliser l'UIT-T et les communautés de normalisation aux nouveaux attributs des réseaux électriques intelligents;</w:t>
      </w:r>
    </w:p>
    <w:p w:rsidR="001B724C" w:rsidRPr="00CA3220" w:rsidRDefault="001B724C" w:rsidP="00664299">
      <w:pPr>
        <w:pStyle w:val="enumlev1"/>
        <w:rPr>
          <w:lang w:val="fr-CH"/>
        </w:rPr>
      </w:pPr>
      <w:r w:rsidRPr="00CA3220">
        <w:rPr>
          <w:lang w:val="fr-CH"/>
        </w:rPr>
        <w:t>–</w:t>
      </w:r>
      <w:r w:rsidRPr="00CA3220">
        <w:rPr>
          <w:lang w:val="fr-CH"/>
        </w:rPr>
        <w:tab/>
        <w:t>encourager la collaboration entre l'UIT-T et les communautés s'intéressant aux réseaux électriques intelligents.</w:t>
      </w:r>
    </w:p>
    <w:p w:rsidR="00CE375D" w:rsidRPr="00CA3220" w:rsidRDefault="00075B5D" w:rsidP="00B33BAA">
      <w:pPr>
        <w:rPr>
          <w:rFonts w:asciiTheme="majorBidi" w:hAnsiTheme="majorBidi" w:cstheme="majorBidi"/>
          <w:szCs w:val="24"/>
          <w:lang w:val="fr-CH"/>
        </w:rPr>
      </w:pPr>
      <w:r w:rsidRPr="00CA3220">
        <w:rPr>
          <w:rFonts w:asciiTheme="majorBidi" w:hAnsiTheme="majorBidi" w:cstheme="majorBidi"/>
          <w:szCs w:val="24"/>
          <w:lang w:val="fr-CH"/>
        </w:rPr>
        <w:t>Dans le cadre d'une autre initiative, à sa réunion de janvier 2012, le GCNT a créé un groupe spécial appelé Activité conjointe de coordination sur les réseaux électriques intelligents et les réseaux domestiques (JCA-SG&amp;HN)</w:t>
      </w:r>
      <w:r w:rsidR="004F67CE" w:rsidRPr="00CA3220">
        <w:rPr>
          <w:rFonts w:asciiTheme="majorBidi" w:hAnsiTheme="majorBidi" w:cstheme="majorBidi"/>
          <w:szCs w:val="24"/>
          <w:lang w:val="fr-CH"/>
        </w:rPr>
        <w:t>,</w:t>
      </w:r>
      <w:r w:rsidRPr="00CA3220">
        <w:rPr>
          <w:rFonts w:asciiTheme="majorBidi" w:hAnsiTheme="majorBidi" w:cstheme="majorBidi"/>
          <w:szCs w:val="24"/>
          <w:lang w:val="fr-CH"/>
        </w:rPr>
        <w:t xml:space="preserve"> afin de coordonner les activités au sein de l'UIT-T. Cette Activité</w:t>
      </w:r>
      <w:r w:rsidR="004F67CE" w:rsidRPr="00CA3220">
        <w:rPr>
          <w:rFonts w:asciiTheme="majorBidi" w:hAnsiTheme="majorBidi" w:cstheme="majorBidi"/>
          <w:szCs w:val="24"/>
          <w:lang w:val="fr-CH"/>
        </w:rPr>
        <w:t>, qui</w:t>
      </w:r>
      <w:r w:rsidRPr="00CA3220">
        <w:rPr>
          <w:rFonts w:asciiTheme="majorBidi" w:hAnsiTheme="majorBidi" w:cstheme="majorBidi"/>
          <w:szCs w:val="24"/>
          <w:lang w:val="fr-CH"/>
        </w:rPr>
        <w:t xml:space="preserve"> a remplacé l'ancienne JCA sur les réseaux domestiques (JCA-HN)</w:t>
      </w:r>
      <w:r w:rsidR="004F67CE" w:rsidRPr="00CA3220">
        <w:rPr>
          <w:rFonts w:asciiTheme="majorBidi" w:hAnsiTheme="majorBidi" w:cstheme="majorBidi"/>
          <w:szCs w:val="24"/>
          <w:lang w:val="fr-CH"/>
        </w:rPr>
        <w:t xml:space="preserve">, </w:t>
      </w:r>
      <w:r w:rsidRPr="00CA3220">
        <w:rPr>
          <w:rFonts w:asciiTheme="majorBidi" w:hAnsiTheme="majorBidi" w:cstheme="majorBidi"/>
          <w:szCs w:val="24"/>
          <w:lang w:val="fr-CH"/>
        </w:rPr>
        <w:t xml:space="preserve">avait pour objet de coordonner, au sein et à l'extérieur de l'UIT-T, les travaux de normalisation concernant, d'une part, tous les aspects liés au réseau et aux communications pour les réseaux électriques intelligents et, d'autre part, les réseaux domestiques. </w:t>
      </w:r>
      <w:r w:rsidR="009A2391" w:rsidRPr="00CA3220">
        <w:rPr>
          <w:rFonts w:asciiTheme="majorBidi" w:hAnsiTheme="majorBidi" w:cstheme="majorBidi"/>
          <w:szCs w:val="24"/>
          <w:lang w:val="fr-CH"/>
        </w:rPr>
        <w:t>Elle a achevé ses travaux en juin 2013 et</w:t>
      </w:r>
      <w:r w:rsidR="004F67CE" w:rsidRPr="00CA3220">
        <w:rPr>
          <w:rFonts w:asciiTheme="majorBidi" w:hAnsiTheme="majorBidi" w:cstheme="majorBidi"/>
          <w:szCs w:val="24"/>
          <w:lang w:val="fr-CH"/>
        </w:rPr>
        <w:t>, depuis,</w:t>
      </w:r>
      <w:r w:rsidR="00B33BAA">
        <w:rPr>
          <w:rFonts w:asciiTheme="majorBidi" w:hAnsiTheme="majorBidi" w:cstheme="majorBidi"/>
          <w:szCs w:val="24"/>
          <w:lang w:val="fr-CH"/>
        </w:rPr>
        <w:t xml:space="preserve"> la coordination sur les «</w:t>
      </w:r>
      <w:r w:rsidR="009A2391" w:rsidRPr="00CA3220">
        <w:rPr>
          <w:rFonts w:asciiTheme="majorBidi" w:hAnsiTheme="majorBidi" w:cstheme="majorBidi"/>
          <w:szCs w:val="24"/>
          <w:lang w:val="fr-CH"/>
        </w:rPr>
        <w:t>réseaux électriques intelligents et les réseaux domestiques</w:t>
      </w:r>
      <w:r w:rsidR="00B33BAA">
        <w:rPr>
          <w:rFonts w:asciiTheme="majorBidi" w:hAnsiTheme="majorBidi" w:cstheme="majorBidi"/>
          <w:szCs w:val="24"/>
          <w:lang w:val="fr-CH"/>
        </w:rPr>
        <w:t>»</w:t>
      </w:r>
      <w:r w:rsidR="009A2391" w:rsidRPr="00CA3220">
        <w:rPr>
          <w:rFonts w:asciiTheme="majorBidi" w:hAnsiTheme="majorBidi" w:cstheme="majorBidi"/>
          <w:szCs w:val="24"/>
          <w:lang w:val="fr-CH"/>
        </w:rPr>
        <w:t xml:space="preserve"> se fait dans le cadre de la CE 15 de l'UIT</w:t>
      </w:r>
      <w:r w:rsidR="004F67CE" w:rsidRPr="00CA3220">
        <w:rPr>
          <w:rFonts w:asciiTheme="majorBidi" w:hAnsiTheme="majorBidi" w:cstheme="majorBidi"/>
          <w:szCs w:val="24"/>
          <w:lang w:val="fr-CH"/>
        </w:rPr>
        <w:noBreakHyphen/>
      </w:r>
      <w:r w:rsidR="009A2391" w:rsidRPr="00CA3220">
        <w:rPr>
          <w:rFonts w:asciiTheme="majorBidi" w:hAnsiTheme="majorBidi" w:cstheme="majorBidi"/>
          <w:szCs w:val="24"/>
          <w:lang w:val="fr-CH"/>
        </w:rPr>
        <w:t xml:space="preserve">T, qui sert </w:t>
      </w:r>
      <w:r w:rsidR="008465E5" w:rsidRPr="00CA3220">
        <w:rPr>
          <w:rFonts w:asciiTheme="majorBidi" w:hAnsiTheme="majorBidi" w:cstheme="majorBidi"/>
          <w:szCs w:val="24"/>
          <w:lang w:val="fr-CH"/>
        </w:rPr>
        <w:t>de point central pour la coordination à l'UIT-T.</w:t>
      </w:r>
    </w:p>
    <w:p w:rsidR="008465E5" w:rsidRPr="00CA3220" w:rsidRDefault="008465E5" w:rsidP="004F67CE">
      <w:pPr>
        <w:rPr>
          <w:rFonts w:asciiTheme="majorBidi" w:hAnsiTheme="majorBidi" w:cstheme="majorBidi"/>
          <w:szCs w:val="24"/>
          <w:lang w:val="fr-CH"/>
        </w:rPr>
      </w:pPr>
      <w:r w:rsidRPr="00CA3220">
        <w:rPr>
          <w:rFonts w:asciiTheme="majorBidi" w:hAnsiTheme="majorBidi" w:cstheme="majorBidi"/>
          <w:szCs w:val="24"/>
          <w:lang w:val="fr-CH"/>
        </w:rPr>
        <w:t>En outre, la CE 15 de l'UIT-T participe actuellement aux initiatives ci-après consacrées à des questions ayant un lie</w:t>
      </w:r>
      <w:r w:rsidR="004F67CE" w:rsidRPr="00CA3220">
        <w:rPr>
          <w:rFonts w:asciiTheme="majorBidi" w:hAnsiTheme="majorBidi" w:cstheme="majorBidi"/>
          <w:szCs w:val="24"/>
          <w:lang w:val="fr-CH"/>
        </w:rPr>
        <w:t>n avec les réseaux intelligents</w:t>
      </w:r>
      <w:r w:rsidRPr="00CA3220">
        <w:rPr>
          <w:rFonts w:asciiTheme="majorBidi" w:hAnsiTheme="majorBidi" w:cstheme="majorBidi"/>
          <w:szCs w:val="24"/>
          <w:lang w:val="fr-CH"/>
        </w:rPr>
        <w:t>:</w:t>
      </w:r>
    </w:p>
    <w:p w:rsidR="008465E5" w:rsidRPr="00CA3220" w:rsidRDefault="004F67CE" w:rsidP="004F67CE">
      <w:pPr>
        <w:pStyle w:val="enumlev1"/>
        <w:rPr>
          <w:lang w:val="fr-CH"/>
        </w:rPr>
      </w:pPr>
      <w:r w:rsidRPr="00CA3220">
        <w:rPr>
          <w:lang w:val="fr-CH"/>
        </w:rPr>
        <w:t>–</w:t>
      </w:r>
      <w:r w:rsidRPr="00CA3220">
        <w:rPr>
          <w:lang w:val="fr-CH"/>
        </w:rPr>
        <w:tab/>
      </w:r>
      <w:hyperlink r:id="rId16" w:history="1">
        <w:r w:rsidRPr="005E0502">
          <w:rPr>
            <w:rStyle w:val="Hyperlink"/>
            <w:lang w:val="fr-CH"/>
          </w:rPr>
          <w:t>a</w:t>
        </w:r>
        <w:r w:rsidR="008465E5" w:rsidRPr="005E0502">
          <w:rPr>
            <w:rStyle w:val="Hyperlink"/>
            <w:lang w:val="fr-CH"/>
          </w:rPr>
          <w:t>ctivité conjointe de coordination sur l'Internet des objets (JCA-IoT)</w:t>
        </w:r>
      </w:hyperlink>
    </w:p>
    <w:p w:rsidR="008465E5" w:rsidRPr="00CA3220" w:rsidRDefault="004F67CE" w:rsidP="004F67CE">
      <w:pPr>
        <w:pStyle w:val="enumlev1"/>
        <w:rPr>
          <w:lang w:val="fr-CH"/>
        </w:rPr>
      </w:pPr>
      <w:r w:rsidRPr="00CA3220">
        <w:rPr>
          <w:lang w:val="fr-CH"/>
        </w:rPr>
        <w:t>–</w:t>
      </w:r>
      <w:r w:rsidRPr="00CA3220">
        <w:rPr>
          <w:lang w:val="fr-CH"/>
        </w:rPr>
        <w:tab/>
      </w:r>
      <w:hyperlink r:id="rId17" w:history="1">
        <w:r w:rsidRPr="005E0502">
          <w:rPr>
            <w:rStyle w:val="Hyperlink"/>
            <w:lang w:val="fr-CH"/>
          </w:rPr>
          <w:t>a</w:t>
        </w:r>
        <w:r w:rsidR="008465E5" w:rsidRPr="005E0502">
          <w:rPr>
            <w:rStyle w:val="Hyperlink"/>
            <w:lang w:val="fr-CH"/>
          </w:rPr>
          <w:t>ctivité conjointe de coordination sur les TIC et les changements climatiques (JCA</w:t>
        </w:r>
        <w:r w:rsidRPr="005E0502">
          <w:rPr>
            <w:rStyle w:val="Hyperlink"/>
            <w:lang w:val="fr-CH"/>
          </w:rPr>
          <w:noBreakHyphen/>
          <w:t>ICT</w:t>
        </w:r>
        <w:r w:rsidRPr="005E0502">
          <w:rPr>
            <w:rStyle w:val="Hyperlink"/>
            <w:lang w:val="fr-CH"/>
          </w:rPr>
          <w:noBreakHyphen/>
        </w:r>
        <w:r w:rsidR="008465E5" w:rsidRPr="005E0502">
          <w:rPr>
            <w:rStyle w:val="Hyperlink"/>
            <w:lang w:val="fr-CH"/>
          </w:rPr>
          <w:t>CC)</w:t>
        </w:r>
      </w:hyperlink>
    </w:p>
    <w:p w:rsidR="008465E5" w:rsidRPr="00CA3220" w:rsidRDefault="004F67CE" w:rsidP="004F67CE">
      <w:pPr>
        <w:pStyle w:val="enumlev1"/>
        <w:rPr>
          <w:lang w:val="fr-CH"/>
        </w:rPr>
      </w:pPr>
      <w:r w:rsidRPr="00CA3220">
        <w:rPr>
          <w:lang w:val="fr-CH"/>
        </w:rPr>
        <w:t>–</w:t>
      </w:r>
      <w:r w:rsidRPr="00CA3220">
        <w:rPr>
          <w:lang w:val="fr-CH"/>
        </w:rPr>
        <w:tab/>
      </w:r>
      <w:hyperlink r:id="rId18" w:history="1">
        <w:r w:rsidRPr="005E0502">
          <w:rPr>
            <w:rStyle w:val="Hyperlink"/>
            <w:lang w:val="fr-CH"/>
          </w:rPr>
          <w:t>g</w:t>
        </w:r>
        <w:r w:rsidR="008465E5" w:rsidRPr="005E0502">
          <w:rPr>
            <w:rStyle w:val="Hyperlink"/>
            <w:lang w:val="fr-CH"/>
          </w:rPr>
          <w:t>roupe spécialisé sur les communications de machine à machine (FG-M2M)</w:t>
        </w:r>
      </w:hyperlink>
    </w:p>
    <w:p w:rsidR="008465E5" w:rsidRPr="00CA3220" w:rsidRDefault="004F67CE" w:rsidP="004F67CE">
      <w:pPr>
        <w:pStyle w:val="enumlev1"/>
        <w:rPr>
          <w:lang w:val="fr-CH"/>
        </w:rPr>
      </w:pPr>
      <w:r w:rsidRPr="00CA3220">
        <w:rPr>
          <w:lang w:val="fr-CH"/>
        </w:rPr>
        <w:t>–</w:t>
      </w:r>
      <w:r w:rsidRPr="00CA3220">
        <w:rPr>
          <w:lang w:val="fr-CH"/>
        </w:rPr>
        <w:tab/>
      </w:r>
      <w:hyperlink r:id="rId19" w:history="1">
        <w:r w:rsidRPr="005E0502">
          <w:rPr>
            <w:rStyle w:val="Hyperlink"/>
            <w:lang w:val="fr-CH"/>
          </w:rPr>
          <w:t>c</w:t>
        </w:r>
        <w:r w:rsidR="008465E5" w:rsidRPr="005E0502">
          <w:rPr>
            <w:rStyle w:val="Hyperlink"/>
            <w:lang w:val="fr-CH"/>
          </w:rPr>
          <w:t>ollaboration sur les normes de communication pour les systèmes de transport intelligents (ITS)</w:t>
        </w:r>
      </w:hyperlink>
    </w:p>
    <w:p w:rsidR="008465E5" w:rsidRPr="00CA3220" w:rsidRDefault="00BA1021" w:rsidP="004F67CE">
      <w:pPr>
        <w:rPr>
          <w:rFonts w:asciiTheme="majorBidi" w:hAnsiTheme="majorBidi" w:cstheme="majorBidi"/>
          <w:szCs w:val="24"/>
          <w:lang w:val="fr-CH"/>
        </w:rPr>
      </w:pPr>
      <w:r w:rsidRPr="00CA3220">
        <w:rPr>
          <w:rFonts w:asciiTheme="majorBidi" w:hAnsiTheme="majorBidi" w:cstheme="majorBidi"/>
          <w:szCs w:val="24"/>
          <w:lang w:val="fr-CH"/>
        </w:rPr>
        <w:t xml:space="preserve">Le rôle de l'UIT-R est de suivre les activités et d'intervenir </w:t>
      </w:r>
      <w:r w:rsidR="004F67CE" w:rsidRPr="00CA3220">
        <w:rPr>
          <w:rFonts w:asciiTheme="majorBidi" w:hAnsiTheme="majorBidi" w:cstheme="majorBidi"/>
          <w:szCs w:val="24"/>
          <w:lang w:val="fr-CH"/>
        </w:rPr>
        <w:t>s'il y a lieu</w:t>
      </w:r>
      <w:r w:rsidRPr="00CA3220">
        <w:rPr>
          <w:rFonts w:asciiTheme="majorBidi" w:hAnsiTheme="majorBidi" w:cstheme="majorBidi"/>
          <w:szCs w:val="24"/>
          <w:lang w:val="fr-CH"/>
        </w:rPr>
        <w:t xml:space="preserve"> pour faire en sorte que les initiatives portant sur l'utilisation des fréquences et la puissance radioélectrique pour la prise en charge des communications des réseaux de distribution intelligents n'aboutissent pas à des perturbations ou </w:t>
      </w:r>
      <w:r w:rsidR="004F67CE" w:rsidRPr="00CA3220">
        <w:rPr>
          <w:rFonts w:asciiTheme="majorBidi" w:hAnsiTheme="majorBidi" w:cstheme="majorBidi"/>
          <w:szCs w:val="24"/>
          <w:lang w:val="fr-CH"/>
        </w:rPr>
        <w:t xml:space="preserve">à </w:t>
      </w:r>
      <w:r w:rsidRPr="00CA3220">
        <w:rPr>
          <w:rFonts w:asciiTheme="majorBidi" w:hAnsiTheme="majorBidi" w:cstheme="majorBidi"/>
          <w:szCs w:val="24"/>
          <w:lang w:val="fr-CH"/>
        </w:rPr>
        <w:t xml:space="preserve">une dégradation du fonctionnement des services de radiocommunication, étant donné que l'implantation du réseau électrique suit étroitement la répartition de la population </w:t>
      </w:r>
      <w:r w:rsidR="004F67CE" w:rsidRPr="00CA3220">
        <w:rPr>
          <w:rFonts w:asciiTheme="majorBidi" w:hAnsiTheme="majorBidi" w:cstheme="majorBidi"/>
          <w:szCs w:val="24"/>
          <w:lang w:val="fr-CH"/>
        </w:rPr>
        <w:t>qui doit</w:t>
      </w:r>
      <w:r w:rsidRPr="00CA3220">
        <w:rPr>
          <w:rFonts w:asciiTheme="majorBidi" w:hAnsiTheme="majorBidi" w:cstheme="majorBidi"/>
          <w:szCs w:val="24"/>
          <w:lang w:val="fr-CH"/>
        </w:rPr>
        <w:t xml:space="preserve"> pouvoir accéder sans entrave aux services de radiocommunication.</w:t>
      </w:r>
    </w:p>
    <w:p w:rsidR="008465E5" w:rsidRPr="00CA3220" w:rsidRDefault="00BA1021" w:rsidP="00664299">
      <w:pPr>
        <w:rPr>
          <w:rFonts w:asciiTheme="majorBidi" w:hAnsiTheme="majorBidi" w:cstheme="majorBidi"/>
          <w:szCs w:val="24"/>
          <w:lang w:val="fr-CH"/>
        </w:rPr>
      </w:pPr>
      <w:r w:rsidRPr="00CA3220">
        <w:rPr>
          <w:rFonts w:asciiTheme="majorBidi" w:hAnsiTheme="majorBidi" w:cstheme="majorBidi"/>
          <w:szCs w:val="24"/>
          <w:lang w:val="fr-CH"/>
        </w:rPr>
        <w:t>Les activités menées en parallèle à l'UIT-R concernant les technologies de communication pour réseaux intelligents relèvent de la nouvelle Question UIT-R 236/1, «Incidence sur les systèmes de radiocommunication des technologies de transmission de données hertziennes ou filaires utilisées pour les systèmes de gestion des réseaux de distribution électrique», dont l'étude a été confiée à la Commission d'études 1 de l'UIT-R.</w:t>
      </w:r>
    </w:p>
    <w:p w:rsidR="00DE31BE" w:rsidRPr="00CA3220" w:rsidRDefault="00DE31BE" w:rsidP="00664299">
      <w:pPr>
        <w:pStyle w:val="Heading1"/>
        <w:rPr>
          <w:szCs w:val="24"/>
          <w:lang w:val="fr-CH"/>
        </w:rPr>
      </w:pPr>
      <w:bookmarkStart w:id="31" w:name="_Toc438029876"/>
      <w:bookmarkStart w:id="32" w:name="_Toc440533892"/>
      <w:bookmarkStart w:id="33" w:name="_Toc498437761"/>
      <w:bookmarkStart w:id="34" w:name="_Toc498500101"/>
      <w:bookmarkStart w:id="35" w:name="_Toc498500352"/>
      <w:bookmarkStart w:id="36" w:name="_Toc498516117"/>
      <w:r w:rsidRPr="00CA3220">
        <w:rPr>
          <w:szCs w:val="24"/>
          <w:lang w:val="fr-CH"/>
        </w:rPr>
        <w:lastRenderedPageBreak/>
        <w:t>4</w:t>
      </w:r>
      <w:r w:rsidRPr="00CA3220">
        <w:rPr>
          <w:szCs w:val="24"/>
          <w:lang w:val="fr-CH"/>
        </w:rPr>
        <w:tab/>
        <w:t>Objectifs et avantages des réseaux intelligents</w:t>
      </w:r>
      <w:bookmarkEnd w:id="31"/>
      <w:bookmarkEnd w:id="32"/>
      <w:bookmarkEnd w:id="33"/>
      <w:bookmarkEnd w:id="34"/>
      <w:bookmarkEnd w:id="35"/>
      <w:bookmarkEnd w:id="36"/>
    </w:p>
    <w:p w:rsidR="00DE31BE" w:rsidRPr="00CA3220" w:rsidRDefault="00DE31BE" w:rsidP="00664299">
      <w:pPr>
        <w:pStyle w:val="Heading2"/>
        <w:rPr>
          <w:lang w:val="fr-CH"/>
        </w:rPr>
      </w:pPr>
      <w:bookmarkStart w:id="37" w:name="_Toc438029877"/>
      <w:bookmarkStart w:id="38" w:name="_Toc440533893"/>
      <w:bookmarkStart w:id="39" w:name="_Toc498437762"/>
      <w:bookmarkStart w:id="40" w:name="_Toc498500102"/>
      <w:bookmarkStart w:id="41" w:name="_Toc498500353"/>
      <w:bookmarkStart w:id="42" w:name="_Toc498516118"/>
      <w:r w:rsidRPr="00CA3220">
        <w:rPr>
          <w:lang w:val="fr-CH"/>
        </w:rPr>
        <w:t>4.1</w:t>
      </w:r>
      <w:r w:rsidRPr="00CA3220">
        <w:rPr>
          <w:lang w:val="fr-CH"/>
        </w:rPr>
        <w:tab/>
        <w:t>Réduction de la demande globale d'électricité grâce à l'optimisation des systèmes</w:t>
      </w:r>
      <w:bookmarkEnd w:id="37"/>
      <w:bookmarkEnd w:id="38"/>
      <w:bookmarkEnd w:id="39"/>
      <w:bookmarkEnd w:id="40"/>
      <w:bookmarkEnd w:id="41"/>
      <w:bookmarkEnd w:id="42"/>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systèmes de distribution d'électricité en place au niveau local sont conçus pour fournir de l'énergie et l'envoyer dans un sens, mais ils n'ont pas les capacités intelligentes leur permettant d'optimiser la fourniture. De ce fait, les entreprises de distribution d'énergie doivent mettre en place une capacité de production suffisante pour faire face aux pics de consommation d'énergie, bien que ces pics ne se produisent que quelques jours par an et que la demande moyenne soit largement inférieure. Dans la pratique, cela signifie que les jours où on attend une demande supérieure à la moyenne, les entreprises de distribution d'énergie redémarreront des générateurs peu utilisés, moins efficaces et plus coûteux.</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L'Union européenne, le Congrès des Etats-Unis</w:t>
      </w:r>
      <w:r w:rsidRPr="00CA3220">
        <w:rPr>
          <w:rStyle w:val="FootnoteReference"/>
          <w:rFonts w:asciiTheme="majorBidi" w:hAnsiTheme="majorBidi" w:cstheme="majorBidi"/>
          <w:szCs w:val="24"/>
          <w:lang w:val="fr-CH"/>
        </w:rPr>
        <w:footnoteReference w:id="12"/>
      </w:r>
      <w:r w:rsidRPr="00CA3220">
        <w:rPr>
          <w:rFonts w:asciiTheme="majorBidi" w:hAnsiTheme="majorBidi" w:cstheme="majorBidi"/>
          <w:szCs w:val="24"/>
          <w:lang w:val="fr-CH"/>
        </w:rPr>
        <w:t>, l'Agence internationale de l'énergie</w:t>
      </w:r>
      <w:r w:rsidRPr="00CA3220">
        <w:rPr>
          <w:rStyle w:val="FootnoteReference"/>
          <w:rFonts w:asciiTheme="majorBidi" w:hAnsiTheme="majorBidi" w:cstheme="majorBidi"/>
          <w:szCs w:val="24"/>
          <w:lang w:val="fr-CH"/>
        </w:rPr>
        <w:footnoteReference w:id="13"/>
      </w:r>
      <w:r w:rsidRPr="00CA3220">
        <w:rPr>
          <w:rFonts w:asciiTheme="majorBidi" w:hAnsiTheme="majorBidi" w:cstheme="majorBidi"/>
          <w:szCs w:val="24"/>
          <w:lang w:val="fr-CH"/>
        </w:rPr>
        <w:t xml:space="preserve"> ainsi que de nombreux chercheurs et de nombreuses entreprises de services collectifs sont convaincus que les réseaux intelligents représentent une technologie essentielle pour améliorer la fiabilité et réduire l'impact environnemental de la consommation d'électricité. Selon les estimations de l'EPRI, la distribution d'électricité par des réseaux intelligents pourrait permettre de réduire la consommation d'électricité de 5 à 10% et les émissions de dioxyde de carbone de 13 à 25%</w:t>
      </w:r>
      <w:r w:rsidRPr="00CA3220">
        <w:rPr>
          <w:rStyle w:val="FootnoteReference"/>
          <w:rFonts w:asciiTheme="majorBidi" w:hAnsiTheme="majorBidi" w:cstheme="majorBidi"/>
          <w:szCs w:val="24"/>
          <w:lang w:val="fr-CH"/>
        </w:rPr>
        <w:footnoteReference w:id="14"/>
      </w:r>
      <w:r w:rsidRPr="00CA3220">
        <w:rPr>
          <w:rFonts w:asciiTheme="majorBidi" w:hAnsiTheme="majorBidi" w:cstheme="majorBidi"/>
          <w:szCs w:val="24"/>
          <w:lang w:val="fr-CH"/>
        </w:rPr>
        <w:t xml:space="preserve">. </w:t>
      </w:r>
    </w:p>
    <w:p w:rsidR="00DE31BE" w:rsidRPr="00CA3220" w:rsidRDefault="00DE31BE" w:rsidP="00664299">
      <w:pPr>
        <w:pStyle w:val="Heading2"/>
        <w:rPr>
          <w:lang w:val="fr-CH"/>
        </w:rPr>
      </w:pPr>
      <w:bookmarkStart w:id="43" w:name="_Toc438029878"/>
      <w:bookmarkStart w:id="44" w:name="_Toc440533894"/>
      <w:bookmarkStart w:id="45" w:name="_Toc498437763"/>
      <w:bookmarkStart w:id="46" w:name="_Toc498500103"/>
      <w:bookmarkStart w:id="47" w:name="_Toc498500354"/>
      <w:bookmarkStart w:id="48" w:name="_Toc498516119"/>
      <w:r w:rsidRPr="00CA3220">
        <w:rPr>
          <w:lang w:val="fr-CH"/>
        </w:rPr>
        <w:t>4.2</w:t>
      </w:r>
      <w:r w:rsidRPr="00CA3220">
        <w:rPr>
          <w:lang w:val="fr-CH"/>
        </w:rPr>
        <w:tab/>
        <w:t>Intégration des ressources d'énergies renouvelables et décentralisées</w:t>
      </w:r>
      <w:bookmarkEnd w:id="43"/>
      <w:bookmarkEnd w:id="44"/>
      <w:bookmarkEnd w:id="45"/>
      <w:bookmarkEnd w:id="46"/>
      <w:bookmarkEnd w:id="47"/>
      <w:bookmarkEnd w:id="48"/>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La connectivité et les communications de réseaux intelligents offrent une solution au problème du traitement de l'électricité autoproduite. Du fait de l'augmentation du prix de l'énergie et d'une prise de conscience des enjeux écologiques, les particuliers et les entreprises sont de plus en plus nombreux à produire leur propre électricité à partir d'énergies renouvelables, comme le vent ou le soleil. Ainsi, il était souvent coûteux et difficile, voire impossible, de raccorder ces sources décentralisées d'énergie renouvelable aux réseaux de distribution. En outre, même lorsqu'on parvenait à réinjecter cette énergie renouvelable dans le réseau, les réseaux de distribution, où que l'on soit dans le monde, n'avaient aucun moyen d'anticiper ce reflux d'énergie ou d'y faire face. Les techniques faisant appel à la facturation nette contribueront à l'intégration de sources d'énergies renouvelables disparates dans le réseau. La production et la distribution décentralisées d'énergie sont au nombre des nouvelles fonctionnalités prises en charge par les réseaux intelligents.</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 xml:space="preserve">Les réseaux intelligents offrent la solution en indiquant au centre de commande la quantité d'énergie requise et la quantité d'énergie autoproduite envoyée dans le réseau. La capacité de production principale peut ensuite être adaptée pour tenir compte de cet afflux supplémentaire au moment de répondre à la demande. Grâce aux réseaux intelligents qui permettent cette adaptation en temps réel, les entreprises de services collectifs peuvent éviter les problèmes liés à la nature imprévisible des sources d'énergies renouvelables. Selon le rapport élaboré récemment par Energy and Environmental Economics, Inc. (E3) et EPRI Solutions, Inc. pour la Commission de l'énergie de Californie, ce type de stockage d'électricité décentralisé pouvant être géré en temps réel (comme les batteries ou les </w:t>
      </w:r>
      <w:r w:rsidRPr="00CA3220">
        <w:rPr>
          <w:rFonts w:asciiTheme="majorBidi" w:hAnsiTheme="majorBidi" w:cstheme="majorBidi"/>
          <w:szCs w:val="24"/>
          <w:lang w:val="fr-CH"/>
        </w:rPr>
        <w:lastRenderedPageBreak/>
        <w:t>véhicules électriques) coûterait près de 90% plus cher sur un équipement analogue qui ne serait pas raccordé à un réseau intelligent</w:t>
      </w:r>
      <w:r w:rsidRPr="00CA3220">
        <w:rPr>
          <w:rStyle w:val="FootnoteReference"/>
          <w:rFonts w:asciiTheme="majorBidi" w:hAnsiTheme="majorBidi" w:cstheme="majorBidi"/>
          <w:szCs w:val="24"/>
          <w:lang w:val="fr-CH"/>
        </w:rPr>
        <w:footnoteReference w:id="15"/>
      </w:r>
      <w:r w:rsidRPr="00CA3220">
        <w:rPr>
          <w:rFonts w:asciiTheme="majorBidi" w:hAnsiTheme="majorBidi" w:cstheme="majorBidi"/>
          <w:szCs w:val="24"/>
          <w:lang w:val="fr-CH"/>
        </w:rPr>
        <w:t>.</w:t>
      </w:r>
    </w:p>
    <w:p w:rsidR="00113EBA" w:rsidRPr="00CA3220" w:rsidRDefault="00DE31BE" w:rsidP="006062B7">
      <w:pPr>
        <w:pStyle w:val="Heading2"/>
        <w:rPr>
          <w:lang w:val="fr-CH"/>
        </w:rPr>
      </w:pPr>
      <w:bookmarkStart w:id="49" w:name="_Toc498437764"/>
      <w:bookmarkStart w:id="50" w:name="_Toc498500104"/>
      <w:bookmarkStart w:id="51" w:name="_Toc498500355"/>
      <w:bookmarkStart w:id="52" w:name="_Toc498516120"/>
      <w:bookmarkStart w:id="53" w:name="_Toc438029879"/>
      <w:bookmarkStart w:id="54" w:name="_Toc440533895"/>
      <w:r w:rsidRPr="00CA3220">
        <w:rPr>
          <w:lang w:val="fr-CH"/>
        </w:rPr>
        <w:t>4.3</w:t>
      </w:r>
      <w:r w:rsidRPr="00CA3220">
        <w:rPr>
          <w:lang w:val="fr-CH"/>
        </w:rPr>
        <w:tab/>
      </w:r>
      <w:r w:rsidR="00113EBA" w:rsidRPr="00CA3220">
        <w:rPr>
          <w:lang w:val="fr-CH"/>
        </w:rPr>
        <w:t xml:space="preserve">Prise en charge </w:t>
      </w:r>
      <w:r w:rsidR="00C30F96" w:rsidRPr="00CA3220">
        <w:rPr>
          <w:lang w:val="fr-CH"/>
        </w:rPr>
        <w:t>du comptage intelligent</w:t>
      </w:r>
      <w:bookmarkEnd w:id="49"/>
      <w:bookmarkEnd w:id="50"/>
      <w:bookmarkEnd w:id="51"/>
      <w:bookmarkEnd w:id="52"/>
    </w:p>
    <w:p w:rsidR="00113EBA" w:rsidRPr="00CA3220" w:rsidRDefault="00113EBA" w:rsidP="006062B7">
      <w:pPr>
        <w:keepNext/>
        <w:keepLines/>
        <w:rPr>
          <w:rFonts w:asciiTheme="majorBidi" w:hAnsiTheme="majorBidi" w:cstheme="majorBidi"/>
          <w:szCs w:val="24"/>
          <w:lang w:val="fr-CH"/>
        </w:rPr>
      </w:pPr>
      <w:r w:rsidRPr="00CA3220">
        <w:rPr>
          <w:rFonts w:asciiTheme="majorBidi" w:hAnsiTheme="majorBidi" w:cstheme="majorBidi"/>
          <w:szCs w:val="24"/>
          <w:lang w:val="fr-CH"/>
        </w:rPr>
        <w:t>Le comptage intelligent est l'une des applications pour les systèmes de gestion des réseaux d'électricité. Les fonctions correspondantes sont les suivantes:</w:t>
      </w:r>
    </w:p>
    <w:p w:rsidR="00113EBA" w:rsidRPr="00CA3220" w:rsidRDefault="00113EBA" w:rsidP="006062B7">
      <w:pPr>
        <w:pStyle w:val="enumlev1"/>
        <w:keepNext/>
        <w:keepLines/>
        <w:rPr>
          <w:lang w:val="fr-CH"/>
        </w:rPr>
      </w:pPr>
      <w:r w:rsidRPr="00CA3220">
        <w:rPr>
          <w:lang w:val="fr-CH"/>
        </w:rPr>
        <w:t>–</w:t>
      </w:r>
      <w:r w:rsidRPr="00CA3220">
        <w:rPr>
          <w:lang w:val="fr-CH"/>
        </w:rPr>
        <w:tab/>
        <w:t>infrastructure de comptage évoluée (AMI);</w:t>
      </w:r>
    </w:p>
    <w:p w:rsidR="00113EBA" w:rsidRPr="00CA3220" w:rsidRDefault="00113EBA" w:rsidP="00664299">
      <w:pPr>
        <w:pStyle w:val="enumlev1"/>
        <w:rPr>
          <w:lang w:val="fr-CH"/>
        </w:rPr>
      </w:pPr>
      <w:r w:rsidRPr="00CA3220">
        <w:rPr>
          <w:lang w:val="fr-CH"/>
        </w:rPr>
        <w:t>–</w:t>
      </w:r>
      <w:r w:rsidRPr="00CA3220">
        <w:rPr>
          <w:lang w:val="fr-CH"/>
        </w:rPr>
        <w:tab/>
        <w:t>gestion automatique des compteurs (AMM); et</w:t>
      </w:r>
    </w:p>
    <w:p w:rsidR="00113EBA" w:rsidRPr="00CA3220" w:rsidRDefault="00113EBA" w:rsidP="00664299">
      <w:pPr>
        <w:pStyle w:val="enumlev1"/>
        <w:rPr>
          <w:lang w:val="fr-CH"/>
        </w:rPr>
      </w:pPr>
      <w:r w:rsidRPr="00CA3220">
        <w:rPr>
          <w:lang w:val="fr-CH"/>
        </w:rPr>
        <w:t>–</w:t>
      </w:r>
      <w:r w:rsidRPr="00CA3220">
        <w:rPr>
          <w:lang w:val="fr-CH"/>
        </w:rPr>
        <w:tab/>
        <w:t>relevé automatique des compteurs (AMR).</w:t>
      </w:r>
    </w:p>
    <w:p w:rsidR="00113EBA" w:rsidRPr="00CA3220" w:rsidRDefault="00113EBA" w:rsidP="00664299">
      <w:pPr>
        <w:rPr>
          <w:rFonts w:asciiTheme="majorBidi" w:hAnsiTheme="majorBidi" w:cstheme="majorBidi"/>
          <w:szCs w:val="24"/>
          <w:lang w:val="fr-CH"/>
        </w:rPr>
      </w:pPr>
      <w:r w:rsidRPr="00CA3220">
        <w:rPr>
          <w:rFonts w:asciiTheme="majorBidi" w:hAnsiTheme="majorBidi" w:cstheme="majorBidi"/>
          <w:szCs w:val="24"/>
          <w:lang w:val="fr-CH"/>
        </w:rPr>
        <w:t>On trouvera ci-après une liste d'exemples de bandes utilisées pour les systèmes hertziens de gestion des réseaux d'électricité dans certaines parties du monde.</w:t>
      </w:r>
    </w:p>
    <w:p w:rsidR="00113EBA" w:rsidRPr="00CA3220" w:rsidRDefault="00113EBA" w:rsidP="00664299">
      <w:pPr>
        <w:pStyle w:val="TableNo"/>
        <w:rPr>
          <w:lang w:val="fr-CH"/>
        </w:rPr>
      </w:pPr>
      <w:r w:rsidRPr="00CA3220">
        <w:rPr>
          <w:lang w:val="fr-CH"/>
        </w:rPr>
        <w:t>TABLEAU 1</w:t>
      </w:r>
    </w:p>
    <w:p w:rsidR="00113EBA" w:rsidRPr="00CA3220" w:rsidRDefault="00113EBA" w:rsidP="00664299">
      <w:pPr>
        <w:pStyle w:val="Tabletitle"/>
        <w:rPr>
          <w:lang w:val="fr-CH"/>
        </w:rPr>
      </w:pPr>
      <w:r w:rsidRPr="00CA3220">
        <w:rPr>
          <w:lang w:val="fr-CH"/>
        </w:rPr>
        <w:t xml:space="preserve">Exemples de bandes utilisées pour les systèmes hertziens de gestion </w:t>
      </w:r>
      <w:r w:rsidRPr="00CA3220">
        <w:rPr>
          <w:lang w:val="fr-CH"/>
        </w:rPr>
        <w:br/>
        <w:t>des réseaux d'électricité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113EBA" w:rsidRPr="00CA3220" w:rsidTr="00664299">
        <w:trPr>
          <w:cantSplit/>
          <w:jc w:val="center"/>
        </w:trPr>
        <w:tc>
          <w:tcPr>
            <w:tcW w:w="2195" w:type="dxa"/>
          </w:tcPr>
          <w:p w:rsidR="00113EBA" w:rsidRPr="00CA3220" w:rsidRDefault="00113EBA" w:rsidP="00664299">
            <w:pPr>
              <w:pStyle w:val="Tablehead"/>
              <w:rPr>
                <w:rFonts w:eastAsia="Batang"/>
                <w:lang w:val="fr-CH"/>
              </w:rPr>
            </w:pPr>
            <w:r w:rsidRPr="00CA3220">
              <w:rPr>
                <w:rFonts w:eastAsia="Batang"/>
                <w:lang w:val="fr-CH"/>
              </w:rPr>
              <w:t>Fréquence (MHz)</w:t>
            </w:r>
          </w:p>
        </w:tc>
        <w:tc>
          <w:tcPr>
            <w:tcW w:w="2666" w:type="dxa"/>
          </w:tcPr>
          <w:p w:rsidR="00113EBA" w:rsidRPr="00CA3220" w:rsidRDefault="00113EBA" w:rsidP="00664299">
            <w:pPr>
              <w:pStyle w:val="Tablehead"/>
              <w:rPr>
                <w:rFonts w:eastAsia="Batang"/>
                <w:lang w:val="fr-CH"/>
              </w:rPr>
            </w:pPr>
            <w:r w:rsidRPr="00CA3220">
              <w:rPr>
                <w:rFonts w:eastAsia="Batang"/>
                <w:lang w:val="fr-CH"/>
              </w:rPr>
              <w:t>Zone/région</w:t>
            </w:r>
          </w:p>
        </w:tc>
        <w:tc>
          <w:tcPr>
            <w:tcW w:w="4778" w:type="dxa"/>
          </w:tcPr>
          <w:p w:rsidR="00113EBA" w:rsidRPr="00CA3220" w:rsidRDefault="00113EBA" w:rsidP="00664299">
            <w:pPr>
              <w:pStyle w:val="Tablehead"/>
              <w:rPr>
                <w:rFonts w:eastAsia="Batang"/>
                <w:lang w:val="fr-CH"/>
              </w:rPr>
            </w:pPr>
            <w:r w:rsidRPr="00CA3220">
              <w:rPr>
                <w:rFonts w:eastAsia="Batang"/>
                <w:lang w:val="fr-CH"/>
              </w:rPr>
              <w:t>Observations concernant l'utilisation effective</w:t>
            </w:r>
          </w:p>
        </w:tc>
      </w:tr>
      <w:tr w:rsidR="00113EBA" w:rsidRPr="00CA3220" w:rsidTr="00664299">
        <w:trPr>
          <w:cantSplit/>
          <w:jc w:val="center"/>
        </w:trPr>
        <w:tc>
          <w:tcPr>
            <w:tcW w:w="2195"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 xml:space="preserve">40-230 (partie de), </w:t>
            </w:r>
            <w:r w:rsidRPr="00CA3220">
              <w:rPr>
                <w:rFonts w:eastAsia="Batang"/>
                <w:lang w:val="fr-CH"/>
              </w:rPr>
              <w:br/>
              <w:t>470-694/698</w:t>
            </w:r>
          </w:p>
        </w:tc>
        <w:tc>
          <w:tcPr>
            <w:tcW w:w="2666"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Amérique du Nord, Royaume</w:t>
            </w:r>
            <w:r w:rsidRPr="00CA3220">
              <w:rPr>
                <w:rFonts w:eastAsia="Batang"/>
                <w:lang w:val="fr-CH"/>
              </w:rPr>
              <w:noBreakHyphen/>
              <w:t>Uni, Europe, Afrique et Japon</w:t>
            </w:r>
          </w:p>
        </w:tc>
        <w:tc>
          <w:tcPr>
            <w:tcW w:w="4778"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 xml:space="preserve">Espaces blancs de la télévision, les règles ont été établies aux Etats-Unis et au Royaume-Uni et sont en cours d'élaboration en Europe. </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169,4-169,8125</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Europe</w:t>
            </w:r>
          </w:p>
        </w:tc>
        <w:tc>
          <w:tcPr>
            <w:tcW w:w="4778" w:type="dxa"/>
          </w:tcPr>
          <w:p w:rsidR="00113EBA" w:rsidRPr="00CA3220" w:rsidRDefault="00113EBA" w:rsidP="00664299">
            <w:pPr>
              <w:pStyle w:val="Tabletext"/>
              <w:jc w:val="left"/>
              <w:rPr>
                <w:rFonts w:eastAsia="Batang"/>
                <w:lang w:val="fr-CH"/>
              </w:rPr>
            </w:pPr>
            <w:r w:rsidRPr="00CA3220">
              <w:rPr>
                <w:rFonts w:eastAsia="Batang"/>
                <w:lang w:val="fr-CH"/>
              </w:rPr>
              <w:t>M-Bus hertzien</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220-222</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 xml:space="preserve">Certaines parties de la Région 2 de l'UIT </w:t>
            </w:r>
          </w:p>
        </w:tc>
        <w:tc>
          <w:tcPr>
            <w:tcW w:w="4778" w:type="dxa"/>
          </w:tcPr>
          <w:p w:rsidR="00113EBA" w:rsidRPr="00CA3220" w:rsidRDefault="00113EBA" w:rsidP="00664299">
            <w:pPr>
              <w:pStyle w:val="Tabletext"/>
              <w:jc w:val="left"/>
              <w:rPr>
                <w:rFonts w:eastAsia="Batang"/>
                <w:lang w:val="fr-CH"/>
              </w:rPr>
            </w:pPr>
            <w:r w:rsidRPr="00CA3220">
              <w:rPr>
                <w:rFonts w:eastAsia="Batang"/>
                <w:lang w:val="fr-CH"/>
              </w:rPr>
              <w:t>Dans la Région 1 de l'UIT et en Iran, cette gamme fait partie de la bande utilisée pour la radiodiffusion de Terre conformément à l'Accord GE06; n'est pas utilisée par les systèmes AMR/AMI.</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223-235</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Chine</w:t>
            </w:r>
          </w:p>
        </w:tc>
        <w:tc>
          <w:tcPr>
            <w:tcW w:w="4778" w:type="dxa"/>
          </w:tcPr>
          <w:p w:rsidR="00113EBA" w:rsidRPr="00CA3220" w:rsidRDefault="00113EBA" w:rsidP="00664299">
            <w:pPr>
              <w:pStyle w:val="Tabletext"/>
              <w:jc w:val="left"/>
              <w:rPr>
                <w:lang w:val="fr-CH"/>
              </w:rPr>
            </w:pPr>
            <w:r w:rsidRPr="00CA3220">
              <w:rPr>
                <w:rFonts w:eastAsia="Batang"/>
                <w:lang w:val="fr-CH"/>
              </w:rPr>
              <w:t>Bande soumise à licence</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410-430</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Parties de l'Europe</w:t>
            </w:r>
          </w:p>
        </w:tc>
        <w:tc>
          <w:tcPr>
            <w:tcW w:w="4778" w:type="dxa"/>
          </w:tcPr>
          <w:p w:rsidR="00113EBA" w:rsidRPr="00CA3220" w:rsidRDefault="00113EBA" w:rsidP="00664299">
            <w:pPr>
              <w:pStyle w:val="Tabletext"/>
              <w:jc w:val="left"/>
              <w:rPr>
                <w:rFonts w:eastAsia="Batang"/>
                <w:lang w:val="fr-CH"/>
              </w:rPr>
            </w:pP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450-470</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Amérique du Nord, parties de l'Europe</w:t>
            </w:r>
          </w:p>
        </w:tc>
        <w:tc>
          <w:tcPr>
            <w:tcW w:w="4778" w:type="dxa"/>
          </w:tcPr>
          <w:p w:rsidR="00113EBA" w:rsidRPr="00CA3220" w:rsidRDefault="00113EBA" w:rsidP="00664299">
            <w:pPr>
              <w:pStyle w:val="Tabletext"/>
              <w:jc w:val="left"/>
              <w:rPr>
                <w:rFonts w:eastAsia="Batang"/>
                <w:lang w:val="fr-CH"/>
              </w:rPr>
            </w:pP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470-510</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Chine</w:t>
            </w:r>
          </w:p>
        </w:tc>
        <w:tc>
          <w:tcPr>
            <w:tcW w:w="4778" w:type="dxa"/>
          </w:tcPr>
          <w:p w:rsidR="00113EBA" w:rsidRPr="00CA3220" w:rsidRDefault="00113EBA" w:rsidP="00664299">
            <w:pPr>
              <w:pStyle w:val="Tabletext"/>
              <w:jc w:val="left"/>
              <w:rPr>
                <w:rFonts w:eastAsia="Batang"/>
                <w:lang w:val="fr-CH"/>
              </w:rPr>
            </w:pPr>
            <w:r w:rsidRPr="00CA3220">
              <w:rPr>
                <w:rFonts w:eastAsia="Batang"/>
                <w:lang w:val="fr-CH"/>
              </w:rPr>
              <w:t>Bande utilisée par les dispositifs à courte portée (SRD)</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470-698</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Amérique du Nord et Europe</w:t>
            </w:r>
          </w:p>
        </w:tc>
        <w:tc>
          <w:tcPr>
            <w:tcW w:w="4778" w:type="dxa"/>
          </w:tcPr>
          <w:p w:rsidR="00113EBA" w:rsidRPr="00CA3220" w:rsidRDefault="00113EBA" w:rsidP="00664299">
            <w:pPr>
              <w:pStyle w:val="Tabletext"/>
              <w:jc w:val="left"/>
              <w:rPr>
                <w:rFonts w:eastAsia="Batang"/>
                <w:lang w:val="fr-CH"/>
              </w:rPr>
            </w:pPr>
            <w:r w:rsidRPr="00CA3220">
              <w:rPr>
                <w:rFonts w:eastAsia="Batang"/>
                <w:lang w:val="fr-CH"/>
              </w:rPr>
              <w:t>Dans la Région 1 de l'UIT et en Iran, cette gamme fait partie de la bande utilisée pour la radiodiffusion de Terre conformément à l'Accord GE06; n'est pas utilisée par les systèmes AMR/AMI.</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779-787</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Chine</w:t>
            </w:r>
          </w:p>
        </w:tc>
        <w:tc>
          <w:tcPr>
            <w:tcW w:w="4778" w:type="dxa"/>
          </w:tcPr>
          <w:p w:rsidR="00113EBA" w:rsidRPr="00CA3220" w:rsidRDefault="00113EBA" w:rsidP="00664299">
            <w:pPr>
              <w:pStyle w:val="Tabletext"/>
              <w:jc w:val="left"/>
              <w:rPr>
                <w:rFonts w:eastAsia="Batang"/>
                <w:lang w:val="fr-CH"/>
              </w:rPr>
            </w:pP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868-870</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Europe</w:t>
            </w:r>
          </w:p>
        </w:tc>
        <w:tc>
          <w:tcPr>
            <w:tcW w:w="4778" w:type="dxa"/>
          </w:tcPr>
          <w:p w:rsidR="00113EBA" w:rsidRPr="00CA3220" w:rsidRDefault="00113EBA" w:rsidP="00664299">
            <w:pPr>
              <w:pStyle w:val="Tabletext"/>
              <w:jc w:val="left"/>
              <w:rPr>
                <w:rFonts w:eastAsia="Batang"/>
                <w:lang w:val="fr-CH"/>
              </w:rPr>
            </w:pPr>
            <w:r w:rsidRPr="00CA3220">
              <w:rPr>
                <w:rFonts w:eastAsia="Batang"/>
                <w:lang w:val="fr-CH"/>
              </w:rPr>
              <w:t>Recommandation 70-03 du Comité européen des radiocommunications (ERC)</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87</w:t>
            </w:r>
            <w:r w:rsidR="00C30F96" w:rsidRPr="00CA3220">
              <w:rPr>
                <w:rFonts w:eastAsia="Batang"/>
                <w:lang w:val="fr-CH"/>
              </w:rPr>
              <w:t>3</w:t>
            </w:r>
            <w:r w:rsidRPr="00CA3220">
              <w:rPr>
                <w:rFonts w:eastAsia="Batang"/>
                <w:lang w:val="fr-CH"/>
              </w:rPr>
              <w:t>-876</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Parties de l'Europe</w:t>
            </w:r>
          </w:p>
        </w:tc>
        <w:tc>
          <w:tcPr>
            <w:tcW w:w="4778" w:type="dxa"/>
          </w:tcPr>
          <w:p w:rsidR="00113EBA" w:rsidRPr="00CA3220" w:rsidRDefault="00113EBA" w:rsidP="00664299">
            <w:pPr>
              <w:pStyle w:val="Tabletext"/>
              <w:jc w:val="left"/>
              <w:rPr>
                <w:rFonts w:eastAsia="Batang"/>
                <w:lang w:val="fr-CH"/>
              </w:rPr>
            </w:pPr>
            <w:r w:rsidRPr="00CA3220">
              <w:rPr>
                <w:rFonts w:eastAsia="Batang"/>
                <w:lang w:val="fr-CH"/>
              </w:rPr>
              <w:t>Recommandation ERC 70-03</w:t>
            </w:r>
          </w:p>
        </w:tc>
      </w:tr>
      <w:tr w:rsidR="00113EBA" w:rsidRPr="00CA3220" w:rsidTr="006642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896-901</w:t>
            </w:r>
          </w:p>
        </w:tc>
        <w:tc>
          <w:tcPr>
            <w:tcW w:w="2666" w:type="dxa"/>
          </w:tcPr>
          <w:p w:rsidR="00113EBA" w:rsidRPr="00CA3220" w:rsidRDefault="00113EBA" w:rsidP="00664299">
            <w:pPr>
              <w:pStyle w:val="Tabletext"/>
              <w:jc w:val="left"/>
              <w:rPr>
                <w:rFonts w:eastAsia="Batang"/>
                <w:lang w:val="fr-CH"/>
              </w:rPr>
            </w:pPr>
            <w:r w:rsidRPr="00CA3220">
              <w:rPr>
                <w:rFonts w:eastAsia="Batang"/>
                <w:lang w:val="fr-CH"/>
              </w:rPr>
              <w:t xml:space="preserve">Amérique du Nord </w:t>
            </w:r>
          </w:p>
        </w:tc>
        <w:tc>
          <w:tcPr>
            <w:tcW w:w="4778" w:type="dxa"/>
          </w:tcPr>
          <w:p w:rsidR="00113EBA" w:rsidRPr="00CA3220" w:rsidRDefault="00113EBA" w:rsidP="00664299">
            <w:pPr>
              <w:pStyle w:val="Tabletext"/>
              <w:jc w:val="left"/>
              <w:rPr>
                <w:rFonts w:eastAsia="Batang"/>
                <w:lang w:val="fr-CH"/>
              </w:rPr>
            </w:pPr>
            <w:r w:rsidRPr="00CA3220">
              <w:rPr>
                <w:rFonts w:eastAsia="Batang"/>
                <w:lang w:val="fr-CH"/>
              </w:rPr>
              <w:t>Bande soumise à licence, Partie 90 aux Etats-Unis.</w:t>
            </w:r>
          </w:p>
        </w:tc>
      </w:tr>
    </w:tbl>
    <w:p w:rsidR="00532499" w:rsidRPr="00CA3220" w:rsidRDefault="00532499" w:rsidP="00532499">
      <w:pPr>
        <w:pStyle w:val="TableNo"/>
        <w:rPr>
          <w:lang w:val="fr-CH"/>
        </w:rPr>
      </w:pPr>
      <w:r w:rsidRPr="00CA3220">
        <w:rPr>
          <w:lang w:val="fr-CH"/>
        </w:rPr>
        <w:lastRenderedPageBreak/>
        <w:t>TABLEAU 1 (</w:t>
      </w:r>
      <w:r w:rsidRPr="00CA3220">
        <w:rPr>
          <w:i/>
          <w:iCs/>
          <w:lang w:val="fr-CH"/>
        </w:rPr>
        <w:t>fin</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20"/>
        <w:gridCol w:w="4824"/>
      </w:tblGrid>
      <w:tr w:rsidR="00532499" w:rsidRPr="00CA3220" w:rsidTr="00532499">
        <w:trPr>
          <w:cantSplit/>
          <w:tblHeader/>
          <w:jc w:val="center"/>
        </w:trPr>
        <w:tc>
          <w:tcPr>
            <w:tcW w:w="2195" w:type="dxa"/>
          </w:tcPr>
          <w:p w:rsidR="00532499" w:rsidRPr="00CA3220" w:rsidRDefault="00532499" w:rsidP="001C7EFE">
            <w:pPr>
              <w:pStyle w:val="Tablehead"/>
              <w:rPr>
                <w:rFonts w:eastAsia="Batang"/>
                <w:lang w:val="fr-CH"/>
              </w:rPr>
            </w:pPr>
            <w:r w:rsidRPr="00CA3220">
              <w:rPr>
                <w:rFonts w:eastAsia="Batang"/>
                <w:lang w:val="fr-CH"/>
              </w:rPr>
              <w:t>Fréquence (MHz)</w:t>
            </w:r>
          </w:p>
        </w:tc>
        <w:tc>
          <w:tcPr>
            <w:tcW w:w="2620" w:type="dxa"/>
          </w:tcPr>
          <w:p w:rsidR="00532499" w:rsidRPr="00CA3220" w:rsidRDefault="00532499" w:rsidP="001C7EFE">
            <w:pPr>
              <w:pStyle w:val="Tablehead"/>
              <w:rPr>
                <w:rFonts w:eastAsia="Batang"/>
                <w:lang w:val="fr-CH"/>
              </w:rPr>
            </w:pPr>
            <w:r w:rsidRPr="00CA3220">
              <w:rPr>
                <w:rFonts w:eastAsia="Batang"/>
                <w:lang w:val="fr-CH"/>
              </w:rPr>
              <w:t>Zone/région</w:t>
            </w:r>
          </w:p>
        </w:tc>
        <w:tc>
          <w:tcPr>
            <w:tcW w:w="4824" w:type="dxa"/>
          </w:tcPr>
          <w:p w:rsidR="00532499" w:rsidRPr="00CA3220" w:rsidRDefault="00532499" w:rsidP="001C7EFE">
            <w:pPr>
              <w:pStyle w:val="Tablehead"/>
              <w:rPr>
                <w:rFonts w:eastAsia="Batang"/>
                <w:lang w:val="fr-CH"/>
              </w:rPr>
            </w:pPr>
            <w:r w:rsidRPr="00CA3220">
              <w:rPr>
                <w:rFonts w:eastAsia="Batang"/>
                <w:lang w:val="fr-CH"/>
              </w:rPr>
              <w:t>Observations concernant l'utilisation effective</w:t>
            </w: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901-902</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Amérique du Nord</w:t>
            </w:r>
          </w:p>
        </w:tc>
        <w:tc>
          <w:tcPr>
            <w:tcW w:w="4824" w:type="dxa"/>
          </w:tcPr>
          <w:p w:rsidR="00113EBA" w:rsidRPr="00CA3220" w:rsidRDefault="00113EBA" w:rsidP="00664299">
            <w:pPr>
              <w:pStyle w:val="Tabletext"/>
              <w:jc w:val="left"/>
              <w:rPr>
                <w:rFonts w:eastAsia="Batang"/>
                <w:lang w:val="fr-CH"/>
              </w:rPr>
            </w:pPr>
            <w:r w:rsidRPr="00CA3220">
              <w:rPr>
                <w:rFonts w:eastAsia="Batang"/>
                <w:lang w:val="fr-CH"/>
              </w:rPr>
              <w:t>Bande soumise à licence, Partie 24 aux Etats-Unis.</w:t>
            </w: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902-928</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Amérique du Nord, Amérique du Sud, Australie</w:t>
            </w:r>
          </w:p>
        </w:tc>
        <w:tc>
          <w:tcPr>
            <w:tcW w:w="4824" w:type="dxa"/>
          </w:tcPr>
          <w:p w:rsidR="00113EBA" w:rsidRPr="00CA3220" w:rsidRDefault="00113EBA" w:rsidP="00664299">
            <w:pPr>
              <w:pStyle w:val="Tabletext"/>
              <w:jc w:val="left"/>
              <w:rPr>
                <w:rFonts w:eastAsia="Batang"/>
                <w:lang w:val="fr-CH"/>
              </w:rPr>
            </w:pPr>
            <w:r w:rsidRPr="00CA3220">
              <w:rPr>
                <w:rFonts w:eastAsia="Batang"/>
                <w:lang w:val="fr-CH"/>
              </w:rPr>
              <w:t>Bande ISM sans obligation de licence. En Australie, seule la moitié supérieure de la bande est attribuée.</w:t>
            </w: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915-921</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Parties de l'Europe</w:t>
            </w:r>
          </w:p>
        </w:tc>
        <w:tc>
          <w:tcPr>
            <w:tcW w:w="4824" w:type="dxa"/>
          </w:tcPr>
          <w:p w:rsidR="00113EBA" w:rsidRPr="00CA3220" w:rsidRDefault="00113EBA" w:rsidP="00664299">
            <w:pPr>
              <w:pStyle w:val="Tabletext"/>
              <w:jc w:val="left"/>
              <w:rPr>
                <w:rFonts w:eastAsia="Batang"/>
                <w:lang w:val="fr-CH"/>
              </w:rPr>
            </w:pPr>
            <w:r w:rsidRPr="00CA3220">
              <w:rPr>
                <w:rFonts w:eastAsia="Batang"/>
                <w:lang w:val="fr-CH"/>
              </w:rPr>
              <w:t>Recommandation ERC 70-03</w:t>
            </w:r>
          </w:p>
        </w:tc>
      </w:tr>
      <w:tr w:rsidR="00113EBA" w:rsidRPr="00CA3220" w:rsidTr="00532499">
        <w:trPr>
          <w:cantSplit/>
          <w:jc w:val="center"/>
        </w:trPr>
        <w:tc>
          <w:tcPr>
            <w:tcW w:w="2195" w:type="dxa"/>
          </w:tcPr>
          <w:p w:rsidR="00113EBA" w:rsidRPr="00CA3220" w:rsidRDefault="00113EBA" w:rsidP="002833FA">
            <w:pPr>
              <w:pStyle w:val="Tabletext"/>
              <w:jc w:val="left"/>
              <w:rPr>
                <w:rFonts w:eastAsia="Batang"/>
                <w:lang w:val="fr-CH"/>
              </w:rPr>
            </w:pPr>
            <w:r w:rsidRPr="00CA3220">
              <w:rPr>
                <w:rFonts w:eastAsia="Batang"/>
                <w:lang w:val="fr-CH"/>
              </w:rPr>
              <w:t>917-923</w:t>
            </w:r>
            <w:r w:rsidR="002833FA">
              <w:rPr>
                <w:rFonts w:eastAsia="Batang"/>
                <w:lang w:val="fr-CH"/>
              </w:rPr>
              <w:t>,</w:t>
            </w:r>
            <w:r w:rsidRPr="00CA3220">
              <w:rPr>
                <w:rFonts w:eastAsia="Batang"/>
                <w:lang w:val="fr-CH"/>
              </w:rPr>
              <w:t>5</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Corée</w:t>
            </w:r>
          </w:p>
        </w:tc>
        <w:tc>
          <w:tcPr>
            <w:tcW w:w="4824" w:type="dxa"/>
          </w:tcPr>
          <w:p w:rsidR="00113EBA" w:rsidRPr="00CA3220" w:rsidRDefault="00113EBA" w:rsidP="00664299">
            <w:pPr>
              <w:pStyle w:val="Tabletext"/>
              <w:jc w:val="left"/>
              <w:rPr>
                <w:rFonts w:eastAsia="Batang"/>
                <w:lang w:val="fr-CH"/>
              </w:rPr>
            </w:pP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920-928</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Japon</w:t>
            </w:r>
          </w:p>
        </w:tc>
        <w:tc>
          <w:tcPr>
            <w:tcW w:w="4824" w:type="dxa"/>
          </w:tcPr>
          <w:p w:rsidR="00113EBA" w:rsidRPr="00CA3220" w:rsidRDefault="00113EBA" w:rsidP="00664299">
            <w:pPr>
              <w:pStyle w:val="Tabletext"/>
              <w:jc w:val="left"/>
              <w:rPr>
                <w:rFonts w:eastAsia="Batang"/>
                <w:lang w:val="fr-CH"/>
              </w:rPr>
            </w:pPr>
          </w:p>
        </w:tc>
      </w:tr>
      <w:tr w:rsidR="00C30F96" w:rsidRPr="00CA3220" w:rsidTr="00532499">
        <w:trPr>
          <w:cantSplit/>
          <w:jc w:val="center"/>
        </w:trPr>
        <w:tc>
          <w:tcPr>
            <w:tcW w:w="2195" w:type="dxa"/>
          </w:tcPr>
          <w:p w:rsidR="00C30F96" w:rsidRPr="00CA3220" w:rsidRDefault="00C30F96" w:rsidP="00664299">
            <w:pPr>
              <w:pStyle w:val="Tabletext"/>
              <w:jc w:val="left"/>
              <w:rPr>
                <w:rFonts w:eastAsia="Batang"/>
                <w:lang w:val="fr-CH"/>
              </w:rPr>
            </w:pPr>
            <w:r w:rsidRPr="00CA3220">
              <w:rPr>
                <w:rFonts w:eastAsia="Batang"/>
                <w:lang w:val="fr-CH"/>
              </w:rPr>
              <w:t>920-928</w:t>
            </w:r>
          </w:p>
        </w:tc>
        <w:tc>
          <w:tcPr>
            <w:tcW w:w="2620" w:type="dxa"/>
          </w:tcPr>
          <w:p w:rsidR="00C30F96" w:rsidRPr="00CA3220" w:rsidRDefault="00C30F96" w:rsidP="00664299">
            <w:pPr>
              <w:pStyle w:val="Tabletext"/>
              <w:jc w:val="left"/>
              <w:rPr>
                <w:rFonts w:eastAsia="Batang"/>
                <w:lang w:val="fr-CH"/>
              </w:rPr>
            </w:pPr>
            <w:r w:rsidRPr="00CA3220">
              <w:rPr>
                <w:rFonts w:eastAsia="Batang"/>
                <w:lang w:val="fr-CH"/>
              </w:rPr>
              <w:t>Japon</w:t>
            </w:r>
          </w:p>
        </w:tc>
        <w:tc>
          <w:tcPr>
            <w:tcW w:w="4824" w:type="dxa"/>
          </w:tcPr>
          <w:p w:rsidR="00C30F96" w:rsidRPr="00CA3220" w:rsidRDefault="00C30F96" w:rsidP="00664299">
            <w:pPr>
              <w:pStyle w:val="Tabletext"/>
              <w:jc w:val="left"/>
              <w:rPr>
                <w:rFonts w:eastAsia="Batang"/>
                <w:lang w:val="fr-CH"/>
              </w:rPr>
            </w:pP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928-960</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Amérique du Nord</w:t>
            </w:r>
          </w:p>
        </w:tc>
        <w:tc>
          <w:tcPr>
            <w:tcW w:w="4824" w:type="dxa"/>
          </w:tcPr>
          <w:p w:rsidR="00113EBA" w:rsidRPr="00CA3220" w:rsidRDefault="00113EBA" w:rsidP="00664299">
            <w:pPr>
              <w:pStyle w:val="Tabletext"/>
              <w:jc w:val="left"/>
              <w:rPr>
                <w:rFonts w:eastAsia="Batang"/>
                <w:lang w:val="fr-CH"/>
              </w:rPr>
            </w:pPr>
            <w:r w:rsidRPr="00CA3220">
              <w:rPr>
                <w:rFonts w:eastAsia="Batang"/>
                <w:lang w:val="fr-CH"/>
              </w:rPr>
              <w:t>Bande soumise à licence, Parties 22, 24, 90 et 101 aux Etats-Unis.</w:t>
            </w: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950-958</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Japon</w:t>
            </w:r>
          </w:p>
        </w:tc>
        <w:tc>
          <w:tcPr>
            <w:tcW w:w="4824" w:type="dxa"/>
          </w:tcPr>
          <w:p w:rsidR="00113EBA" w:rsidRPr="00CA3220" w:rsidRDefault="00113EBA" w:rsidP="00664299">
            <w:pPr>
              <w:pStyle w:val="Tabletext"/>
              <w:jc w:val="left"/>
              <w:rPr>
                <w:rFonts w:eastAsia="Batang"/>
                <w:lang w:val="fr-CH"/>
              </w:rPr>
            </w:pPr>
            <w:r w:rsidRPr="00CA3220">
              <w:rPr>
                <w:rFonts w:eastAsia="Batang"/>
                <w:lang w:val="fr-CH"/>
              </w:rPr>
              <w:t>Partagée avec les systèmes RFID passifs.</w:t>
            </w: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1 427-1 518</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Etats-Unis et Canada</w:t>
            </w:r>
          </w:p>
        </w:tc>
        <w:tc>
          <w:tcPr>
            <w:tcW w:w="4824" w:type="dxa"/>
          </w:tcPr>
          <w:p w:rsidR="00113EBA" w:rsidRPr="00CA3220" w:rsidRDefault="00113EBA" w:rsidP="00664299">
            <w:pPr>
              <w:pStyle w:val="Tabletext"/>
              <w:jc w:val="left"/>
              <w:rPr>
                <w:rFonts w:eastAsia="Batang"/>
                <w:lang w:val="fr-CH"/>
              </w:rPr>
            </w:pPr>
            <w:r w:rsidRPr="00CA3220">
              <w:rPr>
                <w:rFonts w:eastAsia="Batang"/>
                <w:lang w:val="fr-CH"/>
              </w:rPr>
              <w:t>Dans des parties de la Région 1, à savoir en Europe:</w:t>
            </w:r>
          </w:p>
          <w:p w:rsidR="00113EBA" w:rsidRPr="00CA3220" w:rsidRDefault="00113EBA" w:rsidP="006062B7">
            <w:pPr>
              <w:pStyle w:val="Tabletext"/>
              <w:ind w:left="284" w:hanging="284"/>
              <w:jc w:val="left"/>
              <w:rPr>
                <w:rFonts w:eastAsia="Batang"/>
                <w:lang w:val="fr-CH"/>
              </w:rPr>
            </w:pPr>
            <w:r w:rsidRPr="00CA3220">
              <w:rPr>
                <w:rFonts w:eastAsia="Batang"/>
                <w:lang w:val="fr-CH"/>
              </w:rPr>
              <w:t>–</w:t>
            </w:r>
            <w:r w:rsidRPr="00CA3220">
              <w:rPr>
                <w:rFonts w:eastAsia="Batang"/>
                <w:lang w:val="fr-CH"/>
              </w:rPr>
              <w:tab/>
              <w:t>Il est prévu d'utiliser la gamme 1 452-1</w:t>
            </w:r>
            <w:r w:rsidR="006062B7" w:rsidRPr="00CA3220">
              <w:rPr>
                <w:rFonts w:eastAsia="Batang"/>
                <w:lang w:val="fr-CH"/>
              </w:rPr>
              <w:t> </w:t>
            </w:r>
            <w:r w:rsidRPr="00CA3220">
              <w:rPr>
                <w:rFonts w:eastAsia="Batang"/>
                <w:lang w:val="fr-CH"/>
              </w:rPr>
              <w:t>479,2</w:t>
            </w:r>
            <w:r w:rsidR="006062B7" w:rsidRPr="00CA3220">
              <w:rPr>
                <w:rFonts w:eastAsia="Batang"/>
                <w:lang w:val="fr-CH"/>
              </w:rPr>
              <w:t> </w:t>
            </w:r>
            <w:r w:rsidRPr="00CA3220">
              <w:rPr>
                <w:rFonts w:eastAsia="Batang"/>
                <w:lang w:val="fr-CH"/>
              </w:rPr>
              <w:t>MHz pour la radiodiffusion de Terre conformément à l'accord Ma02revCO07 (enregistré à l'UIT en tant qu'accord régional) et pour le service mobile pour la</w:t>
            </w:r>
            <w:r w:rsidRPr="00CA3220">
              <w:rPr>
                <w:lang w:val="fr-CH"/>
              </w:rPr>
              <w:t xml:space="preserve"> </w:t>
            </w:r>
            <w:r w:rsidRPr="00CA3220">
              <w:rPr>
                <w:rFonts w:eastAsia="Batang"/>
                <w:lang w:val="fr-CH"/>
              </w:rPr>
              <w:t>capacité additionnelle de liaisons descendantes uniquement, conformément à la décision pertinente de la CE.</w:t>
            </w:r>
          </w:p>
          <w:p w:rsidR="00113EBA" w:rsidRPr="00CA3220" w:rsidRDefault="00113EBA" w:rsidP="00664299">
            <w:pPr>
              <w:pStyle w:val="Tabletext"/>
              <w:ind w:left="284" w:hanging="284"/>
              <w:jc w:val="left"/>
              <w:rPr>
                <w:rFonts w:eastAsia="Batang"/>
                <w:lang w:val="fr-CH"/>
              </w:rPr>
            </w:pPr>
            <w:r w:rsidRPr="00CA3220">
              <w:rPr>
                <w:rFonts w:eastAsia="Batang"/>
                <w:lang w:val="fr-CH"/>
              </w:rPr>
              <w:t>–</w:t>
            </w:r>
            <w:r w:rsidRPr="00CA3220">
              <w:rPr>
                <w:rFonts w:eastAsia="Batang"/>
                <w:lang w:val="fr-CH"/>
              </w:rPr>
              <w:tab/>
              <w:t>La gamme 1 492-1 518 MHz est utilisée pour les microphones sans fil conformément à l'Annexe 10 de la Recommandation ERC 70-03.</w:t>
            </w:r>
          </w:p>
          <w:p w:rsidR="00113EBA" w:rsidRPr="00CA3220" w:rsidRDefault="00113EBA" w:rsidP="00664299">
            <w:pPr>
              <w:pStyle w:val="Tabletext"/>
              <w:ind w:left="284" w:hanging="284"/>
              <w:jc w:val="left"/>
              <w:rPr>
                <w:rFonts w:eastAsia="Batang"/>
                <w:lang w:val="fr-CH"/>
              </w:rPr>
            </w:pPr>
            <w:r w:rsidRPr="00CA3220">
              <w:rPr>
                <w:rFonts w:eastAsia="Batang"/>
                <w:lang w:val="fr-CH"/>
              </w:rPr>
              <w:t>–</w:t>
            </w:r>
            <w:r w:rsidRPr="00CA3220">
              <w:rPr>
                <w:rFonts w:eastAsia="Batang"/>
                <w:lang w:val="fr-CH"/>
              </w:rPr>
              <w:tab/>
              <w:t>N'est pas utilisée pour les systèmes AMR/AMI.</w:t>
            </w:r>
          </w:p>
        </w:tc>
      </w:tr>
      <w:tr w:rsidR="00113EBA" w:rsidRPr="00CA3220" w:rsidTr="00532499">
        <w:trPr>
          <w:cantSplit/>
          <w:jc w:val="center"/>
        </w:trPr>
        <w:tc>
          <w:tcPr>
            <w:tcW w:w="2195" w:type="dxa"/>
          </w:tcPr>
          <w:p w:rsidR="00113EBA" w:rsidRPr="00CA3220" w:rsidRDefault="00113EBA" w:rsidP="00664299">
            <w:pPr>
              <w:pStyle w:val="Tabletext"/>
              <w:jc w:val="left"/>
              <w:rPr>
                <w:rFonts w:eastAsia="Batang"/>
                <w:lang w:val="fr-CH"/>
              </w:rPr>
            </w:pPr>
            <w:r w:rsidRPr="00CA3220">
              <w:rPr>
                <w:rFonts w:eastAsia="Batang"/>
                <w:lang w:val="fr-CH"/>
              </w:rPr>
              <w:t>2 400-2 483,5</w:t>
            </w:r>
          </w:p>
        </w:tc>
        <w:tc>
          <w:tcPr>
            <w:tcW w:w="2620" w:type="dxa"/>
          </w:tcPr>
          <w:p w:rsidR="00113EBA" w:rsidRPr="00CA3220" w:rsidRDefault="00113EBA" w:rsidP="00664299">
            <w:pPr>
              <w:pStyle w:val="Tabletext"/>
              <w:jc w:val="left"/>
              <w:rPr>
                <w:rFonts w:eastAsia="Batang"/>
                <w:lang w:val="fr-CH"/>
              </w:rPr>
            </w:pPr>
            <w:r w:rsidRPr="00CA3220">
              <w:rPr>
                <w:rFonts w:eastAsia="Batang"/>
                <w:lang w:val="fr-CH"/>
              </w:rPr>
              <w:t>A l'échelle mondiale</w:t>
            </w:r>
          </w:p>
        </w:tc>
        <w:tc>
          <w:tcPr>
            <w:tcW w:w="4824" w:type="dxa"/>
          </w:tcPr>
          <w:p w:rsidR="00113EBA" w:rsidRPr="00CA3220" w:rsidRDefault="00113EBA" w:rsidP="00664299">
            <w:pPr>
              <w:pStyle w:val="Tabletext"/>
              <w:jc w:val="left"/>
              <w:rPr>
                <w:rFonts w:eastAsia="Batang"/>
                <w:lang w:val="fr-CH"/>
              </w:rPr>
            </w:pPr>
          </w:p>
        </w:tc>
      </w:tr>
      <w:tr w:rsidR="00113EBA" w:rsidRPr="00CA3220"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 xml:space="preserve">3 </w:t>
            </w:r>
            <w:r w:rsidR="00C30F96" w:rsidRPr="00CA3220">
              <w:rPr>
                <w:rFonts w:eastAsia="Batang"/>
                <w:lang w:val="fr-CH"/>
              </w:rPr>
              <w:t>5</w:t>
            </w:r>
            <w:r w:rsidRPr="00CA3220">
              <w:rPr>
                <w:rFonts w:eastAsia="Batang"/>
                <w:lang w:val="fr-CH"/>
              </w:rPr>
              <w:t>50-3 700</w:t>
            </w:r>
          </w:p>
        </w:tc>
        <w:tc>
          <w:tcPr>
            <w:tcW w:w="2620"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Etats-Unis</w:t>
            </w:r>
          </w:p>
        </w:tc>
        <w:tc>
          <w:tcPr>
            <w:tcW w:w="4824"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Licences régionales</w:t>
            </w:r>
          </w:p>
        </w:tc>
      </w:tr>
      <w:tr w:rsidR="00113EBA" w:rsidRPr="00CA3220"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5 250-5 350</w:t>
            </w:r>
          </w:p>
        </w:tc>
        <w:tc>
          <w:tcPr>
            <w:tcW w:w="2620"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Amérique du Nord, Europe, Japon</w:t>
            </w:r>
          </w:p>
        </w:tc>
        <w:tc>
          <w:tcPr>
            <w:tcW w:w="4824"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p>
        </w:tc>
      </w:tr>
      <w:tr w:rsidR="00113EBA" w:rsidRPr="00CA3220"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5 470-5 725</w:t>
            </w:r>
          </w:p>
        </w:tc>
        <w:tc>
          <w:tcPr>
            <w:tcW w:w="2620"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Amérique du Nord, Europe, Japon</w:t>
            </w:r>
          </w:p>
        </w:tc>
        <w:tc>
          <w:tcPr>
            <w:tcW w:w="4824"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p>
        </w:tc>
      </w:tr>
      <w:tr w:rsidR="00113EBA" w:rsidRPr="00CA3220"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5 725-5 850</w:t>
            </w:r>
          </w:p>
        </w:tc>
        <w:tc>
          <w:tcPr>
            <w:tcW w:w="2620"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 xml:space="preserve">Amérique du Nord </w:t>
            </w:r>
          </w:p>
        </w:tc>
        <w:tc>
          <w:tcPr>
            <w:tcW w:w="4824" w:type="dxa"/>
            <w:tcBorders>
              <w:top w:val="single" w:sz="4" w:space="0" w:color="auto"/>
              <w:left w:val="single" w:sz="4" w:space="0" w:color="auto"/>
              <w:bottom w:val="single" w:sz="4" w:space="0" w:color="auto"/>
              <w:right w:val="single" w:sz="4" w:space="0" w:color="auto"/>
            </w:tcBorders>
          </w:tcPr>
          <w:p w:rsidR="00113EBA" w:rsidRPr="00CA3220" w:rsidRDefault="00113EBA" w:rsidP="00664299">
            <w:pPr>
              <w:pStyle w:val="Tabletext"/>
              <w:jc w:val="left"/>
              <w:rPr>
                <w:rFonts w:eastAsia="Batang"/>
                <w:lang w:val="fr-CH"/>
              </w:rPr>
            </w:pPr>
            <w:r w:rsidRPr="00CA3220">
              <w:rPr>
                <w:rFonts w:eastAsia="Batang"/>
                <w:lang w:val="fr-CH"/>
              </w:rPr>
              <w:t>Bande ISM sans obligation de licence</w:t>
            </w:r>
          </w:p>
        </w:tc>
      </w:tr>
    </w:tbl>
    <w:p w:rsidR="00113EBA" w:rsidRPr="00CA3220" w:rsidRDefault="00113EBA" w:rsidP="00664299">
      <w:pPr>
        <w:pStyle w:val="Tablefin"/>
        <w:rPr>
          <w:lang w:val="fr-CH"/>
        </w:rPr>
      </w:pPr>
    </w:p>
    <w:p w:rsidR="00113EBA" w:rsidRPr="00CA3220" w:rsidRDefault="00113EBA" w:rsidP="0036756C">
      <w:pPr>
        <w:rPr>
          <w:lang w:val="fr-CH"/>
        </w:rPr>
      </w:pPr>
      <w:r w:rsidRPr="00CA3220">
        <w:rPr>
          <w:lang w:val="fr-CH"/>
        </w:rPr>
        <w:t>Les technologies de la famille cdma2000 multiporteuses du 3GPP2 peuvent également être utilisées pour les applications de gestion du réseau électrique. Les bandes à utiliser sont définies dans la norme 3GPP2 C.0057-E v1.0 – Spécification des classes de bandes pour les systèmes à étalement de spectre cdma2000.</w:t>
      </w:r>
    </w:p>
    <w:p w:rsidR="00DE31BE" w:rsidRPr="00CA3220" w:rsidRDefault="00C30F96" w:rsidP="00664299">
      <w:pPr>
        <w:pStyle w:val="Heading2"/>
        <w:rPr>
          <w:lang w:val="fr-CH"/>
        </w:rPr>
      </w:pPr>
      <w:bookmarkStart w:id="55" w:name="_Toc498437765"/>
      <w:bookmarkStart w:id="56" w:name="_Toc498500105"/>
      <w:bookmarkStart w:id="57" w:name="_Toc498500356"/>
      <w:bookmarkStart w:id="58" w:name="_Toc498516121"/>
      <w:r w:rsidRPr="00CA3220">
        <w:rPr>
          <w:lang w:val="fr-CH"/>
        </w:rPr>
        <w:t>4.4</w:t>
      </w:r>
      <w:r w:rsidRPr="00CA3220">
        <w:rPr>
          <w:lang w:val="fr-CH"/>
        </w:rPr>
        <w:tab/>
      </w:r>
      <w:r w:rsidR="00DE31BE" w:rsidRPr="00CA3220">
        <w:rPr>
          <w:lang w:val="fr-CH"/>
        </w:rPr>
        <w:t>Fourniture d'un réseau résilient</w:t>
      </w:r>
      <w:bookmarkEnd w:id="53"/>
      <w:bookmarkEnd w:id="54"/>
      <w:bookmarkEnd w:id="55"/>
      <w:bookmarkEnd w:id="56"/>
      <w:bookmarkEnd w:id="57"/>
      <w:bookmarkEnd w:id="58"/>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 xml:space="preserve">La technologie de télédétection installée le long des lignes électriques permet aux opérateurs de réseau de recueillir des informations en temps réel sur l'état de leur réseau. Les fournisseurs d'infrastructures nationales essentielles peuvent ainsi à la fois éviter les pannes avant même qu'elles se produisent et, si un incident se produit malgré tout, localiser rapidement et avec précision l'endroit concerné. Le réseau intelligent utilise pour ce faire une série d'outils logiciels qui recueillent et analysent des données fournies par des capteurs qui sont répartis sur l'ensemble du réseau de distribution d'électricité et indiquent les points où la qualité de fonctionnement est moins bonne. Les </w:t>
      </w:r>
      <w:r w:rsidRPr="00CA3220">
        <w:rPr>
          <w:rFonts w:asciiTheme="majorBidi" w:hAnsiTheme="majorBidi" w:cstheme="majorBidi"/>
          <w:szCs w:val="24"/>
          <w:lang w:val="fr-CH"/>
        </w:rPr>
        <w:lastRenderedPageBreak/>
        <w:t>entreprises de distribution peuvent optimiser leur programme de maintenance afin de prévenir les ruptures et envoyer rapidement des techniciens sur place en cas d'incident, sans qu'il soit nécessaire que les consommateurs signalent des problèmes. Ces dernières années, après deux pannes générales d'électricité très médiatisées en Amérique du Nord et en Europe, la sécurité des réseaux électriques est devenue une question politique et le réseau étant vieillissant, le nombre de pannes, et donc de coupures pour les utilisateurs finals, ne fera qu'augmenter. Les réseaux intelligents fourniront un véritable outil dans cet effort constant de contrôle.</w:t>
      </w:r>
    </w:p>
    <w:p w:rsidR="004A645A" w:rsidRPr="00CA3220" w:rsidRDefault="00DE31BE" w:rsidP="00664299">
      <w:pPr>
        <w:pStyle w:val="Heading1"/>
        <w:rPr>
          <w:szCs w:val="24"/>
          <w:lang w:val="fr-CH"/>
        </w:rPr>
      </w:pPr>
      <w:bookmarkStart w:id="59" w:name="_Toc498437766"/>
      <w:bookmarkStart w:id="60" w:name="_Toc498500106"/>
      <w:bookmarkStart w:id="61" w:name="_Toc498500357"/>
      <w:bookmarkStart w:id="62" w:name="_Toc498516122"/>
      <w:bookmarkStart w:id="63" w:name="_Toc438029880"/>
      <w:bookmarkStart w:id="64" w:name="_Toc440533896"/>
      <w:r w:rsidRPr="00CA3220">
        <w:rPr>
          <w:szCs w:val="24"/>
          <w:lang w:val="fr-CH"/>
        </w:rPr>
        <w:t>5</w:t>
      </w:r>
      <w:r w:rsidRPr="00CA3220">
        <w:rPr>
          <w:szCs w:val="24"/>
          <w:lang w:val="fr-CH"/>
        </w:rPr>
        <w:tab/>
      </w:r>
      <w:r w:rsidR="004A645A" w:rsidRPr="00CA3220">
        <w:rPr>
          <w:szCs w:val="24"/>
          <w:lang w:val="fr-CH"/>
        </w:rPr>
        <w:t>Aperçu de l'architecture de référence pour les réseaux de distribution intelligents</w:t>
      </w:r>
      <w:bookmarkEnd w:id="59"/>
      <w:bookmarkEnd w:id="60"/>
      <w:bookmarkEnd w:id="61"/>
      <w:bookmarkEnd w:id="62"/>
    </w:p>
    <w:p w:rsidR="004A645A" w:rsidRPr="00CA3220" w:rsidRDefault="004A645A" w:rsidP="00664299">
      <w:pPr>
        <w:rPr>
          <w:rFonts w:asciiTheme="majorBidi" w:hAnsiTheme="majorBidi" w:cstheme="majorBidi"/>
          <w:szCs w:val="24"/>
          <w:lang w:val="fr-CH"/>
        </w:rPr>
      </w:pPr>
      <w:r w:rsidRPr="00CA3220">
        <w:rPr>
          <w:rFonts w:asciiTheme="majorBidi" w:hAnsiTheme="majorBidi" w:cstheme="majorBidi"/>
          <w:szCs w:val="24"/>
          <w:lang w:val="fr-CH"/>
        </w:rPr>
        <w:t>On trouvera ci-après un exemple d'architecture de référence pour réseaux intelligents, dans lequel sont représentés les éléments suivants</w:t>
      </w:r>
      <w:r w:rsidRPr="00CA3220">
        <w:rPr>
          <w:rStyle w:val="FootnoteReference"/>
          <w:rFonts w:asciiTheme="majorBidi" w:hAnsiTheme="majorBidi" w:cstheme="majorBidi"/>
          <w:szCs w:val="24"/>
          <w:lang w:val="fr-CH"/>
        </w:rPr>
        <w:footnoteReference w:id="16"/>
      </w:r>
      <w:r w:rsidRPr="00CA3220">
        <w:rPr>
          <w:rFonts w:asciiTheme="majorBidi" w:hAnsiTheme="majorBidi" w:cstheme="majorBidi"/>
          <w:szCs w:val="24"/>
          <w:lang w:val="fr-CH"/>
        </w:rPr>
        <w:t>:</w:t>
      </w:r>
    </w:p>
    <w:p w:rsidR="004A645A" w:rsidRPr="00CA3220" w:rsidRDefault="004A645A" w:rsidP="006062B7">
      <w:pPr>
        <w:pStyle w:val="enumlev1"/>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t>Réseau domestique (HAN) – Réseau d'appareils de gestion de l'énergie, d'équipements électroniques numériques grand public, d'appareils électroménagers commandés ou activés par un signal et d'applications dans un environnement domestique qui constitue l'extrémité domicile du compteur électrique.</w:t>
      </w:r>
    </w:p>
    <w:p w:rsidR="004A645A" w:rsidRPr="00CA3220" w:rsidRDefault="004A645A" w:rsidP="00664299">
      <w:pPr>
        <w:pStyle w:val="enumlev1"/>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r>
      <w:r w:rsidRPr="00CA3220">
        <w:rPr>
          <w:lang w:val="fr-CH"/>
        </w:rPr>
        <w:t>Réseau de jonction extérieure (FAN) – Réseau conçu pour assurer la connectivité aux appareils d'acquisition des données sur le terrain. Le réseau FAN peut assurer une connectivité à la sous</w:t>
      </w:r>
      <w:r w:rsidRPr="00CA3220">
        <w:rPr>
          <w:lang w:val="fr-CH"/>
        </w:rPr>
        <w:noBreakHyphen/>
        <w:t>station située en amont des appareils d'acquisition de données sur le terrain ou une connectivité qui permet d'éviter les sous</w:t>
      </w:r>
      <w:r w:rsidRPr="00CA3220">
        <w:rPr>
          <w:lang w:val="fr-CH"/>
        </w:rPr>
        <w:noBreakHyphen/>
        <w:t>stations et de relier les appareils d'acquisition de données sur le terrain pour former un système de gestion et de commande centralisées (appelé communément système SCADA).</w:t>
      </w:r>
    </w:p>
    <w:p w:rsidR="004A645A" w:rsidRPr="00CA3220" w:rsidRDefault="004A645A" w:rsidP="00664299">
      <w:pPr>
        <w:pStyle w:val="enumlev1"/>
        <w:keepLines/>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r>
      <w:r w:rsidRPr="00FF4FD4">
        <w:rPr>
          <w:spacing w:val="-2"/>
          <w:lang w:val="fr-CH"/>
        </w:rPr>
        <w:t>Réseau de proximité (NAN) – Système réseau visant à assurer une connectivité directe avec les dispositifs terminaux des réseaux intelligents dans une zone géographique relativement petite. Dans la pratique, un réseau NAN peut couvrir quelques pâtés de maison dans un environnement urbain ou des zones de plusieurs kilomètres carrés dans un environnement rural.</w:t>
      </w:r>
    </w:p>
    <w:p w:rsidR="004A645A" w:rsidRPr="00CA3220" w:rsidRDefault="004A645A" w:rsidP="00664299">
      <w:pPr>
        <w:pStyle w:val="enumlev1"/>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r>
      <w:r w:rsidRPr="00CA3220">
        <w:rPr>
          <w:lang w:val="fr-CH"/>
        </w:rPr>
        <w:t>Réseau étendu (WAN).</w:t>
      </w:r>
    </w:p>
    <w:p w:rsidR="004A645A" w:rsidRPr="00CA3220" w:rsidRDefault="004A645A" w:rsidP="00664299">
      <w:pPr>
        <w:pStyle w:val="enumlev1"/>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r>
      <w:r w:rsidRPr="00CA3220">
        <w:rPr>
          <w:lang w:val="fr-CH"/>
        </w:rPr>
        <w:t>Point d'agrégation des données (DAP) – Ce dispositif est un acteur logique qui correspond, dans la plupart des réseaux AMI, à la limite entre les réseaux étendus et les réseaux de proximité (par exemple collecteur, relais de cellule, station de base, point d'accès, etc.).</w:t>
      </w:r>
    </w:p>
    <w:p w:rsidR="004A645A" w:rsidRPr="00CA3220" w:rsidRDefault="004A645A" w:rsidP="00664299">
      <w:pPr>
        <w:pStyle w:val="enumlev1"/>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r>
      <w:r w:rsidRPr="00CA3220">
        <w:rPr>
          <w:lang w:val="fr-CH"/>
        </w:rPr>
        <w:t>Infrastructure de comptage évoluée (AMI) – Système réseau conçu spécialement pour prendre en charge une connectivité bidirectionnelle aux compteurs d'électricité, de gaz et d'eau, et plus particulièrement aux compteurs AMI et, éventuellement, à l'interface des services d'énergie de l'entreprise de services collectifs.</w:t>
      </w:r>
    </w:p>
    <w:p w:rsidR="004A645A" w:rsidRPr="00CA3220" w:rsidRDefault="004A645A" w:rsidP="00664299">
      <w:pPr>
        <w:pStyle w:val="enumlev1"/>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r>
      <w:r w:rsidRPr="00CA3220">
        <w:rPr>
          <w:lang w:val="fr-CH"/>
        </w:rPr>
        <w:t>Surveillance et acquisition de données (SCADA) – Systèmes utilisés pour contrôler au quotidien les opérations du réseau de distribution d'électricité et mener des activités de surveillance selon les besoins.</w:t>
      </w:r>
    </w:p>
    <w:p w:rsidR="004A645A" w:rsidRPr="00CA3220" w:rsidRDefault="004A645A" w:rsidP="00664299">
      <w:pPr>
        <w:pStyle w:val="enumlev1"/>
        <w:rPr>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r>
      <w:r w:rsidRPr="00CA3220">
        <w:rPr>
          <w:lang w:val="fr-CH"/>
        </w:rPr>
        <w:t>Processeur frontal (FEP) – Appareil servant de conduit principal pour envoyer les commandes provenant du système DMS/SCADA et recevoir les informations envoyées par les appareils déployés sur le terrain dans le réseau de distribution.</w:t>
      </w:r>
    </w:p>
    <w:p w:rsidR="004A645A" w:rsidRPr="00CA3220" w:rsidRDefault="004A645A" w:rsidP="00664299">
      <w:pPr>
        <w:pStyle w:val="FigureNo"/>
        <w:rPr>
          <w:lang w:val="fr-CH"/>
        </w:rPr>
      </w:pPr>
      <w:r w:rsidRPr="00CA3220">
        <w:rPr>
          <w:lang w:val="fr-CH"/>
        </w:rPr>
        <w:lastRenderedPageBreak/>
        <w:t>FIGURE 1</w:t>
      </w:r>
    </w:p>
    <w:p w:rsidR="004A645A" w:rsidRPr="00CA3220" w:rsidRDefault="004A645A" w:rsidP="00664299">
      <w:pPr>
        <w:pStyle w:val="Figuretitle"/>
        <w:spacing w:after="240"/>
        <w:rPr>
          <w:lang w:val="fr-CH"/>
        </w:rPr>
      </w:pPr>
      <w:r w:rsidRPr="00CA3220">
        <w:rPr>
          <w:lang w:val="fr-CH"/>
        </w:rPr>
        <w:t>Exemple d'organisation d'un réseau intelligent</w:t>
      </w:r>
    </w:p>
    <w:p w:rsidR="004A645A" w:rsidRPr="00CA3220" w:rsidRDefault="004A645A" w:rsidP="00664299">
      <w:pPr>
        <w:pStyle w:val="Figure"/>
        <w:keepLines w:val="0"/>
        <w:rPr>
          <w:lang w:val="fr-CH"/>
        </w:rPr>
      </w:pPr>
      <w:r w:rsidRPr="00CA3220">
        <w:rPr>
          <w:lang w:val="fr-CH"/>
        </w:rPr>
        <w:object w:dxaOrig="5822" w:dyaOrig="4205">
          <v:shape id="_x0000_i1026" type="#_x0000_t75" style="width:424.1pt;height:307.2pt" o:ole="">
            <v:imagedata r:id="rId20" o:title=""/>
          </v:shape>
          <o:OLEObject Type="Embed" ProgID="CorelDraw.Graphic.16" ShapeID="_x0000_i1026" DrawAspect="Content" ObjectID="_1572260667" r:id="rId21"/>
        </w:object>
      </w:r>
    </w:p>
    <w:p w:rsidR="004A645A" w:rsidRPr="00CA3220" w:rsidRDefault="004A645A" w:rsidP="00664299">
      <w:pPr>
        <w:pStyle w:val="Normalaftertitle0"/>
        <w:rPr>
          <w:lang w:val="fr-CH"/>
        </w:rPr>
      </w:pPr>
      <w:r w:rsidRPr="00CA3220">
        <w:rPr>
          <w:lang w:val="fr-CH"/>
        </w:rPr>
        <w:t>Une norme hertzienne donnée peut être appliquée dans plus d'une de ces zones. En outre, dans certaines applications, certaines liaisons peuvent être assurées grâce à des solutions filaires.</w:t>
      </w:r>
    </w:p>
    <w:p w:rsidR="00DE36BB" w:rsidRPr="00CA3220" w:rsidRDefault="00DE36BB" w:rsidP="00664299">
      <w:pPr>
        <w:rPr>
          <w:rFonts w:asciiTheme="majorBidi" w:hAnsiTheme="majorBidi" w:cstheme="majorBidi"/>
          <w:szCs w:val="24"/>
          <w:lang w:val="fr-CH"/>
        </w:rPr>
      </w:pPr>
      <w:r w:rsidRPr="00CA3220">
        <w:rPr>
          <w:rFonts w:asciiTheme="majorBidi" w:hAnsiTheme="majorBidi" w:cstheme="majorBidi"/>
          <w:szCs w:val="24"/>
          <w:lang w:val="fr-CH"/>
        </w:rPr>
        <w:t xml:space="preserve">Différents points de vue ont été exprimés (par exemple </w:t>
      </w:r>
      <w:r w:rsidR="00B20300" w:rsidRPr="00CA3220">
        <w:rPr>
          <w:rFonts w:asciiTheme="majorBidi" w:hAnsiTheme="majorBidi" w:cstheme="majorBidi"/>
          <w:szCs w:val="24"/>
          <w:lang w:val="fr-CH"/>
        </w:rPr>
        <w:t xml:space="preserve">à </w:t>
      </w:r>
      <w:r w:rsidRPr="00CA3220">
        <w:rPr>
          <w:rFonts w:asciiTheme="majorBidi" w:hAnsiTheme="majorBidi" w:cstheme="majorBidi"/>
          <w:szCs w:val="24"/>
          <w:lang w:val="fr-CH"/>
        </w:rPr>
        <w:t>l'occasion des consultations tenues par le Département de l'énergie et des changements climatiques du Royaume-Uni</w:t>
      </w:r>
      <w:r w:rsidRPr="00CA3220">
        <w:rPr>
          <w:rStyle w:val="FootnoteReference"/>
          <w:rFonts w:asciiTheme="majorBidi" w:hAnsiTheme="majorBidi" w:cstheme="majorBidi"/>
          <w:szCs w:val="24"/>
          <w:lang w:val="fr-CH"/>
        </w:rPr>
        <w:footnoteReference w:id="17"/>
      </w:r>
      <w:r w:rsidRPr="00CA3220">
        <w:rPr>
          <w:rFonts w:asciiTheme="majorBidi" w:hAnsiTheme="majorBidi" w:cstheme="majorBidi"/>
          <w:szCs w:val="24"/>
          <w:lang w:val="fr-CH"/>
        </w:rPr>
        <w:t>) sur la question de savoir si les fréquences utilisées pour les composantes hertziennes des communications de réseaux intelligents devraient être situées dans des bandes attribuées et protégées à cette fin ou dans des bandes dont l'utilisation n'est pas réglementée (</w:t>
      </w:r>
      <w:r w:rsidR="00B20300" w:rsidRPr="00CA3220">
        <w:rPr>
          <w:rFonts w:asciiTheme="majorBidi" w:hAnsiTheme="majorBidi" w:cstheme="majorBidi"/>
          <w:szCs w:val="24"/>
          <w:lang w:val="fr-CH"/>
        </w:rPr>
        <w:t xml:space="preserve">par exemple </w:t>
      </w:r>
      <w:r w:rsidRPr="00CA3220">
        <w:rPr>
          <w:rFonts w:asciiTheme="majorBidi" w:hAnsiTheme="majorBidi" w:cstheme="majorBidi"/>
          <w:szCs w:val="24"/>
          <w:lang w:val="fr-CH"/>
        </w:rPr>
        <w:t>utilisées sans licence). Il est à noter que, dans plusieurs pays, les données relatives à la tarification et à la facturation sont considérées comme des données personnelles et sont par conséquent soumises à une protection stricte dans le cadre de la législation applicable à la protection des données.</w:t>
      </w:r>
    </w:p>
    <w:p w:rsidR="004A645A" w:rsidRPr="00CA3220" w:rsidRDefault="00DE36BB" w:rsidP="00664299">
      <w:pPr>
        <w:rPr>
          <w:rFonts w:asciiTheme="majorBidi" w:hAnsiTheme="majorBidi" w:cstheme="majorBidi"/>
          <w:szCs w:val="24"/>
          <w:lang w:val="fr-CH"/>
        </w:rPr>
      </w:pPr>
      <w:r w:rsidRPr="00CA3220">
        <w:rPr>
          <w:rFonts w:asciiTheme="majorBidi" w:hAnsiTheme="majorBidi" w:cstheme="majorBidi"/>
          <w:szCs w:val="24"/>
          <w:lang w:val="fr-CH"/>
        </w:rPr>
        <w:t>De nombreuses technologies hertziennes assurent une sécurité et une confidentialité élevées pour protéger les données des utilisateurs dans les applications de réseaux intelligents. Par exemple, les normes IEEE 802 offrent des fonctionnalités de confidentialité et de sécurité très robustes au niveau de la liaison, qui permettent de protéger les données personnelles dans les réseaux câblés et hertziens (que les bandes soient utilisées avec ou sans licence); de même, les technologies élaborées par le 3GPP fournissent des moyens pour assurer l'autorisation, l'authentification, la confidentialité et la sécurité à l'échelle du réseau.</w:t>
      </w:r>
    </w:p>
    <w:p w:rsidR="00DE31BE" w:rsidRPr="00CA3220" w:rsidRDefault="00DE36BB" w:rsidP="00B20300">
      <w:pPr>
        <w:pStyle w:val="Heading1"/>
        <w:rPr>
          <w:szCs w:val="24"/>
          <w:lang w:val="fr-CH"/>
        </w:rPr>
      </w:pPr>
      <w:bookmarkStart w:id="65" w:name="_Toc498437767"/>
      <w:bookmarkStart w:id="66" w:name="_Toc498500107"/>
      <w:bookmarkStart w:id="67" w:name="_Toc498500358"/>
      <w:bookmarkStart w:id="68" w:name="_Toc498516123"/>
      <w:r w:rsidRPr="00CA3220">
        <w:rPr>
          <w:szCs w:val="24"/>
          <w:lang w:val="fr-CH"/>
        </w:rPr>
        <w:lastRenderedPageBreak/>
        <w:t>6</w:t>
      </w:r>
      <w:r w:rsidRPr="00CA3220">
        <w:rPr>
          <w:szCs w:val="24"/>
          <w:lang w:val="fr-CH"/>
        </w:rPr>
        <w:tab/>
        <w:t xml:space="preserve">Normes sur les courants porteurs en ligne et </w:t>
      </w:r>
      <w:r w:rsidR="00B20300" w:rsidRPr="00CA3220">
        <w:rPr>
          <w:szCs w:val="24"/>
          <w:lang w:val="fr-CH"/>
        </w:rPr>
        <w:t xml:space="preserve">sur </w:t>
      </w:r>
      <w:r w:rsidRPr="00CA3220">
        <w:rPr>
          <w:szCs w:val="24"/>
          <w:lang w:val="fr-CH"/>
        </w:rPr>
        <w:t xml:space="preserve">les </w:t>
      </w:r>
      <w:r w:rsidR="00C564FE" w:rsidRPr="00CA3220">
        <w:rPr>
          <w:szCs w:val="24"/>
          <w:lang w:val="fr-CH"/>
        </w:rPr>
        <w:t>réseaux câblés</w:t>
      </w:r>
      <w:r w:rsidRPr="00CA3220">
        <w:rPr>
          <w:szCs w:val="24"/>
          <w:lang w:val="fr-CH"/>
        </w:rPr>
        <w:t xml:space="preserve"> pour les télécommunications </w:t>
      </w:r>
      <w:r w:rsidR="00B20300" w:rsidRPr="00CA3220">
        <w:rPr>
          <w:szCs w:val="24"/>
          <w:lang w:val="fr-CH"/>
        </w:rPr>
        <w:t>dans</w:t>
      </w:r>
      <w:r w:rsidRPr="00CA3220">
        <w:rPr>
          <w:szCs w:val="24"/>
          <w:lang w:val="fr-CH"/>
        </w:rPr>
        <w:t xml:space="preserve"> les réseaux de distribution intelligents</w:t>
      </w:r>
      <w:bookmarkEnd w:id="63"/>
      <w:bookmarkEnd w:id="64"/>
      <w:bookmarkEnd w:id="65"/>
      <w:bookmarkEnd w:id="66"/>
      <w:bookmarkEnd w:id="67"/>
      <w:bookmarkEnd w:id="68"/>
    </w:p>
    <w:p w:rsidR="00DE31BE" w:rsidRPr="00CA3220" w:rsidRDefault="00DE31BE" w:rsidP="00664299">
      <w:pPr>
        <w:rPr>
          <w:lang w:val="fr-CH"/>
        </w:rPr>
      </w:pPr>
      <w:r w:rsidRPr="00CA3220">
        <w:rPr>
          <w:lang w:val="fr-CH"/>
        </w:rPr>
        <w:t>Les réseaux intelligents s'appuieront à la fois sur les technologies filaires et les technologies hertziennes pour offrir la connectivité et les voies de communication nécessaires pour traiter les énormes flux de données liés aux réseaux de distribution de services collectifs.</w:t>
      </w:r>
    </w:p>
    <w:p w:rsidR="009A2476" w:rsidRPr="00CA3220" w:rsidRDefault="009A2476" w:rsidP="00B33BAA">
      <w:pPr>
        <w:pStyle w:val="Heading2"/>
        <w:rPr>
          <w:lang w:val="fr-CH"/>
        </w:rPr>
      </w:pPr>
      <w:bookmarkStart w:id="69" w:name="_Toc498437768"/>
      <w:bookmarkStart w:id="70" w:name="_Toc498500108"/>
      <w:bookmarkStart w:id="71" w:name="_Toc498500359"/>
      <w:bookmarkStart w:id="72" w:name="_Toc498516124"/>
      <w:r w:rsidRPr="00CA3220">
        <w:rPr>
          <w:lang w:val="fr-CH"/>
        </w:rPr>
        <w:t>6.1</w:t>
      </w:r>
      <w:r w:rsidRPr="00CA3220">
        <w:rPr>
          <w:lang w:val="fr-CH"/>
        </w:rPr>
        <w:tab/>
      </w:r>
      <w:r w:rsidR="003F5DC2" w:rsidRPr="00CA3220">
        <w:rPr>
          <w:lang w:val="fr-CH"/>
        </w:rPr>
        <w:t>Communications utilisant les courants porteurs en ligne pour réseaux de distribution intelligents</w:t>
      </w:r>
      <w:bookmarkEnd w:id="69"/>
      <w:bookmarkEnd w:id="70"/>
      <w:bookmarkEnd w:id="71"/>
      <w:bookmarkEnd w:id="72"/>
    </w:p>
    <w:p w:rsidR="00DE31BE" w:rsidRPr="00CA3220" w:rsidRDefault="00DE31BE" w:rsidP="00664299">
      <w:pPr>
        <w:rPr>
          <w:lang w:val="fr-CH"/>
        </w:rPr>
      </w:pPr>
      <w:r w:rsidRPr="00CA3220">
        <w:rPr>
          <w:lang w:val="fr-CH"/>
        </w:rPr>
        <w:t>On a tout d'abord examiné la possibilité d'utiliser les courants porteurs en ligne (CPL), au motif simple que les lignes électriques offrent une connectivité ubiquitaire à tous les éléments du réseau de distribution d'électricité et que les signaux de données nécessaires pourraient être transmis de bout en bout sur ces lignes électriques. Cette solution ne tenait pas compte de certains points importants tels que l'affaiblissement et le bruit le long des lignes électriques, la manière d'aiguiller les signaux dans le réseau et, point essentiel, l'intégrité des données.</w:t>
      </w:r>
    </w:p>
    <w:p w:rsidR="00DE31BE" w:rsidRPr="00CA3220" w:rsidRDefault="00DE31BE" w:rsidP="00664299">
      <w:pPr>
        <w:rPr>
          <w:lang w:val="fr-CH"/>
        </w:rPr>
      </w:pPr>
      <w:r w:rsidRPr="00CA3220">
        <w:rPr>
          <w:lang w:val="fr-CH"/>
        </w:rPr>
        <w:t>Le Secteur UIT-T a décidé de s'intéresser aux CPL car il considérait que même si les câbles du réseau électrique étaient de plus en plus utilisés pour transmettre les données, les lignes électriques n'étaient ni conçues ni organisées pour les communications. En particulier, l'UIT-T avait des réserves quant aux câbles non protégés et non torsadés utilisés pour acheminer l'électricité, qui sont sujets à de nombreux types de brouillages importants</w:t>
      </w:r>
      <w:r w:rsidRPr="00CA3220">
        <w:rPr>
          <w:rStyle w:val="FootnoteReference"/>
          <w:rFonts w:asciiTheme="majorBidi" w:hAnsiTheme="majorBidi" w:cstheme="majorBidi"/>
          <w:szCs w:val="24"/>
          <w:lang w:val="fr-CH"/>
        </w:rPr>
        <w:footnoteReference w:id="18"/>
      </w:r>
      <w:r w:rsidRPr="00CA3220">
        <w:rPr>
          <w:lang w:val="fr-CH"/>
        </w:rPr>
        <w:t xml:space="preserve">; en outre, de nombreux appareils électriques sont </w:t>
      </w:r>
      <w:r w:rsidR="008A15EB" w:rsidRPr="00CA3220">
        <w:rPr>
          <w:lang w:val="fr-CH"/>
        </w:rPr>
        <w:t xml:space="preserve">à </w:t>
      </w:r>
      <w:r w:rsidRPr="00CA3220">
        <w:rPr>
          <w:lang w:val="fr-CH"/>
        </w:rPr>
        <w:t>l'origine de bruit sur les câbles.</w:t>
      </w:r>
    </w:p>
    <w:p w:rsidR="00DE31BE" w:rsidRPr="00CA3220" w:rsidRDefault="00DE31BE" w:rsidP="00716F20">
      <w:pPr>
        <w:rPr>
          <w:lang w:val="fr-CH"/>
        </w:rPr>
      </w:pPr>
      <w:r w:rsidRPr="00CA3220">
        <w:rPr>
          <w:lang w:val="fr-CH"/>
        </w:rPr>
        <w:t>En raison de la sensibilité des courants porteurs en ligne aux brouillages entrants, des technologies évoluées de communication et d'atténuation du bruit ont été mises au point</w:t>
      </w:r>
      <w:r w:rsidR="00C063D9" w:rsidRPr="00CA3220">
        <w:rPr>
          <w:lang w:val="fr-CH"/>
        </w:rPr>
        <w:t xml:space="preserve"> par la Commission d'études 15 de l'UIT-T</w:t>
      </w:r>
      <w:r w:rsidRPr="00CA3220">
        <w:rPr>
          <w:lang w:val="fr-CH"/>
        </w:rPr>
        <w:t xml:space="preserve"> pour les applications CPL à vocation générale dans le cadre des travaux relatifs aux Recommandations UIT-T de la série G.9960 depuis 2010. Plus récemment, l'UIT</w:t>
      </w:r>
      <w:r w:rsidRPr="00CA3220">
        <w:rPr>
          <w:lang w:val="fr-CH"/>
        </w:rPr>
        <w:noBreakHyphen/>
        <w:t>T a élaboré un ensemble de technologies pour les communications par courants porteurs en ligne à bande étroite (CPL-BE) (décrites dans les Recommandations UIT-T de la série G.990x ((UIT-T G.9901, UIT</w:t>
      </w:r>
      <w:r w:rsidR="00716F20">
        <w:rPr>
          <w:lang w:val="fr-CH"/>
        </w:rPr>
        <w:noBreakHyphen/>
      </w:r>
      <w:r w:rsidRPr="00CA3220">
        <w:rPr>
          <w:lang w:val="fr-CH"/>
        </w:rPr>
        <w:t>T</w:t>
      </w:r>
      <w:r w:rsidR="00716F20">
        <w:rPr>
          <w:lang w:val="fr-CH"/>
        </w:rPr>
        <w:t> </w:t>
      </w:r>
      <w:r w:rsidRPr="00CA3220">
        <w:rPr>
          <w:lang w:val="fr-CH"/>
        </w:rPr>
        <w:t>G.9902, UIT-T G.9903, UIT</w:t>
      </w:r>
      <w:r w:rsidRPr="00CA3220">
        <w:rPr>
          <w:lang w:val="fr-CH"/>
        </w:rPr>
        <w:noBreakHyphen/>
        <w:t>T G.9904), ex-UIT-T G.9955), conçues spécifiquement pour prendre en charge la connectivité et les communications des réseaux intelligents. Deux de ces Recommandations (UIT-T G.9903 et UIT-T G.9904) ont été mises en oeuvre avec succès sur le terrain dans plusieurs pays en Europe, en Asie et dans la région Amériques. L'Association de normalisation IEEE a élaboré des normes mettant à profit les courants porteurs en ligne pour les applications de réseaux intelligents (par</w:t>
      </w:r>
      <w:r w:rsidR="00873003" w:rsidRPr="00CA3220">
        <w:rPr>
          <w:lang w:val="fr-CH"/>
        </w:rPr>
        <w:t> </w:t>
      </w:r>
      <w:r w:rsidRPr="00CA3220">
        <w:rPr>
          <w:lang w:val="fr-CH"/>
        </w:rPr>
        <w:t>exemple la norme IEEE 1901.2-2013).</w:t>
      </w:r>
    </w:p>
    <w:p w:rsidR="00DE31BE" w:rsidRPr="00CA3220" w:rsidRDefault="00DE31BE" w:rsidP="000476E5">
      <w:pPr>
        <w:rPr>
          <w:lang w:val="fr-CH"/>
        </w:rPr>
      </w:pPr>
      <w:r w:rsidRPr="00CA3220">
        <w:rPr>
          <w:lang w:val="fr-CH"/>
        </w:rPr>
        <w:t>Les gammes de fréquences définies pour les courants porteurs en ligne à bande étroite dans les Recommandations UIT-T de la série G.990x</w:t>
      </w:r>
      <w:r w:rsidR="00C063D9" w:rsidRPr="00CA3220">
        <w:rPr>
          <w:lang w:val="fr-CH"/>
        </w:rPr>
        <w:t xml:space="preserve"> (ex UIT-T G.9955)</w:t>
      </w:r>
      <w:r w:rsidRPr="00CA3220">
        <w:rPr>
          <w:lang w:val="fr-CH"/>
        </w:rPr>
        <w:t xml:space="preserve"> (</w:t>
      </w:r>
      <w:r w:rsidR="00A20696">
        <w:rPr>
          <w:lang w:val="fr-CH"/>
        </w:rPr>
        <w:t xml:space="preserve">voir le Tableau 2 </w:t>
      </w:r>
      <w:r w:rsidR="00A20696" w:rsidRPr="00A20696">
        <w:rPr>
          <w:lang w:val="fr-CH"/>
        </w:rPr>
        <w:t>–</w:t>
      </w:r>
      <w:r w:rsidR="00C063D9" w:rsidRPr="00CA3220">
        <w:rPr>
          <w:lang w:val="fr-CH"/>
        </w:rPr>
        <w:t xml:space="preserve"> </w:t>
      </w:r>
      <w:r w:rsidRPr="00CA3220">
        <w:rPr>
          <w:lang w:val="fr-CH"/>
        </w:rPr>
        <w:t>UIT-T G.9901, UIT-T G.99</w:t>
      </w:r>
      <w:r w:rsidR="00C063D9" w:rsidRPr="00CA3220">
        <w:rPr>
          <w:lang w:val="fr-CH"/>
        </w:rPr>
        <w:t>02, UIT-T G.9903, UIT</w:t>
      </w:r>
      <w:r w:rsidR="00C063D9" w:rsidRPr="00CA3220">
        <w:rPr>
          <w:lang w:val="fr-CH"/>
        </w:rPr>
        <w:noBreakHyphen/>
        <w:t>T G.9904)</w:t>
      </w:r>
      <w:r w:rsidRPr="00CA3220">
        <w:rPr>
          <w:lang w:val="fr-CH"/>
        </w:rPr>
        <w:t xml:space="preserve"> sont celles déjà identifiées pour les courants porteurs en ligne en Europe par la CENELEC</w:t>
      </w:r>
      <w:r w:rsidRPr="00CA3220">
        <w:rPr>
          <w:rStyle w:val="FootnoteReference"/>
          <w:rFonts w:asciiTheme="majorBidi" w:hAnsiTheme="majorBidi" w:cstheme="majorBidi"/>
          <w:szCs w:val="24"/>
          <w:lang w:val="fr-CH"/>
        </w:rPr>
        <w:footnoteReference w:id="19"/>
      </w:r>
      <w:r w:rsidRPr="00CA3220">
        <w:rPr>
          <w:lang w:val="fr-CH"/>
        </w:rPr>
        <w:t xml:space="preserve"> et la CEPT</w:t>
      </w:r>
      <w:r w:rsidRPr="00CA3220">
        <w:rPr>
          <w:rStyle w:val="FootnoteReference"/>
          <w:rFonts w:asciiTheme="majorBidi" w:hAnsiTheme="majorBidi" w:cstheme="majorBidi"/>
          <w:szCs w:val="24"/>
          <w:lang w:val="fr-CH"/>
        </w:rPr>
        <w:footnoteReference w:id="20"/>
      </w:r>
      <w:r w:rsidRPr="00CA3220">
        <w:rPr>
          <w:lang w:val="fr-CH"/>
        </w:rPr>
        <w:t xml:space="preserve">, aux Etats-Unis par la FCC et au Japon par l'ARIB. En outre, les limites fixées pour les perturbations par conduction et par rayonnement dans </w:t>
      </w:r>
      <w:r w:rsidR="00C063D9" w:rsidRPr="00CA3220">
        <w:rPr>
          <w:lang w:val="fr-CH"/>
        </w:rPr>
        <w:t xml:space="preserve">les </w:t>
      </w:r>
      <w:r w:rsidRPr="00CA3220">
        <w:rPr>
          <w:lang w:val="fr-CH"/>
        </w:rPr>
        <w:t xml:space="preserve">Recommandations UIT-T </w:t>
      </w:r>
      <w:r w:rsidR="00C063D9" w:rsidRPr="00CA3220">
        <w:rPr>
          <w:lang w:val="fr-CH"/>
        </w:rPr>
        <w:t xml:space="preserve">de la série G.990x </w:t>
      </w:r>
      <w:r w:rsidRPr="00CA3220">
        <w:rPr>
          <w:lang w:val="fr-CH"/>
        </w:rPr>
        <w:t>sont conformes à la norme CEI CISPR 22, «</w:t>
      </w:r>
      <w:r w:rsidRPr="00CA3220">
        <w:rPr>
          <w:i/>
          <w:iCs/>
          <w:lang w:val="fr-CH"/>
        </w:rPr>
        <w:t xml:space="preserve">Appareils de traitement de l'information </w:t>
      </w:r>
      <w:r w:rsidRPr="00716F20">
        <w:rPr>
          <w:lang w:val="fr-CH"/>
        </w:rPr>
        <w:t>–</w:t>
      </w:r>
      <w:r w:rsidRPr="00CA3220">
        <w:rPr>
          <w:i/>
          <w:iCs/>
          <w:lang w:val="fr-CH"/>
        </w:rPr>
        <w:t xml:space="preserve"> Caractéristiques des perturbations radioélectriques </w:t>
      </w:r>
      <w:r w:rsidRPr="00716F20">
        <w:rPr>
          <w:lang w:val="fr-CH"/>
        </w:rPr>
        <w:t>–</w:t>
      </w:r>
      <w:r w:rsidRPr="00CA3220">
        <w:rPr>
          <w:i/>
          <w:iCs/>
          <w:lang w:val="fr-CH"/>
        </w:rPr>
        <w:t xml:space="preserve"> Limites et méthodes de mesure</w:t>
      </w:r>
      <w:r w:rsidRPr="00CA3220">
        <w:rPr>
          <w:lang w:val="fr-CH"/>
        </w:rPr>
        <w:t>», ainsi qu'à la norme CENELEC EN 50065-1 (2011) pour les fréquences au-dessous de 148,5 kHz.</w:t>
      </w:r>
    </w:p>
    <w:p w:rsidR="00C063D9" w:rsidRPr="00CA3220" w:rsidRDefault="00C564FE" w:rsidP="00A20696">
      <w:pPr>
        <w:pStyle w:val="TableNo"/>
        <w:rPr>
          <w:lang w:val="fr-CH"/>
        </w:rPr>
      </w:pPr>
      <w:r w:rsidRPr="00CA3220">
        <w:rPr>
          <w:lang w:val="fr-CH"/>
        </w:rPr>
        <w:lastRenderedPageBreak/>
        <w:t>TABLEAU 2</w:t>
      </w:r>
    </w:p>
    <w:p w:rsidR="00C564FE" w:rsidRPr="00CA3220" w:rsidRDefault="00C564FE" w:rsidP="001A332F">
      <w:pPr>
        <w:pStyle w:val="Tabletitle"/>
        <w:rPr>
          <w:lang w:val="fr-CH"/>
        </w:rPr>
      </w:pPr>
      <w:r w:rsidRPr="00CA3220">
        <w:rPr>
          <w:lang w:val="fr-CH"/>
        </w:rPr>
        <w:t xml:space="preserve">Recommandations UIT-T relatives aux communications pour </w:t>
      </w:r>
      <w:r w:rsidR="001A332F">
        <w:rPr>
          <w:lang w:val="fr-CH"/>
        </w:rPr>
        <w:br/>
      </w:r>
      <w:r w:rsidRPr="00CA3220">
        <w:rPr>
          <w:lang w:val="fr-CH"/>
        </w:rPr>
        <w:t>les réseaux de distribution intelligents</w:t>
      </w:r>
    </w:p>
    <w:tbl>
      <w:tblPr>
        <w:tblStyle w:val="TableGrid"/>
        <w:tblW w:w="0" w:type="auto"/>
        <w:tblLook w:val="04A0" w:firstRow="1" w:lastRow="0" w:firstColumn="1" w:lastColumn="0" w:noHBand="0" w:noVBand="1"/>
      </w:tblPr>
      <w:tblGrid>
        <w:gridCol w:w="3114"/>
        <w:gridCol w:w="6515"/>
      </w:tblGrid>
      <w:tr w:rsidR="00C564FE" w:rsidRPr="00CA3220" w:rsidTr="006F7522">
        <w:tc>
          <w:tcPr>
            <w:tcW w:w="3114" w:type="dxa"/>
          </w:tcPr>
          <w:p w:rsidR="00C564FE" w:rsidRPr="00CA3220" w:rsidRDefault="00C564FE" w:rsidP="00B20300">
            <w:pPr>
              <w:pStyle w:val="Tablehead"/>
              <w:rPr>
                <w:lang w:val="fr-CH"/>
              </w:rPr>
            </w:pPr>
            <w:r w:rsidRPr="00CA3220">
              <w:rPr>
                <w:lang w:val="fr-CH"/>
              </w:rPr>
              <w:t xml:space="preserve">Numéro de </w:t>
            </w:r>
            <w:r w:rsidR="00B20300" w:rsidRPr="00CA3220">
              <w:rPr>
                <w:lang w:val="fr-CH"/>
              </w:rPr>
              <w:t xml:space="preserve">la </w:t>
            </w:r>
            <w:r w:rsidRPr="00CA3220">
              <w:rPr>
                <w:lang w:val="fr-CH"/>
              </w:rPr>
              <w:t>Recommandation</w:t>
            </w:r>
          </w:p>
        </w:tc>
        <w:tc>
          <w:tcPr>
            <w:tcW w:w="6515" w:type="dxa"/>
          </w:tcPr>
          <w:p w:rsidR="00C564FE" w:rsidRPr="00CA3220" w:rsidRDefault="00C564FE" w:rsidP="00B20300">
            <w:pPr>
              <w:pStyle w:val="Tablehead"/>
              <w:rPr>
                <w:lang w:val="fr-CH"/>
              </w:rPr>
            </w:pPr>
            <w:r w:rsidRPr="00CA3220">
              <w:rPr>
                <w:lang w:val="fr-CH"/>
              </w:rPr>
              <w:t xml:space="preserve">Titre de </w:t>
            </w:r>
            <w:r w:rsidR="00B20300" w:rsidRPr="00CA3220">
              <w:rPr>
                <w:lang w:val="fr-CH"/>
              </w:rPr>
              <w:t xml:space="preserve">la </w:t>
            </w:r>
            <w:r w:rsidRPr="00CA3220">
              <w:rPr>
                <w:lang w:val="fr-CH"/>
              </w:rPr>
              <w:t>Recommandation</w:t>
            </w:r>
          </w:p>
        </w:tc>
      </w:tr>
      <w:tr w:rsidR="00C564FE" w:rsidRPr="00CA3220" w:rsidTr="006F7522">
        <w:tc>
          <w:tcPr>
            <w:tcW w:w="3114" w:type="dxa"/>
          </w:tcPr>
          <w:p w:rsidR="00C564FE" w:rsidRPr="00CA3220" w:rsidRDefault="00E13893" w:rsidP="003E079A">
            <w:pPr>
              <w:pStyle w:val="Tabletext"/>
              <w:jc w:val="center"/>
              <w:rPr>
                <w:lang w:val="fr-CH"/>
              </w:rPr>
            </w:pPr>
            <w:hyperlink r:id="rId22" w:history="1">
              <w:r w:rsidR="00C564FE" w:rsidRPr="00716F20">
                <w:rPr>
                  <w:rStyle w:val="Hyperlink"/>
                  <w:lang w:val="fr-CH"/>
                </w:rPr>
                <w:t>UIT-T G.9901</w:t>
              </w:r>
            </w:hyperlink>
          </w:p>
        </w:tc>
        <w:tc>
          <w:tcPr>
            <w:tcW w:w="6515" w:type="dxa"/>
          </w:tcPr>
          <w:p w:rsidR="00C564FE" w:rsidRPr="00CA3220" w:rsidRDefault="00E13893" w:rsidP="00B20300">
            <w:pPr>
              <w:pStyle w:val="Tabletext"/>
              <w:rPr>
                <w:lang w:val="fr-CH"/>
              </w:rPr>
            </w:pPr>
            <w:hyperlink r:id="rId23" w:history="1">
              <w:r w:rsidR="00C564FE" w:rsidRPr="00716F20">
                <w:rPr>
                  <w:rStyle w:val="Hyperlink"/>
                  <w:lang w:val="fr-CH"/>
                </w:rPr>
                <w:t>Emetteurs-récepteurs de courants porteurs en ligne avec multiplexage par répartition orthogonale de la fr</w:t>
              </w:r>
              <w:r w:rsidR="00B20300" w:rsidRPr="00716F20">
                <w:rPr>
                  <w:rStyle w:val="Hyperlink"/>
                  <w:lang w:val="fr-CH"/>
                </w:rPr>
                <w:t>équence (OFDM) à bande étroite –</w:t>
              </w:r>
              <w:r w:rsidR="00C564FE" w:rsidRPr="00716F20">
                <w:rPr>
                  <w:rStyle w:val="Hyperlink"/>
                  <w:lang w:val="fr-CH"/>
                </w:rPr>
                <w:t xml:space="preserve"> Spécification de la densité spectrale de puissance</w:t>
              </w:r>
            </w:hyperlink>
          </w:p>
        </w:tc>
      </w:tr>
      <w:tr w:rsidR="00C564FE" w:rsidRPr="00CA3220" w:rsidTr="006F7522">
        <w:tc>
          <w:tcPr>
            <w:tcW w:w="3114" w:type="dxa"/>
          </w:tcPr>
          <w:p w:rsidR="00C564FE" w:rsidRPr="00CA3220" w:rsidRDefault="00E13893" w:rsidP="003E079A">
            <w:pPr>
              <w:pStyle w:val="Tabletext"/>
              <w:jc w:val="center"/>
              <w:rPr>
                <w:lang w:val="fr-CH"/>
              </w:rPr>
            </w:pPr>
            <w:hyperlink r:id="rId24" w:history="1">
              <w:r w:rsidR="00C564FE" w:rsidRPr="00716F20">
                <w:rPr>
                  <w:rStyle w:val="Hyperlink"/>
                  <w:lang w:val="fr-CH"/>
                </w:rPr>
                <w:t>UIT-T G.9902</w:t>
              </w:r>
            </w:hyperlink>
          </w:p>
        </w:tc>
        <w:tc>
          <w:tcPr>
            <w:tcW w:w="6515" w:type="dxa"/>
          </w:tcPr>
          <w:p w:rsidR="00C564FE" w:rsidRPr="00CA3220" w:rsidRDefault="00E13893" w:rsidP="00B20300">
            <w:pPr>
              <w:pStyle w:val="Tabletext"/>
              <w:rPr>
                <w:lang w:val="fr-CH"/>
              </w:rPr>
            </w:pPr>
            <w:hyperlink r:id="rId25" w:history="1">
              <w:r w:rsidR="00C564FE" w:rsidRPr="00716F20">
                <w:rPr>
                  <w:rStyle w:val="Hyperlink"/>
                  <w:lang w:val="fr-CH"/>
                </w:rPr>
                <w:t xml:space="preserve">Emetteurs-récepteurs OFDM à bande étroite utilisant </w:t>
              </w:r>
              <w:r w:rsidR="00B20300" w:rsidRPr="00716F20">
                <w:rPr>
                  <w:rStyle w:val="Hyperlink"/>
                  <w:lang w:val="fr-CH"/>
                </w:rPr>
                <w:t>les courants porteurs en ligne –</w:t>
              </w:r>
              <w:r w:rsidR="00C564FE" w:rsidRPr="00716F20">
                <w:rPr>
                  <w:rStyle w:val="Hyperlink"/>
                  <w:lang w:val="fr-CH"/>
                </w:rPr>
                <w:t xml:space="preserve"> G.hnem</w:t>
              </w:r>
            </w:hyperlink>
          </w:p>
        </w:tc>
      </w:tr>
      <w:tr w:rsidR="00C564FE" w:rsidRPr="00CA3220" w:rsidTr="006F7522">
        <w:tc>
          <w:tcPr>
            <w:tcW w:w="3114" w:type="dxa"/>
          </w:tcPr>
          <w:p w:rsidR="00C564FE" w:rsidRPr="00CA3220" w:rsidRDefault="00E13893" w:rsidP="003E079A">
            <w:pPr>
              <w:pStyle w:val="Tabletext"/>
              <w:jc w:val="center"/>
              <w:rPr>
                <w:lang w:val="fr-CH"/>
              </w:rPr>
            </w:pPr>
            <w:hyperlink r:id="rId26" w:history="1">
              <w:r w:rsidR="00C564FE" w:rsidRPr="00716F20">
                <w:rPr>
                  <w:rStyle w:val="Hyperlink"/>
                  <w:lang w:val="fr-CH"/>
                </w:rPr>
                <w:t>UIT-T G.9903</w:t>
              </w:r>
            </w:hyperlink>
          </w:p>
        </w:tc>
        <w:tc>
          <w:tcPr>
            <w:tcW w:w="6515" w:type="dxa"/>
          </w:tcPr>
          <w:p w:rsidR="00C564FE" w:rsidRPr="00CA3220" w:rsidRDefault="00E13893" w:rsidP="00B20300">
            <w:pPr>
              <w:pStyle w:val="Tabletext"/>
              <w:rPr>
                <w:lang w:val="fr-CH"/>
              </w:rPr>
            </w:pPr>
            <w:hyperlink r:id="rId27" w:history="1">
              <w:r w:rsidR="00C564FE" w:rsidRPr="00716F20">
                <w:rPr>
                  <w:rStyle w:val="Hyperlink"/>
                  <w:lang w:val="fr-CH"/>
                </w:rPr>
                <w:t xml:space="preserve">Emetteurs-récepteurs OFDM à bande étroite utilisant </w:t>
              </w:r>
              <w:r w:rsidR="00B20300" w:rsidRPr="00716F20">
                <w:rPr>
                  <w:rStyle w:val="Hyperlink"/>
                  <w:lang w:val="fr-CH"/>
                </w:rPr>
                <w:t>les courants porteurs en ligne –</w:t>
              </w:r>
              <w:r w:rsidR="00C564FE" w:rsidRPr="00716F20">
                <w:rPr>
                  <w:rStyle w:val="Hyperlink"/>
                  <w:lang w:val="fr-CH"/>
                </w:rPr>
                <w:t xml:space="preserve"> G3-PLC</w:t>
              </w:r>
            </w:hyperlink>
          </w:p>
        </w:tc>
      </w:tr>
      <w:tr w:rsidR="00C564FE" w:rsidRPr="00CA3220" w:rsidTr="006F7522">
        <w:tc>
          <w:tcPr>
            <w:tcW w:w="3114" w:type="dxa"/>
          </w:tcPr>
          <w:p w:rsidR="00C564FE" w:rsidRPr="00CA3220" w:rsidRDefault="00E13893" w:rsidP="003E079A">
            <w:pPr>
              <w:pStyle w:val="Tabletext"/>
              <w:jc w:val="center"/>
              <w:rPr>
                <w:lang w:val="fr-CH"/>
              </w:rPr>
            </w:pPr>
            <w:hyperlink r:id="rId28" w:history="1">
              <w:r w:rsidR="00C564FE" w:rsidRPr="00716F20">
                <w:rPr>
                  <w:rStyle w:val="Hyperlink"/>
                  <w:lang w:val="fr-CH"/>
                </w:rPr>
                <w:t>UIT-T G.9904</w:t>
              </w:r>
            </w:hyperlink>
          </w:p>
        </w:tc>
        <w:tc>
          <w:tcPr>
            <w:tcW w:w="6515" w:type="dxa"/>
          </w:tcPr>
          <w:p w:rsidR="00C564FE" w:rsidRPr="00CA3220" w:rsidRDefault="00E13893" w:rsidP="00B20300">
            <w:pPr>
              <w:pStyle w:val="Tabletext"/>
              <w:rPr>
                <w:lang w:val="fr-CH"/>
              </w:rPr>
            </w:pPr>
            <w:hyperlink r:id="rId29" w:history="1">
              <w:r w:rsidR="00C564FE" w:rsidRPr="00716F20">
                <w:rPr>
                  <w:rStyle w:val="Hyperlink"/>
                  <w:lang w:val="fr-CH"/>
                </w:rPr>
                <w:t xml:space="preserve">Emetteurs-récepteurs OFDM à bande étroite utilisant </w:t>
              </w:r>
              <w:r w:rsidR="00B20300" w:rsidRPr="00716F20">
                <w:rPr>
                  <w:rStyle w:val="Hyperlink"/>
                  <w:lang w:val="fr-CH"/>
                </w:rPr>
                <w:t>les courants porteurs en ligne –</w:t>
              </w:r>
              <w:r w:rsidR="00C564FE" w:rsidRPr="00716F20">
                <w:rPr>
                  <w:rStyle w:val="Hyperlink"/>
                  <w:lang w:val="fr-CH"/>
                </w:rPr>
                <w:t xml:space="preserve"> PRIME</w:t>
              </w:r>
            </w:hyperlink>
          </w:p>
        </w:tc>
      </w:tr>
      <w:tr w:rsidR="00C564FE" w:rsidRPr="00CA3220" w:rsidTr="006F7522">
        <w:tc>
          <w:tcPr>
            <w:tcW w:w="3114" w:type="dxa"/>
          </w:tcPr>
          <w:p w:rsidR="00C564FE" w:rsidRPr="00CA3220" w:rsidRDefault="00E13893" w:rsidP="003E079A">
            <w:pPr>
              <w:pStyle w:val="Tabletext"/>
              <w:jc w:val="center"/>
              <w:rPr>
                <w:lang w:val="fr-CH"/>
              </w:rPr>
            </w:pPr>
            <w:hyperlink r:id="rId30" w:history="1">
              <w:r w:rsidR="00C564FE" w:rsidRPr="00716F20">
                <w:rPr>
                  <w:rStyle w:val="Hyperlink"/>
                  <w:lang w:val="fr-CH"/>
                </w:rPr>
                <w:t>UIT-T G.9905</w:t>
              </w:r>
            </w:hyperlink>
          </w:p>
        </w:tc>
        <w:tc>
          <w:tcPr>
            <w:tcW w:w="6515" w:type="dxa"/>
          </w:tcPr>
          <w:p w:rsidR="00C564FE" w:rsidRPr="00CA3220" w:rsidRDefault="00E13893" w:rsidP="00B20300">
            <w:pPr>
              <w:pStyle w:val="Tabletext"/>
              <w:rPr>
                <w:lang w:val="fr-CH"/>
              </w:rPr>
            </w:pPr>
            <w:hyperlink r:id="rId31" w:history="1">
              <w:r w:rsidR="00C564FE" w:rsidRPr="00716F20">
                <w:rPr>
                  <w:rStyle w:val="Hyperlink"/>
                  <w:lang w:val="fr-CH"/>
                </w:rPr>
                <w:t>Routage selon la source basé sur des indicateurs centralisés</w:t>
              </w:r>
            </w:hyperlink>
          </w:p>
        </w:tc>
      </w:tr>
      <w:tr w:rsidR="00C564FE" w:rsidRPr="00CA3220" w:rsidTr="006F7522">
        <w:tc>
          <w:tcPr>
            <w:tcW w:w="3114" w:type="dxa"/>
          </w:tcPr>
          <w:p w:rsidR="00C564FE" w:rsidRPr="00CA3220" w:rsidRDefault="00E13893" w:rsidP="003E079A">
            <w:pPr>
              <w:pStyle w:val="Tabletext"/>
              <w:jc w:val="center"/>
              <w:rPr>
                <w:lang w:val="fr-CH"/>
              </w:rPr>
            </w:pPr>
            <w:hyperlink r:id="rId32" w:history="1">
              <w:r w:rsidR="00C564FE" w:rsidRPr="00716F20">
                <w:rPr>
                  <w:rStyle w:val="Hyperlink"/>
                  <w:lang w:val="fr-CH"/>
                </w:rPr>
                <w:t>UIT-T G.9959</w:t>
              </w:r>
            </w:hyperlink>
          </w:p>
        </w:tc>
        <w:tc>
          <w:tcPr>
            <w:tcW w:w="6515" w:type="dxa"/>
          </w:tcPr>
          <w:p w:rsidR="00C564FE" w:rsidRPr="00CA3220" w:rsidRDefault="00E13893" w:rsidP="00B20300">
            <w:pPr>
              <w:pStyle w:val="Tabletext"/>
              <w:rPr>
                <w:lang w:val="fr-CH"/>
              </w:rPr>
            </w:pPr>
            <w:hyperlink r:id="rId33" w:history="1">
              <w:r w:rsidR="00B20300" w:rsidRPr="00716F20">
                <w:rPr>
                  <w:rStyle w:val="Hyperlink"/>
                  <w:lang w:val="fr-CH"/>
                </w:rPr>
                <w:t>E</w:t>
              </w:r>
              <w:r w:rsidR="00C564FE" w:rsidRPr="00716F20">
                <w:rPr>
                  <w:rStyle w:val="Hyperlink"/>
                  <w:lang w:val="fr-CH"/>
                </w:rPr>
                <w:t>metteurs-récepteurs de radiocommunication numériques à</w:t>
              </w:r>
              <w:r w:rsidR="00B20300" w:rsidRPr="00716F20">
                <w:rPr>
                  <w:rStyle w:val="Hyperlink"/>
                  <w:lang w:val="fr-CH"/>
                </w:rPr>
                <w:t xml:space="preserve"> bande étroite à courte portée –</w:t>
              </w:r>
              <w:r w:rsidR="00FD2B8B" w:rsidRPr="00716F20">
                <w:rPr>
                  <w:rStyle w:val="Hyperlink"/>
                  <w:lang w:val="fr-CH"/>
                </w:rPr>
                <w:t xml:space="preserve"> Spécifications des couches PHY et</w:t>
              </w:r>
              <w:r w:rsidR="00C564FE" w:rsidRPr="00716F20">
                <w:rPr>
                  <w:rStyle w:val="Hyperlink"/>
                  <w:lang w:val="fr-CH"/>
                </w:rPr>
                <w:t xml:space="preserve"> MAC</w:t>
              </w:r>
            </w:hyperlink>
          </w:p>
        </w:tc>
      </w:tr>
    </w:tbl>
    <w:p w:rsidR="006F7522" w:rsidRPr="004350F0" w:rsidRDefault="006F7522" w:rsidP="006F7522">
      <w:pPr>
        <w:pStyle w:val="Tablefin"/>
        <w:rPr>
          <w:lang w:val="fr-FR"/>
        </w:rPr>
      </w:pPr>
    </w:p>
    <w:p w:rsidR="00DE31BE" w:rsidRPr="00CA3220" w:rsidRDefault="00DE31BE" w:rsidP="006F7522">
      <w:pPr>
        <w:rPr>
          <w:lang w:val="fr-CH"/>
        </w:rPr>
      </w:pPr>
      <w:r w:rsidRPr="00CA3220">
        <w:rPr>
          <w:lang w:val="fr-CH"/>
        </w:rPr>
        <w:t>Les gammes de fréquences utilisées dans les Recommanda</w:t>
      </w:r>
      <w:r w:rsidR="00301A23">
        <w:rPr>
          <w:lang w:val="fr-CH"/>
        </w:rPr>
        <w:t xml:space="preserve">tions UIT-T de la série G.990x </w:t>
      </w:r>
      <w:r w:rsidRPr="00CA3220">
        <w:rPr>
          <w:lang w:val="fr-CH"/>
        </w:rPr>
        <w:t xml:space="preserve">pour les courants porteurs en ligne à bande étroite/les réseaux intelligents reposent par conséquent sur les bonnes pratiques visant à éviter les incompatibilités avec les services de radiocommunication, que pourrait causer le déploiement ubiquitaire des courants porteurs en ligne pour les communications des réseaux intelligents. Toutefois, d'autres organisations de normalisation et groupes du secteur privé en dehors de l'UIT s'intéressent à l'élaboration de produits CPL pour les applications de réseaux intelligents, d'où la possible nécessité de tenir dûment compte des exigences de compatibilité. </w:t>
      </w:r>
    </w:p>
    <w:p w:rsidR="00C564FE" w:rsidRPr="00CA3220" w:rsidRDefault="00C564FE" w:rsidP="00AE034F">
      <w:pPr>
        <w:pStyle w:val="Heading2"/>
        <w:rPr>
          <w:lang w:val="fr-CH"/>
        </w:rPr>
      </w:pPr>
      <w:bookmarkStart w:id="73" w:name="_Toc498437769"/>
      <w:bookmarkStart w:id="74" w:name="_Toc498500109"/>
      <w:bookmarkStart w:id="75" w:name="_Toc498500360"/>
      <w:bookmarkStart w:id="76" w:name="_Toc498516125"/>
      <w:r w:rsidRPr="00CA3220">
        <w:rPr>
          <w:lang w:val="fr-CH"/>
        </w:rPr>
        <w:t>6.2</w:t>
      </w:r>
      <w:r w:rsidRPr="00CA3220">
        <w:rPr>
          <w:lang w:val="fr-CH"/>
        </w:rPr>
        <w:tab/>
        <w:t>Communications par réseaux câblés pour les réseaux de distribution intelligents</w:t>
      </w:r>
      <w:bookmarkEnd w:id="73"/>
      <w:bookmarkEnd w:id="74"/>
      <w:bookmarkEnd w:id="75"/>
      <w:bookmarkEnd w:id="76"/>
    </w:p>
    <w:p w:rsidR="00C564FE" w:rsidRPr="00CA3220" w:rsidRDefault="00C564FE" w:rsidP="00B20300">
      <w:pPr>
        <w:rPr>
          <w:rFonts w:asciiTheme="majorBidi" w:hAnsiTheme="majorBidi" w:cstheme="majorBidi"/>
          <w:szCs w:val="24"/>
          <w:lang w:val="fr-CH"/>
        </w:rPr>
      </w:pPr>
      <w:r w:rsidRPr="00CA3220">
        <w:rPr>
          <w:rFonts w:asciiTheme="majorBidi" w:hAnsiTheme="majorBidi" w:cstheme="majorBidi"/>
          <w:szCs w:val="24"/>
          <w:lang w:val="fr-CH"/>
        </w:rPr>
        <w:t xml:space="preserve">Outre les courants porteurs en ligne, des solutions </w:t>
      </w:r>
      <w:r w:rsidR="00B20300" w:rsidRPr="00CA3220">
        <w:rPr>
          <w:rFonts w:asciiTheme="majorBidi" w:hAnsiTheme="majorBidi" w:cstheme="majorBidi"/>
          <w:szCs w:val="24"/>
          <w:lang w:val="fr-CH"/>
        </w:rPr>
        <w:t>à</w:t>
      </w:r>
      <w:r w:rsidRPr="00CA3220">
        <w:rPr>
          <w:rFonts w:asciiTheme="majorBidi" w:hAnsiTheme="majorBidi" w:cstheme="majorBidi"/>
          <w:szCs w:val="24"/>
          <w:lang w:val="fr-CH"/>
        </w:rPr>
        <w:t xml:space="preserve"> câbles classiques, comme la fibre optique et les fils de cuivre, sont fréquemment utilisé</w:t>
      </w:r>
      <w:r w:rsidR="00B20300" w:rsidRPr="00CA3220">
        <w:rPr>
          <w:rFonts w:asciiTheme="majorBidi" w:hAnsiTheme="majorBidi" w:cstheme="majorBidi"/>
          <w:szCs w:val="24"/>
          <w:lang w:val="fr-CH"/>
        </w:rPr>
        <w:t>e</w:t>
      </w:r>
      <w:r w:rsidRPr="00CA3220">
        <w:rPr>
          <w:rFonts w:asciiTheme="majorBidi" w:hAnsiTheme="majorBidi" w:cstheme="majorBidi"/>
          <w:szCs w:val="24"/>
          <w:lang w:val="fr-CH"/>
        </w:rPr>
        <w:t xml:space="preserve">s pour les réseaux étendus lorsqu'il existe un droit de passage. </w:t>
      </w:r>
    </w:p>
    <w:p w:rsidR="00CC6E4D" w:rsidRPr="00CA3220" w:rsidRDefault="00CC6E4D" w:rsidP="00664299">
      <w:pPr>
        <w:rPr>
          <w:rFonts w:asciiTheme="majorBidi" w:hAnsiTheme="majorBidi" w:cstheme="majorBidi"/>
          <w:szCs w:val="24"/>
          <w:lang w:val="fr-CH"/>
        </w:rPr>
      </w:pPr>
      <w:r w:rsidRPr="00CA3220">
        <w:rPr>
          <w:rFonts w:asciiTheme="majorBidi" w:hAnsiTheme="majorBidi" w:cstheme="majorBidi"/>
          <w:szCs w:val="24"/>
          <w:lang w:val="fr-CH"/>
        </w:rPr>
        <w:t>Ces liaisons peuvent être déployées directement par le fournisseur de services collectifs sur les équipements de transmission et de distribution, enterrées dans des tranchées ou des conduits le long du droit de passage ou louées auprès d'exploitants de télécommunication.</w:t>
      </w:r>
    </w:p>
    <w:p w:rsidR="00CC6E4D" w:rsidRPr="00CA3220" w:rsidRDefault="00CC6E4D" w:rsidP="00664299">
      <w:pPr>
        <w:pStyle w:val="enumlev1"/>
        <w:ind w:left="0" w:firstLine="0"/>
        <w:rPr>
          <w:lang w:val="fr-CH"/>
        </w:rPr>
      </w:pPr>
      <w:r w:rsidRPr="00CA3220">
        <w:rPr>
          <w:lang w:val="fr-CH"/>
        </w:rPr>
        <w:t>Le fonctionnement du réseau local Ethernet IEEE Std 802.3 est défini pour différents débits, allant de 1 Mbit/s à 100 Gbit/s sur différents supports à fibres optiques ou à fils de cuivre à usage séparé dédié pour différentes distances:</w:t>
      </w:r>
    </w:p>
    <w:p w:rsidR="00CC6E4D" w:rsidRPr="00CA3220" w:rsidRDefault="006F7522" w:rsidP="006F7522">
      <w:pPr>
        <w:pStyle w:val="enumlev1"/>
        <w:rPr>
          <w:lang w:val="fr-CH"/>
        </w:rPr>
      </w:pPr>
      <w:r>
        <w:rPr>
          <w:lang w:val="fr-CH"/>
        </w:rPr>
        <w:t>–</w:t>
      </w:r>
      <w:r w:rsidR="00CC6E4D" w:rsidRPr="00CA3220">
        <w:rPr>
          <w:lang w:val="fr-CH"/>
        </w:rPr>
        <w:tab/>
        <w:t>Réseaux EPON IEEE 802.3</w:t>
      </w:r>
    </w:p>
    <w:p w:rsidR="00CC6E4D" w:rsidRPr="00CA3220" w:rsidRDefault="006F7522" w:rsidP="006F7522">
      <w:pPr>
        <w:pStyle w:val="enumlev1"/>
        <w:rPr>
          <w:lang w:val="fr-CH"/>
        </w:rPr>
      </w:pPr>
      <w:r>
        <w:rPr>
          <w:lang w:val="fr-CH"/>
        </w:rPr>
        <w:t>–</w:t>
      </w:r>
      <w:r w:rsidR="00CC6E4D" w:rsidRPr="00CA3220">
        <w:rPr>
          <w:lang w:val="fr-CH"/>
        </w:rPr>
        <w:tab/>
        <w:t>Réseau Ethernet IEEE 802.3 pour le premier kilomètre</w:t>
      </w:r>
      <w:r>
        <w:rPr>
          <w:lang w:val="fr-CH"/>
        </w:rPr>
        <w:t>.</w:t>
      </w:r>
    </w:p>
    <w:p w:rsidR="00EC254E" w:rsidRPr="00CA3220" w:rsidRDefault="00CC6E4D" w:rsidP="00664299">
      <w:pPr>
        <w:rPr>
          <w:lang w:val="fr-CH"/>
        </w:rPr>
      </w:pPr>
      <w:r w:rsidRPr="00CA3220">
        <w:rPr>
          <w:lang w:val="fr-CH"/>
        </w:rPr>
        <w:t>Les liaisons Ethernet filaires doivent généralement être conformes aux codes locaux et nationaux applicables à la limitation du brouillage électromagnétique dans le cas de systèmes n'émettant pas.</w:t>
      </w:r>
    </w:p>
    <w:p w:rsidR="00CC6E4D" w:rsidRPr="00CA3220" w:rsidRDefault="00B20300" w:rsidP="00206CD4">
      <w:pPr>
        <w:pStyle w:val="Heading1"/>
        <w:spacing w:before="240"/>
        <w:rPr>
          <w:lang w:val="fr-CH"/>
        </w:rPr>
      </w:pPr>
      <w:bookmarkStart w:id="77" w:name="_Toc498437770"/>
      <w:bookmarkStart w:id="78" w:name="_Toc498500110"/>
      <w:bookmarkStart w:id="79" w:name="_Toc498500361"/>
      <w:bookmarkStart w:id="80" w:name="_Toc498516126"/>
      <w:r w:rsidRPr="00CA3220">
        <w:rPr>
          <w:lang w:val="fr-CH"/>
        </w:rPr>
        <w:t>7</w:t>
      </w:r>
      <w:r w:rsidRPr="00CA3220">
        <w:rPr>
          <w:lang w:val="fr-CH"/>
        </w:rPr>
        <w:tab/>
        <w:t>Normes hertziennes po</w:t>
      </w:r>
      <w:r w:rsidR="00EC254E" w:rsidRPr="00CA3220">
        <w:rPr>
          <w:lang w:val="fr-CH"/>
        </w:rPr>
        <w:t>u</w:t>
      </w:r>
      <w:r w:rsidRPr="00CA3220">
        <w:rPr>
          <w:lang w:val="fr-CH"/>
        </w:rPr>
        <w:t>r</w:t>
      </w:r>
      <w:r w:rsidR="00EC254E" w:rsidRPr="00CA3220">
        <w:rPr>
          <w:lang w:val="fr-CH"/>
        </w:rPr>
        <w:t xml:space="preserve"> les télécommunications </w:t>
      </w:r>
      <w:r w:rsidR="00206CD4" w:rsidRPr="00CA3220">
        <w:rPr>
          <w:lang w:val="fr-CH"/>
        </w:rPr>
        <w:t>dans les</w:t>
      </w:r>
      <w:r w:rsidR="00EC254E" w:rsidRPr="00CA3220">
        <w:rPr>
          <w:lang w:val="fr-CH"/>
        </w:rPr>
        <w:t xml:space="preserve"> réseaux de distribution intelligents</w:t>
      </w:r>
      <w:bookmarkEnd w:id="77"/>
      <w:bookmarkEnd w:id="78"/>
      <w:bookmarkEnd w:id="79"/>
      <w:bookmarkEnd w:id="80"/>
    </w:p>
    <w:p w:rsidR="00206CD4" w:rsidRPr="00CA3220" w:rsidRDefault="00206CD4" w:rsidP="00206CD4">
      <w:pPr>
        <w:pStyle w:val="Heading2"/>
        <w:spacing w:before="240"/>
        <w:rPr>
          <w:lang w:val="fr-CH"/>
        </w:rPr>
      </w:pPr>
      <w:bookmarkStart w:id="81" w:name="_Toc498437771"/>
      <w:bookmarkStart w:id="82" w:name="_Toc498500111"/>
      <w:bookmarkStart w:id="83" w:name="_Toc498500362"/>
      <w:bookmarkStart w:id="84" w:name="_Toc498516127"/>
      <w:r w:rsidRPr="00CA3220">
        <w:rPr>
          <w:lang w:val="fr-CH"/>
        </w:rPr>
        <w:t>7.1</w:t>
      </w:r>
      <w:r w:rsidRPr="00CA3220">
        <w:rPr>
          <w:lang w:val="fr-CH"/>
        </w:rPr>
        <w:tab/>
        <w:t>Réseau domestique</w:t>
      </w:r>
      <w:bookmarkEnd w:id="81"/>
      <w:bookmarkEnd w:id="82"/>
      <w:bookmarkEnd w:id="83"/>
      <w:bookmarkEnd w:id="84"/>
    </w:p>
    <w:p w:rsidR="00D8056B" w:rsidRPr="00CA3220" w:rsidRDefault="00D8056B" w:rsidP="00206CD4">
      <w:pPr>
        <w:rPr>
          <w:rFonts w:asciiTheme="majorBidi" w:hAnsiTheme="majorBidi" w:cstheme="majorBidi"/>
          <w:szCs w:val="24"/>
          <w:lang w:val="fr-CH"/>
        </w:rPr>
      </w:pPr>
      <w:r w:rsidRPr="00CA3220">
        <w:rPr>
          <w:rFonts w:asciiTheme="majorBidi" w:hAnsiTheme="majorBidi" w:cstheme="majorBidi"/>
          <w:szCs w:val="24"/>
          <w:lang w:val="fr-CH"/>
        </w:rPr>
        <w:t xml:space="preserve">Différentes solutions de réseau </w:t>
      </w:r>
      <w:r w:rsidR="00206CD4" w:rsidRPr="00CA3220">
        <w:rPr>
          <w:rFonts w:asciiTheme="majorBidi" w:hAnsiTheme="majorBidi" w:cstheme="majorBidi"/>
          <w:szCs w:val="24"/>
          <w:lang w:val="fr-CH"/>
        </w:rPr>
        <w:t xml:space="preserve">utilisant des liaisons filaires ou hertziennes </w:t>
      </w:r>
      <w:r w:rsidRPr="00CA3220">
        <w:rPr>
          <w:rFonts w:asciiTheme="majorBidi" w:hAnsiTheme="majorBidi" w:cstheme="majorBidi"/>
          <w:szCs w:val="24"/>
          <w:lang w:val="fr-CH"/>
        </w:rPr>
        <w:t xml:space="preserve">sont déjà déployées pour les réseaux HAN, en fonction des besoins en termes de consommation d'énergie, de débit, de mobilité </w:t>
      </w:r>
      <w:r w:rsidRPr="00CA3220">
        <w:rPr>
          <w:rFonts w:asciiTheme="majorBidi" w:hAnsiTheme="majorBidi" w:cstheme="majorBidi"/>
          <w:szCs w:val="24"/>
          <w:lang w:val="fr-CH"/>
        </w:rPr>
        <w:lastRenderedPageBreak/>
        <w:t xml:space="preserve">et de coûts d'installation. Les réseaux HAN </w:t>
      </w:r>
      <w:r w:rsidR="00206CD4" w:rsidRPr="00CA3220">
        <w:rPr>
          <w:rFonts w:asciiTheme="majorBidi" w:hAnsiTheme="majorBidi" w:cstheme="majorBidi"/>
          <w:szCs w:val="24"/>
          <w:lang w:val="fr-CH"/>
        </w:rPr>
        <w:t xml:space="preserve">utilisant des solutions filaires </w:t>
      </w:r>
      <w:r w:rsidRPr="00CA3220">
        <w:rPr>
          <w:rFonts w:asciiTheme="majorBidi" w:hAnsiTheme="majorBidi" w:cstheme="majorBidi"/>
          <w:szCs w:val="24"/>
          <w:lang w:val="fr-CH"/>
        </w:rPr>
        <w:t>les plus courants sont ceux reposant sur l</w:t>
      </w:r>
      <w:r w:rsidR="00206CD4" w:rsidRPr="00CA3220">
        <w:rPr>
          <w:rFonts w:asciiTheme="majorBidi" w:hAnsiTheme="majorBidi" w:cstheme="majorBidi"/>
          <w:szCs w:val="24"/>
          <w:lang w:val="fr-CH"/>
        </w:rPr>
        <w:t>a</w:t>
      </w:r>
      <w:r w:rsidRPr="00CA3220">
        <w:rPr>
          <w:rFonts w:asciiTheme="majorBidi" w:hAnsiTheme="majorBidi" w:cstheme="majorBidi"/>
          <w:szCs w:val="24"/>
          <w:lang w:val="fr-CH"/>
        </w:rPr>
        <w:t xml:space="preserve"> norme IEEE 802.3 (Ethernet); pour ce qui est des solutions hertziennes, les normes IEEE 802.11</w:t>
      </w:r>
      <w:r w:rsidR="00206CD4" w:rsidRPr="00CA3220">
        <w:rPr>
          <w:rFonts w:asciiTheme="majorBidi" w:hAnsiTheme="majorBidi" w:cstheme="majorBidi"/>
          <w:szCs w:val="24"/>
          <w:lang w:val="fr-CH"/>
        </w:rPr>
        <w:t xml:space="preserve"> (WiF</w:t>
      </w:r>
      <w:r w:rsidRPr="00CA3220">
        <w:rPr>
          <w:rFonts w:asciiTheme="majorBidi" w:hAnsiTheme="majorBidi" w:cstheme="majorBidi"/>
          <w:szCs w:val="24"/>
          <w:lang w:val="fr-CH"/>
        </w:rPr>
        <w:t>i), IEEE 802.15.4 (ZigBee, Thread, Wi-SUN EchoNet HAN) et UIT-T G.9959 (Z</w:t>
      </w:r>
      <w:r w:rsidR="00206CD4" w:rsidRPr="00CA3220">
        <w:rPr>
          <w:rFonts w:asciiTheme="majorBidi" w:hAnsiTheme="majorBidi" w:cstheme="majorBidi"/>
          <w:szCs w:val="24"/>
          <w:lang w:val="fr-CH"/>
        </w:rPr>
        <w:noBreakHyphen/>
      </w:r>
      <w:r w:rsidRPr="00CA3220">
        <w:rPr>
          <w:rFonts w:asciiTheme="majorBidi" w:hAnsiTheme="majorBidi" w:cstheme="majorBidi"/>
          <w:szCs w:val="24"/>
          <w:lang w:val="fr-CH"/>
        </w:rPr>
        <w:t>Wave) sont les plus utilisées.</w:t>
      </w:r>
    </w:p>
    <w:p w:rsidR="00DE31BE" w:rsidRPr="00CA3220" w:rsidRDefault="00D8056B" w:rsidP="00664299">
      <w:pPr>
        <w:keepLines/>
        <w:rPr>
          <w:rFonts w:asciiTheme="majorBidi" w:hAnsiTheme="majorBidi" w:cstheme="majorBidi"/>
          <w:szCs w:val="24"/>
          <w:lang w:val="fr-CH"/>
        </w:rPr>
      </w:pPr>
      <w:r w:rsidRPr="00CA3220">
        <w:rPr>
          <w:rFonts w:asciiTheme="majorBidi" w:hAnsiTheme="majorBidi" w:cstheme="majorBidi"/>
          <w:szCs w:val="24"/>
          <w:lang w:val="fr-CH"/>
        </w:rPr>
        <w:t xml:space="preserve">Les </w:t>
      </w:r>
      <w:r w:rsidR="00DE31BE" w:rsidRPr="00CA3220">
        <w:rPr>
          <w:rFonts w:asciiTheme="majorBidi" w:hAnsiTheme="majorBidi" w:cstheme="majorBidi"/>
          <w:szCs w:val="24"/>
          <w:lang w:val="fr-CH"/>
        </w:rPr>
        <w:t>technologies hertziennes peuvent permettre de mettre en place des réseaux intelligents pour tous les types de services collectifs et être facilement raccordées directement à une infrastructure IP lorsqu'il n'est pas possible, pour des raisons de sécurité électrique ou des considérations juridiques, de procéder directement à un raccordement câblé, ce qui peut être le cas pour les compteurs de gaz ou d'eau.</w:t>
      </w:r>
    </w:p>
    <w:p w:rsidR="00DE31BE" w:rsidRPr="00CA3220" w:rsidRDefault="00D8056B" w:rsidP="00664299">
      <w:pPr>
        <w:rPr>
          <w:rFonts w:asciiTheme="majorBidi" w:hAnsiTheme="majorBidi" w:cstheme="majorBidi"/>
          <w:szCs w:val="24"/>
          <w:lang w:val="fr-CH"/>
        </w:rPr>
      </w:pPr>
      <w:r w:rsidRPr="00CA3220">
        <w:rPr>
          <w:rFonts w:asciiTheme="majorBidi" w:hAnsiTheme="majorBidi" w:cstheme="majorBidi"/>
          <w:szCs w:val="24"/>
          <w:lang w:val="fr-CH"/>
        </w:rPr>
        <w:t>L</w:t>
      </w:r>
      <w:r w:rsidR="00DE31BE" w:rsidRPr="00CA3220">
        <w:rPr>
          <w:rFonts w:asciiTheme="majorBidi" w:hAnsiTheme="majorBidi" w:cstheme="majorBidi"/>
          <w:szCs w:val="24"/>
          <w:lang w:val="fr-CH"/>
        </w:rPr>
        <w:t>a Recommandation UIT-T G.9959, «Emetteurs-récepteurs de radiocommunication numériques à bande étroite à courte portée»</w:t>
      </w:r>
      <w:r w:rsidRPr="00CA3220">
        <w:rPr>
          <w:rFonts w:asciiTheme="majorBidi" w:hAnsiTheme="majorBidi" w:cstheme="majorBidi"/>
          <w:szCs w:val="24"/>
          <w:lang w:val="fr-CH"/>
        </w:rPr>
        <w:t xml:space="preserve"> a été élaborée à l'UIT</w:t>
      </w:r>
      <w:r w:rsidR="004A2EB8">
        <w:rPr>
          <w:rFonts w:asciiTheme="majorBidi" w:hAnsiTheme="majorBidi" w:cstheme="majorBidi"/>
          <w:szCs w:val="24"/>
          <w:lang w:val="fr-CH"/>
        </w:rPr>
        <w:noBreakHyphen/>
        <w:t>T</w:t>
      </w:r>
      <w:r w:rsidRPr="00CA3220">
        <w:rPr>
          <w:rFonts w:asciiTheme="majorBidi" w:hAnsiTheme="majorBidi" w:cstheme="majorBidi"/>
          <w:szCs w:val="24"/>
          <w:lang w:val="fr-CH"/>
        </w:rPr>
        <w:t>, en vue</w:t>
      </w:r>
      <w:r w:rsidR="00DE31BE" w:rsidRPr="00CA3220">
        <w:rPr>
          <w:rFonts w:asciiTheme="majorBidi" w:hAnsiTheme="majorBidi" w:cstheme="majorBidi"/>
          <w:szCs w:val="24"/>
          <w:lang w:val="fr-CH"/>
        </w:rPr>
        <w:t xml:space="preserve"> de fournir une fonctionnalité de réseau local hertzien à bande étroite adaptée aux applications de réseaux intelligents. Au début du travail de rédaction de cette Recommandation, l'UIT-R et l'UIT-T ont discuté des bandes de fréquences qu'il convenait d'utiliser pour ces applications. Il s'agissait de déterminer les avantages et les inconvénients liés à l'identification de fréquences dans des bandes assujetties, d'une manière ou d'une autre, à des dispositions réglementaires établies par les administrations ou dans des bandes désignées pour les applications ISM ou désignées, au niveau régional ou national, pour une utilisation non réglementée, c'est-à-dire sans obligation d'obtenir une licence. Les discussions ont porté pour l'essentiel sur des questions de sécurité et de fiabilité, étant donné que les communications de réseaux intelligents pourraient contenir des données concernant la facturation et des données personnelles, alors que les bandes sont disponibles pour différentes utilisations non réglementées.</w:t>
      </w:r>
    </w:p>
    <w:p w:rsidR="00DE31BE" w:rsidRPr="00CA3220" w:rsidRDefault="00DE31BE" w:rsidP="00664299">
      <w:pPr>
        <w:keepNext/>
        <w:keepLines/>
        <w:rPr>
          <w:rFonts w:asciiTheme="majorBidi" w:hAnsiTheme="majorBidi" w:cstheme="majorBidi"/>
          <w:szCs w:val="24"/>
          <w:lang w:val="fr-CH"/>
        </w:rPr>
      </w:pPr>
      <w:r w:rsidRPr="00CA3220">
        <w:rPr>
          <w:rFonts w:asciiTheme="majorBidi" w:hAnsiTheme="majorBidi" w:cstheme="majorBidi"/>
          <w:szCs w:val="24"/>
          <w:lang w:val="fr-CH"/>
        </w:rPr>
        <w:t>Plusieurs fréquences situées dans des bandes au voisinage de 900 MHz, dont l'utilisation n'est plus réglementée aux niveaux national et régional, ont été recommandées comme pouvant être utilisées dans le cadre de la Recommandation UIT-T G.9959; parmi ces fréquences, seulement deux, dans la Région 2, se trouvent dans une bande désignée pour les applications ISM. L'une des exigences concernant la conception des émetteurs-récepteurs UIT</w:t>
      </w:r>
      <w:r w:rsidRPr="00CA3220">
        <w:rPr>
          <w:rFonts w:asciiTheme="majorBidi" w:hAnsiTheme="majorBidi" w:cstheme="majorBidi"/>
          <w:szCs w:val="24"/>
          <w:lang w:val="fr-CH"/>
        </w:rPr>
        <w:noBreakHyphen/>
        <w:t>T G.9959 est qu'ils devraient prendre en charge 1, 2 ou 3 canaux (chaque canal étant associé à une fréquence centrale) en fonction de la disponibilité des canaux dans la région ou dans le pays concerné.</w:t>
      </w:r>
    </w:p>
    <w:p w:rsidR="00DE31BE" w:rsidRPr="006F7522" w:rsidRDefault="00DE31BE" w:rsidP="006F7522">
      <w:pPr>
        <w:rPr>
          <w:rFonts w:asciiTheme="majorBidi" w:hAnsiTheme="majorBidi" w:cstheme="majorBidi"/>
          <w:spacing w:val="-2"/>
          <w:szCs w:val="24"/>
          <w:lang w:val="fr-CH"/>
        </w:rPr>
      </w:pPr>
      <w:r w:rsidRPr="006F7522">
        <w:rPr>
          <w:rFonts w:asciiTheme="majorBidi" w:hAnsiTheme="majorBidi" w:cstheme="majorBidi"/>
          <w:spacing w:val="-2"/>
          <w:szCs w:val="24"/>
          <w:lang w:val="fr-CH"/>
        </w:rPr>
        <w:t>En ce qui concerne le choix et l'adéquation de fréquences à l'échelle mondiale pour les équipements UIT</w:t>
      </w:r>
      <w:r w:rsidRPr="006F7522">
        <w:rPr>
          <w:rFonts w:asciiTheme="majorBidi" w:hAnsiTheme="majorBidi" w:cstheme="majorBidi"/>
          <w:spacing w:val="-2"/>
          <w:szCs w:val="24"/>
          <w:lang w:val="fr-CH"/>
        </w:rPr>
        <w:noBreakHyphen/>
        <w:t>T G.9959, l'exigence fondamentale pour ces équipements est qu'ils soient rétrocompatibles avec la technologie Z-Wave</w:t>
      </w:r>
      <w:r w:rsidRPr="006F7522">
        <w:rPr>
          <w:rStyle w:val="FootnoteReference"/>
          <w:rFonts w:asciiTheme="majorBidi" w:hAnsiTheme="majorBidi" w:cstheme="majorBidi"/>
          <w:spacing w:val="-2"/>
          <w:szCs w:val="24"/>
          <w:lang w:val="fr-CH"/>
        </w:rPr>
        <w:footnoteReference w:id="21"/>
      </w:r>
      <w:r w:rsidRPr="006F7522">
        <w:rPr>
          <w:rFonts w:asciiTheme="majorBidi" w:hAnsiTheme="majorBidi" w:cstheme="majorBidi"/>
          <w:spacing w:val="-2"/>
          <w:szCs w:val="24"/>
          <w:lang w:val="fr-CH"/>
        </w:rPr>
        <w:t>, qui est exploitée sur le terrain depuis plus de dix ans. Lorsqu'on envisagera d'assigner de nouvelles fréquences destinées à être utilisées par les équipements UIT</w:t>
      </w:r>
      <w:r w:rsidRPr="006F7522">
        <w:rPr>
          <w:rFonts w:asciiTheme="majorBidi" w:hAnsiTheme="majorBidi" w:cstheme="majorBidi"/>
          <w:spacing w:val="-2"/>
          <w:szCs w:val="24"/>
          <w:lang w:val="fr-CH"/>
        </w:rPr>
        <w:noBreakHyphen/>
        <w:t>T G.9959, il conviendrait de tenir compte du fait que les futurs produits fondés sur la Recommandation UIT</w:t>
      </w:r>
      <w:r w:rsidR="006F7522" w:rsidRPr="006F7522">
        <w:rPr>
          <w:rFonts w:asciiTheme="majorBidi" w:hAnsiTheme="majorBidi" w:cstheme="majorBidi"/>
          <w:spacing w:val="-2"/>
          <w:szCs w:val="24"/>
          <w:lang w:val="fr-CH"/>
        </w:rPr>
        <w:noBreakHyphen/>
        <w:t>T </w:t>
      </w:r>
      <w:r w:rsidRPr="006F7522">
        <w:rPr>
          <w:rFonts w:asciiTheme="majorBidi" w:hAnsiTheme="majorBidi" w:cstheme="majorBidi"/>
          <w:spacing w:val="-2"/>
          <w:szCs w:val="24"/>
          <w:lang w:val="fr-CH"/>
        </w:rPr>
        <w:t>G.9959 pourraient devenir incompatibles avec les appareils Z-Wave existants et, de ce fait, empêcher ces nouveaux appareils UIT</w:t>
      </w:r>
      <w:r w:rsidRPr="006F7522">
        <w:rPr>
          <w:rFonts w:asciiTheme="majorBidi" w:hAnsiTheme="majorBidi" w:cstheme="majorBidi"/>
          <w:spacing w:val="-2"/>
          <w:szCs w:val="24"/>
          <w:lang w:val="fr-CH"/>
        </w:rPr>
        <w:noBreakHyphen/>
        <w:t>T G.9959 de profiter de l'important écosystème interopérable déjà en place.</w:t>
      </w:r>
      <w:r w:rsidR="00A5559A" w:rsidRPr="006F7522">
        <w:rPr>
          <w:rFonts w:asciiTheme="majorBidi" w:hAnsiTheme="majorBidi" w:cstheme="majorBidi"/>
          <w:spacing w:val="-2"/>
          <w:szCs w:val="24"/>
          <w:lang w:val="fr-CH"/>
        </w:rPr>
        <w:t xml:space="preserve"> Les futurs besoins de spectre pour les équipements UIT-T G.9959 et les technologies analogues utilisées avec les réseaux de distribution intelligents pourraient devenir une question importante à la CMR-23 au titre du point 2.5 de l'ordre du</w:t>
      </w:r>
      <w:r w:rsidR="007F6326" w:rsidRPr="006F7522">
        <w:rPr>
          <w:rFonts w:asciiTheme="majorBidi" w:hAnsiTheme="majorBidi" w:cstheme="majorBidi"/>
          <w:spacing w:val="-2"/>
          <w:szCs w:val="24"/>
          <w:lang w:val="fr-CH"/>
        </w:rPr>
        <w:t xml:space="preserve"> </w:t>
      </w:r>
      <w:r w:rsidR="00A5559A" w:rsidRPr="006F7522">
        <w:rPr>
          <w:rFonts w:asciiTheme="majorBidi" w:hAnsiTheme="majorBidi" w:cstheme="majorBidi"/>
          <w:spacing w:val="-2"/>
          <w:szCs w:val="24"/>
          <w:lang w:val="fr-CH"/>
        </w:rPr>
        <w:t>jour.</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Il convient en outre de noter que</w:t>
      </w:r>
      <w:r w:rsidR="007F6326" w:rsidRPr="00CA3220">
        <w:rPr>
          <w:rFonts w:asciiTheme="majorBidi" w:hAnsiTheme="majorBidi" w:cstheme="majorBidi"/>
          <w:szCs w:val="24"/>
          <w:lang w:val="fr-CH"/>
        </w:rPr>
        <w:t xml:space="preserve"> les systèmes IEEE 802.11 et IEEE 802.15.4 sont largement déployés pour les applications HAN et que</w:t>
      </w:r>
      <w:r w:rsidRPr="00CA3220">
        <w:rPr>
          <w:rFonts w:asciiTheme="majorBidi" w:hAnsiTheme="majorBidi" w:cstheme="majorBidi"/>
          <w:szCs w:val="24"/>
          <w:lang w:val="fr-CH"/>
        </w:rPr>
        <w:t xml:space="preserve"> les systèmes UIT</w:t>
      </w:r>
      <w:r w:rsidRPr="00CA3220">
        <w:rPr>
          <w:rFonts w:asciiTheme="majorBidi" w:hAnsiTheme="majorBidi" w:cstheme="majorBidi"/>
          <w:szCs w:val="24"/>
          <w:lang w:val="fr-CH"/>
        </w:rPr>
        <w:noBreakHyphen/>
        <w:t>T G.9959</w:t>
      </w:r>
      <w:r w:rsidR="007F6326" w:rsidRPr="00CA3220">
        <w:rPr>
          <w:rFonts w:asciiTheme="majorBidi" w:hAnsiTheme="majorBidi" w:cstheme="majorBidi"/>
          <w:szCs w:val="24"/>
          <w:lang w:val="fr-CH"/>
        </w:rPr>
        <w:t xml:space="preserve"> comme les systèmes IEEE 802.15.4</w:t>
      </w:r>
      <w:r w:rsidRPr="00CA3220">
        <w:rPr>
          <w:rFonts w:asciiTheme="majorBidi" w:hAnsiTheme="majorBidi" w:cstheme="majorBidi"/>
          <w:szCs w:val="24"/>
          <w:lang w:val="fr-CH"/>
        </w:rPr>
        <w:t xml:space="preserve"> peuvent utiliser les techniques de sauts de fréquences et de routage maillé lorsque la transmission en portée directe n'est pas possible à cause d'une distance trop longue, de l'affaiblissement, de la </w:t>
      </w:r>
      <w:r w:rsidRPr="00CA3220">
        <w:rPr>
          <w:rFonts w:asciiTheme="majorBidi" w:hAnsiTheme="majorBidi" w:cstheme="majorBidi"/>
          <w:szCs w:val="24"/>
          <w:lang w:val="fr-CH"/>
        </w:rPr>
        <w:lastRenderedPageBreak/>
        <w:t>distorsion ou de brouillages temporaires. Ces techniques permettent de renforcer la robustesse des systèmes lorsqu'ils fonctionnent dans des bandes utilisées sans licence.</w:t>
      </w:r>
    </w:p>
    <w:p w:rsidR="007F6326"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 xml:space="preserve">En plus des considérations liées à la gestion du spectre et à la compatibilité qui relèvent de l'UIT-R, des questions concernant les aspects juridiques, la vie privée et la sécurité devront également être examinées dans les cadres compétents du point de vue de l'intégrité des appareils hertziens utilisés dans les réseaux intelligents. Ces considérations peuvent avoir un lien avec l'identification de fréquences à utiliser pour les communications hertziennes de réseaux intelligents – en particulier avec la nécessité d'éviter les interceptions, les usurpations d'identité, la corruption des données ou la perte des données de facturation ou de tarification. </w:t>
      </w:r>
    </w:p>
    <w:p w:rsidR="007F6326" w:rsidRPr="00CA3220" w:rsidRDefault="007F6326" w:rsidP="00206CD4">
      <w:pPr>
        <w:rPr>
          <w:rFonts w:asciiTheme="majorBidi" w:hAnsiTheme="majorBidi" w:cstheme="majorBidi"/>
          <w:szCs w:val="24"/>
          <w:lang w:val="fr-CH"/>
        </w:rPr>
      </w:pPr>
      <w:r w:rsidRPr="00CA3220">
        <w:rPr>
          <w:rFonts w:asciiTheme="majorBidi" w:hAnsiTheme="majorBidi" w:cstheme="majorBidi"/>
          <w:szCs w:val="24"/>
          <w:lang w:val="fr-CH"/>
        </w:rPr>
        <w:t>Toutes les normes hertziennes citées dans la présente section prévoient un chiffrement pour assurer la confidentialité et la sécurité. Le risq</w:t>
      </w:r>
      <w:r w:rsidR="007F4DFC" w:rsidRPr="00CA3220">
        <w:rPr>
          <w:rFonts w:asciiTheme="majorBidi" w:hAnsiTheme="majorBidi" w:cstheme="majorBidi"/>
          <w:szCs w:val="24"/>
          <w:lang w:val="fr-CH"/>
        </w:rPr>
        <w:t xml:space="preserve">ue de brouillage est inévitable en cas </w:t>
      </w:r>
      <w:r w:rsidR="00206CD4" w:rsidRPr="00CA3220">
        <w:rPr>
          <w:rFonts w:asciiTheme="majorBidi" w:hAnsiTheme="majorBidi" w:cstheme="majorBidi"/>
          <w:szCs w:val="24"/>
          <w:lang w:val="fr-CH"/>
        </w:rPr>
        <w:t>de fonctionnement</w:t>
      </w:r>
      <w:r w:rsidR="007F4DFC" w:rsidRPr="00CA3220">
        <w:rPr>
          <w:rFonts w:asciiTheme="majorBidi" w:hAnsiTheme="majorBidi" w:cstheme="majorBidi"/>
          <w:szCs w:val="24"/>
          <w:lang w:val="fr-CH"/>
        </w:rPr>
        <w:t xml:space="preserve"> dans des bandes qui ne sont pas soumises à des </w:t>
      </w:r>
      <w:r w:rsidR="00CA3220" w:rsidRPr="00CA3220">
        <w:rPr>
          <w:rFonts w:asciiTheme="majorBidi" w:hAnsiTheme="majorBidi" w:cstheme="majorBidi"/>
          <w:szCs w:val="24"/>
          <w:lang w:val="fr-CH"/>
        </w:rPr>
        <w:t>dispositions</w:t>
      </w:r>
      <w:r w:rsidR="007F4DFC" w:rsidRPr="00CA3220">
        <w:rPr>
          <w:rFonts w:asciiTheme="majorBidi" w:hAnsiTheme="majorBidi" w:cstheme="majorBidi"/>
          <w:szCs w:val="24"/>
          <w:lang w:val="fr-CH"/>
        </w:rPr>
        <w:t xml:space="preserve"> réglementaires, </w:t>
      </w:r>
      <w:r w:rsidR="00206CD4" w:rsidRPr="00CA3220">
        <w:rPr>
          <w:rFonts w:asciiTheme="majorBidi" w:hAnsiTheme="majorBidi" w:cstheme="majorBidi"/>
          <w:szCs w:val="24"/>
          <w:lang w:val="fr-CH"/>
        </w:rPr>
        <w:t>par exemple à</w:t>
      </w:r>
      <w:r w:rsidR="007F4DFC" w:rsidRPr="00CA3220">
        <w:rPr>
          <w:rFonts w:asciiTheme="majorBidi" w:hAnsiTheme="majorBidi" w:cstheme="majorBidi"/>
          <w:szCs w:val="24"/>
          <w:lang w:val="fr-CH"/>
        </w:rPr>
        <w:t xml:space="preserve"> de</w:t>
      </w:r>
      <w:r w:rsidR="00206CD4" w:rsidRPr="00CA3220">
        <w:rPr>
          <w:rFonts w:asciiTheme="majorBidi" w:hAnsiTheme="majorBidi" w:cstheme="majorBidi"/>
          <w:szCs w:val="24"/>
          <w:lang w:val="fr-CH"/>
        </w:rPr>
        <w:t>s</w:t>
      </w:r>
      <w:r w:rsidR="007F4DFC" w:rsidRPr="00CA3220">
        <w:rPr>
          <w:rFonts w:asciiTheme="majorBidi" w:hAnsiTheme="majorBidi" w:cstheme="majorBidi"/>
          <w:szCs w:val="24"/>
          <w:lang w:val="fr-CH"/>
        </w:rPr>
        <w:t xml:space="preserve"> licences individuelles. En général, les applications HAN n'exigent pas une grande fiabilité. Il est préférable </w:t>
      </w:r>
      <w:r w:rsidR="00206CD4" w:rsidRPr="00CA3220">
        <w:rPr>
          <w:rFonts w:asciiTheme="majorBidi" w:hAnsiTheme="majorBidi" w:cstheme="majorBidi"/>
          <w:szCs w:val="24"/>
          <w:lang w:val="fr-CH"/>
        </w:rPr>
        <w:t>que</w:t>
      </w:r>
      <w:r w:rsidR="007F4DFC" w:rsidRPr="00CA3220">
        <w:rPr>
          <w:rFonts w:asciiTheme="majorBidi" w:hAnsiTheme="majorBidi" w:cstheme="majorBidi"/>
          <w:szCs w:val="24"/>
          <w:lang w:val="fr-CH"/>
        </w:rPr>
        <w:t xml:space="preserve"> les applications WAN et FAN utilisant des connexions hertziennes qui exigent une grande fiabilité et une grande disponibilité </w:t>
      </w:r>
      <w:r w:rsidR="00206CD4" w:rsidRPr="00CA3220">
        <w:rPr>
          <w:rFonts w:asciiTheme="majorBidi" w:hAnsiTheme="majorBidi" w:cstheme="majorBidi"/>
          <w:szCs w:val="24"/>
          <w:lang w:val="fr-CH"/>
        </w:rPr>
        <w:t xml:space="preserve">fonctionnent </w:t>
      </w:r>
      <w:r w:rsidR="007F4DFC" w:rsidRPr="00CA3220">
        <w:rPr>
          <w:rFonts w:asciiTheme="majorBidi" w:hAnsiTheme="majorBidi" w:cstheme="majorBidi"/>
          <w:szCs w:val="24"/>
          <w:lang w:val="fr-CH"/>
        </w:rPr>
        <w:t>dans des bandes assujetties à des licences individuelles, à des normes obligatoires ou à d'autres formes de réglementation.</w:t>
      </w:r>
    </w:p>
    <w:p w:rsidR="00446B13" w:rsidRPr="00CA3220" w:rsidRDefault="00446B13" w:rsidP="00664299">
      <w:pPr>
        <w:pStyle w:val="Heading2"/>
        <w:rPr>
          <w:lang w:val="fr-CH"/>
        </w:rPr>
      </w:pPr>
      <w:bookmarkStart w:id="85" w:name="_Toc498437772"/>
      <w:bookmarkStart w:id="86" w:name="_Toc498500112"/>
      <w:bookmarkStart w:id="87" w:name="_Toc498500363"/>
      <w:bookmarkStart w:id="88" w:name="_Toc498516128"/>
      <w:r w:rsidRPr="00CA3220">
        <w:rPr>
          <w:lang w:val="fr-CH"/>
        </w:rPr>
        <w:t>7.2</w:t>
      </w:r>
      <w:r w:rsidRPr="00CA3220">
        <w:rPr>
          <w:lang w:val="fr-CH"/>
        </w:rPr>
        <w:tab/>
        <w:t>Réseaux WAN/NAN/FAN</w:t>
      </w:r>
      <w:bookmarkEnd w:id="85"/>
      <w:bookmarkEnd w:id="86"/>
      <w:bookmarkEnd w:id="87"/>
      <w:bookmarkEnd w:id="88"/>
    </w:p>
    <w:p w:rsidR="00446B13" w:rsidRPr="00CA3220" w:rsidRDefault="00446B13" w:rsidP="00664299">
      <w:pPr>
        <w:rPr>
          <w:rFonts w:asciiTheme="majorBidi" w:hAnsiTheme="majorBidi" w:cstheme="majorBidi"/>
          <w:szCs w:val="24"/>
          <w:lang w:val="fr-CH"/>
        </w:rPr>
      </w:pPr>
      <w:r w:rsidRPr="00CA3220">
        <w:rPr>
          <w:rFonts w:asciiTheme="majorBidi" w:hAnsiTheme="majorBidi" w:cstheme="majorBidi"/>
          <w:szCs w:val="24"/>
          <w:lang w:val="fr-CH"/>
        </w:rPr>
        <w:t>Les réseaux de communication WAN/NAN/FAN ont en commun de devoir être capables d'acheminer des données sur des distances relativement longues (quartiers, villes) vers des centres d'opération. Ils peuvent desservir directement le noeud d'extrémité ou servir de liaisons de raccordement. Le type de solution choisie dépend de nombreuses considérations, parmi lesquelles:</w:t>
      </w:r>
    </w:p>
    <w:p w:rsidR="00446B13" w:rsidRPr="00CA3220" w:rsidRDefault="00446B13" w:rsidP="00664299">
      <w:pPr>
        <w:pStyle w:val="enumlev1"/>
        <w:rPr>
          <w:lang w:val="fr-CH"/>
        </w:rPr>
      </w:pPr>
      <w:r w:rsidRPr="00CA3220">
        <w:rPr>
          <w:lang w:val="fr-CH"/>
        </w:rPr>
        <w:t>–</w:t>
      </w:r>
      <w:r w:rsidRPr="00CA3220">
        <w:rPr>
          <w:lang w:val="fr-CH"/>
        </w:rPr>
        <w:tab/>
        <w:t>la longueur de la liaison;</w:t>
      </w:r>
    </w:p>
    <w:p w:rsidR="00446B13" w:rsidRPr="00CA3220" w:rsidRDefault="00446B13" w:rsidP="00664299">
      <w:pPr>
        <w:pStyle w:val="enumlev1"/>
        <w:rPr>
          <w:lang w:val="fr-CH"/>
        </w:rPr>
      </w:pPr>
      <w:r w:rsidRPr="00CA3220">
        <w:rPr>
          <w:lang w:val="fr-CH"/>
        </w:rPr>
        <w:t>–</w:t>
      </w:r>
      <w:r w:rsidRPr="00CA3220">
        <w:rPr>
          <w:lang w:val="fr-CH"/>
        </w:rPr>
        <w:tab/>
        <w:t>la disponibilité d'un droit de passage (pour les solutions par câble);</w:t>
      </w:r>
    </w:p>
    <w:p w:rsidR="00446B13" w:rsidRPr="00CA3220" w:rsidRDefault="00446B13" w:rsidP="00664299">
      <w:pPr>
        <w:pStyle w:val="enumlev1"/>
        <w:rPr>
          <w:lang w:val="fr-CH"/>
        </w:rPr>
      </w:pPr>
      <w:r w:rsidRPr="00CA3220">
        <w:rPr>
          <w:lang w:val="fr-CH"/>
        </w:rPr>
        <w:t>–</w:t>
      </w:r>
      <w:r w:rsidRPr="00CA3220">
        <w:rPr>
          <w:lang w:val="fr-CH"/>
        </w:rPr>
        <w:tab/>
        <w:t>la capacité de la liaison;</w:t>
      </w:r>
    </w:p>
    <w:p w:rsidR="00446B13" w:rsidRPr="00CA3220" w:rsidRDefault="00446B13" w:rsidP="00664299">
      <w:pPr>
        <w:pStyle w:val="enumlev1"/>
        <w:rPr>
          <w:lang w:val="fr-CH"/>
        </w:rPr>
      </w:pPr>
      <w:r w:rsidRPr="00CA3220">
        <w:rPr>
          <w:lang w:val="fr-CH"/>
        </w:rPr>
        <w:t>–</w:t>
      </w:r>
      <w:r w:rsidRPr="00CA3220">
        <w:rPr>
          <w:lang w:val="fr-CH"/>
        </w:rPr>
        <w:tab/>
        <w:t>les dispositifs non alimentés sur secteur;</w:t>
      </w:r>
    </w:p>
    <w:p w:rsidR="00446B13" w:rsidRPr="00CA3220" w:rsidRDefault="00446B13" w:rsidP="00664299">
      <w:pPr>
        <w:pStyle w:val="enumlev1"/>
        <w:rPr>
          <w:lang w:val="fr-CH"/>
        </w:rPr>
      </w:pPr>
      <w:r w:rsidRPr="00CA3220">
        <w:rPr>
          <w:lang w:val="fr-CH"/>
        </w:rPr>
        <w:t>–</w:t>
      </w:r>
      <w:r w:rsidRPr="00CA3220">
        <w:rPr>
          <w:lang w:val="fr-CH"/>
        </w:rPr>
        <w:tab/>
        <w:t>la disponibilité;</w:t>
      </w:r>
    </w:p>
    <w:p w:rsidR="00446B13" w:rsidRPr="00CA3220" w:rsidRDefault="00446B13" w:rsidP="00664299">
      <w:pPr>
        <w:pStyle w:val="enumlev1"/>
        <w:rPr>
          <w:lang w:val="fr-CH"/>
        </w:rPr>
      </w:pPr>
      <w:r w:rsidRPr="00CA3220">
        <w:rPr>
          <w:lang w:val="fr-CH"/>
        </w:rPr>
        <w:t>–</w:t>
      </w:r>
      <w:r w:rsidRPr="00CA3220">
        <w:rPr>
          <w:lang w:val="fr-CH"/>
        </w:rPr>
        <w:tab/>
        <w:t>la fiabilité;</w:t>
      </w:r>
    </w:p>
    <w:p w:rsidR="00446B13" w:rsidRPr="00CA3220" w:rsidRDefault="00446B13" w:rsidP="00664299">
      <w:pPr>
        <w:pStyle w:val="enumlev1"/>
        <w:rPr>
          <w:lang w:val="fr-CH"/>
        </w:rPr>
      </w:pPr>
      <w:r w:rsidRPr="00CA3220">
        <w:rPr>
          <w:lang w:val="fr-CH"/>
        </w:rPr>
        <w:t>–</w:t>
      </w:r>
      <w:r w:rsidRPr="00CA3220">
        <w:rPr>
          <w:lang w:val="fr-CH"/>
        </w:rPr>
        <w:tab/>
        <w:t>les éventuelles dispositions réglementaires s'appliquant à l'utilisation du spectre (avec ou sans licence).</w:t>
      </w:r>
    </w:p>
    <w:p w:rsidR="00446B13" w:rsidRPr="00CA3220" w:rsidRDefault="00446B13" w:rsidP="00664299">
      <w:pPr>
        <w:pStyle w:val="enumlev1"/>
        <w:ind w:left="0" w:firstLine="0"/>
        <w:rPr>
          <w:lang w:val="fr-CH"/>
        </w:rPr>
      </w:pPr>
      <w:r w:rsidRPr="00CA3220">
        <w:rPr>
          <w:rFonts w:asciiTheme="majorBidi" w:hAnsiTheme="majorBidi" w:cstheme="majorBidi"/>
          <w:szCs w:val="24"/>
          <w:lang w:val="fr-CH"/>
        </w:rPr>
        <w:t xml:space="preserve">Le Comité IEEE 802 s'occupant des normes relatives aux réseaux LAN/MAN a élaboré plusieurs normes </w:t>
      </w:r>
      <w:r w:rsidR="00206CD4" w:rsidRPr="00CA3220">
        <w:rPr>
          <w:rFonts w:asciiTheme="majorBidi" w:hAnsiTheme="majorBidi" w:cstheme="majorBidi"/>
          <w:szCs w:val="24"/>
          <w:lang w:val="fr-CH"/>
        </w:rPr>
        <w:t xml:space="preserve">hertziennes </w:t>
      </w:r>
      <w:r w:rsidRPr="00CA3220">
        <w:rPr>
          <w:rFonts w:asciiTheme="majorBidi" w:hAnsiTheme="majorBidi" w:cstheme="majorBidi"/>
          <w:szCs w:val="24"/>
          <w:lang w:val="fr-CH"/>
        </w:rPr>
        <w:t>qui sont actuellement utilisées pour prendre en charge les applications de réseaux intelligents.</w:t>
      </w:r>
    </w:p>
    <w:p w:rsidR="00446B13" w:rsidRPr="00CA3220" w:rsidRDefault="00446B13" w:rsidP="00664299">
      <w:pPr>
        <w:rPr>
          <w:rFonts w:asciiTheme="majorBidi" w:hAnsiTheme="majorBidi" w:cstheme="majorBidi"/>
          <w:szCs w:val="24"/>
          <w:lang w:val="fr-CH"/>
        </w:rPr>
      </w:pPr>
      <w:r w:rsidRPr="00CA3220">
        <w:rPr>
          <w:rFonts w:asciiTheme="majorBidi" w:hAnsiTheme="majorBidi" w:cstheme="majorBidi"/>
          <w:szCs w:val="24"/>
          <w:lang w:val="fr-CH"/>
        </w:rPr>
        <w:t>Ces solutions sont les suivantes:</w:t>
      </w:r>
    </w:p>
    <w:p w:rsidR="00446B13" w:rsidRPr="00CA3220" w:rsidRDefault="00446B13" w:rsidP="00664299">
      <w:pPr>
        <w:pStyle w:val="enumlev1"/>
        <w:rPr>
          <w:rFonts w:asciiTheme="majorBidi" w:hAnsiTheme="majorBidi" w:cstheme="majorBidi"/>
          <w:szCs w:val="24"/>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t>Normes hertziennes prenant en charge des systèmes hertziens point à multipoint:</w:t>
      </w:r>
    </w:p>
    <w:p w:rsidR="00AB44A4" w:rsidRPr="00CA3220" w:rsidRDefault="00AB44A4" w:rsidP="00664299">
      <w:pPr>
        <w:pStyle w:val="enumlev2"/>
        <w:rPr>
          <w:lang w:val="fr-CH"/>
        </w:rPr>
      </w:pPr>
      <w:r w:rsidRPr="00CA3220">
        <w:rPr>
          <w:lang w:val="fr-CH"/>
        </w:rPr>
        <w:t>•</w:t>
      </w:r>
      <w:r w:rsidRPr="00CA3220">
        <w:rPr>
          <w:lang w:val="fr-CH"/>
        </w:rPr>
        <w:tab/>
      </w:r>
      <w:r w:rsidRPr="00CA3220">
        <w:rPr>
          <w:rFonts w:asciiTheme="majorBidi" w:hAnsiTheme="majorBidi" w:cstheme="majorBidi"/>
          <w:szCs w:val="24"/>
          <w:lang w:val="fr-CH"/>
        </w:rPr>
        <w:t>IEEE 802.11</w:t>
      </w:r>
    </w:p>
    <w:p w:rsidR="00446B13" w:rsidRPr="00CA3220" w:rsidRDefault="00446B13" w:rsidP="00664299">
      <w:pPr>
        <w:pStyle w:val="enumlev2"/>
        <w:rPr>
          <w:lang w:val="fr-CH"/>
        </w:rPr>
      </w:pPr>
      <w:r w:rsidRPr="00CA3220">
        <w:rPr>
          <w:lang w:val="fr-CH"/>
        </w:rPr>
        <w:t>•</w:t>
      </w:r>
      <w:r w:rsidRPr="00CA3220">
        <w:rPr>
          <w:lang w:val="fr-CH"/>
        </w:rPr>
        <w:tab/>
      </w:r>
      <w:r w:rsidRPr="00CA3220">
        <w:rPr>
          <w:rFonts w:asciiTheme="majorBidi" w:hAnsiTheme="majorBidi" w:cstheme="majorBidi"/>
          <w:szCs w:val="24"/>
          <w:lang w:val="fr-CH"/>
        </w:rPr>
        <w:t>IEEE 802.16</w:t>
      </w:r>
    </w:p>
    <w:p w:rsidR="00446B13" w:rsidRPr="00CA3220" w:rsidRDefault="00446B13" w:rsidP="00664299">
      <w:pPr>
        <w:pStyle w:val="enumlev2"/>
        <w:rPr>
          <w:lang w:val="fr-CH"/>
        </w:rPr>
      </w:pPr>
      <w:r w:rsidRPr="00CA3220">
        <w:rPr>
          <w:lang w:val="fr-CH"/>
        </w:rPr>
        <w:t>•</w:t>
      </w:r>
      <w:r w:rsidRPr="00CA3220">
        <w:rPr>
          <w:lang w:val="fr-CH"/>
        </w:rPr>
        <w:tab/>
        <w:t>IEEE 802.20</w:t>
      </w:r>
    </w:p>
    <w:p w:rsidR="00446B13" w:rsidRPr="00CA3220" w:rsidRDefault="00446B13" w:rsidP="00664299">
      <w:pPr>
        <w:pStyle w:val="enumlev2"/>
        <w:rPr>
          <w:lang w:val="fr-CH"/>
        </w:rPr>
      </w:pPr>
      <w:r w:rsidRPr="00CA3220">
        <w:rPr>
          <w:lang w:val="fr-CH"/>
        </w:rPr>
        <w:t>•</w:t>
      </w:r>
      <w:r w:rsidRPr="00CA3220">
        <w:rPr>
          <w:lang w:val="fr-CH"/>
        </w:rPr>
        <w:tab/>
        <w:t>IEEE 802.22</w:t>
      </w:r>
    </w:p>
    <w:p w:rsidR="00446B13" w:rsidRPr="00CA3220" w:rsidRDefault="00446B13" w:rsidP="00664299">
      <w:pPr>
        <w:pStyle w:val="enumlev1"/>
        <w:keepNext/>
        <w:keepLines/>
        <w:rPr>
          <w:rFonts w:asciiTheme="majorBidi" w:hAnsiTheme="majorBidi" w:cstheme="majorBidi"/>
          <w:szCs w:val="24"/>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t>Normes hertziennes prenant en charge des systèmes hertziens pour réseaux maillés:</w:t>
      </w:r>
    </w:p>
    <w:p w:rsidR="00446B13" w:rsidRPr="00CA3220" w:rsidRDefault="00446B13" w:rsidP="00664299">
      <w:pPr>
        <w:pStyle w:val="enumlev2"/>
        <w:rPr>
          <w:rFonts w:asciiTheme="majorBidi" w:hAnsiTheme="majorBidi" w:cstheme="majorBidi"/>
          <w:szCs w:val="24"/>
          <w:lang w:val="fr-CH"/>
        </w:rPr>
      </w:pPr>
      <w:r w:rsidRPr="00CA3220">
        <w:rPr>
          <w:lang w:val="fr-CH"/>
        </w:rPr>
        <w:t>•</w:t>
      </w:r>
      <w:r w:rsidRPr="00CA3220">
        <w:rPr>
          <w:lang w:val="fr-CH"/>
        </w:rPr>
        <w:tab/>
      </w:r>
      <w:r w:rsidRPr="00CA3220">
        <w:rPr>
          <w:rFonts w:asciiTheme="majorBidi" w:hAnsiTheme="majorBidi" w:cstheme="majorBidi"/>
          <w:szCs w:val="24"/>
          <w:lang w:val="fr-CH"/>
        </w:rPr>
        <w:t>IEEE 802.15.4</w:t>
      </w:r>
    </w:p>
    <w:p w:rsidR="00446B13" w:rsidRPr="00CA3220" w:rsidRDefault="00446B13" w:rsidP="00664299">
      <w:pPr>
        <w:pStyle w:val="enumlev2"/>
        <w:rPr>
          <w:lang w:val="fr-CH"/>
        </w:rPr>
      </w:pPr>
      <w:r w:rsidRPr="00CA3220">
        <w:rPr>
          <w:lang w:val="fr-CH"/>
        </w:rPr>
        <w:t>•</w:t>
      </w:r>
      <w:r w:rsidRPr="00CA3220">
        <w:rPr>
          <w:lang w:val="fr-CH"/>
        </w:rPr>
        <w:tab/>
        <w:t>IEEE 802.11</w:t>
      </w:r>
    </w:p>
    <w:p w:rsidR="00DE31BE" w:rsidRPr="00CA3220" w:rsidRDefault="00DE31BE" w:rsidP="00532499">
      <w:pPr>
        <w:keepNext/>
        <w:keepLines/>
        <w:rPr>
          <w:rFonts w:asciiTheme="majorBidi" w:hAnsiTheme="majorBidi" w:cstheme="majorBidi"/>
          <w:szCs w:val="24"/>
          <w:lang w:val="fr-CH"/>
        </w:rPr>
      </w:pPr>
      <w:r w:rsidRPr="00CA3220">
        <w:rPr>
          <w:rFonts w:asciiTheme="majorBidi" w:hAnsiTheme="majorBidi" w:cstheme="majorBidi"/>
          <w:szCs w:val="24"/>
          <w:lang w:val="fr-CH"/>
        </w:rPr>
        <w:lastRenderedPageBreak/>
        <w:t xml:space="preserve">D'autres technologies de communication hertziennes peuvent contribuer à répondre aux exigences des réseaux intelligents, comme les technologies cellulaires ou la radiodiffusion sonore. Les réseaux cellulaires relevant du 3GPP (GSM/EDGE, WCDMA/HSPA et LTE), qui fournissaient au départ des services téléphoniques, ont évolué et assurent aujourd'hui un large éventail d'applications de données, avec prise en charge intégrée de la sécurité et de la qualité de service. Dans des éditions récentes de normes 3GPP, des améliorations ont été apportées du point de vue de la normalisation des communications de type machine (MTC), avec la prise en charge de la gestion des encombrements, un allongement de la durée de vie des batteries des appareils et la simplification de la prise en charge des dispositifs. Les compteurs intelligents offrent des fonctions de surveillance et de commande individuelles assurées grâce à la technologie GSM. En outre, depuis plusieurs dizaines d'années, les réseaux de radiodiffusion à modulation de fréquence aux Etats-Unis et le service de radiodiffusion à 198 kHz </w:t>
      </w:r>
      <w:r w:rsidR="00206CD4" w:rsidRPr="00CA3220">
        <w:rPr>
          <w:rFonts w:asciiTheme="majorBidi" w:hAnsiTheme="majorBidi" w:cstheme="majorBidi"/>
          <w:szCs w:val="24"/>
          <w:lang w:val="fr-CH"/>
        </w:rPr>
        <w:t>en ondes kilométriques</w:t>
      </w:r>
      <w:r w:rsidRPr="00CA3220">
        <w:rPr>
          <w:rFonts w:asciiTheme="majorBidi" w:hAnsiTheme="majorBidi" w:cstheme="majorBidi"/>
          <w:szCs w:val="24"/>
          <w:lang w:val="fr-CH"/>
        </w:rPr>
        <w:t xml:space="preserve"> couvrant tout le territoire du Royaume</w:t>
      </w:r>
      <w:r w:rsidRPr="00CA3220">
        <w:rPr>
          <w:rFonts w:asciiTheme="majorBidi" w:hAnsiTheme="majorBidi" w:cstheme="majorBidi"/>
          <w:szCs w:val="24"/>
          <w:lang w:val="fr-CH"/>
        </w:rPr>
        <w:noBreakHyphen/>
        <w:t>Uni sont utilisés pour transmettre des sous</w:t>
      </w:r>
      <w:r w:rsidRPr="00CA3220">
        <w:rPr>
          <w:rFonts w:asciiTheme="majorBidi" w:hAnsiTheme="majorBidi" w:cstheme="majorBidi"/>
          <w:szCs w:val="24"/>
          <w:lang w:val="fr-CH"/>
        </w:rPr>
        <w:noBreakHyphen/>
        <w:t xml:space="preserve">porteuses sans signal audio qui permettent de passer simplement, dans des zones étendues, d'un tarif à </w:t>
      </w:r>
      <w:r w:rsidR="006A7EBC" w:rsidRPr="00CA3220">
        <w:rPr>
          <w:rFonts w:asciiTheme="majorBidi" w:hAnsiTheme="majorBidi" w:cstheme="majorBidi"/>
          <w:szCs w:val="24"/>
          <w:lang w:val="fr-CH"/>
        </w:rPr>
        <w:t>l'</w:t>
      </w:r>
      <w:r w:rsidRPr="00CA3220">
        <w:rPr>
          <w:rFonts w:asciiTheme="majorBidi" w:hAnsiTheme="majorBidi" w:cstheme="majorBidi"/>
          <w:szCs w:val="24"/>
          <w:lang w:val="fr-CH"/>
        </w:rPr>
        <w:t>autre en fonction de la consommation. Le Comité IEEE 802 s'occupant des normes relatives aux réseaux LAN/MAN a élaboré plusieurs normes qui sont actuellement utilisées pour prendre en charge les applications de réseaux intelligents.</w:t>
      </w:r>
    </w:p>
    <w:p w:rsidR="00DE31BE" w:rsidRPr="00CA3220" w:rsidRDefault="00AB44A4" w:rsidP="00664299">
      <w:pPr>
        <w:pStyle w:val="Heading1"/>
        <w:rPr>
          <w:szCs w:val="24"/>
          <w:lang w:val="fr-CH"/>
        </w:rPr>
      </w:pPr>
      <w:bookmarkStart w:id="89" w:name="_Toc438029886"/>
      <w:bookmarkStart w:id="90" w:name="_Toc440533902"/>
      <w:bookmarkStart w:id="91" w:name="_Toc498437773"/>
      <w:bookmarkStart w:id="92" w:name="_Toc498500113"/>
      <w:bookmarkStart w:id="93" w:name="_Toc498500364"/>
      <w:bookmarkStart w:id="94" w:name="_Toc498516129"/>
      <w:r w:rsidRPr="00CA3220">
        <w:rPr>
          <w:szCs w:val="24"/>
          <w:lang w:val="fr-CH"/>
        </w:rPr>
        <w:t>8</w:t>
      </w:r>
      <w:r w:rsidR="00DE31BE" w:rsidRPr="00CA3220">
        <w:rPr>
          <w:szCs w:val="24"/>
          <w:lang w:val="fr-CH"/>
        </w:rPr>
        <w:tab/>
        <w:t>Considérations liées aux brouillages associées à la mise en oeuvre de technologies hertziennes ou filaires de transmission de données utilisées pour les systèmes de gestion des réseaux de distribution d'électricité</w:t>
      </w:r>
      <w:bookmarkEnd w:id="89"/>
      <w:bookmarkEnd w:id="90"/>
      <w:bookmarkEnd w:id="91"/>
      <w:bookmarkEnd w:id="92"/>
      <w:bookmarkEnd w:id="93"/>
      <w:bookmarkEnd w:id="94"/>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 Comité des normes LAN/MAN IEEE 802 a élaboré de nombreuses technologies hertziennes qui assurent des communications résilientes en cas de brouillages permettant de gérer les réseaux de distribution d'électricité sans causer de brouillages.</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caractéristiques types des normes IEEE 802 sont les suivantes:</w:t>
      </w:r>
    </w:p>
    <w:p w:rsidR="00DE31BE" w:rsidRPr="00CA3220" w:rsidRDefault="00DE31BE" w:rsidP="00664299">
      <w:pPr>
        <w:pStyle w:val="enumlev1"/>
        <w:rPr>
          <w:lang w:val="fr-CH"/>
        </w:rPr>
      </w:pPr>
      <w:r w:rsidRPr="00CA3220">
        <w:rPr>
          <w:lang w:val="fr-CH"/>
        </w:rPr>
        <w:t>–</w:t>
      </w:r>
      <w:r w:rsidRPr="00CA3220">
        <w:rPr>
          <w:lang w:val="fr-CH"/>
        </w:rPr>
        <w:tab/>
        <w:t>Par exemple, il est établi depuis de nombreuses années que le</w:t>
      </w:r>
      <w:r w:rsidR="00CA3220">
        <w:rPr>
          <w:lang w:val="fr-CH"/>
        </w:rPr>
        <w:t>s technologies IEEE 802.11 (Wi</w:t>
      </w:r>
      <w:r w:rsidRPr="00CA3220">
        <w:rPr>
          <w:lang w:val="fr-CH"/>
        </w:rPr>
        <w:t>Fi</w:t>
      </w:r>
      <w:r w:rsidRPr="00CA3220">
        <w:rPr>
          <w:vertAlign w:val="superscript"/>
          <w:lang w:val="fr-CH"/>
        </w:rPr>
        <w:t>TM</w:t>
      </w:r>
      <w:r w:rsidRPr="00CA3220">
        <w:rPr>
          <w:lang w:val="fr-CH"/>
        </w:rPr>
        <w:t>) et IEEE 802.15.1 (Bluetooth</w:t>
      </w:r>
      <w:r w:rsidRPr="00CA3220">
        <w:rPr>
          <w:vertAlign w:val="superscript"/>
          <w:lang w:val="fr-CH"/>
        </w:rPr>
        <w:t>TM</w:t>
      </w:r>
      <w:r w:rsidRPr="00CA3220">
        <w:rPr>
          <w:lang w:val="fr-CH"/>
        </w:rPr>
        <w:t>) peuvent coexister tout en fonctionnant dans la même bande.</w:t>
      </w:r>
    </w:p>
    <w:p w:rsidR="00DE31BE" w:rsidRPr="00CA3220" w:rsidRDefault="00DE31BE" w:rsidP="00664299">
      <w:pPr>
        <w:pStyle w:val="enumlev1"/>
        <w:rPr>
          <w:lang w:val="fr-CH"/>
        </w:rPr>
      </w:pPr>
      <w:r w:rsidRPr="00CA3220">
        <w:rPr>
          <w:lang w:val="fr-CH"/>
        </w:rPr>
        <w:t>–</w:t>
      </w:r>
      <w:r w:rsidRPr="00CA3220">
        <w:rPr>
          <w:lang w:val="fr-CH"/>
        </w:rPr>
        <w:tab/>
        <w:t>Même si des milliers de dispositifs de réseaux intelligents seront déployés, les exigences en matière de débits de données qui leur seront associées seront peut</w:t>
      </w:r>
      <w:r w:rsidRPr="00CA3220">
        <w:rPr>
          <w:lang w:val="fr-CH"/>
        </w:rPr>
        <w:noBreakHyphen/>
        <w:t>être faibles et, selon toute vraisemblance, ces dispositifs n'émettront pas tous en même temps. Par conséquent, ils peuvent partager efficacement les mêmes fréquences.</w:t>
      </w:r>
    </w:p>
    <w:p w:rsidR="00DE31BE" w:rsidRPr="00CA3220" w:rsidRDefault="00DE31BE" w:rsidP="00664299">
      <w:pPr>
        <w:pStyle w:val="enumlev1"/>
        <w:rPr>
          <w:lang w:val="fr-CH"/>
        </w:rPr>
      </w:pPr>
      <w:r w:rsidRPr="00CA3220">
        <w:rPr>
          <w:lang w:val="fr-CH"/>
        </w:rPr>
        <w:t>–</w:t>
      </w:r>
      <w:r w:rsidRPr="00CA3220">
        <w:rPr>
          <w:lang w:val="fr-CH"/>
        </w:rPr>
        <w:tab/>
        <w:t>Des régulateurs, comme la Federal Communications Commission et l'Ofcom au Royaume-Uni, ont proposé d'appliquer des limites d'émission strictes dans différentes bandes à respecter obligatoirement pour pouvoir utiliser ces bandes.</w:t>
      </w:r>
    </w:p>
    <w:p w:rsidR="00DE31BE" w:rsidRPr="00CA3220" w:rsidRDefault="00DE31BE" w:rsidP="00664299">
      <w:pPr>
        <w:pStyle w:val="enumlev1"/>
        <w:keepNext/>
        <w:keepLines/>
        <w:rPr>
          <w:lang w:val="fr-CH"/>
        </w:rPr>
      </w:pPr>
      <w:r w:rsidRPr="00CA3220">
        <w:rPr>
          <w:lang w:val="fr-CH"/>
        </w:rPr>
        <w:t>–</w:t>
      </w:r>
      <w:r w:rsidRPr="00CA3220">
        <w:rPr>
          <w:lang w:val="fr-CH"/>
        </w:rPr>
        <w:tab/>
        <w:t>Les nouvelles technologies cognitives de partage des fréquences mises au point dans le cadre du Comité des normes IEEE 802 (par exemple la norme IEEE 802.22-2011</w:t>
      </w:r>
      <w:r w:rsidRPr="00CA3220">
        <w:rPr>
          <w:vertAlign w:val="superscript"/>
          <w:lang w:val="fr-CH"/>
        </w:rPr>
        <w:t>TM</w:t>
      </w:r>
      <w:r w:rsidRPr="00CA3220">
        <w:rPr>
          <w:lang w:val="fr-CH"/>
        </w:rPr>
        <w:t>, également appelée Wi-FAR</w:t>
      </w:r>
      <w:r w:rsidRPr="00CA3220">
        <w:rPr>
          <w:vertAlign w:val="superscript"/>
          <w:lang w:val="fr-CH"/>
        </w:rPr>
        <w:t>TM</w:t>
      </w:r>
      <w:r w:rsidRPr="00CA3220">
        <w:rPr>
          <w:lang w:val="fr-CH"/>
        </w:rPr>
        <w:t>) peuvent utiliser efficacement le spectre sans pour autant nuire aux autres utilisateurs primaires fonctionnant dans ces bandes ou dans les bandes adjacentes.</w:t>
      </w:r>
    </w:p>
    <w:p w:rsidR="00DE31BE" w:rsidRPr="00CA3220" w:rsidRDefault="00DE31BE" w:rsidP="00206CD4">
      <w:pPr>
        <w:pStyle w:val="enumlev1"/>
        <w:rPr>
          <w:lang w:val="fr-CH"/>
        </w:rPr>
      </w:pPr>
      <w:r w:rsidRPr="00CA3220">
        <w:rPr>
          <w:lang w:val="fr-CH"/>
        </w:rPr>
        <w:t>–</w:t>
      </w:r>
      <w:r w:rsidRPr="00CA3220">
        <w:rPr>
          <w:lang w:val="fr-CH"/>
        </w:rPr>
        <w:tab/>
        <w:t>Les fonctionnalités intégrées dans les appareils fondés sur les normes IEEE 802, comme la détection du spectre, les étiquettes relatives au spectre, la gestion d'ensembles de canaux et la coexistence, permettront de faire en sorte que les brouillages que ces appareils se causent mutuellement ou causent à d'autres appareils soient réduits au minimum.</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technologies cellulaires mises au point par le 3GPP utilisent des bandes soumises à obligation de licence et, par conséquent, produisent des brouillages maîtrisés. En outre, des techniques évoluées de gestion des brouillages pour de multiples dispositifs sont en place, par exemple la suppression évoluée des brouillages.</w:t>
      </w:r>
    </w:p>
    <w:p w:rsidR="00DE31BE" w:rsidRPr="00CA3220" w:rsidRDefault="00DE31BE" w:rsidP="00664299">
      <w:pPr>
        <w:keepLines/>
        <w:rPr>
          <w:rFonts w:asciiTheme="majorBidi" w:hAnsiTheme="majorBidi" w:cstheme="majorBidi"/>
          <w:szCs w:val="24"/>
          <w:lang w:val="fr-CH"/>
        </w:rPr>
      </w:pPr>
      <w:r w:rsidRPr="00CA3220">
        <w:rPr>
          <w:rFonts w:asciiTheme="majorBidi" w:hAnsiTheme="majorBidi" w:cstheme="majorBidi"/>
          <w:szCs w:val="24"/>
          <w:lang w:val="fr-CH"/>
        </w:rPr>
        <w:lastRenderedPageBreak/>
        <w:t>Ces solutions 3GPP, qui proposent des technologies pour réseaux de télécommunication cellulaires, comme l'accès radioélectrique, le réseau de transport central et les fonctionnalités de service (et</w:t>
      </w:r>
      <w:r w:rsidR="002E6F01" w:rsidRPr="00CA3220">
        <w:rPr>
          <w:rFonts w:asciiTheme="majorBidi" w:hAnsiTheme="majorBidi" w:cstheme="majorBidi"/>
          <w:szCs w:val="24"/>
          <w:lang w:val="fr-CH"/>
        </w:rPr>
        <w:t> </w:t>
      </w:r>
      <w:r w:rsidRPr="00CA3220">
        <w:rPr>
          <w:rFonts w:asciiTheme="majorBidi" w:hAnsiTheme="majorBidi" w:cstheme="majorBidi"/>
          <w:szCs w:val="24"/>
          <w:lang w:val="fr-CH"/>
        </w:rPr>
        <w:t>traitent également des codecs, de la sécurité ou de la qualité de service), contiennent des spécifications système complètes. Ces spécifications définissent en outre des points de raccordement pour assurer un accès non radioélectrique au réseau central ainsi que l'interfonctionnement avec les réseaux Wi-Fi.</w:t>
      </w:r>
    </w:p>
    <w:p w:rsidR="00DE31BE" w:rsidRPr="00CA3220" w:rsidRDefault="00DE31BE" w:rsidP="00664299">
      <w:pPr>
        <w:rPr>
          <w:lang w:val="fr-CH"/>
        </w:rPr>
      </w:pPr>
      <w:r w:rsidRPr="00CA3220">
        <w:rPr>
          <w:lang w:val="fr-CH"/>
        </w:rPr>
        <w:t>Les principaux objectifs de toutes ces normes publiées par le 3GPP sont les suivants:</w:t>
      </w:r>
    </w:p>
    <w:p w:rsidR="00DE31BE" w:rsidRPr="00CA3220" w:rsidRDefault="00DE31BE" w:rsidP="00664299">
      <w:pPr>
        <w:pStyle w:val="enumlev1"/>
        <w:rPr>
          <w:lang w:val="fr-CH"/>
        </w:rPr>
      </w:pPr>
      <w:r w:rsidRPr="00CA3220">
        <w:rPr>
          <w:lang w:val="fr-CH"/>
        </w:rPr>
        <w:t>–</w:t>
      </w:r>
      <w:r w:rsidRPr="00CA3220">
        <w:rPr>
          <w:lang w:val="fr-CH"/>
        </w:rPr>
        <w:tab/>
        <w:t xml:space="preserve">Rendre le système compatible avec les versions antérieures et ultérieures dans toute la mesure possible, afin de veiller à ce que l'exploitation de l'équipement utilisateur ne soit jamais </w:t>
      </w:r>
      <w:r w:rsidR="00CA3220" w:rsidRPr="00CA3220">
        <w:rPr>
          <w:lang w:val="fr-CH"/>
        </w:rPr>
        <w:t>interrompue</w:t>
      </w:r>
      <w:r w:rsidRPr="00CA3220">
        <w:rPr>
          <w:lang w:val="fr-CH"/>
        </w:rPr>
        <w:t>.</w:t>
      </w:r>
    </w:p>
    <w:p w:rsidR="00DE31BE" w:rsidRPr="00CA3220" w:rsidRDefault="00DE31BE" w:rsidP="00664299">
      <w:pPr>
        <w:pStyle w:val="enumlev1"/>
        <w:rPr>
          <w:lang w:val="fr-CH"/>
        </w:rPr>
      </w:pPr>
      <w:r w:rsidRPr="00CA3220">
        <w:rPr>
          <w:lang w:val="fr-CH"/>
        </w:rPr>
        <w:t>–</w:t>
      </w:r>
      <w:r w:rsidRPr="00CA3220">
        <w:rPr>
          <w:lang w:val="fr-CH"/>
        </w:rPr>
        <w:tab/>
        <w:t>Mener des études approfondies sur la coexistence et élaborer des spécifications afin de garantir l'utilisation en partage des bandes de fréquences par les systèmes employant différentes technologies d'accès 3GPP, avec des incidences minimales sur la qualité de fonctionnement.</w:t>
      </w:r>
    </w:p>
    <w:p w:rsidR="00DE31BE" w:rsidRPr="00CA3220" w:rsidRDefault="00DE31BE" w:rsidP="00664299">
      <w:pPr>
        <w:pStyle w:val="enumlev1"/>
        <w:rPr>
          <w:lang w:val="fr-CH"/>
        </w:rPr>
      </w:pPr>
      <w:r w:rsidRPr="00CA3220">
        <w:rPr>
          <w:lang w:val="fr-CH"/>
        </w:rPr>
        <w:t>–</w:t>
      </w:r>
      <w:r w:rsidRPr="00CA3220">
        <w:rPr>
          <w:lang w:val="fr-CH"/>
        </w:rPr>
        <w:tab/>
        <w:t>Respecter les exigences réglementaires mondiales en matière d'émission.</w:t>
      </w:r>
    </w:p>
    <w:p w:rsidR="00DE31BE" w:rsidRPr="00CA3220" w:rsidRDefault="00DE31BE" w:rsidP="00664299">
      <w:pPr>
        <w:pStyle w:val="enumlev1"/>
        <w:rPr>
          <w:lang w:val="fr-CH"/>
        </w:rPr>
      </w:pPr>
      <w:r w:rsidRPr="00CA3220">
        <w:rPr>
          <w:lang w:val="fr-CH"/>
        </w:rPr>
        <w:t>–</w:t>
      </w:r>
      <w:r w:rsidRPr="00CA3220">
        <w:rPr>
          <w:lang w:val="fr-CH"/>
        </w:rPr>
        <w:tab/>
        <w:t>Fournir et tenir à jour des technologies d'accès prenant en charge une large gamme de débits et de capacités de données.</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En outre, les technologies 3GPP peuvent utiliser des techniques de diversité, par exemple les sauts de fréquences, pour renforcer la protection contre les brouillages et réduire les brouillages causés à d'autres systèmes fonctionnant dans la même bande. Ces technologies utilisent également des techniques de planification et de coordination pour les brouillages, comme la planification des fréquences à l'échelle d'un système et la coordination intercellulaire relative aux brouillages, pour garantir l'utilisation efficace du spectre. Des techniques évoluées de suppression des brouillages sont par ailleurs utilisées au niveau des récepteurs, afin de renforcer la protection contre les brouillages.</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 3GPP2 a élaboré de nombreuses technologies hertziennes qui assurent des communications résilientes en cas de brouillages permettant la gestion des réseaux de distribution d'électricité sans causer de brouillages. Les normes de la famille cdma2000 multiporteuses 3GPP2 sont les suivantes:</w:t>
      </w:r>
    </w:p>
    <w:p w:rsidR="00DE31BE" w:rsidRPr="00CA3220" w:rsidRDefault="00DE31BE" w:rsidP="00664299">
      <w:pPr>
        <w:pStyle w:val="enumlev1"/>
        <w:rPr>
          <w:lang w:val="fr-CH"/>
        </w:rPr>
      </w:pPr>
      <w:r w:rsidRPr="00CA3220">
        <w:rPr>
          <w:lang w:val="fr-CH"/>
        </w:rPr>
        <w:t>–</w:t>
      </w:r>
      <w:r w:rsidRPr="00CA3220">
        <w:rPr>
          <w:lang w:val="fr-CH"/>
        </w:rPr>
        <w:tab/>
        <w:t>cdma2000 1x;</w:t>
      </w:r>
    </w:p>
    <w:p w:rsidR="00DE31BE" w:rsidRPr="00CA3220" w:rsidRDefault="00DE31BE" w:rsidP="00664299">
      <w:pPr>
        <w:pStyle w:val="enumlev1"/>
        <w:rPr>
          <w:lang w:val="fr-CH"/>
        </w:rPr>
      </w:pPr>
      <w:r w:rsidRPr="00CA3220">
        <w:rPr>
          <w:lang w:val="fr-CH"/>
        </w:rPr>
        <w:t>–</w:t>
      </w:r>
      <w:r w:rsidRPr="00CA3220">
        <w:rPr>
          <w:lang w:val="fr-CH"/>
        </w:rPr>
        <w:tab/>
        <w:t>cdma2000 à haut débit de données en paquets (HRDP/EV-DO);</w:t>
      </w:r>
    </w:p>
    <w:p w:rsidR="00DE31BE" w:rsidRPr="00CA3220" w:rsidRDefault="00DE31BE" w:rsidP="00664299">
      <w:pPr>
        <w:pStyle w:val="enumlev1"/>
        <w:rPr>
          <w:lang w:val="fr-CH"/>
        </w:rPr>
      </w:pPr>
      <w:r w:rsidRPr="00CA3220">
        <w:rPr>
          <w:lang w:val="fr-CH"/>
        </w:rPr>
        <w:t>–</w:t>
      </w:r>
      <w:r w:rsidRPr="00CA3220">
        <w:rPr>
          <w:lang w:val="fr-CH"/>
        </w:rPr>
        <w:tab/>
        <w:t>cdma2000 à haut débit de données en paquets étendue (xHRPD).</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normes de la famille cdma2000 multiporteuses 3GPP2 sont reconnues par l'UIT comme des technologies IMT telles qu'elles sont décrites dans la Recommandation UIT-R M.1457. Leurs fonctionnalités types sont les suivantes:</w:t>
      </w:r>
    </w:p>
    <w:p w:rsidR="00DE31BE" w:rsidRPr="00CA3220" w:rsidRDefault="00DE31BE" w:rsidP="00664299">
      <w:pPr>
        <w:pStyle w:val="enumlev1"/>
        <w:rPr>
          <w:lang w:val="fr-CH"/>
        </w:rPr>
      </w:pPr>
      <w:r w:rsidRPr="00CA3220">
        <w:rPr>
          <w:lang w:val="fr-CH"/>
        </w:rPr>
        <w:t>–</w:t>
      </w:r>
      <w:r w:rsidRPr="00CA3220">
        <w:rPr>
          <w:lang w:val="fr-CH"/>
        </w:rPr>
        <w:tab/>
        <w:t>Technologies éprouvées avec commande d'accès sophistiquée permettant de prendre en charge un grand nombre d'utilisateurs en mode accès aléatoire comme en mode trafic avec des brouillages minimes.</w:t>
      </w:r>
    </w:p>
    <w:p w:rsidR="00DE31BE" w:rsidRPr="00CA3220" w:rsidRDefault="00DE31BE" w:rsidP="00664299">
      <w:pPr>
        <w:pStyle w:val="enumlev1"/>
        <w:rPr>
          <w:lang w:val="fr-CH"/>
        </w:rPr>
      </w:pPr>
      <w:r w:rsidRPr="00CA3220">
        <w:rPr>
          <w:lang w:val="fr-CH"/>
        </w:rPr>
        <w:t>–</w:t>
      </w:r>
      <w:r w:rsidRPr="00CA3220">
        <w:rPr>
          <w:lang w:val="fr-CH"/>
        </w:rPr>
        <w:tab/>
        <w:t>Technologie déjà déployée partout dans le monde pour fournir la connectivité dans une zone géographique étendue.</w:t>
      </w:r>
    </w:p>
    <w:p w:rsidR="00DE31BE" w:rsidRPr="00CA3220" w:rsidRDefault="00DE31BE" w:rsidP="00664299">
      <w:pPr>
        <w:pStyle w:val="enumlev1"/>
        <w:rPr>
          <w:lang w:val="fr-CH"/>
        </w:rPr>
      </w:pPr>
      <w:r w:rsidRPr="00CA3220">
        <w:rPr>
          <w:lang w:val="fr-CH"/>
        </w:rPr>
        <w:t>–</w:t>
      </w:r>
      <w:r w:rsidRPr="00CA3220">
        <w:rPr>
          <w:lang w:val="fr-CH"/>
        </w:rPr>
        <w:tab/>
        <w:t>Chaque station de base est conçue pour avoir une grande zone de couverture.</w:t>
      </w:r>
    </w:p>
    <w:p w:rsidR="00DE31BE" w:rsidRPr="00CA3220" w:rsidRDefault="00DE31BE" w:rsidP="00664299">
      <w:pPr>
        <w:pStyle w:val="enumlev1"/>
        <w:rPr>
          <w:lang w:val="fr-CH"/>
        </w:rPr>
      </w:pPr>
      <w:r w:rsidRPr="00CA3220">
        <w:rPr>
          <w:lang w:val="fr-CH"/>
        </w:rPr>
        <w:t>–</w:t>
      </w:r>
      <w:r w:rsidRPr="00CA3220">
        <w:rPr>
          <w:lang w:val="fr-CH"/>
        </w:rPr>
        <w:tab/>
        <w:t>Ensemble complet de spécifications comprenant des spécifications se rapportant aux réseaux, à la sécurité, aux tests et à la qualité de fonctionnement.</w:t>
      </w:r>
    </w:p>
    <w:p w:rsidR="00DE31BE" w:rsidRPr="00CA3220" w:rsidRDefault="00AB44A4" w:rsidP="00664299">
      <w:pPr>
        <w:pStyle w:val="Heading1"/>
        <w:rPr>
          <w:szCs w:val="24"/>
          <w:lang w:val="fr-CH"/>
        </w:rPr>
      </w:pPr>
      <w:bookmarkStart w:id="95" w:name="_Toc438029887"/>
      <w:bookmarkStart w:id="96" w:name="_Toc440533903"/>
      <w:bookmarkStart w:id="97" w:name="_Toc498437774"/>
      <w:bookmarkStart w:id="98" w:name="_Toc498500114"/>
      <w:bookmarkStart w:id="99" w:name="_Toc498500365"/>
      <w:bookmarkStart w:id="100" w:name="_Toc498516130"/>
      <w:r w:rsidRPr="00CA3220">
        <w:rPr>
          <w:szCs w:val="24"/>
          <w:lang w:val="fr-CH"/>
        </w:rPr>
        <w:lastRenderedPageBreak/>
        <w:t>9</w:t>
      </w:r>
      <w:r w:rsidR="00DE31BE" w:rsidRPr="00CA3220">
        <w:rPr>
          <w:szCs w:val="24"/>
          <w:lang w:val="fr-CH"/>
        </w:rPr>
        <w:tab/>
        <w:t>Incidences sur la disponibilité du spectre du déploiement à grande échelle des réseaux filaires et hertziens utilisés pour les systèmes de gestion du réseau de distribution d'électricité</w:t>
      </w:r>
      <w:bookmarkEnd w:id="95"/>
      <w:bookmarkEnd w:id="96"/>
      <w:bookmarkEnd w:id="97"/>
      <w:bookmarkEnd w:id="98"/>
      <w:bookmarkEnd w:id="99"/>
      <w:bookmarkEnd w:id="100"/>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technologies hertziennes cellulaires 3GPP et les normes de la famille IEEE 802 ont notamment pour objectif que la disponibilité du spectre ne soit pas affectée par les brouillages associés au déploiement à grande échelle de ces technologies et dispositifs.</w:t>
      </w:r>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Cet aspect est essentiel pour les raisons suivantes:</w:t>
      </w:r>
    </w:p>
    <w:p w:rsidR="00DE31BE" w:rsidRPr="00CA3220" w:rsidRDefault="00DE31BE" w:rsidP="00664299">
      <w:pPr>
        <w:pStyle w:val="enumlev1"/>
        <w:rPr>
          <w:lang w:val="fr-CH"/>
        </w:rPr>
      </w:pPr>
      <w:r w:rsidRPr="00CA3220">
        <w:rPr>
          <w:lang w:val="fr-CH"/>
        </w:rPr>
        <w:t>–</w:t>
      </w:r>
      <w:r w:rsidRPr="00CA3220">
        <w:rPr>
          <w:lang w:val="fr-CH"/>
        </w:rPr>
        <w:tab/>
        <w:t>Des millions de dispositifs hertziens pour réseaux intelligents sont actuellement en place dans différents pays et dans différentes régions (par exemple en Europe, en Australie et en Amérique du Nord) et fonctionnent dans des bandes utilisées en partage. Ces dispositifs sont de plus en plus nombreux et leur nombre devrait continuer d'augmenter dans ces régions car ils sont performants et efficaces.</w:t>
      </w:r>
    </w:p>
    <w:p w:rsidR="00DE31BE" w:rsidRPr="00CA3220" w:rsidRDefault="00DE31BE" w:rsidP="00664299">
      <w:pPr>
        <w:pStyle w:val="enumlev1"/>
        <w:rPr>
          <w:lang w:val="fr-CH"/>
        </w:rPr>
      </w:pPr>
      <w:r w:rsidRPr="00CA3220">
        <w:rPr>
          <w:lang w:val="fr-CH"/>
        </w:rPr>
        <w:t>–</w:t>
      </w:r>
      <w:r w:rsidRPr="00CA3220">
        <w:rPr>
          <w:lang w:val="fr-CH"/>
        </w:rPr>
        <w:tab/>
        <w:t>Les appareils mobiles hertziens grand public sont très utilisés partout dans le monde. Chaque appareil peut transférer des gigabits de données chaque mois. En revanche, les dispositifs hertziens pour réseaux intelligents transfèrent des volumes de données beaucoup moins importants. Les bandes soumises à obligation de licence, qui sont gérées par les exploitants hertziens, peuvent facilement permettre de prendre en charge le trafic supplémentaire.</w:t>
      </w:r>
    </w:p>
    <w:p w:rsidR="00DE31BE" w:rsidRPr="00CA3220" w:rsidRDefault="00DE31BE" w:rsidP="00664299">
      <w:pPr>
        <w:pStyle w:val="enumlev1"/>
        <w:rPr>
          <w:lang w:val="fr-CH"/>
        </w:rPr>
      </w:pPr>
      <w:r w:rsidRPr="00CA3220">
        <w:rPr>
          <w:lang w:val="fr-CH"/>
        </w:rPr>
        <w:t>–</w:t>
      </w:r>
      <w:r w:rsidRPr="00CA3220">
        <w:rPr>
          <w:lang w:val="fr-CH"/>
        </w:rPr>
        <w:tab/>
        <w:t>Grâce aux textes réglementaires existants élaborés par des régulateurs comme la Federal Communications Commission et l'Ofcom, des millions de dispositifs hertziens pour réseaux intelligents fonctionnent sans se nuire mutuellement.</w:t>
      </w:r>
    </w:p>
    <w:p w:rsidR="00DE31BE" w:rsidRPr="00CA3220" w:rsidRDefault="00DE31BE" w:rsidP="00664299">
      <w:pPr>
        <w:pStyle w:val="enumlev1"/>
        <w:rPr>
          <w:lang w:val="fr-CH"/>
        </w:rPr>
      </w:pPr>
      <w:r w:rsidRPr="00CA3220">
        <w:rPr>
          <w:lang w:val="fr-CH"/>
        </w:rPr>
        <w:t>–</w:t>
      </w:r>
      <w:r w:rsidRPr="00CA3220">
        <w:rPr>
          <w:lang w:val="fr-CH"/>
        </w:rPr>
        <w:tab/>
        <w:t xml:space="preserve">Les normes hertziennes IEEE 802 font appel à différentes technologies, par exemple les sauts de fréquences, le routage maillé, la fragmentation, le codage et le haut débit en salves, qui permettent de disposer de réseaux hertziens fiables pour les réseaux de distribution intelligents, qui sont en outre résilients en cas d'interruption des liaisons et de coupure d'électricité. </w:t>
      </w:r>
    </w:p>
    <w:p w:rsidR="00DE31BE" w:rsidRPr="00CA3220" w:rsidRDefault="00DE31BE" w:rsidP="00664299">
      <w:pPr>
        <w:pStyle w:val="enumlev1"/>
        <w:keepLines/>
        <w:rPr>
          <w:rFonts w:asciiTheme="majorBidi" w:hAnsiTheme="majorBidi" w:cstheme="majorBidi"/>
          <w:szCs w:val="24"/>
          <w:lang w:val="fr-CH"/>
        </w:rPr>
      </w:pPr>
      <w:r w:rsidRPr="00CA3220">
        <w:rPr>
          <w:rFonts w:asciiTheme="majorBidi" w:hAnsiTheme="majorBidi" w:cstheme="majorBidi"/>
          <w:szCs w:val="24"/>
          <w:lang w:val="fr-CH"/>
        </w:rPr>
        <w:t>–</w:t>
      </w:r>
      <w:r w:rsidRPr="00CA3220">
        <w:rPr>
          <w:rFonts w:asciiTheme="majorBidi" w:hAnsiTheme="majorBidi" w:cstheme="majorBidi"/>
          <w:szCs w:val="24"/>
          <w:lang w:val="fr-CH"/>
        </w:rPr>
        <w:tab/>
        <w:t>Les technologies hertziennes cellulaires 3GPP ont recours à différentes techniques comme la modulation et le codage de haut niveau, l'attribution des blocs de ressources, la suppression et l'atténuation des brouillages et la technique MIMO, pour utiliser efficacement le spectre attribué. En outre, le fonctionnement en mode coordonné multipoints assure une robustesse accrue.</w:t>
      </w:r>
    </w:p>
    <w:p w:rsidR="00DE31BE" w:rsidRPr="00CA3220" w:rsidRDefault="00DE31BE" w:rsidP="00664299">
      <w:pPr>
        <w:pStyle w:val="enumlev1"/>
        <w:rPr>
          <w:lang w:val="fr-CH"/>
        </w:rPr>
      </w:pPr>
      <w:r w:rsidRPr="00CA3220">
        <w:rPr>
          <w:lang w:val="fr-CH"/>
        </w:rPr>
        <w:t>–</w:t>
      </w:r>
      <w:r w:rsidRPr="00CA3220">
        <w:rPr>
          <w:lang w:val="fr-CH"/>
        </w:rPr>
        <w:tab/>
        <w:t>Les nouvelles technologies cognitives de partage des fréquences mises au point dans le cadre du Comité des normes IEEE 802 peuvent utiliser efficacement le spectre sans pour autant nuire aux autres utilisateurs primaires fonctionnant dans ces bandes ou dans les bandes adjacentes.</w:t>
      </w:r>
    </w:p>
    <w:p w:rsidR="00DE31BE" w:rsidRPr="00CA3220" w:rsidRDefault="00DE31BE" w:rsidP="00664299">
      <w:pPr>
        <w:pStyle w:val="enumlev1"/>
        <w:rPr>
          <w:lang w:val="fr-CH"/>
        </w:rPr>
      </w:pPr>
      <w:r w:rsidRPr="00CA3220">
        <w:rPr>
          <w:lang w:val="fr-CH"/>
        </w:rPr>
        <w:t>–</w:t>
      </w:r>
      <w:r w:rsidRPr="00CA3220">
        <w:rPr>
          <w:lang w:val="fr-CH"/>
        </w:rPr>
        <w:tab/>
        <w:t>Les fonctionnalités intégrées dans les appareils fondés sur les normes IEEE 802, comme la détection du spectre, les étiquettes relatives au spectre, la gestion d'ensembles de canaux et la coexistence, permettront de faire en sorte que les brouillages que ces appareils se causent mutuellement ou causent à d'autres appareils soient réduits au minimum.</w:t>
      </w:r>
    </w:p>
    <w:p w:rsidR="00DE31BE" w:rsidRPr="00CA3220" w:rsidRDefault="00DE31BE" w:rsidP="00664299">
      <w:pPr>
        <w:pStyle w:val="enumlev1"/>
        <w:rPr>
          <w:lang w:val="fr-CH"/>
        </w:rPr>
      </w:pPr>
      <w:r w:rsidRPr="00CA3220">
        <w:rPr>
          <w:lang w:val="fr-CH"/>
        </w:rPr>
        <w:t>–</w:t>
      </w:r>
      <w:r w:rsidRPr="00CA3220">
        <w:rPr>
          <w:lang w:val="fr-CH"/>
        </w:rPr>
        <w:tab/>
        <w:t>Les technologies hertziennes cellulaires 3GPP évoluent en permanence et de nouvelles fonctionnalités présentant un intérêt pour les réseaux intelligents figureront dans la version 13 de la norme 3GPP.</w:t>
      </w:r>
    </w:p>
    <w:p w:rsidR="00DE31BE" w:rsidRPr="00CA3220" w:rsidRDefault="00DE31BE" w:rsidP="00664299">
      <w:pPr>
        <w:pStyle w:val="enumlev1"/>
        <w:rPr>
          <w:lang w:val="fr-CH"/>
        </w:rPr>
      </w:pPr>
      <w:r w:rsidRPr="00CA3220">
        <w:rPr>
          <w:lang w:val="fr-CH"/>
        </w:rPr>
        <w:t>–</w:t>
      </w:r>
      <w:r w:rsidRPr="00CA3220">
        <w:rPr>
          <w:lang w:val="fr-CH"/>
        </w:rPr>
        <w:tab/>
        <w:t>Les liaisons Ethernet filaires n'utilisent pas les fréquences et sont généralement conformes aux codes locaux et nationaux applicables à la limitation des brouillages électromagnétiques dans le cas de systèmes n'émettant pas. A ce titre, il ne devrait pas y avoir d'autres considérations liées aux brouillages en ce qui concerne les radiocommunications associées au recours à l'Ethernet dans la mise en oeuvre des technologies et des dispositifs hertziens et filaires utilisés pour appuyer les systèmes de gestion des réseaux de distribution d'électricité.</w:t>
      </w:r>
    </w:p>
    <w:p w:rsidR="00DE31BE" w:rsidRPr="00CA3220" w:rsidRDefault="00DE31BE" w:rsidP="00664299">
      <w:pPr>
        <w:rPr>
          <w:lang w:val="fr-CH"/>
        </w:rPr>
      </w:pPr>
      <w:r w:rsidRPr="00CA3220">
        <w:rPr>
          <w:lang w:val="fr-CH"/>
        </w:rPr>
        <w:lastRenderedPageBreak/>
        <w:t>L'un des objectifs des normes de la série 3GPP est que la disponibilité du spectre ne soit pas affectée par les brouillages associés au déploiement à grande échelle de ces technologies et dispositifs compte tenu des éléments suivants:</w:t>
      </w:r>
    </w:p>
    <w:p w:rsidR="00DE31BE" w:rsidRPr="00CA3220" w:rsidRDefault="00DE31BE" w:rsidP="00664299">
      <w:pPr>
        <w:pStyle w:val="enumlev1"/>
        <w:rPr>
          <w:lang w:val="fr-CH"/>
        </w:rPr>
      </w:pPr>
      <w:r w:rsidRPr="00CA3220">
        <w:rPr>
          <w:lang w:val="fr-CH"/>
        </w:rPr>
        <w:t>–</w:t>
      </w:r>
      <w:r w:rsidRPr="00CA3220">
        <w:rPr>
          <w:lang w:val="fr-CH"/>
        </w:rPr>
        <w:tab/>
        <w:t>déploiement à grande échelle partout dans le monde de systèmes assurant l'itinérance mondiale de millions d'équipements d'utilisateur:</w:t>
      </w:r>
    </w:p>
    <w:p w:rsidR="00DE31BE" w:rsidRPr="00CA3220" w:rsidRDefault="00DE31BE" w:rsidP="00664299">
      <w:pPr>
        <w:pStyle w:val="enumlev1"/>
        <w:rPr>
          <w:lang w:val="fr-CH"/>
        </w:rPr>
      </w:pPr>
      <w:r w:rsidRPr="00CA3220">
        <w:rPr>
          <w:lang w:val="fr-CH"/>
        </w:rPr>
        <w:t>–</w:t>
      </w:r>
      <w:r w:rsidRPr="00CA3220">
        <w:rPr>
          <w:lang w:val="fr-CH"/>
        </w:rPr>
        <w:tab/>
        <w:t>couverture fiable du réseau cellulaire presque partout dans le monde.</w:t>
      </w:r>
    </w:p>
    <w:p w:rsidR="00DE31BE" w:rsidRPr="00CA3220" w:rsidRDefault="00AB44A4" w:rsidP="00664299">
      <w:pPr>
        <w:pStyle w:val="Heading1"/>
        <w:rPr>
          <w:szCs w:val="24"/>
          <w:lang w:val="fr-CH"/>
        </w:rPr>
      </w:pPr>
      <w:bookmarkStart w:id="101" w:name="_Toc438029888"/>
      <w:bookmarkStart w:id="102" w:name="_Toc440533904"/>
      <w:bookmarkStart w:id="103" w:name="_Toc498437775"/>
      <w:bookmarkStart w:id="104" w:name="_Toc498500115"/>
      <w:bookmarkStart w:id="105" w:name="_Toc498500366"/>
      <w:bookmarkStart w:id="106" w:name="_Toc498516131"/>
      <w:r w:rsidRPr="00CA3220">
        <w:rPr>
          <w:szCs w:val="24"/>
          <w:lang w:val="fr-CH"/>
        </w:rPr>
        <w:t>10</w:t>
      </w:r>
      <w:r w:rsidR="00DE31BE" w:rsidRPr="00CA3220">
        <w:rPr>
          <w:szCs w:val="24"/>
          <w:lang w:val="fr-CH"/>
        </w:rPr>
        <w:tab/>
        <w:t>Conclusion</w:t>
      </w:r>
      <w:bookmarkEnd w:id="101"/>
      <w:bookmarkEnd w:id="102"/>
      <w:bookmarkEnd w:id="103"/>
      <w:bookmarkEnd w:id="104"/>
      <w:bookmarkEnd w:id="105"/>
      <w:bookmarkEnd w:id="106"/>
    </w:p>
    <w:p w:rsidR="00DE31BE" w:rsidRPr="00CA3220" w:rsidRDefault="00DE31BE" w:rsidP="00664299">
      <w:pPr>
        <w:rPr>
          <w:lang w:val="fr-CH"/>
        </w:rPr>
      </w:pPr>
      <w:r w:rsidRPr="00CA3220">
        <w:rPr>
          <w:lang w:val="fr-CH"/>
        </w:rPr>
        <w:t>Les réseaux de communications bidirectionnelles à haute capacité utilisant des technologies hertziennes, les courants porteurs en ligne ou d'autres technologies de télécommunication qui associent des capteurs et des compteurs intelligents peuvent permettre de transformer les réseaux de distribution de services collectifs existants en réseaux intelligents.</w:t>
      </w:r>
    </w:p>
    <w:p w:rsidR="00DE31BE" w:rsidRPr="00CA3220" w:rsidRDefault="00DE31BE" w:rsidP="00664299">
      <w:pPr>
        <w:rPr>
          <w:lang w:val="fr-CH"/>
        </w:rPr>
      </w:pPr>
      <w:r w:rsidRPr="00CA3220">
        <w:rPr>
          <w:lang w:val="fr-CH"/>
        </w:rPr>
        <w:t>Grâce au comptage intelligent et aux communications via les réseaux de distribution intelligents, les consommateurs pourront en principe surveiller et modifier à leur avantage leur mode de consommation. Les entreprises de services collectifs pourront en outre mettre en place des mesures de tarification en temps réel, dans le cadre desquelles les prix pourront être ajustés constamment pour tenir compte de la demande totale et de l'intégrité des réseaux de distribution. Il sera par ailleurs possible, en principe, de réguler la demande due à certains types d'appareils électroménagers et équipements industriels très utilisés.</w:t>
      </w:r>
    </w:p>
    <w:p w:rsidR="00DE31BE" w:rsidRPr="00CA3220" w:rsidRDefault="00DE31BE" w:rsidP="00664299">
      <w:pPr>
        <w:rPr>
          <w:lang w:val="fr-CH"/>
        </w:rPr>
      </w:pPr>
      <w:r w:rsidRPr="00CA3220">
        <w:rPr>
          <w:lang w:val="fr-CH"/>
        </w:rPr>
        <w:t>L'objectif général est qu'il soit possible de surveiller et de contrôler les réseaux intelligents interactifs afin de renforcer l'efficacité, la fiabilité et la sécurité des réseaux de distribution d'électricité, de gaz et d'eau, tout en garantissant aux consommateurs une fourniture ininterrompue.</w:t>
      </w:r>
    </w:p>
    <w:p w:rsidR="00DE31BE" w:rsidRPr="00CA3220" w:rsidRDefault="00DE31BE" w:rsidP="00664299">
      <w:pPr>
        <w:rPr>
          <w:rFonts w:asciiTheme="majorBidi" w:hAnsiTheme="majorBidi" w:cstheme="majorBidi"/>
          <w:szCs w:val="24"/>
          <w:lang w:val="fr-CH"/>
        </w:rPr>
      </w:pPr>
    </w:p>
    <w:p w:rsidR="00DE31BE" w:rsidRPr="00CA3220" w:rsidRDefault="00DE31BE" w:rsidP="00664299">
      <w:pPr>
        <w:rPr>
          <w:rFonts w:asciiTheme="majorBidi" w:hAnsiTheme="majorBidi" w:cstheme="majorBidi"/>
          <w:szCs w:val="24"/>
          <w:lang w:val="fr-CH"/>
        </w:rPr>
      </w:pPr>
    </w:p>
    <w:p w:rsidR="00DE31BE" w:rsidRPr="00CA3220" w:rsidRDefault="00DE31BE" w:rsidP="00664299">
      <w:pPr>
        <w:pStyle w:val="AnnexNoTitle"/>
        <w:rPr>
          <w:lang w:val="fr-CH"/>
        </w:rPr>
      </w:pPr>
      <w:bookmarkStart w:id="107" w:name="_Toc438029889"/>
      <w:bookmarkStart w:id="108" w:name="_Toc440533905"/>
      <w:bookmarkStart w:id="109" w:name="_Toc498437776"/>
      <w:bookmarkStart w:id="110" w:name="_Toc498500116"/>
      <w:bookmarkStart w:id="111" w:name="_Toc498500367"/>
      <w:bookmarkStart w:id="112" w:name="_Toc498516132"/>
      <w:r w:rsidRPr="00CA3220">
        <w:rPr>
          <w:lang w:val="fr-CH"/>
        </w:rPr>
        <w:t>Annexe 1</w:t>
      </w:r>
      <w:bookmarkStart w:id="113" w:name="_Toc438029890"/>
      <w:bookmarkEnd w:id="107"/>
      <w:r w:rsidRPr="00CA3220">
        <w:rPr>
          <w:lang w:val="fr-CH"/>
        </w:rPr>
        <w:br/>
      </w:r>
      <w:r w:rsidRPr="00CA3220">
        <w:rPr>
          <w:lang w:val="fr-CH"/>
        </w:rPr>
        <w:br/>
        <w:t xml:space="preserve">Exemple de normes existantes concernant les systèmes de gestion </w:t>
      </w:r>
      <w:r w:rsidRPr="00CA3220">
        <w:rPr>
          <w:lang w:val="fr-CH"/>
        </w:rPr>
        <w:br/>
        <w:t>des réseaux de distribution d'électricité</w:t>
      </w:r>
      <w:bookmarkEnd w:id="113"/>
      <w:bookmarkEnd w:id="108"/>
      <w:bookmarkEnd w:id="109"/>
      <w:bookmarkEnd w:id="110"/>
      <w:bookmarkEnd w:id="111"/>
      <w:bookmarkEnd w:id="112"/>
    </w:p>
    <w:p w:rsidR="00DE31BE" w:rsidRPr="00CA3220" w:rsidRDefault="00DE31BE" w:rsidP="00664299">
      <w:pPr>
        <w:pStyle w:val="Heading2"/>
        <w:rPr>
          <w:lang w:val="fr-CH"/>
        </w:rPr>
      </w:pPr>
      <w:bookmarkStart w:id="114" w:name="_Toc438029891"/>
      <w:bookmarkStart w:id="115" w:name="_Toc440533906"/>
      <w:bookmarkStart w:id="116" w:name="_Toc498437777"/>
      <w:bookmarkStart w:id="117" w:name="_Toc498500117"/>
      <w:bookmarkStart w:id="118" w:name="_Toc498500368"/>
      <w:bookmarkStart w:id="119" w:name="_Toc498516133"/>
      <w:r w:rsidRPr="00CA3220">
        <w:rPr>
          <w:lang w:val="fr-CH"/>
        </w:rPr>
        <w:t>A1.1</w:t>
      </w:r>
      <w:r w:rsidRPr="00CA3220">
        <w:rPr>
          <w:lang w:val="fr-CH"/>
        </w:rPr>
        <w:tab/>
        <w:t>Normes IEEE</w:t>
      </w:r>
      <w:bookmarkEnd w:id="114"/>
      <w:bookmarkEnd w:id="115"/>
      <w:bookmarkEnd w:id="116"/>
      <w:bookmarkEnd w:id="117"/>
      <w:bookmarkEnd w:id="118"/>
      <w:bookmarkEnd w:id="119"/>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 Comité IEEE 802 a élaboré différentes normes hertziennes pour les applications du premier kilomètre pour les systèmes de gestion des réseaux de distribution d'électricité. On trouvera dans les tableaux ci-après un récapitulatif des caractéristiques techniques et opérationnelles des normes hertziennes IEEE 802 pertinentes.</w:t>
      </w:r>
    </w:p>
    <w:p w:rsidR="00AB44A4" w:rsidRPr="00CA3220" w:rsidRDefault="00206CD4" w:rsidP="006F7522">
      <w:pPr>
        <w:pStyle w:val="Note"/>
        <w:rPr>
          <w:lang w:val="fr-CH"/>
        </w:rPr>
      </w:pPr>
      <w:r w:rsidRPr="00CA3220">
        <w:rPr>
          <w:lang w:val="fr-CH"/>
        </w:rPr>
        <w:t>NOTE –</w:t>
      </w:r>
      <w:r w:rsidR="00AB44A4" w:rsidRPr="00CA3220">
        <w:rPr>
          <w:lang w:val="fr-CH"/>
        </w:rPr>
        <w:t xml:space="preserve"> Voir le Tableau 2 de la Recommandation UIT-R M.1450 pour les paramètres techniques associés à la normes IEEE Std 802.11.</w:t>
      </w:r>
    </w:p>
    <w:p w:rsidR="00206CD4" w:rsidRPr="00CA3220" w:rsidRDefault="00206CD4">
      <w:pPr>
        <w:tabs>
          <w:tab w:val="clear" w:pos="794"/>
          <w:tab w:val="clear" w:pos="1191"/>
          <w:tab w:val="clear" w:pos="1588"/>
          <w:tab w:val="clear" w:pos="1985"/>
        </w:tabs>
        <w:overflowPunct/>
        <w:autoSpaceDE/>
        <w:autoSpaceDN/>
        <w:adjustRightInd/>
        <w:spacing w:before="0"/>
        <w:jc w:val="left"/>
        <w:textAlignment w:val="auto"/>
        <w:rPr>
          <w:lang w:val="fr-CH"/>
        </w:rPr>
      </w:pPr>
      <w:r w:rsidRPr="00CA3220">
        <w:rPr>
          <w:lang w:val="fr-CH"/>
        </w:rPr>
        <w:br w:type="page"/>
      </w:r>
    </w:p>
    <w:p w:rsidR="00DE31BE" w:rsidRPr="00CA3220" w:rsidRDefault="00DE31BE" w:rsidP="00664299">
      <w:pPr>
        <w:pStyle w:val="TableNo"/>
        <w:rPr>
          <w:lang w:val="fr-CH"/>
        </w:rPr>
      </w:pPr>
      <w:r w:rsidRPr="00CA3220">
        <w:rPr>
          <w:lang w:val="fr-CH"/>
        </w:rPr>
        <w:lastRenderedPageBreak/>
        <w:t>TABLEAU A1.1</w:t>
      </w:r>
    </w:p>
    <w:p w:rsidR="00DE31BE" w:rsidRPr="00CA3220" w:rsidRDefault="00DE31BE" w:rsidP="00664299">
      <w:pPr>
        <w:pStyle w:val="Tabletitle"/>
        <w:rPr>
          <w:lang w:val="fr-CH"/>
        </w:rPr>
      </w:pPr>
      <w:r w:rsidRPr="00CA3220">
        <w:rPr>
          <w:lang w:val="fr-CH"/>
        </w:rPr>
        <w:t>Fonctionnalités techniques et opérationnelles des normes IEEE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4"/>
        <w:gridCol w:w="1058"/>
        <w:gridCol w:w="1745"/>
        <w:gridCol w:w="1747"/>
        <w:gridCol w:w="1112"/>
        <w:gridCol w:w="1243"/>
      </w:tblGrid>
      <w:tr w:rsidR="00DE31BE" w:rsidRPr="00CA3220" w:rsidTr="00206CD4">
        <w:trPr>
          <w:cantSplit/>
          <w:tblHeader/>
          <w:jc w:val="center"/>
        </w:trPr>
        <w:tc>
          <w:tcPr>
            <w:tcW w:w="1418" w:type="pct"/>
            <w:vMerge w:val="restart"/>
            <w:vAlign w:val="center"/>
          </w:tcPr>
          <w:p w:rsidR="00DE31BE" w:rsidRPr="00CA3220" w:rsidRDefault="00DE31BE" w:rsidP="00664299">
            <w:pPr>
              <w:pStyle w:val="Tablehead"/>
              <w:rPr>
                <w:lang w:val="fr-CH"/>
              </w:rPr>
            </w:pPr>
            <w:r w:rsidRPr="00CA3220">
              <w:rPr>
                <w:lang w:val="fr-CH"/>
              </w:rPr>
              <w:t>Fonction</w:t>
            </w:r>
          </w:p>
        </w:tc>
        <w:tc>
          <w:tcPr>
            <w:tcW w:w="549" w:type="pct"/>
            <w:vMerge w:val="restart"/>
            <w:vAlign w:val="center"/>
          </w:tcPr>
          <w:p w:rsidR="00DE31BE" w:rsidRPr="00CA3220" w:rsidRDefault="00DE31BE" w:rsidP="00664299">
            <w:pPr>
              <w:pStyle w:val="Tablehead"/>
              <w:rPr>
                <w:lang w:val="fr-CH"/>
              </w:rPr>
            </w:pPr>
            <w:r w:rsidRPr="00CA3220">
              <w:rPr>
                <w:lang w:val="fr-CH"/>
              </w:rPr>
              <w:t>802.11</w:t>
            </w:r>
          </w:p>
        </w:tc>
        <w:tc>
          <w:tcPr>
            <w:tcW w:w="1811" w:type="pct"/>
            <w:gridSpan w:val="2"/>
            <w:vAlign w:val="center"/>
          </w:tcPr>
          <w:p w:rsidR="00DE31BE" w:rsidRPr="00CA3220" w:rsidRDefault="00DE31BE" w:rsidP="00664299">
            <w:pPr>
              <w:pStyle w:val="Tablehead"/>
              <w:rPr>
                <w:lang w:val="fr-CH"/>
              </w:rPr>
            </w:pPr>
            <w:r w:rsidRPr="00CA3220">
              <w:rPr>
                <w:lang w:val="fr-CH"/>
              </w:rPr>
              <w:t>802.11ah</w:t>
            </w:r>
            <w:r w:rsidR="00AB44A4" w:rsidRPr="00CA3220">
              <w:rPr>
                <w:rStyle w:val="FootnoteReference"/>
                <w:lang w:val="fr-CH"/>
              </w:rPr>
              <w:footnoteReference w:id="22"/>
            </w:r>
          </w:p>
        </w:tc>
        <w:tc>
          <w:tcPr>
            <w:tcW w:w="577" w:type="pct"/>
            <w:vMerge w:val="restart"/>
            <w:vAlign w:val="center"/>
          </w:tcPr>
          <w:p w:rsidR="00DE31BE" w:rsidRPr="00CA3220" w:rsidRDefault="00DE31BE" w:rsidP="00664299">
            <w:pPr>
              <w:pStyle w:val="Tablehead"/>
              <w:rPr>
                <w:lang w:val="fr-CH"/>
              </w:rPr>
            </w:pPr>
            <w:r w:rsidRPr="00CA3220">
              <w:rPr>
                <w:lang w:val="fr-CH"/>
              </w:rPr>
              <w:t>802.11n</w:t>
            </w:r>
          </w:p>
        </w:tc>
        <w:tc>
          <w:tcPr>
            <w:tcW w:w="645" w:type="pct"/>
            <w:vMerge w:val="restart"/>
            <w:vAlign w:val="center"/>
          </w:tcPr>
          <w:p w:rsidR="00DE31BE" w:rsidRPr="00CA3220" w:rsidRDefault="00DE31BE" w:rsidP="00664299">
            <w:pPr>
              <w:pStyle w:val="Tablehead"/>
              <w:rPr>
                <w:lang w:val="fr-CH"/>
              </w:rPr>
            </w:pPr>
            <w:r w:rsidRPr="00CA3220">
              <w:rPr>
                <w:lang w:val="fr-CH"/>
              </w:rPr>
              <w:t>802.11ac</w:t>
            </w:r>
          </w:p>
        </w:tc>
      </w:tr>
      <w:tr w:rsidR="00DE31BE" w:rsidRPr="00CA3220" w:rsidTr="00206CD4">
        <w:trPr>
          <w:cantSplit/>
          <w:tblHeader/>
          <w:jc w:val="center"/>
        </w:trPr>
        <w:tc>
          <w:tcPr>
            <w:tcW w:w="1418" w:type="pct"/>
            <w:vMerge/>
            <w:vAlign w:val="center"/>
          </w:tcPr>
          <w:p w:rsidR="00DE31BE" w:rsidRPr="00CA3220" w:rsidRDefault="00DE31BE" w:rsidP="00664299">
            <w:pPr>
              <w:pStyle w:val="Tablehead"/>
              <w:rPr>
                <w:lang w:val="fr-CH"/>
              </w:rPr>
            </w:pPr>
          </w:p>
        </w:tc>
        <w:tc>
          <w:tcPr>
            <w:tcW w:w="549" w:type="pct"/>
            <w:vMerge/>
            <w:vAlign w:val="center"/>
          </w:tcPr>
          <w:p w:rsidR="00DE31BE" w:rsidRPr="00CA3220" w:rsidRDefault="00DE31BE" w:rsidP="00664299">
            <w:pPr>
              <w:pStyle w:val="Tablehead"/>
              <w:rPr>
                <w:lang w:val="fr-CH"/>
              </w:rPr>
            </w:pPr>
          </w:p>
        </w:tc>
        <w:tc>
          <w:tcPr>
            <w:tcW w:w="905" w:type="pct"/>
            <w:vAlign w:val="center"/>
          </w:tcPr>
          <w:p w:rsidR="00DE31BE" w:rsidRPr="00CA3220" w:rsidRDefault="00DE31BE" w:rsidP="00664299">
            <w:pPr>
              <w:pStyle w:val="Tablehead"/>
              <w:rPr>
                <w:lang w:val="fr-CH"/>
              </w:rPr>
            </w:pPr>
            <w:r w:rsidRPr="00CA3220">
              <w:rPr>
                <w:lang w:val="fr-CH"/>
              </w:rPr>
              <w:t>Modèle 1</w:t>
            </w:r>
            <w:bookmarkStart w:id="120" w:name="_Ref426016040"/>
            <w:r w:rsidRPr="00CA3220">
              <w:rPr>
                <w:rStyle w:val="FootnoteReference"/>
                <w:szCs w:val="18"/>
                <w:lang w:val="fr-CH"/>
              </w:rPr>
              <w:footnoteReference w:id="23"/>
            </w:r>
            <w:bookmarkEnd w:id="120"/>
          </w:p>
        </w:tc>
        <w:tc>
          <w:tcPr>
            <w:tcW w:w="906" w:type="pct"/>
            <w:vAlign w:val="center"/>
          </w:tcPr>
          <w:p w:rsidR="00DE31BE" w:rsidRPr="00CA3220" w:rsidRDefault="00DE31BE" w:rsidP="00664299">
            <w:pPr>
              <w:pStyle w:val="Tablehead"/>
              <w:rPr>
                <w:lang w:val="fr-CH"/>
              </w:rPr>
            </w:pPr>
            <w:r w:rsidRPr="00CA3220">
              <w:rPr>
                <w:lang w:val="fr-CH"/>
              </w:rPr>
              <w:t>Modèle 2</w:t>
            </w:r>
            <w:bookmarkStart w:id="121" w:name="_Ref426016051"/>
            <w:r w:rsidRPr="00CA3220">
              <w:rPr>
                <w:rStyle w:val="FootnoteReference"/>
                <w:lang w:val="fr-CH"/>
              </w:rPr>
              <w:footnoteReference w:id="24"/>
            </w:r>
            <w:bookmarkEnd w:id="121"/>
          </w:p>
        </w:tc>
        <w:tc>
          <w:tcPr>
            <w:tcW w:w="577" w:type="pct"/>
            <w:vMerge/>
          </w:tcPr>
          <w:p w:rsidR="00DE31BE" w:rsidRPr="00CA3220" w:rsidRDefault="00DE31BE" w:rsidP="00664299">
            <w:pPr>
              <w:pStyle w:val="Tablehead"/>
              <w:rPr>
                <w:lang w:val="fr-CH"/>
              </w:rPr>
            </w:pPr>
          </w:p>
        </w:tc>
        <w:tc>
          <w:tcPr>
            <w:tcW w:w="645" w:type="pct"/>
            <w:vMerge/>
          </w:tcPr>
          <w:p w:rsidR="00DE31BE" w:rsidRPr="00CA3220" w:rsidRDefault="00DE31BE" w:rsidP="00664299">
            <w:pPr>
              <w:pStyle w:val="Tablehead"/>
              <w:rPr>
                <w:lang w:val="fr-CH"/>
              </w:rPr>
            </w:pP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Bandes de fréquences prises en charges (avec ou sans licence)</w:t>
            </w:r>
          </w:p>
        </w:tc>
        <w:tc>
          <w:tcPr>
            <w:tcW w:w="549" w:type="pct"/>
          </w:tcPr>
          <w:p w:rsidR="00DE31BE" w:rsidRPr="00CA3220" w:rsidRDefault="00DE31BE" w:rsidP="00664299">
            <w:pPr>
              <w:pStyle w:val="Tabletext"/>
              <w:jc w:val="center"/>
              <w:rPr>
                <w:lang w:val="fr-CH"/>
              </w:rPr>
            </w:pPr>
            <w:r w:rsidRPr="00CA3220">
              <w:rPr>
                <w:lang w:val="fr-CH"/>
              </w:rPr>
              <w:t>2,4 GHz</w:t>
            </w:r>
          </w:p>
        </w:tc>
        <w:tc>
          <w:tcPr>
            <w:tcW w:w="905" w:type="pct"/>
          </w:tcPr>
          <w:p w:rsidR="00DE31BE" w:rsidRPr="00CA3220" w:rsidRDefault="00DE31BE" w:rsidP="00664299">
            <w:pPr>
              <w:pStyle w:val="Tabletext"/>
              <w:jc w:val="center"/>
              <w:rPr>
                <w:lang w:val="fr-CH"/>
              </w:rPr>
            </w:pPr>
            <w:r w:rsidRPr="00CA3220">
              <w:rPr>
                <w:lang w:val="fr-CH"/>
              </w:rPr>
              <w:t>900 MHz</w:t>
            </w:r>
          </w:p>
        </w:tc>
        <w:tc>
          <w:tcPr>
            <w:tcW w:w="906" w:type="pct"/>
          </w:tcPr>
          <w:p w:rsidR="00DE31BE" w:rsidRPr="00CA3220" w:rsidRDefault="00DE31BE" w:rsidP="00664299">
            <w:pPr>
              <w:pStyle w:val="Tabletext"/>
              <w:jc w:val="center"/>
              <w:rPr>
                <w:lang w:val="fr-CH"/>
              </w:rPr>
            </w:pPr>
            <w:r w:rsidRPr="00CA3220">
              <w:rPr>
                <w:lang w:val="fr-CH"/>
              </w:rPr>
              <w:t>900 MHz</w:t>
            </w:r>
          </w:p>
        </w:tc>
        <w:tc>
          <w:tcPr>
            <w:tcW w:w="577" w:type="pct"/>
          </w:tcPr>
          <w:p w:rsidR="00DE31BE" w:rsidRPr="00CA3220" w:rsidRDefault="00DE31BE" w:rsidP="00664299">
            <w:pPr>
              <w:pStyle w:val="Tabletext"/>
              <w:jc w:val="center"/>
              <w:rPr>
                <w:lang w:val="fr-CH"/>
              </w:rPr>
            </w:pPr>
            <w:r w:rsidRPr="00CA3220">
              <w:rPr>
                <w:lang w:val="fr-CH"/>
              </w:rPr>
              <w:t>2,4 GHz</w:t>
            </w:r>
          </w:p>
        </w:tc>
        <w:tc>
          <w:tcPr>
            <w:tcW w:w="645" w:type="pct"/>
          </w:tcPr>
          <w:p w:rsidR="00DE31BE" w:rsidRPr="00CA3220" w:rsidRDefault="00DE31BE" w:rsidP="00664299">
            <w:pPr>
              <w:pStyle w:val="Tabletext"/>
              <w:jc w:val="center"/>
              <w:rPr>
                <w:lang w:val="fr-CH"/>
              </w:rPr>
            </w:pPr>
            <w:r w:rsidRPr="00CA3220">
              <w:rPr>
                <w:lang w:val="fr-CH"/>
              </w:rPr>
              <w:t>5 GHz</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Portée opérationnelle nominale</w:t>
            </w:r>
          </w:p>
        </w:tc>
        <w:tc>
          <w:tcPr>
            <w:tcW w:w="549" w:type="pct"/>
          </w:tcPr>
          <w:p w:rsidR="00DE31BE" w:rsidRPr="00CA3220" w:rsidRDefault="00DE31BE" w:rsidP="00664299">
            <w:pPr>
              <w:pStyle w:val="Tabletext"/>
              <w:jc w:val="center"/>
              <w:rPr>
                <w:lang w:val="fr-CH"/>
              </w:rPr>
            </w:pPr>
            <w:r w:rsidRPr="00CA3220">
              <w:rPr>
                <w:lang w:val="fr-CH"/>
              </w:rPr>
              <w:t>1,5 km</w:t>
            </w:r>
          </w:p>
        </w:tc>
        <w:tc>
          <w:tcPr>
            <w:tcW w:w="905" w:type="pct"/>
          </w:tcPr>
          <w:p w:rsidR="00DE31BE" w:rsidRPr="00CA3220" w:rsidRDefault="00DE31BE" w:rsidP="00664299">
            <w:pPr>
              <w:pStyle w:val="Tabletext"/>
              <w:jc w:val="center"/>
              <w:rPr>
                <w:lang w:val="fr-CH"/>
              </w:rPr>
            </w:pPr>
            <w:r w:rsidRPr="00CA3220">
              <w:rPr>
                <w:lang w:val="fr-CH"/>
              </w:rPr>
              <w:t>2 km</w:t>
            </w:r>
          </w:p>
        </w:tc>
        <w:tc>
          <w:tcPr>
            <w:tcW w:w="906" w:type="pct"/>
          </w:tcPr>
          <w:p w:rsidR="00DE31BE" w:rsidRPr="00CA3220" w:rsidRDefault="00DE31BE" w:rsidP="00664299">
            <w:pPr>
              <w:pStyle w:val="Tabletext"/>
              <w:jc w:val="center"/>
              <w:rPr>
                <w:lang w:val="fr-CH"/>
              </w:rPr>
            </w:pPr>
            <w:r w:rsidRPr="00CA3220">
              <w:rPr>
                <w:lang w:val="fr-CH"/>
              </w:rPr>
              <w:t>2 km</w:t>
            </w:r>
          </w:p>
        </w:tc>
        <w:tc>
          <w:tcPr>
            <w:tcW w:w="577" w:type="pct"/>
          </w:tcPr>
          <w:p w:rsidR="00DE31BE" w:rsidRPr="00CA3220" w:rsidRDefault="002256A0" w:rsidP="00664299">
            <w:pPr>
              <w:pStyle w:val="Tabletext"/>
              <w:jc w:val="center"/>
              <w:rPr>
                <w:lang w:val="fr-CH"/>
              </w:rPr>
            </w:pPr>
            <w:r w:rsidRPr="00CA3220">
              <w:rPr>
                <w:lang w:val="fr-CH"/>
              </w:rPr>
              <w:t>0,25</w:t>
            </w:r>
            <w:r w:rsidR="00DE31BE" w:rsidRPr="00CA3220">
              <w:rPr>
                <w:lang w:val="fr-CH"/>
              </w:rPr>
              <w:t xml:space="preserve"> km</w:t>
            </w:r>
          </w:p>
        </w:tc>
        <w:tc>
          <w:tcPr>
            <w:tcW w:w="645" w:type="pct"/>
          </w:tcPr>
          <w:p w:rsidR="00DE31BE" w:rsidRPr="00CA3220" w:rsidRDefault="002256A0" w:rsidP="00664299">
            <w:pPr>
              <w:pStyle w:val="Tabletext"/>
              <w:jc w:val="center"/>
              <w:rPr>
                <w:lang w:val="fr-CH"/>
              </w:rPr>
            </w:pPr>
            <w:r w:rsidRPr="00CA3220">
              <w:rPr>
                <w:lang w:val="fr-CH"/>
              </w:rPr>
              <w:t>0,</w:t>
            </w:r>
            <w:r w:rsidR="00DE31BE" w:rsidRPr="00CA3220">
              <w:rPr>
                <w:lang w:val="fr-CH"/>
              </w:rPr>
              <w:t>1</w:t>
            </w:r>
            <w:r w:rsidRPr="00CA3220">
              <w:rPr>
                <w:lang w:val="fr-CH"/>
              </w:rPr>
              <w:t>4</w:t>
            </w:r>
            <w:r w:rsidR="00DE31BE" w:rsidRPr="00CA3220">
              <w:rPr>
                <w:lang w:val="fr-CH"/>
              </w:rPr>
              <w:t xml:space="preserve"> km</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 xml:space="preserve">Fonctionnalités de mobilité (nomade/mobile) </w:t>
            </w:r>
          </w:p>
        </w:tc>
        <w:tc>
          <w:tcPr>
            <w:tcW w:w="549" w:type="pct"/>
          </w:tcPr>
          <w:p w:rsidR="00DE31BE" w:rsidRPr="00CA3220" w:rsidRDefault="00DE31BE" w:rsidP="00664299">
            <w:pPr>
              <w:pStyle w:val="Tabletext"/>
              <w:jc w:val="center"/>
              <w:rPr>
                <w:lang w:val="fr-CH"/>
              </w:rPr>
            </w:pPr>
            <w:r w:rsidRPr="00CA3220">
              <w:rPr>
                <w:lang w:val="fr-CH"/>
              </w:rPr>
              <w:t>Nomade et mobile</w:t>
            </w:r>
          </w:p>
        </w:tc>
        <w:tc>
          <w:tcPr>
            <w:tcW w:w="905" w:type="pct"/>
          </w:tcPr>
          <w:p w:rsidR="00DE31BE" w:rsidRPr="00CA3220" w:rsidRDefault="00DE31BE" w:rsidP="00664299">
            <w:pPr>
              <w:pStyle w:val="Tabletext"/>
              <w:jc w:val="center"/>
              <w:rPr>
                <w:lang w:val="fr-CH"/>
              </w:rPr>
            </w:pPr>
            <w:r w:rsidRPr="00CA3220">
              <w:rPr>
                <w:lang w:val="fr-CH"/>
              </w:rPr>
              <w:t>Nomade</w:t>
            </w:r>
          </w:p>
        </w:tc>
        <w:tc>
          <w:tcPr>
            <w:tcW w:w="906" w:type="pct"/>
          </w:tcPr>
          <w:p w:rsidR="00DE31BE" w:rsidRPr="00CA3220" w:rsidRDefault="00DE31BE" w:rsidP="00664299">
            <w:pPr>
              <w:pStyle w:val="Tabletext"/>
              <w:jc w:val="center"/>
              <w:rPr>
                <w:lang w:val="fr-CH"/>
              </w:rPr>
            </w:pPr>
            <w:r w:rsidRPr="00CA3220">
              <w:rPr>
                <w:lang w:val="fr-CH"/>
              </w:rPr>
              <w:t>Nomade</w:t>
            </w:r>
          </w:p>
        </w:tc>
        <w:tc>
          <w:tcPr>
            <w:tcW w:w="577" w:type="pct"/>
          </w:tcPr>
          <w:p w:rsidR="00DE31BE" w:rsidRPr="00CA3220" w:rsidRDefault="00DE31BE" w:rsidP="00664299">
            <w:pPr>
              <w:pStyle w:val="Tabletext"/>
              <w:jc w:val="center"/>
              <w:rPr>
                <w:lang w:val="fr-CH"/>
              </w:rPr>
            </w:pPr>
            <w:r w:rsidRPr="00CA3220">
              <w:rPr>
                <w:lang w:val="fr-CH"/>
              </w:rPr>
              <w:t>Nomade et mobile</w:t>
            </w:r>
          </w:p>
        </w:tc>
        <w:tc>
          <w:tcPr>
            <w:tcW w:w="645" w:type="pct"/>
          </w:tcPr>
          <w:p w:rsidR="00DE31BE" w:rsidRPr="00CA3220" w:rsidRDefault="00DE31BE" w:rsidP="00664299">
            <w:pPr>
              <w:pStyle w:val="Tabletext"/>
              <w:jc w:val="center"/>
              <w:rPr>
                <w:lang w:val="fr-CH"/>
              </w:rPr>
            </w:pPr>
            <w:r w:rsidRPr="00CA3220">
              <w:rPr>
                <w:lang w:val="fr-CH"/>
              </w:rPr>
              <w:t>Nomade et mobile</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Débit de données maximal (sens amont/sens aval si différents)</w:t>
            </w:r>
          </w:p>
        </w:tc>
        <w:tc>
          <w:tcPr>
            <w:tcW w:w="549" w:type="pct"/>
          </w:tcPr>
          <w:p w:rsidR="00DE31BE" w:rsidRPr="00CA3220" w:rsidRDefault="00DE31BE" w:rsidP="00664299">
            <w:pPr>
              <w:pStyle w:val="Tabletext"/>
              <w:jc w:val="center"/>
              <w:rPr>
                <w:lang w:val="fr-CH"/>
              </w:rPr>
            </w:pPr>
            <w:r w:rsidRPr="00CA3220">
              <w:rPr>
                <w:lang w:val="fr-CH"/>
              </w:rPr>
              <w:t>2 Mb/s</w:t>
            </w:r>
          </w:p>
        </w:tc>
        <w:tc>
          <w:tcPr>
            <w:tcW w:w="905" w:type="pct"/>
          </w:tcPr>
          <w:p w:rsidR="00DE31BE" w:rsidRPr="00CA3220" w:rsidRDefault="00DE31BE" w:rsidP="00664299">
            <w:pPr>
              <w:pStyle w:val="Tabletext"/>
              <w:jc w:val="center"/>
              <w:rPr>
                <w:lang w:val="fr-CH"/>
              </w:rPr>
            </w:pPr>
            <w:r w:rsidRPr="00CA3220">
              <w:rPr>
                <w:lang w:val="fr-CH"/>
              </w:rPr>
              <w:t>156 Mb/s</w:t>
            </w:r>
          </w:p>
        </w:tc>
        <w:tc>
          <w:tcPr>
            <w:tcW w:w="906" w:type="pct"/>
          </w:tcPr>
          <w:p w:rsidR="00DE31BE" w:rsidRPr="00CA3220" w:rsidRDefault="00DE31BE" w:rsidP="00664299">
            <w:pPr>
              <w:pStyle w:val="Tabletext"/>
              <w:jc w:val="center"/>
              <w:rPr>
                <w:lang w:val="fr-CH"/>
              </w:rPr>
            </w:pPr>
            <w:r w:rsidRPr="00CA3220">
              <w:rPr>
                <w:lang w:val="fr-CH"/>
              </w:rPr>
              <w:t>1,3 Mb/s</w:t>
            </w:r>
          </w:p>
        </w:tc>
        <w:tc>
          <w:tcPr>
            <w:tcW w:w="577" w:type="pct"/>
          </w:tcPr>
          <w:p w:rsidR="00DE31BE" w:rsidRPr="00CA3220" w:rsidRDefault="00DE31BE" w:rsidP="00664299">
            <w:pPr>
              <w:pStyle w:val="Tabletext"/>
              <w:jc w:val="center"/>
              <w:rPr>
                <w:lang w:val="fr-CH"/>
              </w:rPr>
            </w:pPr>
            <w:r w:rsidRPr="00CA3220">
              <w:rPr>
                <w:lang w:val="fr-CH"/>
              </w:rPr>
              <w:t>600 Mb/s</w:t>
            </w:r>
          </w:p>
        </w:tc>
        <w:tc>
          <w:tcPr>
            <w:tcW w:w="645" w:type="pct"/>
          </w:tcPr>
          <w:p w:rsidR="00DE31BE" w:rsidRPr="00CA3220" w:rsidRDefault="00DE31BE" w:rsidP="00664299">
            <w:pPr>
              <w:pStyle w:val="Tabletext"/>
              <w:jc w:val="center"/>
              <w:rPr>
                <w:lang w:val="fr-CH"/>
              </w:rPr>
            </w:pPr>
            <w:r w:rsidRPr="00CA3220">
              <w:rPr>
                <w:lang w:val="fr-CH"/>
              </w:rPr>
              <w:t>6 934 Mb/s</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Méthode duplex (DRT, DRT, etc.)</w:t>
            </w:r>
          </w:p>
        </w:tc>
        <w:tc>
          <w:tcPr>
            <w:tcW w:w="3582" w:type="pct"/>
            <w:gridSpan w:val="5"/>
          </w:tcPr>
          <w:p w:rsidR="00DE31BE" w:rsidRPr="00CA3220" w:rsidRDefault="00DE31BE" w:rsidP="00664299">
            <w:pPr>
              <w:pStyle w:val="Tabletext"/>
              <w:jc w:val="center"/>
              <w:rPr>
                <w:lang w:val="fr-CH"/>
              </w:rPr>
            </w:pPr>
            <w:r w:rsidRPr="00CA3220">
              <w:rPr>
                <w:lang w:val="fr-CH"/>
              </w:rPr>
              <w:t>DRT</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Largueur de bande RF nominale</w:t>
            </w:r>
          </w:p>
        </w:tc>
        <w:tc>
          <w:tcPr>
            <w:tcW w:w="549" w:type="pct"/>
          </w:tcPr>
          <w:p w:rsidR="00DE31BE" w:rsidRPr="00CA3220" w:rsidRDefault="00DE31BE" w:rsidP="00664299">
            <w:pPr>
              <w:pStyle w:val="Tabletext"/>
              <w:jc w:val="center"/>
              <w:rPr>
                <w:lang w:val="fr-CH"/>
              </w:rPr>
            </w:pPr>
            <w:r w:rsidRPr="00CA3220">
              <w:rPr>
                <w:lang w:val="fr-CH"/>
              </w:rPr>
              <w:t>20 MHz</w:t>
            </w:r>
          </w:p>
        </w:tc>
        <w:tc>
          <w:tcPr>
            <w:tcW w:w="905" w:type="pct"/>
          </w:tcPr>
          <w:p w:rsidR="00DE31BE" w:rsidRPr="00CA3220" w:rsidRDefault="00DE31BE" w:rsidP="00664299">
            <w:pPr>
              <w:pStyle w:val="Tabletext"/>
              <w:jc w:val="center"/>
              <w:rPr>
                <w:lang w:val="fr-CH"/>
              </w:rPr>
            </w:pPr>
            <w:r w:rsidRPr="00CA3220">
              <w:rPr>
                <w:lang w:val="fr-CH"/>
              </w:rPr>
              <w:t xml:space="preserve">1, 2, 4, 8, </w:t>
            </w:r>
            <w:r w:rsidR="00B75E76" w:rsidRPr="00CA3220">
              <w:rPr>
                <w:lang w:val="fr-CH"/>
              </w:rPr>
              <w:br/>
            </w:r>
            <w:r w:rsidRPr="00CA3220">
              <w:rPr>
                <w:lang w:val="fr-CH"/>
              </w:rPr>
              <w:t>16 MHz</w:t>
            </w:r>
          </w:p>
        </w:tc>
        <w:tc>
          <w:tcPr>
            <w:tcW w:w="906" w:type="pct"/>
          </w:tcPr>
          <w:p w:rsidR="00DE31BE" w:rsidRPr="00CA3220" w:rsidRDefault="00DE31BE" w:rsidP="00664299">
            <w:pPr>
              <w:pStyle w:val="Tabletext"/>
              <w:jc w:val="center"/>
              <w:rPr>
                <w:lang w:val="fr-CH"/>
              </w:rPr>
            </w:pPr>
            <w:r w:rsidRPr="00CA3220">
              <w:rPr>
                <w:lang w:val="fr-CH"/>
              </w:rPr>
              <w:t>2 MHz</w:t>
            </w:r>
          </w:p>
        </w:tc>
        <w:tc>
          <w:tcPr>
            <w:tcW w:w="577" w:type="pct"/>
          </w:tcPr>
          <w:p w:rsidR="00DE31BE" w:rsidRPr="00CA3220" w:rsidRDefault="00DE31BE" w:rsidP="00664299">
            <w:pPr>
              <w:pStyle w:val="Tabletext"/>
              <w:jc w:val="center"/>
              <w:rPr>
                <w:lang w:val="fr-CH"/>
              </w:rPr>
            </w:pPr>
            <w:r w:rsidRPr="00CA3220">
              <w:rPr>
                <w:lang w:val="fr-CH"/>
              </w:rPr>
              <w:t xml:space="preserve">20, </w:t>
            </w:r>
            <w:r w:rsidR="00B75E76" w:rsidRPr="00CA3220">
              <w:rPr>
                <w:lang w:val="fr-CH"/>
              </w:rPr>
              <w:br/>
            </w:r>
            <w:r w:rsidRPr="00CA3220">
              <w:rPr>
                <w:lang w:val="fr-CH"/>
              </w:rPr>
              <w:t>40 MHz</w:t>
            </w:r>
          </w:p>
        </w:tc>
        <w:tc>
          <w:tcPr>
            <w:tcW w:w="645" w:type="pct"/>
          </w:tcPr>
          <w:p w:rsidR="00DE31BE" w:rsidRPr="00CA3220" w:rsidRDefault="00DE31BE" w:rsidP="00664299">
            <w:pPr>
              <w:pStyle w:val="Tabletext"/>
              <w:jc w:val="center"/>
              <w:rPr>
                <w:lang w:val="fr-CH"/>
              </w:rPr>
            </w:pPr>
            <w:r w:rsidRPr="00CA3220">
              <w:rPr>
                <w:lang w:val="fr-CH"/>
              </w:rPr>
              <w:t xml:space="preserve">20, 40, 80, </w:t>
            </w:r>
            <w:r w:rsidR="00B75E76" w:rsidRPr="00CA3220">
              <w:rPr>
                <w:lang w:val="fr-CH"/>
              </w:rPr>
              <w:br/>
            </w:r>
            <w:r w:rsidRPr="00CA3220">
              <w:rPr>
                <w:lang w:val="fr-CH"/>
              </w:rPr>
              <w:t>160 MHz</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Techniques de diversité</w:t>
            </w:r>
          </w:p>
        </w:tc>
        <w:tc>
          <w:tcPr>
            <w:tcW w:w="3582" w:type="pct"/>
            <w:gridSpan w:val="5"/>
          </w:tcPr>
          <w:p w:rsidR="00DE31BE" w:rsidRPr="00CA3220" w:rsidRDefault="00DE31BE" w:rsidP="00664299">
            <w:pPr>
              <w:pStyle w:val="Tabletext"/>
              <w:jc w:val="center"/>
              <w:rPr>
                <w:lang w:val="fr-CH"/>
              </w:rPr>
            </w:pPr>
            <w:r w:rsidRPr="00CA3220">
              <w:rPr>
                <w:lang w:val="fr-CH"/>
              </w:rPr>
              <w:t>Spatiale et temporelle</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Prise en charge de la technique MIMO (oui/non)</w:t>
            </w:r>
          </w:p>
        </w:tc>
        <w:tc>
          <w:tcPr>
            <w:tcW w:w="549" w:type="pct"/>
          </w:tcPr>
          <w:p w:rsidR="00DE31BE" w:rsidRPr="00CA3220" w:rsidRDefault="00DE31BE" w:rsidP="00664299">
            <w:pPr>
              <w:pStyle w:val="Tabletext"/>
              <w:jc w:val="center"/>
              <w:rPr>
                <w:lang w:val="fr-CH"/>
              </w:rPr>
            </w:pPr>
            <w:r w:rsidRPr="00CA3220">
              <w:rPr>
                <w:lang w:val="fr-CH"/>
              </w:rPr>
              <w:t>Non</w:t>
            </w:r>
          </w:p>
        </w:tc>
        <w:tc>
          <w:tcPr>
            <w:tcW w:w="905" w:type="pct"/>
          </w:tcPr>
          <w:p w:rsidR="00DE31BE" w:rsidRPr="00CA3220" w:rsidRDefault="00DE31BE" w:rsidP="00664299">
            <w:pPr>
              <w:pStyle w:val="Tabletext"/>
              <w:jc w:val="center"/>
              <w:rPr>
                <w:lang w:val="fr-CH"/>
              </w:rPr>
            </w:pPr>
            <w:r w:rsidRPr="00CA3220">
              <w:rPr>
                <w:lang w:val="fr-CH"/>
              </w:rPr>
              <w:t>Oui</w:t>
            </w:r>
          </w:p>
        </w:tc>
        <w:tc>
          <w:tcPr>
            <w:tcW w:w="906" w:type="pct"/>
          </w:tcPr>
          <w:p w:rsidR="00DE31BE" w:rsidRPr="00CA3220" w:rsidRDefault="00DE31BE" w:rsidP="00664299">
            <w:pPr>
              <w:pStyle w:val="Tabletext"/>
              <w:jc w:val="center"/>
              <w:rPr>
                <w:lang w:val="fr-CH"/>
              </w:rPr>
            </w:pPr>
            <w:r w:rsidRPr="00CA3220">
              <w:rPr>
                <w:lang w:val="fr-CH"/>
              </w:rPr>
              <w:t>Non</w:t>
            </w:r>
          </w:p>
        </w:tc>
        <w:tc>
          <w:tcPr>
            <w:tcW w:w="577" w:type="pct"/>
          </w:tcPr>
          <w:p w:rsidR="00DE31BE" w:rsidRPr="00CA3220" w:rsidRDefault="00DE31BE" w:rsidP="00664299">
            <w:pPr>
              <w:pStyle w:val="Tabletext"/>
              <w:jc w:val="center"/>
              <w:rPr>
                <w:lang w:val="fr-CH"/>
              </w:rPr>
            </w:pPr>
            <w:r w:rsidRPr="00CA3220">
              <w:rPr>
                <w:lang w:val="fr-CH"/>
              </w:rPr>
              <w:t>Oui</w:t>
            </w:r>
          </w:p>
        </w:tc>
        <w:tc>
          <w:tcPr>
            <w:tcW w:w="645" w:type="pct"/>
          </w:tcPr>
          <w:p w:rsidR="00DE31BE" w:rsidRPr="00CA3220" w:rsidRDefault="00DE31BE" w:rsidP="00664299">
            <w:pPr>
              <w:pStyle w:val="Tabletext"/>
              <w:jc w:val="center"/>
              <w:rPr>
                <w:lang w:val="fr-CH"/>
              </w:rPr>
            </w:pPr>
            <w:r w:rsidRPr="00CA3220">
              <w:rPr>
                <w:lang w:val="fr-CH"/>
              </w:rPr>
              <w:t>Oui</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Orientation/conformation du faisceau</w:t>
            </w:r>
          </w:p>
        </w:tc>
        <w:tc>
          <w:tcPr>
            <w:tcW w:w="549" w:type="pct"/>
          </w:tcPr>
          <w:p w:rsidR="00DE31BE" w:rsidRPr="00CA3220" w:rsidRDefault="00DE31BE" w:rsidP="00664299">
            <w:pPr>
              <w:pStyle w:val="Tabletext"/>
              <w:jc w:val="center"/>
              <w:rPr>
                <w:lang w:val="fr-CH"/>
              </w:rPr>
            </w:pPr>
            <w:r w:rsidRPr="00CA3220">
              <w:rPr>
                <w:lang w:val="fr-CH"/>
              </w:rPr>
              <w:t>Non</w:t>
            </w:r>
          </w:p>
        </w:tc>
        <w:tc>
          <w:tcPr>
            <w:tcW w:w="905" w:type="pct"/>
          </w:tcPr>
          <w:p w:rsidR="00DE31BE" w:rsidRPr="00CA3220" w:rsidRDefault="00DE31BE" w:rsidP="00664299">
            <w:pPr>
              <w:pStyle w:val="Tabletext"/>
              <w:jc w:val="center"/>
              <w:rPr>
                <w:lang w:val="fr-CH"/>
              </w:rPr>
            </w:pPr>
            <w:r w:rsidRPr="00CA3220">
              <w:rPr>
                <w:lang w:val="fr-CH"/>
              </w:rPr>
              <w:t>Oui</w:t>
            </w:r>
          </w:p>
        </w:tc>
        <w:tc>
          <w:tcPr>
            <w:tcW w:w="906" w:type="pct"/>
          </w:tcPr>
          <w:p w:rsidR="00DE31BE" w:rsidRPr="00CA3220" w:rsidRDefault="00DE31BE" w:rsidP="00664299">
            <w:pPr>
              <w:pStyle w:val="Tabletext"/>
              <w:jc w:val="center"/>
              <w:rPr>
                <w:lang w:val="fr-CH"/>
              </w:rPr>
            </w:pPr>
            <w:r w:rsidRPr="00CA3220">
              <w:rPr>
                <w:lang w:val="fr-CH"/>
              </w:rPr>
              <w:t>Oui</w:t>
            </w:r>
          </w:p>
        </w:tc>
        <w:tc>
          <w:tcPr>
            <w:tcW w:w="577" w:type="pct"/>
          </w:tcPr>
          <w:p w:rsidR="00DE31BE" w:rsidRPr="00CA3220" w:rsidRDefault="00DE31BE" w:rsidP="00664299">
            <w:pPr>
              <w:pStyle w:val="Tabletext"/>
              <w:jc w:val="center"/>
              <w:rPr>
                <w:lang w:val="fr-CH"/>
              </w:rPr>
            </w:pPr>
            <w:r w:rsidRPr="00CA3220">
              <w:rPr>
                <w:lang w:val="fr-CH"/>
              </w:rPr>
              <w:t>Oui</w:t>
            </w:r>
          </w:p>
        </w:tc>
        <w:tc>
          <w:tcPr>
            <w:tcW w:w="645" w:type="pct"/>
          </w:tcPr>
          <w:p w:rsidR="00DE31BE" w:rsidRPr="00CA3220" w:rsidRDefault="00DE31BE" w:rsidP="00664299">
            <w:pPr>
              <w:pStyle w:val="Tabletext"/>
              <w:jc w:val="center"/>
              <w:rPr>
                <w:lang w:val="fr-CH"/>
              </w:rPr>
            </w:pPr>
            <w:r w:rsidRPr="00CA3220">
              <w:rPr>
                <w:lang w:val="fr-CH"/>
              </w:rPr>
              <w:t>Oui</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Retransmission</w:t>
            </w:r>
          </w:p>
        </w:tc>
        <w:tc>
          <w:tcPr>
            <w:tcW w:w="3582" w:type="pct"/>
            <w:gridSpan w:val="5"/>
          </w:tcPr>
          <w:p w:rsidR="00DE31BE" w:rsidRPr="00CA3220" w:rsidRDefault="00DE31BE" w:rsidP="00664299">
            <w:pPr>
              <w:pStyle w:val="Tabletext"/>
              <w:jc w:val="center"/>
              <w:rPr>
                <w:lang w:val="fr-CH"/>
              </w:rPr>
            </w:pPr>
            <w:r w:rsidRPr="00CA3220">
              <w:rPr>
                <w:lang w:val="fr-CH"/>
              </w:rPr>
              <w:t>Demande automatique de répétition (ARQ)</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Correction d'erreur directe</w:t>
            </w:r>
          </w:p>
        </w:tc>
        <w:tc>
          <w:tcPr>
            <w:tcW w:w="549" w:type="pct"/>
          </w:tcPr>
          <w:p w:rsidR="00DE31BE" w:rsidRPr="00CA3220" w:rsidRDefault="00DE31BE" w:rsidP="00664299">
            <w:pPr>
              <w:pStyle w:val="Tabletext"/>
              <w:jc w:val="center"/>
              <w:rPr>
                <w:lang w:val="fr-CH"/>
              </w:rPr>
            </w:pPr>
            <w:r w:rsidRPr="00CA3220">
              <w:rPr>
                <w:lang w:val="fr-CH"/>
              </w:rPr>
              <w:t>Oui</w:t>
            </w:r>
          </w:p>
        </w:tc>
        <w:tc>
          <w:tcPr>
            <w:tcW w:w="905" w:type="pct"/>
          </w:tcPr>
          <w:p w:rsidR="00DE31BE" w:rsidRPr="00CA3220" w:rsidRDefault="00DE31BE" w:rsidP="00664299">
            <w:pPr>
              <w:pStyle w:val="Tabletext"/>
              <w:jc w:val="center"/>
              <w:rPr>
                <w:lang w:val="fr-CH"/>
              </w:rPr>
            </w:pPr>
            <w:r w:rsidRPr="00CA3220">
              <w:rPr>
                <w:lang w:val="fr-CH"/>
              </w:rPr>
              <w:t>Convolutionnelle et LDPC</w:t>
            </w:r>
          </w:p>
        </w:tc>
        <w:tc>
          <w:tcPr>
            <w:tcW w:w="906" w:type="pct"/>
          </w:tcPr>
          <w:p w:rsidR="00DE31BE" w:rsidRPr="00CA3220" w:rsidRDefault="00DE31BE" w:rsidP="00664299">
            <w:pPr>
              <w:pStyle w:val="Tabletext"/>
              <w:jc w:val="center"/>
              <w:rPr>
                <w:lang w:val="fr-CH"/>
              </w:rPr>
            </w:pPr>
            <w:r w:rsidRPr="00CA3220">
              <w:rPr>
                <w:lang w:val="fr-CH"/>
              </w:rPr>
              <w:t>Convolutionnelle et LDPC</w:t>
            </w:r>
          </w:p>
        </w:tc>
        <w:tc>
          <w:tcPr>
            <w:tcW w:w="577" w:type="pct"/>
          </w:tcPr>
          <w:p w:rsidR="00DE31BE" w:rsidRPr="00CA3220" w:rsidRDefault="00DE31BE" w:rsidP="00664299">
            <w:pPr>
              <w:pStyle w:val="Tabletext"/>
              <w:jc w:val="center"/>
              <w:rPr>
                <w:lang w:val="fr-CH"/>
              </w:rPr>
            </w:pPr>
            <w:r w:rsidRPr="00CA3220">
              <w:rPr>
                <w:lang w:val="fr-CH"/>
              </w:rPr>
              <w:t>Oui</w:t>
            </w:r>
          </w:p>
        </w:tc>
        <w:tc>
          <w:tcPr>
            <w:tcW w:w="645" w:type="pct"/>
          </w:tcPr>
          <w:p w:rsidR="00DE31BE" w:rsidRPr="00CA3220" w:rsidRDefault="00DE31BE" w:rsidP="00664299">
            <w:pPr>
              <w:pStyle w:val="Tabletext"/>
              <w:jc w:val="center"/>
              <w:rPr>
                <w:lang w:val="fr-CH"/>
              </w:rPr>
            </w:pPr>
            <w:r w:rsidRPr="00CA3220">
              <w:rPr>
                <w:lang w:val="fr-CH"/>
              </w:rPr>
              <w:t>Oui</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Gestion des brouillages</w:t>
            </w:r>
          </w:p>
        </w:tc>
        <w:tc>
          <w:tcPr>
            <w:tcW w:w="549" w:type="pct"/>
          </w:tcPr>
          <w:p w:rsidR="00DE31BE" w:rsidRPr="00CA3220" w:rsidRDefault="00DE31BE" w:rsidP="00664299">
            <w:pPr>
              <w:pStyle w:val="Tabletext"/>
              <w:jc w:val="center"/>
              <w:rPr>
                <w:lang w:val="fr-CH"/>
              </w:rPr>
            </w:pPr>
            <w:r w:rsidRPr="00CA3220">
              <w:rPr>
                <w:lang w:val="fr-CH"/>
              </w:rPr>
              <w:t>LBT («écouter avant de parler»)</w:t>
            </w:r>
          </w:p>
        </w:tc>
        <w:tc>
          <w:tcPr>
            <w:tcW w:w="905" w:type="pct"/>
          </w:tcPr>
          <w:p w:rsidR="00DE31BE" w:rsidRPr="00CA3220" w:rsidRDefault="00DE31BE" w:rsidP="00664299">
            <w:pPr>
              <w:pStyle w:val="Tabletext"/>
              <w:jc w:val="center"/>
              <w:rPr>
                <w:lang w:val="fr-CH"/>
              </w:rPr>
            </w:pPr>
            <w:r w:rsidRPr="00CA3220">
              <w:rPr>
                <w:lang w:val="fr-CH"/>
              </w:rPr>
              <w:t>LBT («écouter avant de parler») et sélection des canaux</w:t>
            </w:r>
          </w:p>
        </w:tc>
        <w:tc>
          <w:tcPr>
            <w:tcW w:w="906" w:type="pct"/>
          </w:tcPr>
          <w:p w:rsidR="00DE31BE" w:rsidRPr="00CA3220" w:rsidRDefault="00DE31BE" w:rsidP="00664299">
            <w:pPr>
              <w:pStyle w:val="Tabletext"/>
              <w:jc w:val="center"/>
              <w:rPr>
                <w:lang w:val="fr-CH"/>
              </w:rPr>
            </w:pPr>
            <w:r w:rsidRPr="00CA3220">
              <w:rPr>
                <w:lang w:val="fr-CH"/>
              </w:rPr>
              <w:t>LBT («écouter avant de parler») et sélection des canaux</w:t>
            </w:r>
          </w:p>
        </w:tc>
        <w:tc>
          <w:tcPr>
            <w:tcW w:w="577" w:type="pct"/>
          </w:tcPr>
          <w:p w:rsidR="00DE31BE" w:rsidRPr="00CA3220" w:rsidRDefault="00DE31BE" w:rsidP="00664299">
            <w:pPr>
              <w:pStyle w:val="Tabletext"/>
              <w:jc w:val="center"/>
              <w:rPr>
                <w:lang w:val="fr-CH"/>
              </w:rPr>
            </w:pPr>
            <w:r w:rsidRPr="00CA3220">
              <w:rPr>
                <w:lang w:val="fr-CH"/>
              </w:rPr>
              <w:t>LBT («écouter avant de parler»)</w:t>
            </w:r>
          </w:p>
        </w:tc>
        <w:tc>
          <w:tcPr>
            <w:tcW w:w="645" w:type="pct"/>
          </w:tcPr>
          <w:p w:rsidR="00DE31BE" w:rsidRPr="00CA3220" w:rsidRDefault="00DE31BE" w:rsidP="00664299">
            <w:pPr>
              <w:pStyle w:val="Tabletext"/>
              <w:jc w:val="center"/>
              <w:rPr>
                <w:lang w:val="fr-CH"/>
              </w:rPr>
            </w:pPr>
            <w:r w:rsidRPr="00CA3220">
              <w:rPr>
                <w:lang w:val="fr-CH"/>
              </w:rPr>
              <w:t>LBT («écouter avant de parler»)</w:t>
            </w:r>
          </w:p>
        </w:tc>
      </w:tr>
      <w:tr w:rsidR="003C653B" w:rsidRPr="00CA3220" w:rsidTr="00206CD4">
        <w:trPr>
          <w:cantSplit/>
          <w:jc w:val="center"/>
        </w:trPr>
        <w:tc>
          <w:tcPr>
            <w:tcW w:w="1418" w:type="pct"/>
          </w:tcPr>
          <w:p w:rsidR="003C653B" w:rsidRPr="00CA3220" w:rsidRDefault="003C653B" w:rsidP="00664299">
            <w:pPr>
              <w:pStyle w:val="Tabletext"/>
              <w:jc w:val="left"/>
              <w:rPr>
                <w:lang w:val="fr-CH"/>
              </w:rPr>
            </w:pPr>
            <w:r w:rsidRPr="00CA3220">
              <w:rPr>
                <w:lang w:val="fr-CH"/>
              </w:rPr>
              <w:t>Gestion de la puissance</w:t>
            </w:r>
          </w:p>
        </w:tc>
        <w:tc>
          <w:tcPr>
            <w:tcW w:w="3582" w:type="pct"/>
            <w:gridSpan w:val="5"/>
          </w:tcPr>
          <w:p w:rsidR="003C653B" w:rsidRPr="00CA3220" w:rsidRDefault="003C653B" w:rsidP="00664299">
            <w:pPr>
              <w:pStyle w:val="Tabletext"/>
              <w:jc w:val="center"/>
              <w:rPr>
                <w:lang w:val="fr-CH"/>
              </w:rPr>
            </w:pPr>
            <w:r w:rsidRPr="00CA3220">
              <w:rPr>
                <w:lang w:val="fr-CH"/>
              </w:rPr>
              <w:t>Oui</w:t>
            </w:r>
          </w:p>
        </w:tc>
      </w:tr>
      <w:tr w:rsidR="003C653B" w:rsidRPr="00CA3220" w:rsidTr="00206CD4">
        <w:trPr>
          <w:cantSplit/>
          <w:jc w:val="center"/>
        </w:trPr>
        <w:tc>
          <w:tcPr>
            <w:tcW w:w="1418" w:type="pct"/>
          </w:tcPr>
          <w:p w:rsidR="003C653B" w:rsidRPr="00CA3220" w:rsidRDefault="003C653B" w:rsidP="00664299">
            <w:pPr>
              <w:pStyle w:val="Tabletext"/>
              <w:jc w:val="left"/>
              <w:rPr>
                <w:lang w:val="fr-CH"/>
              </w:rPr>
            </w:pPr>
            <w:r w:rsidRPr="00CA3220">
              <w:rPr>
                <w:lang w:val="fr-CH"/>
              </w:rPr>
              <w:t>Topologie de connexion</w:t>
            </w:r>
          </w:p>
        </w:tc>
        <w:tc>
          <w:tcPr>
            <w:tcW w:w="3582" w:type="pct"/>
            <w:gridSpan w:val="5"/>
          </w:tcPr>
          <w:p w:rsidR="003C653B" w:rsidRPr="00CA3220" w:rsidRDefault="003C653B" w:rsidP="00664299">
            <w:pPr>
              <w:pStyle w:val="Tabletext"/>
              <w:jc w:val="center"/>
              <w:rPr>
                <w:lang w:val="fr-CH"/>
              </w:rPr>
            </w:pPr>
            <w:r w:rsidRPr="00CA3220">
              <w:rPr>
                <w:lang w:val="fr-CH"/>
              </w:rPr>
              <w:t>Point à point, à bonds multiples, en étoile</w:t>
            </w:r>
          </w:p>
        </w:tc>
      </w:tr>
      <w:tr w:rsidR="003C653B" w:rsidRPr="00CA3220" w:rsidTr="00206CD4">
        <w:trPr>
          <w:cantSplit/>
          <w:jc w:val="center"/>
        </w:trPr>
        <w:tc>
          <w:tcPr>
            <w:tcW w:w="1418" w:type="pct"/>
          </w:tcPr>
          <w:p w:rsidR="003C653B" w:rsidRPr="00CA3220" w:rsidRDefault="003C653B" w:rsidP="00664299">
            <w:pPr>
              <w:pStyle w:val="Tabletext"/>
              <w:jc w:val="left"/>
              <w:rPr>
                <w:lang w:val="fr-CH"/>
              </w:rPr>
            </w:pPr>
            <w:r w:rsidRPr="00CA3220">
              <w:rPr>
                <w:lang w:val="fr-CH"/>
              </w:rPr>
              <w:t>Méthodes d'accès au support</w:t>
            </w:r>
          </w:p>
        </w:tc>
        <w:tc>
          <w:tcPr>
            <w:tcW w:w="3582" w:type="pct"/>
            <w:gridSpan w:val="5"/>
          </w:tcPr>
          <w:p w:rsidR="003C653B" w:rsidRPr="00CA3220" w:rsidRDefault="003C653B" w:rsidP="00664299">
            <w:pPr>
              <w:pStyle w:val="Tabletext"/>
              <w:jc w:val="center"/>
              <w:rPr>
                <w:lang w:val="fr-CH"/>
              </w:rPr>
            </w:pPr>
            <w:r w:rsidRPr="00CA3220">
              <w:rPr>
                <w:lang w:val="fr-CH"/>
              </w:rPr>
              <w:t>CSMA/CA</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Méthodes d'accès multiple</w:t>
            </w:r>
          </w:p>
        </w:tc>
        <w:tc>
          <w:tcPr>
            <w:tcW w:w="549" w:type="pct"/>
          </w:tcPr>
          <w:p w:rsidR="00DE31BE" w:rsidRPr="00CA3220" w:rsidRDefault="00DE31BE" w:rsidP="00664299">
            <w:pPr>
              <w:pStyle w:val="Tabletext"/>
              <w:rPr>
                <w:lang w:val="fr-CH"/>
              </w:rPr>
            </w:pPr>
            <w:r w:rsidRPr="00CA3220">
              <w:rPr>
                <w:lang w:val="fr-CH"/>
              </w:rPr>
              <w:t>CSMA</w:t>
            </w:r>
          </w:p>
        </w:tc>
        <w:tc>
          <w:tcPr>
            <w:tcW w:w="905" w:type="pct"/>
          </w:tcPr>
          <w:p w:rsidR="00DE31BE" w:rsidRPr="00CA3220" w:rsidRDefault="00DE31BE" w:rsidP="00664299">
            <w:pPr>
              <w:pStyle w:val="Tabletext"/>
              <w:jc w:val="center"/>
              <w:rPr>
                <w:lang w:val="fr-CH"/>
              </w:rPr>
            </w:pPr>
            <w:r w:rsidRPr="00CA3220">
              <w:rPr>
                <w:lang w:val="fr-CH"/>
              </w:rPr>
              <w:t>CSMA/AMRT</w:t>
            </w:r>
          </w:p>
        </w:tc>
        <w:tc>
          <w:tcPr>
            <w:tcW w:w="906" w:type="pct"/>
          </w:tcPr>
          <w:p w:rsidR="00DE31BE" w:rsidRPr="00CA3220" w:rsidRDefault="00DE31BE" w:rsidP="00664299">
            <w:pPr>
              <w:pStyle w:val="Tabletext"/>
              <w:jc w:val="center"/>
              <w:rPr>
                <w:lang w:val="fr-CH"/>
              </w:rPr>
            </w:pPr>
            <w:r w:rsidRPr="00CA3220">
              <w:rPr>
                <w:lang w:val="fr-CH"/>
              </w:rPr>
              <w:t>CSMA/AMRT</w:t>
            </w:r>
          </w:p>
        </w:tc>
        <w:tc>
          <w:tcPr>
            <w:tcW w:w="577" w:type="pct"/>
          </w:tcPr>
          <w:p w:rsidR="00DE31BE" w:rsidRPr="00CA3220" w:rsidRDefault="00DE31BE" w:rsidP="00664299">
            <w:pPr>
              <w:pStyle w:val="Tabletext"/>
              <w:jc w:val="center"/>
              <w:rPr>
                <w:lang w:val="fr-CH"/>
              </w:rPr>
            </w:pPr>
            <w:r w:rsidRPr="00CA3220">
              <w:rPr>
                <w:lang w:val="fr-CH"/>
              </w:rPr>
              <w:t>CSMA</w:t>
            </w:r>
          </w:p>
        </w:tc>
        <w:tc>
          <w:tcPr>
            <w:tcW w:w="645" w:type="pct"/>
          </w:tcPr>
          <w:p w:rsidR="00DE31BE" w:rsidRPr="00CA3220" w:rsidRDefault="00DE31BE" w:rsidP="00664299">
            <w:pPr>
              <w:pStyle w:val="Tabletext"/>
              <w:jc w:val="center"/>
              <w:rPr>
                <w:lang w:val="fr-CH"/>
              </w:rPr>
            </w:pPr>
            <w:r w:rsidRPr="00CA3220">
              <w:rPr>
                <w:lang w:val="fr-CH"/>
              </w:rPr>
              <w:t>CSMA</w:t>
            </w:r>
          </w:p>
        </w:tc>
      </w:tr>
      <w:tr w:rsidR="00DE31BE" w:rsidRPr="00CA3220" w:rsidTr="00206CD4">
        <w:trPr>
          <w:cantSplit/>
          <w:jc w:val="center"/>
        </w:trPr>
        <w:tc>
          <w:tcPr>
            <w:tcW w:w="1418" w:type="pct"/>
          </w:tcPr>
          <w:p w:rsidR="00DE31BE" w:rsidRPr="00CA3220" w:rsidRDefault="00DE31BE" w:rsidP="00664299">
            <w:pPr>
              <w:pStyle w:val="Tabletext"/>
              <w:jc w:val="left"/>
              <w:rPr>
                <w:lang w:val="fr-CH"/>
              </w:rPr>
            </w:pPr>
            <w:r w:rsidRPr="00CA3220">
              <w:rPr>
                <w:lang w:val="fr-CH"/>
              </w:rPr>
              <w:t>Découverte et méthode d'association</w:t>
            </w:r>
          </w:p>
        </w:tc>
        <w:tc>
          <w:tcPr>
            <w:tcW w:w="3582" w:type="pct"/>
            <w:gridSpan w:val="5"/>
          </w:tcPr>
          <w:p w:rsidR="00DE31BE" w:rsidRPr="00CA3220" w:rsidRDefault="00DE31BE" w:rsidP="00664299">
            <w:pPr>
              <w:pStyle w:val="Tabletext"/>
              <w:jc w:val="center"/>
              <w:rPr>
                <w:lang w:val="fr-CH"/>
              </w:rPr>
            </w:pPr>
            <w:r w:rsidRPr="00CA3220">
              <w:rPr>
                <w:lang w:val="fr-CH"/>
              </w:rPr>
              <w:t>Balayage passif et actif</w:t>
            </w:r>
          </w:p>
        </w:tc>
      </w:tr>
    </w:tbl>
    <w:p w:rsidR="00206CD4" w:rsidRPr="00CA3220" w:rsidRDefault="00206CD4">
      <w:pPr>
        <w:rPr>
          <w:lang w:val="fr-CH"/>
        </w:rPr>
      </w:pPr>
    </w:p>
    <w:p w:rsidR="00206CD4" w:rsidRPr="00CA3220" w:rsidRDefault="00206CD4">
      <w:pPr>
        <w:rPr>
          <w:lang w:val="fr-CH"/>
        </w:rPr>
      </w:pPr>
    </w:p>
    <w:p w:rsidR="00206CD4" w:rsidRPr="00CA3220" w:rsidRDefault="00206CD4" w:rsidP="00206CD4">
      <w:pPr>
        <w:pStyle w:val="TableNo"/>
        <w:rPr>
          <w:lang w:val="fr-CH"/>
        </w:rPr>
      </w:pPr>
      <w:r w:rsidRPr="00CA3220">
        <w:rPr>
          <w:lang w:val="fr-CH"/>
        </w:rPr>
        <w:lastRenderedPageBreak/>
        <w:t>TABLEAU A1.1</w:t>
      </w:r>
      <w:r w:rsidR="00EF75D3" w:rsidRPr="00CA3220">
        <w:rPr>
          <w:lang w:val="fr-CH"/>
        </w:rPr>
        <w:t xml:space="preserve"> </w:t>
      </w:r>
      <w:r w:rsidR="00EF75D3" w:rsidRPr="00CA3220">
        <w:rPr>
          <w:i/>
          <w:iCs/>
          <w:lang w:val="fr-CH"/>
        </w:rPr>
        <w:t>(fin)</w:t>
      </w:r>
    </w:p>
    <w:p w:rsidR="00206CD4" w:rsidRPr="00CA3220" w:rsidRDefault="00206CD4" w:rsidP="00206CD4">
      <w:pPr>
        <w:pStyle w:val="Tabletitle"/>
        <w:rPr>
          <w:lang w:val="fr-CH"/>
        </w:rPr>
      </w:pPr>
      <w:r w:rsidRPr="00CA3220">
        <w:rPr>
          <w:lang w:val="fr-CH"/>
        </w:rPr>
        <w:t>Fonctionnalités techniques et opérationnelles des normes IEEE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8"/>
        <w:gridCol w:w="1381"/>
        <w:gridCol w:w="1380"/>
        <w:gridCol w:w="1380"/>
        <w:gridCol w:w="1380"/>
        <w:gridCol w:w="1380"/>
      </w:tblGrid>
      <w:tr w:rsidR="00AB1945" w:rsidRPr="00CA3220" w:rsidTr="00104C6C">
        <w:trPr>
          <w:cantSplit/>
          <w:jc w:val="center"/>
        </w:trPr>
        <w:tc>
          <w:tcPr>
            <w:tcW w:w="1420" w:type="pct"/>
            <w:vMerge w:val="restart"/>
            <w:vAlign w:val="center"/>
          </w:tcPr>
          <w:p w:rsidR="00AB1945" w:rsidRPr="00CA3220" w:rsidRDefault="00AB1945" w:rsidP="00AB1945">
            <w:pPr>
              <w:pStyle w:val="Tablehead"/>
              <w:rPr>
                <w:lang w:val="fr-CH"/>
              </w:rPr>
            </w:pPr>
            <w:r w:rsidRPr="00CA3220">
              <w:rPr>
                <w:lang w:val="fr-CH"/>
              </w:rPr>
              <w:t>Fonction</w:t>
            </w:r>
          </w:p>
        </w:tc>
        <w:tc>
          <w:tcPr>
            <w:tcW w:w="716" w:type="pct"/>
            <w:vMerge w:val="restart"/>
            <w:vAlign w:val="center"/>
          </w:tcPr>
          <w:p w:rsidR="00AB1945" w:rsidRPr="00CA3220" w:rsidRDefault="00AB1945" w:rsidP="00AB1945">
            <w:pPr>
              <w:pStyle w:val="Tablehead"/>
              <w:rPr>
                <w:lang w:val="fr-CH"/>
              </w:rPr>
            </w:pPr>
            <w:r w:rsidRPr="00CA3220">
              <w:rPr>
                <w:lang w:val="fr-CH"/>
              </w:rPr>
              <w:t>802.11</w:t>
            </w:r>
          </w:p>
        </w:tc>
        <w:tc>
          <w:tcPr>
            <w:tcW w:w="1432" w:type="pct"/>
            <w:gridSpan w:val="2"/>
            <w:vAlign w:val="center"/>
          </w:tcPr>
          <w:p w:rsidR="00AB1945" w:rsidRPr="00CA3220" w:rsidRDefault="00AB1945" w:rsidP="00B16AA8">
            <w:pPr>
              <w:pStyle w:val="Tablehead"/>
              <w:rPr>
                <w:lang w:val="fr-CH"/>
              </w:rPr>
            </w:pPr>
            <w:r w:rsidRPr="00CA3220">
              <w:rPr>
                <w:lang w:val="fr-CH"/>
              </w:rPr>
              <w:t>802.11ah</w:t>
            </w:r>
            <w:r w:rsidR="00B16AA8">
              <w:rPr>
                <w:rStyle w:val="FootnoteReference"/>
                <w:lang w:val="fr-CH"/>
              </w:rPr>
              <w:footnoteReference w:id="25"/>
            </w:r>
          </w:p>
        </w:tc>
        <w:tc>
          <w:tcPr>
            <w:tcW w:w="716" w:type="pct"/>
            <w:vMerge w:val="restart"/>
            <w:vAlign w:val="center"/>
          </w:tcPr>
          <w:p w:rsidR="00AB1945" w:rsidRPr="00CA3220" w:rsidRDefault="00AB1945" w:rsidP="00AB1945">
            <w:pPr>
              <w:pStyle w:val="Tablehead"/>
              <w:rPr>
                <w:lang w:val="fr-CH"/>
              </w:rPr>
            </w:pPr>
            <w:r w:rsidRPr="00CA3220">
              <w:rPr>
                <w:lang w:val="fr-CH"/>
              </w:rPr>
              <w:t>802.11n</w:t>
            </w:r>
          </w:p>
        </w:tc>
        <w:tc>
          <w:tcPr>
            <w:tcW w:w="716" w:type="pct"/>
            <w:vMerge w:val="restart"/>
            <w:vAlign w:val="center"/>
          </w:tcPr>
          <w:p w:rsidR="00AB1945" w:rsidRPr="00CA3220" w:rsidRDefault="00AB1945" w:rsidP="00AB1945">
            <w:pPr>
              <w:pStyle w:val="Tablehead"/>
              <w:rPr>
                <w:lang w:val="fr-CH"/>
              </w:rPr>
            </w:pPr>
            <w:r w:rsidRPr="00CA3220">
              <w:rPr>
                <w:lang w:val="fr-CH"/>
              </w:rPr>
              <w:t>802.11ac</w:t>
            </w:r>
          </w:p>
        </w:tc>
      </w:tr>
      <w:tr w:rsidR="00AB1945" w:rsidRPr="00CA3220" w:rsidTr="002F539D">
        <w:trPr>
          <w:cantSplit/>
          <w:jc w:val="center"/>
        </w:trPr>
        <w:tc>
          <w:tcPr>
            <w:tcW w:w="1420" w:type="pct"/>
            <w:vMerge/>
          </w:tcPr>
          <w:p w:rsidR="00AB1945" w:rsidRPr="00CA3220" w:rsidRDefault="00AB1945" w:rsidP="00AB1945">
            <w:pPr>
              <w:pStyle w:val="Tabletext"/>
              <w:jc w:val="left"/>
              <w:rPr>
                <w:lang w:val="fr-CH"/>
              </w:rPr>
            </w:pPr>
          </w:p>
        </w:tc>
        <w:tc>
          <w:tcPr>
            <w:tcW w:w="716" w:type="pct"/>
            <w:vMerge/>
          </w:tcPr>
          <w:p w:rsidR="00AB1945" w:rsidRPr="00CA3220" w:rsidRDefault="00AB1945" w:rsidP="00AB1945">
            <w:pPr>
              <w:pStyle w:val="Tabletext"/>
              <w:jc w:val="center"/>
              <w:rPr>
                <w:lang w:val="fr-CH"/>
              </w:rPr>
            </w:pPr>
          </w:p>
        </w:tc>
        <w:tc>
          <w:tcPr>
            <w:tcW w:w="716" w:type="pct"/>
            <w:vAlign w:val="center"/>
          </w:tcPr>
          <w:p w:rsidR="00AB1945" w:rsidRPr="00CA3220" w:rsidRDefault="00AB1945" w:rsidP="00B16AA8">
            <w:pPr>
              <w:pStyle w:val="Tablehead"/>
              <w:rPr>
                <w:lang w:val="fr-CH"/>
              </w:rPr>
            </w:pPr>
            <w:r w:rsidRPr="00CA3220">
              <w:rPr>
                <w:lang w:val="fr-CH"/>
              </w:rPr>
              <w:t>Modèle 1</w:t>
            </w:r>
            <w:r w:rsidR="00B16AA8">
              <w:rPr>
                <w:rStyle w:val="FootnoteReference"/>
                <w:lang w:val="fr-CH"/>
              </w:rPr>
              <w:footnoteReference w:id="26"/>
            </w:r>
          </w:p>
        </w:tc>
        <w:tc>
          <w:tcPr>
            <w:tcW w:w="716" w:type="pct"/>
            <w:vAlign w:val="center"/>
          </w:tcPr>
          <w:p w:rsidR="00AB1945" w:rsidRPr="00CA3220" w:rsidRDefault="00AB1945" w:rsidP="00B16AA8">
            <w:pPr>
              <w:pStyle w:val="Tablehead"/>
              <w:rPr>
                <w:lang w:val="fr-CH"/>
              </w:rPr>
            </w:pPr>
            <w:r w:rsidRPr="00CA3220">
              <w:rPr>
                <w:lang w:val="fr-CH"/>
              </w:rPr>
              <w:t>Modèle 2</w:t>
            </w:r>
            <w:r w:rsidR="00B16AA8">
              <w:rPr>
                <w:rStyle w:val="FootnoteReference"/>
                <w:lang w:val="fr-CH"/>
              </w:rPr>
              <w:footnoteReference w:id="27"/>
            </w:r>
          </w:p>
        </w:tc>
        <w:tc>
          <w:tcPr>
            <w:tcW w:w="716" w:type="pct"/>
            <w:vMerge/>
          </w:tcPr>
          <w:p w:rsidR="00AB1945" w:rsidRPr="00CA3220" w:rsidRDefault="00AB1945" w:rsidP="00AB1945">
            <w:pPr>
              <w:pStyle w:val="Tabletext"/>
              <w:jc w:val="center"/>
              <w:rPr>
                <w:lang w:val="fr-CH"/>
              </w:rPr>
            </w:pPr>
          </w:p>
        </w:tc>
        <w:tc>
          <w:tcPr>
            <w:tcW w:w="716" w:type="pct"/>
            <w:vMerge/>
          </w:tcPr>
          <w:p w:rsidR="00AB1945" w:rsidRPr="00CA3220" w:rsidRDefault="00AB1945" w:rsidP="00AB1945">
            <w:pPr>
              <w:pStyle w:val="Tabletext"/>
              <w:jc w:val="center"/>
              <w:rPr>
                <w:lang w:val="fr-CH"/>
              </w:rPr>
            </w:pPr>
          </w:p>
        </w:tc>
      </w:tr>
      <w:tr w:rsidR="00DE31BE" w:rsidRPr="00CA3220" w:rsidTr="00AB1945">
        <w:trPr>
          <w:cantSplit/>
          <w:jc w:val="center"/>
        </w:trPr>
        <w:tc>
          <w:tcPr>
            <w:tcW w:w="1420" w:type="pct"/>
          </w:tcPr>
          <w:p w:rsidR="00DE31BE" w:rsidRPr="00CA3220" w:rsidRDefault="00DE31BE" w:rsidP="00664299">
            <w:pPr>
              <w:pStyle w:val="Tabletext"/>
              <w:jc w:val="left"/>
              <w:rPr>
                <w:lang w:val="fr-CH"/>
              </w:rPr>
            </w:pPr>
            <w:r w:rsidRPr="00CA3220">
              <w:rPr>
                <w:lang w:val="fr-CH"/>
              </w:rPr>
              <w:t>Méthodes de qualité de service</w:t>
            </w:r>
          </w:p>
        </w:tc>
        <w:tc>
          <w:tcPr>
            <w:tcW w:w="3580" w:type="pct"/>
            <w:gridSpan w:val="5"/>
          </w:tcPr>
          <w:p w:rsidR="00DE31BE" w:rsidRPr="00CA3220" w:rsidRDefault="00DE31BE" w:rsidP="00664299">
            <w:pPr>
              <w:pStyle w:val="Tabletext"/>
              <w:jc w:val="center"/>
              <w:rPr>
                <w:lang w:val="fr-CH"/>
              </w:rPr>
            </w:pPr>
            <w:r w:rsidRPr="00CA3220">
              <w:rPr>
                <w:lang w:val="fr-CH"/>
              </w:rPr>
              <w:t xml:space="preserve">Priorité de file d'attente, étiquetage des données de transfert </w:t>
            </w:r>
            <w:r w:rsidR="00AB1945" w:rsidRPr="00CA3220">
              <w:rPr>
                <w:lang w:val="fr-CH"/>
              </w:rPr>
              <w:br/>
            </w:r>
            <w:r w:rsidRPr="00CA3220">
              <w:rPr>
                <w:lang w:val="fr-CH"/>
              </w:rPr>
              <w:t>et priorité de trafic</w:t>
            </w:r>
          </w:p>
        </w:tc>
      </w:tr>
      <w:tr w:rsidR="00DE31BE" w:rsidRPr="00CA3220" w:rsidTr="00AB1945">
        <w:trPr>
          <w:cantSplit/>
          <w:jc w:val="center"/>
        </w:trPr>
        <w:tc>
          <w:tcPr>
            <w:tcW w:w="1420" w:type="pct"/>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text"/>
              <w:jc w:val="left"/>
              <w:rPr>
                <w:lang w:val="fr-CH"/>
              </w:rPr>
            </w:pPr>
            <w:r w:rsidRPr="00CA3220">
              <w:rPr>
                <w:lang w:val="fr-CH"/>
              </w:rPr>
              <w:t>Détection de l'emplacement</w:t>
            </w:r>
          </w:p>
        </w:tc>
        <w:tc>
          <w:tcPr>
            <w:tcW w:w="3580" w:type="pct"/>
            <w:gridSpan w:val="5"/>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text"/>
              <w:jc w:val="center"/>
              <w:rPr>
                <w:lang w:val="fr-CH"/>
              </w:rPr>
            </w:pPr>
            <w:r w:rsidRPr="00CA3220">
              <w:rPr>
                <w:lang w:val="fr-CH"/>
              </w:rPr>
              <w:t>Oui</w:t>
            </w:r>
          </w:p>
        </w:tc>
      </w:tr>
      <w:tr w:rsidR="00DE31BE" w:rsidRPr="00CA3220" w:rsidTr="00AB1945">
        <w:trPr>
          <w:cantSplit/>
          <w:jc w:val="center"/>
        </w:trPr>
        <w:tc>
          <w:tcPr>
            <w:tcW w:w="1420" w:type="pct"/>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text"/>
              <w:jc w:val="left"/>
              <w:rPr>
                <w:lang w:val="fr-CH"/>
              </w:rPr>
            </w:pPr>
            <w:r w:rsidRPr="00CA3220">
              <w:rPr>
                <w:lang w:val="fr-CH"/>
              </w:rPr>
              <w:t>Télémétrie</w:t>
            </w:r>
          </w:p>
        </w:tc>
        <w:tc>
          <w:tcPr>
            <w:tcW w:w="3580" w:type="pct"/>
            <w:gridSpan w:val="5"/>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text"/>
              <w:jc w:val="center"/>
              <w:rPr>
                <w:lang w:val="fr-CH"/>
              </w:rPr>
            </w:pPr>
            <w:r w:rsidRPr="00CA3220">
              <w:rPr>
                <w:lang w:val="fr-CH"/>
              </w:rPr>
              <w:t>Oui</w:t>
            </w:r>
          </w:p>
        </w:tc>
      </w:tr>
      <w:tr w:rsidR="00DE31BE" w:rsidRPr="00CA3220" w:rsidTr="00AB1945">
        <w:trPr>
          <w:cantSplit/>
          <w:jc w:val="center"/>
        </w:trPr>
        <w:tc>
          <w:tcPr>
            <w:tcW w:w="1420" w:type="pct"/>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text"/>
              <w:jc w:val="left"/>
              <w:rPr>
                <w:lang w:val="fr-CH"/>
              </w:rPr>
            </w:pPr>
            <w:r w:rsidRPr="00CA3220">
              <w:rPr>
                <w:lang w:val="fr-CH"/>
              </w:rPr>
              <w:t>Chiffrement</w:t>
            </w:r>
          </w:p>
        </w:tc>
        <w:tc>
          <w:tcPr>
            <w:tcW w:w="3580" w:type="pct"/>
            <w:gridSpan w:val="5"/>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text"/>
              <w:jc w:val="center"/>
              <w:rPr>
                <w:lang w:val="fr-CH"/>
              </w:rPr>
            </w:pPr>
            <w:r w:rsidRPr="00CA3220">
              <w:rPr>
                <w:lang w:val="fr-CH"/>
              </w:rPr>
              <w:t>AES-128, AES-256</w:t>
            </w:r>
          </w:p>
        </w:tc>
      </w:tr>
      <w:tr w:rsidR="00DE31BE" w:rsidRPr="00CA3220" w:rsidTr="00AB1945">
        <w:trPr>
          <w:cantSplit/>
          <w:jc w:val="center"/>
        </w:trPr>
        <w:tc>
          <w:tcPr>
            <w:tcW w:w="1420" w:type="pct"/>
          </w:tcPr>
          <w:p w:rsidR="00DE31BE" w:rsidRPr="00CA3220" w:rsidRDefault="00DE31BE" w:rsidP="00664299">
            <w:pPr>
              <w:pStyle w:val="Tabletext"/>
              <w:jc w:val="left"/>
              <w:rPr>
                <w:lang w:val="fr-CH"/>
              </w:rPr>
            </w:pPr>
            <w:r w:rsidRPr="00CA3220">
              <w:rPr>
                <w:lang w:val="fr-CH"/>
              </w:rPr>
              <w:t>Authentification/protection contre les réexécutions</w:t>
            </w:r>
          </w:p>
        </w:tc>
        <w:tc>
          <w:tcPr>
            <w:tcW w:w="3580" w:type="pct"/>
            <w:gridSpan w:val="5"/>
          </w:tcPr>
          <w:p w:rsidR="00DE31BE" w:rsidRPr="00CA3220" w:rsidRDefault="00DE31BE" w:rsidP="00664299">
            <w:pPr>
              <w:pStyle w:val="Tabletext"/>
              <w:jc w:val="center"/>
              <w:rPr>
                <w:lang w:val="fr-CH"/>
              </w:rPr>
            </w:pPr>
            <w:r w:rsidRPr="00CA3220">
              <w:rPr>
                <w:lang w:val="fr-CH"/>
              </w:rPr>
              <w:t>Oui</w:t>
            </w:r>
          </w:p>
        </w:tc>
      </w:tr>
      <w:tr w:rsidR="00DE31BE" w:rsidRPr="00CA3220" w:rsidTr="00AB1945">
        <w:trPr>
          <w:cantSplit/>
          <w:jc w:val="center"/>
        </w:trPr>
        <w:tc>
          <w:tcPr>
            <w:tcW w:w="1420" w:type="pct"/>
          </w:tcPr>
          <w:p w:rsidR="00DE31BE" w:rsidRPr="00CA3220" w:rsidRDefault="00DE31BE" w:rsidP="00664299">
            <w:pPr>
              <w:pStyle w:val="Tabletext"/>
              <w:jc w:val="left"/>
              <w:rPr>
                <w:lang w:val="fr-CH"/>
              </w:rPr>
            </w:pPr>
            <w:r w:rsidRPr="00CA3220">
              <w:rPr>
                <w:lang w:val="fr-CH"/>
              </w:rPr>
              <w:t>Echange de clés</w:t>
            </w:r>
          </w:p>
        </w:tc>
        <w:tc>
          <w:tcPr>
            <w:tcW w:w="3580" w:type="pct"/>
            <w:gridSpan w:val="5"/>
          </w:tcPr>
          <w:p w:rsidR="00DE31BE" w:rsidRPr="00CA3220" w:rsidRDefault="00DE31BE" w:rsidP="00664299">
            <w:pPr>
              <w:pStyle w:val="Tabletext"/>
              <w:jc w:val="center"/>
              <w:rPr>
                <w:lang w:val="fr-CH"/>
              </w:rPr>
            </w:pPr>
            <w:r w:rsidRPr="00CA3220">
              <w:rPr>
                <w:lang w:val="fr-CH"/>
              </w:rPr>
              <w:t>Oui</w:t>
            </w:r>
          </w:p>
        </w:tc>
      </w:tr>
      <w:tr w:rsidR="00DE31BE" w:rsidRPr="00CA3220" w:rsidTr="00AB1945">
        <w:trPr>
          <w:cantSplit/>
          <w:jc w:val="center"/>
        </w:trPr>
        <w:tc>
          <w:tcPr>
            <w:tcW w:w="1420" w:type="pct"/>
          </w:tcPr>
          <w:p w:rsidR="00DE31BE" w:rsidRPr="00CA3220" w:rsidRDefault="00DE31BE" w:rsidP="00664299">
            <w:pPr>
              <w:pStyle w:val="Tabletext"/>
              <w:jc w:val="left"/>
              <w:rPr>
                <w:lang w:val="fr-CH"/>
              </w:rPr>
            </w:pPr>
            <w:r w:rsidRPr="00CA3220">
              <w:rPr>
                <w:lang w:val="fr-CH"/>
              </w:rPr>
              <w:t>Détection des noeuds malveillants</w:t>
            </w:r>
          </w:p>
        </w:tc>
        <w:tc>
          <w:tcPr>
            <w:tcW w:w="3580" w:type="pct"/>
            <w:gridSpan w:val="5"/>
          </w:tcPr>
          <w:p w:rsidR="00DE31BE" w:rsidRPr="00CA3220" w:rsidRDefault="00DE31BE" w:rsidP="00664299">
            <w:pPr>
              <w:pStyle w:val="Tabletext"/>
              <w:jc w:val="center"/>
              <w:rPr>
                <w:lang w:val="fr-CH"/>
              </w:rPr>
            </w:pPr>
            <w:r w:rsidRPr="00CA3220">
              <w:rPr>
                <w:lang w:val="fr-CH"/>
              </w:rPr>
              <w:t>Oui</w:t>
            </w:r>
          </w:p>
        </w:tc>
      </w:tr>
      <w:tr w:rsidR="00DE31BE" w:rsidRPr="00CA3220" w:rsidTr="00AB1945">
        <w:trPr>
          <w:cantSplit/>
          <w:jc w:val="center"/>
        </w:trPr>
        <w:tc>
          <w:tcPr>
            <w:tcW w:w="1420" w:type="pct"/>
          </w:tcPr>
          <w:p w:rsidR="00DE31BE" w:rsidRPr="00CA3220" w:rsidRDefault="00DE31BE" w:rsidP="00664299">
            <w:pPr>
              <w:pStyle w:val="Tabletext"/>
              <w:jc w:val="left"/>
              <w:rPr>
                <w:lang w:val="fr-CH"/>
              </w:rPr>
            </w:pPr>
            <w:r w:rsidRPr="00CA3220">
              <w:rPr>
                <w:lang w:val="fr-CH"/>
              </w:rPr>
              <w:t>Identification unique de l'équipement</w:t>
            </w:r>
          </w:p>
        </w:tc>
        <w:tc>
          <w:tcPr>
            <w:tcW w:w="3580" w:type="pct"/>
            <w:gridSpan w:val="5"/>
          </w:tcPr>
          <w:p w:rsidR="00DE31BE" w:rsidRPr="00CA3220" w:rsidRDefault="00DE31BE" w:rsidP="00664299">
            <w:pPr>
              <w:pStyle w:val="Tabletext"/>
              <w:jc w:val="center"/>
              <w:rPr>
                <w:lang w:val="fr-CH"/>
              </w:rPr>
            </w:pPr>
            <w:r w:rsidRPr="00CA3220">
              <w:rPr>
                <w:lang w:val="fr-CH"/>
              </w:rPr>
              <w:t>Identifiant unique à 48 bits</w:t>
            </w:r>
          </w:p>
        </w:tc>
      </w:tr>
    </w:tbl>
    <w:p w:rsidR="00DE31BE" w:rsidRPr="00CA3220" w:rsidRDefault="00DE31BE" w:rsidP="00664299">
      <w:pPr>
        <w:pStyle w:val="Tablefin"/>
        <w:rPr>
          <w:lang w:val="fr-CH"/>
        </w:rPr>
      </w:pPr>
    </w:p>
    <w:p w:rsidR="00DE31BE" w:rsidRPr="00CA3220" w:rsidRDefault="00DE31BE" w:rsidP="00664299">
      <w:pPr>
        <w:pStyle w:val="TableNo"/>
        <w:rPr>
          <w:rFonts w:asciiTheme="majorBidi" w:hAnsiTheme="majorBidi" w:cstheme="majorBidi"/>
          <w:szCs w:val="24"/>
          <w:lang w:val="fr-CH"/>
        </w:rPr>
      </w:pPr>
      <w:r w:rsidRPr="00CA3220">
        <w:rPr>
          <w:rFonts w:asciiTheme="majorBidi" w:hAnsiTheme="majorBidi" w:cstheme="majorBidi"/>
          <w:szCs w:val="24"/>
          <w:lang w:val="fr-CH"/>
        </w:rPr>
        <w:t>TABLEAU A1.2</w:t>
      </w:r>
    </w:p>
    <w:p w:rsidR="00DE31BE" w:rsidRPr="00CA3220" w:rsidRDefault="00DE31BE" w:rsidP="00664299">
      <w:pPr>
        <w:pStyle w:val="Tabletitle"/>
        <w:rPr>
          <w:rFonts w:asciiTheme="majorBidi" w:hAnsiTheme="majorBidi" w:cstheme="majorBidi"/>
          <w:b w:val="0"/>
          <w:bCs/>
          <w:szCs w:val="24"/>
          <w:lang w:val="fr-CH"/>
        </w:rPr>
      </w:pPr>
      <w:r w:rsidRPr="00CA3220">
        <w:rPr>
          <w:rFonts w:asciiTheme="majorBidi" w:hAnsiTheme="majorBidi" w:cstheme="majorBidi"/>
          <w:bCs/>
          <w:szCs w:val="24"/>
          <w:lang w:val="fr-CH"/>
        </w:rPr>
        <w:t xml:space="preserve">Fonctionnalités techniques et </w:t>
      </w:r>
      <w:r w:rsidRPr="00CA3220">
        <w:rPr>
          <w:lang w:val="fr-CH"/>
        </w:rPr>
        <w:t>opérationnelles</w:t>
      </w:r>
      <w:r w:rsidRPr="00CA3220">
        <w:rPr>
          <w:rFonts w:asciiTheme="majorBidi" w:hAnsiTheme="majorBidi" w:cstheme="majorBidi"/>
          <w:bCs/>
          <w:szCs w:val="24"/>
          <w:lang w:val="fr-CH"/>
        </w:rPr>
        <w:t xml:space="preserve"> des normes IEEE 802.15.4</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3"/>
        <w:gridCol w:w="5811"/>
      </w:tblGrid>
      <w:tr w:rsidR="00DE31BE" w:rsidRPr="00CA3220" w:rsidTr="00B824BF">
        <w:trPr>
          <w:cantSplit/>
          <w:jc w:val="center"/>
        </w:trPr>
        <w:tc>
          <w:tcPr>
            <w:tcW w:w="0" w:type="auto"/>
          </w:tcPr>
          <w:p w:rsidR="00DE31BE" w:rsidRPr="00CA3220" w:rsidRDefault="00DE31BE" w:rsidP="00664299">
            <w:pPr>
              <w:pStyle w:val="Tablehead"/>
              <w:rPr>
                <w:lang w:val="fr-CH"/>
              </w:rPr>
            </w:pPr>
            <w:r w:rsidRPr="00CA3220">
              <w:rPr>
                <w:lang w:val="fr-CH"/>
              </w:rPr>
              <w:t>Fonction</w:t>
            </w:r>
          </w:p>
        </w:tc>
        <w:tc>
          <w:tcPr>
            <w:tcW w:w="5811" w:type="dxa"/>
          </w:tcPr>
          <w:p w:rsidR="00DE31BE" w:rsidRPr="00CA3220" w:rsidRDefault="00DE31BE" w:rsidP="00664299">
            <w:pPr>
              <w:pStyle w:val="Tablehead"/>
              <w:rPr>
                <w:lang w:val="fr-CH"/>
              </w:rPr>
            </w:pPr>
            <w:r w:rsidRPr="00CA3220">
              <w:rPr>
                <w:lang w:val="fr-CH"/>
              </w:rPr>
              <w:t>Valeur</w:t>
            </w:r>
          </w:p>
        </w:tc>
      </w:tr>
      <w:tr w:rsidR="00DE31BE" w:rsidRPr="00CA3220" w:rsidTr="00B824BF">
        <w:trPr>
          <w:cantSplit/>
          <w:jc w:val="center"/>
        </w:trPr>
        <w:tc>
          <w:tcPr>
            <w:tcW w:w="0" w:type="auto"/>
          </w:tcPr>
          <w:p w:rsidR="00DE31BE" w:rsidRPr="00CA3220" w:rsidRDefault="00DE31BE" w:rsidP="00664299">
            <w:pPr>
              <w:pStyle w:val="Tabletext"/>
              <w:jc w:val="left"/>
              <w:rPr>
                <w:lang w:val="fr-CH"/>
              </w:rPr>
            </w:pPr>
            <w:r w:rsidRPr="00CA3220">
              <w:rPr>
                <w:lang w:val="fr-CH"/>
              </w:rPr>
              <w:t>Bandes de fréquences prises en charges (MHz)</w:t>
            </w:r>
          </w:p>
        </w:tc>
        <w:tc>
          <w:tcPr>
            <w:tcW w:w="5811" w:type="dxa"/>
          </w:tcPr>
          <w:p w:rsidR="004A5BB7" w:rsidRPr="00CA3220" w:rsidRDefault="00DE31BE" w:rsidP="00D166E9">
            <w:pPr>
              <w:pStyle w:val="Tabletext"/>
              <w:rPr>
                <w:lang w:val="fr-CH"/>
              </w:rPr>
            </w:pPr>
            <w:r w:rsidRPr="00CA3220">
              <w:rPr>
                <w:lang w:val="fr-CH"/>
              </w:rPr>
              <w:t>Sans licence: 169, 450-510, 779-787, 863-870</w:t>
            </w:r>
            <w:r w:rsidR="008E3AD6" w:rsidRPr="00CA3220">
              <w:rPr>
                <w:lang w:val="fr-CH"/>
              </w:rPr>
              <w:t>, 902-928, 950</w:t>
            </w:r>
            <w:r w:rsidR="00D166E9">
              <w:rPr>
                <w:lang w:val="fr-CH"/>
              </w:rPr>
              <w:noBreakHyphen/>
            </w:r>
            <w:r w:rsidR="008E3AD6" w:rsidRPr="00CA3220">
              <w:rPr>
                <w:lang w:val="fr-CH"/>
              </w:rPr>
              <w:t>958,</w:t>
            </w:r>
            <w:r w:rsidR="004A5BB7" w:rsidRPr="00CA3220">
              <w:rPr>
                <w:lang w:val="fr-CH"/>
              </w:rPr>
              <w:t xml:space="preserve"> </w:t>
            </w:r>
            <w:r w:rsidRPr="00CA3220">
              <w:rPr>
                <w:lang w:val="fr-CH"/>
              </w:rPr>
              <w:t>2 400</w:t>
            </w:r>
            <w:r w:rsidRPr="00CA3220">
              <w:rPr>
                <w:lang w:val="fr-CH"/>
              </w:rPr>
              <w:noBreakHyphen/>
              <w:t xml:space="preserve">2 483,5 </w:t>
            </w:r>
          </w:p>
          <w:p w:rsidR="00DE31BE" w:rsidRPr="00CA3220" w:rsidRDefault="00DE31BE" w:rsidP="00664299">
            <w:pPr>
              <w:pStyle w:val="Tabletext"/>
              <w:rPr>
                <w:lang w:val="fr-CH"/>
              </w:rPr>
            </w:pPr>
            <w:r w:rsidRPr="00CA3220">
              <w:rPr>
                <w:lang w:val="fr-CH"/>
              </w:rPr>
              <w:t>Avec licence: 220, 400-1 000, 1 427</w:t>
            </w:r>
          </w:p>
        </w:tc>
      </w:tr>
      <w:tr w:rsidR="00DE31BE" w:rsidRPr="00063D07" w:rsidTr="00B824BF">
        <w:trPr>
          <w:cantSplit/>
          <w:jc w:val="center"/>
        </w:trPr>
        <w:tc>
          <w:tcPr>
            <w:tcW w:w="0" w:type="auto"/>
          </w:tcPr>
          <w:p w:rsidR="00DE31BE" w:rsidRPr="00CA3220" w:rsidRDefault="00DE31BE" w:rsidP="00664299">
            <w:pPr>
              <w:pStyle w:val="Tabletext"/>
              <w:jc w:val="left"/>
              <w:rPr>
                <w:lang w:val="fr-CH"/>
              </w:rPr>
            </w:pPr>
            <w:r w:rsidRPr="00CA3220">
              <w:rPr>
                <w:lang w:val="fr-CH"/>
              </w:rPr>
              <w:t>Portée opérationnelle nominale</w:t>
            </w:r>
          </w:p>
        </w:tc>
        <w:tc>
          <w:tcPr>
            <w:tcW w:w="5811" w:type="dxa"/>
          </w:tcPr>
          <w:p w:rsidR="004A5BB7" w:rsidRPr="007B6CF9" w:rsidRDefault="00DE31BE" w:rsidP="00664299">
            <w:pPr>
              <w:pStyle w:val="Tabletext"/>
              <w:rPr>
                <w:szCs w:val="22"/>
                <w:lang w:val="en-US"/>
              </w:rPr>
            </w:pPr>
            <w:r w:rsidRPr="007B6CF9">
              <w:rPr>
                <w:szCs w:val="22"/>
                <w:lang w:val="en-US"/>
              </w:rPr>
              <w:t>OFDM – 2 km</w:t>
            </w:r>
          </w:p>
          <w:p w:rsidR="004A5BB7" w:rsidRPr="007B6CF9" w:rsidRDefault="00DE31BE" w:rsidP="00664299">
            <w:pPr>
              <w:pStyle w:val="Tabletext"/>
              <w:rPr>
                <w:szCs w:val="22"/>
                <w:lang w:val="en-US"/>
              </w:rPr>
            </w:pPr>
            <w:r w:rsidRPr="007B6CF9">
              <w:rPr>
                <w:szCs w:val="22"/>
                <w:lang w:val="en-US"/>
              </w:rPr>
              <w:t>MR-FSK – 5 km</w:t>
            </w:r>
          </w:p>
          <w:p w:rsidR="00DE31BE" w:rsidRPr="007B6CF9" w:rsidRDefault="00DE31BE" w:rsidP="00664299">
            <w:pPr>
              <w:pStyle w:val="Tabletext"/>
              <w:rPr>
                <w:szCs w:val="22"/>
                <w:lang w:val="en-US"/>
              </w:rPr>
            </w:pPr>
            <w:r w:rsidRPr="007B6CF9">
              <w:rPr>
                <w:szCs w:val="22"/>
                <w:lang w:val="en-US"/>
              </w:rPr>
              <w:t>DSSS – 0,1 km</w:t>
            </w:r>
          </w:p>
        </w:tc>
      </w:tr>
      <w:tr w:rsidR="00DE31BE" w:rsidRPr="00CA3220" w:rsidTr="00B824BF">
        <w:trPr>
          <w:cantSplit/>
          <w:jc w:val="center"/>
        </w:trPr>
        <w:tc>
          <w:tcPr>
            <w:tcW w:w="0" w:type="auto"/>
          </w:tcPr>
          <w:p w:rsidR="00DE31BE" w:rsidRPr="00CA3220" w:rsidRDefault="00DE31BE" w:rsidP="00664299">
            <w:pPr>
              <w:pStyle w:val="Tabletext"/>
              <w:jc w:val="left"/>
              <w:rPr>
                <w:lang w:val="fr-CH"/>
              </w:rPr>
            </w:pPr>
            <w:r w:rsidRPr="00CA3220">
              <w:rPr>
                <w:lang w:val="fr-CH"/>
              </w:rPr>
              <w:t xml:space="preserve">Fonctionnalités de mobilité (nomade/mobile) </w:t>
            </w:r>
          </w:p>
        </w:tc>
        <w:tc>
          <w:tcPr>
            <w:tcW w:w="5811" w:type="dxa"/>
          </w:tcPr>
          <w:p w:rsidR="00DE31BE" w:rsidRPr="00CA3220" w:rsidRDefault="00DE31BE" w:rsidP="00664299">
            <w:pPr>
              <w:pStyle w:val="Tabletext"/>
              <w:rPr>
                <w:lang w:val="fr-CH"/>
              </w:rPr>
            </w:pPr>
            <w:r w:rsidRPr="00CA3220">
              <w:rPr>
                <w:lang w:val="fr-CH"/>
              </w:rPr>
              <w:t>Nomade et mobile</w:t>
            </w:r>
          </w:p>
        </w:tc>
      </w:tr>
      <w:tr w:rsidR="00DE31BE" w:rsidRPr="00CA3220" w:rsidTr="00B824BF">
        <w:trPr>
          <w:cantSplit/>
          <w:jc w:val="center"/>
        </w:trPr>
        <w:tc>
          <w:tcPr>
            <w:tcW w:w="0" w:type="auto"/>
          </w:tcPr>
          <w:p w:rsidR="00DE31BE" w:rsidRPr="00CA3220" w:rsidRDefault="00DE31BE" w:rsidP="00664299">
            <w:pPr>
              <w:pStyle w:val="Tabletext"/>
              <w:jc w:val="left"/>
              <w:rPr>
                <w:lang w:val="fr-CH"/>
              </w:rPr>
            </w:pPr>
            <w:r w:rsidRPr="00CA3220">
              <w:rPr>
                <w:lang w:val="fr-CH"/>
              </w:rPr>
              <w:t>Débit de données maximal (sens amont/sens aval si différents)</w:t>
            </w:r>
          </w:p>
        </w:tc>
        <w:tc>
          <w:tcPr>
            <w:tcW w:w="5811" w:type="dxa"/>
          </w:tcPr>
          <w:p w:rsidR="004A5BB7" w:rsidRPr="007B6CF9" w:rsidRDefault="00DE31BE" w:rsidP="00664299">
            <w:pPr>
              <w:pStyle w:val="Tabletext"/>
              <w:rPr>
                <w:lang w:val="en-US"/>
              </w:rPr>
            </w:pPr>
            <w:r w:rsidRPr="007B6CF9">
              <w:rPr>
                <w:lang w:val="en-US"/>
              </w:rPr>
              <w:t>OFDM – 860 kb/s</w:t>
            </w:r>
          </w:p>
          <w:p w:rsidR="004A5BB7" w:rsidRPr="007B6CF9" w:rsidRDefault="00DE31BE" w:rsidP="00664299">
            <w:pPr>
              <w:pStyle w:val="Tabletext"/>
              <w:rPr>
                <w:lang w:val="en-US"/>
              </w:rPr>
            </w:pPr>
            <w:r w:rsidRPr="007B6CF9">
              <w:rPr>
                <w:lang w:val="en-US"/>
              </w:rPr>
              <w:t>MR-FSK – 400 kb/s</w:t>
            </w:r>
          </w:p>
          <w:p w:rsidR="00DE31BE" w:rsidRPr="00CA3220" w:rsidRDefault="00DE31BE" w:rsidP="00664299">
            <w:pPr>
              <w:pStyle w:val="Tabletext"/>
              <w:rPr>
                <w:lang w:val="fr-CH"/>
              </w:rPr>
            </w:pPr>
            <w:r w:rsidRPr="00CA3220">
              <w:rPr>
                <w:lang w:val="fr-CH"/>
              </w:rPr>
              <w:t>DSSS – 250 kb/s</w:t>
            </w:r>
          </w:p>
        </w:tc>
      </w:tr>
      <w:tr w:rsidR="00DE31BE" w:rsidRPr="00CA3220" w:rsidTr="00B824BF">
        <w:trPr>
          <w:cantSplit/>
          <w:jc w:val="center"/>
        </w:trPr>
        <w:tc>
          <w:tcPr>
            <w:tcW w:w="0" w:type="auto"/>
          </w:tcPr>
          <w:p w:rsidR="00DE31BE" w:rsidRPr="00CA3220" w:rsidRDefault="00DE31BE" w:rsidP="00664299">
            <w:pPr>
              <w:pStyle w:val="Tabletext"/>
              <w:jc w:val="left"/>
              <w:rPr>
                <w:lang w:val="fr-CH"/>
              </w:rPr>
            </w:pPr>
            <w:r w:rsidRPr="00CA3220">
              <w:rPr>
                <w:lang w:val="fr-CH"/>
              </w:rPr>
              <w:t>Méthode duplex (DRF, DRT, etc.)</w:t>
            </w:r>
          </w:p>
        </w:tc>
        <w:tc>
          <w:tcPr>
            <w:tcW w:w="5811" w:type="dxa"/>
          </w:tcPr>
          <w:p w:rsidR="00DE31BE" w:rsidRPr="00CA3220" w:rsidRDefault="00DE31BE" w:rsidP="00664299">
            <w:pPr>
              <w:pStyle w:val="Tabletext"/>
              <w:rPr>
                <w:lang w:val="fr-CH"/>
              </w:rPr>
            </w:pPr>
            <w:r w:rsidRPr="00CA3220">
              <w:rPr>
                <w:lang w:val="fr-CH"/>
              </w:rPr>
              <w:t>DRT</w:t>
            </w:r>
          </w:p>
        </w:tc>
      </w:tr>
      <w:tr w:rsidR="00DE31BE" w:rsidRPr="00CA3220" w:rsidTr="00B824BF">
        <w:trPr>
          <w:cantSplit/>
          <w:jc w:val="center"/>
        </w:trPr>
        <w:tc>
          <w:tcPr>
            <w:tcW w:w="0" w:type="auto"/>
          </w:tcPr>
          <w:p w:rsidR="00DE31BE" w:rsidRPr="00CA3220" w:rsidRDefault="00DE31BE" w:rsidP="00664299">
            <w:pPr>
              <w:pStyle w:val="Tabletext"/>
              <w:jc w:val="left"/>
              <w:rPr>
                <w:lang w:val="fr-CH"/>
              </w:rPr>
            </w:pPr>
            <w:r w:rsidRPr="00CA3220">
              <w:rPr>
                <w:lang w:val="fr-CH"/>
              </w:rPr>
              <w:t>Largueur de bande RF nominale</w:t>
            </w:r>
          </w:p>
        </w:tc>
        <w:tc>
          <w:tcPr>
            <w:tcW w:w="5811" w:type="dxa"/>
          </w:tcPr>
          <w:p w:rsidR="00DE31BE" w:rsidRPr="00CA3220" w:rsidRDefault="00DE31BE" w:rsidP="00664299">
            <w:pPr>
              <w:pStyle w:val="Tabletext"/>
              <w:rPr>
                <w:lang w:val="fr-CH"/>
              </w:rPr>
            </w:pPr>
            <w:r w:rsidRPr="00CA3220">
              <w:rPr>
                <w:lang w:val="fr-CH"/>
              </w:rPr>
              <w:t>OFDM – de 200 kHz à 1,2 MHz</w:t>
            </w:r>
          </w:p>
          <w:p w:rsidR="00DE31BE" w:rsidRPr="00CA3220" w:rsidRDefault="00DE31BE" w:rsidP="00664299">
            <w:pPr>
              <w:pStyle w:val="Tabletext"/>
              <w:rPr>
                <w:lang w:val="fr-CH"/>
              </w:rPr>
            </w:pPr>
            <w:r w:rsidRPr="00CA3220">
              <w:rPr>
                <w:lang w:val="fr-CH"/>
              </w:rPr>
              <w:t>MR-FSK – de 12 kHz à 400 kHz</w:t>
            </w:r>
          </w:p>
          <w:p w:rsidR="00DE31BE" w:rsidRPr="00CA3220" w:rsidRDefault="00DE31BE" w:rsidP="00664299">
            <w:pPr>
              <w:pStyle w:val="Tabletext"/>
              <w:rPr>
                <w:lang w:val="fr-CH"/>
              </w:rPr>
            </w:pPr>
            <w:r w:rsidRPr="00CA3220">
              <w:rPr>
                <w:lang w:val="fr-CH"/>
              </w:rPr>
              <w:t>DSSS – 5 MHz</w:t>
            </w:r>
          </w:p>
        </w:tc>
      </w:tr>
      <w:tr w:rsidR="00DE31BE" w:rsidRPr="00CA3220" w:rsidTr="00B824BF">
        <w:trPr>
          <w:cantSplit/>
          <w:jc w:val="center"/>
        </w:trPr>
        <w:tc>
          <w:tcPr>
            <w:tcW w:w="0" w:type="auto"/>
          </w:tcPr>
          <w:p w:rsidR="00DE31BE" w:rsidRPr="00CA3220" w:rsidRDefault="00DE31BE" w:rsidP="00664299">
            <w:pPr>
              <w:pStyle w:val="Tabletext"/>
              <w:jc w:val="left"/>
              <w:rPr>
                <w:lang w:val="fr-CH"/>
              </w:rPr>
            </w:pPr>
            <w:r w:rsidRPr="00CA3220">
              <w:rPr>
                <w:lang w:val="fr-CH"/>
              </w:rPr>
              <w:t>Techniques de diversité</w:t>
            </w:r>
          </w:p>
        </w:tc>
        <w:tc>
          <w:tcPr>
            <w:tcW w:w="5811" w:type="dxa"/>
          </w:tcPr>
          <w:p w:rsidR="00DE31BE" w:rsidRPr="00CA3220" w:rsidRDefault="00DE31BE" w:rsidP="00664299">
            <w:pPr>
              <w:pStyle w:val="Tabletext"/>
              <w:rPr>
                <w:lang w:val="fr-CH"/>
              </w:rPr>
            </w:pPr>
            <w:r w:rsidRPr="00CA3220">
              <w:rPr>
                <w:lang w:val="fr-CH"/>
              </w:rPr>
              <w:t>Spatiale et temporelle</w:t>
            </w:r>
          </w:p>
        </w:tc>
      </w:tr>
    </w:tbl>
    <w:p w:rsidR="00DE31BE" w:rsidRPr="00CA3220" w:rsidRDefault="00DE31BE" w:rsidP="00664299">
      <w:pPr>
        <w:pStyle w:val="TableNo"/>
        <w:rPr>
          <w:rFonts w:asciiTheme="majorBidi" w:hAnsiTheme="majorBidi" w:cstheme="majorBidi"/>
          <w:szCs w:val="24"/>
          <w:lang w:val="fr-CH"/>
        </w:rPr>
      </w:pPr>
      <w:r w:rsidRPr="00CA3220">
        <w:rPr>
          <w:rFonts w:asciiTheme="majorBidi" w:hAnsiTheme="majorBidi" w:cstheme="majorBidi"/>
          <w:szCs w:val="24"/>
          <w:lang w:val="fr-CH"/>
        </w:rPr>
        <w:lastRenderedPageBreak/>
        <w:t>TABLEAU A1.2 (</w:t>
      </w:r>
      <w:r w:rsidRPr="00CA3220">
        <w:rPr>
          <w:rFonts w:asciiTheme="majorBidi" w:hAnsiTheme="majorBidi" w:cstheme="majorBidi"/>
          <w:i/>
          <w:iCs/>
          <w:szCs w:val="24"/>
          <w:lang w:val="fr-CH"/>
        </w:rPr>
        <w:t>fin</w:t>
      </w:r>
      <w:r w:rsidRPr="00CA3220">
        <w:rPr>
          <w:rFonts w:asciiTheme="majorBidi" w:hAnsiTheme="majorBidi" w:cstheme="majorBidi"/>
          <w:szCs w:val="24"/>
          <w:lang w:val="fr-CH"/>
        </w:rPr>
        <w:t>)</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1"/>
        <w:gridCol w:w="5223"/>
      </w:tblGrid>
      <w:tr w:rsidR="00DE31BE" w:rsidRPr="00CA3220" w:rsidTr="00D166E9">
        <w:trPr>
          <w:cantSplit/>
          <w:jc w:val="center"/>
        </w:trPr>
        <w:tc>
          <w:tcPr>
            <w:tcW w:w="4411" w:type="dxa"/>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head"/>
              <w:rPr>
                <w:lang w:val="fr-CH"/>
              </w:rPr>
            </w:pPr>
            <w:r w:rsidRPr="00CA3220">
              <w:rPr>
                <w:lang w:val="fr-CH"/>
              </w:rPr>
              <w:t>Fonction</w:t>
            </w:r>
          </w:p>
        </w:tc>
        <w:tc>
          <w:tcPr>
            <w:tcW w:w="5223" w:type="dxa"/>
            <w:tcBorders>
              <w:top w:val="single" w:sz="4" w:space="0" w:color="000000"/>
              <w:left w:val="single" w:sz="4" w:space="0" w:color="000000"/>
              <w:bottom w:val="single" w:sz="4" w:space="0" w:color="000000"/>
              <w:right w:val="single" w:sz="4" w:space="0" w:color="000000"/>
            </w:tcBorders>
          </w:tcPr>
          <w:p w:rsidR="00DE31BE" w:rsidRPr="00CA3220" w:rsidRDefault="00DE31BE" w:rsidP="00664299">
            <w:pPr>
              <w:pStyle w:val="Tablehead"/>
              <w:rPr>
                <w:lang w:val="fr-CH"/>
              </w:rPr>
            </w:pPr>
            <w:r w:rsidRPr="00CA3220">
              <w:rPr>
                <w:lang w:val="fr-CH"/>
              </w:rPr>
              <w:t>Valeur</w:t>
            </w:r>
          </w:p>
        </w:tc>
      </w:tr>
      <w:tr w:rsidR="004A5BB7" w:rsidRPr="00CA3220" w:rsidTr="00D166E9">
        <w:trPr>
          <w:cantSplit/>
          <w:jc w:val="center"/>
        </w:trPr>
        <w:tc>
          <w:tcPr>
            <w:tcW w:w="4411" w:type="dxa"/>
          </w:tcPr>
          <w:p w:rsidR="004A5BB7" w:rsidRPr="00CA3220" w:rsidRDefault="004A5BB7" w:rsidP="00664299">
            <w:pPr>
              <w:pStyle w:val="Tabletext"/>
              <w:jc w:val="left"/>
              <w:rPr>
                <w:lang w:val="fr-CH"/>
              </w:rPr>
            </w:pPr>
            <w:r w:rsidRPr="00CA3220">
              <w:rPr>
                <w:lang w:val="fr-CH"/>
              </w:rPr>
              <w:t>Prise en charge de la technique MIMO (oui/non)</w:t>
            </w:r>
          </w:p>
        </w:tc>
        <w:tc>
          <w:tcPr>
            <w:tcW w:w="5223" w:type="dxa"/>
          </w:tcPr>
          <w:p w:rsidR="004A5BB7" w:rsidRPr="00CA3220" w:rsidRDefault="004A5BB7" w:rsidP="00664299">
            <w:pPr>
              <w:pStyle w:val="Tabletext"/>
              <w:rPr>
                <w:lang w:val="fr-CH"/>
              </w:rPr>
            </w:pPr>
            <w:r w:rsidRPr="00CA3220">
              <w:rPr>
                <w:lang w:val="fr-CH"/>
              </w:rPr>
              <w:t>Non</w:t>
            </w:r>
          </w:p>
        </w:tc>
      </w:tr>
      <w:tr w:rsidR="008E3AD6" w:rsidRPr="00CA3220" w:rsidTr="00D166E9">
        <w:trPr>
          <w:cantSplit/>
          <w:jc w:val="center"/>
        </w:trPr>
        <w:tc>
          <w:tcPr>
            <w:tcW w:w="4411" w:type="dxa"/>
            <w:tcBorders>
              <w:top w:val="single" w:sz="4" w:space="0" w:color="000000"/>
              <w:left w:val="single" w:sz="4" w:space="0" w:color="000000"/>
              <w:bottom w:val="single" w:sz="4" w:space="0" w:color="000000"/>
              <w:right w:val="single" w:sz="4" w:space="0" w:color="000000"/>
            </w:tcBorders>
          </w:tcPr>
          <w:p w:rsidR="008E3AD6" w:rsidRPr="00CA3220" w:rsidRDefault="008E3AD6" w:rsidP="00664299">
            <w:pPr>
              <w:pStyle w:val="Tabletext"/>
              <w:jc w:val="left"/>
              <w:rPr>
                <w:lang w:val="fr-CH"/>
              </w:rPr>
            </w:pPr>
            <w:r w:rsidRPr="00CA3220">
              <w:rPr>
                <w:lang w:val="fr-CH"/>
              </w:rPr>
              <w:t>Orientation/conformation du faisceau</w:t>
            </w:r>
          </w:p>
        </w:tc>
        <w:tc>
          <w:tcPr>
            <w:tcW w:w="5223" w:type="dxa"/>
            <w:tcBorders>
              <w:top w:val="single" w:sz="4" w:space="0" w:color="000000"/>
              <w:left w:val="single" w:sz="4" w:space="0" w:color="000000"/>
              <w:bottom w:val="single" w:sz="4" w:space="0" w:color="000000"/>
              <w:right w:val="single" w:sz="4" w:space="0" w:color="000000"/>
            </w:tcBorders>
          </w:tcPr>
          <w:p w:rsidR="008E3AD6" w:rsidRPr="00CA3220" w:rsidRDefault="008E3AD6" w:rsidP="00664299">
            <w:pPr>
              <w:pStyle w:val="Tabletext"/>
              <w:rPr>
                <w:lang w:val="fr-CH"/>
              </w:rPr>
            </w:pPr>
            <w:r w:rsidRPr="00CA3220">
              <w:rPr>
                <w:lang w:val="fr-CH"/>
              </w:rPr>
              <w:t>Non</w:t>
            </w:r>
          </w:p>
        </w:tc>
      </w:tr>
      <w:tr w:rsidR="008E3AD6" w:rsidRPr="00CA3220" w:rsidTr="00D166E9">
        <w:trPr>
          <w:cantSplit/>
          <w:jc w:val="center"/>
        </w:trPr>
        <w:tc>
          <w:tcPr>
            <w:tcW w:w="4411" w:type="dxa"/>
          </w:tcPr>
          <w:p w:rsidR="008E3AD6" w:rsidRPr="00CA3220" w:rsidRDefault="008E3AD6" w:rsidP="00664299">
            <w:pPr>
              <w:pStyle w:val="Tabletext"/>
              <w:jc w:val="left"/>
              <w:rPr>
                <w:lang w:val="fr-CH"/>
              </w:rPr>
            </w:pPr>
            <w:r w:rsidRPr="00CA3220">
              <w:rPr>
                <w:lang w:val="fr-CH"/>
              </w:rPr>
              <w:t>Retransmission</w:t>
            </w:r>
          </w:p>
        </w:tc>
        <w:tc>
          <w:tcPr>
            <w:tcW w:w="5223" w:type="dxa"/>
          </w:tcPr>
          <w:p w:rsidR="008E3AD6" w:rsidRPr="00CA3220" w:rsidRDefault="008E3AD6" w:rsidP="00664299">
            <w:pPr>
              <w:pStyle w:val="Tabletext"/>
              <w:rPr>
                <w:lang w:val="fr-CH"/>
              </w:rPr>
            </w:pPr>
            <w:r w:rsidRPr="00CA3220">
              <w:rPr>
                <w:lang w:val="fr-CH"/>
              </w:rPr>
              <w:t>ARQ</w:t>
            </w:r>
          </w:p>
        </w:tc>
      </w:tr>
      <w:tr w:rsidR="008E3AD6" w:rsidRPr="00CA3220" w:rsidTr="00D166E9">
        <w:trPr>
          <w:cantSplit/>
          <w:jc w:val="center"/>
        </w:trPr>
        <w:tc>
          <w:tcPr>
            <w:tcW w:w="4411" w:type="dxa"/>
          </w:tcPr>
          <w:p w:rsidR="008E3AD6" w:rsidRPr="00CA3220" w:rsidRDefault="008E3AD6" w:rsidP="00664299">
            <w:pPr>
              <w:pStyle w:val="Tabletext"/>
              <w:jc w:val="left"/>
              <w:rPr>
                <w:lang w:val="fr-CH"/>
              </w:rPr>
            </w:pPr>
            <w:r w:rsidRPr="00CA3220">
              <w:rPr>
                <w:lang w:val="fr-CH"/>
              </w:rPr>
              <w:t>Correction d'erreur directe</w:t>
            </w:r>
          </w:p>
        </w:tc>
        <w:tc>
          <w:tcPr>
            <w:tcW w:w="5223" w:type="dxa"/>
          </w:tcPr>
          <w:p w:rsidR="008E3AD6" w:rsidRPr="00CA3220" w:rsidRDefault="008E3AD6" w:rsidP="00664299">
            <w:pPr>
              <w:pStyle w:val="Tabletext"/>
              <w:rPr>
                <w:lang w:val="fr-CH"/>
              </w:rPr>
            </w:pPr>
            <w:r w:rsidRPr="00CA3220">
              <w:rPr>
                <w:lang w:val="fr-CH"/>
              </w:rPr>
              <w:t>Convolutionnelle</w:t>
            </w:r>
          </w:p>
        </w:tc>
      </w:tr>
      <w:tr w:rsidR="008E3AD6" w:rsidRPr="00CA3220" w:rsidTr="00D166E9">
        <w:trPr>
          <w:cantSplit/>
          <w:jc w:val="center"/>
        </w:trPr>
        <w:tc>
          <w:tcPr>
            <w:tcW w:w="4411" w:type="dxa"/>
          </w:tcPr>
          <w:p w:rsidR="008E3AD6" w:rsidRPr="00CA3220" w:rsidRDefault="008E3AD6" w:rsidP="00664299">
            <w:pPr>
              <w:pStyle w:val="Tabletext"/>
              <w:jc w:val="left"/>
              <w:rPr>
                <w:lang w:val="fr-CH"/>
              </w:rPr>
            </w:pPr>
            <w:r w:rsidRPr="00CA3220">
              <w:rPr>
                <w:lang w:val="fr-CH"/>
              </w:rPr>
              <w:t>Gestion des brouillages</w:t>
            </w:r>
          </w:p>
        </w:tc>
        <w:tc>
          <w:tcPr>
            <w:tcW w:w="5223" w:type="dxa"/>
          </w:tcPr>
          <w:p w:rsidR="008E3AD6" w:rsidRPr="00CA3220" w:rsidRDefault="008E3AD6" w:rsidP="00664299">
            <w:pPr>
              <w:pStyle w:val="Tabletext"/>
              <w:rPr>
                <w:lang w:val="fr-CH"/>
              </w:rPr>
            </w:pPr>
            <w:r w:rsidRPr="00CA3220">
              <w:rPr>
                <w:lang w:val="fr-CH"/>
              </w:rPr>
              <w:t xml:space="preserve">LBT («écouter avant de parler»), sélection des canaux, étalement de spectre par saut de fréquence, agilité en fréquence </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Gestion de la puissance</w:t>
            </w:r>
          </w:p>
        </w:tc>
        <w:tc>
          <w:tcPr>
            <w:tcW w:w="5223" w:type="dxa"/>
          </w:tcPr>
          <w:p w:rsidR="00DE31BE" w:rsidRPr="00CA3220" w:rsidRDefault="00DE31BE" w:rsidP="00664299">
            <w:pPr>
              <w:pStyle w:val="Tabletext"/>
              <w:rPr>
                <w:lang w:val="fr-CH"/>
              </w:rPr>
            </w:pPr>
            <w:r w:rsidRPr="00CA3220">
              <w:rPr>
                <w:lang w:val="fr-CH"/>
              </w:rPr>
              <w:t>Oui</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Topologie de connexion</w:t>
            </w:r>
          </w:p>
        </w:tc>
        <w:tc>
          <w:tcPr>
            <w:tcW w:w="5223" w:type="dxa"/>
          </w:tcPr>
          <w:p w:rsidR="00DE31BE" w:rsidRPr="00CA3220" w:rsidRDefault="00DE31BE" w:rsidP="00664299">
            <w:pPr>
              <w:pStyle w:val="Tabletext"/>
              <w:rPr>
                <w:lang w:val="fr-CH"/>
              </w:rPr>
            </w:pPr>
            <w:r w:rsidRPr="00CA3220">
              <w:rPr>
                <w:lang w:val="fr-CH"/>
              </w:rPr>
              <w:t>Point à point, à bonds multiples, en étoile</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Méthodes d'accès au support</w:t>
            </w:r>
          </w:p>
        </w:tc>
        <w:tc>
          <w:tcPr>
            <w:tcW w:w="5223" w:type="dxa"/>
          </w:tcPr>
          <w:p w:rsidR="00DE31BE" w:rsidRPr="00CA3220" w:rsidRDefault="00DE31BE" w:rsidP="00664299">
            <w:pPr>
              <w:pStyle w:val="Tabletext"/>
              <w:rPr>
                <w:lang w:val="fr-CH"/>
              </w:rPr>
            </w:pPr>
            <w:r w:rsidRPr="00CA3220">
              <w:rPr>
                <w:lang w:val="fr-CH"/>
              </w:rPr>
              <w:t>CSMA/CA</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Méthodes d'accès multiple</w:t>
            </w:r>
          </w:p>
        </w:tc>
        <w:tc>
          <w:tcPr>
            <w:tcW w:w="5223" w:type="dxa"/>
          </w:tcPr>
          <w:p w:rsidR="00DE31BE" w:rsidRPr="00CA3220" w:rsidRDefault="00DE31BE" w:rsidP="00664299">
            <w:pPr>
              <w:pStyle w:val="Tabletext"/>
              <w:rPr>
                <w:lang w:val="fr-CH"/>
              </w:rPr>
            </w:pPr>
            <w:r w:rsidRPr="00CA3220">
              <w:rPr>
                <w:lang w:val="fr-CH"/>
              </w:rPr>
              <w:t>CSMA/TDMA/FDMA (dans les systèmes avec sauts)</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Découverte et méthode d'association</w:t>
            </w:r>
          </w:p>
        </w:tc>
        <w:tc>
          <w:tcPr>
            <w:tcW w:w="5223" w:type="dxa"/>
          </w:tcPr>
          <w:p w:rsidR="00DE31BE" w:rsidRPr="00CA3220" w:rsidRDefault="00DE31BE" w:rsidP="00664299">
            <w:pPr>
              <w:pStyle w:val="Tabletext"/>
              <w:rPr>
                <w:lang w:val="fr-CH"/>
              </w:rPr>
            </w:pPr>
            <w:r w:rsidRPr="00CA3220">
              <w:rPr>
                <w:lang w:val="fr-CH"/>
              </w:rPr>
              <w:t>Balayage actif et passif</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Méthodes de qualité de service</w:t>
            </w:r>
          </w:p>
        </w:tc>
        <w:tc>
          <w:tcPr>
            <w:tcW w:w="5223" w:type="dxa"/>
          </w:tcPr>
          <w:p w:rsidR="00DE31BE" w:rsidRPr="00CA3220" w:rsidRDefault="00DE31BE" w:rsidP="00664299">
            <w:pPr>
              <w:pStyle w:val="Tabletext"/>
              <w:rPr>
                <w:lang w:val="fr-CH"/>
              </w:rPr>
            </w:pPr>
            <w:r w:rsidRPr="00CA3220">
              <w:rPr>
                <w:lang w:val="fr-CH"/>
              </w:rPr>
              <w:t>Etiquetage des données de transfert et priorité de trafic</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Détection de l'emplacement</w:t>
            </w:r>
          </w:p>
        </w:tc>
        <w:tc>
          <w:tcPr>
            <w:tcW w:w="5223" w:type="dxa"/>
          </w:tcPr>
          <w:p w:rsidR="00DE31BE" w:rsidRPr="00CA3220" w:rsidRDefault="00DE31BE" w:rsidP="00664299">
            <w:pPr>
              <w:pStyle w:val="Tabletext"/>
              <w:rPr>
                <w:lang w:val="fr-CH"/>
              </w:rPr>
            </w:pPr>
            <w:r w:rsidRPr="00CA3220">
              <w:rPr>
                <w:lang w:val="fr-CH"/>
              </w:rPr>
              <w:t>Oui</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Télémétrie</w:t>
            </w:r>
          </w:p>
        </w:tc>
        <w:tc>
          <w:tcPr>
            <w:tcW w:w="5223" w:type="dxa"/>
          </w:tcPr>
          <w:p w:rsidR="00DE31BE" w:rsidRPr="00CA3220" w:rsidRDefault="00DE31BE" w:rsidP="00664299">
            <w:pPr>
              <w:pStyle w:val="Tabletext"/>
              <w:rPr>
                <w:lang w:val="fr-CH"/>
              </w:rPr>
            </w:pPr>
            <w:r w:rsidRPr="00CA3220">
              <w:rPr>
                <w:lang w:val="fr-CH"/>
              </w:rPr>
              <w:t>Oui</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Chiffrement</w:t>
            </w:r>
          </w:p>
        </w:tc>
        <w:tc>
          <w:tcPr>
            <w:tcW w:w="5223" w:type="dxa"/>
          </w:tcPr>
          <w:p w:rsidR="00DE31BE" w:rsidRPr="00CA3220" w:rsidRDefault="00DE31BE" w:rsidP="00664299">
            <w:pPr>
              <w:pStyle w:val="Tabletext"/>
              <w:rPr>
                <w:lang w:val="fr-CH"/>
              </w:rPr>
            </w:pPr>
            <w:r w:rsidRPr="00CA3220">
              <w:rPr>
                <w:lang w:val="fr-CH"/>
              </w:rPr>
              <w:t>AES-128</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Authentification/protection contre les réexécutions</w:t>
            </w:r>
          </w:p>
        </w:tc>
        <w:tc>
          <w:tcPr>
            <w:tcW w:w="5223" w:type="dxa"/>
          </w:tcPr>
          <w:p w:rsidR="00DE31BE" w:rsidRPr="00CA3220" w:rsidRDefault="00DE31BE" w:rsidP="00664299">
            <w:pPr>
              <w:pStyle w:val="Tabletext"/>
              <w:rPr>
                <w:lang w:val="fr-CH"/>
              </w:rPr>
            </w:pPr>
            <w:r w:rsidRPr="00CA3220">
              <w:rPr>
                <w:lang w:val="fr-CH"/>
              </w:rPr>
              <w:t>Oui</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Echange de clés</w:t>
            </w:r>
          </w:p>
        </w:tc>
        <w:tc>
          <w:tcPr>
            <w:tcW w:w="5223" w:type="dxa"/>
          </w:tcPr>
          <w:p w:rsidR="00DE31BE" w:rsidRPr="00CA3220" w:rsidRDefault="00DE31BE" w:rsidP="00664299">
            <w:pPr>
              <w:pStyle w:val="Tabletext"/>
              <w:rPr>
                <w:lang w:val="fr-CH"/>
              </w:rPr>
            </w:pPr>
            <w:r w:rsidRPr="00CA3220">
              <w:rPr>
                <w:lang w:val="fr-CH"/>
              </w:rPr>
              <w:t>Oui</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Détection des noeuds malveillants</w:t>
            </w:r>
          </w:p>
        </w:tc>
        <w:tc>
          <w:tcPr>
            <w:tcW w:w="5223" w:type="dxa"/>
          </w:tcPr>
          <w:p w:rsidR="00DE31BE" w:rsidRPr="00CA3220" w:rsidRDefault="00DE31BE" w:rsidP="00664299">
            <w:pPr>
              <w:pStyle w:val="Tabletext"/>
              <w:rPr>
                <w:lang w:val="fr-CH"/>
              </w:rPr>
            </w:pPr>
            <w:r w:rsidRPr="00CA3220">
              <w:rPr>
                <w:lang w:val="fr-CH"/>
              </w:rPr>
              <w:t>Oui</w:t>
            </w:r>
          </w:p>
        </w:tc>
      </w:tr>
      <w:tr w:rsidR="00DE31BE" w:rsidRPr="00CA3220" w:rsidTr="00D166E9">
        <w:trPr>
          <w:cantSplit/>
          <w:jc w:val="center"/>
        </w:trPr>
        <w:tc>
          <w:tcPr>
            <w:tcW w:w="4411" w:type="dxa"/>
          </w:tcPr>
          <w:p w:rsidR="00DE31BE" w:rsidRPr="00CA3220" w:rsidRDefault="00DE31BE" w:rsidP="00664299">
            <w:pPr>
              <w:pStyle w:val="Tabletext"/>
              <w:jc w:val="left"/>
              <w:rPr>
                <w:lang w:val="fr-CH"/>
              </w:rPr>
            </w:pPr>
            <w:r w:rsidRPr="00CA3220">
              <w:rPr>
                <w:lang w:val="fr-CH"/>
              </w:rPr>
              <w:t>Identification unique de l'équipement</w:t>
            </w:r>
          </w:p>
        </w:tc>
        <w:tc>
          <w:tcPr>
            <w:tcW w:w="5223" w:type="dxa"/>
          </w:tcPr>
          <w:p w:rsidR="00DE31BE" w:rsidRPr="00CA3220" w:rsidRDefault="00DE31BE" w:rsidP="00664299">
            <w:pPr>
              <w:pStyle w:val="Tabletext"/>
              <w:rPr>
                <w:lang w:val="fr-CH"/>
              </w:rPr>
            </w:pPr>
            <w:r w:rsidRPr="00CA3220">
              <w:rPr>
                <w:lang w:val="fr-CH"/>
              </w:rPr>
              <w:t xml:space="preserve">Identifiant unique à 64 bits </w:t>
            </w:r>
          </w:p>
        </w:tc>
      </w:tr>
    </w:tbl>
    <w:p w:rsidR="00DE31BE" w:rsidRPr="00CA3220" w:rsidRDefault="00DE31BE" w:rsidP="00664299">
      <w:pPr>
        <w:pStyle w:val="Tablefin"/>
        <w:rPr>
          <w:lang w:val="fr-CH"/>
        </w:rPr>
      </w:pPr>
    </w:p>
    <w:p w:rsidR="00DE31BE" w:rsidRPr="00CA3220" w:rsidRDefault="00DE31BE" w:rsidP="00664299">
      <w:pPr>
        <w:pStyle w:val="TableNo"/>
        <w:rPr>
          <w:rFonts w:asciiTheme="majorBidi" w:hAnsiTheme="majorBidi" w:cstheme="majorBidi"/>
          <w:szCs w:val="24"/>
          <w:lang w:val="fr-CH"/>
        </w:rPr>
      </w:pPr>
      <w:r w:rsidRPr="00CA3220">
        <w:rPr>
          <w:rFonts w:asciiTheme="majorBidi" w:hAnsiTheme="majorBidi" w:cstheme="majorBidi"/>
          <w:szCs w:val="24"/>
          <w:lang w:val="fr-CH"/>
        </w:rPr>
        <w:t>TABLEAU A1.3</w:t>
      </w:r>
    </w:p>
    <w:p w:rsidR="00DE31BE" w:rsidRPr="00CA3220" w:rsidRDefault="00DE31BE" w:rsidP="00664299">
      <w:pPr>
        <w:pStyle w:val="Tabletitle"/>
        <w:rPr>
          <w:lang w:val="fr-CH"/>
        </w:rPr>
      </w:pPr>
      <w:r w:rsidRPr="00CA3220">
        <w:rPr>
          <w:lang w:val="fr-CH"/>
        </w:rPr>
        <w:t>Caractéristiques de la norme IEEE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5533"/>
      </w:tblGrid>
      <w:tr w:rsidR="00DE31BE" w:rsidRPr="00CA3220" w:rsidTr="00D166E9">
        <w:trPr>
          <w:cantSplit/>
          <w:jc w:val="center"/>
        </w:trPr>
        <w:tc>
          <w:tcPr>
            <w:tcW w:w="4106" w:type="dxa"/>
          </w:tcPr>
          <w:p w:rsidR="00DE31BE" w:rsidRPr="00CA3220" w:rsidRDefault="00DE31BE" w:rsidP="00664299">
            <w:pPr>
              <w:pStyle w:val="Tablehead"/>
              <w:rPr>
                <w:lang w:val="fr-CH"/>
              </w:rPr>
            </w:pPr>
            <w:r w:rsidRPr="00CA3220">
              <w:rPr>
                <w:lang w:val="fr-CH"/>
              </w:rPr>
              <w:t>Fonction</w:t>
            </w:r>
          </w:p>
        </w:tc>
        <w:tc>
          <w:tcPr>
            <w:tcW w:w="5533" w:type="dxa"/>
          </w:tcPr>
          <w:p w:rsidR="00DE31BE" w:rsidRPr="00CA3220" w:rsidRDefault="00DE31BE" w:rsidP="00664299">
            <w:pPr>
              <w:pStyle w:val="Tablehead"/>
              <w:rPr>
                <w:lang w:val="fr-CH"/>
              </w:rPr>
            </w:pPr>
            <w:r w:rsidRPr="00CA3220">
              <w:rPr>
                <w:lang w:val="fr-CH"/>
              </w:rPr>
              <w:t>Valeur</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Bandes de fréquences prises en charges (avec ou sans licence)</w:t>
            </w:r>
          </w:p>
        </w:tc>
        <w:tc>
          <w:tcPr>
            <w:tcW w:w="5533" w:type="dxa"/>
          </w:tcPr>
          <w:p w:rsidR="00DE31BE" w:rsidRPr="00CA3220" w:rsidRDefault="00DE31BE" w:rsidP="00664299">
            <w:pPr>
              <w:pStyle w:val="Tabletext"/>
              <w:jc w:val="left"/>
              <w:rPr>
                <w:lang w:val="fr-CH"/>
              </w:rPr>
            </w:pPr>
            <w:r w:rsidRPr="00CA3220">
              <w:rPr>
                <w:lang w:val="fr-CH"/>
              </w:rPr>
              <w:t>Bandes de fréquences avec licence entre 200 MHz et 6 GHz</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Portée opérationnelle nominale</w:t>
            </w:r>
          </w:p>
        </w:tc>
        <w:tc>
          <w:tcPr>
            <w:tcW w:w="5533" w:type="dxa"/>
          </w:tcPr>
          <w:p w:rsidR="00DE31BE" w:rsidRPr="00CA3220" w:rsidRDefault="00DE31BE" w:rsidP="00664299">
            <w:pPr>
              <w:pStyle w:val="Tabletext"/>
              <w:jc w:val="left"/>
              <w:rPr>
                <w:lang w:val="fr-CH"/>
              </w:rPr>
            </w:pPr>
            <w:r w:rsidRPr="00CA3220">
              <w:rPr>
                <w:lang w:val="fr-CH"/>
              </w:rPr>
              <w:t>Optimisée pour une portée allant jusqu'à 5 km dans un environnement point à multipoint type, fonctionnelle jusqu'à 100 km</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 xml:space="preserve">Fonctionnalités de mobilité (nomade/mobile) </w:t>
            </w:r>
          </w:p>
        </w:tc>
        <w:tc>
          <w:tcPr>
            <w:tcW w:w="5533" w:type="dxa"/>
          </w:tcPr>
          <w:p w:rsidR="00DE31BE" w:rsidRPr="00CA3220" w:rsidRDefault="00DE31BE" w:rsidP="00664299">
            <w:pPr>
              <w:pStyle w:val="Tabletext"/>
              <w:jc w:val="left"/>
              <w:rPr>
                <w:lang w:val="fr-CH"/>
              </w:rPr>
            </w:pPr>
            <w:r w:rsidRPr="00CA3220">
              <w:rPr>
                <w:lang w:val="fr-CH"/>
              </w:rPr>
              <w:t>Nomade et mobile</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 xml:space="preserve">Débit de données maximal </w:t>
            </w:r>
            <w:r w:rsidR="00D166E9">
              <w:rPr>
                <w:lang w:val="fr-CH"/>
              </w:rPr>
              <w:br/>
            </w:r>
            <w:r w:rsidRPr="00CA3220">
              <w:rPr>
                <w:lang w:val="fr-CH"/>
              </w:rPr>
              <w:t>(sens amont/sens aval si différents)</w:t>
            </w:r>
          </w:p>
        </w:tc>
        <w:tc>
          <w:tcPr>
            <w:tcW w:w="5533" w:type="dxa"/>
          </w:tcPr>
          <w:p w:rsidR="00DE31BE" w:rsidRPr="00CA3220" w:rsidRDefault="00DE31BE" w:rsidP="00664299">
            <w:pPr>
              <w:pStyle w:val="Tabletext"/>
              <w:jc w:val="left"/>
              <w:rPr>
                <w:lang w:val="fr-CH"/>
              </w:rPr>
            </w:pPr>
            <w:r w:rsidRPr="00CA3220">
              <w:rPr>
                <w:lang w:val="fr-CH"/>
              </w:rPr>
              <w:t>802.16-2012: 34,6 sens amont/60 sens aval Mbit/s avec 1</w:t>
            </w:r>
            <w:r w:rsidR="00B75E76" w:rsidRPr="00CA3220">
              <w:rPr>
                <w:lang w:val="fr-CH"/>
              </w:rPr>
              <w:t> </w:t>
            </w:r>
            <w:r w:rsidRPr="00CA3220">
              <w:rPr>
                <w:lang w:val="fr-CH"/>
              </w:rPr>
              <w:t xml:space="preserve">antenne de station de base d'émission (10 MHz BW). </w:t>
            </w:r>
          </w:p>
          <w:p w:rsidR="00DE31BE" w:rsidRPr="00CA3220" w:rsidRDefault="00DE31BE" w:rsidP="00664299">
            <w:pPr>
              <w:pStyle w:val="Tabletext"/>
              <w:jc w:val="left"/>
              <w:rPr>
                <w:lang w:val="fr-CH"/>
              </w:rPr>
            </w:pPr>
            <w:r w:rsidRPr="00CA3220">
              <w:rPr>
                <w:lang w:val="fr-CH"/>
              </w:rPr>
              <w:t>69.2 sens amont/120 sens aval Mbit/s avec 2 antennes de station de base d'émission (10 MHz BW)</w:t>
            </w:r>
          </w:p>
          <w:p w:rsidR="00DE31BE" w:rsidRPr="00CA3220" w:rsidRDefault="00DE31BE" w:rsidP="00D166E9">
            <w:pPr>
              <w:pStyle w:val="Tabletext"/>
              <w:jc w:val="left"/>
              <w:rPr>
                <w:lang w:val="fr-CH"/>
              </w:rPr>
            </w:pPr>
            <w:r w:rsidRPr="00CA3220">
              <w:rPr>
                <w:lang w:val="fr-CH"/>
              </w:rPr>
              <w:t>802.16.1-2012: 66,7 sens amont/120 sens aval Mbit/s avec 2</w:t>
            </w:r>
            <w:r w:rsidR="00B75E76" w:rsidRPr="00CA3220">
              <w:rPr>
                <w:lang w:val="fr-CH"/>
              </w:rPr>
              <w:t> </w:t>
            </w:r>
            <w:r w:rsidRPr="00CA3220">
              <w:rPr>
                <w:lang w:val="fr-CH"/>
              </w:rPr>
              <w:t>antennes de station de base d'émission (10 MHz BW), 137</w:t>
            </w:r>
            <w:r w:rsidR="00D166E9">
              <w:rPr>
                <w:lang w:val="fr-CH"/>
              </w:rPr>
              <w:t> </w:t>
            </w:r>
            <w:r w:rsidRPr="00CA3220">
              <w:rPr>
                <w:lang w:val="fr-CH"/>
              </w:rPr>
              <w:t>sens amont/240 sens aval Mbit/s avec 4 antennes de station de base d'émission (10 MHz BW)</w:t>
            </w:r>
          </w:p>
        </w:tc>
      </w:tr>
    </w:tbl>
    <w:p w:rsidR="00DE31BE" w:rsidRPr="00CA3220" w:rsidRDefault="00DE31BE" w:rsidP="00664299">
      <w:pPr>
        <w:pStyle w:val="TableNo"/>
        <w:rPr>
          <w:rFonts w:asciiTheme="majorBidi" w:hAnsiTheme="majorBidi" w:cstheme="majorBidi"/>
          <w:szCs w:val="24"/>
          <w:lang w:val="fr-CH"/>
        </w:rPr>
      </w:pPr>
      <w:r w:rsidRPr="00CA3220">
        <w:rPr>
          <w:rFonts w:asciiTheme="majorBidi" w:hAnsiTheme="majorBidi" w:cstheme="majorBidi"/>
          <w:szCs w:val="24"/>
          <w:lang w:val="fr-CH"/>
        </w:rPr>
        <w:lastRenderedPageBreak/>
        <w:t>TABLEAU A1.3 (</w:t>
      </w:r>
      <w:r w:rsidRPr="00CA3220">
        <w:rPr>
          <w:rFonts w:asciiTheme="majorBidi" w:hAnsiTheme="majorBidi" w:cstheme="majorBidi"/>
          <w:i/>
          <w:iCs/>
          <w:szCs w:val="24"/>
          <w:lang w:val="fr-CH"/>
        </w:rPr>
        <w:t>fin</w:t>
      </w:r>
      <w:r w:rsidRPr="00CA3220">
        <w:rPr>
          <w:rFonts w:asciiTheme="majorBidi" w:hAnsiTheme="majorBidi" w:cstheme="majorBidi"/>
          <w:szCs w:val="24"/>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5533"/>
      </w:tblGrid>
      <w:tr w:rsidR="00DE31BE" w:rsidRPr="00CA3220" w:rsidTr="00D166E9">
        <w:trPr>
          <w:cantSplit/>
          <w:jc w:val="center"/>
        </w:trPr>
        <w:tc>
          <w:tcPr>
            <w:tcW w:w="4106" w:type="dxa"/>
          </w:tcPr>
          <w:p w:rsidR="00DE31BE" w:rsidRPr="00CA3220" w:rsidRDefault="00DE31BE" w:rsidP="00664299">
            <w:pPr>
              <w:pStyle w:val="Tablehead"/>
              <w:rPr>
                <w:lang w:val="fr-CH"/>
              </w:rPr>
            </w:pPr>
            <w:r w:rsidRPr="00CA3220">
              <w:rPr>
                <w:lang w:val="fr-CH"/>
              </w:rPr>
              <w:t>Fonction</w:t>
            </w:r>
          </w:p>
        </w:tc>
        <w:tc>
          <w:tcPr>
            <w:tcW w:w="5533" w:type="dxa"/>
          </w:tcPr>
          <w:p w:rsidR="00DE31BE" w:rsidRPr="00CA3220" w:rsidRDefault="00DE31BE" w:rsidP="00664299">
            <w:pPr>
              <w:pStyle w:val="Tablehead"/>
              <w:rPr>
                <w:lang w:val="fr-CH"/>
              </w:rPr>
            </w:pPr>
            <w:r w:rsidRPr="00CA3220">
              <w:rPr>
                <w:lang w:val="fr-CH"/>
              </w:rPr>
              <w:t>Valeur</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Méthode duplex (DRF, DRT, etc.)</w:t>
            </w:r>
          </w:p>
        </w:tc>
        <w:tc>
          <w:tcPr>
            <w:tcW w:w="5533" w:type="dxa"/>
          </w:tcPr>
          <w:p w:rsidR="003416E3" w:rsidRPr="00CA3220" w:rsidRDefault="003416E3" w:rsidP="00664299">
            <w:pPr>
              <w:pStyle w:val="Tabletext"/>
              <w:jc w:val="left"/>
              <w:rPr>
                <w:lang w:val="fr-CH"/>
              </w:rPr>
            </w:pPr>
            <w:r w:rsidRPr="00CA3220">
              <w:rPr>
                <w:lang w:val="fr-CH"/>
              </w:rPr>
              <w:t>DRT et DRT définies, DRT le plus souvent utilisée, DRT adaptative pour le trafic asymétrique</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Largueur de bande RF nominale</w:t>
            </w:r>
          </w:p>
        </w:tc>
        <w:tc>
          <w:tcPr>
            <w:tcW w:w="5533" w:type="dxa"/>
          </w:tcPr>
          <w:p w:rsidR="003416E3" w:rsidRPr="00CA3220" w:rsidRDefault="003416E3" w:rsidP="00664299">
            <w:pPr>
              <w:pStyle w:val="Tabletext"/>
              <w:jc w:val="left"/>
              <w:rPr>
                <w:lang w:val="fr-CH"/>
              </w:rPr>
            </w:pPr>
            <w:r w:rsidRPr="00CA3220">
              <w:rPr>
                <w:lang w:val="fr-CH"/>
              </w:rPr>
              <w:t>Ajustable: de 1,25 MHz à 10 MHz</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Techniques de diversité</w:t>
            </w:r>
          </w:p>
        </w:tc>
        <w:tc>
          <w:tcPr>
            <w:tcW w:w="5533" w:type="dxa"/>
          </w:tcPr>
          <w:p w:rsidR="003416E3" w:rsidRPr="00CA3220" w:rsidRDefault="003416E3" w:rsidP="00664299">
            <w:pPr>
              <w:pStyle w:val="Tabletext"/>
              <w:jc w:val="left"/>
              <w:rPr>
                <w:lang w:val="fr-CH"/>
              </w:rPr>
            </w:pPr>
            <w:r w:rsidRPr="00CA3220">
              <w:rPr>
                <w:lang w:val="fr-CH"/>
              </w:rPr>
              <w:t>Spatiale et temporelle</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Prise en charge de la technique MIMO (oui/non)</w:t>
            </w:r>
          </w:p>
        </w:tc>
        <w:tc>
          <w:tcPr>
            <w:tcW w:w="5533" w:type="dxa"/>
          </w:tcPr>
          <w:p w:rsidR="003416E3" w:rsidRPr="00CA3220" w:rsidRDefault="003416E3" w:rsidP="00664299">
            <w:pPr>
              <w:pStyle w:val="Tabletext"/>
              <w:jc w:val="left"/>
              <w:rPr>
                <w:lang w:val="fr-CH"/>
              </w:rPr>
            </w:pPr>
            <w:r w:rsidRPr="00CA3220">
              <w:rPr>
                <w:lang w:val="fr-CH"/>
              </w:rPr>
              <w:t>Oui</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Orientation/conformation du faisceau</w:t>
            </w:r>
          </w:p>
        </w:tc>
        <w:tc>
          <w:tcPr>
            <w:tcW w:w="5533" w:type="dxa"/>
          </w:tcPr>
          <w:p w:rsidR="003416E3" w:rsidRPr="00CA3220" w:rsidRDefault="003416E3" w:rsidP="00664299">
            <w:pPr>
              <w:pStyle w:val="Tabletext"/>
              <w:jc w:val="left"/>
              <w:rPr>
                <w:lang w:val="fr-CH"/>
              </w:rPr>
            </w:pPr>
            <w:r w:rsidRPr="00CA3220">
              <w:rPr>
                <w:lang w:val="fr-CH"/>
              </w:rPr>
              <w:t>Oui</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Retransmission</w:t>
            </w:r>
          </w:p>
        </w:tc>
        <w:tc>
          <w:tcPr>
            <w:tcW w:w="5533" w:type="dxa"/>
          </w:tcPr>
          <w:p w:rsidR="003416E3" w:rsidRPr="00CA3220" w:rsidRDefault="003416E3" w:rsidP="00664299">
            <w:pPr>
              <w:pStyle w:val="Tabletext"/>
              <w:jc w:val="left"/>
              <w:rPr>
                <w:lang w:val="fr-CH"/>
              </w:rPr>
            </w:pPr>
            <w:r w:rsidRPr="00CA3220">
              <w:rPr>
                <w:lang w:val="fr-CH"/>
              </w:rPr>
              <w:t>Oui (ARQ et ARQ hybride (HARQ))</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Correction d'erreur directe</w:t>
            </w:r>
          </w:p>
        </w:tc>
        <w:tc>
          <w:tcPr>
            <w:tcW w:w="5533" w:type="dxa"/>
          </w:tcPr>
          <w:p w:rsidR="003416E3" w:rsidRPr="00CA3220" w:rsidRDefault="003416E3" w:rsidP="00664299">
            <w:pPr>
              <w:pStyle w:val="Tabletext"/>
              <w:jc w:val="left"/>
              <w:rPr>
                <w:lang w:val="fr-CH"/>
              </w:rPr>
            </w:pPr>
            <w:r w:rsidRPr="00CA3220">
              <w:rPr>
                <w:lang w:val="fr-CH"/>
              </w:rPr>
              <w:t>Oui (codage convolutionnel)</w:t>
            </w:r>
          </w:p>
        </w:tc>
      </w:tr>
      <w:tr w:rsidR="003416E3" w:rsidRPr="00CA3220" w:rsidTr="00D166E9">
        <w:trPr>
          <w:cantSplit/>
          <w:jc w:val="center"/>
        </w:trPr>
        <w:tc>
          <w:tcPr>
            <w:tcW w:w="4106" w:type="dxa"/>
          </w:tcPr>
          <w:p w:rsidR="003416E3" w:rsidRPr="00CA3220" w:rsidRDefault="003416E3" w:rsidP="00664299">
            <w:pPr>
              <w:pStyle w:val="Tabletext"/>
              <w:jc w:val="left"/>
              <w:rPr>
                <w:lang w:val="fr-CH"/>
              </w:rPr>
            </w:pPr>
            <w:r w:rsidRPr="00CA3220">
              <w:rPr>
                <w:lang w:val="fr-CH"/>
              </w:rPr>
              <w:t>Gestion des brouillages</w:t>
            </w:r>
          </w:p>
        </w:tc>
        <w:tc>
          <w:tcPr>
            <w:tcW w:w="5533" w:type="dxa"/>
          </w:tcPr>
          <w:p w:rsidR="003416E3" w:rsidRPr="00CA3220" w:rsidRDefault="003416E3" w:rsidP="00664299">
            <w:pPr>
              <w:pStyle w:val="Tabletext"/>
              <w:jc w:val="left"/>
              <w:rPr>
                <w:lang w:val="fr-CH"/>
              </w:rPr>
            </w:pPr>
            <w:r w:rsidRPr="00CA3220">
              <w:rPr>
                <w:lang w:val="fr-CH"/>
              </w:rPr>
              <w:t>Oui (réutilisation partielle des fréquences)</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Gestion de la puissance</w:t>
            </w:r>
          </w:p>
        </w:tc>
        <w:tc>
          <w:tcPr>
            <w:tcW w:w="5533" w:type="dxa"/>
          </w:tcPr>
          <w:p w:rsidR="00DE31BE" w:rsidRPr="00CA3220" w:rsidRDefault="00DE31BE" w:rsidP="00664299">
            <w:pPr>
              <w:pStyle w:val="Tabletext"/>
              <w:jc w:val="left"/>
              <w:rPr>
                <w:lang w:val="fr-CH"/>
              </w:rPr>
            </w:pPr>
            <w:r w:rsidRPr="00CA3220">
              <w:rPr>
                <w:lang w:val="fr-CH"/>
              </w:rPr>
              <w:t>Oui</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Topologie de connexion</w:t>
            </w:r>
          </w:p>
        </w:tc>
        <w:tc>
          <w:tcPr>
            <w:tcW w:w="5533" w:type="dxa"/>
          </w:tcPr>
          <w:p w:rsidR="00DE31BE" w:rsidRPr="00CA3220" w:rsidRDefault="00DE31BE" w:rsidP="00664299">
            <w:pPr>
              <w:pStyle w:val="Tabletext"/>
              <w:jc w:val="left"/>
              <w:rPr>
                <w:lang w:val="fr-CH"/>
              </w:rPr>
            </w:pPr>
            <w:r w:rsidRPr="00CA3220">
              <w:rPr>
                <w:lang w:val="fr-CH"/>
              </w:rPr>
              <w:t>Point à multipoint, point à point, retransmission à bonds multiples</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Méthodes d'accès au support</w:t>
            </w:r>
          </w:p>
        </w:tc>
        <w:tc>
          <w:tcPr>
            <w:tcW w:w="5533" w:type="dxa"/>
          </w:tcPr>
          <w:p w:rsidR="00DE31BE" w:rsidRPr="00CA3220" w:rsidRDefault="00DE31BE" w:rsidP="00664299">
            <w:pPr>
              <w:pStyle w:val="Tabletext"/>
              <w:jc w:val="left"/>
              <w:rPr>
                <w:lang w:val="fr-CH"/>
              </w:rPr>
            </w:pPr>
            <w:r w:rsidRPr="00CA3220">
              <w:rPr>
                <w:lang w:val="fr-CH"/>
              </w:rPr>
              <w:t>La contention coordonnée suivie d'une qualité de service orientée connexion est prise en charge grâce à l'utilisation de 5</w:t>
            </w:r>
            <w:r w:rsidR="00B75E76" w:rsidRPr="00CA3220">
              <w:rPr>
                <w:lang w:val="fr-CH"/>
              </w:rPr>
              <w:t> </w:t>
            </w:r>
            <w:r w:rsidRPr="00CA3220">
              <w:rPr>
                <w:lang w:val="fr-CH"/>
              </w:rPr>
              <w:t>disciplines de service.</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Méthodes d'accès multiple</w:t>
            </w:r>
          </w:p>
        </w:tc>
        <w:tc>
          <w:tcPr>
            <w:tcW w:w="5533" w:type="dxa"/>
          </w:tcPr>
          <w:p w:rsidR="00DE31BE" w:rsidRPr="00CA3220" w:rsidRDefault="00DE31BE" w:rsidP="00664299">
            <w:pPr>
              <w:pStyle w:val="Tabletext"/>
              <w:jc w:val="left"/>
              <w:rPr>
                <w:lang w:val="fr-CH"/>
              </w:rPr>
            </w:pPr>
            <w:r w:rsidRPr="00CA3220">
              <w:rPr>
                <w:lang w:val="fr-CH"/>
              </w:rPr>
              <w:t>OFDMA</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Découverte et méthode d'association</w:t>
            </w:r>
          </w:p>
        </w:tc>
        <w:tc>
          <w:tcPr>
            <w:tcW w:w="5533" w:type="dxa"/>
          </w:tcPr>
          <w:p w:rsidR="00DE31BE" w:rsidRPr="00CA3220" w:rsidRDefault="00DE31BE" w:rsidP="00664299">
            <w:pPr>
              <w:pStyle w:val="Tabletext"/>
              <w:jc w:val="left"/>
              <w:rPr>
                <w:lang w:val="fr-CH"/>
              </w:rPr>
            </w:pPr>
            <w:r w:rsidRPr="00CA3220">
              <w:rPr>
                <w:lang w:val="fr-CH"/>
              </w:rPr>
              <w:t>Découverte autonome, association par CID/SFID</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Méthodes de qualité de service</w:t>
            </w:r>
          </w:p>
        </w:tc>
        <w:tc>
          <w:tcPr>
            <w:tcW w:w="5533" w:type="dxa"/>
          </w:tcPr>
          <w:p w:rsidR="00DE31BE" w:rsidRPr="00CA3220" w:rsidRDefault="00DE31BE" w:rsidP="00664299">
            <w:pPr>
              <w:pStyle w:val="Tabletext"/>
              <w:jc w:val="left"/>
              <w:rPr>
                <w:lang w:val="fr-CH"/>
              </w:rPr>
            </w:pPr>
            <w:r w:rsidRPr="00CA3220">
              <w:rPr>
                <w:lang w:val="fr-CH"/>
              </w:rPr>
              <w:t>Différentiation de la qualité de service (5 classes prises en charge) et prise en charge de la qualité de service orientée connexion</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Détection de l'emplacement</w:t>
            </w:r>
          </w:p>
        </w:tc>
        <w:tc>
          <w:tcPr>
            <w:tcW w:w="5533" w:type="dxa"/>
          </w:tcPr>
          <w:p w:rsidR="00DE31BE" w:rsidRPr="00CA3220" w:rsidRDefault="00DE31BE" w:rsidP="00664299">
            <w:pPr>
              <w:pStyle w:val="Tabletext"/>
              <w:jc w:val="left"/>
              <w:rPr>
                <w:rFonts w:asciiTheme="majorBidi" w:hAnsiTheme="majorBidi" w:cstheme="majorBidi"/>
                <w:lang w:val="fr-CH"/>
              </w:rPr>
            </w:pPr>
            <w:r w:rsidRPr="00CA3220">
              <w:rPr>
                <w:rFonts w:asciiTheme="majorBidi" w:hAnsiTheme="majorBidi" w:cstheme="majorBidi"/>
                <w:color w:val="000000"/>
                <w:lang w:val="fr-CH"/>
              </w:rPr>
              <w:t>Oui</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Télémétrie</w:t>
            </w:r>
          </w:p>
        </w:tc>
        <w:tc>
          <w:tcPr>
            <w:tcW w:w="5533" w:type="dxa"/>
          </w:tcPr>
          <w:p w:rsidR="00DE31BE" w:rsidRPr="00CA3220" w:rsidRDefault="00DE31BE" w:rsidP="00664299">
            <w:pPr>
              <w:pStyle w:val="Tabletext"/>
              <w:jc w:val="left"/>
              <w:rPr>
                <w:lang w:val="fr-CH"/>
              </w:rPr>
            </w:pPr>
            <w:r w:rsidRPr="00CA3220">
              <w:rPr>
                <w:lang w:val="fr-CH"/>
              </w:rPr>
              <w:t>Facultative</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Chiffrement</w:t>
            </w:r>
          </w:p>
        </w:tc>
        <w:tc>
          <w:tcPr>
            <w:tcW w:w="5533" w:type="dxa"/>
          </w:tcPr>
          <w:p w:rsidR="00DE31BE" w:rsidRPr="00CA3220" w:rsidRDefault="00DE31BE" w:rsidP="00664299">
            <w:pPr>
              <w:pStyle w:val="Tabletext"/>
              <w:jc w:val="left"/>
              <w:rPr>
                <w:lang w:val="fr-CH"/>
              </w:rPr>
            </w:pPr>
            <w:r w:rsidRPr="00CA3220">
              <w:rPr>
                <w:lang w:val="fr-CH"/>
              </w:rPr>
              <w:t>AES128 – CCM et CTR</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Authentification/protection contre les réexécutions</w:t>
            </w:r>
          </w:p>
        </w:tc>
        <w:tc>
          <w:tcPr>
            <w:tcW w:w="5533" w:type="dxa"/>
          </w:tcPr>
          <w:p w:rsidR="00DE31BE" w:rsidRPr="00CA3220" w:rsidRDefault="00DE31BE" w:rsidP="00664299">
            <w:pPr>
              <w:pStyle w:val="Tabletext"/>
              <w:jc w:val="left"/>
              <w:rPr>
                <w:lang w:val="fr-CH"/>
              </w:rPr>
            </w:pPr>
            <w:r w:rsidRPr="00CA3220">
              <w:rPr>
                <w:rFonts w:asciiTheme="majorBidi" w:hAnsiTheme="majorBidi" w:cstheme="majorBidi"/>
                <w:color w:val="000000"/>
                <w:lang w:val="fr-CH"/>
              </w:rPr>
              <w:t>Oui</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Echange de clés</w:t>
            </w:r>
          </w:p>
        </w:tc>
        <w:tc>
          <w:tcPr>
            <w:tcW w:w="5533" w:type="dxa"/>
          </w:tcPr>
          <w:p w:rsidR="00DE31BE" w:rsidRPr="00CA3220" w:rsidRDefault="00DE31BE" w:rsidP="00664299">
            <w:pPr>
              <w:pStyle w:val="Tabletext"/>
              <w:jc w:val="left"/>
              <w:rPr>
                <w:lang w:val="fr-CH"/>
              </w:rPr>
            </w:pPr>
            <w:r w:rsidRPr="00CA3220">
              <w:rPr>
                <w:lang w:val="fr-CH"/>
              </w:rPr>
              <w:t>PKMv2 (Section 7.2.2)</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Détection des noeuds malveillants</w:t>
            </w:r>
          </w:p>
        </w:tc>
        <w:tc>
          <w:tcPr>
            <w:tcW w:w="5533" w:type="dxa"/>
          </w:tcPr>
          <w:p w:rsidR="00DE31BE" w:rsidRPr="00CA3220" w:rsidRDefault="00DE31BE" w:rsidP="00664299">
            <w:pPr>
              <w:pStyle w:val="Tabletext"/>
              <w:jc w:val="left"/>
              <w:rPr>
                <w:lang w:val="fr-CH"/>
              </w:rPr>
            </w:pPr>
            <w:r w:rsidRPr="00CA3220">
              <w:rPr>
                <w:lang w:val="fr-CH"/>
              </w:rPr>
              <w:t>Oui, calcul de la clé par code d'authentification de message basé sur un chiffrement (CMAC)/code d'authentification de message haché (HMAC) pour protéger l'intégrité des messages de commande. En outre, valeur ICV des clés pour protéger l'intégrité des unités MPDU.</w:t>
            </w:r>
          </w:p>
        </w:tc>
      </w:tr>
      <w:tr w:rsidR="00DE31BE" w:rsidRPr="00CA3220" w:rsidTr="00D166E9">
        <w:trPr>
          <w:cantSplit/>
          <w:jc w:val="center"/>
        </w:trPr>
        <w:tc>
          <w:tcPr>
            <w:tcW w:w="4106" w:type="dxa"/>
          </w:tcPr>
          <w:p w:rsidR="00DE31BE" w:rsidRPr="00CA3220" w:rsidRDefault="00DE31BE" w:rsidP="00664299">
            <w:pPr>
              <w:pStyle w:val="Tabletext"/>
              <w:jc w:val="left"/>
              <w:rPr>
                <w:lang w:val="fr-CH"/>
              </w:rPr>
            </w:pPr>
            <w:r w:rsidRPr="00CA3220">
              <w:rPr>
                <w:lang w:val="fr-CH"/>
              </w:rPr>
              <w:t>Identification unique de l'équipement</w:t>
            </w:r>
          </w:p>
        </w:tc>
        <w:tc>
          <w:tcPr>
            <w:tcW w:w="5533" w:type="dxa"/>
          </w:tcPr>
          <w:p w:rsidR="00DE31BE" w:rsidRPr="00CA3220" w:rsidRDefault="00DE31BE" w:rsidP="00664299">
            <w:pPr>
              <w:pStyle w:val="Tabletext"/>
              <w:jc w:val="left"/>
              <w:rPr>
                <w:lang w:val="fr-CH"/>
              </w:rPr>
            </w:pPr>
            <w:r w:rsidRPr="00CA3220">
              <w:rPr>
                <w:lang w:val="fr-CH"/>
              </w:rPr>
              <w:t>Adresse MAC, certificats X.509, carte SIM facultative</w:t>
            </w:r>
          </w:p>
        </w:tc>
      </w:tr>
    </w:tbl>
    <w:p w:rsidR="00DE31BE" w:rsidRPr="00CA3220" w:rsidRDefault="00DE31BE" w:rsidP="00664299">
      <w:pPr>
        <w:rPr>
          <w:rFonts w:asciiTheme="majorBidi" w:hAnsiTheme="majorBidi" w:cstheme="majorBidi"/>
          <w:szCs w:val="24"/>
          <w:lang w:val="fr-CH"/>
        </w:rPr>
      </w:pPr>
    </w:p>
    <w:p w:rsidR="00DE31BE" w:rsidRPr="00CA3220" w:rsidRDefault="00DE31BE" w:rsidP="00664299">
      <w:pPr>
        <w:pStyle w:val="TableNo"/>
        <w:rPr>
          <w:lang w:val="fr-CH"/>
        </w:rPr>
      </w:pPr>
      <w:r w:rsidRPr="00CA3220">
        <w:rPr>
          <w:lang w:val="fr-CH"/>
        </w:rPr>
        <w:t>TABLEAU A1.4</w:t>
      </w:r>
    </w:p>
    <w:p w:rsidR="00DE31BE" w:rsidRPr="00CA3220" w:rsidRDefault="00DE31BE" w:rsidP="00664299">
      <w:pPr>
        <w:pStyle w:val="Tabletitle"/>
        <w:rPr>
          <w:lang w:val="fr-CH"/>
        </w:rPr>
      </w:pPr>
      <w:r w:rsidRPr="00CA3220">
        <w:rPr>
          <w:lang w:val="fr-CH"/>
        </w:rPr>
        <w:t>Fonctionnalités techniques et opérationnelles de la norme IEEE 802.20, mode 625k-MC</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CA3220" w:rsidTr="002E2F10">
        <w:trPr>
          <w:cantSplit/>
        </w:trPr>
        <w:tc>
          <w:tcPr>
            <w:tcW w:w="3823" w:type="dxa"/>
          </w:tcPr>
          <w:p w:rsidR="00DE31BE" w:rsidRPr="00CA3220" w:rsidRDefault="00DE31BE" w:rsidP="00664299">
            <w:pPr>
              <w:pStyle w:val="Tablehead"/>
              <w:rPr>
                <w:lang w:val="fr-CH"/>
              </w:rPr>
            </w:pPr>
            <w:r w:rsidRPr="00CA3220">
              <w:rPr>
                <w:lang w:val="fr-CH"/>
              </w:rPr>
              <w:t>Fonction</w:t>
            </w:r>
          </w:p>
        </w:tc>
        <w:tc>
          <w:tcPr>
            <w:tcW w:w="5806" w:type="dxa"/>
          </w:tcPr>
          <w:p w:rsidR="00DE31BE" w:rsidRPr="00CA3220" w:rsidRDefault="00DE31BE" w:rsidP="00664299">
            <w:pPr>
              <w:pStyle w:val="Tablehead"/>
              <w:rPr>
                <w:lang w:val="fr-CH"/>
              </w:rPr>
            </w:pPr>
            <w:r w:rsidRPr="00CA3220">
              <w:rPr>
                <w:lang w:val="fr-CH"/>
              </w:rPr>
              <w:t>Valeur</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Bandes de fréquences prises en charges (avec ou sans licence)</w:t>
            </w:r>
          </w:p>
        </w:tc>
        <w:tc>
          <w:tcPr>
            <w:tcW w:w="5806" w:type="dxa"/>
          </w:tcPr>
          <w:p w:rsidR="00DE31BE" w:rsidRPr="00CA3220" w:rsidRDefault="00DE31BE" w:rsidP="00664299">
            <w:pPr>
              <w:pStyle w:val="Tabletext"/>
              <w:jc w:val="left"/>
              <w:rPr>
                <w:lang w:val="fr-CH"/>
              </w:rPr>
            </w:pPr>
            <w:r w:rsidRPr="00CA3220">
              <w:rPr>
                <w:lang w:val="fr-CH"/>
              </w:rPr>
              <w:t>Bandes avec licence au-dessous de 3,5 GHz</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Portée opérationnelle nominale</w:t>
            </w:r>
          </w:p>
        </w:tc>
        <w:tc>
          <w:tcPr>
            <w:tcW w:w="5806" w:type="dxa"/>
          </w:tcPr>
          <w:p w:rsidR="00DE31BE" w:rsidRPr="00CA3220" w:rsidRDefault="00DE31BE" w:rsidP="00664299">
            <w:pPr>
              <w:pStyle w:val="Tabletext"/>
              <w:jc w:val="left"/>
              <w:rPr>
                <w:lang w:val="fr-CH"/>
              </w:rPr>
            </w:pPr>
            <w:r w:rsidRPr="00CA3220">
              <w:rPr>
                <w:lang w:val="fr-CH"/>
              </w:rPr>
              <w:t>12,7 km (max)</w:t>
            </w:r>
          </w:p>
        </w:tc>
      </w:tr>
    </w:tbl>
    <w:p w:rsidR="00DE31BE" w:rsidRPr="00CA3220" w:rsidRDefault="00DE31BE" w:rsidP="00664299">
      <w:pPr>
        <w:pStyle w:val="TableNo"/>
        <w:rPr>
          <w:lang w:val="fr-CH"/>
        </w:rPr>
      </w:pPr>
      <w:r w:rsidRPr="00CA3220">
        <w:rPr>
          <w:lang w:val="fr-CH"/>
        </w:rPr>
        <w:lastRenderedPageBreak/>
        <w:t>TABLEAU A1.4 (</w:t>
      </w:r>
      <w:r w:rsidRPr="00CA3220">
        <w:rPr>
          <w:i/>
          <w:iCs/>
          <w:lang w:val="fr-CH"/>
        </w:rPr>
        <w:t>fin</w:t>
      </w:r>
      <w:r w:rsidRPr="00CA3220">
        <w:rPr>
          <w:lang w:val="fr-CH"/>
        </w:rPr>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CA3220" w:rsidTr="002E2F10">
        <w:trPr>
          <w:cantSplit/>
        </w:trPr>
        <w:tc>
          <w:tcPr>
            <w:tcW w:w="3823" w:type="dxa"/>
          </w:tcPr>
          <w:p w:rsidR="00DE31BE" w:rsidRPr="00CA3220" w:rsidRDefault="00DE31BE" w:rsidP="00664299">
            <w:pPr>
              <w:pStyle w:val="Tablehead"/>
              <w:rPr>
                <w:lang w:val="fr-CH"/>
              </w:rPr>
            </w:pPr>
            <w:r w:rsidRPr="00CA3220">
              <w:rPr>
                <w:lang w:val="fr-CH"/>
              </w:rPr>
              <w:t>Fonction</w:t>
            </w:r>
          </w:p>
        </w:tc>
        <w:tc>
          <w:tcPr>
            <w:tcW w:w="5806" w:type="dxa"/>
          </w:tcPr>
          <w:p w:rsidR="00DE31BE" w:rsidRPr="00CA3220" w:rsidRDefault="00DE31BE" w:rsidP="00664299">
            <w:pPr>
              <w:pStyle w:val="Tablehead"/>
              <w:rPr>
                <w:lang w:val="fr-CH"/>
              </w:rPr>
            </w:pPr>
            <w:r w:rsidRPr="00CA3220">
              <w:rPr>
                <w:lang w:val="fr-CH"/>
              </w:rPr>
              <w:t>Valeur</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 xml:space="preserve">Fonctionnalités de mobilité (nomade/mobile) </w:t>
            </w:r>
          </w:p>
        </w:tc>
        <w:tc>
          <w:tcPr>
            <w:tcW w:w="5806" w:type="dxa"/>
          </w:tcPr>
          <w:p w:rsidR="009B006E" w:rsidRPr="00CA3220" w:rsidRDefault="009B006E" w:rsidP="00664299">
            <w:pPr>
              <w:pStyle w:val="Tabletext"/>
              <w:jc w:val="left"/>
              <w:rPr>
                <w:lang w:val="fr-CH"/>
              </w:rPr>
            </w:pPr>
            <w:r w:rsidRPr="00CA3220">
              <w:rPr>
                <w:lang w:val="fr-CH"/>
              </w:rPr>
              <w:t>Mobile</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Débit de données maximal (sens amont/sens aval si différents)</w:t>
            </w:r>
          </w:p>
        </w:tc>
        <w:tc>
          <w:tcPr>
            <w:tcW w:w="5806" w:type="dxa"/>
          </w:tcPr>
          <w:p w:rsidR="009B006E" w:rsidRPr="00CA3220" w:rsidRDefault="009B006E" w:rsidP="00664299">
            <w:pPr>
              <w:pStyle w:val="Tabletext"/>
              <w:jc w:val="left"/>
              <w:rPr>
                <w:lang w:val="fr-CH"/>
              </w:rPr>
            </w:pPr>
            <w:r w:rsidRPr="00CA3220">
              <w:rPr>
                <w:lang w:val="fr-CH"/>
              </w:rPr>
              <w:t xml:space="preserve">Débit maximal de données d'utilisateur de 1 493 Mbit/s dans le sens aval et de 571 kbit/s dans le sens amont dans une largeur de bande de porteuse de 625 kHz. </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Méthode duplex (DRF, DRT, etc.)</w:t>
            </w:r>
          </w:p>
        </w:tc>
        <w:tc>
          <w:tcPr>
            <w:tcW w:w="5806" w:type="dxa"/>
          </w:tcPr>
          <w:p w:rsidR="009B006E" w:rsidRPr="00CA3220" w:rsidRDefault="009B006E" w:rsidP="00664299">
            <w:pPr>
              <w:pStyle w:val="Tabletext"/>
              <w:jc w:val="left"/>
              <w:rPr>
                <w:lang w:val="fr-CH"/>
              </w:rPr>
            </w:pPr>
            <w:r w:rsidRPr="00CA3220">
              <w:rPr>
                <w:lang w:val="fr-CH"/>
              </w:rPr>
              <w:t>DRT</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Largueur de bande RF nominale</w:t>
            </w:r>
          </w:p>
        </w:tc>
        <w:tc>
          <w:tcPr>
            <w:tcW w:w="5806" w:type="dxa"/>
          </w:tcPr>
          <w:p w:rsidR="009B006E" w:rsidRPr="00CA3220" w:rsidRDefault="009B006E" w:rsidP="00664299">
            <w:pPr>
              <w:pStyle w:val="Tabletext"/>
              <w:jc w:val="left"/>
              <w:rPr>
                <w:lang w:val="fr-CH"/>
              </w:rPr>
            </w:pPr>
            <w:r w:rsidRPr="00CA3220">
              <w:rPr>
                <w:lang w:val="fr-CH"/>
              </w:rPr>
              <w:t>2,5 MHz (prend en charge 4 porteuses espacées de 625 kHz), 5</w:t>
            </w:r>
            <w:r w:rsidR="00B75E76" w:rsidRPr="00CA3220">
              <w:rPr>
                <w:lang w:val="fr-CH"/>
              </w:rPr>
              <w:t> </w:t>
            </w:r>
            <w:r w:rsidRPr="00CA3220">
              <w:rPr>
                <w:lang w:val="fr-CH"/>
              </w:rPr>
              <w:t>MHz (prend en charge 8 porteuses espacées de 625 kHz)</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Modulation/rendement de codage – sens amont et sens aval</w:t>
            </w:r>
          </w:p>
        </w:tc>
        <w:tc>
          <w:tcPr>
            <w:tcW w:w="5806" w:type="dxa"/>
          </w:tcPr>
          <w:p w:rsidR="009B006E" w:rsidRPr="00CA3220" w:rsidRDefault="009B006E" w:rsidP="00664299">
            <w:pPr>
              <w:pStyle w:val="Tabletext"/>
              <w:jc w:val="left"/>
              <w:rPr>
                <w:lang w:val="fr-CH"/>
              </w:rPr>
            </w:pPr>
            <w:r w:rsidRPr="00CA3220">
              <w:rPr>
                <w:lang w:val="fr-CH"/>
              </w:rPr>
              <w:t>Modulation et codage adaptatifs, BPSK, QPSK, 8-PSK, 12</w:t>
            </w:r>
            <w:r w:rsidR="00B75E76" w:rsidRPr="00CA3220">
              <w:rPr>
                <w:lang w:val="fr-CH"/>
              </w:rPr>
              <w:noBreakHyphen/>
            </w:r>
            <w:r w:rsidRPr="00CA3220">
              <w:rPr>
                <w:lang w:val="fr-CH"/>
              </w:rPr>
              <w:t>PSK, 16QAM, 24QAM, 32QAM et 64QAM</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Techniques de diversité</w:t>
            </w:r>
          </w:p>
        </w:tc>
        <w:tc>
          <w:tcPr>
            <w:tcW w:w="5806" w:type="dxa"/>
          </w:tcPr>
          <w:p w:rsidR="009B006E" w:rsidRPr="00CA3220" w:rsidRDefault="009B006E" w:rsidP="00664299">
            <w:pPr>
              <w:pStyle w:val="Tabletext"/>
              <w:jc w:val="left"/>
              <w:rPr>
                <w:lang w:val="fr-CH"/>
              </w:rPr>
            </w:pPr>
            <w:r w:rsidRPr="00CA3220">
              <w:rPr>
                <w:lang w:val="fr-CH"/>
              </w:rPr>
              <w:t>Diversité spatiale</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Prise en charge de la technique MIMO (oui/non)</w:t>
            </w:r>
          </w:p>
        </w:tc>
        <w:tc>
          <w:tcPr>
            <w:tcW w:w="5806" w:type="dxa"/>
          </w:tcPr>
          <w:p w:rsidR="009B006E" w:rsidRPr="00CA3220" w:rsidRDefault="009B006E" w:rsidP="00664299">
            <w:pPr>
              <w:pStyle w:val="Tabletext"/>
              <w:jc w:val="left"/>
              <w:rPr>
                <w:lang w:val="fr-CH"/>
              </w:rPr>
            </w:pPr>
            <w:r w:rsidRPr="00CA3220">
              <w:rPr>
                <w:lang w:val="fr-CH"/>
              </w:rPr>
              <w:t>Oui</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Orientation/conformation du faisceau</w:t>
            </w:r>
          </w:p>
        </w:tc>
        <w:tc>
          <w:tcPr>
            <w:tcW w:w="5806" w:type="dxa"/>
          </w:tcPr>
          <w:p w:rsidR="009B006E" w:rsidRPr="00CA3220" w:rsidRDefault="009B006E" w:rsidP="00664299">
            <w:pPr>
              <w:pStyle w:val="Tabletext"/>
              <w:jc w:val="left"/>
              <w:rPr>
                <w:lang w:val="fr-CH"/>
              </w:rPr>
            </w:pPr>
            <w:r w:rsidRPr="00CA3220">
              <w:rPr>
                <w:lang w:val="fr-CH"/>
              </w:rPr>
              <w:t>Sélectivité spatiale du canal et traitement adaptatif du réseau d'antennes.</w:t>
            </w:r>
          </w:p>
        </w:tc>
      </w:tr>
      <w:tr w:rsidR="009B006E" w:rsidRPr="00CA3220" w:rsidTr="002E2F10">
        <w:trPr>
          <w:cantSplit/>
        </w:trPr>
        <w:tc>
          <w:tcPr>
            <w:tcW w:w="3823" w:type="dxa"/>
          </w:tcPr>
          <w:p w:rsidR="009B006E" w:rsidRPr="00CA3220" w:rsidRDefault="009B006E" w:rsidP="00664299">
            <w:pPr>
              <w:pStyle w:val="Tabletext"/>
              <w:jc w:val="left"/>
              <w:rPr>
                <w:lang w:val="fr-CH"/>
              </w:rPr>
            </w:pPr>
            <w:r w:rsidRPr="00CA3220">
              <w:rPr>
                <w:lang w:val="fr-CH"/>
              </w:rPr>
              <w:t>Retransmission</w:t>
            </w:r>
          </w:p>
        </w:tc>
        <w:tc>
          <w:tcPr>
            <w:tcW w:w="5806" w:type="dxa"/>
          </w:tcPr>
          <w:p w:rsidR="009B006E" w:rsidRPr="00CA3220" w:rsidRDefault="009B006E" w:rsidP="00664299">
            <w:pPr>
              <w:pStyle w:val="Tabletext"/>
              <w:jc w:val="left"/>
              <w:rPr>
                <w:lang w:val="fr-CH"/>
              </w:rPr>
            </w:pPr>
            <w:r w:rsidRPr="00CA3220">
              <w:rPr>
                <w:lang w:val="fr-CH"/>
              </w:rPr>
              <w:t>ARQ rapide</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Correction d'erreur directe</w:t>
            </w:r>
          </w:p>
        </w:tc>
        <w:tc>
          <w:tcPr>
            <w:tcW w:w="5806" w:type="dxa"/>
          </w:tcPr>
          <w:p w:rsidR="00DE31BE" w:rsidRPr="00CA3220" w:rsidRDefault="00DE31BE" w:rsidP="00664299">
            <w:pPr>
              <w:pStyle w:val="Tabletext"/>
              <w:jc w:val="left"/>
              <w:rPr>
                <w:lang w:val="fr-CH"/>
              </w:rPr>
            </w:pPr>
            <w:r w:rsidRPr="00CA3220">
              <w:rPr>
                <w:lang w:val="fr-CH"/>
              </w:rPr>
              <w:t>Codage par bloc et codage convolutionnel/décodage Viterbi</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Gestion des brouillages</w:t>
            </w:r>
          </w:p>
        </w:tc>
        <w:tc>
          <w:tcPr>
            <w:tcW w:w="5806" w:type="dxa"/>
          </w:tcPr>
          <w:p w:rsidR="00DE31BE" w:rsidRPr="00CA3220" w:rsidRDefault="00DE31BE" w:rsidP="00664299">
            <w:pPr>
              <w:pStyle w:val="Tabletext"/>
              <w:jc w:val="left"/>
              <w:rPr>
                <w:lang w:val="fr-CH"/>
              </w:rPr>
            </w:pPr>
            <w:r w:rsidRPr="00CA3220">
              <w:rPr>
                <w:lang w:val="fr-CH"/>
              </w:rPr>
              <w:t>Traitement adaptatif des signaux d'antenne</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Gestion de la puissance</w:t>
            </w:r>
          </w:p>
        </w:tc>
        <w:tc>
          <w:tcPr>
            <w:tcW w:w="5806" w:type="dxa"/>
          </w:tcPr>
          <w:p w:rsidR="00DE31BE" w:rsidRPr="00CA3220" w:rsidRDefault="00DE31BE" w:rsidP="00664299">
            <w:pPr>
              <w:pStyle w:val="Tabletext"/>
              <w:jc w:val="left"/>
              <w:rPr>
                <w:lang w:val="fr-CH"/>
              </w:rPr>
            </w:pPr>
            <w:r w:rsidRPr="00CA3220">
              <w:rPr>
                <w:lang w:val="fr-CH"/>
              </w:rPr>
              <w:t>Mécanisme de commande adaptative de puissance (boucle ouverte et boucle fermée). La commande de puissance permettra d'augmenter la capacité du réseau et de réduire la consommation d'électricité dans les sens amont et aval.</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Topologie de connexion</w:t>
            </w:r>
          </w:p>
        </w:tc>
        <w:tc>
          <w:tcPr>
            <w:tcW w:w="5806" w:type="dxa"/>
          </w:tcPr>
          <w:p w:rsidR="00DE31BE" w:rsidRPr="00CA3220" w:rsidRDefault="00DE31BE" w:rsidP="00664299">
            <w:pPr>
              <w:pStyle w:val="Tabletext"/>
              <w:jc w:val="left"/>
              <w:rPr>
                <w:lang w:val="fr-CH"/>
              </w:rPr>
            </w:pPr>
            <w:r w:rsidRPr="00CA3220">
              <w:rPr>
                <w:lang w:val="fr-CH"/>
              </w:rPr>
              <w:t>Point à multipoint</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Méthodes d'accès au support</w:t>
            </w:r>
          </w:p>
        </w:tc>
        <w:tc>
          <w:tcPr>
            <w:tcW w:w="5806" w:type="dxa"/>
          </w:tcPr>
          <w:p w:rsidR="00DE31BE" w:rsidRPr="00CA3220" w:rsidRDefault="00DE31BE" w:rsidP="00664299">
            <w:pPr>
              <w:pStyle w:val="Tabletext"/>
              <w:jc w:val="left"/>
              <w:rPr>
                <w:lang w:val="fr-CH"/>
              </w:rPr>
            </w:pPr>
            <w:r w:rsidRPr="00CA3220">
              <w:rPr>
                <w:lang w:val="fr-CH"/>
              </w:rPr>
              <w:t>Accès aléatoire TDMA-TDD</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Méthodes d'accès multiple</w:t>
            </w:r>
          </w:p>
        </w:tc>
        <w:tc>
          <w:tcPr>
            <w:tcW w:w="5806" w:type="dxa"/>
          </w:tcPr>
          <w:p w:rsidR="00DE31BE" w:rsidRPr="00CA3220" w:rsidRDefault="00DE31BE" w:rsidP="00664299">
            <w:pPr>
              <w:pStyle w:val="Tabletext"/>
              <w:jc w:val="left"/>
              <w:rPr>
                <w:lang w:val="fr-CH"/>
              </w:rPr>
            </w:pPr>
            <w:r w:rsidRPr="00CA3220">
              <w:rPr>
                <w:lang w:val="fr-CH"/>
              </w:rPr>
              <w:t>FDMA-TDMA-SDMA</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Découverte et méthode d'association</w:t>
            </w:r>
          </w:p>
        </w:tc>
        <w:tc>
          <w:tcPr>
            <w:tcW w:w="5806" w:type="dxa"/>
          </w:tcPr>
          <w:p w:rsidR="00DE31BE" w:rsidRPr="00CA3220" w:rsidRDefault="00DE31BE" w:rsidP="00664299">
            <w:pPr>
              <w:pStyle w:val="Tabletext"/>
              <w:jc w:val="left"/>
              <w:rPr>
                <w:lang w:val="fr-CH"/>
              </w:rPr>
            </w:pPr>
            <w:r w:rsidRPr="00CA3220">
              <w:rPr>
                <w:lang w:val="fr-CH"/>
              </w:rPr>
              <w:t xml:space="preserve">Par authentification mutuelle station de base – terminal utilisateur </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Méthodes de qualité de service</w:t>
            </w:r>
          </w:p>
        </w:tc>
        <w:tc>
          <w:tcPr>
            <w:tcW w:w="5806" w:type="dxa"/>
          </w:tcPr>
          <w:p w:rsidR="00DE31BE" w:rsidRPr="00CA3220" w:rsidRDefault="00DE31BE" w:rsidP="00664299">
            <w:pPr>
              <w:pStyle w:val="Tabletext"/>
              <w:jc w:val="left"/>
              <w:rPr>
                <w:lang w:val="fr-CH"/>
              </w:rPr>
            </w:pPr>
            <w:r w:rsidRPr="00CA3220">
              <w:rPr>
                <w:lang w:val="fr-CH"/>
              </w:rPr>
              <w:t xml:space="preserve">Le mode 625k-MC définit trois classes de qualité de service qui mettent en oeuvre le model DiffServ de l'IETF: les comportements par saut de réexpédition accélérée (EF), de réexpédition assurée (AF) et de meilleur effort fondés sur les points de code DiffServ. </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Détection de l'emplacement</w:t>
            </w:r>
          </w:p>
        </w:tc>
        <w:tc>
          <w:tcPr>
            <w:tcW w:w="5806" w:type="dxa"/>
          </w:tcPr>
          <w:p w:rsidR="00DE31BE" w:rsidRPr="00CA3220" w:rsidRDefault="00DE31BE" w:rsidP="00664299">
            <w:pPr>
              <w:pStyle w:val="Tabletext"/>
              <w:jc w:val="left"/>
              <w:rPr>
                <w:lang w:val="fr-CH"/>
              </w:rPr>
            </w:pPr>
            <w:r w:rsidRPr="00CA3220">
              <w:rPr>
                <w:lang w:val="fr-CH"/>
              </w:rPr>
              <w:t>Oui</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Télémétrie</w:t>
            </w:r>
          </w:p>
        </w:tc>
        <w:tc>
          <w:tcPr>
            <w:tcW w:w="5806" w:type="dxa"/>
          </w:tcPr>
          <w:p w:rsidR="00DE31BE" w:rsidRPr="00CA3220" w:rsidRDefault="00DE31BE" w:rsidP="00664299">
            <w:pPr>
              <w:pStyle w:val="Tabletext"/>
              <w:jc w:val="left"/>
              <w:rPr>
                <w:lang w:val="fr-CH"/>
              </w:rPr>
            </w:pPr>
            <w:r w:rsidRPr="00CA3220">
              <w:rPr>
                <w:lang w:val="fr-CH"/>
              </w:rPr>
              <w:t>Oui</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Chiffrement</w:t>
            </w:r>
          </w:p>
        </w:tc>
        <w:tc>
          <w:tcPr>
            <w:tcW w:w="5806" w:type="dxa"/>
          </w:tcPr>
          <w:p w:rsidR="00DE31BE" w:rsidRPr="00CA3220" w:rsidRDefault="00DE31BE" w:rsidP="00664299">
            <w:pPr>
              <w:pStyle w:val="Tabletext"/>
              <w:jc w:val="left"/>
              <w:rPr>
                <w:lang w:val="fr-CH"/>
              </w:rPr>
            </w:pPr>
            <w:r w:rsidRPr="00CA3220">
              <w:rPr>
                <w:lang w:val="fr-CH"/>
              </w:rPr>
              <w:t>Chiffrement de flux RC4 et AES</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Authentification/protection contre les réexécutions</w:t>
            </w:r>
          </w:p>
        </w:tc>
        <w:tc>
          <w:tcPr>
            <w:tcW w:w="5806" w:type="dxa"/>
          </w:tcPr>
          <w:p w:rsidR="00DE31BE" w:rsidRPr="00CA3220" w:rsidRDefault="00DE31BE" w:rsidP="00664299">
            <w:pPr>
              <w:pStyle w:val="Tabletext"/>
              <w:jc w:val="left"/>
              <w:rPr>
                <w:lang w:val="fr-CH"/>
              </w:rPr>
            </w:pPr>
            <w:r w:rsidRPr="00CA3220">
              <w:rPr>
                <w:lang w:val="fr-CH"/>
              </w:rPr>
              <w:t>Authentification de la station de base et authentification du terminal utilisateur fondées sur l'utilisation de certificats numériques signés conformément à la norme ISO/CEI 9796 à l'aide de l'algorithme Rivest, Shamir et Adleman (RSA).</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Echange de clés</w:t>
            </w:r>
          </w:p>
        </w:tc>
        <w:tc>
          <w:tcPr>
            <w:tcW w:w="5806" w:type="dxa"/>
          </w:tcPr>
          <w:p w:rsidR="00DE31BE" w:rsidRPr="00CA3220" w:rsidRDefault="00DE31BE" w:rsidP="00664299">
            <w:pPr>
              <w:pStyle w:val="Tabletext"/>
              <w:jc w:val="left"/>
              <w:rPr>
                <w:lang w:val="fr-CH"/>
              </w:rPr>
            </w:pPr>
            <w:r w:rsidRPr="00CA3220">
              <w:rPr>
                <w:lang w:val="fr-CH"/>
              </w:rPr>
              <w:t>Cryptographie à courbe elliptique (en utilisant les courbes K</w:t>
            </w:r>
            <w:r w:rsidR="00B75E76" w:rsidRPr="00CA3220">
              <w:rPr>
                <w:lang w:val="fr-CH"/>
              </w:rPr>
              <w:noBreakHyphen/>
            </w:r>
            <w:r w:rsidRPr="00CA3220">
              <w:rPr>
                <w:lang w:val="fr-CH"/>
              </w:rPr>
              <w:t>163 et K-233 de la norme FIPS-186-2)</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Détection des noeuds malveillants</w:t>
            </w:r>
          </w:p>
        </w:tc>
        <w:tc>
          <w:tcPr>
            <w:tcW w:w="5806" w:type="dxa"/>
          </w:tcPr>
          <w:p w:rsidR="00DE31BE" w:rsidRPr="00CA3220" w:rsidRDefault="00DE31BE" w:rsidP="00664299">
            <w:pPr>
              <w:pStyle w:val="Tabletext"/>
              <w:jc w:val="left"/>
              <w:rPr>
                <w:lang w:val="fr-CH"/>
              </w:rPr>
            </w:pPr>
            <w:r w:rsidRPr="00CA3220">
              <w:rPr>
                <w:lang w:val="fr-CH"/>
              </w:rPr>
              <w:t>Protégée contre les noeuds malveillants</w:t>
            </w:r>
          </w:p>
        </w:tc>
      </w:tr>
      <w:tr w:rsidR="00DE31BE" w:rsidRPr="00CA3220" w:rsidTr="002E2F10">
        <w:trPr>
          <w:cantSplit/>
        </w:trPr>
        <w:tc>
          <w:tcPr>
            <w:tcW w:w="3823" w:type="dxa"/>
          </w:tcPr>
          <w:p w:rsidR="00DE31BE" w:rsidRPr="00CA3220" w:rsidRDefault="00DE31BE" w:rsidP="00664299">
            <w:pPr>
              <w:pStyle w:val="Tabletext"/>
              <w:jc w:val="left"/>
              <w:rPr>
                <w:lang w:val="fr-CH"/>
              </w:rPr>
            </w:pPr>
            <w:r w:rsidRPr="00CA3220">
              <w:rPr>
                <w:lang w:val="fr-CH"/>
              </w:rPr>
              <w:t>Identification unique de l'équipement</w:t>
            </w:r>
          </w:p>
        </w:tc>
        <w:tc>
          <w:tcPr>
            <w:tcW w:w="5806" w:type="dxa"/>
          </w:tcPr>
          <w:p w:rsidR="00DE31BE" w:rsidRPr="00CA3220" w:rsidRDefault="00DE31BE" w:rsidP="00664299">
            <w:pPr>
              <w:pStyle w:val="Tabletext"/>
              <w:jc w:val="left"/>
              <w:rPr>
                <w:lang w:val="fr-CH"/>
              </w:rPr>
            </w:pPr>
            <w:r w:rsidRPr="00CA3220">
              <w:rPr>
                <w:lang w:val="fr-CH"/>
              </w:rPr>
              <w:t>Oui</w:t>
            </w:r>
          </w:p>
        </w:tc>
      </w:tr>
    </w:tbl>
    <w:p w:rsidR="00DE31BE" w:rsidRPr="00CA3220" w:rsidRDefault="00DE31BE" w:rsidP="00664299">
      <w:pPr>
        <w:pStyle w:val="Tablefin"/>
        <w:rPr>
          <w:lang w:val="fr-CH"/>
        </w:rPr>
      </w:pPr>
    </w:p>
    <w:p w:rsidR="00DE31BE" w:rsidRPr="00CA3220" w:rsidRDefault="00DE31BE" w:rsidP="00664299">
      <w:pPr>
        <w:pStyle w:val="TableNo"/>
        <w:rPr>
          <w:lang w:val="fr-CH"/>
        </w:rPr>
      </w:pPr>
      <w:r w:rsidRPr="00CA3220">
        <w:rPr>
          <w:lang w:val="fr-CH"/>
        </w:rPr>
        <w:lastRenderedPageBreak/>
        <w:t>TABLEAU A1.5</w:t>
      </w:r>
    </w:p>
    <w:p w:rsidR="00DE31BE" w:rsidRPr="00CA3220" w:rsidRDefault="00DE31BE" w:rsidP="00664299">
      <w:pPr>
        <w:pStyle w:val="Tabletitle"/>
        <w:rPr>
          <w:lang w:val="fr-CH"/>
        </w:rPr>
      </w:pPr>
      <w:r w:rsidRPr="00CA3220">
        <w:rPr>
          <w:lang w:val="fr-CH"/>
        </w:rPr>
        <w:t>Fonctionnalités techniques et opérationnelles de la norme IEEE 802.22</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1"/>
        <w:gridCol w:w="5108"/>
      </w:tblGrid>
      <w:tr w:rsidR="00DE31BE" w:rsidRPr="00CA3220" w:rsidTr="00D166E9">
        <w:trPr>
          <w:cantSplit/>
        </w:trPr>
        <w:tc>
          <w:tcPr>
            <w:tcW w:w="4531" w:type="dxa"/>
          </w:tcPr>
          <w:p w:rsidR="00DE31BE" w:rsidRPr="00CA3220" w:rsidRDefault="00DE31BE" w:rsidP="00664299">
            <w:pPr>
              <w:pStyle w:val="Tablehead"/>
              <w:rPr>
                <w:lang w:val="fr-CH"/>
              </w:rPr>
            </w:pPr>
            <w:r w:rsidRPr="00CA3220">
              <w:rPr>
                <w:lang w:val="fr-CH"/>
              </w:rPr>
              <w:t xml:space="preserve">Fonction </w:t>
            </w:r>
          </w:p>
        </w:tc>
        <w:tc>
          <w:tcPr>
            <w:tcW w:w="5108" w:type="dxa"/>
          </w:tcPr>
          <w:p w:rsidR="00DE31BE" w:rsidRPr="00CA3220" w:rsidRDefault="00DE31BE" w:rsidP="00664299">
            <w:pPr>
              <w:pStyle w:val="Tablehead"/>
              <w:rPr>
                <w:lang w:val="fr-CH"/>
              </w:rPr>
            </w:pPr>
            <w:r w:rsidRPr="00CA3220">
              <w:rPr>
                <w:lang w:val="fr-CH"/>
              </w:rPr>
              <w:t>Valeur</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Bandes de fréquences prises en charges (avec ou sans licence)</w:t>
            </w:r>
          </w:p>
        </w:tc>
        <w:tc>
          <w:tcPr>
            <w:tcW w:w="5108" w:type="dxa"/>
          </w:tcPr>
          <w:p w:rsidR="00DE31BE" w:rsidRPr="00CA3220" w:rsidRDefault="00DE31BE" w:rsidP="00664299">
            <w:pPr>
              <w:pStyle w:val="Tabletext"/>
              <w:jc w:val="left"/>
              <w:rPr>
                <w:lang w:val="fr-CH"/>
              </w:rPr>
            </w:pPr>
            <w:r w:rsidRPr="00CA3220">
              <w:rPr>
                <w:lang w:val="fr-CH"/>
              </w:rPr>
              <w:t>54-862 MHz</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Portée opérationnelle nominale</w:t>
            </w:r>
          </w:p>
        </w:tc>
        <w:tc>
          <w:tcPr>
            <w:tcW w:w="5108" w:type="dxa"/>
          </w:tcPr>
          <w:p w:rsidR="00DE31BE" w:rsidRPr="00CA3220" w:rsidRDefault="00DE31BE" w:rsidP="00664299">
            <w:pPr>
              <w:pStyle w:val="Tabletext"/>
              <w:jc w:val="left"/>
              <w:rPr>
                <w:lang w:val="fr-CH"/>
              </w:rPr>
            </w:pPr>
            <w:r w:rsidRPr="00CA3220">
              <w:rPr>
                <w:lang w:val="fr-CH"/>
              </w:rPr>
              <w:t>Optimisée pour une portée allant jusqu'à 30 km dans un environnement point à multipoint type, fonctionnelle jusqu'à 100 km</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 xml:space="preserve">Fonctionnalités de mobilité (nomade/mobile) </w:t>
            </w:r>
          </w:p>
        </w:tc>
        <w:tc>
          <w:tcPr>
            <w:tcW w:w="5108" w:type="dxa"/>
          </w:tcPr>
          <w:p w:rsidR="00DE31BE" w:rsidRPr="00CA3220" w:rsidRDefault="00DE31BE" w:rsidP="00664299">
            <w:pPr>
              <w:pStyle w:val="Tabletext"/>
              <w:jc w:val="left"/>
              <w:rPr>
                <w:lang w:val="fr-CH"/>
              </w:rPr>
            </w:pPr>
            <w:r w:rsidRPr="00CA3220">
              <w:rPr>
                <w:lang w:val="fr-CH"/>
              </w:rPr>
              <w:t>Nomade et mobile</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Débit de données maximal (sens amont/sens aval si différents)</w:t>
            </w:r>
          </w:p>
        </w:tc>
        <w:tc>
          <w:tcPr>
            <w:tcW w:w="5108" w:type="dxa"/>
          </w:tcPr>
          <w:p w:rsidR="00DE31BE" w:rsidRPr="00CA3220" w:rsidRDefault="00DE31BE" w:rsidP="00664299">
            <w:pPr>
              <w:pStyle w:val="Tabletext"/>
              <w:jc w:val="left"/>
              <w:rPr>
                <w:lang w:val="fr-CH"/>
              </w:rPr>
            </w:pPr>
            <w:r w:rsidRPr="00CA3220">
              <w:rPr>
                <w:lang w:val="fr-CH"/>
              </w:rPr>
              <w:t>22-29 Mb/s, supérieur à 40 Mb/s avec technique MIMO</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Méthode duplex (DRF, DRT, etc.)</w:t>
            </w:r>
          </w:p>
        </w:tc>
        <w:tc>
          <w:tcPr>
            <w:tcW w:w="5108" w:type="dxa"/>
          </w:tcPr>
          <w:p w:rsidR="00DE31BE" w:rsidRPr="00CA3220" w:rsidRDefault="00DE31BE" w:rsidP="00664299">
            <w:pPr>
              <w:pStyle w:val="Tabletext"/>
              <w:jc w:val="left"/>
              <w:rPr>
                <w:lang w:val="fr-CH"/>
              </w:rPr>
            </w:pPr>
            <w:r w:rsidRPr="00CA3220">
              <w:rPr>
                <w:lang w:val="fr-CH"/>
              </w:rPr>
              <w:t>DRT</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Largueur de bande RF nominale</w:t>
            </w:r>
          </w:p>
        </w:tc>
        <w:tc>
          <w:tcPr>
            <w:tcW w:w="5108" w:type="dxa"/>
          </w:tcPr>
          <w:p w:rsidR="00DE31BE" w:rsidRPr="00CA3220" w:rsidRDefault="00DE31BE" w:rsidP="00664299">
            <w:pPr>
              <w:pStyle w:val="Tabletext"/>
              <w:jc w:val="left"/>
              <w:rPr>
                <w:lang w:val="fr-CH"/>
              </w:rPr>
            </w:pPr>
            <w:r w:rsidRPr="00CA3220">
              <w:rPr>
                <w:lang w:val="fr-CH"/>
              </w:rPr>
              <w:t>6, 7 ou 8 MHz</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Techniques de diversité</w:t>
            </w:r>
          </w:p>
        </w:tc>
        <w:tc>
          <w:tcPr>
            <w:tcW w:w="5108" w:type="dxa"/>
          </w:tcPr>
          <w:p w:rsidR="00DE31BE" w:rsidRPr="00CA3220" w:rsidRDefault="00DE31BE" w:rsidP="00664299">
            <w:pPr>
              <w:pStyle w:val="Tabletext"/>
              <w:jc w:val="left"/>
              <w:rPr>
                <w:lang w:val="fr-CH"/>
              </w:rPr>
            </w:pPr>
            <w:r w:rsidRPr="00CA3220">
              <w:rPr>
                <w:lang w:val="fr-CH"/>
              </w:rPr>
              <w:t>Spatiale, temporelle, codes par bloc, multiplexage spatial</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Prise en charge de la technique MIMO (oui/non)</w:t>
            </w:r>
          </w:p>
        </w:tc>
        <w:tc>
          <w:tcPr>
            <w:tcW w:w="5108" w:type="dxa"/>
          </w:tcPr>
          <w:p w:rsidR="00DE31BE" w:rsidRPr="00CA3220" w:rsidRDefault="00DE31BE" w:rsidP="00664299">
            <w:pPr>
              <w:pStyle w:val="Tabletext"/>
              <w:jc w:val="left"/>
              <w:rPr>
                <w:lang w:val="fr-CH"/>
              </w:rPr>
            </w:pPr>
            <w:r w:rsidRPr="00CA3220">
              <w:rPr>
                <w:lang w:val="fr-CH"/>
              </w:rPr>
              <w:t>Oui</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Orientation/conformation du faisceau</w:t>
            </w:r>
          </w:p>
        </w:tc>
        <w:tc>
          <w:tcPr>
            <w:tcW w:w="5108" w:type="dxa"/>
          </w:tcPr>
          <w:p w:rsidR="00DE31BE" w:rsidRPr="00CA3220" w:rsidRDefault="00DE31BE" w:rsidP="00664299">
            <w:pPr>
              <w:pStyle w:val="Tabletext"/>
              <w:jc w:val="left"/>
              <w:rPr>
                <w:lang w:val="fr-CH"/>
              </w:rPr>
            </w:pPr>
            <w:r w:rsidRPr="00CA3220">
              <w:rPr>
                <w:lang w:val="fr-CH"/>
              </w:rPr>
              <w:t>Oui</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Retransmission</w:t>
            </w:r>
          </w:p>
        </w:tc>
        <w:tc>
          <w:tcPr>
            <w:tcW w:w="5108" w:type="dxa"/>
          </w:tcPr>
          <w:p w:rsidR="00DE31BE" w:rsidRPr="00CA3220" w:rsidRDefault="00DE31BE" w:rsidP="00664299">
            <w:pPr>
              <w:pStyle w:val="Tabletext"/>
              <w:jc w:val="left"/>
              <w:rPr>
                <w:lang w:val="fr-CH"/>
              </w:rPr>
            </w:pPr>
            <w:r w:rsidRPr="00CA3220">
              <w:rPr>
                <w:lang w:val="fr-CH"/>
              </w:rPr>
              <w:t>ARQ, HARQ</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Correction d'erreur directe</w:t>
            </w:r>
          </w:p>
        </w:tc>
        <w:tc>
          <w:tcPr>
            <w:tcW w:w="5108" w:type="dxa"/>
          </w:tcPr>
          <w:p w:rsidR="00DE31BE" w:rsidRPr="00CA3220" w:rsidRDefault="00DE31BE" w:rsidP="00664299">
            <w:pPr>
              <w:pStyle w:val="Tabletext"/>
              <w:jc w:val="left"/>
              <w:rPr>
                <w:lang w:val="fr-CH"/>
              </w:rPr>
            </w:pPr>
            <w:r w:rsidRPr="00CA3220">
              <w:rPr>
                <w:lang w:val="fr-CH"/>
              </w:rPr>
              <w:t>Convolutionnelle, Turbo et LDPC</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Gestion des brouillages</w:t>
            </w:r>
          </w:p>
        </w:tc>
        <w:tc>
          <w:tcPr>
            <w:tcW w:w="5108" w:type="dxa"/>
          </w:tcPr>
          <w:p w:rsidR="00DE31BE" w:rsidRPr="00CA3220" w:rsidRDefault="00DE31BE" w:rsidP="00664299">
            <w:pPr>
              <w:pStyle w:val="Tabletext"/>
              <w:jc w:val="left"/>
              <w:rPr>
                <w:lang w:val="fr-CH"/>
              </w:rPr>
            </w:pPr>
            <w:r w:rsidRPr="00CA3220">
              <w:rPr>
                <w:lang w:val="fr-CH"/>
              </w:rPr>
              <w:t>Oui</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Gestion de la puissance</w:t>
            </w:r>
          </w:p>
        </w:tc>
        <w:tc>
          <w:tcPr>
            <w:tcW w:w="5108" w:type="dxa"/>
          </w:tcPr>
          <w:p w:rsidR="00DE31BE" w:rsidRPr="00CA3220" w:rsidRDefault="00DE31BE" w:rsidP="00664299">
            <w:pPr>
              <w:pStyle w:val="Tabletext"/>
              <w:jc w:val="left"/>
              <w:rPr>
                <w:lang w:val="fr-CH"/>
              </w:rPr>
            </w:pPr>
            <w:r w:rsidRPr="00CA3220">
              <w:rPr>
                <w:lang w:val="fr-CH"/>
              </w:rPr>
              <w:t>Oui, différents états de faible puissance</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Topologie de connexion</w:t>
            </w:r>
          </w:p>
        </w:tc>
        <w:tc>
          <w:tcPr>
            <w:tcW w:w="5108" w:type="dxa"/>
          </w:tcPr>
          <w:p w:rsidR="00DE31BE" w:rsidRPr="00CA3220" w:rsidRDefault="00DE31BE" w:rsidP="00664299">
            <w:pPr>
              <w:pStyle w:val="Tabletext"/>
              <w:jc w:val="left"/>
              <w:rPr>
                <w:lang w:val="fr-CH"/>
              </w:rPr>
            </w:pPr>
            <w:r w:rsidRPr="00CA3220">
              <w:rPr>
                <w:lang w:val="fr-CH"/>
              </w:rPr>
              <w:t>Point à multipoint</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Méthodes d'accès au support</w:t>
            </w:r>
          </w:p>
        </w:tc>
        <w:tc>
          <w:tcPr>
            <w:tcW w:w="5108" w:type="dxa"/>
          </w:tcPr>
          <w:p w:rsidR="00DE31BE" w:rsidRPr="00CA3220" w:rsidRDefault="00DE31BE" w:rsidP="00664299">
            <w:pPr>
              <w:pStyle w:val="Tabletext"/>
              <w:jc w:val="left"/>
              <w:rPr>
                <w:lang w:val="fr-CH"/>
              </w:rPr>
            </w:pPr>
            <w:r w:rsidRPr="00CA3220">
              <w:rPr>
                <w:lang w:val="fr-CH"/>
              </w:rPr>
              <w:t>TDMA/TDD OFDMA, MAC fondé sur la réservation</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Méthodes d'accès multiple</w:t>
            </w:r>
          </w:p>
        </w:tc>
        <w:tc>
          <w:tcPr>
            <w:tcW w:w="5108" w:type="dxa"/>
          </w:tcPr>
          <w:p w:rsidR="00DE31BE" w:rsidRPr="00CA3220" w:rsidRDefault="00DE31BE" w:rsidP="00664299">
            <w:pPr>
              <w:pStyle w:val="Tabletext"/>
              <w:jc w:val="left"/>
              <w:rPr>
                <w:lang w:val="fr-CH"/>
              </w:rPr>
            </w:pPr>
            <w:r w:rsidRPr="00CA3220">
              <w:rPr>
                <w:lang w:val="fr-CH"/>
              </w:rPr>
              <w:t>OFDMA</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Découverte et méthode d'association</w:t>
            </w:r>
          </w:p>
        </w:tc>
        <w:tc>
          <w:tcPr>
            <w:tcW w:w="5108" w:type="dxa"/>
          </w:tcPr>
          <w:p w:rsidR="00DE31BE" w:rsidRPr="00CA3220" w:rsidRDefault="00DE31BE" w:rsidP="00664299">
            <w:pPr>
              <w:pStyle w:val="Tabletext"/>
              <w:jc w:val="left"/>
              <w:rPr>
                <w:lang w:val="fr-CH"/>
              </w:rPr>
            </w:pPr>
            <w:r w:rsidRPr="00CA3220">
              <w:rPr>
                <w:lang w:val="fr-CH"/>
              </w:rPr>
              <w:t>Oui, via ID MAC, CID et SFID de l'équipement</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Méthodes de qualité de service</w:t>
            </w:r>
          </w:p>
        </w:tc>
        <w:tc>
          <w:tcPr>
            <w:tcW w:w="5108" w:type="dxa"/>
          </w:tcPr>
          <w:p w:rsidR="00DE31BE" w:rsidRPr="00CA3220" w:rsidRDefault="00DE31BE" w:rsidP="00664299">
            <w:pPr>
              <w:pStyle w:val="Tabletext"/>
              <w:jc w:val="left"/>
              <w:rPr>
                <w:lang w:val="fr-CH"/>
              </w:rPr>
            </w:pPr>
            <w:r w:rsidRPr="00CA3220">
              <w:rPr>
                <w:lang w:val="fr-CH"/>
              </w:rPr>
              <w:t>Différentiation de la qualité de service (5 classes prises en charge) et prise en charge de la qualité de service orientée connexion</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Détection de l'emplacement</w:t>
            </w:r>
          </w:p>
        </w:tc>
        <w:tc>
          <w:tcPr>
            <w:tcW w:w="5108" w:type="dxa"/>
          </w:tcPr>
          <w:p w:rsidR="00DE31BE" w:rsidRPr="00CA3220" w:rsidRDefault="00DE31BE" w:rsidP="00664299">
            <w:pPr>
              <w:pStyle w:val="Tabletext"/>
              <w:jc w:val="left"/>
              <w:rPr>
                <w:lang w:val="fr-CH"/>
              </w:rPr>
            </w:pPr>
            <w:r w:rsidRPr="00CA3220">
              <w:rPr>
                <w:lang w:val="fr-CH"/>
              </w:rPr>
              <w:t>Géolocalisation</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Télémétrie</w:t>
            </w:r>
          </w:p>
        </w:tc>
        <w:tc>
          <w:tcPr>
            <w:tcW w:w="5108" w:type="dxa"/>
          </w:tcPr>
          <w:p w:rsidR="00DE31BE" w:rsidRPr="00CA3220" w:rsidRDefault="00DE31BE" w:rsidP="00664299">
            <w:pPr>
              <w:pStyle w:val="Tabletext"/>
              <w:jc w:val="left"/>
              <w:rPr>
                <w:lang w:val="fr-CH"/>
              </w:rPr>
            </w:pPr>
            <w:r w:rsidRPr="00CA3220">
              <w:rPr>
                <w:lang w:val="fr-CH"/>
              </w:rPr>
              <w:t>Oui</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Chiffrement</w:t>
            </w:r>
          </w:p>
        </w:tc>
        <w:tc>
          <w:tcPr>
            <w:tcW w:w="5108" w:type="dxa"/>
          </w:tcPr>
          <w:p w:rsidR="00DE31BE" w:rsidRPr="00CA3220" w:rsidRDefault="00DE31BE" w:rsidP="00664299">
            <w:pPr>
              <w:pStyle w:val="Tabletext"/>
              <w:jc w:val="left"/>
              <w:rPr>
                <w:lang w:val="fr-CH"/>
              </w:rPr>
            </w:pPr>
            <w:r w:rsidRPr="00CA3220">
              <w:rPr>
                <w:lang w:val="fr-CH"/>
              </w:rPr>
              <w:t>AES128 – CCM, ECC et TLS</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Authentification/protection contre les réexécutions</w:t>
            </w:r>
          </w:p>
        </w:tc>
        <w:tc>
          <w:tcPr>
            <w:tcW w:w="5108" w:type="dxa"/>
          </w:tcPr>
          <w:p w:rsidR="00DE31BE" w:rsidRPr="00CA3220" w:rsidRDefault="00DE31BE" w:rsidP="00664299">
            <w:pPr>
              <w:pStyle w:val="Tabletext"/>
              <w:jc w:val="left"/>
              <w:rPr>
                <w:lang w:val="fr-CH"/>
              </w:rPr>
            </w:pPr>
            <w:r w:rsidRPr="00CA3220">
              <w:rPr>
                <w:lang w:val="fr-CH"/>
              </w:rPr>
              <w:t>AES128 – CCM, ECC, EAP et TLS, protection contre les réexécution par chiffrement, authentification et étiquetage des paquets.</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Echange de clés</w:t>
            </w:r>
          </w:p>
        </w:tc>
        <w:tc>
          <w:tcPr>
            <w:tcW w:w="5108" w:type="dxa"/>
          </w:tcPr>
          <w:p w:rsidR="00DE31BE" w:rsidRPr="00CA3220" w:rsidRDefault="00DE31BE" w:rsidP="00664299">
            <w:pPr>
              <w:pStyle w:val="Tabletext"/>
              <w:jc w:val="left"/>
              <w:rPr>
                <w:lang w:val="fr-CH"/>
              </w:rPr>
            </w:pPr>
            <w:r w:rsidRPr="00CA3220">
              <w:rPr>
                <w:lang w:val="fr-CH"/>
              </w:rPr>
              <w:t>Oui, PKMv2</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Détection des noeuds malveillants</w:t>
            </w:r>
          </w:p>
        </w:tc>
        <w:tc>
          <w:tcPr>
            <w:tcW w:w="5108" w:type="dxa"/>
          </w:tcPr>
          <w:p w:rsidR="00DE31BE" w:rsidRPr="00CA3220" w:rsidRDefault="00DE31BE" w:rsidP="00664299">
            <w:pPr>
              <w:pStyle w:val="Tabletext"/>
              <w:jc w:val="left"/>
              <w:rPr>
                <w:lang w:val="fr-CH"/>
              </w:rPr>
            </w:pPr>
            <w:r w:rsidRPr="00CA3220">
              <w:rPr>
                <w:lang w:val="fr-CH"/>
              </w:rPr>
              <w:t>Oui</w:t>
            </w:r>
          </w:p>
        </w:tc>
      </w:tr>
      <w:tr w:rsidR="00DE31BE" w:rsidRPr="00CA3220" w:rsidTr="00D166E9">
        <w:trPr>
          <w:cantSplit/>
        </w:trPr>
        <w:tc>
          <w:tcPr>
            <w:tcW w:w="4531" w:type="dxa"/>
          </w:tcPr>
          <w:p w:rsidR="00DE31BE" w:rsidRPr="00CA3220" w:rsidRDefault="00DE31BE" w:rsidP="00664299">
            <w:pPr>
              <w:pStyle w:val="Tabletext"/>
              <w:jc w:val="left"/>
              <w:rPr>
                <w:lang w:val="fr-CH"/>
              </w:rPr>
            </w:pPr>
            <w:r w:rsidRPr="00CA3220">
              <w:rPr>
                <w:lang w:val="fr-CH"/>
              </w:rPr>
              <w:t>Identification unique de l'équipement</w:t>
            </w:r>
          </w:p>
        </w:tc>
        <w:tc>
          <w:tcPr>
            <w:tcW w:w="5108" w:type="dxa"/>
          </w:tcPr>
          <w:p w:rsidR="00DE31BE" w:rsidRPr="00CA3220" w:rsidRDefault="00DE31BE" w:rsidP="00D166E9">
            <w:pPr>
              <w:pStyle w:val="Tabletext"/>
              <w:jc w:val="left"/>
              <w:rPr>
                <w:lang w:val="fr-CH"/>
              </w:rPr>
            </w:pPr>
            <w:r w:rsidRPr="00CA3220">
              <w:rPr>
                <w:lang w:val="fr-CH"/>
              </w:rPr>
              <w:t>Identifiant unique de l'équipement à 48 bits, certificat</w:t>
            </w:r>
            <w:r w:rsidR="00D166E9">
              <w:rPr>
                <w:lang w:val="fr-CH"/>
              </w:rPr>
              <w:t> </w:t>
            </w:r>
            <w:r w:rsidRPr="00CA3220">
              <w:rPr>
                <w:lang w:val="fr-CH"/>
              </w:rPr>
              <w:t xml:space="preserve">X.509 </w:t>
            </w:r>
          </w:p>
        </w:tc>
      </w:tr>
    </w:tbl>
    <w:p w:rsidR="00DE31BE" w:rsidRPr="00CA3220" w:rsidRDefault="00DE31BE" w:rsidP="00664299">
      <w:pPr>
        <w:pStyle w:val="Tablefin"/>
        <w:rPr>
          <w:lang w:val="fr-CH"/>
        </w:rPr>
      </w:pPr>
    </w:p>
    <w:p w:rsidR="00EF75D3" w:rsidRPr="00CA3220" w:rsidRDefault="00EF75D3">
      <w:pPr>
        <w:tabs>
          <w:tab w:val="clear" w:pos="794"/>
          <w:tab w:val="clear" w:pos="1191"/>
          <w:tab w:val="clear" w:pos="1588"/>
          <w:tab w:val="clear" w:pos="1985"/>
        </w:tabs>
        <w:overflowPunct/>
        <w:autoSpaceDE/>
        <w:autoSpaceDN/>
        <w:adjustRightInd/>
        <w:spacing w:before="0"/>
        <w:jc w:val="left"/>
        <w:textAlignment w:val="auto"/>
        <w:rPr>
          <w:b/>
          <w:lang w:val="fr-CH"/>
        </w:rPr>
      </w:pPr>
      <w:bookmarkStart w:id="122" w:name="_Toc438029892"/>
      <w:bookmarkStart w:id="123" w:name="_Toc440533907"/>
      <w:r w:rsidRPr="00CA3220">
        <w:rPr>
          <w:lang w:val="fr-CH"/>
        </w:rPr>
        <w:br w:type="page"/>
      </w:r>
    </w:p>
    <w:p w:rsidR="00DE31BE" w:rsidRPr="00CA3220" w:rsidRDefault="00DE31BE" w:rsidP="00664299">
      <w:pPr>
        <w:pStyle w:val="Heading2"/>
        <w:rPr>
          <w:lang w:val="fr-CH"/>
        </w:rPr>
      </w:pPr>
      <w:bookmarkStart w:id="124" w:name="_Toc498437778"/>
      <w:bookmarkStart w:id="125" w:name="_Toc498500118"/>
      <w:bookmarkStart w:id="126" w:name="_Toc498500369"/>
      <w:bookmarkStart w:id="127" w:name="_Toc498516134"/>
      <w:r w:rsidRPr="00CA3220">
        <w:rPr>
          <w:lang w:val="fr-CH"/>
        </w:rPr>
        <w:lastRenderedPageBreak/>
        <w:t>A1.2</w:t>
      </w:r>
      <w:r w:rsidRPr="00CA3220">
        <w:rPr>
          <w:lang w:val="fr-CH"/>
        </w:rPr>
        <w:tab/>
        <w:t>Normes UIT-T</w:t>
      </w:r>
      <w:bookmarkEnd w:id="122"/>
      <w:bookmarkEnd w:id="123"/>
      <w:bookmarkEnd w:id="124"/>
      <w:bookmarkEnd w:id="125"/>
      <w:bookmarkEnd w:id="126"/>
      <w:bookmarkEnd w:id="127"/>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Les Recommandations UIT-T de la série G.990x (UIT</w:t>
      </w:r>
      <w:r w:rsidRPr="00CA3220">
        <w:rPr>
          <w:rFonts w:asciiTheme="majorBidi" w:hAnsiTheme="majorBidi" w:cstheme="majorBidi"/>
          <w:szCs w:val="24"/>
          <w:lang w:val="fr-CH"/>
        </w:rPr>
        <w:noBreakHyphen/>
        <w:t>T G.9901, UIT</w:t>
      </w:r>
      <w:r w:rsidRPr="00CA3220">
        <w:rPr>
          <w:rFonts w:asciiTheme="majorBidi" w:hAnsiTheme="majorBidi" w:cstheme="majorBidi"/>
          <w:szCs w:val="24"/>
          <w:lang w:val="fr-CH"/>
        </w:rPr>
        <w:noBreakHyphen/>
        <w:t>T G.9902, UIT</w:t>
      </w:r>
      <w:r w:rsidRPr="00CA3220">
        <w:rPr>
          <w:rFonts w:asciiTheme="majorBidi" w:hAnsiTheme="majorBidi" w:cstheme="majorBidi"/>
          <w:szCs w:val="24"/>
          <w:lang w:val="fr-CH"/>
        </w:rPr>
        <w:noBreakHyphen/>
        <w:t>T G.9903, UIT</w:t>
      </w:r>
      <w:r w:rsidRPr="00CA3220">
        <w:rPr>
          <w:rFonts w:asciiTheme="majorBidi" w:hAnsiTheme="majorBidi" w:cstheme="majorBidi"/>
          <w:szCs w:val="24"/>
          <w:lang w:val="fr-CH"/>
        </w:rPr>
        <w:noBreakHyphen/>
        <w:t>T G.9904) relatives aux courants porteurs en ligne à bande étroite ont été élaborées pour prendre en charge la connectivité et les communications pour réseaux intelligents. On trouvera dans les tableaux ci-après un récapitulatif des fonctionnalités techniques et opérationnelles des deux technologies de courants porteurs en ligne à bande étroite ayant fait leurs preuves, qui ont été définies à l'UIT</w:t>
      </w:r>
      <w:r w:rsidRPr="00CA3220">
        <w:rPr>
          <w:rFonts w:asciiTheme="majorBidi" w:hAnsiTheme="majorBidi" w:cstheme="majorBidi"/>
          <w:szCs w:val="24"/>
          <w:lang w:val="fr-CH"/>
        </w:rPr>
        <w:noBreakHyphen/>
        <w:t>T.</w:t>
      </w:r>
    </w:p>
    <w:p w:rsidR="00DE31BE" w:rsidRPr="00CA3220" w:rsidRDefault="00DE31BE" w:rsidP="00664299">
      <w:pPr>
        <w:pStyle w:val="TableNo"/>
        <w:rPr>
          <w:lang w:val="fr-CH"/>
        </w:rPr>
      </w:pPr>
      <w:r w:rsidRPr="00CA3220">
        <w:rPr>
          <w:lang w:val="fr-CH"/>
        </w:rPr>
        <w:t>TABLEAU A1.6</w:t>
      </w:r>
    </w:p>
    <w:p w:rsidR="00DE31BE" w:rsidRPr="00CA3220" w:rsidRDefault="00DE31BE" w:rsidP="00664299">
      <w:pPr>
        <w:pStyle w:val="Tabletitle"/>
        <w:rPr>
          <w:lang w:val="fr-CH"/>
        </w:rPr>
      </w:pPr>
      <w:r w:rsidRPr="00CA3220">
        <w:rPr>
          <w:lang w:val="fr-CH"/>
        </w:rPr>
        <w:t xml:space="preserve">Fonctionnalités techniques et opérationnelles des Recommandations </w:t>
      </w:r>
      <w:r w:rsidRPr="00CA3220">
        <w:rPr>
          <w:lang w:val="fr-CH"/>
        </w:rPr>
        <w:br/>
        <w:t>UIT-T G9903 et UIT-T G.9904</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4"/>
        <w:gridCol w:w="3222"/>
        <w:gridCol w:w="3183"/>
      </w:tblGrid>
      <w:tr w:rsidR="00DE31BE" w:rsidRPr="00CA3220" w:rsidTr="00A32342">
        <w:trPr>
          <w:cantSplit/>
        </w:trPr>
        <w:tc>
          <w:tcPr>
            <w:tcW w:w="0" w:type="auto"/>
            <w:shd w:val="clear" w:color="auto" w:fill="auto"/>
          </w:tcPr>
          <w:p w:rsidR="00DE31BE" w:rsidRPr="00CA3220" w:rsidRDefault="00DE31BE" w:rsidP="00664299">
            <w:pPr>
              <w:pStyle w:val="Tablehead"/>
              <w:rPr>
                <w:lang w:val="fr-CH"/>
              </w:rPr>
            </w:pPr>
            <w:r w:rsidRPr="00CA3220">
              <w:rPr>
                <w:lang w:val="fr-CH"/>
              </w:rPr>
              <w:t>Fonction</w:t>
            </w:r>
          </w:p>
        </w:tc>
        <w:tc>
          <w:tcPr>
            <w:tcW w:w="3222" w:type="dxa"/>
            <w:shd w:val="clear" w:color="auto" w:fill="auto"/>
          </w:tcPr>
          <w:p w:rsidR="00DE31BE" w:rsidRPr="00CA3220" w:rsidRDefault="00DE31BE" w:rsidP="00664299">
            <w:pPr>
              <w:pStyle w:val="Tablehead"/>
              <w:rPr>
                <w:lang w:val="fr-CH"/>
              </w:rPr>
            </w:pPr>
            <w:r w:rsidRPr="00CA3220">
              <w:rPr>
                <w:lang w:val="fr-CH"/>
              </w:rPr>
              <w:t>Valeur UIT</w:t>
            </w:r>
            <w:r w:rsidRPr="00CA3220">
              <w:rPr>
                <w:lang w:val="fr-CH"/>
              </w:rPr>
              <w:noBreakHyphen/>
              <w:t>T G.9903</w:t>
            </w:r>
          </w:p>
        </w:tc>
        <w:tc>
          <w:tcPr>
            <w:tcW w:w="3183" w:type="dxa"/>
            <w:shd w:val="clear" w:color="auto" w:fill="auto"/>
          </w:tcPr>
          <w:p w:rsidR="00DE31BE" w:rsidRPr="00CA3220" w:rsidRDefault="00DE31BE" w:rsidP="00664299">
            <w:pPr>
              <w:pStyle w:val="Tablehead"/>
              <w:rPr>
                <w:lang w:val="fr-CH"/>
              </w:rPr>
            </w:pPr>
            <w:r w:rsidRPr="00CA3220">
              <w:rPr>
                <w:lang w:val="fr-CH"/>
              </w:rPr>
              <w:t>Valeur UIT</w:t>
            </w:r>
            <w:r w:rsidRPr="00CA3220">
              <w:rPr>
                <w:lang w:val="fr-CH"/>
              </w:rPr>
              <w:noBreakHyphen/>
              <w:t>T G.9904</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Bandes de fréquences prises en charge </w:t>
            </w:r>
          </w:p>
        </w:tc>
        <w:tc>
          <w:tcPr>
            <w:tcW w:w="3222" w:type="dxa"/>
            <w:shd w:val="clear" w:color="auto" w:fill="auto"/>
          </w:tcPr>
          <w:p w:rsidR="00DE31BE" w:rsidRPr="00CA3220" w:rsidRDefault="00DE31BE" w:rsidP="00664299">
            <w:pPr>
              <w:pStyle w:val="Tabletext"/>
              <w:jc w:val="left"/>
              <w:rPr>
                <w:lang w:val="fr-CH"/>
              </w:rPr>
            </w:pPr>
            <w:r w:rsidRPr="00CA3220">
              <w:rPr>
                <w:lang w:val="fr-CH"/>
              </w:rPr>
              <w:t>35-488 kHz</w:t>
            </w:r>
          </w:p>
        </w:tc>
        <w:tc>
          <w:tcPr>
            <w:tcW w:w="3183" w:type="dxa"/>
            <w:shd w:val="clear" w:color="auto" w:fill="auto"/>
          </w:tcPr>
          <w:p w:rsidR="00DE31BE" w:rsidRPr="00CA3220" w:rsidRDefault="00DE31BE" w:rsidP="00664299">
            <w:pPr>
              <w:pStyle w:val="Tabletext"/>
              <w:jc w:val="left"/>
              <w:rPr>
                <w:lang w:val="fr-CH"/>
              </w:rPr>
            </w:pPr>
            <w:r w:rsidRPr="00CA3220">
              <w:rPr>
                <w:lang w:val="fr-CH"/>
              </w:rPr>
              <w:t>42-89 kHz</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Débit maximal </w:t>
            </w:r>
          </w:p>
        </w:tc>
        <w:tc>
          <w:tcPr>
            <w:tcW w:w="3222" w:type="dxa"/>
            <w:shd w:val="clear" w:color="auto" w:fill="auto"/>
          </w:tcPr>
          <w:p w:rsidR="00DE31BE" w:rsidRPr="00CA3220" w:rsidRDefault="00DE31BE" w:rsidP="00664299">
            <w:pPr>
              <w:pStyle w:val="Tabletext"/>
              <w:jc w:val="left"/>
              <w:rPr>
                <w:lang w:val="fr-CH"/>
              </w:rPr>
            </w:pPr>
            <w:r w:rsidRPr="00CA3220">
              <w:rPr>
                <w:lang w:val="fr-CH"/>
              </w:rPr>
              <w:t>42 kbit/s</w:t>
            </w:r>
          </w:p>
        </w:tc>
        <w:tc>
          <w:tcPr>
            <w:tcW w:w="3183" w:type="dxa"/>
            <w:shd w:val="clear" w:color="auto" w:fill="auto"/>
          </w:tcPr>
          <w:p w:rsidR="00DE31BE" w:rsidRPr="00CA3220" w:rsidRDefault="00DE31BE" w:rsidP="00664299">
            <w:pPr>
              <w:pStyle w:val="Tabletext"/>
              <w:jc w:val="left"/>
              <w:rPr>
                <w:lang w:val="fr-CH"/>
              </w:rPr>
            </w:pPr>
            <w:r w:rsidRPr="00CA3220">
              <w:rPr>
                <w:lang w:val="fr-CH"/>
              </w:rPr>
              <w:t>128 kbit/s</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Méthodes d'accès multiple</w:t>
            </w:r>
          </w:p>
        </w:tc>
        <w:tc>
          <w:tcPr>
            <w:tcW w:w="3222" w:type="dxa"/>
            <w:shd w:val="clear" w:color="auto" w:fill="auto"/>
          </w:tcPr>
          <w:p w:rsidR="00DE31BE" w:rsidRPr="00CA3220" w:rsidRDefault="00DE31BE" w:rsidP="00664299">
            <w:pPr>
              <w:pStyle w:val="Tabletext"/>
              <w:jc w:val="left"/>
              <w:rPr>
                <w:lang w:val="fr-CH"/>
              </w:rPr>
            </w:pPr>
            <w:r w:rsidRPr="00CA3220">
              <w:rPr>
                <w:lang w:val="fr-CH"/>
              </w:rPr>
              <w:t>OFDM</w:t>
            </w:r>
          </w:p>
        </w:tc>
        <w:tc>
          <w:tcPr>
            <w:tcW w:w="3183" w:type="dxa"/>
            <w:shd w:val="clear" w:color="auto" w:fill="auto"/>
          </w:tcPr>
          <w:p w:rsidR="00DE31BE" w:rsidRPr="00CA3220" w:rsidRDefault="00DE31BE" w:rsidP="00664299">
            <w:pPr>
              <w:pStyle w:val="Tabletext"/>
              <w:jc w:val="left"/>
              <w:rPr>
                <w:lang w:val="fr-CH"/>
              </w:rPr>
            </w:pPr>
            <w:r w:rsidRPr="00CA3220">
              <w:rPr>
                <w:lang w:val="fr-CH"/>
              </w:rPr>
              <w:t>OFDM</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Correction d'erreur directe </w:t>
            </w:r>
          </w:p>
        </w:tc>
        <w:tc>
          <w:tcPr>
            <w:tcW w:w="3222" w:type="dxa"/>
            <w:shd w:val="clear" w:color="auto" w:fill="auto"/>
          </w:tcPr>
          <w:p w:rsidR="00DE31BE" w:rsidRPr="00CA3220" w:rsidRDefault="00DE31BE" w:rsidP="00664299">
            <w:pPr>
              <w:pStyle w:val="Tabletext"/>
              <w:jc w:val="left"/>
              <w:rPr>
                <w:lang w:val="fr-CH"/>
              </w:rPr>
            </w:pPr>
            <w:r w:rsidRPr="00CA3220">
              <w:rPr>
                <w:lang w:val="fr-CH"/>
              </w:rPr>
              <w:t>Reed Solomon, convolutionnelle, embrouilleur, entrelaceur, code de répétition</w:t>
            </w:r>
          </w:p>
        </w:tc>
        <w:tc>
          <w:tcPr>
            <w:tcW w:w="3183" w:type="dxa"/>
            <w:shd w:val="clear" w:color="auto" w:fill="auto"/>
          </w:tcPr>
          <w:p w:rsidR="00DE31BE" w:rsidRPr="00CA3220" w:rsidRDefault="00DE31BE" w:rsidP="00664299">
            <w:pPr>
              <w:pStyle w:val="Tabletext"/>
              <w:jc w:val="left"/>
              <w:rPr>
                <w:lang w:val="fr-CH"/>
              </w:rPr>
            </w:pPr>
            <w:r w:rsidRPr="00CA3220">
              <w:rPr>
                <w:lang w:val="fr-CH"/>
              </w:rPr>
              <w:t>Convolutionnelle, embrouilleur, entrelaceur</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Topologie de réseau </w:t>
            </w:r>
          </w:p>
        </w:tc>
        <w:tc>
          <w:tcPr>
            <w:tcW w:w="3222" w:type="dxa"/>
            <w:shd w:val="clear" w:color="auto" w:fill="auto"/>
          </w:tcPr>
          <w:p w:rsidR="00DE31BE" w:rsidRPr="00CA3220" w:rsidRDefault="00DE31BE" w:rsidP="00664299">
            <w:pPr>
              <w:pStyle w:val="Tabletext"/>
              <w:jc w:val="left"/>
              <w:rPr>
                <w:lang w:val="fr-CH"/>
              </w:rPr>
            </w:pPr>
            <w:r w:rsidRPr="00CA3220">
              <w:rPr>
                <w:lang w:val="fr-CH"/>
              </w:rPr>
              <w:t xml:space="preserve">Maillé </w:t>
            </w:r>
          </w:p>
        </w:tc>
        <w:tc>
          <w:tcPr>
            <w:tcW w:w="3183" w:type="dxa"/>
            <w:shd w:val="clear" w:color="auto" w:fill="auto"/>
          </w:tcPr>
          <w:p w:rsidR="00DE31BE" w:rsidRPr="00CA3220" w:rsidRDefault="00DE31BE" w:rsidP="00664299">
            <w:pPr>
              <w:pStyle w:val="Tabletext"/>
              <w:jc w:val="left"/>
              <w:rPr>
                <w:lang w:val="fr-CH"/>
              </w:rPr>
            </w:pPr>
            <w:r w:rsidRPr="00CA3220">
              <w:rPr>
                <w:lang w:val="fr-CH"/>
              </w:rPr>
              <w:t>Arborescence</w:t>
            </w:r>
          </w:p>
        </w:tc>
      </w:tr>
      <w:tr w:rsidR="00DE31BE" w:rsidRPr="00CA3220" w:rsidTr="00A32342">
        <w:trPr>
          <w:cantSplit/>
        </w:trPr>
        <w:tc>
          <w:tcPr>
            <w:tcW w:w="0" w:type="auto"/>
            <w:tcBorders>
              <w:bottom w:val="single" w:sz="4" w:space="0" w:color="000000"/>
            </w:tcBorders>
            <w:shd w:val="clear" w:color="auto" w:fill="auto"/>
          </w:tcPr>
          <w:p w:rsidR="00DE31BE" w:rsidRPr="00CA3220" w:rsidRDefault="00DE31BE" w:rsidP="00664299">
            <w:pPr>
              <w:pStyle w:val="Tabletext"/>
              <w:jc w:val="left"/>
              <w:rPr>
                <w:lang w:val="fr-CH"/>
              </w:rPr>
            </w:pPr>
            <w:r w:rsidRPr="00CA3220">
              <w:rPr>
                <w:lang w:val="fr-CH"/>
              </w:rPr>
              <w:t>Retransmission</w:t>
            </w:r>
          </w:p>
        </w:tc>
        <w:tc>
          <w:tcPr>
            <w:tcW w:w="3222" w:type="dxa"/>
            <w:tcBorders>
              <w:bottom w:val="single" w:sz="4" w:space="0" w:color="000000"/>
            </w:tcBorders>
            <w:shd w:val="clear" w:color="auto" w:fill="auto"/>
          </w:tcPr>
          <w:p w:rsidR="00DE31BE" w:rsidRPr="00CA3220" w:rsidRDefault="00DE31BE" w:rsidP="00664299">
            <w:pPr>
              <w:pStyle w:val="Tabletext"/>
              <w:jc w:val="left"/>
              <w:rPr>
                <w:lang w:val="fr-CH"/>
              </w:rPr>
            </w:pPr>
            <w:r w:rsidRPr="00CA3220">
              <w:rPr>
                <w:lang w:val="fr-CH"/>
              </w:rPr>
              <w:t>ARQ</w:t>
            </w:r>
          </w:p>
        </w:tc>
        <w:tc>
          <w:tcPr>
            <w:tcW w:w="3183" w:type="dxa"/>
            <w:tcBorders>
              <w:bottom w:val="single" w:sz="4" w:space="0" w:color="000000"/>
            </w:tcBorders>
            <w:shd w:val="clear" w:color="auto" w:fill="auto"/>
          </w:tcPr>
          <w:p w:rsidR="00DE31BE" w:rsidRPr="00CA3220" w:rsidRDefault="00DE31BE" w:rsidP="00664299">
            <w:pPr>
              <w:pStyle w:val="Tabletext"/>
              <w:jc w:val="left"/>
              <w:rPr>
                <w:lang w:val="fr-CH"/>
              </w:rPr>
            </w:pPr>
            <w:r w:rsidRPr="00CA3220">
              <w:rPr>
                <w:lang w:val="fr-CH"/>
              </w:rPr>
              <w:t>ARQ</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Méthodes d'accès au support </w:t>
            </w:r>
          </w:p>
        </w:tc>
        <w:tc>
          <w:tcPr>
            <w:tcW w:w="3222" w:type="dxa"/>
            <w:shd w:val="clear" w:color="auto" w:fill="auto"/>
          </w:tcPr>
          <w:p w:rsidR="00DE31BE" w:rsidRPr="00CA3220" w:rsidRDefault="00DE31BE" w:rsidP="00664299">
            <w:pPr>
              <w:pStyle w:val="Tabletext"/>
              <w:jc w:val="left"/>
              <w:rPr>
                <w:lang w:val="fr-CH"/>
              </w:rPr>
            </w:pPr>
            <w:r w:rsidRPr="00CA3220">
              <w:rPr>
                <w:lang w:val="fr-CH"/>
              </w:rPr>
              <w:t>CSMA et priorité</w:t>
            </w:r>
          </w:p>
        </w:tc>
        <w:tc>
          <w:tcPr>
            <w:tcW w:w="3183" w:type="dxa"/>
            <w:shd w:val="clear" w:color="auto" w:fill="auto"/>
          </w:tcPr>
          <w:p w:rsidR="00DE31BE" w:rsidRPr="00CA3220" w:rsidRDefault="00DE31BE" w:rsidP="00664299">
            <w:pPr>
              <w:pStyle w:val="Tabletext"/>
              <w:jc w:val="left"/>
              <w:rPr>
                <w:lang w:val="fr-CH"/>
              </w:rPr>
            </w:pPr>
            <w:r w:rsidRPr="00CA3220">
              <w:rPr>
                <w:lang w:val="fr-CH"/>
              </w:rPr>
              <w:t>CSMA et sans concurrence ou priorité</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Découverte et méthode d'association </w:t>
            </w:r>
          </w:p>
        </w:tc>
        <w:tc>
          <w:tcPr>
            <w:tcW w:w="3222" w:type="dxa"/>
            <w:shd w:val="clear" w:color="auto" w:fill="auto"/>
          </w:tcPr>
          <w:p w:rsidR="00DE31BE" w:rsidRPr="00CA3220" w:rsidRDefault="00DE31BE" w:rsidP="00664299">
            <w:pPr>
              <w:pStyle w:val="Tabletext"/>
              <w:jc w:val="left"/>
              <w:rPr>
                <w:lang w:val="fr-CH"/>
              </w:rPr>
            </w:pPr>
            <w:r w:rsidRPr="00CA3220">
              <w:rPr>
                <w:lang w:val="fr-CH"/>
              </w:rPr>
              <w:t>6loWPAN et fondée sur EAP</w:t>
            </w:r>
            <w:r w:rsidR="00B75E76" w:rsidRPr="00CA3220">
              <w:rPr>
                <w:lang w:val="fr-CH"/>
              </w:rPr>
              <w:noBreakHyphen/>
            </w:r>
            <w:r w:rsidRPr="00CA3220">
              <w:rPr>
                <w:lang w:val="fr-CH"/>
              </w:rPr>
              <w:t xml:space="preserve">PSK </w:t>
            </w:r>
          </w:p>
        </w:tc>
        <w:tc>
          <w:tcPr>
            <w:tcW w:w="3183" w:type="dxa"/>
            <w:shd w:val="clear" w:color="auto" w:fill="auto"/>
          </w:tcPr>
          <w:p w:rsidR="00DE31BE" w:rsidRPr="00CA3220" w:rsidRDefault="00B43A80" w:rsidP="00664299">
            <w:pPr>
              <w:pStyle w:val="Tabletext"/>
              <w:ind w:right="850"/>
              <w:jc w:val="left"/>
              <w:rPr>
                <w:lang w:val="fr-CH"/>
              </w:rPr>
            </w:pPr>
            <w:r w:rsidRPr="00CA3220">
              <w:rPr>
                <w:lang w:val="fr-CH"/>
              </w:rPr>
              <w:t xml:space="preserve">Procédures </w:t>
            </w:r>
            <w:r w:rsidR="00DE31BE" w:rsidRPr="00CA3220">
              <w:rPr>
                <w:lang w:val="fr-CH"/>
              </w:rPr>
              <w:t>spécifiques d'enregistrement sur le réseau</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Méthodes de qualité de service </w:t>
            </w:r>
          </w:p>
        </w:tc>
        <w:tc>
          <w:tcPr>
            <w:tcW w:w="3222" w:type="dxa"/>
            <w:shd w:val="clear" w:color="auto" w:fill="auto"/>
          </w:tcPr>
          <w:p w:rsidR="00DE31BE" w:rsidRPr="00CA3220" w:rsidRDefault="00DE31BE" w:rsidP="00664299">
            <w:pPr>
              <w:pStyle w:val="Tabletext"/>
              <w:jc w:val="left"/>
              <w:rPr>
                <w:lang w:val="fr-CH"/>
              </w:rPr>
            </w:pPr>
            <w:r w:rsidRPr="00CA3220">
              <w:rPr>
                <w:lang w:val="fr-CH"/>
              </w:rPr>
              <w:t>Différentiation de la qualité de service avec 2 priorités</w:t>
            </w:r>
          </w:p>
        </w:tc>
        <w:tc>
          <w:tcPr>
            <w:tcW w:w="3183" w:type="dxa"/>
            <w:shd w:val="clear" w:color="auto" w:fill="auto"/>
          </w:tcPr>
          <w:p w:rsidR="00DE31BE" w:rsidRPr="00CA3220" w:rsidRDefault="00DE31BE" w:rsidP="00664299">
            <w:pPr>
              <w:pStyle w:val="Tabletext"/>
              <w:jc w:val="left"/>
              <w:rPr>
                <w:lang w:val="fr-CH"/>
              </w:rPr>
            </w:pPr>
            <w:r w:rsidRPr="00CA3220">
              <w:rPr>
                <w:lang w:val="fr-CH"/>
              </w:rPr>
              <w:t>Différentiation de la qualité de service avec 4 priorités</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Chiffrement </w:t>
            </w:r>
          </w:p>
        </w:tc>
        <w:tc>
          <w:tcPr>
            <w:tcW w:w="3222" w:type="dxa"/>
            <w:shd w:val="clear" w:color="auto" w:fill="auto"/>
          </w:tcPr>
          <w:p w:rsidR="00DE31BE" w:rsidRPr="00CA3220" w:rsidRDefault="00DE31BE" w:rsidP="00664299">
            <w:pPr>
              <w:pStyle w:val="Tabletext"/>
              <w:jc w:val="left"/>
              <w:rPr>
                <w:lang w:val="fr-CH"/>
              </w:rPr>
            </w:pPr>
            <w:r w:rsidRPr="00CA3220">
              <w:rPr>
                <w:lang w:val="fr-CH"/>
              </w:rPr>
              <w:t>AES128 – CCM</w:t>
            </w:r>
          </w:p>
        </w:tc>
        <w:tc>
          <w:tcPr>
            <w:tcW w:w="3183" w:type="dxa"/>
            <w:shd w:val="clear" w:color="auto" w:fill="auto"/>
          </w:tcPr>
          <w:p w:rsidR="00DE31BE" w:rsidRPr="00CA3220" w:rsidRDefault="00DE31BE" w:rsidP="00664299">
            <w:pPr>
              <w:pStyle w:val="Tabletext"/>
              <w:jc w:val="left"/>
              <w:rPr>
                <w:lang w:val="fr-CH"/>
              </w:rPr>
            </w:pPr>
            <w:r w:rsidRPr="00CA3220">
              <w:rPr>
                <w:lang w:val="fr-CH"/>
              </w:rPr>
              <w:t>AES128 – GCM</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Authentification/protection contre les réexécution </w:t>
            </w:r>
          </w:p>
        </w:tc>
        <w:tc>
          <w:tcPr>
            <w:tcW w:w="3222" w:type="dxa"/>
            <w:shd w:val="clear" w:color="auto" w:fill="auto"/>
          </w:tcPr>
          <w:p w:rsidR="00DE31BE" w:rsidRPr="00CA3220" w:rsidRDefault="00DE31BE" w:rsidP="00664299">
            <w:pPr>
              <w:pStyle w:val="Tabletext"/>
              <w:jc w:val="left"/>
              <w:rPr>
                <w:lang w:val="fr-CH"/>
              </w:rPr>
            </w:pPr>
            <w:r w:rsidRPr="00CA3220">
              <w:rPr>
                <w:lang w:val="fr-CH"/>
              </w:rPr>
              <w:t>Mécanismes d'authentification et anti</w:t>
            </w:r>
            <w:r w:rsidRPr="00CA3220">
              <w:rPr>
                <w:lang w:val="fr-CH"/>
              </w:rPr>
              <w:noBreakHyphen/>
              <w:t>réexécution</w:t>
            </w:r>
          </w:p>
        </w:tc>
        <w:tc>
          <w:tcPr>
            <w:tcW w:w="3183" w:type="dxa"/>
            <w:shd w:val="clear" w:color="auto" w:fill="auto"/>
          </w:tcPr>
          <w:p w:rsidR="00DE31BE" w:rsidRPr="00CA3220" w:rsidRDefault="00DE31BE" w:rsidP="00664299">
            <w:pPr>
              <w:pStyle w:val="Tabletext"/>
              <w:jc w:val="left"/>
              <w:rPr>
                <w:lang w:val="fr-CH"/>
              </w:rPr>
            </w:pPr>
            <w:r w:rsidRPr="00CA3220">
              <w:rPr>
                <w:lang w:val="fr-CH"/>
              </w:rPr>
              <w:t>Mécanismes d'authentification et anti</w:t>
            </w:r>
            <w:r w:rsidRPr="00CA3220">
              <w:rPr>
                <w:lang w:val="fr-CH"/>
              </w:rPr>
              <w:noBreakHyphen/>
              <w:t>réexécution</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Echange de clés </w:t>
            </w:r>
          </w:p>
        </w:tc>
        <w:tc>
          <w:tcPr>
            <w:tcW w:w="3222" w:type="dxa"/>
            <w:shd w:val="clear" w:color="auto" w:fill="auto"/>
          </w:tcPr>
          <w:p w:rsidR="00DE31BE" w:rsidRPr="00CA3220" w:rsidRDefault="00DE31BE" w:rsidP="00664299">
            <w:pPr>
              <w:pStyle w:val="Tabletext"/>
              <w:jc w:val="left"/>
              <w:rPr>
                <w:lang w:val="fr-CH"/>
              </w:rPr>
            </w:pPr>
            <w:r w:rsidRPr="00CA3220">
              <w:rPr>
                <w:lang w:val="fr-CH"/>
              </w:rPr>
              <w:t xml:space="preserve">Oui </w:t>
            </w:r>
          </w:p>
        </w:tc>
        <w:tc>
          <w:tcPr>
            <w:tcW w:w="3183" w:type="dxa"/>
            <w:shd w:val="clear" w:color="auto" w:fill="auto"/>
          </w:tcPr>
          <w:p w:rsidR="00DE31BE" w:rsidRPr="00CA3220" w:rsidRDefault="00DE31BE" w:rsidP="00664299">
            <w:pPr>
              <w:pStyle w:val="Tabletext"/>
              <w:jc w:val="left"/>
              <w:rPr>
                <w:lang w:val="fr-CH"/>
              </w:rPr>
            </w:pPr>
            <w:r w:rsidRPr="00CA3220">
              <w:rPr>
                <w:lang w:val="fr-CH"/>
              </w:rPr>
              <w:t>Oui</w:t>
            </w:r>
          </w:p>
        </w:tc>
      </w:tr>
      <w:tr w:rsidR="00DE31BE" w:rsidRPr="00CA3220" w:rsidTr="00A32342">
        <w:trPr>
          <w:cantSplit/>
        </w:trPr>
        <w:tc>
          <w:tcPr>
            <w:tcW w:w="0" w:type="auto"/>
            <w:shd w:val="clear" w:color="auto" w:fill="auto"/>
          </w:tcPr>
          <w:p w:rsidR="00DE31BE" w:rsidRPr="00CA3220" w:rsidRDefault="00DE31BE" w:rsidP="00664299">
            <w:pPr>
              <w:pStyle w:val="Tabletext"/>
              <w:jc w:val="left"/>
              <w:rPr>
                <w:lang w:val="fr-CH"/>
              </w:rPr>
            </w:pPr>
            <w:r w:rsidRPr="00CA3220">
              <w:rPr>
                <w:lang w:val="fr-CH"/>
              </w:rPr>
              <w:t xml:space="preserve">Identification unique de l'équipement </w:t>
            </w:r>
          </w:p>
        </w:tc>
        <w:tc>
          <w:tcPr>
            <w:tcW w:w="3222" w:type="dxa"/>
            <w:shd w:val="clear" w:color="auto" w:fill="auto"/>
          </w:tcPr>
          <w:p w:rsidR="00DE31BE" w:rsidRPr="00CA3220" w:rsidRDefault="00DE31BE" w:rsidP="00664299">
            <w:pPr>
              <w:pStyle w:val="Tabletext"/>
              <w:jc w:val="left"/>
              <w:rPr>
                <w:lang w:val="fr-CH"/>
              </w:rPr>
            </w:pPr>
            <w:r w:rsidRPr="00CA3220">
              <w:rPr>
                <w:lang w:val="fr-CH"/>
              </w:rPr>
              <w:t>Identifiant d'équipement unique à</w:t>
            </w:r>
            <w:r w:rsidR="00B75E76" w:rsidRPr="00CA3220">
              <w:rPr>
                <w:lang w:val="fr-CH"/>
              </w:rPr>
              <w:t> </w:t>
            </w:r>
            <w:r w:rsidRPr="00CA3220">
              <w:rPr>
                <w:lang w:val="fr-CH"/>
              </w:rPr>
              <w:t>64 bits</w:t>
            </w:r>
          </w:p>
        </w:tc>
        <w:tc>
          <w:tcPr>
            <w:tcW w:w="3183" w:type="dxa"/>
            <w:shd w:val="clear" w:color="auto" w:fill="auto"/>
          </w:tcPr>
          <w:p w:rsidR="00DE31BE" w:rsidRPr="00CA3220" w:rsidRDefault="00DE31BE" w:rsidP="00664299">
            <w:pPr>
              <w:pStyle w:val="Tabletext"/>
              <w:jc w:val="left"/>
              <w:rPr>
                <w:lang w:val="fr-CH"/>
              </w:rPr>
            </w:pPr>
            <w:r w:rsidRPr="00CA3220">
              <w:rPr>
                <w:lang w:val="fr-CH"/>
              </w:rPr>
              <w:t>Identifiant d'équipement unique à 64 bits</w:t>
            </w:r>
          </w:p>
        </w:tc>
      </w:tr>
    </w:tbl>
    <w:p w:rsidR="00DE31BE" w:rsidRPr="00CA3220" w:rsidRDefault="00DE31BE" w:rsidP="00664299">
      <w:pPr>
        <w:pStyle w:val="Tablefin"/>
        <w:rPr>
          <w:lang w:val="fr-CH"/>
        </w:rPr>
      </w:pPr>
      <w:bookmarkStart w:id="128" w:name="_Toc438029893"/>
    </w:p>
    <w:p w:rsidR="00DE31BE" w:rsidRPr="00CA3220" w:rsidRDefault="00DE31BE" w:rsidP="00664299">
      <w:pPr>
        <w:pStyle w:val="Heading2"/>
        <w:rPr>
          <w:lang w:val="fr-CH"/>
        </w:rPr>
      </w:pPr>
      <w:bookmarkStart w:id="129" w:name="_Toc440533908"/>
      <w:bookmarkStart w:id="130" w:name="_Toc498437779"/>
      <w:bookmarkStart w:id="131" w:name="_Toc498500119"/>
      <w:bookmarkStart w:id="132" w:name="_Toc498500370"/>
      <w:bookmarkStart w:id="133" w:name="_Toc498516135"/>
      <w:r w:rsidRPr="00CA3220">
        <w:rPr>
          <w:lang w:val="fr-CH"/>
        </w:rPr>
        <w:t>A1.3</w:t>
      </w:r>
      <w:r w:rsidRPr="00CA3220">
        <w:rPr>
          <w:lang w:val="fr-CH"/>
        </w:rPr>
        <w:tab/>
        <w:t>Normes 3GPP</w:t>
      </w:r>
      <w:bookmarkEnd w:id="128"/>
      <w:bookmarkEnd w:id="129"/>
      <w:bookmarkEnd w:id="130"/>
      <w:bookmarkEnd w:id="131"/>
      <w:bookmarkEnd w:id="132"/>
      <w:bookmarkEnd w:id="133"/>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 3GPP a élaboré différentes normes hertziennes pour les applications du premier kilomètre pour les systèmes de gestion des réseaux de distribution d'électricité. On trouvera dans les tableaux ci</w:t>
      </w:r>
      <w:r w:rsidRPr="00CA3220">
        <w:rPr>
          <w:rFonts w:asciiTheme="majorBidi" w:hAnsiTheme="majorBidi" w:cstheme="majorBidi"/>
          <w:szCs w:val="24"/>
          <w:lang w:val="fr-CH"/>
        </w:rPr>
        <w:noBreakHyphen/>
        <w:t>après un récapitulatif des caractéristiques techniques et opérationnelles des normes hertziennes pertinentes du 3GPP.</w:t>
      </w:r>
    </w:p>
    <w:p w:rsidR="00DE31BE" w:rsidRPr="00CA3220" w:rsidRDefault="00DE31BE" w:rsidP="00664299">
      <w:pPr>
        <w:pStyle w:val="TableNo"/>
        <w:rPr>
          <w:lang w:val="fr-CH"/>
        </w:rPr>
      </w:pPr>
      <w:r w:rsidRPr="00CA3220">
        <w:rPr>
          <w:lang w:val="fr-CH"/>
        </w:rPr>
        <w:lastRenderedPageBreak/>
        <w:t>TABLEAU A1.7</w:t>
      </w:r>
    </w:p>
    <w:p w:rsidR="00DE31BE" w:rsidRPr="00CA3220" w:rsidRDefault="00DE31BE" w:rsidP="00664299">
      <w:pPr>
        <w:pStyle w:val="Tabletitle"/>
        <w:rPr>
          <w:lang w:val="fr-CH"/>
        </w:rPr>
      </w:pPr>
      <w:r w:rsidRPr="00CA3220">
        <w:rPr>
          <w:lang w:val="fr-CH"/>
        </w:rPr>
        <w:t>Fonctionnalités techniques et opérationnelles des technologies 3GPP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DE31BE" w:rsidRPr="00CA3220" w:rsidTr="0041087D">
        <w:trPr>
          <w:cantSplit/>
          <w:tblHeader/>
          <w:jc w:val="center"/>
        </w:trPr>
        <w:tc>
          <w:tcPr>
            <w:tcW w:w="1778" w:type="dxa"/>
            <w:noWrap/>
            <w:vAlign w:val="center"/>
            <w:hideMark/>
          </w:tcPr>
          <w:p w:rsidR="00DE31BE" w:rsidRPr="00CA3220" w:rsidRDefault="00DE31BE" w:rsidP="00664299">
            <w:pPr>
              <w:pStyle w:val="Tablehead"/>
              <w:rPr>
                <w:rFonts w:eastAsia="Batang"/>
                <w:lang w:val="fr-CH"/>
              </w:rPr>
            </w:pPr>
            <w:r w:rsidRPr="00CA3220">
              <w:rPr>
                <w:rFonts w:eastAsia="Batang"/>
                <w:lang w:val="fr-CH"/>
              </w:rPr>
              <w:t>Caractéristiques de la fonctionnalité</w:t>
            </w:r>
          </w:p>
        </w:tc>
        <w:tc>
          <w:tcPr>
            <w:tcW w:w="1621" w:type="dxa"/>
            <w:vAlign w:val="center"/>
            <w:hideMark/>
          </w:tcPr>
          <w:p w:rsidR="00DE31BE" w:rsidRPr="00CA3220" w:rsidRDefault="00DE31BE" w:rsidP="00664299">
            <w:pPr>
              <w:pStyle w:val="Tablehead"/>
              <w:rPr>
                <w:rFonts w:eastAsia="Batang"/>
                <w:lang w:val="fr-CH"/>
              </w:rPr>
            </w:pPr>
            <w:r w:rsidRPr="00CA3220">
              <w:rPr>
                <w:rFonts w:eastAsia="Batang"/>
                <w:lang w:val="fr-CH"/>
              </w:rPr>
              <w:t>Unité de mesure</w:t>
            </w:r>
          </w:p>
        </w:tc>
        <w:tc>
          <w:tcPr>
            <w:tcW w:w="1559" w:type="dxa"/>
            <w:noWrap/>
            <w:vAlign w:val="center"/>
            <w:hideMark/>
          </w:tcPr>
          <w:p w:rsidR="00DE31BE" w:rsidRPr="00CA3220" w:rsidRDefault="00DE31BE" w:rsidP="00664299">
            <w:pPr>
              <w:pStyle w:val="Tablehead"/>
              <w:rPr>
                <w:rFonts w:eastAsia="Batang"/>
                <w:lang w:val="fr-CH"/>
              </w:rPr>
            </w:pPr>
            <w:r w:rsidRPr="00CA3220">
              <w:rPr>
                <w:rFonts w:eastAsia="Batang"/>
                <w:lang w:val="fr-CH"/>
              </w:rPr>
              <w:t>GSM/EDGE</w:t>
            </w:r>
          </w:p>
        </w:tc>
        <w:tc>
          <w:tcPr>
            <w:tcW w:w="1480" w:type="dxa"/>
            <w:vAlign w:val="center"/>
            <w:hideMark/>
          </w:tcPr>
          <w:p w:rsidR="00DE31BE" w:rsidRPr="00CA3220" w:rsidRDefault="00DE31BE" w:rsidP="00664299">
            <w:pPr>
              <w:pStyle w:val="Tablehead"/>
              <w:rPr>
                <w:rFonts w:eastAsia="Batang"/>
                <w:lang w:val="fr-CH"/>
              </w:rPr>
            </w:pPr>
            <w:r w:rsidRPr="00CA3220">
              <w:rPr>
                <w:rFonts w:eastAsia="Batang"/>
                <w:lang w:val="fr-CH"/>
              </w:rPr>
              <w:t>UMTS</w:t>
            </w:r>
          </w:p>
        </w:tc>
        <w:tc>
          <w:tcPr>
            <w:tcW w:w="1637" w:type="dxa"/>
            <w:noWrap/>
            <w:vAlign w:val="center"/>
            <w:hideMark/>
          </w:tcPr>
          <w:p w:rsidR="00DE31BE" w:rsidRPr="00CA3220" w:rsidRDefault="00DE31BE" w:rsidP="00664299">
            <w:pPr>
              <w:pStyle w:val="Tablehead"/>
              <w:rPr>
                <w:rFonts w:eastAsia="Batang"/>
                <w:lang w:val="fr-CH"/>
              </w:rPr>
            </w:pPr>
            <w:r w:rsidRPr="00CA3220">
              <w:rPr>
                <w:rFonts w:eastAsia="Batang"/>
                <w:lang w:val="fr-CH"/>
              </w:rPr>
              <w:t>HSPA+</w:t>
            </w:r>
          </w:p>
        </w:tc>
        <w:tc>
          <w:tcPr>
            <w:tcW w:w="1564" w:type="dxa"/>
            <w:vAlign w:val="center"/>
            <w:hideMark/>
          </w:tcPr>
          <w:p w:rsidR="00DE31BE" w:rsidRPr="00CA3220" w:rsidRDefault="00DE31BE" w:rsidP="00664299">
            <w:pPr>
              <w:pStyle w:val="Tablehead"/>
              <w:rPr>
                <w:rFonts w:eastAsia="Batang"/>
                <w:lang w:val="fr-CH"/>
              </w:rPr>
            </w:pPr>
            <w:r w:rsidRPr="00CA3220">
              <w:rPr>
                <w:rFonts w:eastAsia="Batang"/>
                <w:lang w:val="fr-CH"/>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Capacité d'établir de manière fiable une liaison satisfaisante avec le dispositif</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du temps</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&gt; 99%)</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&gt; 99%)</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&gt; 99%)</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&gt; 99%)</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Capacité de maintenir une connexion satisfaisante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Taux d'échec pour 1 000 sessions</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&lt; 1%)</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&lt; 1%)</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&lt; 1%)</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déploiement (type &lt; 1%)</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Voix</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Données</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Débit maximal de données d'utilisateur par utilisateur en Mbits/s</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Avec 8 intervalles: </w:t>
            </w:r>
          </w:p>
          <w:p w:rsidR="00DE31BE" w:rsidRPr="00CA3220" w:rsidRDefault="00DE31BE" w:rsidP="00664299">
            <w:pPr>
              <w:pStyle w:val="Tabletext"/>
              <w:jc w:val="left"/>
              <w:rPr>
                <w:rFonts w:eastAsia="Batang"/>
                <w:lang w:val="fr-CH" w:eastAsia="ko-KR"/>
              </w:rPr>
            </w:pPr>
            <w:r w:rsidRPr="00CA3220">
              <w:rPr>
                <w:rFonts w:eastAsia="Batang"/>
                <w:lang w:val="fr-CH" w:eastAsia="ko-KR"/>
              </w:rPr>
              <w:t>0,1856 Mbit/s (Service général de radiocommuni-cation en mode paquet (GPRS) sens amont/sens aval)</w:t>
            </w:r>
          </w:p>
          <w:p w:rsidR="00DE31BE" w:rsidRPr="00CA3220" w:rsidRDefault="00DE31BE" w:rsidP="00664299">
            <w:pPr>
              <w:pStyle w:val="Tabletext"/>
              <w:jc w:val="left"/>
              <w:rPr>
                <w:rFonts w:eastAsia="Batang"/>
                <w:lang w:val="fr-CH" w:eastAsia="ko-KR"/>
              </w:rPr>
            </w:pPr>
            <w:r w:rsidRPr="00CA3220">
              <w:rPr>
                <w:rFonts w:eastAsia="Batang"/>
                <w:lang w:val="fr-CH" w:eastAsia="ko-KR"/>
              </w:rPr>
              <w:t>0,5568 Mbit/s (GPRS évolué (EGPRS) sens amont/sens aval)</w:t>
            </w:r>
          </w:p>
          <w:p w:rsidR="00DE31BE" w:rsidRPr="00CA3220" w:rsidRDefault="00DE31BE" w:rsidP="00664299">
            <w:pPr>
              <w:pStyle w:val="Tabletext"/>
              <w:jc w:val="left"/>
              <w:rPr>
                <w:rFonts w:eastAsia="Batang"/>
                <w:lang w:val="fr-CH" w:eastAsia="ko-KR"/>
              </w:rPr>
            </w:pPr>
            <w:r w:rsidRPr="00CA3220">
              <w:rPr>
                <w:rFonts w:eastAsia="Batang"/>
                <w:lang w:val="fr-CH" w:eastAsia="ko-KR"/>
              </w:rPr>
              <w:t>0,928 Mbit/s (EGPRS2-A sens aval)</w:t>
            </w:r>
          </w:p>
          <w:p w:rsidR="00DE31BE" w:rsidRPr="00CA3220" w:rsidRDefault="00DE31BE" w:rsidP="00664299">
            <w:pPr>
              <w:pStyle w:val="Tabletext"/>
              <w:jc w:val="left"/>
              <w:rPr>
                <w:rFonts w:eastAsia="Batang"/>
                <w:lang w:val="fr-CH" w:eastAsia="ko-KR"/>
              </w:rPr>
            </w:pPr>
            <w:r w:rsidRPr="00CA3220">
              <w:rPr>
                <w:rFonts w:eastAsia="Batang"/>
                <w:lang w:val="fr-CH" w:eastAsia="ko-KR"/>
              </w:rPr>
              <w:t>0,7424 Mbit/s (EGPRS2-A sens amont)</w:t>
            </w:r>
          </w:p>
          <w:p w:rsidR="00DE31BE" w:rsidRPr="00CA3220" w:rsidRDefault="00DE31BE" w:rsidP="00664299">
            <w:pPr>
              <w:pStyle w:val="Tabletext"/>
              <w:jc w:val="left"/>
              <w:rPr>
                <w:rFonts w:eastAsia="Batang"/>
                <w:lang w:val="fr-CH" w:eastAsia="ko-KR"/>
              </w:rPr>
            </w:pPr>
            <w:r w:rsidRPr="00CA3220">
              <w:rPr>
                <w:rFonts w:eastAsia="Batang"/>
                <w:lang w:val="fr-CH" w:eastAsia="ko-KR"/>
              </w:rPr>
              <w:t>Version 7: Double porteuse dans le sens aval, 2x (EGPRS, EGPRS2-A)</w:t>
            </w:r>
          </w:p>
          <w:p w:rsidR="00DE31BE" w:rsidRPr="00CA3220" w:rsidRDefault="00DE31BE" w:rsidP="00664299">
            <w:pPr>
              <w:pStyle w:val="Tabletext"/>
              <w:jc w:val="left"/>
              <w:rPr>
                <w:rFonts w:eastAsia="Batang"/>
                <w:lang w:val="fr-CH" w:eastAsia="ko-KR"/>
              </w:rPr>
            </w:pPr>
            <w:r w:rsidRPr="00CA3220">
              <w:rPr>
                <w:rFonts w:eastAsia="Batang"/>
                <w:lang w:val="fr-CH" w:eastAsia="ko-KR"/>
              </w:rPr>
              <w:t>Version 12:</w:t>
            </w:r>
          </w:p>
          <w:p w:rsidR="00DE31BE" w:rsidRPr="00CA3220" w:rsidRDefault="00DE31BE" w:rsidP="00664299">
            <w:pPr>
              <w:pStyle w:val="Tabletext"/>
              <w:jc w:val="left"/>
              <w:rPr>
                <w:rFonts w:eastAsia="Batang"/>
                <w:lang w:val="fr-CH" w:eastAsia="ko-KR"/>
              </w:rPr>
            </w:pPr>
            <w:r w:rsidRPr="00CA3220">
              <w:rPr>
                <w:rFonts w:eastAsia="Batang"/>
                <w:lang w:val="fr-CH" w:eastAsia="ko-KR"/>
              </w:rPr>
              <w:t>Multiporteuses dans le sens aval, 2x – 16x (EGPRS, EGPRS2-A)</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2,048 Mbit/s</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346 Mbit/s sens aval;</w:t>
            </w:r>
            <w:r w:rsidRPr="00CA3220">
              <w:rPr>
                <w:rFonts w:eastAsia="Batang"/>
                <w:lang w:val="fr-CH" w:eastAsia="ko-KR"/>
              </w:rPr>
              <w:br/>
              <w:t>34 Mbit/s sens amont</w:t>
            </w:r>
            <w:r w:rsidRPr="00CA3220">
              <w:rPr>
                <w:rFonts w:eastAsia="Batang"/>
                <w:lang w:val="fr-CH" w:eastAsia="ko-KR"/>
              </w:rPr>
              <w:br/>
              <w:t xml:space="preserve">pour la version 12 </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~4 Gbit/s sens aval; ~1,5 Gbit/s sens amont pour la version 12</w:t>
            </w:r>
          </w:p>
        </w:tc>
      </w:tr>
    </w:tbl>
    <w:p w:rsidR="00200418" w:rsidRPr="00CA3220" w:rsidRDefault="00200418"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200418" w:rsidRPr="00CA3220" w:rsidTr="0041087D">
        <w:trPr>
          <w:cantSplit/>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200418" w:rsidRPr="00CA3220" w:rsidRDefault="00200418" w:rsidP="00664299">
            <w:pPr>
              <w:pStyle w:val="Tablehead"/>
              <w:rPr>
                <w:rFonts w:eastAsia="Batang"/>
                <w:lang w:val="fr-CH" w:eastAsia="ko-KR"/>
              </w:rPr>
            </w:pPr>
            <w:r w:rsidRPr="00CA3220">
              <w:rPr>
                <w:rFonts w:eastAsia="Batang"/>
                <w:lang w:val="fr-CH"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200418" w:rsidRPr="00CA3220" w:rsidRDefault="00200418" w:rsidP="00664299">
            <w:pPr>
              <w:pStyle w:val="Tablehead"/>
              <w:rPr>
                <w:rFonts w:eastAsia="Batang"/>
                <w:lang w:val="fr-CH" w:eastAsia="ko-KR"/>
              </w:rPr>
            </w:pPr>
            <w:r w:rsidRPr="00CA3220">
              <w:rPr>
                <w:rFonts w:eastAsia="Batang"/>
                <w:lang w:val="fr-CH"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00418" w:rsidRPr="00CA3220" w:rsidRDefault="00200418" w:rsidP="00664299">
            <w:pPr>
              <w:pStyle w:val="Tablehead"/>
              <w:rPr>
                <w:rFonts w:eastAsia="Batang"/>
                <w:lang w:val="fr-CH" w:eastAsia="ko-KR"/>
              </w:rPr>
            </w:pPr>
            <w:r w:rsidRPr="00CA3220">
              <w:rPr>
                <w:rFonts w:eastAsia="Batang"/>
                <w:lang w:val="fr-CH"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0418" w:rsidRPr="00CA3220" w:rsidRDefault="00200418" w:rsidP="00664299">
            <w:pPr>
              <w:pStyle w:val="Tablehead"/>
              <w:rPr>
                <w:rFonts w:eastAsia="Batang"/>
                <w:lang w:val="fr-CH" w:eastAsia="ko-KR"/>
              </w:rPr>
            </w:pPr>
            <w:r w:rsidRPr="00CA3220">
              <w:rPr>
                <w:rFonts w:eastAsia="Batang"/>
                <w:lang w:val="fr-CH"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200418" w:rsidRPr="00CA3220" w:rsidRDefault="00200418" w:rsidP="00664299">
            <w:pPr>
              <w:pStyle w:val="Tablehead"/>
              <w:rPr>
                <w:rFonts w:eastAsia="Batang"/>
                <w:lang w:val="fr-CH" w:eastAsia="ko-KR"/>
              </w:rPr>
            </w:pPr>
            <w:r w:rsidRPr="00CA3220">
              <w:rPr>
                <w:rFonts w:eastAsia="Batang"/>
                <w:lang w:val="fr-CH"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200418" w:rsidRPr="00CA3220" w:rsidRDefault="00200418" w:rsidP="00664299">
            <w:pPr>
              <w:pStyle w:val="Tablehead"/>
              <w:rPr>
                <w:rFonts w:eastAsia="Batang"/>
                <w:lang w:val="fr-CH" w:eastAsia="ko-KR"/>
              </w:rPr>
            </w:pPr>
            <w:r w:rsidRPr="00CA3220">
              <w:rPr>
                <w:rFonts w:eastAsia="Batang"/>
                <w:lang w:val="fr-CH" w:eastAsia="ko-KR"/>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Vidéo</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Résolution maximale en pixels à x images/s</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Zone géographique de couverture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km</w:t>
            </w:r>
            <w:r w:rsidRPr="00CA3220">
              <w:rPr>
                <w:rFonts w:eastAsia="Batang"/>
                <w:vertAlign w:val="superscript"/>
                <w:lang w:val="fr-CH" w:eastAsia="ko-KR"/>
              </w:rPr>
              <w:t>2</w:t>
            </w:r>
          </w:p>
        </w:tc>
        <w:tc>
          <w:tcPr>
            <w:tcW w:w="1559" w:type="dxa"/>
            <w:hideMark/>
          </w:tcPr>
          <w:p w:rsidR="00DE31BE" w:rsidRPr="00CA3220" w:rsidRDefault="00DE31BE" w:rsidP="003E079A">
            <w:pPr>
              <w:pStyle w:val="Tabletext"/>
              <w:jc w:val="left"/>
              <w:rPr>
                <w:rFonts w:eastAsia="Batang"/>
                <w:lang w:val="fr-CH" w:eastAsia="ko-KR"/>
              </w:rPr>
            </w:pPr>
            <w:r w:rsidRPr="00CA3220">
              <w:rPr>
                <w:rFonts w:eastAsia="Batang"/>
                <w:lang w:val="fr-CH" w:eastAsia="ko-KR"/>
              </w:rPr>
              <w:t>Rayon de 35</w:t>
            </w:r>
            <w:r w:rsidR="003E079A">
              <w:rPr>
                <w:rFonts w:eastAsia="Batang"/>
                <w:lang w:val="fr-CH" w:eastAsia="ko-KR"/>
              </w:rPr>
              <w:t> </w:t>
            </w:r>
            <w:r w:rsidRPr="00CA3220">
              <w:rPr>
                <w:rFonts w:eastAsia="Batang"/>
                <w:lang w:val="fr-CH" w:eastAsia="ko-KR"/>
              </w:rPr>
              <w:t>km avec une</w:t>
            </w:r>
            <w:r w:rsidRPr="00CA3220">
              <w:rPr>
                <w:lang w:val="fr-CH"/>
              </w:rPr>
              <w:t xml:space="preserve"> </w:t>
            </w:r>
            <w:r w:rsidRPr="00CA3220">
              <w:rPr>
                <w:rFonts w:eastAsia="Batang"/>
                <w:lang w:val="fr-CH" w:eastAsia="ko-KR"/>
              </w:rPr>
              <w:t>avance de synchronisation normale; rayon de 120 km avec une</w:t>
            </w:r>
            <w:r w:rsidRPr="00CA3220">
              <w:rPr>
                <w:lang w:val="fr-CH"/>
              </w:rPr>
              <w:t xml:space="preserve"> </w:t>
            </w:r>
            <w:r w:rsidRPr="00CA3220">
              <w:rPr>
                <w:rFonts w:eastAsia="Batang"/>
                <w:lang w:val="fr-CH" w:eastAsia="ko-KR"/>
              </w:rPr>
              <w:t>avance de synchronisation rallongée</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Rayon de 120 km pour les cellules à portée étendue</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Rayon de 120 km pour les cellules à portée étendue</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Rayon de 100 km</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Bilan de liaison</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dB</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146,36/</w:t>
            </w:r>
            <w:r w:rsidRPr="00CA3220">
              <w:rPr>
                <w:rFonts w:eastAsia="Batang"/>
                <w:lang w:val="fr-CH" w:eastAsia="ko-KR"/>
              </w:rPr>
              <w:br/>
              <w:t>133,39 dB (Veh A50) (EGPRS)</w:t>
            </w:r>
          </w:p>
          <w:p w:rsidR="00DE31BE" w:rsidRPr="00CA3220" w:rsidRDefault="00DE31BE" w:rsidP="00664299">
            <w:pPr>
              <w:pStyle w:val="Tabletext"/>
              <w:jc w:val="left"/>
              <w:rPr>
                <w:rFonts w:eastAsia="Batang"/>
                <w:lang w:val="fr-CH" w:eastAsia="ko-KR"/>
              </w:rPr>
            </w:pPr>
            <w:r w:rsidRPr="00CA3220">
              <w:rPr>
                <w:rFonts w:eastAsia="Batang"/>
                <w:lang w:val="fr-CH" w:eastAsia="ko-KR"/>
              </w:rPr>
              <w:t>Avec diversité de réception à la station BTS: 144 dB pour GPRS/EGPRS/EGPRS2-A</w:t>
            </w:r>
          </w:p>
        </w:tc>
        <w:tc>
          <w:tcPr>
            <w:tcW w:w="1480" w:type="dxa"/>
            <w:hideMark/>
          </w:tcPr>
          <w:p w:rsidR="00DE31BE" w:rsidRPr="00CA3220" w:rsidRDefault="00DE31BE" w:rsidP="003E079A">
            <w:pPr>
              <w:pStyle w:val="Tabletext"/>
              <w:jc w:val="left"/>
              <w:rPr>
                <w:rFonts w:eastAsia="Batang"/>
                <w:lang w:val="fr-CH" w:eastAsia="ko-KR"/>
              </w:rPr>
            </w:pPr>
            <w:r w:rsidRPr="00CA3220">
              <w:rPr>
                <w:rFonts w:eastAsia="Batang"/>
                <w:lang w:val="fr-CH" w:eastAsia="ko-KR"/>
              </w:rPr>
              <w:t>Jusqu'à 147</w:t>
            </w:r>
            <w:r w:rsidR="003E079A">
              <w:rPr>
                <w:rFonts w:eastAsia="Batang"/>
                <w:lang w:val="fr-CH" w:eastAsia="ko-KR"/>
              </w:rPr>
              <w:t> </w:t>
            </w:r>
            <w:r w:rsidRPr="00CA3220">
              <w:rPr>
                <w:rFonts w:eastAsia="Batang"/>
                <w:lang w:val="fr-CH" w:eastAsia="ko-KR"/>
              </w:rPr>
              <w:t>dB</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Jusqu'à 147 dB</w:t>
            </w:r>
          </w:p>
          <w:p w:rsidR="00DE31BE" w:rsidRPr="00CA3220" w:rsidRDefault="00DE31BE" w:rsidP="00664299">
            <w:pPr>
              <w:pStyle w:val="Tabletext"/>
              <w:jc w:val="left"/>
              <w:rPr>
                <w:rFonts w:eastAsia="Batang"/>
                <w:lang w:val="fr-CH" w:eastAsia="ko-KR"/>
              </w:rPr>
            </w:pPr>
            <w:r w:rsidRPr="00CA3220">
              <w:rPr>
                <w:rFonts w:eastAsia="Batang"/>
                <w:lang w:val="fr-CH" w:eastAsia="ko-KR"/>
              </w:rPr>
              <w:t>(extension de couverture supplémentaire prévue pour la version 13)</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Jusqu'à 143 dB dans le sens aval; jusqu'à 133 dB dans le sens amont</w:t>
            </w:r>
          </w:p>
          <w:p w:rsidR="00DE31BE" w:rsidRPr="00CA3220" w:rsidRDefault="00DE31BE" w:rsidP="00664299">
            <w:pPr>
              <w:pStyle w:val="Tabletext"/>
              <w:jc w:val="left"/>
              <w:rPr>
                <w:rFonts w:eastAsia="Batang"/>
                <w:lang w:val="fr-CH" w:eastAsia="ko-KR"/>
              </w:rPr>
            </w:pPr>
            <w:r w:rsidRPr="00CA3220">
              <w:rPr>
                <w:rFonts w:eastAsia="Batang"/>
                <w:lang w:val="fr-CH" w:eastAsia="ko-KR"/>
              </w:rPr>
              <w:t>(extension de couverture supplémentaire prévue pour la version 13)</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Vitesse maximale de mouvement relatif</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km/s</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350 km/h</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350 km/h</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350 km/h</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350 km/h</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Doppler maximum</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Hz</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1 000 avec égaliseur de poursuite de canaux</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648</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648</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648</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Débit de données maximal dans le sens amont en liaison hertzienne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Mbit/s</w:t>
            </w:r>
          </w:p>
        </w:tc>
        <w:tc>
          <w:tcPr>
            <w:tcW w:w="1559" w:type="dxa"/>
            <w:noWrap/>
            <w:hideMark/>
          </w:tcPr>
          <w:p w:rsidR="00DE31BE" w:rsidRPr="007B6CF9" w:rsidRDefault="00DE31BE" w:rsidP="00664299">
            <w:pPr>
              <w:pStyle w:val="Tabletext"/>
              <w:jc w:val="left"/>
              <w:rPr>
                <w:rFonts w:eastAsia="Batang"/>
                <w:lang w:val="en-US" w:eastAsia="ko-KR"/>
              </w:rPr>
            </w:pPr>
            <w:r w:rsidRPr="007B6CF9">
              <w:rPr>
                <w:rFonts w:eastAsia="Batang"/>
                <w:lang w:val="en-US" w:eastAsia="ko-KR"/>
              </w:rPr>
              <w:t>0,271 Mbit/s (GPRS)</w:t>
            </w:r>
          </w:p>
          <w:p w:rsidR="00DE31BE" w:rsidRPr="007B6CF9" w:rsidRDefault="00DE31BE" w:rsidP="00664299">
            <w:pPr>
              <w:pStyle w:val="Tabletext"/>
              <w:jc w:val="left"/>
              <w:rPr>
                <w:rFonts w:eastAsia="Batang"/>
                <w:lang w:val="en-US" w:eastAsia="ko-KR"/>
              </w:rPr>
            </w:pPr>
            <w:r w:rsidRPr="007B6CF9">
              <w:rPr>
                <w:rFonts w:eastAsia="Batang"/>
                <w:lang w:val="en-US" w:eastAsia="ko-KR"/>
              </w:rPr>
              <w:t>0,8125 Mbit/s (EGPRS)</w:t>
            </w:r>
          </w:p>
          <w:p w:rsidR="00DE31BE" w:rsidRPr="00CA3220" w:rsidRDefault="00DE31BE" w:rsidP="00664299">
            <w:pPr>
              <w:pStyle w:val="Tabletext"/>
              <w:jc w:val="left"/>
              <w:rPr>
                <w:rFonts w:eastAsia="Batang"/>
                <w:lang w:val="fr-CH" w:eastAsia="ko-KR"/>
              </w:rPr>
            </w:pPr>
            <w:r w:rsidRPr="00CA3220">
              <w:rPr>
                <w:rFonts w:eastAsia="Batang"/>
                <w:lang w:val="fr-CH" w:eastAsia="ko-KR"/>
              </w:rPr>
              <w:t>1,0833 Mbit/s (EGPRS2-A)</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1,024 Mbit/s</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34 Mbit/s pour la version 12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~1,5 Gbit/s pour la version 12</w:t>
            </w:r>
          </w:p>
        </w:tc>
      </w:tr>
    </w:tbl>
    <w:p w:rsidR="005D449E" w:rsidRPr="00CA3220" w:rsidRDefault="005D449E"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D449E" w:rsidRPr="00CA3220" w:rsidTr="0041087D">
        <w:trPr>
          <w:cantSplit/>
          <w:tblHeader/>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Débit de données maximal dans le sens aval en liaison hertzienne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Mbit/s</w:t>
            </w:r>
          </w:p>
        </w:tc>
        <w:tc>
          <w:tcPr>
            <w:tcW w:w="1559" w:type="dxa"/>
            <w:noWrap/>
            <w:hideMark/>
          </w:tcPr>
          <w:p w:rsidR="00DE31BE" w:rsidRPr="007B6CF9" w:rsidRDefault="00DE31BE" w:rsidP="00664299">
            <w:pPr>
              <w:pStyle w:val="Tabletext"/>
              <w:jc w:val="left"/>
              <w:rPr>
                <w:rFonts w:eastAsia="Batang"/>
                <w:lang w:val="en-US" w:eastAsia="ko-KR"/>
              </w:rPr>
            </w:pPr>
            <w:r w:rsidRPr="007B6CF9">
              <w:rPr>
                <w:rFonts w:eastAsia="Batang"/>
                <w:lang w:val="en-US" w:eastAsia="ko-KR"/>
              </w:rPr>
              <w:t>0,271 Mbit/s (GPRS)</w:t>
            </w:r>
          </w:p>
          <w:p w:rsidR="00DE31BE" w:rsidRPr="007B6CF9" w:rsidRDefault="00DE31BE" w:rsidP="00664299">
            <w:pPr>
              <w:pStyle w:val="Tabletext"/>
              <w:jc w:val="left"/>
              <w:rPr>
                <w:rFonts w:eastAsia="Batang"/>
                <w:lang w:val="en-US" w:eastAsia="ko-KR"/>
              </w:rPr>
            </w:pPr>
            <w:r w:rsidRPr="007B6CF9">
              <w:rPr>
                <w:rFonts w:eastAsia="Batang"/>
                <w:lang w:val="en-US" w:eastAsia="ko-KR"/>
              </w:rPr>
              <w:t>0,8125 Mbit/s (EGPRS)</w:t>
            </w:r>
          </w:p>
          <w:p w:rsidR="00DE31BE" w:rsidRPr="00CA3220" w:rsidRDefault="00DE31BE" w:rsidP="00664299">
            <w:pPr>
              <w:pStyle w:val="Tabletext"/>
              <w:jc w:val="left"/>
              <w:rPr>
                <w:rFonts w:eastAsia="Batang"/>
                <w:lang w:val="fr-CH" w:eastAsia="ko-KR"/>
              </w:rPr>
            </w:pPr>
            <w:r w:rsidRPr="00CA3220">
              <w:rPr>
                <w:rFonts w:eastAsia="Batang"/>
                <w:lang w:val="fr-CH" w:eastAsia="ko-KR"/>
              </w:rPr>
              <w:t>1,3542 Mbit/s (EGPRS2-A)</w:t>
            </w:r>
          </w:p>
          <w:p w:rsidR="00DE31BE" w:rsidRPr="00CA3220" w:rsidRDefault="00DE31BE" w:rsidP="00664299">
            <w:pPr>
              <w:pStyle w:val="Tabletext"/>
              <w:jc w:val="left"/>
              <w:rPr>
                <w:rFonts w:eastAsia="Batang"/>
                <w:lang w:val="fr-CH" w:eastAsia="ko-KR"/>
              </w:rPr>
            </w:pPr>
            <w:r w:rsidRPr="00CA3220">
              <w:rPr>
                <w:rFonts w:eastAsia="Batang"/>
                <w:lang w:val="fr-CH" w:eastAsia="ko-KR"/>
              </w:rPr>
              <w:t>Version 7: Double porteuse dans le sens aval, 2x (EGPRS, EGPRS2-A)</w:t>
            </w:r>
          </w:p>
          <w:p w:rsidR="00DE31BE" w:rsidRPr="00CA3220" w:rsidRDefault="00DE31BE" w:rsidP="00664299">
            <w:pPr>
              <w:pStyle w:val="Tabletext"/>
              <w:jc w:val="left"/>
              <w:rPr>
                <w:rFonts w:eastAsia="Batang"/>
                <w:lang w:val="fr-CH" w:eastAsia="ko-KR"/>
              </w:rPr>
            </w:pPr>
            <w:r w:rsidRPr="00CA3220">
              <w:rPr>
                <w:rFonts w:eastAsia="Batang"/>
                <w:lang w:val="fr-CH" w:eastAsia="ko-KR"/>
              </w:rPr>
              <w:t>Version 12:</w:t>
            </w:r>
          </w:p>
          <w:p w:rsidR="00DE31BE" w:rsidRPr="00CA3220" w:rsidRDefault="00DE31BE" w:rsidP="00664299">
            <w:pPr>
              <w:pStyle w:val="Tabletext"/>
              <w:jc w:val="left"/>
              <w:rPr>
                <w:rFonts w:eastAsia="Batang"/>
                <w:lang w:val="fr-CH" w:eastAsia="ko-KR"/>
              </w:rPr>
            </w:pPr>
            <w:r w:rsidRPr="00CA3220">
              <w:rPr>
                <w:rFonts w:eastAsia="Batang"/>
                <w:lang w:val="fr-CH" w:eastAsia="ko-KR"/>
              </w:rPr>
              <w:t>Multiporteuses dans le sens aval, 2x – 16x (EGPRS, EGPRS2-A)</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2,048 Mbit/s</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346 Mbit/s pour la version 12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~4 Gbit/s pour la version 12</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Débit de données utile maximal dans le sens amont</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Mbit/s</w:t>
            </w:r>
          </w:p>
        </w:tc>
        <w:tc>
          <w:tcPr>
            <w:tcW w:w="1559" w:type="dxa"/>
            <w:hideMark/>
          </w:tcPr>
          <w:p w:rsidR="00DE31BE" w:rsidRPr="007B6CF9" w:rsidRDefault="00DE31BE" w:rsidP="00664299">
            <w:pPr>
              <w:pStyle w:val="Tabletext"/>
              <w:jc w:val="left"/>
              <w:rPr>
                <w:rFonts w:eastAsia="Batang"/>
                <w:lang w:val="en-US" w:eastAsia="ko-KR"/>
              </w:rPr>
            </w:pPr>
            <w:r w:rsidRPr="007B6CF9">
              <w:rPr>
                <w:rFonts w:eastAsia="Batang"/>
                <w:lang w:val="en-US" w:eastAsia="ko-KR"/>
              </w:rPr>
              <w:t>Avec 8 intervalles: 0,1856 Mbit/s (GPRS)</w:t>
            </w:r>
          </w:p>
          <w:p w:rsidR="00DE31BE" w:rsidRPr="007B6CF9" w:rsidRDefault="00DE31BE" w:rsidP="00664299">
            <w:pPr>
              <w:pStyle w:val="Tabletext"/>
              <w:jc w:val="left"/>
              <w:rPr>
                <w:rFonts w:eastAsia="Batang"/>
                <w:lang w:val="en-US" w:eastAsia="ko-KR"/>
              </w:rPr>
            </w:pPr>
            <w:r w:rsidRPr="007B6CF9">
              <w:rPr>
                <w:rFonts w:eastAsia="Batang"/>
                <w:lang w:val="en-US" w:eastAsia="ko-KR"/>
              </w:rPr>
              <w:t>0,5568 Mbit/s (EGPRS)</w:t>
            </w:r>
          </w:p>
          <w:p w:rsidR="00DE31BE" w:rsidRPr="007B6CF9" w:rsidRDefault="00DE31BE" w:rsidP="00664299">
            <w:pPr>
              <w:pStyle w:val="Tabletext"/>
              <w:jc w:val="left"/>
              <w:rPr>
                <w:rFonts w:eastAsia="Batang"/>
                <w:lang w:val="en-US" w:eastAsia="ko-KR"/>
              </w:rPr>
            </w:pPr>
            <w:r w:rsidRPr="007B6CF9">
              <w:rPr>
                <w:rFonts w:eastAsia="Batang"/>
                <w:lang w:val="en-US" w:eastAsia="ko-KR"/>
              </w:rPr>
              <w:t>0,7424 Mbit/s (EGPRS2-A)</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0,960 Mbit/s</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~29 Mbit/s (~15% temps système par rapport à PHY)</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~1,275 Gbit/s</w:t>
            </w:r>
            <w:r w:rsidRPr="00CA3220" w:rsidDel="00C103BF">
              <w:rPr>
                <w:rFonts w:eastAsia="Batang"/>
                <w:lang w:val="fr-CH" w:eastAsia="ko-KR"/>
              </w:rPr>
              <w:t xml:space="preserve"> </w:t>
            </w:r>
            <w:r w:rsidRPr="00CA3220">
              <w:rPr>
                <w:rFonts w:eastAsia="Batang"/>
                <w:lang w:val="fr-CH" w:eastAsia="ko-KR"/>
              </w:rPr>
              <w:t>(~15% temps système par rapport à PHY)</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Débit de données utile maximal dans le sens aval</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Mbit/s</w:t>
            </w:r>
          </w:p>
        </w:tc>
        <w:tc>
          <w:tcPr>
            <w:tcW w:w="1559" w:type="dxa"/>
            <w:hideMark/>
          </w:tcPr>
          <w:p w:rsidR="00DE31BE" w:rsidRPr="007B6CF9" w:rsidRDefault="00DE31BE" w:rsidP="00664299">
            <w:pPr>
              <w:pStyle w:val="Tabletext"/>
              <w:jc w:val="left"/>
              <w:rPr>
                <w:rFonts w:eastAsia="Batang"/>
                <w:lang w:val="en-US" w:eastAsia="ko-KR"/>
              </w:rPr>
            </w:pPr>
            <w:r w:rsidRPr="007B6CF9">
              <w:rPr>
                <w:rFonts w:eastAsia="Batang"/>
                <w:lang w:val="en-US" w:eastAsia="ko-KR"/>
              </w:rPr>
              <w:t>Avec 8 intervalles:</w:t>
            </w:r>
          </w:p>
          <w:p w:rsidR="00DE31BE" w:rsidRPr="007B6CF9" w:rsidRDefault="00DE31BE" w:rsidP="00664299">
            <w:pPr>
              <w:pStyle w:val="Tabletext"/>
              <w:jc w:val="left"/>
              <w:rPr>
                <w:rFonts w:eastAsia="Batang"/>
                <w:lang w:val="en-US" w:eastAsia="ko-KR"/>
              </w:rPr>
            </w:pPr>
            <w:r w:rsidRPr="007B6CF9">
              <w:rPr>
                <w:rFonts w:eastAsia="Batang"/>
                <w:lang w:val="en-US" w:eastAsia="ko-KR"/>
              </w:rPr>
              <w:t>0,1856 Mbit/s (GPRS)</w:t>
            </w:r>
          </w:p>
          <w:p w:rsidR="00DE31BE" w:rsidRPr="007B6CF9" w:rsidRDefault="00DE31BE" w:rsidP="00664299">
            <w:pPr>
              <w:pStyle w:val="Tabletext"/>
              <w:jc w:val="left"/>
              <w:rPr>
                <w:rFonts w:eastAsia="Batang"/>
                <w:lang w:val="en-US" w:eastAsia="ko-KR"/>
              </w:rPr>
            </w:pPr>
            <w:r w:rsidRPr="007B6CF9">
              <w:rPr>
                <w:rFonts w:eastAsia="Batang"/>
                <w:lang w:val="en-US" w:eastAsia="ko-KR"/>
              </w:rPr>
              <w:t>0,5568 Mbit/s (EGPRS)</w:t>
            </w:r>
          </w:p>
          <w:p w:rsidR="00DE31BE" w:rsidRPr="007B6CF9" w:rsidRDefault="00DE31BE" w:rsidP="00664299">
            <w:pPr>
              <w:pStyle w:val="Tabletext"/>
              <w:jc w:val="left"/>
              <w:rPr>
                <w:rFonts w:eastAsia="Batang"/>
                <w:lang w:val="en-US" w:eastAsia="ko-KR"/>
              </w:rPr>
            </w:pPr>
            <w:r w:rsidRPr="007B6CF9">
              <w:rPr>
                <w:rFonts w:eastAsia="Batang"/>
                <w:lang w:val="en-US" w:eastAsia="ko-KR"/>
              </w:rPr>
              <w:t>0,928 Mbit/s (EGPRS2-A)</w:t>
            </w:r>
          </w:p>
          <w:p w:rsidR="00DE31BE" w:rsidRPr="00CA3220" w:rsidRDefault="00DE31BE" w:rsidP="00664299">
            <w:pPr>
              <w:pStyle w:val="Tabletext"/>
              <w:jc w:val="left"/>
              <w:rPr>
                <w:rFonts w:eastAsia="Batang"/>
                <w:lang w:val="fr-CH" w:eastAsia="ko-KR"/>
              </w:rPr>
            </w:pPr>
            <w:r w:rsidRPr="00CA3220">
              <w:rPr>
                <w:rFonts w:eastAsia="Batang"/>
                <w:lang w:val="fr-CH" w:eastAsia="ko-KR"/>
              </w:rPr>
              <w:t>Version 7: Double porteuse dans le sens aval, 2x (EGPRS, EGPRS2-A)</w:t>
            </w:r>
          </w:p>
          <w:p w:rsidR="00DE31BE" w:rsidRPr="00CA3220" w:rsidRDefault="00DE31BE" w:rsidP="00664299">
            <w:pPr>
              <w:pStyle w:val="Tabletext"/>
              <w:jc w:val="left"/>
              <w:rPr>
                <w:rFonts w:eastAsia="Batang"/>
                <w:lang w:val="fr-CH" w:eastAsia="ko-KR"/>
              </w:rPr>
            </w:pPr>
            <w:r w:rsidRPr="00CA3220">
              <w:rPr>
                <w:rFonts w:eastAsia="Batang"/>
                <w:lang w:val="fr-CH" w:eastAsia="ko-KR"/>
              </w:rPr>
              <w:t>Version 12:</w:t>
            </w:r>
          </w:p>
          <w:p w:rsidR="00DE31BE" w:rsidRPr="00CA3220" w:rsidRDefault="00DE31BE" w:rsidP="00664299">
            <w:pPr>
              <w:pStyle w:val="Tabletext"/>
              <w:jc w:val="left"/>
              <w:rPr>
                <w:rFonts w:eastAsia="Batang"/>
                <w:lang w:val="fr-CH" w:eastAsia="ko-KR"/>
              </w:rPr>
            </w:pPr>
            <w:r w:rsidRPr="00CA3220">
              <w:rPr>
                <w:rFonts w:eastAsia="Batang"/>
                <w:lang w:val="fr-CH" w:eastAsia="ko-KR"/>
              </w:rPr>
              <w:t>Multiporteuses dans le sens aval, 2x – 16x (EGPRS, EGPRS2-A)</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1,920 Mbit/s</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~294 Mbit/s (~15% temps système par rapport à PHY)</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~3,4 Gbit/s</w:t>
            </w:r>
            <w:r w:rsidRPr="00CA3220" w:rsidDel="00C103BF">
              <w:rPr>
                <w:rFonts w:eastAsia="Batang"/>
                <w:lang w:val="fr-CH" w:eastAsia="ko-KR"/>
              </w:rPr>
              <w:t xml:space="preserve"> </w:t>
            </w:r>
            <w:r w:rsidRPr="00CA3220">
              <w:rPr>
                <w:rFonts w:eastAsia="Batang"/>
                <w:lang w:val="fr-CH" w:eastAsia="ko-KR"/>
              </w:rPr>
              <w:t>(~15% temps système par rapport à PHY)</w:t>
            </w:r>
          </w:p>
        </w:tc>
      </w:tr>
    </w:tbl>
    <w:p w:rsidR="005D449E" w:rsidRPr="00CA3220" w:rsidRDefault="005D449E"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D449E" w:rsidRPr="00CA3220" w:rsidTr="0041087D">
        <w:trPr>
          <w:cantSplit/>
          <w:tblHeader/>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5D449E" w:rsidRPr="00CA3220" w:rsidRDefault="005D449E" w:rsidP="00664299">
            <w:pPr>
              <w:pStyle w:val="Tablehead"/>
              <w:rPr>
                <w:rFonts w:eastAsia="Batang"/>
                <w:lang w:val="fr-CH" w:eastAsia="ko-KR"/>
              </w:rPr>
            </w:pPr>
            <w:r w:rsidRPr="00CA3220">
              <w:rPr>
                <w:rFonts w:eastAsia="Batang"/>
                <w:lang w:val="fr-CH" w:eastAsia="ko-KR"/>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Normes pour les radiocommunica-tions publiques fonctionnant dans les bandes sans obligation de licence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GHz L/UL</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Peut être mise en oeuvre mais pas spécifiée actuellement</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Peut être mise en oeuvre</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Peut être mise en oeuvre</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Peut être mise en oeuvre </w:t>
            </w:r>
          </w:p>
          <w:p w:rsidR="00DE31BE" w:rsidRPr="00CA3220" w:rsidRDefault="00DE31BE" w:rsidP="00664299">
            <w:pPr>
              <w:pStyle w:val="Tabletext"/>
              <w:jc w:val="left"/>
              <w:rPr>
                <w:rFonts w:eastAsia="Batang"/>
                <w:lang w:val="fr-CH" w:eastAsia="ko-KR"/>
              </w:rPr>
            </w:pPr>
            <w:r w:rsidRPr="00CA3220">
              <w:rPr>
                <w:rFonts w:eastAsia="Batang"/>
                <w:lang w:val="fr-CH" w:eastAsia="ko-KR"/>
              </w:rPr>
              <w:t>(Accès avec licence-facilité aux bandes sans obligation de licence prévues pour la version 13)</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Normes pour les radiocommunica-tions publiques fonctionnant dans les bandes avec obligation de licence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GHz L/UL</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Bandes multiples conformément à 3GPP 45.005</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Bandes multiples conformément à 3GPP 25.101</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Bandes multiples conformément à 3GPP 25.101</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Bandes multiples 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Normes pour les radiocommunica-tions privées fonctionnant dans les bandes avec obligation de licence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GHz L/UL</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Peut être mise en oeuvre mais pas spécifiée actuellement</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Peut être mise en oeuvre mais pas spécifiée actuellement</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Peut être mise en oeuvre mais pas spécifiée actuellement</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y compris avec fonction «push to talk» (communication vocale instantanée) et technologie directe de dispositif à dispositif.</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Méthode duplex</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DRT/DRF</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DRF</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DRF et DRT</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DRF et DRT</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DRF et DRT, y compris DRF semi-duplex</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Largeur de bande de la porteuse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kHz</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208 kHz @ 99%</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5 MHz pour DRF</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5 MHz pour DRF</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1,4; 3, 5, 10, 15, 20 MHz </w:t>
            </w:r>
          </w:p>
          <w:p w:rsidR="00DE31BE" w:rsidRPr="00CA3220" w:rsidRDefault="00DE31BE" w:rsidP="00664299">
            <w:pPr>
              <w:pStyle w:val="Tabletext"/>
              <w:jc w:val="left"/>
              <w:rPr>
                <w:rFonts w:eastAsia="Batang"/>
                <w:lang w:val="fr-CH" w:eastAsia="ko-KR"/>
              </w:rPr>
            </w:pPr>
            <w:r w:rsidRPr="00CA3220">
              <w:rPr>
                <w:rFonts w:eastAsia="Batang"/>
                <w:lang w:val="fr-CH" w:eastAsia="ko-KR"/>
              </w:rPr>
              <w:t>Jusqu'à 100 MHz de largeur de bande cumulée avec regroupement de porteuses</w:t>
            </w:r>
          </w:p>
        </w:tc>
      </w:tr>
    </w:tbl>
    <w:p w:rsidR="00D77A6B" w:rsidRPr="00CA3220" w:rsidRDefault="00D77A6B"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D77A6B" w:rsidRPr="00CA3220" w:rsidTr="0041087D">
        <w:trPr>
          <w:cantSplit/>
          <w:tblHeader/>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D77A6B" w:rsidRPr="00CA3220" w:rsidRDefault="00D77A6B" w:rsidP="00664299">
            <w:pPr>
              <w:pStyle w:val="Tablehead"/>
              <w:rPr>
                <w:rFonts w:eastAsia="Batang"/>
                <w:lang w:val="fr-CH" w:eastAsia="ko-KR"/>
              </w:rPr>
            </w:pPr>
            <w:r w:rsidRPr="00CA3220">
              <w:rPr>
                <w:rFonts w:eastAsia="Batang"/>
                <w:lang w:val="fr-CH"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D77A6B" w:rsidRPr="00CA3220" w:rsidRDefault="00D77A6B" w:rsidP="00664299">
            <w:pPr>
              <w:pStyle w:val="Tablehead"/>
              <w:rPr>
                <w:rFonts w:eastAsia="Batang"/>
                <w:lang w:val="fr-CH" w:eastAsia="ko-KR"/>
              </w:rPr>
            </w:pPr>
            <w:r w:rsidRPr="00CA3220">
              <w:rPr>
                <w:rFonts w:eastAsia="Batang"/>
                <w:lang w:val="fr-CH"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77A6B" w:rsidRPr="00CA3220" w:rsidRDefault="00D77A6B" w:rsidP="00664299">
            <w:pPr>
              <w:pStyle w:val="Tablehead"/>
              <w:rPr>
                <w:rFonts w:eastAsia="Batang"/>
                <w:lang w:val="fr-CH" w:eastAsia="ko-KR"/>
              </w:rPr>
            </w:pPr>
            <w:r w:rsidRPr="00CA3220">
              <w:rPr>
                <w:rFonts w:eastAsia="Batang"/>
                <w:lang w:val="fr-CH"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D77A6B" w:rsidRPr="00CA3220" w:rsidRDefault="00D77A6B" w:rsidP="00664299">
            <w:pPr>
              <w:pStyle w:val="Tablehead"/>
              <w:rPr>
                <w:rFonts w:eastAsia="Batang"/>
                <w:lang w:val="fr-CH" w:eastAsia="ko-KR"/>
              </w:rPr>
            </w:pPr>
            <w:r w:rsidRPr="00CA3220">
              <w:rPr>
                <w:rFonts w:eastAsia="Batang"/>
                <w:lang w:val="fr-CH"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D77A6B" w:rsidRPr="00CA3220" w:rsidRDefault="00D77A6B" w:rsidP="00664299">
            <w:pPr>
              <w:pStyle w:val="Tablehead"/>
              <w:rPr>
                <w:rFonts w:eastAsia="Batang"/>
                <w:lang w:val="fr-CH" w:eastAsia="ko-KR"/>
              </w:rPr>
            </w:pPr>
            <w:r w:rsidRPr="00CA3220">
              <w:rPr>
                <w:rFonts w:eastAsia="Batang"/>
                <w:lang w:val="fr-CH"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D77A6B" w:rsidRPr="00CA3220" w:rsidRDefault="00D77A6B" w:rsidP="00664299">
            <w:pPr>
              <w:pStyle w:val="Tablehead"/>
              <w:rPr>
                <w:rFonts w:eastAsia="Batang"/>
                <w:lang w:val="fr-CH" w:eastAsia="ko-KR"/>
              </w:rPr>
            </w:pPr>
            <w:r w:rsidRPr="00CA3220">
              <w:rPr>
                <w:rFonts w:eastAsia="Batang"/>
                <w:lang w:val="fr-CH" w:eastAsia="ko-KR"/>
              </w:rPr>
              <w:t>LTE</w:t>
            </w:r>
          </w:p>
        </w:tc>
      </w:tr>
      <w:tr w:rsidR="00D77A6B" w:rsidRPr="00CA3220" w:rsidTr="008E1A19">
        <w:trPr>
          <w:cantSplit/>
          <w:jc w:val="center"/>
        </w:trPr>
        <w:tc>
          <w:tcPr>
            <w:tcW w:w="1778" w:type="dxa"/>
            <w:noWrap/>
            <w:hideMark/>
          </w:tcPr>
          <w:p w:rsidR="00D77A6B" w:rsidRPr="00CA3220" w:rsidRDefault="00D77A6B" w:rsidP="00664299">
            <w:pPr>
              <w:pStyle w:val="Tabletext"/>
              <w:jc w:val="left"/>
              <w:rPr>
                <w:rFonts w:eastAsia="Batang"/>
                <w:lang w:val="fr-CH" w:eastAsia="ko-KR"/>
              </w:rPr>
            </w:pPr>
            <w:r w:rsidRPr="00CA3220">
              <w:rPr>
                <w:rFonts w:eastAsia="Batang"/>
                <w:lang w:val="fr-CH" w:eastAsia="ko-KR"/>
              </w:rPr>
              <w:t>Espacement des canaux</w:t>
            </w:r>
          </w:p>
        </w:tc>
        <w:tc>
          <w:tcPr>
            <w:tcW w:w="1621" w:type="dxa"/>
            <w:hideMark/>
          </w:tcPr>
          <w:p w:rsidR="00D77A6B" w:rsidRPr="00CA3220" w:rsidRDefault="00D77A6B" w:rsidP="00664299">
            <w:pPr>
              <w:pStyle w:val="Tabletext"/>
              <w:jc w:val="left"/>
              <w:rPr>
                <w:rFonts w:eastAsia="Batang"/>
                <w:lang w:val="fr-CH" w:eastAsia="ko-KR"/>
              </w:rPr>
            </w:pPr>
            <w:r w:rsidRPr="00CA3220">
              <w:rPr>
                <w:rFonts w:eastAsia="Batang"/>
                <w:lang w:val="fr-CH" w:eastAsia="ko-KR"/>
              </w:rPr>
              <w:t>kHz</w:t>
            </w:r>
          </w:p>
        </w:tc>
        <w:tc>
          <w:tcPr>
            <w:tcW w:w="1559" w:type="dxa"/>
            <w:hideMark/>
          </w:tcPr>
          <w:p w:rsidR="00D77A6B" w:rsidRPr="00CA3220" w:rsidRDefault="00D77A6B" w:rsidP="00664299">
            <w:pPr>
              <w:pStyle w:val="Tabletext"/>
              <w:jc w:val="left"/>
              <w:rPr>
                <w:rFonts w:eastAsia="Batang"/>
                <w:lang w:val="fr-CH" w:eastAsia="ko-KR"/>
              </w:rPr>
            </w:pPr>
            <w:r w:rsidRPr="00CA3220">
              <w:rPr>
                <w:rFonts w:eastAsia="Batang"/>
                <w:lang w:val="fr-CH" w:eastAsia="ko-KR"/>
              </w:rPr>
              <w:t xml:space="preserve">Espacement de 200 kHz </w:t>
            </w:r>
          </w:p>
        </w:tc>
        <w:tc>
          <w:tcPr>
            <w:tcW w:w="1480" w:type="dxa"/>
            <w:hideMark/>
          </w:tcPr>
          <w:p w:rsidR="00D77A6B" w:rsidRPr="00CA3220" w:rsidRDefault="00D77A6B" w:rsidP="00664299">
            <w:pPr>
              <w:pStyle w:val="Tabletext"/>
              <w:jc w:val="left"/>
              <w:rPr>
                <w:rFonts w:eastAsia="Batang"/>
                <w:lang w:val="fr-CH" w:eastAsia="ko-KR"/>
              </w:rPr>
            </w:pPr>
            <w:r w:rsidRPr="00CA3220">
              <w:rPr>
                <w:rFonts w:eastAsia="Batang"/>
                <w:lang w:val="fr-CH" w:eastAsia="ko-KR"/>
              </w:rPr>
              <w:t>5 MHz avec DRF</w:t>
            </w:r>
          </w:p>
        </w:tc>
        <w:tc>
          <w:tcPr>
            <w:tcW w:w="1637" w:type="dxa"/>
            <w:hideMark/>
          </w:tcPr>
          <w:p w:rsidR="00D77A6B" w:rsidRPr="00CA3220" w:rsidRDefault="00D77A6B" w:rsidP="00664299">
            <w:pPr>
              <w:pStyle w:val="Tabletext"/>
              <w:jc w:val="left"/>
              <w:rPr>
                <w:rFonts w:eastAsia="Batang"/>
                <w:lang w:val="fr-CH" w:eastAsia="ko-KR"/>
              </w:rPr>
            </w:pPr>
            <w:r w:rsidRPr="00CA3220">
              <w:rPr>
                <w:rFonts w:eastAsia="Batang"/>
                <w:lang w:val="fr-CH" w:eastAsia="ko-KR"/>
              </w:rPr>
              <w:t>5 MHz avec DRF</w:t>
            </w:r>
          </w:p>
        </w:tc>
        <w:tc>
          <w:tcPr>
            <w:tcW w:w="1564" w:type="dxa"/>
            <w:hideMark/>
          </w:tcPr>
          <w:p w:rsidR="00D77A6B" w:rsidRPr="00CA3220" w:rsidRDefault="00D77A6B" w:rsidP="00664299">
            <w:pPr>
              <w:pStyle w:val="Tabletext"/>
              <w:jc w:val="left"/>
              <w:rPr>
                <w:rFonts w:eastAsia="Batang"/>
                <w:lang w:val="fr-CH" w:eastAsia="ko-KR"/>
              </w:rPr>
            </w:pPr>
            <w:r w:rsidRPr="00CA3220">
              <w:rPr>
                <w:rFonts w:eastAsia="Batang"/>
                <w:lang w:val="fr-CH" w:eastAsia="ko-KR"/>
              </w:rPr>
              <w:t>Espacement nominal des canaux = (BWChannel(1) + BWChannel(2))/2, où BWChannel(1) et BWChannel(2) sont les largeurs de bande de canal des deux porteuses respectives.</w:t>
            </w:r>
          </w:p>
        </w:tc>
      </w:tr>
      <w:tr w:rsidR="00DE31BE" w:rsidRPr="00CA3220" w:rsidTr="00B824BF">
        <w:trPr>
          <w:cantSplit/>
          <w:jc w:val="center"/>
        </w:trPr>
        <w:tc>
          <w:tcPr>
            <w:tcW w:w="3399" w:type="dxa"/>
            <w:gridSpan w:val="2"/>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Nombre de canaux qui ne se chevauchent pas dans la bande de fonctionnement</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Voir 3GPP 45.005</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Voir 3GPP 25.101</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Voir 3GPP 25.101</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Voir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Efficacité spectrale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bits/s/Hz</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270,8/200= 1,354 (GPRS)</w:t>
            </w:r>
          </w:p>
          <w:p w:rsidR="00DE31BE" w:rsidRPr="00CA3220" w:rsidRDefault="00DE31BE" w:rsidP="00664299">
            <w:pPr>
              <w:pStyle w:val="Tabletext"/>
              <w:jc w:val="left"/>
              <w:rPr>
                <w:rFonts w:eastAsia="Batang"/>
                <w:lang w:val="fr-CH" w:eastAsia="ko-KR"/>
              </w:rPr>
            </w:pPr>
            <w:r w:rsidRPr="00CA3220">
              <w:rPr>
                <w:rFonts w:eastAsia="Batang"/>
                <w:lang w:val="fr-CH" w:eastAsia="ko-KR"/>
              </w:rPr>
              <w:t>812,5/200 = 4,0625 (EGPRS)</w:t>
            </w:r>
          </w:p>
          <w:p w:rsidR="00DE31BE" w:rsidRPr="00CA3220" w:rsidRDefault="00DE31BE" w:rsidP="00664299">
            <w:pPr>
              <w:pStyle w:val="Tabletext"/>
              <w:jc w:val="left"/>
              <w:rPr>
                <w:rFonts w:eastAsia="Batang"/>
                <w:lang w:val="fr-CH" w:eastAsia="ko-KR"/>
              </w:rPr>
            </w:pPr>
            <w:r w:rsidRPr="00CA3220">
              <w:rPr>
                <w:rFonts w:eastAsia="Batang"/>
                <w:lang w:val="fr-CH" w:eastAsia="ko-KR"/>
              </w:rPr>
              <w:t>1354,2/200= 6,771 (EGPRS2-A)</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0,2048 bit/s/Hz sens amont; 0,4096 bit/s/Hz sens aval</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2,2 bit/s/Hz sens amont; 5,6 bit/s/Hz sens aval</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15 bit/s/Hz sens amont; 40 bit/s/Hz sens aval</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Efficacité spectrale moyenne des cellules</w:t>
            </w:r>
          </w:p>
        </w:tc>
        <w:tc>
          <w:tcPr>
            <w:tcW w:w="1621" w:type="dxa"/>
            <w:hideMark/>
          </w:tcPr>
          <w:p w:rsidR="00DE31BE" w:rsidRPr="009627F4" w:rsidRDefault="00DE31BE" w:rsidP="00664299">
            <w:pPr>
              <w:pStyle w:val="Tabletext"/>
              <w:jc w:val="left"/>
              <w:rPr>
                <w:rFonts w:eastAsia="Batang"/>
                <w:sz w:val="21"/>
                <w:szCs w:val="21"/>
                <w:lang w:val="fr-CH" w:eastAsia="ko-KR"/>
              </w:rPr>
            </w:pPr>
            <w:r w:rsidRPr="009627F4">
              <w:rPr>
                <w:rFonts w:eastAsia="Batang"/>
                <w:sz w:val="21"/>
                <w:szCs w:val="21"/>
                <w:lang w:val="fr-CH" w:eastAsia="ko-KR"/>
              </w:rPr>
              <w:t>bits/s/Hz/cellule</w:t>
            </w:r>
          </w:p>
        </w:tc>
        <w:tc>
          <w:tcPr>
            <w:tcW w:w="1559" w:type="dxa"/>
            <w:hideMark/>
          </w:tcPr>
          <w:p w:rsidR="00DE31BE" w:rsidRPr="007B6CF9" w:rsidRDefault="00DE31BE" w:rsidP="00664299">
            <w:pPr>
              <w:pStyle w:val="Tabletext"/>
              <w:jc w:val="left"/>
              <w:rPr>
                <w:rFonts w:eastAsia="Batang"/>
                <w:lang w:val="en-US" w:eastAsia="ko-KR"/>
              </w:rPr>
            </w:pPr>
            <w:r w:rsidRPr="007B6CF9">
              <w:rPr>
                <w:rFonts w:eastAsia="Batang"/>
                <w:lang w:val="en-US" w:eastAsia="ko-KR"/>
              </w:rPr>
              <w:t>1,1760 Mbit/s/</w:t>
            </w:r>
            <w:r w:rsidRPr="007B6CF9">
              <w:rPr>
                <w:rFonts w:eastAsia="Batang"/>
                <w:lang w:val="en-US" w:eastAsia="ko-KR"/>
              </w:rPr>
              <w:br/>
              <w:t>MHz/cellule (Veh A50) (EGPRS)</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0,67 sens aval (avec diversité); 0,47 sens amont (Piéton A)</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scenario de déploiement, exemples de plage: 1,1-1,6 sens aval; 0,7-2,3 sens amont</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scenario de déploiement, exemples de plage pour la version 8: 1,8</w:t>
            </w:r>
            <w:r w:rsidRPr="00CA3220">
              <w:rPr>
                <w:rFonts w:eastAsia="Batang"/>
                <w:lang w:val="fr-CH" w:eastAsia="ko-KR"/>
              </w:rPr>
              <w:noBreakHyphen/>
              <w:t xml:space="preserve">3,2 sens aval; 0,7-1,05 sens amont </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Durée de la trame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Ms</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120/26 ms</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10 ms </w:t>
            </w:r>
            <w:r w:rsidRPr="00CA3220">
              <w:rPr>
                <w:rFonts w:eastAsia="Batang"/>
                <w:lang w:val="fr-CH" w:eastAsia="ko-KR"/>
              </w:rPr>
              <w:br/>
              <w:t>(2 ms TTI)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10 ms (2 ms TTI)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10 ms </w:t>
            </w:r>
            <w:r w:rsidRPr="00CA3220">
              <w:rPr>
                <w:rFonts w:eastAsia="Batang"/>
                <w:lang w:val="fr-CH" w:eastAsia="ko-KR"/>
              </w:rPr>
              <w:br/>
              <w:t>(1 ms TTI)</w:t>
            </w:r>
          </w:p>
        </w:tc>
      </w:tr>
    </w:tbl>
    <w:p w:rsidR="00DE31BE" w:rsidRPr="00CA3220" w:rsidRDefault="00DE31BE"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DE31BE" w:rsidRPr="00CA3220" w:rsidTr="0041087D">
        <w:trPr>
          <w:cantSplit/>
          <w:jc w:val="center"/>
        </w:trPr>
        <w:tc>
          <w:tcPr>
            <w:tcW w:w="1778" w:type="dxa"/>
            <w:noWrap/>
            <w:vAlign w:val="center"/>
            <w:hideMark/>
          </w:tcPr>
          <w:p w:rsidR="00DE31BE" w:rsidRPr="00CA3220" w:rsidRDefault="00DE31BE" w:rsidP="00664299">
            <w:pPr>
              <w:pStyle w:val="Tablehead"/>
              <w:rPr>
                <w:rFonts w:eastAsia="Batang"/>
                <w:lang w:val="fr-CH"/>
              </w:rPr>
            </w:pPr>
            <w:r w:rsidRPr="00CA3220">
              <w:rPr>
                <w:rFonts w:eastAsia="Batang"/>
                <w:lang w:val="fr-CH"/>
              </w:rPr>
              <w:t>Caractéristiques de la fonctionnalité</w:t>
            </w:r>
          </w:p>
        </w:tc>
        <w:tc>
          <w:tcPr>
            <w:tcW w:w="1621" w:type="dxa"/>
            <w:vAlign w:val="center"/>
            <w:hideMark/>
          </w:tcPr>
          <w:p w:rsidR="00DE31BE" w:rsidRPr="00CA3220" w:rsidRDefault="00DE31BE" w:rsidP="00664299">
            <w:pPr>
              <w:pStyle w:val="Tablehead"/>
              <w:rPr>
                <w:rFonts w:eastAsia="Batang"/>
                <w:lang w:val="fr-CH"/>
              </w:rPr>
            </w:pPr>
            <w:r w:rsidRPr="00CA3220">
              <w:rPr>
                <w:rFonts w:eastAsia="Batang"/>
                <w:lang w:val="fr-CH"/>
              </w:rPr>
              <w:t xml:space="preserve">Unité de mesure </w:t>
            </w:r>
          </w:p>
        </w:tc>
        <w:tc>
          <w:tcPr>
            <w:tcW w:w="1559" w:type="dxa"/>
            <w:noWrap/>
            <w:vAlign w:val="center"/>
            <w:hideMark/>
          </w:tcPr>
          <w:p w:rsidR="00DE31BE" w:rsidRPr="00CA3220" w:rsidRDefault="00DE31BE" w:rsidP="00664299">
            <w:pPr>
              <w:pStyle w:val="Tablehead"/>
              <w:rPr>
                <w:rFonts w:eastAsia="Batang"/>
                <w:lang w:val="fr-CH"/>
              </w:rPr>
            </w:pPr>
            <w:r w:rsidRPr="00CA3220">
              <w:rPr>
                <w:rFonts w:eastAsia="Batang"/>
                <w:lang w:val="fr-CH"/>
              </w:rPr>
              <w:t>GSM/EDGE</w:t>
            </w:r>
          </w:p>
        </w:tc>
        <w:tc>
          <w:tcPr>
            <w:tcW w:w="1480" w:type="dxa"/>
            <w:vAlign w:val="center"/>
            <w:hideMark/>
          </w:tcPr>
          <w:p w:rsidR="00DE31BE" w:rsidRPr="00CA3220" w:rsidRDefault="00DE31BE" w:rsidP="00664299">
            <w:pPr>
              <w:pStyle w:val="Tablehead"/>
              <w:rPr>
                <w:rFonts w:eastAsia="Batang"/>
                <w:lang w:val="fr-CH"/>
              </w:rPr>
            </w:pPr>
            <w:r w:rsidRPr="00CA3220">
              <w:rPr>
                <w:rFonts w:eastAsia="Batang"/>
                <w:lang w:val="fr-CH"/>
              </w:rPr>
              <w:t>UMTS</w:t>
            </w:r>
          </w:p>
        </w:tc>
        <w:tc>
          <w:tcPr>
            <w:tcW w:w="1637" w:type="dxa"/>
            <w:noWrap/>
            <w:vAlign w:val="center"/>
            <w:hideMark/>
          </w:tcPr>
          <w:p w:rsidR="00DE31BE" w:rsidRPr="00CA3220" w:rsidRDefault="00DE31BE" w:rsidP="00664299">
            <w:pPr>
              <w:pStyle w:val="Tablehead"/>
              <w:rPr>
                <w:rFonts w:eastAsia="Batang"/>
                <w:lang w:val="fr-CH"/>
              </w:rPr>
            </w:pPr>
            <w:r w:rsidRPr="00CA3220">
              <w:rPr>
                <w:rFonts w:eastAsia="Batang"/>
                <w:lang w:val="fr-CH"/>
              </w:rPr>
              <w:t>HSPA+</w:t>
            </w:r>
          </w:p>
        </w:tc>
        <w:tc>
          <w:tcPr>
            <w:tcW w:w="1564" w:type="dxa"/>
            <w:vAlign w:val="center"/>
            <w:hideMark/>
          </w:tcPr>
          <w:p w:rsidR="00DE31BE" w:rsidRPr="00CA3220" w:rsidRDefault="00DE31BE" w:rsidP="00664299">
            <w:pPr>
              <w:pStyle w:val="Tablehead"/>
              <w:rPr>
                <w:rFonts w:eastAsia="Batang"/>
                <w:lang w:val="fr-CH"/>
              </w:rPr>
            </w:pPr>
            <w:r w:rsidRPr="00CA3220">
              <w:rPr>
                <w:rFonts w:eastAsia="Batang"/>
                <w:lang w:val="fr-CH"/>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Taille maximale des paquets</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Octets</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1 560 octets à l'interface RLC </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Pas de taille fixe pour DRF (dépend du niveau de modulation et du nombre de codes de découpage des canaux); DRT (3,84 Mbit/s) = 12 750 octets (voir 3GPP 25.321)</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42 192 bits par flux dans sens aval; 22 996 bits dans sens amont</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8 188 octets pour sens aval/sens amont</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Prise en charge de la segmentation</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Oui/Non</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Technique de diversité</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Antenne, polarisation, spatiale, temporelle</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Orientation du faisceau</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Oui/Non</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Non</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Non </w:t>
            </w:r>
            <w:r w:rsidRPr="00CA3220">
              <w:rPr>
                <w:rFonts w:eastAsia="Batang"/>
                <w:i/>
                <w:iCs/>
                <w:lang w:val="fr-CH" w:eastAsia="ko-KR"/>
              </w:rPr>
              <w:t>(pour version 5)</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Retransmission</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ARQ/HARQ/-</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ARQ, HARQ –redondance incrémentale</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ARQ/HARQ</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ARQ/HARQ</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ARQ/HARQ</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Technique de correction d'erreur</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Codage convolutionnel poinçonné</w:t>
            </w:r>
          </w:p>
          <w:p w:rsidR="00DE31BE" w:rsidRPr="00CA3220" w:rsidRDefault="00DE31BE" w:rsidP="00664299">
            <w:pPr>
              <w:pStyle w:val="Tabletext"/>
              <w:jc w:val="left"/>
              <w:rPr>
                <w:rFonts w:eastAsia="Batang"/>
                <w:lang w:val="fr-CH" w:eastAsia="ko-KR"/>
              </w:rPr>
            </w:pPr>
            <w:r w:rsidRPr="00CA3220">
              <w:rPr>
                <w:rFonts w:eastAsia="Batang"/>
                <w:lang w:val="fr-CH" w:eastAsia="ko-KR"/>
              </w:rPr>
              <w:t>Turbo ajouté à EGPRS2-A conformément à la version 7</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Convolutionnel et turbo</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Convolutionnel et turbo</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Turbo; convolution avec bit d'extrémité sur BCH</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Suppression des brouillages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suppression des brouillages avec une seule antenne (SAIC) pour sens aval</w:t>
            </w:r>
          </w:p>
          <w:p w:rsidR="00DE31BE" w:rsidRPr="00CA3220" w:rsidRDefault="00DE31BE" w:rsidP="00664299">
            <w:pPr>
              <w:pStyle w:val="Tabletext"/>
              <w:jc w:val="left"/>
              <w:rPr>
                <w:rFonts w:eastAsia="Batang"/>
                <w:lang w:val="fr-CH" w:eastAsia="ko-KR"/>
              </w:rPr>
            </w:pPr>
            <w:r w:rsidRPr="00CA3220">
              <w:rPr>
                <w:rFonts w:eastAsia="Batang"/>
                <w:lang w:val="fr-CH" w:eastAsia="ko-KR"/>
              </w:rPr>
              <w:t>IRC pour sens amont et sens aval</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Non </w:t>
            </w:r>
            <w:r w:rsidRPr="00CA3220">
              <w:rPr>
                <w:rFonts w:eastAsia="Batang"/>
                <w:i/>
                <w:iCs/>
                <w:lang w:val="fr-CH" w:eastAsia="ko-KR"/>
              </w:rPr>
              <w:t>(pour version 5)</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pour sens amont et sens aval</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bl>
    <w:p w:rsidR="005B68EF" w:rsidRPr="00CA3220" w:rsidRDefault="005B68EF"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B68EF" w:rsidRPr="00CA3220" w:rsidTr="0041087D">
        <w:trPr>
          <w:cantSplit/>
          <w:jc w:val="center"/>
        </w:trPr>
        <w:tc>
          <w:tcPr>
            <w:tcW w:w="1778" w:type="dxa"/>
            <w:noWrap/>
            <w:vAlign w:val="center"/>
            <w:hideMark/>
          </w:tcPr>
          <w:p w:rsidR="005B68EF" w:rsidRPr="00CA3220" w:rsidRDefault="005B68EF" w:rsidP="00664299">
            <w:pPr>
              <w:pStyle w:val="Tablehead"/>
              <w:rPr>
                <w:rFonts w:eastAsia="Batang"/>
                <w:lang w:val="fr-CH"/>
              </w:rPr>
            </w:pPr>
            <w:r w:rsidRPr="00CA3220">
              <w:rPr>
                <w:rFonts w:eastAsia="Batang"/>
                <w:lang w:val="fr-CH"/>
              </w:rPr>
              <w:t>Caractéristiques de la fonctionnalité</w:t>
            </w:r>
          </w:p>
        </w:tc>
        <w:tc>
          <w:tcPr>
            <w:tcW w:w="1621" w:type="dxa"/>
            <w:vAlign w:val="center"/>
            <w:hideMark/>
          </w:tcPr>
          <w:p w:rsidR="005B68EF" w:rsidRPr="00CA3220" w:rsidRDefault="005B68EF" w:rsidP="00664299">
            <w:pPr>
              <w:pStyle w:val="Tablehead"/>
              <w:rPr>
                <w:rFonts w:eastAsia="Batang"/>
                <w:lang w:val="fr-CH"/>
              </w:rPr>
            </w:pPr>
            <w:r w:rsidRPr="00CA3220">
              <w:rPr>
                <w:rFonts w:eastAsia="Batang"/>
                <w:lang w:val="fr-CH"/>
              </w:rPr>
              <w:t xml:space="preserve">Unité de mesure </w:t>
            </w:r>
          </w:p>
        </w:tc>
        <w:tc>
          <w:tcPr>
            <w:tcW w:w="1559" w:type="dxa"/>
            <w:noWrap/>
            <w:vAlign w:val="center"/>
            <w:hideMark/>
          </w:tcPr>
          <w:p w:rsidR="005B68EF" w:rsidRPr="00CA3220" w:rsidRDefault="005B68EF" w:rsidP="00664299">
            <w:pPr>
              <w:pStyle w:val="Tablehead"/>
              <w:rPr>
                <w:rFonts w:eastAsia="Batang"/>
                <w:lang w:val="fr-CH"/>
              </w:rPr>
            </w:pPr>
            <w:r w:rsidRPr="00CA3220">
              <w:rPr>
                <w:rFonts w:eastAsia="Batang"/>
                <w:lang w:val="fr-CH"/>
              </w:rPr>
              <w:t>GSM/EDGE</w:t>
            </w:r>
          </w:p>
        </w:tc>
        <w:tc>
          <w:tcPr>
            <w:tcW w:w="1480" w:type="dxa"/>
            <w:vAlign w:val="center"/>
            <w:hideMark/>
          </w:tcPr>
          <w:p w:rsidR="005B68EF" w:rsidRPr="00CA3220" w:rsidRDefault="005B68EF" w:rsidP="00664299">
            <w:pPr>
              <w:pStyle w:val="Tablehead"/>
              <w:rPr>
                <w:rFonts w:eastAsia="Batang"/>
                <w:lang w:val="fr-CH"/>
              </w:rPr>
            </w:pPr>
            <w:r w:rsidRPr="00CA3220">
              <w:rPr>
                <w:rFonts w:eastAsia="Batang"/>
                <w:lang w:val="fr-CH"/>
              </w:rPr>
              <w:t>UMTS</w:t>
            </w:r>
          </w:p>
        </w:tc>
        <w:tc>
          <w:tcPr>
            <w:tcW w:w="1637" w:type="dxa"/>
            <w:noWrap/>
            <w:vAlign w:val="center"/>
            <w:hideMark/>
          </w:tcPr>
          <w:p w:rsidR="005B68EF" w:rsidRPr="00CA3220" w:rsidRDefault="005B68EF" w:rsidP="00664299">
            <w:pPr>
              <w:pStyle w:val="Tablehead"/>
              <w:rPr>
                <w:rFonts w:eastAsia="Batang"/>
                <w:lang w:val="fr-CH"/>
              </w:rPr>
            </w:pPr>
            <w:r w:rsidRPr="00CA3220">
              <w:rPr>
                <w:rFonts w:eastAsia="Batang"/>
                <w:lang w:val="fr-CH"/>
              </w:rPr>
              <w:t>HSPA+</w:t>
            </w:r>
          </w:p>
        </w:tc>
        <w:tc>
          <w:tcPr>
            <w:tcW w:w="1564" w:type="dxa"/>
            <w:vAlign w:val="center"/>
            <w:hideMark/>
          </w:tcPr>
          <w:p w:rsidR="005B68EF" w:rsidRPr="00CA3220" w:rsidRDefault="005B68EF" w:rsidP="00664299">
            <w:pPr>
              <w:pStyle w:val="Tablehead"/>
              <w:rPr>
                <w:rFonts w:eastAsia="Batang"/>
                <w:lang w:val="fr-CH"/>
              </w:rPr>
            </w:pPr>
            <w:r w:rsidRPr="00CA3220">
              <w:rPr>
                <w:rFonts w:eastAsia="Batang"/>
                <w:lang w:val="fr-CH"/>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Fréquence de fonctionnement</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Bandes multiples conformément à 3GPP 45.005</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Spécifiée dans 3GPP 25.101</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Spécifiée dans 3GPP 25.101</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Spécifiée dans 3GPP 36.101</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Nouvelles tentatives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Configurable</w:t>
            </w:r>
          </w:p>
        </w:tc>
        <w:tc>
          <w:tcPr>
            <w:tcW w:w="1480"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Configurable</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Configurable</w:t>
            </w:r>
          </w:p>
        </w:tc>
        <w:tc>
          <w:tcPr>
            <w:tcW w:w="1564"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Configurable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Indicateur d'intensité du signal à la réception (RSSI)</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F7522">
            <w:pPr>
              <w:pStyle w:val="Tabletext"/>
              <w:jc w:val="left"/>
              <w:rPr>
                <w:rFonts w:eastAsia="Batang"/>
                <w:lang w:val="fr-CH" w:eastAsia="ko-KR"/>
              </w:rPr>
            </w:pPr>
            <w:r w:rsidRPr="00CA3220">
              <w:rPr>
                <w:rFonts w:eastAsia="Batang"/>
                <w:lang w:val="fr-CH" w:eastAsia="ko-KR"/>
              </w:rPr>
              <w:t xml:space="preserve">Oui; 64 niveaux entre </w:t>
            </w:r>
            <w:r w:rsidR="006F7522">
              <w:rPr>
                <w:rFonts w:eastAsia="Batang"/>
                <w:lang w:val="fr-CH" w:eastAsia="ko-KR"/>
              </w:rPr>
              <w:t>−</w:t>
            </w:r>
            <w:r w:rsidRPr="00CA3220">
              <w:rPr>
                <w:rFonts w:eastAsia="Batang"/>
                <w:lang w:val="fr-CH" w:eastAsia="ko-KR"/>
              </w:rPr>
              <w:t xml:space="preserve">110 dBm + échelle et </w:t>
            </w:r>
            <w:r w:rsidR="006F7522">
              <w:rPr>
                <w:rFonts w:eastAsia="Batang"/>
                <w:lang w:val="fr-CH" w:eastAsia="ko-KR"/>
              </w:rPr>
              <w:t>−</w:t>
            </w:r>
            <w:r w:rsidRPr="00CA3220">
              <w:rPr>
                <w:rFonts w:eastAsia="Batang"/>
                <w:lang w:val="fr-CH" w:eastAsia="ko-KR"/>
              </w:rPr>
              <w:t>48 dBm + échelle</w:t>
            </w:r>
          </w:p>
        </w:tc>
        <w:tc>
          <w:tcPr>
            <w:tcW w:w="1480" w:type="dxa"/>
            <w:hideMark/>
          </w:tcPr>
          <w:p w:rsidR="00DE31BE" w:rsidRPr="00CA3220" w:rsidRDefault="00DE31BE" w:rsidP="006F7522">
            <w:pPr>
              <w:pStyle w:val="Tabletext"/>
              <w:jc w:val="left"/>
              <w:rPr>
                <w:rFonts w:eastAsia="Batang"/>
                <w:lang w:val="fr-CH" w:eastAsia="ko-KR"/>
              </w:rPr>
            </w:pPr>
            <w:r w:rsidRPr="00CA3220">
              <w:rPr>
                <w:rFonts w:eastAsia="Batang"/>
                <w:lang w:val="fr-CH" w:eastAsia="ko-KR"/>
              </w:rPr>
              <w:t xml:space="preserve">Oui; 77 niveaux entre </w:t>
            </w:r>
            <w:r w:rsidR="006F7522">
              <w:rPr>
                <w:rFonts w:eastAsia="Batang"/>
                <w:lang w:val="fr-CH" w:eastAsia="ko-KR"/>
              </w:rPr>
              <w:t>−</w:t>
            </w:r>
            <w:r w:rsidRPr="00CA3220">
              <w:rPr>
                <w:rFonts w:eastAsia="Batang"/>
                <w:lang w:val="fr-CH" w:eastAsia="ko-KR"/>
              </w:rPr>
              <w:t>100 dBm et −25 dBm</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77 niveaux entre −100 dBm et −25 dBm</w:t>
            </w:r>
          </w:p>
        </w:tc>
        <w:tc>
          <w:tcPr>
            <w:tcW w:w="1564" w:type="dxa"/>
            <w:hideMark/>
          </w:tcPr>
          <w:p w:rsidR="00DE31BE" w:rsidRPr="00CA3220" w:rsidRDefault="00DE31BE" w:rsidP="006F7522">
            <w:pPr>
              <w:pStyle w:val="Tabletext"/>
              <w:jc w:val="left"/>
              <w:rPr>
                <w:rFonts w:eastAsia="Batang"/>
                <w:lang w:val="fr-CH" w:eastAsia="ko-KR"/>
              </w:rPr>
            </w:pPr>
            <w:r w:rsidRPr="00CA3220">
              <w:rPr>
                <w:rFonts w:eastAsia="Batang"/>
                <w:lang w:val="fr-CH" w:eastAsia="ko-KR"/>
              </w:rPr>
              <w:t xml:space="preserve">LTE indique la puissance du signal de référence reçu (RSRP) pour la cellule LTE voisine et la puissance RSSI (77 niveaux entre </w:t>
            </w:r>
            <w:r w:rsidR="006F7522">
              <w:rPr>
                <w:rFonts w:eastAsia="Batang"/>
                <w:lang w:val="fr-CH" w:eastAsia="ko-KR"/>
              </w:rPr>
              <w:t>−</w:t>
            </w:r>
            <w:r w:rsidRPr="00CA3220">
              <w:rPr>
                <w:rFonts w:eastAsia="Batang"/>
                <w:lang w:val="fr-CH" w:eastAsia="ko-KR"/>
              </w:rPr>
              <w:t xml:space="preserve">100 dBm et </w:t>
            </w:r>
            <w:r w:rsidR="006F7522">
              <w:rPr>
                <w:rFonts w:eastAsia="Batang"/>
                <w:lang w:val="fr-CH" w:eastAsia="ko-KR"/>
              </w:rPr>
              <w:t>−</w:t>
            </w:r>
            <w:r w:rsidRPr="00CA3220">
              <w:rPr>
                <w:rFonts w:eastAsia="Batang"/>
                <w:lang w:val="fr-CH" w:eastAsia="ko-KR"/>
              </w:rPr>
              <w:t>25 dBm) pour les cellules HSPA et EDGE voisines. Voir 3GPP TS 36.133.</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Paquets perdus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Taux d'erreur résiduelle sur les blocs (BLER) = 1% après HARQ</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Taux d'erreur résiduelle sur les blocs = 1% après HARQ</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Dépend du point de fonctionnement mais, en général, 1% d'erreur résiduelle sur les blocs après HARQ</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Dépend du point de </w:t>
            </w:r>
            <w:r w:rsidRPr="006F7522">
              <w:rPr>
                <w:rFonts w:eastAsia="Batang"/>
                <w:spacing w:val="-4"/>
                <w:lang w:val="fr-CH" w:eastAsia="ko-KR"/>
              </w:rPr>
              <w:t>fonctionnement</w:t>
            </w:r>
            <w:r w:rsidRPr="00CA3220">
              <w:rPr>
                <w:rFonts w:eastAsia="Batang"/>
                <w:lang w:val="fr-CH" w:eastAsia="ko-KR"/>
              </w:rPr>
              <w:t xml:space="preserve"> mais en général 1% d'erreur résiduelle sur les blocs après HARQ</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Mécanismes de réduction de la consommation d'énergie</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transmission discontinue (DTX), réception discontinue (DRX) et commande de puissance</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DTX et DRX</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DTX et DRX</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DTX et DRX</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Prise en charge des états de faible puissance</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par exemple cycles DTX/DRX plus longs dans tous les états</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bl>
    <w:p w:rsidR="005B68EF" w:rsidRPr="00CA3220" w:rsidRDefault="005B68EF"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B68EF" w:rsidRPr="00CA3220" w:rsidTr="0041087D">
        <w:trPr>
          <w:cantSplit/>
          <w:jc w:val="center"/>
        </w:trPr>
        <w:tc>
          <w:tcPr>
            <w:tcW w:w="1778" w:type="dxa"/>
            <w:noWrap/>
            <w:vAlign w:val="center"/>
            <w:hideMark/>
          </w:tcPr>
          <w:p w:rsidR="005B68EF" w:rsidRPr="00CA3220" w:rsidRDefault="005B68EF" w:rsidP="00664299">
            <w:pPr>
              <w:pStyle w:val="Tablehead"/>
              <w:rPr>
                <w:rFonts w:eastAsia="Batang"/>
                <w:lang w:val="fr-CH"/>
              </w:rPr>
            </w:pPr>
            <w:r w:rsidRPr="00CA3220">
              <w:rPr>
                <w:rFonts w:eastAsia="Batang"/>
                <w:lang w:val="fr-CH"/>
              </w:rPr>
              <w:t>Caractéristiques de la fonctionnalité</w:t>
            </w:r>
          </w:p>
        </w:tc>
        <w:tc>
          <w:tcPr>
            <w:tcW w:w="1621" w:type="dxa"/>
            <w:vAlign w:val="center"/>
            <w:hideMark/>
          </w:tcPr>
          <w:p w:rsidR="005B68EF" w:rsidRPr="00CA3220" w:rsidRDefault="005B68EF" w:rsidP="00664299">
            <w:pPr>
              <w:pStyle w:val="Tablehead"/>
              <w:rPr>
                <w:rFonts w:eastAsia="Batang"/>
                <w:lang w:val="fr-CH"/>
              </w:rPr>
            </w:pPr>
            <w:r w:rsidRPr="00CA3220">
              <w:rPr>
                <w:rFonts w:eastAsia="Batang"/>
                <w:lang w:val="fr-CH"/>
              </w:rPr>
              <w:t xml:space="preserve">Unité de mesure </w:t>
            </w:r>
          </w:p>
        </w:tc>
        <w:tc>
          <w:tcPr>
            <w:tcW w:w="1559" w:type="dxa"/>
            <w:noWrap/>
            <w:vAlign w:val="center"/>
            <w:hideMark/>
          </w:tcPr>
          <w:p w:rsidR="005B68EF" w:rsidRPr="00CA3220" w:rsidRDefault="005B68EF" w:rsidP="00664299">
            <w:pPr>
              <w:pStyle w:val="Tablehead"/>
              <w:rPr>
                <w:rFonts w:eastAsia="Batang"/>
                <w:lang w:val="fr-CH"/>
              </w:rPr>
            </w:pPr>
            <w:r w:rsidRPr="00CA3220">
              <w:rPr>
                <w:rFonts w:eastAsia="Batang"/>
                <w:lang w:val="fr-CH"/>
              </w:rPr>
              <w:t>GSM/EDGE</w:t>
            </w:r>
          </w:p>
        </w:tc>
        <w:tc>
          <w:tcPr>
            <w:tcW w:w="1480" w:type="dxa"/>
            <w:vAlign w:val="center"/>
            <w:hideMark/>
          </w:tcPr>
          <w:p w:rsidR="005B68EF" w:rsidRPr="00CA3220" w:rsidRDefault="005B68EF" w:rsidP="00664299">
            <w:pPr>
              <w:pStyle w:val="Tablehead"/>
              <w:rPr>
                <w:rFonts w:eastAsia="Batang"/>
                <w:lang w:val="fr-CH"/>
              </w:rPr>
            </w:pPr>
            <w:r w:rsidRPr="00CA3220">
              <w:rPr>
                <w:rFonts w:eastAsia="Batang"/>
                <w:lang w:val="fr-CH"/>
              </w:rPr>
              <w:t>UMTS</w:t>
            </w:r>
          </w:p>
        </w:tc>
        <w:tc>
          <w:tcPr>
            <w:tcW w:w="1637" w:type="dxa"/>
            <w:noWrap/>
            <w:vAlign w:val="center"/>
            <w:hideMark/>
          </w:tcPr>
          <w:p w:rsidR="005B68EF" w:rsidRPr="00CA3220" w:rsidRDefault="005B68EF" w:rsidP="00664299">
            <w:pPr>
              <w:pStyle w:val="Tablehead"/>
              <w:rPr>
                <w:rFonts w:eastAsia="Batang"/>
                <w:lang w:val="fr-CH"/>
              </w:rPr>
            </w:pPr>
            <w:r w:rsidRPr="00CA3220">
              <w:rPr>
                <w:rFonts w:eastAsia="Batang"/>
                <w:lang w:val="fr-CH"/>
              </w:rPr>
              <w:t>HSPA+</w:t>
            </w:r>
          </w:p>
        </w:tc>
        <w:tc>
          <w:tcPr>
            <w:tcW w:w="1564" w:type="dxa"/>
            <w:vAlign w:val="center"/>
            <w:hideMark/>
          </w:tcPr>
          <w:p w:rsidR="005B68EF" w:rsidRPr="00CA3220" w:rsidRDefault="005B68EF" w:rsidP="00664299">
            <w:pPr>
              <w:pStyle w:val="Tablehead"/>
              <w:rPr>
                <w:rFonts w:eastAsia="Batang"/>
                <w:lang w:val="fr-CH"/>
              </w:rPr>
            </w:pPr>
            <w:r w:rsidRPr="00CA3220">
              <w:rPr>
                <w:rFonts w:eastAsia="Batang"/>
                <w:lang w:val="fr-CH"/>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Point à point</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Point à multipoint</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Radiodiffusion</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Transfert</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Méthode d'accès au support</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lang w:val="fr-CH"/>
              </w:rPr>
              <w:t>TDMA à commutation de circuits</w:t>
            </w:r>
          </w:p>
        </w:tc>
        <w:tc>
          <w:tcPr>
            <w:tcW w:w="1480" w:type="dxa"/>
            <w:hideMark/>
          </w:tcPr>
          <w:p w:rsidR="00DE31BE" w:rsidRPr="00CA3220" w:rsidRDefault="00DE31BE" w:rsidP="00664299">
            <w:pPr>
              <w:pStyle w:val="Tabletext"/>
              <w:jc w:val="left"/>
              <w:rPr>
                <w:rFonts w:eastAsia="Batang"/>
                <w:lang w:val="fr-CH" w:eastAsia="ko-KR"/>
              </w:rPr>
            </w:pPr>
            <w:r w:rsidRPr="00CA3220">
              <w:rPr>
                <w:lang w:val="fr-CH"/>
              </w:rPr>
              <w:t>CDMA à commutation de circuits</w:t>
            </w:r>
          </w:p>
        </w:tc>
        <w:tc>
          <w:tcPr>
            <w:tcW w:w="1637" w:type="dxa"/>
            <w:hideMark/>
          </w:tcPr>
          <w:p w:rsidR="00DE31BE" w:rsidRPr="00CA3220" w:rsidRDefault="00DE31BE" w:rsidP="00664299">
            <w:pPr>
              <w:pStyle w:val="Tabletext"/>
              <w:jc w:val="left"/>
              <w:rPr>
                <w:rFonts w:eastAsia="Batang"/>
                <w:lang w:val="fr-CH" w:eastAsia="ko-KR"/>
              </w:rPr>
            </w:pPr>
            <w:r w:rsidRPr="00CA3220">
              <w:rPr>
                <w:lang w:val="fr-CH"/>
              </w:rPr>
              <w:t xml:space="preserve">CDMA programmé par paquets </w:t>
            </w:r>
          </w:p>
        </w:tc>
        <w:tc>
          <w:tcPr>
            <w:tcW w:w="1564" w:type="dxa"/>
            <w:hideMark/>
          </w:tcPr>
          <w:p w:rsidR="00DE31BE" w:rsidRPr="00CA3220" w:rsidRDefault="00DE31BE" w:rsidP="00664299">
            <w:pPr>
              <w:pStyle w:val="Tabletext"/>
              <w:jc w:val="left"/>
              <w:rPr>
                <w:rFonts w:eastAsia="Batang"/>
                <w:lang w:val="fr-CH"/>
              </w:rPr>
            </w:pPr>
            <w:r w:rsidRPr="00CA3220">
              <w:rPr>
                <w:lang w:val="fr-CH"/>
              </w:rPr>
              <w:t>OFDMA programmé par paquets</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Découverte</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Canal de synchronisation et de diffusion</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Canal de synchronisa-tion et de diffusion</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Canal de synchronisation et de diffusion</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Canal de synchronisation et de diffusion</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Association</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Flux de blocs temporaires (TBF)</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Par différents identificateurs RNTI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Par l'identificateur HRNTI et ERNTI attribué aux équipements utilisateurs</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Par l'identificateur CRNTI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Priorité du trafic</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diffserv, resserv</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Priorités définies par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Priorités définies par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Priorités définies par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Priorités définies par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Priorité par file d'attente</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Programmateur dans la station de base</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au niveau du programmateur du Noeud B</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au niveau du programmateur du Noeud B</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au niveau du programmateur du Noeud B</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Détection de l'emplacement (coordonnées x, y, z)</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Méthodes aGPS et UTDOA comme spécifiées par 3GPP </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Méthodes aGPS et UTDOA comme spécifiées par 3GPP </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Méthodes aGPS et UTDOA comme spécifiées par 3GPP </w:t>
            </w:r>
          </w:p>
        </w:tc>
        <w:tc>
          <w:tcPr>
            <w:tcW w:w="1564" w:type="dxa"/>
            <w:hideMark/>
          </w:tcPr>
          <w:p w:rsidR="00DE31BE" w:rsidRPr="00CA3220" w:rsidRDefault="00DE31BE" w:rsidP="00664299">
            <w:pPr>
              <w:pStyle w:val="Tabletext"/>
              <w:jc w:val="left"/>
              <w:rPr>
                <w:rFonts w:eastAsia="Batang"/>
                <w:lang w:val="fr-CH" w:eastAsia="ko-KR"/>
              </w:rPr>
            </w:pPr>
            <w:r w:rsidRPr="00CA3220">
              <w:rPr>
                <w:lang w:val="fr-CH"/>
              </w:rPr>
              <w:t>Méthodes A</w:t>
            </w:r>
            <w:r w:rsidRPr="00CA3220">
              <w:rPr>
                <w:lang w:val="fr-CH"/>
              </w:rPr>
              <w:noBreakHyphen/>
              <w:t>GNSS, OTDOA, E</w:t>
            </w:r>
            <w:r w:rsidRPr="00CA3220">
              <w:rPr>
                <w:lang w:val="fr-CH"/>
              </w:rPr>
              <w:noBreakHyphen/>
              <w:t xml:space="preserve">CID, UTDOA </w:t>
            </w:r>
            <w:r w:rsidRPr="00CA3220">
              <w:rPr>
                <w:rFonts w:eastAsia="Batang"/>
                <w:lang w:val="fr-CH" w:eastAsia="ko-KR"/>
              </w:rPr>
              <w:t>comme spécifiées par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Télémétrie (indication des distances)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p>
        </w:tc>
        <w:tc>
          <w:tcPr>
            <w:tcW w:w="1480" w:type="dxa"/>
            <w:hideMark/>
          </w:tcPr>
          <w:p w:rsidR="00DE31BE" w:rsidRPr="00CA3220" w:rsidRDefault="00DE31BE" w:rsidP="00664299">
            <w:pPr>
              <w:pStyle w:val="Tabletext"/>
              <w:jc w:val="left"/>
              <w:rPr>
                <w:rFonts w:eastAsia="Batang"/>
                <w:lang w:val="fr-CH" w:eastAsia="ko-KR"/>
              </w:rPr>
            </w:pPr>
          </w:p>
        </w:tc>
        <w:tc>
          <w:tcPr>
            <w:tcW w:w="1637" w:type="dxa"/>
            <w:hideMark/>
          </w:tcPr>
          <w:p w:rsidR="00DE31BE" w:rsidRPr="00CA3220" w:rsidRDefault="00DE31BE" w:rsidP="00664299">
            <w:pPr>
              <w:pStyle w:val="Tabletext"/>
              <w:jc w:val="left"/>
              <w:rPr>
                <w:rFonts w:eastAsia="Batang"/>
                <w:lang w:val="fr-CH" w:eastAsia="ko-KR"/>
              </w:rPr>
            </w:pPr>
          </w:p>
        </w:tc>
        <w:tc>
          <w:tcPr>
            <w:tcW w:w="1564" w:type="dxa"/>
            <w:hideMark/>
          </w:tcPr>
          <w:p w:rsidR="00DE31BE" w:rsidRPr="00CA3220" w:rsidRDefault="00DE31BE" w:rsidP="00664299">
            <w:pPr>
              <w:pStyle w:val="Tabletext"/>
              <w:jc w:val="left"/>
              <w:rPr>
                <w:rFonts w:eastAsia="Batang"/>
                <w:lang w:val="fr-CH" w:eastAsia="ko-KR"/>
              </w:rPr>
            </w:pP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Chiffrement</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Algorithmes pris en charge</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A5/3, A5/4, GEA3</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KASUMI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KASUMI et SNOW 3G</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SNOW 3G/AES</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Authentification</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mutuelle</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mutuelle</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 mutuelle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Protection contre les réexécutions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Echange de clés</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Protocoles pris en charge</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MILENAGE</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MILENAGE </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AKA</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AKA</w:t>
            </w:r>
          </w:p>
        </w:tc>
      </w:tr>
    </w:tbl>
    <w:p w:rsidR="00FD7BEA" w:rsidRPr="00CA3220" w:rsidRDefault="00FD7BEA"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FD7BEA" w:rsidRPr="00CA3220" w:rsidTr="0041087D">
        <w:trPr>
          <w:cantSplit/>
          <w:jc w:val="center"/>
        </w:trPr>
        <w:tc>
          <w:tcPr>
            <w:tcW w:w="1778" w:type="dxa"/>
            <w:noWrap/>
            <w:vAlign w:val="center"/>
            <w:hideMark/>
          </w:tcPr>
          <w:p w:rsidR="00FD7BEA" w:rsidRPr="00CA3220" w:rsidRDefault="00FD7BEA" w:rsidP="00664299">
            <w:pPr>
              <w:pStyle w:val="Tablehead"/>
              <w:rPr>
                <w:rFonts w:eastAsia="Batang"/>
                <w:lang w:val="fr-CH"/>
              </w:rPr>
            </w:pPr>
            <w:r w:rsidRPr="00CA3220">
              <w:rPr>
                <w:rFonts w:eastAsia="Batang"/>
                <w:lang w:val="fr-CH"/>
              </w:rPr>
              <w:t>Caractéristiques de la fonctionnalité</w:t>
            </w:r>
          </w:p>
        </w:tc>
        <w:tc>
          <w:tcPr>
            <w:tcW w:w="1621" w:type="dxa"/>
            <w:vAlign w:val="center"/>
            <w:hideMark/>
          </w:tcPr>
          <w:p w:rsidR="00FD7BEA" w:rsidRPr="00CA3220" w:rsidRDefault="00FD7BEA" w:rsidP="00664299">
            <w:pPr>
              <w:pStyle w:val="Tablehead"/>
              <w:rPr>
                <w:rFonts w:eastAsia="Batang"/>
                <w:lang w:val="fr-CH"/>
              </w:rPr>
            </w:pPr>
            <w:r w:rsidRPr="00CA3220">
              <w:rPr>
                <w:rFonts w:eastAsia="Batang"/>
                <w:lang w:val="fr-CH"/>
              </w:rPr>
              <w:t xml:space="preserve">Unité de mesure </w:t>
            </w:r>
          </w:p>
        </w:tc>
        <w:tc>
          <w:tcPr>
            <w:tcW w:w="1559" w:type="dxa"/>
            <w:noWrap/>
            <w:vAlign w:val="center"/>
            <w:hideMark/>
          </w:tcPr>
          <w:p w:rsidR="00FD7BEA" w:rsidRPr="00CA3220" w:rsidRDefault="00FD7BEA" w:rsidP="00664299">
            <w:pPr>
              <w:pStyle w:val="Tablehead"/>
              <w:rPr>
                <w:rFonts w:eastAsia="Batang"/>
                <w:lang w:val="fr-CH"/>
              </w:rPr>
            </w:pPr>
            <w:r w:rsidRPr="00CA3220">
              <w:rPr>
                <w:rFonts w:eastAsia="Batang"/>
                <w:lang w:val="fr-CH"/>
              </w:rPr>
              <w:t>GSM/EDGE</w:t>
            </w:r>
          </w:p>
        </w:tc>
        <w:tc>
          <w:tcPr>
            <w:tcW w:w="1480" w:type="dxa"/>
            <w:vAlign w:val="center"/>
            <w:hideMark/>
          </w:tcPr>
          <w:p w:rsidR="00FD7BEA" w:rsidRPr="00CA3220" w:rsidRDefault="00FD7BEA" w:rsidP="00664299">
            <w:pPr>
              <w:pStyle w:val="Tablehead"/>
              <w:rPr>
                <w:rFonts w:eastAsia="Batang"/>
                <w:lang w:val="fr-CH"/>
              </w:rPr>
            </w:pPr>
            <w:r w:rsidRPr="00CA3220">
              <w:rPr>
                <w:rFonts w:eastAsia="Batang"/>
                <w:lang w:val="fr-CH"/>
              </w:rPr>
              <w:t>UMTS</w:t>
            </w:r>
          </w:p>
        </w:tc>
        <w:tc>
          <w:tcPr>
            <w:tcW w:w="1637" w:type="dxa"/>
            <w:noWrap/>
            <w:vAlign w:val="center"/>
            <w:hideMark/>
          </w:tcPr>
          <w:p w:rsidR="00FD7BEA" w:rsidRPr="00CA3220" w:rsidRDefault="00FD7BEA" w:rsidP="00664299">
            <w:pPr>
              <w:pStyle w:val="Tablehead"/>
              <w:rPr>
                <w:rFonts w:eastAsia="Batang"/>
                <w:lang w:val="fr-CH"/>
              </w:rPr>
            </w:pPr>
            <w:r w:rsidRPr="00CA3220">
              <w:rPr>
                <w:rFonts w:eastAsia="Batang"/>
                <w:lang w:val="fr-CH"/>
              </w:rPr>
              <w:t>HSPA+</w:t>
            </w:r>
          </w:p>
        </w:tc>
        <w:tc>
          <w:tcPr>
            <w:tcW w:w="1564" w:type="dxa"/>
            <w:vAlign w:val="center"/>
            <w:hideMark/>
          </w:tcPr>
          <w:p w:rsidR="00FD7BEA" w:rsidRPr="00CA3220" w:rsidRDefault="00FD7BEA" w:rsidP="00664299">
            <w:pPr>
              <w:pStyle w:val="Tablehead"/>
              <w:rPr>
                <w:rFonts w:eastAsia="Batang"/>
                <w:lang w:val="fr-CH"/>
              </w:rPr>
            </w:pPr>
            <w:r w:rsidRPr="00CA3220">
              <w:rPr>
                <w:rFonts w:eastAsia="Batang"/>
                <w:lang w:val="fr-CH"/>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Sources de brouillage</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Autres utilisateurs, cellules et réseaux</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Autres utilisateurs, cellules et réseaux</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Autres utilisateurs, cellules et réseaux</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Autres utilisateurs, cellules et réseaux</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Brouillages dans le même canal</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Brouillages dans le canal adjacent</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Brouillages dans un autre canal</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Prévention des collisions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Mécanismes de protection</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Gérés comme indiqué dans spécifications et mises en oeuvre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Sensibilité aux autres technologies de radiocommunica-tion brouilleuses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r>
      <w:tr w:rsidR="00DE31BE" w:rsidRPr="00CA3220" w:rsidTr="00B824BF">
        <w:trPr>
          <w:cantSplit/>
          <w:jc w:val="center"/>
        </w:trPr>
        <w:tc>
          <w:tcPr>
            <w:tcW w:w="3399" w:type="dxa"/>
            <w:gridSpan w:val="2"/>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Niveau des brouillages causés aux autres technologies de radiocommunication</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 comme indiqué dans spécifications et mises en oeuvre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Sensibilité aux émissions radioélectriques des lignes électriques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Gérée comme indiqué dans spécifications et mises en oeuvre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Adresse MAC </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bl>
    <w:p w:rsidR="00F54A5E" w:rsidRPr="00CA3220" w:rsidRDefault="00F54A5E" w:rsidP="00664299">
      <w:pPr>
        <w:pStyle w:val="TableNo"/>
        <w:rPr>
          <w:lang w:val="fr-CH"/>
        </w:rPr>
      </w:pPr>
      <w:r w:rsidRPr="00CA3220">
        <w:rPr>
          <w:lang w:val="fr-CH"/>
        </w:rPr>
        <w:lastRenderedPageBreak/>
        <w:t>TABLEAU A1.7 (</w:t>
      </w:r>
      <w:r w:rsidRPr="00CA3220">
        <w:rPr>
          <w:i/>
          <w:iCs/>
          <w:lang w:val="fr-CH"/>
        </w:rPr>
        <w:t>suite</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F54A5E" w:rsidRPr="00CA3220" w:rsidTr="0041087D">
        <w:trPr>
          <w:cantSplit/>
          <w:jc w:val="center"/>
        </w:trPr>
        <w:tc>
          <w:tcPr>
            <w:tcW w:w="1778" w:type="dxa"/>
            <w:noWrap/>
            <w:vAlign w:val="center"/>
            <w:hideMark/>
          </w:tcPr>
          <w:p w:rsidR="00F54A5E" w:rsidRPr="00CA3220" w:rsidRDefault="00F54A5E" w:rsidP="00664299">
            <w:pPr>
              <w:pStyle w:val="Tablehead"/>
              <w:rPr>
                <w:rFonts w:eastAsia="Batang"/>
                <w:lang w:val="fr-CH"/>
              </w:rPr>
            </w:pPr>
            <w:r w:rsidRPr="00CA3220">
              <w:rPr>
                <w:rFonts w:eastAsia="Batang"/>
                <w:lang w:val="fr-CH"/>
              </w:rPr>
              <w:t>Caractéristiques de la fonctionnalité</w:t>
            </w:r>
          </w:p>
        </w:tc>
        <w:tc>
          <w:tcPr>
            <w:tcW w:w="1621" w:type="dxa"/>
            <w:vAlign w:val="center"/>
            <w:hideMark/>
          </w:tcPr>
          <w:p w:rsidR="00F54A5E" w:rsidRPr="00CA3220" w:rsidRDefault="00F54A5E" w:rsidP="00664299">
            <w:pPr>
              <w:pStyle w:val="Tablehead"/>
              <w:rPr>
                <w:rFonts w:eastAsia="Batang"/>
                <w:lang w:val="fr-CH"/>
              </w:rPr>
            </w:pPr>
            <w:r w:rsidRPr="00CA3220">
              <w:rPr>
                <w:rFonts w:eastAsia="Batang"/>
                <w:lang w:val="fr-CH"/>
              </w:rPr>
              <w:t xml:space="preserve">Unité de mesure </w:t>
            </w:r>
          </w:p>
        </w:tc>
        <w:tc>
          <w:tcPr>
            <w:tcW w:w="1559" w:type="dxa"/>
            <w:noWrap/>
            <w:vAlign w:val="center"/>
            <w:hideMark/>
          </w:tcPr>
          <w:p w:rsidR="00F54A5E" w:rsidRPr="00CA3220" w:rsidRDefault="00F54A5E" w:rsidP="00664299">
            <w:pPr>
              <w:pStyle w:val="Tablehead"/>
              <w:rPr>
                <w:rFonts w:eastAsia="Batang"/>
                <w:lang w:val="fr-CH"/>
              </w:rPr>
            </w:pPr>
            <w:r w:rsidRPr="00CA3220">
              <w:rPr>
                <w:rFonts w:eastAsia="Batang"/>
                <w:lang w:val="fr-CH"/>
              </w:rPr>
              <w:t>GSM/EDGE</w:t>
            </w:r>
          </w:p>
        </w:tc>
        <w:tc>
          <w:tcPr>
            <w:tcW w:w="1480" w:type="dxa"/>
            <w:vAlign w:val="center"/>
            <w:hideMark/>
          </w:tcPr>
          <w:p w:rsidR="00F54A5E" w:rsidRPr="00CA3220" w:rsidRDefault="00F54A5E" w:rsidP="00664299">
            <w:pPr>
              <w:pStyle w:val="Tablehead"/>
              <w:rPr>
                <w:rFonts w:eastAsia="Batang"/>
                <w:lang w:val="fr-CH"/>
              </w:rPr>
            </w:pPr>
            <w:r w:rsidRPr="00CA3220">
              <w:rPr>
                <w:rFonts w:eastAsia="Batang"/>
                <w:lang w:val="fr-CH"/>
              </w:rPr>
              <w:t>UMTS</w:t>
            </w:r>
          </w:p>
        </w:tc>
        <w:tc>
          <w:tcPr>
            <w:tcW w:w="1637" w:type="dxa"/>
            <w:noWrap/>
            <w:vAlign w:val="center"/>
            <w:hideMark/>
          </w:tcPr>
          <w:p w:rsidR="00F54A5E" w:rsidRPr="00CA3220" w:rsidRDefault="00F54A5E" w:rsidP="00664299">
            <w:pPr>
              <w:pStyle w:val="Tablehead"/>
              <w:rPr>
                <w:rFonts w:eastAsia="Batang"/>
                <w:lang w:val="fr-CH"/>
              </w:rPr>
            </w:pPr>
            <w:r w:rsidRPr="00CA3220">
              <w:rPr>
                <w:rFonts w:eastAsia="Batang"/>
                <w:lang w:val="fr-CH"/>
              </w:rPr>
              <w:t>HSPA+</w:t>
            </w:r>
          </w:p>
        </w:tc>
        <w:tc>
          <w:tcPr>
            <w:tcW w:w="1564" w:type="dxa"/>
            <w:vAlign w:val="center"/>
            <w:hideMark/>
          </w:tcPr>
          <w:p w:rsidR="00F54A5E" w:rsidRPr="00CA3220" w:rsidRDefault="00F54A5E" w:rsidP="00664299">
            <w:pPr>
              <w:pStyle w:val="Tablehead"/>
              <w:rPr>
                <w:rFonts w:eastAsia="Batang"/>
                <w:lang w:val="fr-CH"/>
              </w:rPr>
            </w:pPr>
            <w:r w:rsidRPr="00CA3220">
              <w:rPr>
                <w:rFonts w:eastAsia="Batang"/>
                <w:lang w:val="fr-CH"/>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Carte SIM </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Autre identité</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IMEI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IMEI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IMEI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IMEI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Détection des activités malveillantes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Oui</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Norme de base, organisation de normalisation</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Nom de l'organisation de normalisation</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ATIS (organisation partenaire du 3GPP)</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ATIS (organisation partenaire du 3GPP)</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ATIS (organisation partenaire du 3GPP)</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ATIS (organisation partenaire du 3GPP)</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Organisations d'établissement des profils et d'applications</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Nom de l'association/du forum</w:t>
            </w:r>
          </w:p>
        </w:tc>
        <w:tc>
          <w:tcPr>
            <w:tcW w:w="1559" w:type="dxa"/>
            <w:noWrap/>
            <w:hideMark/>
          </w:tcPr>
          <w:p w:rsidR="00DE31BE" w:rsidRPr="00CA3220" w:rsidRDefault="00DE31BE" w:rsidP="00664299">
            <w:pPr>
              <w:pStyle w:val="Tabletext"/>
              <w:jc w:val="left"/>
              <w:rPr>
                <w:rFonts w:eastAsia="Batang"/>
                <w:lang w:val="fr-CH" w:eastAsia="ko-KR"/>
              </w:rPr>
            </w:pPr>
          </w:p>
        </w:tc>
        <w:tc>
          <w:tcPr>
            <w:tcW w:w="1480" w:type="dxa"/>
            <w:hideMark/>
          </w:tcPr>
          <w:p w:rsidR="00DE31BE" w:rsidRPr="00CA3220" w:rsidRDefault="00DE31BE" w:rsidP="00664299">
            <w:pPr>
              <w:pStyle w:val="Tabletext"/>
              <w:jc w:val="left"/>
              <w:rPr>
                <w:rFonts w:eastAsia="Batang"/>
                <w:lang w:val="fr-CH" w:eastAsia="ko-KR"/>
              </w:rPr>
            </w:pPr>
          </w:p>
        </w:tc>
        <w:tc>
          <w:tcPr>
            <w:tcW w:w="1637" w:type="dxa"/>
            <w:hideMark/>
          </w:tcPr>
          <w:p w:rsidR="00DE31BE" w:rsidRPr="00CA3220" w:rsidRDefault="00DE31BE" w:rsidP="00664299">
            <w:pPr>
              <w:pStyle w:val="Tabletext"/>
              <w:jc w:val="left"/>
              <w:rPr>
                <w:rFonts w:eastAsia="Batang"/>
                <w:lang w:val="fr-CH" w:eastAsia="ko-KR"/>
              </w:rPr>
            </w:pPr>
          </w:p>
        </w:tc>
        <w:tc>
          <w:tcPr>
            <w:tcW w:w="1564" w:type="dxa"/>
            <w:hideMark/>
          </w:tcPr>
          <w:p w:rsidR="00DE31BE" w:rsidRPr="00CA3220" w:rsidRDefault="00DE31BE" w:rsidP="00664299">
            <w:pPr>
              <w:pStyle w:val="Tabletext"/>
              <w:jc w:val="left"/>
              <w:rPr>
                <w:rFonts w:eastAsia="Batang"/>
                <w:lang w:val="fr-CH" w:eastAsia="ko-KR"/>
              </w:rPr>
            </w:pP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Plage de température</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45.005</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Sources de bruits radioélectriques – autres équipements de radiocommuni-cation</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45.005 et 45.050</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25.942</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25.942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Sources de bruits radioélectriques – Autres équipements électriques</w:t>
            </w:r>
          </w:p>
        </w:tc>
        <w:tc>
          <w:tcPr>
            <w:tcW w:w="1621" w:type="dxa"/>
            <w:hideMark/>
          </w:tcPr>
          <w:p w:rsidR="00DE31BE" w:rsidRPr="00CA3220" w:rsidRDefault="00DE31BE" w:rsidP="00664299">
            <w:pPr>
              <w:pStyle w:val="Tabletext"/>
              <w:jc w:val="left"/>
              <w:rPr>
                <w:rFonts w:eastAsia="Batang"/>
                <w:lang w:val="fr-CH" w:eastAsia="ko-KR"/>
              </w:rPr>
            </w:pP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45.005 et 45.050</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25.943</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25.943</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Sensibilité du récepteur</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dBm</w:t>
            </w:r>
          </w:p>
        </w:tc>
        <w:tc>
          <w:tcPr>
            <w:tcW w:w="1559"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45.005</w:t>
            </w:r>
            <w:r w:rsidRPr="00CA3220">
              <w:rPr>
                <w:rFonts w:eastAsia="Batang"/>
                <w:lang w:val="fr-CH" w:eastAsia="ko-KR"/>
              </w:rPr>
              <w:br/>
              <w:t>–100 dBm (Veh A120) @ 10% BLER</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Puissance maximale d'émission</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dBm</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45.005</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Paliers de puissance d'émission</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dB</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45.005</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Gain d'antenne</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dBi</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45.005</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bl>
    <w:p w:rsidR="00F54A5E" w:rsidRPr="00CA3220" w:rsidRDefault="00F54A5E" w:rsidP="00664299">
      <w:pPr>
        <w:pStyle w:val="TableNo"/>
        <w:rPr>
          <w:lang w:val="fr-CH"/>
        </w:rPr>
      </w:pPr>
      <w:r w:rsidRPr="00CA3220">
        <w:rPr>
          <w:lang w:val="fr-CH"/>
        </w:rPr>
        <w:lastRenderedPageBreak/>
        <w:t>TABLEAU A1.7 (</w:t>
      </w:r>
      <w:r w:rsidRPr="00CA3220">
        <w:rPr>
          <w:i/>
          <w:iCs/>
          <w:lang w:val="fr-CH"/>
        </w:rPr>
        <w:t>fin</w:t>
      </w:r>
      <w:r w:rsidRPr="00CA322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F54A5E" w:rsidRPr="00CA3220" w:rsidTr="0041087D">
        <w:trPr>
          <w:cantSplit/>
          <w:jc w:val="center"/>
        </w:trPr>
        <w:tc>
          <w:tcPr>
            <w:tcW w:w="1778" w:type="dxa"/>
            <w:noWrap/>
            <w:vAlign w:val="center"/>
            <w:hideMark/>
          </w:tcPr>
          <w:p w:rsidR="00F54A5E" w:rsidRPr="00CA3220" w:rsidRDefault="00F54A5E" w:rsidP="00664299">
            <w:pPr>
              <w:pStyle w:val="Tablehead"/>
              <w:rPr>
                <w:rFonts w:eastAsia="Batang"/>
                <w:lang w:val="fr-CH"/>
              </w:rPr>
            </w:pPr>
            <w:r w:rsidRPr="00CA3220">
              <w:rPr>
                <w:rFonts w:eastAsia="Batang"/>
                <w:lang w:val="fr-CH"/>
              </w:rPr>
              <w:t>Caractéristiques de la fonctionnalité</w:t>
            </w:r>
          </w:p>
        </w:tc>
        <w:tc>
          <w:tcPr>
            <w:tcW w:w="1621" w:type="dxa"/>
            <w:vAlign w:val="center"/>
            <w:hideMark/>
          </w:tcPr>
          <w:p w:rsidR="00F54A5E" w:rsidRPr="00CA3220" w:rsidRDefault="00F54A5E" w:rsidP="00664299">
            <w:pPr>
              <w:pStyle w:val="Tablehead"/>
              <w:rPr>
                <w:rFonts w:eastAsia="Batang"/>
                <w:lang w:val="fr-CH"/>
              </w:rPr>
            </w:pPr>
            <w:r w:rsidRPr="00CA3220">
              <w:rPr>
                <w:rFonts w:eastAsia="Batang"/>
                <w:lang w:val="fr-CH"/>
              </w:rPr>
              <w:t xml:space="preserve">Unité de mesure </w:t>
            </w:r>
          </w:p>
        </w:tc>
        <w:tc>
          <w:tcPr>
            <w:tcW w:w="1559" w:type="dxa"/>
            <w:noWrap/>
            <w:vAlign w:val="center"/>
            <w:hideMark/>
          </w:tcPr>
          <w:p w:rsidR="00F54A5E" w:rsidRPr="00CA3220" w:rsidRDefault="00F54A5E" w:rsidP="00664299">
            <w:pPr>
              <w:pStyle w:val="Tablehead"/>
              <w:rPr>
                <w:rFonts w:eastAsia="Batang"/>
                <w:lang w:val="fr-CH"/>
              </w:rPr>
            </w:pPr>
            <w:r w:rsidRPr="00CA3220">
              <w:rPr>
                <w:rFonts w:eastAsia="Batang"/>
                <w:lang w:val="fr-CH"/>
              </w:rPr>
              <w:t>GSM/EDGE</w:t>
            </w:r>
          </w:p>
        </w:tc>
        <w:tc>
          <w:tcPr>
            <w:tcW w:w="1480" w:type="dxa"/>
            <w:vAlign w:val="center"/>
            <w:hideMark/>
          </w:tcPr>
          <w:p w:rsidR="00F54A5E" w:rsidRPr="00CA3220" w:rsidRDefault="00F54A5E" w:rsidP="00664299">
            <w:pPr>
              <w:pStyle w:val="Tablehead"/>
              <w:rPr>
                <w:rFonts w:eastAsia="Batang"/>
                <w:lang w:val="fr-CH"/>
              </w:rPr>
            </w:pPr>
            <w:r w:rsidRPr="00CA3220">
              <w:rPr>
                <w:rFonts w:eastAsia="Batang"/>
                <w:lang w:val="fr-CH"/>
              </w:rPr>
              <w:t>UMTS</w:t>
            </w:r>
          </w:p>
        </w:tc>
        <w:tc>
          <w:tcPr>
            <w:tcW w:w="1637" w:type="dxa"/>
            <w:noWrap/>
            <w:vAlign w:val="center"/>
            <w:hideMark/>
          </w:tcPr>
          <w:p w:rsidR="00F54A5E" w:rsidRPr="00CA3220" w:rsidRDefault="00F54A5E" w:rsidP="00664299">
            <w:pPr>
              <w:pStyle w:val="Tablehead"/>
              <w:rPr>
                <w:rFonts w:eastAsia="Batang"/>
                <w:lang w:val="fr-CH"/>
              </w:rPr>
            </w:pPr>
            <w:r w:rsidRPr="00CA3220">
              <w:rPr>
                <w:rFonts w:eastAsia="Batang"/>
                <w:lang w:val="fr-CH"/>
              </w:rPr>
              <w:t>HSPA+</w:t>
            </w:r>
          </w:p>
        </w:tc>
        <w:tc>
          <w:tcPr>
            <w:tcW w:w="1564" w:type="dxa"/>
            <w:vAlign w:val="center"/>
            <w:hideMark/>
          </w:tcPr>
          <w:p w:rsidR="00F54A5E" w:rsidRPr="00CA3220" w:rsidRDefault="00F54A5E" w:rsidP="00664299">
            <w:pPr>
              <w:pStyle w:val="Tablehead"/>
              <w:rPr>
                <w:rFonts w:eastAsia="Batang"/>
                <w:lang w:val="fr-CH"/>
              </w:rPr>
            </w:pPr>
            <w:r w:rsidRPr="00CA3220">
              <w:rPr>
                <w:rFonts w:eastAsia="Batang"/>
                <w:lang w:val="fr-CH"/>
              </w:rPr>
              <w:t>LTE</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Bruit de fond</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dBm</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45.050</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25.101 et 25.102</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Conformément à 3GPP 36.101 et 36.104</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Modulation</w:t>
            </w:r>
          </w:p>
        </w:tc>
        <w:tc>
          <w:tcPr>
            <w:tcW w:w="1621"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GFSK, OFDM, BPSK, GMSK</w:t>
            </w: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GMSK, 8-PSK 16QAM/32QAM ajouté dans EGPRS2-A pour la version 7</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BPSK/QPSK</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 xml:space="preserve">QPSK, 16QAM/64QAM </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QPSK, 16QAM/64QAM/256QAM</w:t>
            </w:r>
          </w:p>
        </w:tc>
      </w:tr>
      <w:tr w:rsidR="00DE31BE" w:rsidRPr="00CA3220" w:rsidTr="00B824BF">
        <w:trPr>
          <w:cantSplit/>
          <w:jc w:val="center"/>
        </w:trPr>
        <w:tc>
          <w:tcPr>
            <w:tcW w:w="1778"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Correction d'erreur directe</w:t>
            </w:r>
          </w:p>
        </w:tc>
        <w:tc>
          <w:tcPr>
            <w:tcW w:w="1621" w:type="dxa"/>
            <w:hideMark/>
          </w:tcPr>
          <w:p w:rsidR="00DE31BE" w:rsidRPr="00CA3220" w:rsidRDefault="00DE31BE" w:rsidP="00664299">
            <w:pPr>
              <w:pStyle w:val="Tabletext"/>
              <w:jc w:val="left"/>
              <w:rPr>
                <w:rFonts w:eastAsia="Batang"/>
                <w:lang w:val="fr-CH" w:eastAsia="ko-KR"/>
              </w:rPr>
            </w:pPr>
          </w:p>
        </w:tc>
        <w:tc>
          <w:tcPr>
            <w:tcW w:w="1559" w:type="dxa"/>
            <w:noWrap/>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Code convolutionnel poinçonné</w:t>
            </w:r>
          </w:p>
        </w:tc>
        <w:tc>
          <w:tcPr>
            <w:tcW w:w="1480"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Convolutionnel et turbo</w:t>
            </w:r>
          </w:p>
        </w:tc>
        <w:tc>
          <w:tcPr>
            <w:tcW w:w="1637"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Convolutionnel et turbo</w:t>
            </w:r>
          </w:p>
        </w:tc>
        <w:tc>
          <w:tcPr>
            <w:tcW w:w="1564" w:type="dxa"/>
            <w:hideMark/>
          </w:tcPr>
          <w:p w:rsidR="00DE31BE" w:rsidRPr="00CA3220" w:rsidRDefault="00DE31BE" w:rsidP="00664299">
            <w:pPr>
              <w:pStyle w:val="Tabletext"/>
              <w:jc w:val="left"/>
              <w:rPr>
                <w:rFonts w:eastAsia="Batang"/>
                <w:lang w:val="fr-CH" w:eastAsia="ko-KR"/>
              </w:rPr>
            </w:pPr>
            <w:r w:rsidRPr="00CA3220">
              <w:rPr>
                <w:rFonts w:eastAsia="Batang"/>
                <w:lang w:val="fr-CH" w:eastAsia="ko-KR"/>
              </w:rPr>
              <w:t>Turbo; convolutionnel avec bit d'extrémité sur BCH</w:t>
            </w:r>
          </w:p>
        </w:tc>
      </w:tr>
    </w:tbl>
    <w:p w:rsidR="00E01408" w:rsidRPr="00CA3220" w:rsidRDefault="00E01408" w:rsidP="00664299">
      <w:pPr>
        <w:pStyle w:val="Tablefin"/>
        <w:rPr>
          <w:lang w:val="fr-CH"/>
        </w:rPr>
      </w:pPr>
    </w:p>
    <w:p w:rsidR="00DE31BE" w:rsidRPr="00CA3220" w:rsidRDefault="00DE31BE" w:rsidP="00664299">
      <w:pPr>
        <w:pStyle w:val="Normalaftertitle0"/>
        <w:rPr>
          <w:lang w:val="fr-CH"/>
        </w:rPr>
      </w:pPr>
      <w:r w:rsidRPr="00CA3220">
        <w:rPr>
          <w:lang w:val="fr-CH"/>
        </w:rPr>
        <w:t>Des versions récentes des normes 3GPP contiennent des améliorations pour les communications de type machine (MTC), par exemple:</w:t>
      </w:r>
    </w:p>
    <w:p w:rsidR="00DE31BE" w:rsidRPr="00CA3220" w:rsidRDefault="00DE31BE" w:rsidP="00664299">
      <w:pPr>
        <w:pStyle w:val="enumlev1"/>
        <w:rPr>
          <w:lang w:val="fr-CH"/>
        </w:rPr>
      </w:pPr>
      <w:r w:rsidRPr="00CA3220">
        <w:rPr>
          <w:lang w:val="fr-CH"/>
        </w:rPr>
        <w:t>–</w:t>
      </w:r>
      <w:r w:rsidRPr="00CA3220">
        <w:rPr>
          <w:lang w:val="fr-CH"/>
        </w:rPr>
        <w:tab/>
        <w:t>Etablissement de l'accès pouvant tolérer des retards dans la version 10 (UMTS,</w:t>
      </w:r>
      <w:r w:rsidR="00C8387F" w:rsidRPr="00CA3220">
        <w:rPr>
          <w:lang w:val="fr-CH"/>
        </w:rPr>
        <w:t> </w:t>
      </w:r>
      <w:r w:rsidRPr="00CA3220">
        <w:rPr>
          <w:lang w:val="fr-CH"/>
        </w:rPr>
        <w:t>HSPA+,</w:t>
      </w:r>
      <w:r w:rsidR="00C8387F" w:rsidRPr="00CA3220">
        <w:rPr>
          <w:lang w:val="fr-CH"/>
        </w:rPr>
        <w:t> </w:t>
      </w:r>
      <w:r w:rsidRPr="00CA3220">
        <w:rPr>
          <w:lang w:val="fr-CH"/>
        </w:rPr>
        <w:t>LTE)</w:t>
      </w:r>
    </w:p>
    <w:p w:rsidR="00DE31BE" w:rsidRPr="00CA3220" w:rsidRDefault="00DE31BE" w:rsidP="00664299">
      <w:pPr>
        <w:pStyle w:val="enumlev1"/>
        <w:rPr>
          <w:lang w:val="fr-CH"/>
        </w:rPr>
      </w:pPr>
      <w:r w:rsidRPr="00CA3220">
        <w:rPr>
          <w:lang w:val="fr-CH"/>
        </w:rPr>
        <w:t>–</w:t>
      </w:r>
      <w:r w:rsidRPr="00CA3220">
        <w:rPr>
          <w:lang w:val="fr-CH"/>
        </w:rPr>
        <w:tab/>
        <w:t>Interdiction d'accès étendue dans la version 11 (GSM/EDGE, UMTS, HSPA+, LTE)</w:t>
      </w:r>
    </w:p>
    <w:p w:rsidR="00DE31BE" w:rsidRPr="00CA3220" w:rsidRDefault="00DE31BE" w:rsidP="00664299">
      <w:pPr>
        <w:pStyle w:val="enumlev1"/>
        <w:rPr>
          <w:lang w:val="fr-CH"/>
        </w:rPr>
      </w:pPr>
      <w:r w:rsidRPr="00CA3220">
        <w:rPr>
          <w:lang w:val="fr-CH"/>
        </w:rPr>
        <w:t>–</w:t>
      </w:r>
      <w:r w:rsidRPr="00CA3220">
        <w:rPr>
          <w:lang w:val="fr-CH"/>
        </w:rPr>
        <w:tab/>
        <w:t>Mode économie d'énergie pour l'équipement utilisateur dans la version 12 (GSM/EDGE,</w:t>
      </w:r>
      <w:r w:rsidR="00B86DEF" w:rsidRPr="00CA3220">
        <w:rPr>
          <w:lang w:val="fr-CH"/>
        </w:rPr>
        <w:t> </w:t>
      </w:r>
      <w:r w:rsidRPr="00CA3220">
        <w:rPr>
          <w:lang w:val="fr-CH"/>
        </w:rPr>
        <w:t>UMTS, HSPA+, LTE)</w:t>
      </w:r>
    </w:p>
    <w:p w:rsidR="00DE31BE" w:rsidRPr="00CA3220" w:rsidRDefault="00DE31BE" w:rsidP="00664299">
      <w:pPr>
        <w:pStyle w:val="enumlev1"/>
        <w:rPr>
          <w:lang w:val="fr-CH"/>
        </w:rPr>
      </w:pPr>
      <w:r w:rsidRPr="00CA3220">
        <w:rPr>
          <w:lang w:val="fr-CH"/>
        </w:rPr>
        <w:t>–</w:t>
      </w:r>
      <w:r w:rsidRPr="00CA3220">
        <w:rPr>
          <w:lang w:val="fr-CH"/>
        </w:rPr>
        <w:tab/>
        <w:t>Catégorie d'équipement utilisateur de faible complexité dans la version 12 (LTE)</w:t>
      </w:r>
    </w:p>
    <w:p w:rsidR="00DE31BE" w:rsidRPr="00CA3220" w:rsidRDefault="00DE31BE" w:rsidP="00664299">
      <w:pPr>
        <w:pStyle w:val="enumlev1"/>
        <w:rPr>
          <w:lang w:val="fr-CH"/>
        </w:rPr>
      </w:pPr>
      <w:r w:rsidRPr="00CA3220">
        <w:rPr>
          <w:lang w:val="fr-CH"/>
        </w:rPr>
        <w:t>–</w:t>
      </w:r>
      <w:r w:rsidRPr="00CA3220">
        <w:rPr>
          <w:lang w:val="fr-CH"/>
        </w:rPr>
        <w:tab/>
        <w:t>Le 3GPP a commencé à travailler sur de nouvelles améliorations pour les communications de type machine dans la version 13, en vue par exemple de rendre les dispositifs moins complexes, d'améliorer la couverture et d'allonger la durée de vie de la batterie.</w:t>
      </w:r>
    </w:p>
    <w:p w:rsidR="00DE31BE" w:rsidRPr="00CA3220" w:rsidRDefault="00DE31BE" w:rsidP="00664299">
      <w:pPr>
        <w:pStyle w:val="Heading2"/>
        <w:rPr>
          <w:lang w:val="fr-CH"/>
        </w:rPr>
      </w:pPr>
      <w:bookmarkStart w:id="134" w:name="_Toc438029894"/>
      <w:bookmarkStart w:id="135" w:name="_Toc440533909"/>
      <w:bookmarkStart w:id="136" w:name="_Toc498437780"/>
      <w:bookmarkStart w:id="137" w:name="_Toc498500120"/>
      <w:bookmarkStart w:id="138" w:name="_Toc498500371"/>
      <w:bookmarkStart w:id="139" w:name="_Toc498516136"/>
      <w:r w:rsidRPr="00CA3220">
        <w:rPr>
          <w:lang w:val="fr-CH"/>
        </w:rPr>
        <w:t>A1.4</w:t>
      </w:r>
      <w:r w:rsidRPr="00CA3220">
        <w:rPr>
          <w:lang w:val="fr-CH"/>
        </w:rPr>
        <w:tab/>
        <w:t>Normes 3GPP2</w:t>
      </w:r>
      <w:bookmarkEnd w:id="134"/>
      <w:bookmarkEnd w:id="135"/>
      <w:bookmarkEnd w:id="136"/>
      <w:bookmarkEnd w:id="137"/>
      <w:bookmarkEnd w:id="138"/>
      <w:bookmarkEnd w:id="139"/>
    </w:p>
    <w:p w:rsidR="004B229B"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 3GPP2 a élaboré différentes normes hertziennes applicables aux systèmes de gestion des réseaux de distribution d'électricité. On trouvera dans le tableau ci-après un récapitulatif des caractéristiques techniques et opérationnelles des normes hertziennes pertinentes du 3GPP2.</w:t>
      </w:r>
    </w:p>
    <w:p w:rsidR="004B229B" w:rsidRPr="00CA3220" w:rsidRDefault="004B229B" w:rsidP="00664299">
      <w:pPr>
        <w:pStyle w:val="TableNo"/>
        <w:rPr>
          <w:lang w:val="fr-CH"/>
        </w:rPr>
      </w:pPr>
      <w:r w:rsidRPr="00CA3220">
        <w:rPr>
          <w:lang w:val="fr-CH"/>
        </w:rPr>
        <w:lastRenderedPageBreak/>
        <w:t>TABLEAU A1.8</w:t>
      </w:r>
    </w:p>
    <w:p w:rsidR="004B229B" w:rsidRPr="00CA3220" w:rsidRDefault="004B229B" w:rsidP="00664299">
      <w:pPr>
        <w:pStyle w:val="Tabletitle"/>
        <w:rPr>
          <w:lang w:val="fr-CH"/>
        </w:rPr>
      </w:pPr>
      <w:r w:rsidRPr="00CA3220">
        <w:rPr>
          <w:lang w:val="fr-CH"/>
        </w:rPr>
        <w:t xml:space="preserve">Caractéristiques techniques et opérationnelles prévues dans les normes </w:t>
      </w:r>
      <w:r w:rsidRPr="00CA3220">
        <w:rPr>
          <w:lang w:val="fr-CH"/>
        </w:rPr>
        <w:br/>
        <w:t>de la famille CDMA2000 multiporteuses 3GPP2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7"/>
        <w:gridCol w:w="2413"/>
        <w:gridCol w:w="2407"/>
        <w:gridCol w:w="2412"/>
      </w:tblGrid>
      <w:tr w:rsidR="004B229B" w:rsidRPr="00CA3220" w:rsidTr="00773693">
        <w:trPr>
          <w:cantSplit/>
          <w:jc w:val="center"/>
        </w:trPr>
        <w:tc>
          <w:tcPr>
            <w:tcW w:w="2407" w:type="dxa"/>
            <w:vMerge w:val="restart"/>
            <w:vAlign w:val="center"/>
          </w:tcPr>
          <w:p w:rsidR="004B229B" w:rsidRPr="00CA3220" w:rsidRDefault="004B229B" w:rsidP="00664299">
            <w:pPr>
              <w:pStyle w:val="Tablehead"/>
              <w:rPr>
                <w:lang w:val="fr-CH"/>
              </w:rPr>
            </w:pPr>
            <w:r w:rsidRPr="00CA3220">
              <w:rPr>
                <w:lang w:val="fr-CH"/>
              </w:rPr>
              <w:t>Fonction</w:t>
            </w:r>
          </w:p>
        </w:tc>
        <w:tc>
          <w:tcPr>
            <w:tcW w:w="7232" w:type="dxa"/>
            <w:gridSpan w:val="3"/>
          </w:tcPr>
          <w:p w:rsidR="004B229B" w:rsidRPr="00CA3220" w:rsidRDefault="004B229B" w:rsidP="00664299">
            <w:pPr>
              <w:pStyle w:val="Tablehead"/>
              <w:rPr>
                <w:lang w:val="fr-CH"/>
              </w:rPr>
            </w:pPr>
            <w:r w:rsidRPr="00CA3220">
              <w:rPr>
                <w:lang w:val="fr-CH"/>
              </w:rPr>
              <w:t>Valeur</w:t>
            </w:r>
          </w:p>
        </w:tc>
      </w:tr>
      <w:tr w:rsidR="004B229B" w:rsidRPr="00CA3220" w:rsidTr="0041087D">
        <w:trPr>
          <w:cantSplit/>
          <w:jc w:val="center"/>
        </w:trPr>
        <w:tc>
          <w:tcPr>
            <w:tcW w:w="2407" w:type="dxa"/>
            <w:vMerge/>
          </w:tcPr>
          <w:p w:rsidR="004B229B" w:rsidRPr="00CA3220" w:rsidRDefault="004B229B" w:rsidP="00664299">
            <w:pPr>
              <w:pStyle w:val="Tabletext"/>
              <w:keepNext/>
              <w:keepLines/>
              <w:rPr>
                <w:lang w:val="fr-CH"/>
              </w:rPr>
            </w:pPr>
          </w:p>
        </w:tc>
        <w:tc>
          <w:tcPr>
            <w:tcW w:w="2413" w:type="dxa"/>
            <w:vAlign w:val="center"/>
          </w:tcPr>
          <w:p w:rsidR="004B229B" w:rsidRPr="00CA3220" w:rsidRDefault="004B229B" w:rsidP="00664299">
            <w:pPr>
              <w:pStyle w:val="Tablehead"/>
              <w:keepLines/>
              <w:rPr>
                <w:lang w:val="fr-CH"/>
              </w:rPr>
            </w:pPr>
            <w:r w:rsidRPr="00CA3220">
              <w:rPr>
                <w:lang w:val="fr-CH"/>
              </w:rPr>
              <w:t>cdma2000 1x</w:t>
            </w:r>
          </w:p>
        </w:tc>
        <w:tc>
          <w:tcPr>
            <w:tcW w:w="2407" w:type="dxa"/>
            <w:vAlign w:val="center"/>
          </w:tcPr>
          <w:p w:rsidR="004B229B" w:rsidRPr="00CA3220" w:rsidRDefault="004B229B" w:rsidP="00664299">
            <w:pPr>
              <w:pStyle w:val="Tablehead"/>
              <w:keepLines/>
              <w:rPr>
                <w:lang w:val="fr-CH"/>
              </w:rPr>
            </w:pPr>
            <w:r w:rsidRPr="00CA3220">
              <w:rPr>
                <w:lang w:val="fr-CH"/>
              </w:rPr>
              <w:t>Communications de données par paquets à haut débit cdma2000 (HRPD/EV</w:t>
            </w:r>
            <w:r w:rsidRPr="00CA3220">
              <w:rPr>
                <w:lang w:val="fr-CH"/>
              </w:rPr>
              <w:noBreakHyphen/>
              <w:t>DO)</w:t>
            </w:r>
          </w:p>
        </w:tc>
        <w:tc>
          <w:tcPr>
            <w:tcW w:w="2412" w:type="dxa"/>
            <w:vAlign w:val="center"/>
          </w:tcPr>
          <w:p w:rsidR="004B229B" w:rsidRPr="00CA3220" w:rsidRDefault="004B229B" w:rsidP="00664299">
            <w:pPr>
              <w:pStyle w:val="Tablehead"/>
              <w:keepLines/>
              <w:rPr>
                <w:lang w:val="fr-CH"/>
              </w:rPr>
            </w:pPr>
            <w:r w:rsidRPr="00CA3220">
              <w:rPr>
                <w:lang w:val="fr-CH"/>
              </w:rPr>
              <w:t>Communications de données par paquets à haut débit étendues (xHRPD)</w:t>
            </w:r>
          </w:p>
        </w:tc>
      </w:tr>
      <w:tr w:rsidR="00DE31BE" w:rsidRPr="00CA3220" w:rsidTr="00773693">
        <w:trPr>
          <w:cantSplit/>
          <w:jc w:val="center"/>
        </w:trPr>
        <w:tc>
          <w:tcPr>
            <w:tcW w:w="2407" w:type="dxa"/>
          </w:tcPr>
          <w:p w:rsidR="00DE31BE" w:rsidRPr="00CA3220" w:rsidRDefault="00DE31BE" w:rsidP="00664299">
            <w:pPr>
              <w:pStyle w:val="Tabletext"/>
              <w:keepNext/>
              <w:keepLines/>
              <w:jc w:val="left"/>
              <w:rPr>
                <w:lang w:val="fr-CH"/>
              </w:rPr>
            </w:pPr>
            <w:r w:rsidRPr="00CA3220">
              <w:rPr>
                <w:lang w:val="fr-CH"/>
              </w:rPr>
              <w:t>Bandes de fréquences prises en charges (avec ou sans licence)</w:t>
            </w:r>
          </w:p>
        </w:tc>
        <w:tc>
          <w:tcPr>
            <w:tcW w:w="2413" w:type="dxa"/>
          </w:tcPr>
          <w:p w:rsidR="00DE31BE" w:rsidRPr="00CA3220" w:rsidRDefault="00DE31BE" w:rsidP="00664299">
            <w:pPr>
              <w:pStyle w:val="Tabletext"/>
              <w:keepNext/>
              <w:keepLines/>
              <w:jc w:val="left"/>
              <w:rPr>
                <w:lang w:val="fr-CH"/>
              </w:rPr>
            </w:pPr>
            <w:r w:rsidRPr="00CA3220">
              <w:rPr>
                <w:lang w:val="fr-CH"/>
              </w:rPr>
              <w:t>Avec licence, multiples bandes possibles (voir 3GPP2 C.S0057-E)</w:t>
            </w:r>
          </w:p>
        </w:tc>
        <w:tc>
          <w:tcPr>
            <w:tcW w:w="2407" w:type="dxa"/>
          </w:tcPr>
          <w:p w:rsidR="00DE31BE" w:rsidRPr="00CA3220" w:rsidRDefault="00DE31BE" w:rsidP="00664299">
            <w:pPr>
              <w:pStyle w:val="Tabletext"/>
              <w:keepNext/>
              <w:keepLines/>
              <w:jc w:val="left"/>
              <w:rPr>
                <w:lang w:val="fr-CH"/>
              </w:rPr>
            </w:pPr>
            <w:r w:rsidRPr="00CA3220">
              <w:rPr>
                <w:lang w:val="fr-CH"/>
              </w:rPr>
              <w:t>Avec licence, multiples bandes possibles (voir 3GPP2 C.S0057-E)</w:t>
            </w:r>
          </w:p>
        </w:tc>
        <w:tc>
          <w:tcPr>
            <w:tcW w:w="2412" w:type="dxa"/>
          </w:tcPr>
          <w:p w:rsidR="00DE31BE" w:rsidRPr="00CA3220" w:rsidRDefault="00DE31BE" w:rsidP="00664299">
            <w:pPr>
              <w:pStyle w:val="Tabletext"/>
              <w:keepNext/>
              <w:keepLines/>
              <w:jc w:val="left"/>
              <w:rPr>
                <w:lang w:val="fr-CH"/>
              </w:rPr>
            </w:pPr>
            <w:r w:rsidRPr="00CA3220">
              <w:rPr>
                <w:lang w:val="fr-CH"/>
              </w:rPr>
              <w:t>Avec licence, multiples bandes possibles (voir 3GPP2 C.S0057-E)</w:t>
            </w:r>
          </w:p>
        </w:tc>
      </w:tr>
      <w:tr w:rsidR="00DE31BE" w:rsidRPr="00CA3220" w:rsidTr="00773693">
        <w:trPr>
          <w:cantSplit/>
          <w:jc w:val="center"/>
        </w:trPr>
        <w:tc>
          <w:tcPr>
            <w:tcW w:w="2407" w:type="dxa"/>
          </w:tcPr>
          <w:p w:rsidR="00DE31BE" w:rsidRPr="00CA3220" w:rsidRDefault="00DE31BE" w:rsidP="00664299">
            <w:pPr>
              <w:pStyle w:val="Tabletext"/>
              <w:keepNext/>
              <w:keepLines/>
              <w:jc w:val="left"/>
              <w:rPr>
                <w:lang w:val="fr-CH"/>
              </w:rPr>
            </w:pPr>
            <w:r w:rsidRPr="00CA3220">
              <w:rPr>
                <w:lang w:val="fr-CH"/>
              </w:rPr>
              <w:t xml:space="preserve">Portée opérationnelle nominale </w:t>
            </w:r>
          </w:p>
        </w:tc>
        <w:tc>
          <w:tcPr>
            <w:tcW w:w="2413" w:type="dxa"/>
          </w:tcPr>
          <w:p w:rsidR="00DE31BE" w:rsidRPr="00CA3220" w:rsidRDefault="00DE31BE" w:rsidP="00664299">
            <w:pPr>
              <w:pStyle w:val="Tabletext"/>
              <w:keepNext/>
              <w:keepLines/>
              <w:jc w:val="left"/>
              <w:rPr>
                <w:lang w:val="fr-CH"/>
              </w:rPr>
            </w:pPr>
            <w:r w:rsidRPr="00CA3220">
              <w:rPr>
                <w:lang w:val="fr-CH"/>
              </w:rPr>
              <w:t xml:space="preserve">Affaiblissement sur le trajet de 160 dB </w:t>
            </w:r>
            <w:r w:rsidRPr="00CA3220">
              <w:rPr>
                <w:lang w:val="fr-CH"/>
              </w:rPr>
              <w:br/>
              <w:t>(Dans le cas des déploiements en zones urbaines, la portée maximale type est de 5,7 km à 2 GHz selon la méthode d'évaluation 3GPP2 C.R.1002-B.</w:t>
            </w:r>
            <w:r w:rsidRPr="00CA3220">
              <w:rPr>
                <w:lang w:val="fr-CH"/>
              </w:rPr>
              <w:br/>
              <w:t>Pour les déploiements particuliers, on peut atteindre une portée maximale de 144 km en optimisant la configuration des paramètres.)</w:t>
            </w:r>
          </w:p>
        </w:tc>
        <w:tc>
          <w:tcPr>
            <w:tcW w:w="2407" w:type="dxa"/>
          </w:tcPr>
          <w:p w:rsidR="00DE31BE" w:rsidRPr="00CA3220" w:rsidRDefault="00DE31BE" w:rsidP="00664299">
            <w:pPr>
              <w:pStyle w:val="Tabletext"/>
              <w:keepNext/>
              <w:keepLines/>
              <w:jc w:val="left"/>
              <w:rPr>
                <w:lang w:val="fr-CH"/>
              </w:rPr>
            </w:pPr>
            <w:r w:rsidRPr="00CA3220">
              <w:rPr>
                <w:lang w:val="fr-CH"/>
              </w:rPr>
              <w:t xml:space="preserve">Affaiblissement sur le trajet de 160 dB </w:t>
            </w:r>
            <w:r w:rsidRPr="00CA3220">
              <w:rPr>
                <w:lang w:val="fr-CH"/>
              </w:rPr>
              <w:br/>
              <w:t>(Dans le cas des déploiements en zones urbaines, la portée maximale type est de 5,7 km à 2 GHz selon la méthode d'évaluation 3GPP2 C.R.1002-B.</w:t>
            </w:r>
            <w:r w:rsidRPr="00CA3220">
              <w:rPr>
                <w:lang w:val="fr-CH"/>
              </w:rPr>
              <w:br/>
              <w:t>Pour les déploiements particuliers, on peut atteindre une portée maximale de 144 km en optimisant la configuration des paramètres.)</w:t>
            </w:r>
          </w:p>
        </w:tc>
        <w:tc>
          <w:tcPr>
            <w:tcW w:w="2412" w:type="dxa"/>
          </w:tcPr>
          <w:p w:rsidR="00DE31BE" w:rsidRPr="00CA3220" w:rsidRDefault="00DE31BE" w:rsidP="00664299">
            <w:pPr>
              <w:pStyle w:val="Tabletext"/>
              <w:keepNext/>
              <w:keepLines/>
              <w:jc w:val="left"/>
              <w:rPr>
                <w:lang w:val="fr-CH"/>
              </w:rPr>
            </w:pPr>
            <w:r w:rsidRPr="00CA3220">
              <w:rPr>
                <w:lang w:val="fr-CH"/>
              </w:rPr>
              <w:t>Amérique du Nord couverte dans le cas d'un déploiement à satellite géostationnaire; 11,4 km en cas de déploiements de Terre; 2 GHz</w:t>
            </w:r>
          </w:p>
        </w:tc>
      </w:tr>
      <w:tr w:rsidR="00DE31BE" w:rsidRPr="00CA3220" w:rsidTr="00773693">
        <w:trPr>
          <w:cantSplit/>
          <w:jc w:val="center"/>
        </w:trPr>
        <w:tc>
          <w:tcPr>
            <w:tcW w:w="2407" w:type="dxa"/>
          </w:tcPr>
          <w:p w:rsidR="00DE31BE" w:rsidRPr="00CA3220" w:rsidRDefault="00DE31BE" w:rsidP="00664299">
            <w:pPr>
              <w:pStyle w:val="Tabletext"/>
              <w:jc w:val="left"/>
              <w:rPr>
                <w:lang w:val="fr-CH"/>
              </w:rPr>
            </w:pPr>
            <w:r w:rsidRPr="00CA3220">
              <w:rPr>
                <w:lang w:val="fr-CH"/>
              </w:rPr>
              <w:t xml:space="preserve">Fonctionnalités de mobilité (nomade/mobile) </w:t>
            </w:r>
          </w:p>
        </w:tc>
        <w:tc>
          <w:tcPr>
            <w:tcW w:w="2413" w:type="dxa"/>
          </w:tcPr>
          <w:p w:rsidR="00DE31BE" w:rsidRPr="00CA3220" w:rsidRDefault="00DE31BE" w:rsidP="00664299">
            <w:pPr>
              <w:pStyle w:val="Tabletext"/>
              <w:jc w:val="left"/>
              <w:rPr>
                <w:lang w:val="fr-CH"/>
              </w:rPr>
            </w:pPr>
            <w:r w:rsidRPr="00CA3220">
              <w:rPr>
                <w:lang w:val="fr-CH"/>
              </w:rPr>
              <w:t>Nomade et mobile</w:t>
            </w:r>
          </w:p>
        </w:tc>
        <w:tc>
          <w:tcPr>
            <w:tcW w:w="2407" w:type="dxa"/>
          </w:tcPr>
          <w:p w:rsidR="00DE31BE" w:rsidRPr="00CA3220" w:rsidRDefault="00DE31BE" w:rsidP="00664299">
            <w:pPr>
              <w:pStyle w:val="Tabletext"/>
              <w:jc w:val="left"/>
              <w:rPr>
                <w:lang w:val="fr-CH"/>
              </w:rPr>
            </w:pPr>
            <w:r w:rsidRPr="00CA3220">
              <w:rPr>
                <w:lang w:val="fr-CH"/>
              </w:rPr>
              <w:t>Nomade et mobile</w:t>
            </w:r>
          </w:p>
        </w:tc>
        <w:tc>
          <w:tcPr>
            <w:tcW w:w="2412" w:type="dxa"/>
          </w:tcPr>
          <w:p w:rsidR="00DE31BE" w:rsidRPr="00CA3220" w:rsidRDefault="00DE31BE" w:rsidP="00664299">
            <w:pPr>
              <w:pStyle w:val="Tabletext"/>
              <w:jc w:val="left"/>
              <w:rPr>
                <w:lang w:val="fr-CH"/>
              </w:rPr>
            </w:pPr>
            <w:r w:rsidRPr="00CA3220">
              <w:rPr>
                <w:lang w:val="fr-CH"/>
              </w:rPr>
              <w:t>Nomade et mobile</w:t>
            </w:r>
          </w:p>
        </w:tc>
      </w:tr>
      <w:tr w:rsidR="00DE31BE" w:rsidRPr="00CA3220" w:rsidTr="00773693">
        <w:trPr>
          <w:cantSplit/>
          <w:jc w:val="center"/>
        </w:trPr>
        <w:tc>
          <w:tcPr>
            <w:tcW w:w="2407" w:type="dxa"/>
          </w:tcPr>
          <w:p w:rsidR="00DE31BE" w:rsidRPr="00CA3220" w:rsidRDefault="00DE31BE" w:rsidP="00664299">
            <w:pPr>
              <w:pStyle w:val="Tabletext"/>
              <w:jc w:val="left"/>
              <w:rPr>
                <w:lang w:val="fr-CH"/>
              </w:rPr>
            </w:pPr>
            <w:r w:rsidRPr="00CA3220">
              <w:rPr>
                <w:lang w:val="fr-CH"/>
              </w:rPr>
              <w:t>Débit de données maximal (sens</w:t>
            </w:r>
            <w:r w:rsidR="001B060F" w:rsidRPr="00CA3220">
              <w:rPr>
                <w:lang w:val="fr-CH"/>
              </w:rPr>
              <w:t> </w:t>
            </w:r>
            <w:r w:rsidRPr="00CA3220">
              <w:rPr>
                <w:lang w:val="fr-CH"/>
              </w:rPr>
              <w:t>amont/sens aval si différents)</w:t>
            </w:r>
          </w:p>
        </w:tc>
        <w:tc>
          <w:tcPr>
            <w:tcW w:w="2413" w:type="dxa"/>
          </w:tcPr>
          <w:p w:rsidR="00DE31BE" w:rsidRPr="00CA3220" w:rsidRDefault="00DE31BE" w:rsidP="00664299">
            <w:pPr>
              <w:pStyle w:val="Tabletext"/>
              <w:jc w:val="left"/>
              <w:rPr>
                <w:kern w:val="1"/>
                <w:lang w:val="fr-CH"/>
              </w:rPr>
            </w:pPr>
            <w:r w:rsidRPr="00CA3220">
              <w:rPr>
                <w:lang w:val="fr-CH"/>
              </w:rPr>
              <w:t>3,1 Mbit/s (porteuse de 1,23 MHz) dans le sens aval</w:t>
            </w:r>
            <w:r w:rsidRPr="00CA3220">
              <w:rPr>
                <w:lang w:val="fr-CH"/>
              </w:rPr>
              <w:br/>
            </w:r>
            <w:r w:rsidRPr="00CA3220">
              <w:rPr>
                <w:kern w:val="1"/>
                <w:lang w:val="fr-CH"/>
              </w:rPr>
              <w:t>1,8 Mbit/s (porteuse de 1,23 MHz) dans le sens amont;</w:t>
            </w:r>
          </w:p>
        </w:tc>
        <w:tc>
          <w:tcPr>
            <w:tcW w:w="2407" w:type="dxa"/>
          </w:tcPr>
          <w:p w:rsidR="00DE31BE" w:rsidRPr="00CA3220" w:rsidRDefault="00DE31BE" w:rsidP="00664299">
            <w:pPr>
              <w:pStyle w:val="Tabletext"/>
              <w:jc w:val="left"/>
              <w:rPr>
                <w:lang w:val="fr-CH"/>
              </w:rPr>
            </w:pPr>
            <w:r w:rsidRPr="00CA3220">
              <w:rPr>
                <w:lang w:val="fr-CH"/>
              </w:rPr>
              <w:t xml:space="preserve">4,9 Mbit/s par porteuse de 1,23 MHz, avec jusqu'à 16 porteuses possibles dans le sens aval; </w:t>
            </w:r>
            <w:r w:rsidRPr="00CA3220">
              <w:rPr>
                <w:lang w:val="fr-CH"/>
              </w:rPr>
              <w:br/>
              <w:t>1,84 Mbit/s par porteuse de 1,23 MHz, avec jusqu'à 16 porteuses possibles dans le sens amont.</w:t>
            </w:r>
          </w:p>
        </w:tc>
        <w:tc>
          <w:tcPr>
            <w:tcW w:w="2412" w:type="dxa"/>
          </w:tcPr>
          <w:p w:rsidR="00DE31BE" w:rsidRPr="00CA3220" w:rsidRDefault="00DE31BE" w:rsidP="00664299">
            <w:pPr>
              <w:pStyle w:val="Tabletext"/>
              <w:jc w:val="left"/>
              <w:rPr>
                <w:lang w:val="fr-CH"/>
              </w:rPr>
            </w:pPr>
            <w:r w:rsidRPr="00CA3220">
              <w:rPr>
                <w:lang w:val="fr-CH"/>
              </w:rPr>
              <w:t>3,072 Mbit/s par porteuse de 1,23 MHz dans le sens aval;</w:t>
            </w:r>
          </w:p>
          <w:p w:rsidR="00DE31BE" w:rsidRPr="00CA3220" w:rsidRDefault="00DE31BE" w:rsidP="00664299">
            <w:pPr>
              <w:pStyle w:val="Tabletext"/>
              <w:jc w:val="left"/>
              <w:rPr>
                <w:lang w:val="fr-CH"/>
              </w:rPr>
            </w:pPr>
            <w:r w:rsidRPr="00CA3220">
              <w:rPr>
                <w:lang w:val="fr-CH"/>
              </w:rPr>
              <w:t>0,0384 Mbit/s par canal de 12,8 kHz, jusqu'à 96 canaux de 12,8 kHz pris en charge dans 1,23 MHz dans le sens aval.</w:t>
            </w:r>
          </w:p>
        </w:tc>
      </w:tr>
      <w:tr w:rsidR="00DE31BE" w:rsidRPr="00CA3220" w:rsidTr="00773693">
        <w:trPr>
          <w:cantSplit/>
          <w:jc w:val="center"/>
        </w:trPr>
        <w:tc>
          <w:tcPr>
            <w:tcW w:w="2407" w:type="dxa"/>
          </w:tcPr>
          <w:p w:rsidR="00DE31BE" w:rsidRPr="00CA3220" w:rsidRDefault="00DE31BE" w:rsidP="00664299">
            <w:pPr>
              <w:pStyle w:val="Tabletext"/>
              <w:jc w:val="left"/>
              <w:rPr>
                <w:lang w:val="fr-CH"/>
              </w:rPr>
            </w:pPr>
            <w:r w:rsidRPr="00CA3220">
              <w:rPr>
                <w:lang w:val="fr-CH"/>
              </w:rPr>
              <w:t>Méthode duplex (DRF, DRT, etc.)</w:t>
            </w:r>
          </w:p>
        </w:tc>
        <w:tc>
          <w:tcPr>
            <w:tcW w:w="2413" w:type="dxa"/>
          </w:tcPr>
          <w:p w:rsidR="00DE31BE" w:rsidRPr="00CA3220" w:rsidRDefault="00DE31BE" w:rsidP="00664299">
            <w:pPr>
              <w:pStyle w:val="Tabletext"/>
              <w:jc w:val="left"/>
              <w:rPr>
                <w:lang w:val="fr-CH"/>
              </w:rPr>
            </w:pPr>
            <w:r w:rsidRPr="00CA3220">
              <w:rPr>
                <w:lang w:val="fr-CH"/>
              </w:rPr>
              <w:t>DRF</w:t>
            </w:r>
          </w:p>
        </w:tc>
        <w:tc>
          <w:tcPr>
            <w:tcW w:w="2407" w:type="dxa"/>
          </w:tcPr>
          <w:p w:rsidR="00DE31BE" w:rsidRPr="00CA3220" w:rsidRDefault="00DE31BE" w:rsidP="00664299">
            <w:pPr>
              <w:pStyle w:val="Tabletext"/>
              <w:jc w:val="left"/>
              <w:rPr>
                <w:lang w:val="fr-CH"/>
              </w:rPr>
            </w:pPr>
            <w:r w:rsidRPr="00CA3220">
              <w:rPr>
                <w:lang w:val="fr-CH"/>
              </w:rPr>
              <w:t>DRF</w:t>
            </w:r>
          </w:p>
        </w:tc>
        <w:tc>
          <w:tcPr>
            <w:tcW w:w="2412" w:type="dxa"/>
          </w:tcPr>
          <w:p w:rsidR="00DE31BE" w:rsidRPr="00CA3220" w:rsidRDefault="00DE31BE" w:rsidP="00664299">
            <w:pPr>
              <w:pStyle w:val="Tabletext"/>
              <w:jc w:val="left"/>
              <w:rPr>
                <w:lang w:val="fr-CH"/>
              </w:rPr>
            </w:pPr>
            <w:r w:rsidRPr="00CA3220">
              <w:rPr>
                <w:lang w:val="fr-CH"/>
              </w:rPr>
              <w:t>DRF</w:t>
            </w:r>
          </w:p>
        </w:tc>
      </w:tr>
      <w:tr w:rsidR="00DE31BE" w:rsidRPr="00CA3220" w:rsidTr="00773693">
        <w:trPr>
          <w:cantSplit/>
          <w:jc w:val="center"/>
        </w:trPr>
        <w:tc>
          <w:tcPr>
            <w:tcW w:w="2407" w:type="dxa"/>
          </w:tcPr>
          <w:p w:rsidR="00DE31BE" w:rsidRPr="00CA3220" w:rsidRDefault="00DE31BE" w:rsidP="00664299">
            <w:pPr>
              <w:pStyle w:val="Tabletext"/>
              <w:jc w:val="left"/>
              <w:rPr>
                <w:lang w:val="fr-CH"/>
              </w:rPr>
            </w:pPr>
            <w:r w:rsidRPr="00CA3220">
              <w:rPr>
                <w:lang w:val="fr-CH"/>
              </w:rPr>
              <w:t>Largueur de bande RF nominale</w:t>
            </w:r>
          </w:p>
        </w:tc>
        <w:tc>
          <w:tcPr>
            <w:tcW w:w="2413" w:type="dxa"/>
          </w:tcPr>
          <w:p w:rsidR="00DE31BE" w:rsidRPr="00CA3220" w:rsidRDefault="00DE31BE" w:rsidP="00664299">
            <w:pPr>
              <w:pStyle w:val="Tabletext"/>
              <w:jc w:val="left"/>
              <w:rPr>
                <w:lang w:val="fr-CH"/>
              </w:rPr>
            </w:pPr>
            <w:r w:rsidRPr="00CA3220">
              <w:rPr>
                <w:lang w:val="fr-CH"/>
              </w:rPr>
              <w:t>1,25 MHz</w:t>
            </w:r>
          </w:p>
        </w:tc>
        <w:tc>
          <w:tcPr>
            <w:tcW w:w="2407" w:type="dxa"/>
          </w:tcPr>
          <w:p w:rsidR="00DE31BE" w:rsidRPr="00CA3220" w:rsidRDefault="00DE31BE" w:rsidP="00664299">
            <w:pPr>
              <w:pStyle w:val="Tabletext"/>
              <w:jc w:val="left"/>
              <w:rPr>
                <w:lang w:val="fr-CH"/>
              </w:rPr>
            </w:pPr>
            <w:r w:rsidRPr="00CA3220">
              <w:rPr>
                <w:lang w:val="fr-CH"/>
              </w:rPr>
              <w:t>1,25 à 20 MHz (de 1 à 16 porteuses)</w:t>
            </w:r>
          </w:p>
        </w:tc>
        <w:tc>
          <w:tcPr>
            <w:tcW w:w="2412" w:type="dxa"/>
          </w:tcPr>
          <w:p w:rsidR="00DE31BE" w:rsidRPr="00CA3220" w:rsidRDefault="00DE31BE" w:rsidP="00664299">
            <w:pPr>
              <w:pStyle w:val="Tabletext"/>
              <w:jc w:val="left"/>
              <w:rPr>
                <w:lang w:val="fr-CH"/>
              </w:rPr>
            </w:pPr>
            <w:r w:rsidRPr="00CA3220">
              <w:rPr>
                <w:lang w:val="fr-CH"/>
              </w:rPr>
              <w:t>1,25 MHz</w:t>
            </w:r>
          </w:p>
        </w:tc>
      </w:tr>
      <w:tr w:rsidR="00DE31BE" w:rsidRPr="00CA3220" w:rsidTr="00773693">
        <w:trPr>
          <w:cantSplit/>
          <w:jc w:val="center"/>
        </w:trPr>
        <w:tc>
          <w:tcPr>
            <w:tcW w:w="2407" w:type="dxa"/>
          </w:tcPr>
          <w:p w:rsidR="00DE31BE" w:rsidRPr="00CA3220" w:rsidRDefault="00DE31BE" w:rsidP="00664299">
            <w:pPr>
              <w:pStyle w:val="Tabletext"/>
              <w:jc w:val="left"/>
              <w:rPr>
                <w:lang w:val="fr-CH"/>
              </w:rPr>
            </w:pPr>
            <w:r w:rsidRPr="00CA3220">
              <w:rPr>
                <w:lang w:val="fr-CH"/>
              </w:rPr>
              <w:t>Techniques de diversité</w:t>
            </w:r>
          </w:p>
        </w:tc>
        <w:tc>
          <w:tcPr>
            <w:tcW w:w="2413" w:type="dxa"/>
          </w:tcPr>
          <w:p w:rsidR="00DE31BE" w:rsidRPr="00CA3220" w:rsidRDefault="00DE31BE" w:rsidP="00664299">
            <w:pPr>
              <w:pStyle w:val="Tabletext"/>
              <w:jc w:val="left"/>
              <w:rPr>
                <w:lang w:val="fr-CH"/>
              </w:rPr>
            </w:pPr>
            <w:r w:rsidRPr="00CA3220">
              <w:rPr>
                <w:lang w:val="fr-CH"/>
              </w:rPr>
              <w:t>Antenne, polarisation, spatiale, temporelle</w:t>
            </w:r>
          </w:p>
        </w:tc>
        <w:tc>
          <w:tcPr>
            <w:tcW w:w="2407" w:type="dxa"/>
          </w:tcPr>
          <w:p w:rsidR="00DE31BE" w:rsidRPr="00CA3220" w:rsidRDefault="00DE31BE" w:rsidP="00664299">
            <w:pPr>
              <w:pStyle w:val="Tabletext"/>
              <w:jc w:val="left"/>
              <w:rPr>
                <w:lang w:val="fr-CH"/>
              </w:rPr>
            </w:pPr>
            <w:r w:rsidRPr="00CA3220">
              <w:rPr>
                <w:lang w:val="fr-CH"/>
              </w:rPr>
              <w:t>Antenne, polarisation, spatiale, temporelle</w:t>
            </w:r>
          </w:p>
        </w:tc>
        <w:tc>
          <w:tcPr>
            <w:tcW w:w="2412" w:type="dxa"/>
          </w:tcPr>
          <w:p w:rsidR="00DE31BE" w:rsidRPr="00CA3220" w:rsidRDefault="00DE31BE" w:rsidP="00664299">
            <w:pPr>
              <w:pStyle w:val="Tabletext"/>
              <w:jc w:val="left"/>
              <w:rPr>
                <w:lang w:val="fr-CH"/>
              </w:rPr>
            </w:pPr>
            <w:r w:rsidRPr="00CA3220">
              <w:rPr>
                <w:lang w:val="fr-CH"/>
              </w:rPr>
              <w:t>Antenne, polarisation, spatiale, temporelle</w:t>
            </w:r>
          </w:p>
        </w:tc>
      </w:tr>
      <w:tr w:rsidR="00DE31BE" w:rsidRPr="00CA3220" w:rsidTr="00773693">
        <w:trPr>
          <w:cantSplit/>
          <w:jc w:val="center"/>
        </w:trPr>
        <w:tc>
          <w:tcPr>
            <w:tcW w:w="2407" w:type="dxa"/>
          </w:tcPr>
          <w:p w:rsidR="00DE31BE" w:rsidRPr="00CA3220" w:rsidRDefault="00DE31BE" w:rsidP="00664299">
            <w:pPr>
              <w:pStyle w:val="Tabletext"/>
              <w:jc w:val="left"/>
              <w:rPr>
                <w:lang w:val="fr-CH"/>
              </w:rPr>
            </w:pPr>
            <w:r w:rsidRPr="00CA3220">
              <w:rPr>
                <w:lang w:val="fr-CH"/>
              </w:rPr>
              <w:t>Prise en charge de la technique MIMO (oui/non)</w:t>
            </w:r>
          </w:p>
        </w:tc>
        <w:tc>
          <w:tcPr>
            <w:tcW w:w="2413" w:type="dxa"/>
          </w:tcPr>
          <w:p w:rsidR="00DE31BE" w:rsidRPr="00CA3220" w:rsidRDefault="00DE31BE" w:rsidP="00664299">
            <w:pPr>
              <w:pStyle w:val="Tabletext"/>
              <w:jc w:val="left"/>
              <w:rPr>
                <w:lang w:val="fr-CH"/>
              </w:rPr>
            </w:pPr>
            <w:r w:rsidRPr="00CA3220">
              <w:rPr>
                <w:lang w:val="fr-CH"/>
              </w:rPr>
              <w:t>Non</w:t>
            </w:r>
          </w:p>
        </w:tc>
        <w:tc>
          <w:tcPr>
            <w:tcW w:w="2407" w:type="dxa"/>
          </w:tcPr>
          <w:p w:rsidR="00DE31BE" w:rsidRPr="00CA3220" w:rsidRDefault="00DE31BE" w:rsidP="00664299">
            <w:pPr>
              <w:pStyle w:val="Tabletext"/>
              <w:jc w:val="left"/>
              <w:rPr>
                <w:lang w:val="fr-CH"/>
              </w:rPr>
            </w:pPr>
            <w:r w:rsidRPr="00CA3220">
              <w:rPr>
                <w:lang w:val="fr-CH"/>
              </w:rPr>
              <w:t>Oui</w:t>
            </w:r>
          </w:p>
        </w:tc>
        <w:tc>
          <w:tcPr>
            <w:tcW w:w="2412" w:type="dxa"/>
          </w:tcPr>
          <w:p w:rsidR="00DE31BE" w:rsidRPr="00CA3220" w:rsidRDefault="00DE31BE" w:rsidP="00664299">
            <w:pPr>
              <w:pStyle w:val="Tabletext"/>
              <w:jc w:val="left"/>
              <w:rPr>
                <w:lang w:val="fr-CH"/>
              </w:rPr>
            </w:pPr>
            <w:r w:rsidRPr="00CA3220">
              <w:rPr>
                <w:lang w:val="fr-CH"/>
              </w:rPr>
              <w:t>Non</w:t>
            </w:r>
          </w:p>
        </w:tc>
      </w:tr>
    </w:tbl>
    <w:p w:rsidR="008E1A19" w:rsidRPr="00CA3220" w:rsidRDefault="008E1A19" w:rsidP="00664299">
      <w:pPr>
        <w:pStyle w:val="TableNo"/>
        <w:rPr>
          <w:lang w:val="fr-CH"/>
        </w:rPr>
      </w:pPr>
      <w:r w:rsidRPr="00CA3220">
        <w:rPr>
          <w:lang w:val="fr-CH"/>
        </w:rPr>
        <w:lastRenderedPageBreak/>
        <w:t>TABLEAU A1.8 (</w:t>
      </w:r>
      <w:r w:rsidRPr="00CA3220">
        <w:rPr>
          <w:i/>
          <w:iCs/>
          <w:lang w:val="fr-CH"/>
        </w:rPr>
        <w:t>suite</w:t>
      </w:r>
      <w:r w:rsidRPr="00CA3220">
        <w:rPr>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268"/>
        <w:gridCol w:w="2268"/>
        <w:gridCol w:w="2409"/>
      </w:tblGrid>
      <w:tr w:rsidR="00773693" w:rsidRPr="00CA3220" w:rsidTr="00773693">
        <w:trPr>
          <w:cantSplit/>
          <w:jc w:val="center"/>
        </w:trPr>
        <w:tc>
          <w:tcPr>
            <w:tcW w:w="2694" w:type="dxa"/>
            <w:vMerge w:val="restart"/>
            <w:vAlign w:val="center"/>
          </w:tcPr>
          <w:p w:rsidR="00773693" w:rsidRPr="00CA3220" w:rsidRDefault="00773693" w:rsidP="00664299">
            <w:pPr>
              <w:pStyle w:val="Tablehead"/>
              <w:rPr>
                <w:lang w:val="fr-CH"/>
              </w:rPr>
            </w:pPr>
            <w:r w:rsidRPr="00CA3220">
              <w:rPr>
                <w:lang w:val="fr-CH"/>
              </w:rPr>
              <w:t>Fonction</w:t>
            </w:r>
          </w:p>
        </w:tc>
        <w:tc>
          <w:tcPr>
            <w:tcW w:w="6945" w:type="dxa"/>
            <w:gridSpan w:val="3"/>
          </w:tcPr>
          <w:p w:rsidR="00773693" w:rsidRPr="00CA3220" w:rsidRDefault="00773693" w:rsidP="00664299">
            <w:pPr>
              <w:pStyle w:val="Tablehead"/>
              <w:rPr>
                <w:lang w:val="fr-CH"/>
              </w:rPr>
            </w:pPr>
            <w:r w:rsidRPr="00CA3220">
              <w:rPr>
                <w:lang w:val="fr-CH"/>
              </w:rPr>
              <w:t>Valeur</w:t>
            </w:r>
          </w:p>
        </w:tc>
      </w:tr>
      <w:tr w:rsidR="00773693" w:rsidRPr="00CA3220" w:rsidTr="0041087D">
        <w:trPr>
          <w:cantSplit/>
          <w:jc w:val="center"/>
        </w:trPr>
        <w:tc>
          <w:tcPr>
            <w:tcW w:w="2694" w:type="dxa"/>
            <w:vMerge/>
          </w:tcPr>
          <w:p w:rsidR="00773693" w:rsidRPr="00CA3220" w:rsidRDefault="00773693" w:rsidP="00664299">
            <w:pPr>
              <w:pStyle w:val="Tabletext"/>
              <w:rPr>
                <w:lang w:val="fr-CH"/>
              </w:rPr>
            </w:pPr>
          </w:p>
        </w:tc>
        <w:tc>
          <w:tcPr>
            <w:tcW w:w="2268" w:type="dxa"/>
            <w:vAlign w:val="center"/>
          </w:tcPr>
          <w:p w:rsidR="00773693" w:rsidRPr="00CA3220" w:rsidRDefault="00773693" w:rsidP="00664299">
            <w:pPr>
              <w:pStyle w:val="Tablehead"/>
              <w:rPr>
                <w:lang w:val="fr-CH"/>
              </w:rPr>
            </w:pPr>
            <w:r w:rsidRPr="00CA3220">
              <w:rPr>
                <w:lang w:val="fr-CH"/>
              </w:rPr>
              <w:t>cdma2000 1x</w:t>
            </w:r>
          </w:p>
        </w:tc>
        <w:tc>
          <w:tcPr>
            <w:tcW w:w="2268" w:type="dxa"/>
            <w:vAlign w:val="center"/>
          </w:tcPr>
          <w:p w:rsidR="00773693" w:rsidRPr="00CA3220" w:rsidRDefault="00773693" w:rsidP="00664299">
            <w:pPr>
              <w:pStyle w:val="Tablehead"/>
              <w:keepNext w:val="0"/>
              <w:rPr>
                <w:lang w:val="fr-CH"/>
              </w:rPr>
            </w:pPr>
            <w:r w:rsidRPr="00CA3220">
              <w:rPr>
                <w:lang w:val="fr-CH"/>
              </w:rPr>
              <w:t>Communications de données par paquets à haut débit cdma2000 (HRPD/EV</w:t>
            </w:r>
            <w:r w:rsidRPr="00CA3220">
              <w:rPr>
                <w:lang w:val="fr-CH"/>
              </w:rPr>
              <w:noBreakHyphen/>
              <w:t>DO)</w:t>
            </w:r>
          </w:p>
        </w:tc>
        <w:tc>
          <w:tcPr>
            <w:tcW w:w="2409" w:type="dxa"/>
            <w:vAlign w:val="center"/>
          </w:tcPr>
          <w:p w:rsidR="00773693" w:rsidRPr="00CA3220" w:rsidRDefault="00773693" w:rsidP="00664299">
            <w:pPr>
              <w:pStyle w:val="Tablehead"/>
              <w:keepNext w:val="0"/>
              <w:rPr>
                <w:lang w:val="fr-CH"/>
              </w:rPr>
            </w:pPr>
            <w:r w:rsidRPr="00CA3220">
              <w:rPr>
                <w:lang w:val="fr-CH"/>
              </w:rPr>
              <w:t>Communications de données par paquets à haut débit étendues (xHRPD)</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Orientation/conformation du faisceau</w:t>
            </w:r>
          </w:p>
        </w:tc>
        <w:tc>
          <w:tcPr>
            <w:tcW w:w="2268" w:type="dxa"/>
          </w:tcPr>
          <w:p w:rsidR="00DE31BE" w:rsidRPr="00CA3220" w:rsidRDefault="00DE31BE" w:rsidP="00664299">
            <w:pPr>
              <w:pStyle w:val="Tabletext"/>
              <w:jc w:val="left"/>
              <w:rPr>
                <w:lang w:val="fr-CH"/>
              </w:rPr>
            </w:pPr>
            <w:r w:rsidRPr="00CA3220">
              <w:rPr>
                <w:lang w:val="fr-CH"/>
              </w:rPr>
              <w:t>Oui</w:t>
            </w:r>
          </w:p>
        </w:tc>
        <w:tc>
          <w:tcPr>
            <w:tcW w:w="2268" w:type="dxa"/>
          </w:tcPr>
          <w:p w:rsidR="00DE31BE" w:rsidRPr="00CA3220" w:rsidRDefault="00DE31BE" w:rsidP="00664299">
            <w:pPr>
              <w:pStyle w:val="Tabletext"/>
              <w:jc w:val="left"/>
              <w:rPr>
                <w:lang w:val="fr-CH"/>
              </w:rPr>
            </w:pPr>
            <w:r w:rsidRPr="00CA3220">
              <w:rPr>
                <w:lang w:val="fr-CH"/>
              </w:rPr>
              <w:t>Non</w:t>
            </w:r>
          </w:p>
        </w:tc>
        <w:tc>
          <w:tcPr>
            <w:tcW w:w="2409" w:type="dxa"/>
          </w:tcPr>
          <w:p w:rsidR="00DE31BE" w:rsidRPr="00CA3220" w:rsidRDefault="00DE31BE" w:rsidP="00664299">
            <w:pPr>
              <w:pStyle w:val="Tabletext"/>
              <w:jc w:val="left"/>
              <w:rPr>
                <w:lang w:val="fr-CH"/>
              </w:rPr>
            </w:pPr>
            <w:r w:rsidRPr="00CA3220">
              <w:rPr>
                <w:lang w:val="fr-CH"/>
              </w:rPr>
              <w:t>Non</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Retransmission</w:t>
            </w:r>
          </w:p>
        </w:tc>
        <w:tc>
          <w:tcPr>
            <w:tcW w:w="2268" w:type="dxa"/>
          </w:tcPr>
          <w:p w:rsidR="00DE31BE" w:rsidRPr="00CA3220" w:rsidRDefault="00DE31BE" w:rsidP="00664299">
            <w:pPr>
              <w:pStyle w:val="Tabletext"/>
              <w:jc w:val="left"/>
              <w:rPr>
                <w:lang w:val="fr-CH"/>
              </w:rPr>
            </w:pPr>
            <w:r w:rsidRPr="00CA3220">
              <w:rPr>
                <w:lang w:val="fr-CH"/>
              </w:rPr>
              <w:t>HARQ</w:t>
            </w:r>
          </w:p>
        </w:tc>
        <w:tc>
          <w:tcPr>
            <w:tcW w:w="2268" w:type="dxa"/>
          </w:tcPr>
          <w:p w:rsidR="00DE31BE" w:rsidRPr="00CA3220" w:rsidRDefault="00DE31BE" w:rsidP="00664299">
            <w:pPr>
              <w:pStyle w:val="Tabletext"/>
              <w:jc w:val="left"/>
              <w:rPr>
                <w:lang w:val="fr-CH"/>
              </w:rPr>
            </w:pPr>
            <w:r w:rsidRPr="00CA3220">
              <w:rPr>
                <w:lang w:val="fr-CH"/>
              </w:rPr>
              <w:t>HARQ</w:t>
            </w:r>
          </w:p>
        </w:tc>
        <w:tc>
          <w:tcPr>
            <w:tcW w:w="2409" w:type="dxa"/>
          </w:tcPr>
          <w:p w:rsidR="00DE31BE" w:rsidRPr="00CA3220" w:rsidRDefault="00DE31BE" w:rsidP="00664299">
            <w:pPr>
              <w:pStyle w:val="Tabletext"/>
              <w:jc w:val="left"/>
              <w:rPr>
                <w:lang w:val="fr-CH"/>
              </w:rPr>
            </w:pPr>
            <w:r w:rsidRPr="00CA3220">
              <w:rPr>
                <w:lang w:val="fr-CH"/>
              </w:rPr>
              <w:t>HARQ</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Correction d'erreur directe</w:t>
            </w:r>
          </w:p>
        </w:tc>
        <w:tc>
          <w:tcPr>
            <w:tcW w:w="2268" w:type="dxa"/>
          </w:tcPr>
          <w:p w:rsidR="00DE31BE" w:rsidRPr="00CA3220" w:rsidRDefault="00DE31BE" w:rsidP="00664299">
            <w:pPr>
              <w:pStyle w:val="Tabletext"/>
              <w:jc w:val="left"/>
              <w:rPr>
                <w:lang w:val="fr-CH"/>
              </w:rPr>
            </w:pPr>
            <w:r w:rsidRPr="00CA3220">
              <w:rPr>
                <w:lang w:val="fr-CH"/>
              </w:rPr>
              <w:t xml:space="preserve">Convolutionnelle et turbo </w:t>
            </w:r>
          </w:p>
        </w:tc>
        <w:tc>
          <w:tcPr>
            <w:tcW w:w="2268" w:type="dxa"/>
          </w:tcPr>
          <w:p w:rsidR="00DE31BE" w:rsidRPr="00CA3220" w:rsidRDefault="00DE31BE" w:rsidP="00664299">
            <w:pPr>
              <w:pStyle w:val="Tabletext"/>
              <w:jc w:val="left"/>
              <w:rPr>
                <w:lang w:val="fr-CH"/>
              </w:rPr>
            </w:pPr>
            <w:r w:rsidRPr="00CA3220">
              <w:rPr>
                <w:lang w:val="fr-CH"/>
              </w:rPr>
              <w:t xml:space="preserve">Convolutionnelle et turbo </w:t>
            </w:r>
          </w:p>
        </w:tc>
        <w:tc>
          <w:tcPr>
            <w:tcW w:w="2409" w:type="dxa"/>
          </w:tcPr>
          <w:p w:rsidR="00DE31BE" w:rsidRPr="00CA3220" w:rsidRDefault="00DE31BE" w:rsidP="00664299">
            <w:pPr>
              <w:pStyle w:val="Tabletext"/>
              <w:jc w:val="left"/>
              <w:rPr>
                <w:lang w:val="fr-CH"/>
              </w:rPr>
            </w:pPr>
            <w:r w:rsidRPr="00CA3220">
              <w:rPr>
                <w:lang w:val="fr-CH"/>
              </w:rPr>
              <w:t xml:space="preserve">Convolutionnelle et turbo </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Gestion des brouillages</w:t>
            </w:r>
          </w:p>
        </w:tc>
        <w:tc>
          <w:tcPr>
            <w:tcW w:w="2268" w:type="dxa"/>
          </w:tcPr>
          <w:p w:rsidR="00DE31BE" w:rsidRPr="00CA3220" w:rsidRDefault="00DE31BE" w:rsidP="00664299">
            <w:pPr>
              <w:pStyle w:val="Tabletext"/>
              <w:jc w:val="left"/>
              <w:rPr>
                <w:lang w:val="fr-CH"/>
              </w:rPr>
            </w:pPr>
            <w:r w:rsidRPr="00CA3220">
              <w:rPr>
                <w:lang w:val="fr-CH"/>
              </w:rPr>
              <w:t>Oui, plusieurs techniques, comme suppression des brouillages au niveau du récepteur, commande de puissance, etc.</w:t>
            </w:r>
          </w:p>
        </w:tc>
        <w:tc>
          <w:tcPr>
            <w:tcW w:w="2268" w:type="dxa"/>
          </w:tcPr>
          <w:p w:rsidR="00DE31BE" w:rsidRPr="00CA3220" w:rsidRDefault="00DE31BE" w:rsidP="00664299">
            <w:pPr>
              <w:pStyle w:val="Tabletext"/>
              <w:jc w:val="left"/>
              <w:rPr>
                <w:lang w:val="fr-CH"/>
              </w:rPr>
            </w:pPr>
            <w:r w:rsidRPr="00CA3220">
              <w:rPr>
                <w:lang w:val="fr-CH"/>
              </w:rPr>
              <w:t>Oui, plusieurs techniques, comme suppression des brouillages au niveau du récepteur, commande de puissance, etc.</w:t>
            </w:r>
          </w:p>
        </w:tc>
        <w:tc>
          <w:tcPr>
            <w:tcW w:w="2409" w:type="dxa"/>
          </w:tcPr>
          <w:p w:rsidR="00DE31BE" w:rsidRPr="00CA3220" w:rsidRDefault="00DE31BE" w:rsidP="00664299">
            <w:pPr>
              <w:pStyle w:val="Tabletext"/>
              <w:jc w:val="left"/>
              <w:rPr>
                <w:lang w:val="fr-CH"/>
              </w:rPr>
            </w:pPr>
            <w:r w:rsidRPr="00CA3220">
              <w:rPr>
                <w:lang w:val="fr-CH"/>
              </w:rPr>
              <w:t>Oui, plusieurs techniques, comme suppression des brouillages au niveau du récepteur, commande de puissance, etc.</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Gestion de la puissance</w:t>
            </w:r>
          </w:p>
        </w:tc>
        <w:tc>
          <w:tcPr>
            <w:tcW w:w="2268" w:type="dxa"/>
          </w:tcPr>
          <w:p w:rsidR="00DE31BE" w:rsidRPr="00CA3220" w:rsidRDefault="00DE31BE" w:rsidP="00664299">
            <w:pPr>
              <w:pStyle w:val="Tabletext"/>
              <w:jc w:val="left"/>
              <w:rPr>
                <w:lang w:val="fr-CH"/>
              </w:rPr>
            </w:pPr>
            <w:r w:rsidRPr="00CA3220">
              <w:rPr>
                <w:lang w:val="fr-CH"/>
              </w:rPr>
              <w:t>Oui, différents états de faible puissance</w:t>
            </w:r>
          </w:p>
        </w:tc>
        <w:tc>
          <w:tcPr>
            <w:tcW w:w="2268" w:type="dxa"/>
          </w:tcPr>
          <w:p w:rsidR="00DE31BE" w:rsidRPr="00CA3220" w:rsidRDefault="00DE31BE" w:rsidP="00664299">
            <w:pPr>
              <w:pStyle w:val="Tabletext"/>
              <w:jc w:val="left"/>
              <w:rPr>
                <w:lang w:val="fr-CH"/>
              </w:rPr>
            </w:pPr>
            <w:r w:rsidRPr="00CA3220">
              <w:rPr>
                <w:lang w:val="fr-CH"/>
              </w:rPr>
              <w:t>Oui, différents états de faible puissance</w:t>
            </w:r>
          </w:p>
        </w:tc>
        <w:tc>
          <w:tcPr>
            <w:tcW w:w="2409" w:type="dxa"/>
          </w:tcPr>
          <w:p w:rsidR="00DE31BE" w:rsidRPr="00CA3220" w:rsidRDefault="00DE31BE" w:rsidP="00664299">
            <w:pPr>
              <w:pStyle w:val="Tabletext"/>
              <w:jc w:val="left"/>
              <w:rPr>
                <w:lang w:val="fr-CH"/>
              </w:rPr>
            </w:pPr>
            <w:r w:rsidRPr="00CA3220">
              <w:rPr>
                <w:lang w:val="fr-CH"/>
              </w:rPr>
              <w:t>Oui, différents états de faible puissance</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Topologie de connexion</w:t>
            </w:r>
          </w:p>
        </w:tc>
        <w:tc>
          <w:tcPr>
            <w:tcW w:w="2268" w:type="dxa"/>
          </w:tcPr>
          <w:p w:rsidR="00DE31BE" w:rsidRPr="00CA3220" w:rsidRDefault="00DE31BE" w:rsidP="00664299">
            <w:pPr>
              <w:pStyle w:val="Tabletext"/>
              <w:jc w:val="left"/>
              <w:rPr>
                <w:lang w:val="fr-CH"/>
              </w:rPr>
            </w:pPr>
            <w:r w:rsidRPr="00CA3220">
              <w:rPr>
                <w:lang w:val="fr-CH"/>
              </w:rPr>
              <w:t>Point à multipoint</w:t>
            </w:r>
          </w:p>
        </w:tc>
        <w:tc>
          <w:tcPr>
            <w:tcW w:w="2268" w:type="dxa"/>
          </w:tcPr>
          <w:p w:rsidR="00DE31BE" w:rsidRPr="00CA3220" w:rsidRDefault="00DE31BE" w:rsidP="00664299">
            <w:pPr>
              <w:pStyle w:val="Tabletext"/>
              <w:jc w:val="left"/>
              <w:rPr>
                <w:lang w:val="fr-CH"/>
              </w:rPr>
            </w:pPr>
            <w:r w:rsidRPr="00CA3220">
              <w:rPr>
                <w:lang w:val="fr-CH"/>
              </w:rPr>
              <w:t>Point à multipoint</w:t>
            </w:r>
          </w:p>
        </w:tc>
        <w:tc>
          <w:tcPr>
            <w:tcW w:w="2409" w:type="dxa"/>
          </w:tcPr>
          <w:p w:rsidR="00DE31BE" w:rsidRPr="00CA3220" w:rsidRDefault="00DE31BE" w:rsidP="00664299">
            <w:pPr>
              <w:pStyle w:val="Tabletext"/>
              <w:jc w:val="left"/>
              <w:rPr>
                <w:lang w:val="fr-CH"/>
              </w:rPr>
            </w:pPr>
            <w:r w:rsidRPr="00CA3220">
              <w:rPr>
                <w:lang w:val="fr-CH"/>
              </w:rPr>
              <w:t>Point à multipoint</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Méthodes d'accès au support</w:t>
            </w:r>
          </w:p>
        </w:tc>
        <w:tc>
          <w:tcPr>
            <w:tcW w:w="2268" w:type="dxa"/>
          </w:tcPr>
          <w:p w:rsidR="00DE31BE" w:rsidRPr="00CA3220" w:rsidRDefault="00DE31BE" w:rsidP="00664299">
            <w:pPr>
              <w:pStyle w:val="Tabletext"/>
              <w:jc w:val="left"/>
              <w:rPr>
                <w:lang w:val="fr-CH"/>
              </w:rPr>
            </w:pPr>
            <w:r w:rsidRPr="00CA3220">
              <w:rPr>
                <w:lang w:val="fr-CH"/>
              </w:rPr>
              <w:t>CDMA</w:t>
            </w:r>
          </w:p>
        </w:tc>
        <w:tc>
          <w:tcPr>
            <w:tcW w:w="2268" w:type="dxa"/>
          </w:tcPr>
          <w:p w:rsidR="00DE31BE" w:rsidRPr="00CA3220" w:rsidRDefault="00DE31BE" w:rsidP="00664299">
            <w:pPr>
              <w:pStyle w:val="Tabletext"/>
              <w:jc w:val="left"/>
              <w:rPr>
                <w:lang w:val="fr-CH"/>
              </w:rPr>
            </w:pPr>
            <w:r w:rsidRPr="00CA3220">
              <w:rPr>
                <w:lang w:val="fr-CH"/>
              </w:rPr>
              <w:t>CDMA (RL)/TDMA (FL)</w:t>
            </w:r>
          </w:p>
        </w:tc>
        <w:tc>
          <w:tcPr>
            <w:tcW w:w="2409" w:type="dxa"/>
          </w:tcPr>
          <w:p w:rsidR="00DE31BE" w:rsidRPr="00CA3220" w:rsidRDefault="00DE31BE" w:rsidP="00664299">
            <w:pPr>
              <w:pStyle w:val="Tabletext"/>
              <w:jc w:val="left"/>
              <w:rPr>
                <w:lang w:val="fr-CH"/>
              </w:rPr>
            </w:pPr>
            <w:r w:rsidRPr="00CA3220">
              <w:rPr>
                <w:lang w:val="fr-CH"/>
              </w:rPr>
              <w:t>FDMA (RL)/TDMA (FL)</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Découverte et méthode d'association</w:t>
            </w:r>
          </w:p>
        </w:tc>
        <w:tc>
          <w:tcPr>
            <w:tcW w:w="2268" w:type="dxa"/>
          </w:tcPr>
          <w:p w:rsidR="00DE31BE" w:rsidRPr="00CA3220" w:rsidRDefault="00DE31BE" w:rsidP="00664299">
            <w:pPr>
              <w:pStyle w:val="Tabletext"/>
              <w:jc w:val="left"/>
              <w:rPr>
                <w:lang w:val="fr-CH"/>
              </w:rPr>
            </w:pPr>
            <w:r w:rsidRPr="00CA3220">
              <w:rPr>
                <w:lang w:val="fr-CH"/>
              </w:rPr>
              <w:t>Oui, le dispositif mobile recherche en permanence la station de base qui émet le plus fort. Il s'enregistre auprès d'un groupe de stations de base et s'associe à celle qui émet le plus fort lorsqu'il transmet/reçoit des données. Il s'enregistre et éventuellement reçoit un identifiant MAC.</w:t>
            </w:r>
          </w:p>
        </w:tc>
        <w:tc>
          <w:tcPr>
            <w:tcW w:w="2268" w:type="dxa"/>
          </w:tcPr>
          <w:p w:rsidR="00DE31BE" w:rsidRPr="00CA3220" w:rsidRDefault="00DE31BE" w:rsidP="00664299">
            <w:pPr>
              <w:pStyle w:val="Tabletext"/>
              <w:jc w:val="left"/>
              <w:rPr>
                <w:lang w:val="fr-CH"/>
              </w:rPr>
            </w:pPr>
            <w:r w:rsidRPr="00CA3220">
              <w:rPr>
                <w:lang w:val="fr-CH"/>
              </w:rPr>
              <w:t>Oui, le dispositif mobile recherche en permanence la station de base qui émet le plus fort. Il s'enregistre auprès d'un groupe de stations de base et s'associe à celle qui émet le plus fort lorsqu'il transmet/reçoit des données. Il s'enregistre et reçoit un identifiant MAC.</w:t>
            </w:r>
          </w:p>
        </w:tc>
        <w:tc>
          <w:tcPr>
            <w:tcW w:w="2409" w:type="dxa"/>
          </w:tcPr>
          <w:p w:rsidR="00DE31BE" w:rsidRPr="00CA3220" w:rsidRDefault="00DE31BE" w:rsidP="00664299">
            <w:pPr>
              <w:pStyle w:val="Tabletext"/>
              <w:jc w:val="left"/>
              <w:rPr>
                <w:lang w:val="fr-CH"/>
              </w:rPr>
            </w:pPr>
            <w:r w:rsidRPr="00CA3220">
              <w:rPr>
                <w:lang w:val="fr-CH"/>
              </w:rPr>
              <w:t xml:space="preserve">Oui, le dispositif mobile recherche en permanence la station de base qui émet le plus fort. Il s'enregistre auprès d'un groupe de stations de base et s'associe à celle qui émet le plus fort lorsqu'il transmet/reçoit des données. </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Méthodes de qualité de service</w:t>
            </w:r>
          </w:p>
        </w:tc>
        <w:tc>
          <w:tcPr>
            <w:tcW w:w="2268" w:type="dxa"/>
          </w:tcPr>
          <w:p w:rsidR="00DE31BE" w:rsidRPr="00CA3220" w:rsidRDefault="00DE31BE" w:rsidP="00664299">
            <w:pPr>
              <w:pStyle w:val="Tabletext"/>
              <w:jc w:val="left"/>
              <w:rPr>
                <w:lang w:val="fr-CH"/>
              </w:rPr>
            </w:pPr>
            <w:r w:rsidRPr="00CA3220">
              <w:rPr>
                <w:lang w:val="fr-CH"/>
              </w:rPr>
              <w:t>Oui, priorités définies selon 3GPP2</w:t>
            </w:r>
          </w:p>
        </w:tc>
        <w:tc>
          <w:tcPr>
            <w:tcW w:w="2268" w:type="dxa"/>
          </w:tcPr>
          <w:p w:rsidR="00DE31BE" w:rsidRPr="00CA3220" w:rsidRDefault="00DE31BE" w:rsidP="00664299">
            <w:pPr>
              <w:pStyle w:val="Tabletext"/>
              <w:jc w:val="left"/>
              <w:rPr>
                <w:lang w:val="fr-CH"/>
              </w:rPr>
            </w:pPr>
            <w:r w:rsidRPr="00CA3220">
              <w:rPr>
                <w:lang w:val="fr-CH"/>
              </w:rPr>
              <w:t>Oui, priorités définies selon 3GPP2</w:t>
            </w:r>
          </w:p>
        </w:tc>
        <w:tc>
          <w:tcPr>
            <w:tcW w:w="2409" w:type="dxa"/>
          </w:tcPr>
          <w:p w:rsidR="00DE31BE" w:rsidRPr="00CA3220" w:rsidRDefault="00DE31BE" w:rsidP="00664299">
            <w:pPr>
              <w:pStyle w:val="Tabletext"/>
              <w:jc w:val="left"/>
              <w:rPr>
                <w:lang w:val="fr-CH"/>
              </w:rPr>
            </w:pPr>
            <w:r w:rsidRPr="00CA3220">
              <w:rPr>
                <w:lang w:val="fr-CH"/>
              </w:rPr>
              <w:t>Oui, priorités définies selon 3GPP2</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Détection de l'emplacement</w:t>
            </w:r>
          </w:p>
        </w:tc>
        <w:tc>
          <w:tcPr>
            <w:tcW w:w="2268" w:type="dxa"/>
          </w:tcPr>
          <w:p w:rsidR="00DE31BE" w:rsidRPr="00CA3220" w:rsidRDefault="00DE31BE" w:rsidP="00664299">
            <w:pPr>
              <w:pStyle w:val="Tabletext"/>
              <w:jc w:val="left"/>
              <w:rPr>
                <w:lang w:val="fr-CH"/>
              </w:rPr>
            </w:pPr>
            <w:r w:rsidRPr="00CA3220">
              <w:rPr>
                <w:lang w:val="fr-CH"/>
              </w:rPr>
              <w:t>Oui, GNSS et AFLT</w:t>
            </w:r>
          </w:p>
        </w:tc>
        <w:tc>
          <w:tcPr>
            <w:tcW w:w="2268" w:type="dxa"/>
          </w:tcPr>
          <w:p w:rsidR="00DE31BE" w:rsidRPr="00CA3220" w:rsidRDefault="00DE31BE" w:rsidP="00664299">
            <w:pPr>
              <w:pStyle w:val="Tabletext"/>
              <w:jc w:val="left"/>
              <w:rPr>
                <w:lang w:val="fr-CH"/>
              </w:rPr>
            </w:pPr>
            <w:r w:rsidRPr="00CA3220">
              <w:rPr>
                <w:lang w:val="fr-CH"/>
              </w:rPr>
              <w:t>Oui, GNSS et AFLT</w:t>
            </w:r>
          </w:p>
        </w:tc>
        <w:tc>
          <w:tcPr>
            <w:tcW w:w="2409" w:type="dxa"/>
          </w:tcPr>
          <w:p w:rsidR="00DE31BE" w:rsidRPr="00CA3220" w:rsidRDefault="00DE31BE" w:rsidP="00664299">
            <w:pPr>
              <w:pStyle w:val="Tabletext"/>
              <w:jc w:val="left"/>
              <w:rPr>
                <w:lang w:val="fr-CH"/>
              </w:rPr>
            </w:pPr>
            <w:r w:rsidRPr="00CA3220">
              <w:rPr>
                <w:lang w:val="fr-CH"/>
              </w:rPr>
              <w:t>Non</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Télémétrie</w:t>
            </w:r>
          </w:p>
        </w:tc>
        <w:tc>
          <w:tcPr>
            <w:tcW w:w="2268" w:type="dxa"/>
          </w:tcPr>
          <w:p w:rsidR="00DE31BE" w:rsidRPr="00CA3220" w:rsidRDefault="00DE31BE" w:rsidP="00664299">
            <w:pPr>
              <w:pStyle w:val="Tabletext"/>
              <w:jc w:val="left"/>
              <w:rPr>
                <w:lang w:val="fr-CH"/>
              </w:rPr>
            </w:pPr>
            <w:r w:rsidRPr="00CA3220">
              <w:rPr>
                <w:lang w:val="fr-CH"/>
              </w:rPr>
              <w:t>Oui, fondée sur le temps de propagation aller-retour</w:t>
            </w:r>
          </w:p>
        </w:tc>
        <w:tc>
          <w:tcPr>
            <w:tcW w:w="2268" w:type="dxa"/>
          </w:tcPr>
          <w:p w:rsidR="00DE31BE" w:rsidRPr="00CA3220" w:rsidRDefault="00DE31BE" w:rsidP="00664299">
            <w:pPr>
              <w:pStyle w:val="Tabletext"/>
              <w:jc w:val="left"/>
              <w:rPr>
                <w:lang w:val="fr-CH"/>
              </w:rPr>
            </w:pPr>
            <w:r w:rsidRPr="00CA3220">
              <w:rPr>
                <w:lang w:val="fr-CH"/>
              </w:rPr>
              <w:t>Oui, fondée sur le temps de propagation aller-retour</w:t>
            </w:r>
          </w:p>
        </w:tc>
        <w:tc>
          <w:tcPr>
            <w:tcW w:w="2409" w:type="dxa"/>
          </w:tcPr>
          <w:p w:rsidR="00DE31BE" w:rsidRPr="00CA3220" w:rsidRDefault="00DE31BE" w:rsidP="00664299">
            <w:pPr>
              <w:pStyle w:val="Tabletext"/>
              <w:jc w:val="left"/>
              <w:rPr>
                <w:lang w:val="fr-CH"/>
              </w:rPr>
            </w:pPr>
            <w:r w:rsidRPr="00CA3220">
              <w:rPr>
                <w:lang w:val="fr-CH"/>
              </w:rPr>
              <w:t>Non spécifiée</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Chiffrement</w:t>
            </w:r>
          </w:p>
        </w:tc>
        <w:tc>
          <w:tcPr>
            <w:tcW w:w="2268" w:type="dxa"/>
          </w:tcPr>
          <w:p w:rsidR="00DE31BE" w:rsidRPr="00CA3220" w:rsidRDefault="00DE31BE" w:rsidP="00664299">
            <w:pPr>
              <w:pStyle w:val="Tabletext"/>
              <w:jc w:val="left"/>
              <w:rPr>
                <w:lang w:val="fr-CH"/>
              </w:rPr>
            </w:pPr>
            <w:r w:rsidRPr="00CA3220">
              <w:rPr>
                <w:lang w:val="fr-CH"/>
              </w:rPr>
              <w:t>Algorithme de chiffrement de message cellulaire (CMEA); AES</w:t>
            </w:r>
          </w:p>
        </w:tc>
        <w:tc>
          <w:tcPr>
            <w:tcW w:w="2268" w:type="dxa"/>
          </w:tcPr>
          <w:p w:rsidR="00DE31BE" w:rsidRPr="00CA3220" w:rsidRDefault="00DE31BE" w:rsidP="00664299">
            <w:pPr>
              <w:pStyle w:val="Tabletext"/>
              <w:jc w:val="left"/>
              <w:rPr>
                <w:lang w:val="fr-CH"/>
              </w:rPr>
            </w:pPr>
            <w:r w:rsidRPr="00CA3220">
              <w:rPr>
                <w:lang w:val="fr-CH"/>
              </w:rPr>
              <w:t>AES</w:t>
            </w:r>
          </w:p>
        </w:tc>
        <w:tc>
          <w:tcPr>
            <w:tcW w:w="2409" w:type="dxa"/>
          </w:tcPr>
          <w:p w:rsidR="00DE31BE" w:rsidRPr="00CA3220" w:rsidRDefault="00DE31BE" w:rsidP="00664299">
            <w:pPr>
              <w:pStyle w:val="Tabletext"/>
              <w:jc w:val="left"/>
              <w:rPr>
                <w:lang w:val="fr-CH"/>
              </w:rPr>
            </w:pPr>
            <w:r w:rsidRPr="00CA3220">
              <w:rPr>
                <w:lang w:val="fr-CH"/>
              </w:rPr>
              <w:t>AES</w:t>
            </w:r>
          </w:p>
        </w:tc>
      </w:tr>
    </w:tbl>
    <w:p w:rsidR="00246E01" w:rsidRPr="00CA3220" w:rsidRDefault="00246E01" w:rsidP="00664299">
      <w:pPr>
        <w:pStyle w:val="TableNo"/>
        <w:rPr>
          <w:lang w:val="fr-CH"/>
        </w:rPr>
      </w:pPr>
      <w:r w:rsidRPr="00CA3220">
        <w:rPr>
          <w:lang w:val="fr-CH"/>
        </w:rPr>
        <w:lastRenderedPageBreak/>
        <w:t>TABLEAU A1.8 (</w:t>
      </w:r>
      <w:r w:rsidRPr="00CA3220">
        <w:rPr>
          <w:i/>
          <w:iCs/>
          <w:lang w:val="fr-CH"/>
        </w:rPr>
        <w:t>fin</w:t>
      </w:r>
      <w:r w:rsidRPr="00CA3220">
        <w:rPr>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268"/>
        <w:gridCol w:w="2268"/>
        <w:gridCol w:w="2409"/>
      </w:tblGrid>
      <w:tr w:rsidR="00246E01" w:rsidRPr="00CA3220" w:rsidTr="00B17013">
        <w:trPr>
          <w:cantSplit/>
          <w:jc w:val="center"/>
        </w:trPr>
        <w:tc>
          <w:tcPr>
            <w:tcW w:w="2694" w:type="dxa"/>
            <w:vMerge w:val="restart"/>
            <w:vAlign w:val="center"/>
          </w:tcPr>
          <w:p w:rsidR="00246E01" w:rsidRPr="00CA3220" w:rsidRDefault="00246E01" w:rsidP="00664299">
            <w:pPr>
              <w:pStyle w:val="Tablehead"/>
              <w:rPr>
                <w:lang w:val="fr-CH"/>
              </w:rPr>
            </w:pPr>
            <w:r w:rsidRPr="00CA3220">
              <w:rPr>
                <w:lang w:val="fr-CH"/>
              </w:rPr>
              <w:t>Fonction</w:t>
            </w:r>
          </w:p>
        </w:tc>
        <w:tc>
          <w:tcPr>
            <w:tcW w:w="6945" w:type="dxa"/>
            <w:gridSpan w:val="3"/>
          </w:tcPr>
          <w:p w:rsidR="00246E01" w:rsidRPr="00CA3220" w:rsidRDefault="00246E01" w:rsidP="00664299">
            <w:pPr>
              <w:pStyle w:val="Tablehead"/>
              <w:rPr>
                <w:lang w:val="fr-CH"/>
              </w:rPr>
            </w:pPr>
            <w:r w:rsidRPr="00CA3220">
              <w:rPr>
                <w:lang w:val="fr-CH"/>
              </w:rPr>
              <w:t>Valeur</w:t>
            </w:r>
          </w:p>
        </w:tc>
      </w:tr>
      <w:tr w:rsidR="00246E01" w:rsidRPr="00CA3220" w:rsidTr="0041087D">
        <w:trPr>
          <w:cantSplit/>
          <w:jc w:val="center"/>
        </w:trPr>
        <w:tc>
          <w:tcPr>
            <w:tcW w:w="2694" w:type="dxa"/>
            <w:vMerge/>
          </w:tcPr>
          <w:p w:rsidR="00246E01" w:rsidRPr="00CA3220" w:rsidRDefault="00246E01" w:rsidP="00664299">
            <w:pPr>
              <w:pStyle w:val="Tabletext"/>
              <w:rPr>
                <w:lang w:val="fr-CH"/>
              </w:rPr>
            </w:pPr>
          </w:p>
        </w:tc>
        <w:tc>
          <w:tcPr>
            <w:tcW w:w="2268" w:type="dxa"/>
            <w:vAlign w:val="center"/>
          </w:tcPr>
          <w:p w:rsidR="00246E01" w:rsidRPr="00CA3220" w:rsidRDefault="00246E01" w:rsidP="00664299">
            <w:pPr>
              <w:pStyle w:val="Tablehead"/>
              <w:rPr>
                <w:lang w:val="fr-CH"/>
              </w:rPr>
            </w:pPr>
            <w:r w:rsidRPr="00CA3220">
              <w:rPr>
                <w:lang w:val="fr-CH"/>
              </w:rPr>
              <w:t>cdma2000 1x</w:t>
            </w:r>
          </w:p>
        </w:tc>
        <w:tc>
          <w:tcPr>
            <w:tcW w:w="2268" w:type="dxa"/>
            <w:vAlign w:val="center"/>
          </w:tcPr>
          <w:p w:rsidR="00246E01" w:rsidRPr="00CA3220" w:rsidRDefault="00246E01" w:rsidP="00664299">
            <w:pPr>
              <w:pStyle w:val="Tablehead"/>
              <w:keepNext w:val="0"/>
              <w:rPr>
                <w:lang w:val="fr-CH"/>
              </w:rPr>
            </w:pPr>
            <w:r w:rsidRPr="00CA3220">
              <w:rPr>
                <w:lang w:val="fr-CH"/>
              </w:rPr>
              <w:t>Communications de données par paquets à haut débit cdma2000 (HRPD/EV</w:t>
            </w:r>
            <w:r w:rsidRPr="00CA3220">
              <w:rPr>
                <w:lang w:val="fr-CH"/>
              </w:rPr>
              <w:noBreakHyphen/>
              <w:t>DO)</w:t>
            </w:r>
          </w:p>
        </w:tc>
        <w:tc>
          <w:tcPr>
            <w:tcW w:w="2409" w:type="dxa"/>
            <w:vAlign w:val="center"/>
          </w:tcPr>
          <w:p w:rsidR="00246E01" w:rsidRPr="00CA3220" w:rsidRDefault="00246E01" w:rsidP="00664299">
            <w:pPr>
              <w:pStyle w:val="Tablehead"/>
              <w:keepNext w:val="0"/>
              <w:rPr>
                <w:lang w:val="fr-CH"/>
              </w:rPr>
            </w:pPr>
            <w:r w:rsidRPr="00CA3220">
              <w:rPr>
                <w:lang w:val="fr-CH"/>
              </w:rPr>
              <w:t>Communications de données par paquets à haut débit étendues (xHRPD)</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Authentification/protection contre les réexécutions</w:t>
            </w:r>
          </w:p>
        </w:tc>
        <w:tc>
          <w:tcPr>
            <w:tcW w:w="2268" w:type="dxa"/>
          </w:tcPr>
          <w:p w:rsidR="00DE31BE" w:rsidRPr="00CA3220" w:rsidRDefault="00DE31BE" w:rsidP="00664299">
            <w:pPr>
              <w:pStyle w:val="Tabletext"/>
              <w:jc w:val="left"/>
              <w:rPr>
                <w:lang w:val="fr-CH"/>
              </w:rPr>
            </w:pPr>
            <w:r w:rsidRPr="00CA3220">
              <w:rPr>
                <w:lang w:val="fr-CH"/>
              </w:rPr>
              <w:t>Oui; CAVE et AKA</w:t>
            </w:r>
          </w:p>
        </w:tc>
        <w:tc>
          <w:tcPr>
            <w:tcW w:w="2268" w:type="dxa"/>
          </w:tcPr>
          <w:p w:rsidR="00DE31BE" w:rsidRPr="00CA3220" w:rsidRDefault="00DE31BE" w:rsidP="00664299">
            <w:pPr>
              <w:pStyle w:val="Tabletext"/>
              <w:jc w:val="left"/>
              <w:rPr>
                <w:lang w:val="fr-CH"/>
              </w:rPr>
            </w:pPr>
            <w:r w:rsidRPr="00CA3220">
              <w:rPr>
                <w:lang w:val="fr-CH"/>
              </w:rPr>
              <w:t>Oui; CHAP et AKA</w:t>
            </w:r>
          </w:p>
        </w:tc>
        <w:tc>
          <w:tcPr>
            <w:tcW w:w="2409" w:type="dxa"/>
          </w:tcPr>
          <w:p w:rsidR="00DE31BE" w:rsidRPr="00CA3220" w:rsidRDefault="00DE31BE" w:rsidP="00664299">
            <w:pPr>
              <w:pStyle w:val="Tabletext"/>
              <w:jc w:val="left"/>
              <w:rPr>
                <w:lang w:val="fr-CH"/>
              </w:rPr>
            </w:pPr>
            <w:r w:rsidRPr="00CA3220">
              <w:rPr>
                <w:lang w:val="fr-CH"/>
              </w:rPr>
              <w:t>Oui; CHAP et AKA</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Echange de clés</w:t>
            </w:r>
          </w:p>
        </w:tc>
        <w:tc>
          <w:tcPr>
            <w:tcW w:w="2268" w:type="dxa"/>
          </w:tcPr>
          <w:p w:rsidR="00DE31BE" w:rsidRPr="00CA3220" w:rsidRDefault="00DE31BE" w:rsidP="00664299">
            <w:pPr>
              <w:pStyle w:val="Tabletext"/>
              <w:jc w:val="left"/>
              <w:rPr>
                <w:lang w:val="fr-CH"/>
              </w:rPr>
            </w:pPr>
            <w:r w:rsidRPr="00CA3220">
              <w:rPr>
                <w:lang w:val="fr-CH"/>
              </w:rPr>
              <w:t>CAVE, SHA-1 et SHA-2 pour AKA</w:t>
            </w:r>
          </w:p>
        </w:tc>
        <w:tc>
          <w:tcPr>
            <w:tcW w:w="2268" w:type="dxa"/>
          </w:tcPr>
          <w:p w:rsidR="00DE31BE" w:rsidRPr="00CA3220" w:rsidRDefault="00DE31BE" w:rsidP="00664299">
            <w:pPr>
              <w:pStyle w:val="Tabletext"/>
              <w:jc w:val="left"/>
              <w:rPr>
                <w:lang w:val="fr-CH"/>
              </w:rPr>
            </w:pPr>
            <w:r w:rsidRPr="00CA3220">
              <w:rPr>
                <w:lang w:val="fr-CH"/>
              </w:rPr>
              <w:t>SHA-1, SHA-2 et MILENAGE</w:t>
            </w:r>
          </w:p>
        </w:tc>
        <w:tc>
          <w:tcPr>
            <w:tcW w:w="2409" w:type="dxa"/>
          </w:tcPr>
          <w:p w:rsidR="00DE31BE" w:rsidRPr="00CA3220" w:rsidRDefault="00DE31BE" w:rsidP="00664299">
            <w:pPr>
              <w:pStyle w:val="Tabletext"/>
              <w:jc w:val="left"/>
              <w:rPr>
                <w:lang w:val="fr-CH"/>
              </w:rPr>
            </w:pPr>
            <w:r w:rsidRPr="00CA3220">
              <w:rPr>
                <w:lang w:val="fr-CH"/>
              </w:rPr>
              <w:t>SHA-1, SHA-2 et MILENAGE</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Détection des noeuds malveillants</w:t>
            </w:r>
          </w:p>
        </w:tc>
        <w:tc>
          <w:tcPr>
            <w:tcW w:w="2268" w:type="dxa"/>
          </w:tcPr>
          <w:p w:rsidR="00DE31BE" w:rsidRPr="00CA3220" w:rsidRDefault="00DE31BE" w:rsidP="00664299">
            <w:pPr>
              <w:pStyle w:val="Tabletext"/>
              <w:jc w:val="left"/>
              <w:rPr>
                <w:lang w:val="fr-CH"/>
              </w:rPr>
            </w:pPr>
            <w:r w:rsidRPr="00CA3220">
              <w:rPr>
                <w:lang w:val="fr-CH"/>
              </w:rPr>
              <w:t>Oui, la station de base peut être authentifiée.</w:t>
            </w:r>
          </w:p>
        </w:tc>
        <w:tc>
          <w:tcPr>
            <w:tcW w:w="2268" w:type="dxa"/>
          </w:tcPr>
          <w:p w:rsidR="00DE31BE" w:rsidRPr="00CA3220" w:rsidRDefault="00DE31BE" w:rsidP="00664299">
            <w:pPr>
              <w:pStyle w:val="Tabletext"/>
              <w:jc w:val="left"/>
              <w:rPr>
                <w:lang w:val="fr-CH"/>
              </w:rPr>
            </w:pPr>
            <w:r w:rsidRPr="00CA3220">
              <w:rPr>
                <w:lang w:val="fr-CH"/>
              </w:rPr>
              <w:t>Oui, la station de base peut être authentifiée.</w:t>
            </w:r>
          </w:p>
        </w:tc>
        <w:tc>
          <w:tcPr>
            <w:tcW w:w="2409" w:type="dxa"/>
          </w:tcPr>
          <w:p w:rsidR="00DE31BE" w:rsidRPr="00CA3220" w:rsidRDefault="00DE31BE" w:rsidP="00664299">
            <w:pPr>
              <w:pStyle w:val="Tabletext"/>
              <w:jc w:val="left"/>
              <w:rPr>
                <w:lang w:val="fr-CH"/>
              </w:rPr>
            </w:pPr>
            <w:r w:rsidRPr="00CA3220">
              <w:rPr>
                <w:lang w:val="fr-CH"/>
              </w:rPr>
              <w:t>Oui, la station de base peut être authentifiée.</w:t>
            </w:r>
          </w:p>
        </w:tc>
      </w:tr>
      <w:tr w:rsidR="00DE31BE" w:rsidRPr="00CA3220" w:rsidTr="00773693">
        <w:trPr>
          <w:cantSplit/>
          <w:jc w:val="center"/>
        </w:trPr>
        <w:tc>
          <w:tcPr>
            <w:tcW w:w="2694" w:type="dxa"/>
          </w:tcPr>
          <w:p w:rsidR="00DE31BE" w:rsidRPr="00CA3220" w:rsidRDefault="00DE31BE" w:rsidP="00664299">
            <w:pPr>
              <w:pStyle w:val="Tabletext"/>
              <w:jc w:val="left"/>
              <w:rPr>
                <w:lang w:val="fr-CH"/>
              </w:rPr>
            </w:pPr>
            <w:r w:rsidRPr="00CA3220">
              <w:rPr>
                <w:lang w:val="fr-CH"/>
              </w:rPr>
              <w:t>Identification unique de l'équipement</w:t>
            </w:r>
          </w:p>
        </w:tc>
        <w:tc>
          <w:tcPr>
            <w:tcW w:w="2268" w:type="dxa"/>
          </w:tcPr>
          <w:p w:rsidR="00DE31BE" w:rsidRPr="00CA3220" w:rsidRDefault="00DE31BE" w:rsidP="00664299">
            <w:pPr>
              <w:pStyle w:val="Tabletext"/>
              <w:jc w:val="left"/>
              <w:rPr>
                <w:lang w:val="fr-CH"/>
              </w:rPr>
            </w:pPr>
            <w:r w:rsidRPr="00CA3220">
              <w:rPr>
                <w:lang w:val="fr-CH"/>
              </w:rPr>
              <w:t>Utilisation d'identifiants MEID de 60 bits et carte sim (facultatif)</w:t>
            </w:r>
          </w:p>
        </w:tc>
        <w:tc>
          <w:tcPr>
            <w:tcW w:w="2268" w:type="dxa"/>
          </w:tcPr>
          <w:p w:rsidR="00DE31BE" w:rsidRPr="00CA3220" w:rsidRDefault="00DE31BE" w:rsidP="00664299">
            <w:pPr>
              <w:pStyle w:val="Tabletext"/>
              <w:jc w:val="left"/>
              <w:rPr>
                <w:lang w:val="fr-CH"/>
              </w:rPr>
            </w:pPr>
            <w:r w:rsidRPr="00CA3220">
              <w:rPr>
                <w:lang w:val="fr-CH"/>
              </w:rPr>
              <w:t>Utilisation d'identifiants MEID de 60 bits et carte sim (facultatif)</w:t>
            </w:r>
          </w:p>
        </w:tc>
        <w:tc>
          <w:tcPr>
            <w:tcW w:w="2409" w:type="dxa"/>
          </w:tcPr>
          <w:p w:rsidR="00DE31BE" w:rsidRPr="00CA3220" w:rsidRDefault="00DE31BE" w:rsidP="00664299">
            <w:pPr>
              <w:pStyle w:val="Tabletext"/>
              <w:jc w:val="left"/>
              <w:rPr>
                <w:lang w:val="fr-CH"/>
              </w:rPr>
            </w:pPr>
            <w:r w:rsidRPr="00CA3220">
              <w:rPr>
                <w:lang w:val="fr-CH"/>
              </w:rPr>
              <w:t>Utilisation d'identifiants MEID de 60 bits et carte sim (facultatif)</w:t>
            </w:r>
          </w:p>
        </w:tc>
      </w:tr>
    </w:tbl>
    <w:p w:rsidR="00DE31BE" w:rsidRPr="00CA3220" w:rsidRDefault="00DE31BE" w:rsidP="00664299">
      <w:pPr>
        <w:pStyle w:val="Tablefin"/>
        <w:rPr>
          <w:lang w:val="fr-CH"/>
        </w:rPr>
      </w:pPr>
    </w:p>
    <w:p w:rsidR="00814CFC" w:rsidRPr="00CA3220" w:rsidRDefault="00814CFC" w:rsidP="00664299">
      <w:pPr>
        <w:rPr>
          <w:lang w:val="fr-CH"/>
        </w:rPr>
      </w:pPr>
      <w:bookmarkStart w:id="140" w:name="_Toc438029895"/>
    </w:p>
    <w:p w:rsidR="00CC7E8F" w:rsidRPr="00CA3220" w:rsidRDefault="00CC7E8F" w:rsidP="00664299">
      <w:pPr>
        <w:rPr>
          <w:lang w:val="fr-CH"/>
        </w:rPr>
      </w:pPr>
    </w:p>
    <w:p w:rsidR="00DE31BE" w:rsidRPr="00CA3220" w:rsidRDefault="00DE31BE" w:rsidP="00664299">
      <w:pPr>
        <w:pStyle w:val="AnnexNoTitle"/>
        <w:rPr>
          <w:lang w:val="fr-CH"/>
        </w:rPr>
      </w:pPr>
      <w:bookmarkStart w:id="141" w:name="_Toc440533910"/>
      <w:bookmarkStart w:id="142" w:name="_Toc498437781"/>
      <w:bookmarkStart w:id="143" w:name="_Toc498500121"/>
      <w:bookmarkStart w:id="144" w:name="_Toc498500372"/>
      <w:bookmarkStart w:id="145" w:name="_Toc498516137"/>
      <w:r w:rsidRPr="00CA3220">
        <w:rPr>
          <w:lang w:val="fr-CH"/>
        </w:rPr>
        <w:t>Annexe 2</w:t>
      </w:r>
      <w:bookmarkStart w:id="146" w:name="_Toc438029896"/>
      <w:bookmarkEnd w:id="140"/>
      <w:r w:rsidRPr="00CA3220">
        <w:rPr>
          <w:lang w:val="fr-CH"/>
        </w:rPr>
        <w:br/>
      </w:r>
      <w:r w:rsidRPr="00CA3220">
        <w:rPr>
          <w:lang w:val="fr-CH"/>
        </w:rPr>
        <w:br/>
        <w:t>Réseaux intelligents en Amérique du Nord</w:t>
      </w:r>
      <w:bookmarkEnd w:id="146"/>
      <w:bookmarkEnd w:id="141"/>
      <w:bookmarkEnd w:id="142"/>
      <w:bookmarkEnd w:id="143"/>
      <w:bookmarkEnd w:id="144"/>
      <w:bookmarkEnd w:id="145"/>
    </w:p>
    <w:p w:rsidR="00DE31BE" w:rsidRPr="00CA3220" w:rsidRDefault="00DE31BE" w:rsidP="00664299">
      <w:pPr>
        <w:pStyle w:val="Heading2"/>
        <w:rPr>
          <w:lang w:val="fr-CH"/>
        </w:rPr>
      </w:pPr>
      <w:bookmarkStart w:id="147" w:name="_Toc438029897"/>
      <w:bookmarkStart w:id="148" w:name="_Toc440533911"/>
      <w:bookmarkStart w:id="149" w:name="_Toc498437782"/>
      <w:bookmarkStart w:id="150" w:name="_Toc498500122"/>
      <w:bookmarkStart w:id="151" w:name="_Toc498500373"/>
      <w:bookmarkStart w:id="152" w:name="_Toc498516138"/>
      <w:r w:rsidRPr="00CA3220">
        <w:rPr>
          <w:lang w:val="fr-CH"/>
        </w:rPr>
        <w:t>A2.1</w:t>
      </w:r>
      <w:r w:rsidRPr="00CA3220">
        <w:rPr>
          <w:lang w:val="fr-CH"/>
        </w:rPr>
        <w:tab/>
        <w:t>Introduction</w:t>
      </w:r>
      <w:bookmarkEnd w:id="147"/>
      <w:bookmarkEnd w:id="148"/>
      <w:bookmarkEnd w:id="149"/>
      <w:bookmarkEnd w:id="150"/>
      <w:bookmarkEnd w:id="151"/>
      <w:bookmarkEnd w:id="152"/>
    </w:p>
    <w:p w:rsidR="00DE31BE" w:rsidRPr="00CA3220" w:rsidRDefault="00DE31BE" w:rsidP="00664299">
      <w:pPr>
        <w:rPr>
          <w:lang w:val="fr-CH"/>
        </w:rPr>
      </w:pPr>
      <w:r w:rsidRPr="00CA3220">
        <w:rPr>
          <w:lang w:val="fr-CH"/>
        </w:rPr>
        <w:t>Aux Etats-Unis et au Canada, les organismes publics ont reconnu que les fonctionnalités haute capacité en temps réel d'un réseau intelligent permettront aux entreprises de services collectifs et aux utilisateurs finals de bénéficier de tous les avantages économiques et environnementaux qu'offrent les ressources renouvelables, en particulier les ressources renouvelables décentralisées</w:t>
      </w:r>
      <w:r w:rsidRPr="00CA3220">
        <w:rPr>
          <w:rStyle w:val="FootnoteReference"/>
          <w:rFonts w:asciiTheme="majorBidi" w:hAnsiTheme="majorBidi" w:cstheme="majorBidi"/>
          <w:szCs w:val="24"/>
          <w:lang w:val="fr-CH"/>
        </w:rPr>
        <w:footnoteReference w:id="28"/>
      </w:r>
      <w:r w:rsidRPr="00CA3220">
        <w:rPr>
          <w:lang w:val="fr-CH"/>
        </w:rPr>
        <w:t xml:space="preserve">. De même, ces fonctionnalités devraient permettre de profiter pleinement des avantages que peuvent offrir des </w:t>
      </w:r>
      <w:r w:rsidRPr="00CA3220">
        <w:rPr>
          <w:lang w:val="fr-CH"/>
        </w:rPr>
        <w:lastRenderedPageBreak/>
        <w:t>grilles tarifaires dynamiques et des applications permettant d'ajuster l'offre en fonction de la demande, qui ont besoin de pouvoir interagir avec plusieurs milliers de dispositifs en temps réel</w:t>
      </w:r>
      <w:r w:rsidRPr="00CA3220">
        <w:rPr>
          <w:rStyle w:val="FootnoteReference"/>
          <w:rFonts w:asciiTheme="majorBidi" w:hAnsiTheme="majorBidi" w:cstheme="majorBidi"/>
          <w:szCs w:val="24"/>
          <w:lang w:val="fr-CH"/>
        </w:rPr>
        <w:footnoteReference w:id="29"/>
      </w:r>
      <w:r w:rsidRPr="00CA3220">
        <w:rPr>
          <w:lang w:val="fr-CH"/>
        </w:rPr>
        <w:t>.</w:t>
      </w:r>
    </w:p>
    <w:p w:rsidR="00DE31BE" w:rsidRPr="00CA3220" w:rsidRDefault="00DE31BE" w:rsidP="00664299">
      <w:pPr>
        <w:pStyle w:val="Heading2"/>
        <w:rPr>
          <w:lang w:val="fr-CH"/>
        </w:rPr>
      </w:pPr>
      <w:bookmarkStart w:id="153" w:name="_Toc438029898"/>
      <w:bookmarkStart w:id="154" w:name="_Toc440533912"/>
      <w:bookmarkStart w:id="155" w:name="_Toc498437783"/>
      <w:bookmarkStart w:id="156" w:name="_Toc498500123"/>
      <w:bookmarkStart w:id="157" w:name="_Toc498500374"/>
      <w:bookmarkStart w:id="158" w:name="_Toc498516139"/>
      <w:r w:rsidRPr="00CA3220">
        <w:rPr>
          <w:lang w:val="fr-CH"/>
        </w:rPr>
        <w:t>A2.2</w:t>
      </w:r>
      <w:r w:rsidRPr="00CA3220">
        <w:rPr>
          <w:lang w:val="fr-CH"/>
        </w:rPr>
        <w:tab/>
        <w:t>Objet du déploiement des réseaux intelligents</w:t>
      </w:r>
      <w:bookmarkEnd w:id="153"/>
      <w:bookmarkEnd w:id="154"/>
      <w:bookmarkEnd w:id="155"/>
      <w:bookmarkEnd w:id="156"/>
      <w:bookmarkEnd w:id="157"/>
      <w:bookmarkEnd w:id="158"/>
    </w:p>
    <w:p w:rsidR="00DE31BE" w:rsidRPr="00CA3220" w:rsidRDefault="00DE31BE" w:rsidP="00664299">
      <w:pPr>
        <w:rPr>
          <w:lang w:val="fr-CH"/>
        </w:rPr>
      </w:pPr>
      <w:r w:rsidRPr="00CA3220">
        <w:rPr>
          <w:lang w:val="fr-CH"/>
        </w:rPr>
        <w:t>Aux Etats-Unis et au Canada, les autorités reconnaissent déjà qu'un réseau de communication pleinement intégré fait partie intégrante d'un réseau intelligent. Par exemple, il a été établi dans le cadre de l'initiative Modern Grid soutenue par le Département de l'énergie américain que «</w:t>
      </w:r>
      <w:r w:rsidRPr="00CA3220">
        <w:rPr>
          <w:i/>
          <w:iCs/>
          <w:lang w:val="fr-CH"/>
        </w:rPr>
        <w:t>la mise en oeuvre de communications intégrées est un besoin incontournable [pour un réseau de distribution intelligent], motivé par les autres technologies clés qui en ont besoin et essentiel pour le réseau de distribution d'énergie moderne …</w:t>
      </w:r>
      <w:r w:rsidRPr="00CA3220">
        <w:rPr>
          <w:lang w:val="fr-CH"/>
        </w:rPr>
        <w:t>»</w:t>
      </w:r>
      <w:r w:rsidRPr="00CA3220">
        <w:rPr>
          <w:rStyle w:val="FootnoteReference"/>
          <w:rFonts w:asciiTheme="majorBidi" w:hAnsiTheme="majorBidi" w:cstheme="majorBidi"/>
          <w:szCs w:val="24"/>
          <w:lang w:val="fr-CH"/>
        </w:rPr>
        <w:footnoteReference w:id="30"/>
      </w:r>
    </w:p>
    <w:p w:rsidR="00DE31BE" w:rsidRPr="009627F4" w:rsidRDefault="00DE31BE" w:rsidP="00664299">
      <w:pPr>
        <w:rPr>
          <w:rFonts w:asciiTheme="majorBidi" w:hAnsiTheme="majorBidi" w:cstheme="majorBidi"/>
          <w:spacing w:val="-2"/>
          <w:szCs w:val="24"/>
          <w:lang w:val="fr-CH"/>
        </w:rPr>
      </w:pPr>
      <w:r w:rsidRPr="009627F4">
        <w:rPr>
          <w:rFonts w:asciiTheme="majorBidi" w:hAnsiTheme="majorBidi" w:cstheme="majorBidi"/>
          <w:spacing w:val="-2"/>
          <w:szCs w:val="24"/>
          <w:lang w:val="fr-CH"/>
        </w:rPr>
        <w:t>Il est en outre précisé que «</w:t>
      </w:r>
      <w:r w:rsidRPr="009627F4">
        <w:rPr>
          <w:rFonts w:asciiTheme="majorBidi" w:hAnsiTheme="majorBidi" w:cstheme="majorBidi"/>
          <w:i/>
          <w:iCs/>
          <w:spacing w:val="-2"/>
          <w:szCs w:val="24"/>
          <w:lang w:val="fr-CH"/>
        </w:rPr>
        <w:t>des technologies de communications bidirectionnelles haut débit et parfaitement intégrées permettront les indispensables échanges d'informations et d'énergie en temps réel</w:t>
      </w:r>
      <w:r w:rsidRPr="009627F4">
        <w:rPr>
          <w:rFonts w:asciiTheme="majorBidi" w:hAnsiTheme="majorBidi" w:cstheme="majorBidi"/>
          <w:spacing w:val="-2"/>
          <w:szCs w:val="24"/>
          <w:lang w:val="fr-CH"/>
        </w:rPr>
        <w:t>»</w:t>
      </w:r>
      <w:r w:rsidRPr="009627F4">
        <w:rPr>
          <w:rStyle w:val="FootnoteReference"/>
          <w:rFonts w:asciiTheme="majorBidi" w:hAnsiTheme="majorBidi" w:cstheme="majorBidi"/>
          <w:spacing w:val="-2"/>
          <w:szCs w:val="24"/>
          <w:lang w:val="fr-CH"/>
        </w:rPr>
        <w:footnoteReference w:id="31"/>
      </w:r>
      <w:r w:rsidRPr="009627F4">
        <w:rPr>
          <w:rFonts w:asciiTheme="majorBidi" w:hAnsiTheme="majorBidi" w:cstheme="majorBidi"/>
          <w:spacing w:val="-2"/>
          <w:szCs w:val="24"/>
          <w:lang w:val="fr-CH"/>
        </w:rPr>
        <w:t>.</w:t>
      </w:r>
    </w:p>
    <w:p w:rsidR="00DE31BE" w:rsidRPr="00CA3220" w:rsidRDefault="00DE31BE" w:rsidP="00664299">
      <w:pPr>
        <w:rPr>
          <w:lang w:val="fr-CH"/>
        </w:rPr>
      </w:pPr>
      <w:r w:rsidRPr="00CA3220">
        <w:rPr>
          <w:lang w:val="fr-CH"/>
        </w:rPr>
        <w:t>Les autorités de plusieurs Etats</w:t>
      </w:r>
      <w:r w:rsidRPr="00CA3220">
        <w:rPr>
          <w:rStyle w:val="FootnoteReference"/>
          <w:rFonts w:asciiTheme="majorBidi" w:hAnsiTheme="majorBidi" w:cstheme="majorBidi"/>
          <w:szCs w:val="24"/>
          <w:lang w:val="fr-CH"/>
        </w:rPr>
        <w:footnoteReference w:id="32"/>
      </w:r>
      <w:r w:rsidRPr="00CA3220">
        <w:rPr>
          <w:lang w:val="fr-CH"/>
        </w:rPr>
        <w:t xml:space="preserve">, ainsi que d'autres parties prenantes du secteur, mettent eux aussi en avant des fonctionnalités de communication avancées. Par exemple, en Ontario, le Smart Grid Forum a récemment déclaré que «les technologies de communication sont au coeur du réseau intelligent. [Ces technologies] font parvenir les données fournies par les compteurs, les capteurs, les régulateurs de tension, les unités mobiles et tout un éventail d'autres dispositifs sur le réseau de distribution, vers </w:t>
      </w:r>
      <w:r w:rsidRPr="00CA3220">
        <w:rPr>
          <w:lang w:val="fr-CH"/>
        </w:rPr>
        <w:lastRenderedPageBreak/>
        <w:t>les systèmes informatiques et les autres équipements nécessaires pour transformer ces données en renseignements décisionnels»</w:t>
      </w:r>
      <w:r w:rsidRPr="00CA3220">
        <w:rPr>
          <w:rStyle w:val="FootnoteReference"/>
          <w:rFonts w:asciiTheme="majorBidi" w:hAnsiTheme="majorBidi" w:cstheme="majorBidi"/>
          <w:szCs w:val="24"/>
          <w:lang w:val="fr-CH"/>
        </w:rPr>
        <w:footnoteReference w:id="33"/>
      </w:r>
      <w:r w:rsidRPr="00CA3220">
        <w:rPr>
          <w:lang w:val="fr-CH"/>
        </w:rPr>
        <w:t>.</w:t>
      </w:r>
    </w:p>
    <w:p w:rsidR="00DE31BE" w:rsidRPr="00CA3220" w:rsidRDefault="00DE31BE" w:rsidP="00664299">
      <w:pPr>
        <w:rPr>
          <w:rFonts w:asciiTheme="majorBidi" w:hAnsiTheme="majorBidi" w:cstheme="majorBidi"/>
          <w:szCs w:val="24"/>
          <w:lang w:val="fr-CH"/>
        </w:rPr>
      </w:pPr>
    </w:p>
    <w:p w:rsidR="00DE31BE" w:rsidRPr="00CA3220" w:rsidRDefault="00DE31BE" w:rsidP="00664299">
      <w:pPr>
        <w:rPr>
          <w:rFonts w:asciiTheme="majorBidi" w:hAnsiTheme="majorBidi" w:cstheme="majorBidi"/>
          <w:szCs w:val="24"/>
          <w:lang w:val="fr-CH"/>
        </w:rPr>
      </w:pPr>
    </w:p>
    <w:p w:rsidR="00DE31BE" w:rsidRPr="00CA3220" w:rsidRDefault="00DE31BE" w:rsidP="00664299">
      <w:pPr>
        <w:pStyle w:val="AnnexNoTitle"/>
        <w:rPr>
          <w:lang w:val="fr-CH"/>
        </w:rPr>
      </w:pPr>
      <w:bookmarkStart w:id="159" w:name="_Toc438029899"/>
      <w:bookmarkStart w:id="160" w:name="_Toc440533913"/>
      <w:bookmarkStart w:id="161" w:name="_Toc498437784"/>
      <w:bookmarkStart w:id="162" w:name="_Toc498500124"/>
      <w:bookmarkStart w:id="163" w:name="_Toc498500375"/>
      <w:bookmarkStart w:id="164" w:name="_Toc498516140"/>
      <w:r w:rsidRPr="00CA3220">
        <w:rPr>
          <w:lang w:val="fr-CH"/>
        </w:rPr>
        <w:t>Annexe 3</w:t>
      </w:r>
      <w:bookmarkStart w:id="165" w:name="_Toc438029900"/>
      <w:bookmarkEnd w:id="159"/>
      <w:r w:rsidRPr="00CA3220">
        <w:rPr>
          <w:lang w:val="fr-CH"/>
        </w:rPr>
        <w:br/>
      </w:r>
      <w:r w:rsidRPr="00CA3220">
        <w:rPr>
          <w:lang w:val="fr-CH"/>
        </w:rPr>
        <w:br/>
        <w:t>Réseaux intelligents en Europe</w:t>
      </w:r>
      <w:bookmarkEnd w:id="165"/>
      <w:bookmarkEnd w:id="160"/>
      <w:bookmarkEnd w:id="161"/>
      <w:bookmarkEnd w:id="162"/>
      <w:bookmarkEnd w:id="163"/>
      <w:bookmarkEnd w:id="164"/>
    </w:p>
    <w:p w:rsidR="00DE31BE" w:rsidRPr="00CA3220" w:rsidRDefault="00DE31BE" w:rsidP="00664299">
      <w:pPr>
        <w:pStyle w:val="Heading2"/>
        <w:rPr>
          <w:lang w:val="fr-CH"/>
        </w:rPr>
      </w:pPr>
      <w:bookmarkStart w:id="166" w:name="_Toc440533914"/>
      <w:bookmarkStart w:id="167" w:name="_Toc498437785"/>
      <w:bookmarkStart w:id="168" w:name="_Toc498500125"/>
      <w:bookmarkStart w:id="169" w:name="_Toc498500376"/>
      <w:bookmarkStart w:id="170" w:name="_Toc498516141"/>
      <w:r w:rsidRPr="00CA3220">
        <w:rPr>
          <w:lang w:val="fr-CH"/>
        </w:rPr>
        <w:t>A3.1</w:t>
      </w:r>
      <w:r w:rsidRPr="00CA3220">
        <w:rPr>
          <w:lang w:val="fr-CH"/>
        </w:rPr>
        <w:tab/>
        <w:t>Introduction</w:t>
      </w:r>
      <w:bookmarkEnd w:id="166"/>
      <w:bookmarkEnd w:id="167"/>
      <w:bookmarkEnd w:id="168"/>
      <w:bookmarkEnd w:id="169"/>
      <w:bookmarkEnd w:id="170"/>
    </w:p>
    <w:p w:rsidR="00DE31BE" w:rsidRPr="00CA3220" w:rsidRDefault="00DE31BE" w:rsidP="00664299">
      <w:pPr>
        <w:rPr>
          <w:rFonts w:asciiTheme="majorBidi" w:hAnsiTheme="majorBidi" w:cstheme="majorBidi"/>
          <w:szCs w:val="24"/>
          <w:lang w:val="fr-CH"/>
        </w:rPr>
      </w:pPr>
      <w:r w:rsidRPr="00CA3220">
        <w:rPr>
          <w:rFonts w:asciiTheme="majorBidi" w:hAnsiTheme="majorBidi" w:cstheme="majorBidi"/>
          <w:szCs w:val="24"/>
          <w:lang w:val="fr-CH"/>
        </w:rPr>
        <w:t>L'Europe a beaucoup investi en termes de compétences techniques et de ressources pour comprendre et promouvoir les réseaux intelligents en tant que solution pour surmonter les difficultés qu'elle r</w:t>
      </w:r>
      <w:r w:rsidRPr="00CA3220">
        <w:rPr>
          <w:lang w:val="fr-CH"/>
        </w:rPr>
        <w:t>e</w:t>
      </w:r>
      <w:r w:rsidRPr="00CA3220">
        <w:rPr>
          <w:rFonts w:asciiTheme="majorBidi" w:hAnsiTheme="majorBidi" w:cstheme="majorBidi"/>
          <w:szCs w:val="24"/>
          <w:lang w:val="fr-CH"/>
        </w:rPr>
        <w:t>ncontre en matière de changements climatiques et d'efficacité énergétique, notamment grâce à toutes les initiatives suivantes:</w:t>
      </w:r>
    </w:p>
    <w:p w:rsidR="00DE31BE" w:rsidRPr="00CA3220" w:rsidRDefault="00DE31BE" w:rsidP="00664299">
      <w:pPr>
        <w:pStyle w:val="enumlev1"/>
        <w:keepLines/>
        <w:rPr>
          <w:bCs/>
          <w:lang w:val="fr-CH"/>
        </w:rPr>
      </w:pPr>
      <w:r w:rsidRPr="00CA3220">
        <w:rPr>
          <w:bCs/>
          <w:lang w:val="fr-CH"/>
        </w:rPr>
        <w:t>–</w:t>
      </w:r>
      <w:r w:rsidRPr="00CA3220">
        <w:rPr>
          <w:lang w:val="fr-CH"/>
        </w:rPr>
        <w:tab/>
      </w:r>
      <w:r w:rsidRPr="00CA3220">
        <w:rPr>
          <w:b/>
          <w:bCs/>
          <w:lang w:val="fr-CH"/>
        </w:rPr>
        <w:t>Rapport de Fiona Hall, Membre du Parlement européen, «Plan d'action pour l'efficacité énergétique: réaliser le potentiel» (janvier 2008)</w:t>
      </w:r>
      <w:r w:rsidRPr="00CA3220">
        <w:rPr>
          <w:rStyle w:val="FootnoteReference"/>
          <w:rFonts w:asciiTheme="majorBidi" w:hAnsiTheme="majorBidi" w:cstheme="majorBidi"/>
          <w:bCs/>
          <w:szCs w:val="24"/>
          <w:lang w:val="fr-CH"/>
        </w:rPr>
        <w:footnoteReference w:id="34"/>
      </w:r>
      <w:r w:rsidRPr="00CA3220">
        <w:rPr>
          <w:bCs/>
          <w:lang w:val="fr-CH"/>
        </w:rPr>
        <w:t>, dans lequel est reconnue l'importance des technologies de l'information et de la communication pour contribuer à générer des gains de productivité supplémentaires, dépassant l'objectif de 20% de l'UE, et selon lequel «</w:t>
      </w:r>
      <w:r w:rsidRPr="00CA3220">
        <w:rPr>
          <w:bCs/>
          <w:i/>
          <w:iCs/>
          <w:lang w:val="fr-CH"/>
        </w:rPr>
        <w:t>certaines technologies, telles que la technologie des réseaux intelligents… devraient… faire l'objet de recommandations politiques efficaces.»</w:t>
      </w:r>
    </w:p>
    <w:p w:rsidR="00DE31BE" w:rsidRPr="00CA3220" w:rsidRDefault="00DE31BE" w:rsidP="00664299">
      <w:pPr>
        <w:pStyle w:val="enumlev1"/>
        <w:rPr>
          <w:bCs/>
          <w:lang w:val="fr-CH"/>
        </w:rPr>
      </w:pPr>
      <w:r w:rsidRPr="00CA3220">
        <w:rPr>
          <w:bCs/>
          <w:lang w:val="fr-CH"/>
        </w:rPr>
        <w:t>–</w:t>
      </w:r>
      <w:r w:rsidRPr="00CA3220">
        <w:rPr>
          <w:lang w:val="fr-CH"/>
        </w:rPr>
        <w:tab/>
      </w:r>
      <w:r w:rsidRPr="00CA3220">
        <w:rPr>
          <w:b/>
          <w:bCs/>
          <w:lang w:val="fr-CH"/>
        </w:rPr>
        <w:t>Position du Parlement européen (arrêtée en première lecture) sur la Directive concernant des règles communes pour le marché intérieur de l'électricité (juin 2008)</w:t>
      </w:r>
      <w:r w:rsidRPr="00CA3220">
        <w:rPr>
          <w:rStyle w:val="FootnoteReference"/>
          <w:rFonts w:asciiTheme="majorBidi" w:hAnsiTheme="majorBidi" w:cstheme="majorBidi"/>
          <w:bCs/>
          <w:szCs w:val="24"/>
          <w:lang w:val="fr-CH"/>
        </w:rPr>
        <w:footnoteReference w:id="35"/>
      </w:r>
      <w:r w:rsidRPr="00CA3220">
        <w:rPr>
          <w:bCs/>
          <w:lang w:val="fr-CH"/>
        </w:rPr>
        <w:t>, selon laquelle des «</w:t>
      </w:r>
      <w:r w:rsidRPr="00CA3220">
        <w:rPr>
          <w:bCs/>
          <w:i/>
          <w:iCs/>
          <w:lang w:val="fr-CH"/>
        </w:rPr>
        <w:t xml:space="preserve">formules tarifaires, alliées à l'introduction de </w:t>
      </w:r>
      <w:r w:rsidRPr="00CA3220">
        <w:rPr>
          <w:b/>
          <w:i/>
          <w:iCs/>
          <w:lang w:val="fr-CH"/>
        </w:rPr>
        <w:t>compteurs et</w:t>
      </w:r>
      <w:r w:rsidRPr="00CA3220">
        <w:rPr>
          <w:bCs/>
          <w:i/>
          <w:iCs/>
          <w:lang w:val="fr-CH"/>
        </w:rPr>
        <w:t xml:space="preserve"> </w:t>
      </w:r>
      <w:r w:rsidRPr="00CA3220">
        <w:rPr>
          <w:b/>
          <w:i/>
          <w:iCs/>
          <w:lang w:val="fr-CH"/>
        </w:rPr>
        <w:t>de réseaux intelligents</w:t>
      </w:r>
      <w:r w:rsidRPr="00CA3220">
        <w:rPr>
          <w:bCs/>
          <w:i/>
          <w:iCs/>
          <w:lang w:val="fr-CH"/>
        </w:rPr>
        <w:t>, promeuvent un comportement favorisant l'efficacité énergétique et des coûts aussi bas que possible pour les clients résidentiels, et en particulier ceux en situation de pauvreté énergétique</w:t>
      </w:r>
      <w:r w:rsidRPr="00CA3220">
        <w:rPr>
          <w:bCs/>
          <w:lang w:val="fr-CH"/>
        </w:rPr>
        <w:t>».</w:t>
      </w:r>
    </w:p>
    <w:p w:rsidR="00DE31BE" w:rsidRPr="00CA3220" w:rsidRDefault="00DE31BE" w:rsidP="00664299">
      <w:pPr>
        <w:pStyle w:val="enumlev1"/>
        <w:rPr>
          <w:lang w:val="fr-CH"/>
        </w:rPr>
      </w:pPr>
      <w:r w:rsidRPr="00CA3220">
        <w:rPr>
          <w:bCs/>
          <w:lang w:val="fr-CH"/>
        </w:rPr>
        <w:t>–</w:t>
      </w:r>
      <w:r w:rsidRPr="00CA3220">
        <w:rPr>
          <w:lang w:val="fr-CH"/>
        </w:rPr>
        <w:tab/>
      </w:r>
      <w:r w:rsidRPr="00CA3220">
        <w:rPr>
          <w:b/>
          <w:lang w:val="fr-CH"/>
        </w:rPr>
        <w:t>Plate-forme technologique européenne sur les réseaux de distribution intelligents</w:t>
      </w:r>
      <w:r w:rsidRPr="00CA3220">
        <w:rPr>
          <w:rStyle w:val="FootnoteReference"/>
          <w:rFonts w:asciiTheme="majorBidi" w:hAnsiTheme="majorBidi" w:cstheme="majorBidi"/>
          <w:szCs w:val="24"/>
          <w:lang w:val="fr-CH"/>
        </w:rPr>
        <w:footnoteReference w:id="36"/>
      </w:r>
      <w:r w:rsidRPr="00CA3220">
        <w:rPr>
          <w:bCs/>
          <w:lang w:val="fr-CH"/>
        </w:rPr>
        <w:t xml:space="preserve"> dont la mission est de </w:t>
      </w:r>
      <w:r w:rsidRPr="00CA3220">
        <w:rPr>
          <w:lang w:val="fr-CH"/>
        </w:rPr>
        <w:t>«formuler et de promouvoir une vision pour le développement des réseaux d'électricité européens à l'horizon 2020», et qui étudie en particulier comment les TIC évoluées peuvent aider à rendre les réseaux d'électricité souples, accessibles, fiables et économiques conformément à l'évolution des besoins en Europe.</w:t>
      </w:r>
    </w:p>
    <w:p w:rsidR="00DE31BE" w:rsidRPr="00CA3220" w:rsidRDefault="00DE31BE" w:rsidP="00664299">
      <w:pPr>
        <w:pStyle w:val="enumlev1"/>
        <w:rPr>
          <w:lang w:val="fr-CH"/>
        </w:rPr>
      </w:pPr>
      <w:r w:rsidRPr="00CA3220">
        <w:rPr>
          <w:lang w:val="fr-CH"/>
        </w:rPr>
        <w:lastRenderedPageBreak/>
        <w:t>–</w:t>
      </w:r>
      <w:r w:rsidRPr="00CA3220">
        <w:rPr>
          <w:lang w:val="fr-CH"/>
        </w:rPr>
        <w:tab/>
      </w:r>
      <w:r w:rsidRPr="00CA3220">
        <w:rPr>
          <w:b/>
          <w:bCs/>
          <w:lang w:val="fr-CH"/>
        </w:rPr>
        <w:t>Projet ADRESS</w:t>
      </w:r>
      <w:r w:rsidRPr="00CA3220">
        <w:rPr>
          <w:rStyle w:val="FootnoteReference"/>
          <w:rFonts w:asciiTheme="majorBidi" w:hAnsiTheme="majorBidi" w:cstheme="majorBidi"/>
          <w:bCs/>
          <w:szCs w:val="24"/>
          <w:lang w:val="fr-CH"/>
        </w:rPr>
        <w:footnoteReference w:id="37"/>
      </w:r>
      <w:r w:rsidRPr="00CA3220">
        <w:rPr>
          <w:lang w:val="fr-CH"/>
        </w:rPr>
        <w:t xml:space="preserve"> (Réseaux de distribution actifs avec intégration complète de la demande et des ressources d'énergie décentralisées), qui est un projet financé par l'UE visant à fournir un cadre commercial et technique détaillé pour le développement d'une «demande active» dans les réseaux intelligents de demain. Il rassemble 25 partenaires de 11 pays européens représentant la totalité de la chaîne d'approvisionnement en électricité. Les courants porteurs en ligne sont un élément important des projets en cours dans le cadre de l'initiative ADDRESS</w:t>
      </w:r>
      <w:r w:rsidRPr="00CA3220">
        <w:rPr>
          <w:rStyle w:val="FootnoteReference"/>
          <w:rFonts w:asciiTheme="majorBidi" w:hAnsiTheme="majorBidi" w:cstheme="majorBidi"/>
          <w:szCs w:val="24"/>
          <w:lang w:val="fr-CH"/>
        </w:rPr>
        <w:footnoteReference w:id="38"/>
      </w:r>
      <w:r w:rsidRPr="00CA3220">
        <w:rPr>
          <w:lang w:val="fr-CH"/>
        </w:rPr>
        <w:t>.</w:t>
      </w:r>
    </w:p>
    <w:p w:rsidR="00DE31BE" w:rsidRPr="00CA3220" w:rsidRDefault="00DE31BE" w:rsidP="00664299">
      <w:pPr>
        <w:pStyle w:val="Heading2"/>
        <w:rPr>
          <w:lang w:val="fr-CH"/>
        </w:rPr>
      </w:pPr>
      <w:bookmarkStart w:id="171" w:name="_Toc440533915"/>
      <w:bookmarkStart w:id="172" w:name="_Toc498437786"/>
      <w:bookmarkStart w:id="173" w:name="_Toc498500126"/>
      <w:bookmarkStart w:id="174" w:name="_Toc498500377"/>
      <w:bookmarkStart w:id="175" w:name="_Toc498516142"/>
      <w:r w:rsidRPr="00CA3220">
        <w:rPr>
          <w:lang w:val="fr-CH"/>
        </w:rPr>
        <w:t>A3.2</w:t>
      </w:r>
      <w:r w:rsidRPr="00CA3220">
        <w:rPr>
          <w:lang w:val="fr-CH"/>
        </w:rPr>
        <w:tab/>
        <w:t>Activités européennes menées dans certains Etats Membres</w:t>
      </w:r>
      <w:r w:rsidRPr="00CA3220">
        <w:rPr>
          <w:rStyle w:val="FootnoteReference"/>
          <w:rFonts w:asciiTheme="majorBidi" w:hAnsiTheme="majorBidi" w:cstheme="majorBidi"/>
          <w:b w:val="0"/>
          <w:szCs w:val="24"/>
          <w:lang w:val="fr-CH"/>
        </w:rPr>
        <w:footnoteReference w:id="39"/>
      </w:r>
      <w:bookmarkEnd w:id="171"/>
      <w:bookmarkEnd w:id="172"/>
      <w:bookmarkEnd w:id="173"/>
      <w:bookmarkEnd w:id="174"/>
      <w:bookmarkEnd w:id="175"/>
    </w:p>
    <w:p w:rsidR="00DE31BE" w:rsidRPr="00CA3220" w:rsidRDefault="00DE31BE" w:rsidP="00664299">
      <w:pPr>
        <w:pStyle w:val="Heading3"/>
        <w:rPr>
          <w:lang w:val="fr-CH"/>
        </w:rPr>
      </w:pPr>
      <w:r w:rsidRPr="00CA3220">
        <w:rPr>
          <w:lang w:val="fr-CH"/>
        </w:rPr>
        <w:t>A3.2.1</w:t>
      </w:r>
      <w:r w:rsidRPr="00CA3220">
        <w:rPr>
          <w:lang w:val="fr-CH"/>
        </w:rPr>
        <w:tab/>
        <w:t>Initiative industrielle européenne sur les réseaux de distribution d'électricité</w:t>
      </w:r>
    </w:p>
    <w:p w:rsidR="00DE31BE" w:rsidRPr="00D708C0" w:rsidRDefault="00DE31BE" w:rsidP="00664299">
      <w:pPr>
        <w:rPr>
          <w:rFonts w:asciiTheme="majorBidi" w:hAnsiTheme="majorBidi" w:cstheme="majorBidi"/>
          <w:bCs/>
          <w:spacing w:val="-2"/>
          <w:szCs w:val="24"/>
          <w:lang w:val="fr-CH"/>
        </w:rPr>
      </w:pPr>
      <w:r w:rsidRPr="00D708C0">
        <w:rPr>
          <w:rFonts w:asciiTheme="majorBidi" w:hAnsiTheme="majorBidi" w:cstheme="majorBidi"/>
          <w:bCs/>
          <w:spacing w:val="-2"/>
          <w:szCs w:val="24"/>
          <w:lang w:val="fr-CH"/>
        </w:rPr>
        <w:t>La Commission européenne a lancé l'initiative industrielle européenne sur les réseaux de distribution d'électricité</w:t>
      </w:r>
      <w:r w:rsidRPr="00D708C0">
        <w:rPr>
          <w:rStyle w:val="FootnoteReference"/>
          <w:rFonts w:asciiTheme="majorBidi" w:hAnsiTheme="majorBidi" w:cstheme="majorBidi"/>
          <w:bCs/>
          <w:spacing w:val="-2"/>
          <w:szCs w:val="24"/>
          <w:lang w:val="fr-CH"/>
        </w:rPr>
        <w:footnoteReference w:id="40"/>
      </w:r>
      <w:r w:rsidRPr="00D708C0">
        <w:rPr>
          <w:rFonts w:asciiTheme="majorBidi" w:hAnsiTheme="majorBidi" w:cstheme="majorBidi"/>
          <w:bCs/>
          <w:spacing w:val="-2"/>
          <w:szCs w:val="24"/>
          <w:lang w:val="fr-CH"/>
        </w:rPr>
        <w:t xml:space="preserve"> dans le cadre du Plan stratégique européen pour les technologies énergétiques (Plan SET).</w:t>
      </w:r>
    </w:p>
    <w:p w:rsidR="00DE31BE" w:rsidRPr="00CA3220" w:rsidRDefault="00DE31BE" w:rsidP="00664299">
      <w:pPr>
        <w:rPr>
          <w:lang w:val="fr-CH"/>
        </w:rPr>
      </w:pPr>
      <w:r w:rsidRPr="00CA3220">
        <w:rPr>
          <w:lang w:val="fr-CH"/>
        </w:rPr>
        <w:t>Le 22 novembre 2007, la Direction générale de l'énergie et la Direction générale pour la recherche de la Commission européenne ont proposé le Plan SET en vue de rendre plus rapidement disponibles de nouvelles technologies énergétiques et de créer un cadre européen à long terme pour le développement des technologies énergétiques. Le Plan SET permet de combiner la coordination de la Commission européenne, les capacités de recherche des grandes universités et des principaux instituts européens, l'engagement de l'industrie européen et la volonté des Etats Membres. L'un des deux défis que permettra de relever le Plan SET est la mobilisation de ressources supplémentaires pour financer des activités de recherche et les infrastructures connexes, des projets de démonstration à l'échelle industrielle et des projets de première application commerciale. Dans sa communication relative au Plan SET, la Commission a annoncé l'augmentation de</w:t>
      </w:r>
      <w:r w:rsidR="00D708C0">
        <w:rPr>
          <w:lang w:val="fr-CH"/>
        </w:rPr>
        <w:t>s budgets du Septième programme</w:t>
      </w:r>
      <w:r w:rsidR="00D708C0">
        <w:rPr>
          <w:lang w:val="fr-CH"/>
        </w:rPr>
        <w:noBreakHyphen/>
      </w:r>
      <w:r w:rsidRPr="00CA3220">
        <w:rPr>
          <w:lang w:val="fr-CH"/>
        </w:rPr>
        <w:t>cadre de la Communauté européenne (2007-2013) et du Programme Energie intelligente pour l'Europe.</w:t>
      </w:r>
    </w:p>
    <w:p w:rsidR="00DE31BE" w:rsidRPr="00CA3220" w:rsidRDefault="00DE31BE" w:rsidP="00664299">
      <w:pPr>
        <w:rPr>
          <w:lang w:val="fr-CH"/>
        </w:rPr>
      </w:pPr>
      <w:r w:rsidRPr="00CA3220">
        <w:rPr>
          <w:lang w:val="fr-CH"/>
        </w:rPr>
        <w:t>Le budget annuel moyen consacré à la recherche dans le domaine de l'énergie (CE et Euratom) s'élèvera à 886 millions d'euros, contre 574 millions d'euros pour les programmes précédents</w:t>
      </w:r>
      <w:r w:rsidRPr="00CA3220">
        <w:rPr>
          <w:rStyle w:val="FootnoteReference"/>
          <w:rFonts w:asciiTheme="majorBidi" w:hAnsiTheme="majorBidi" w:cstheme="majorBidi"/>
          <w:bCs/>
          <w:szCs w:val="24"/>
          <w:lang w:val="fr-CH"/>
        </w:rPr>
        <w:footnoteReference w:id="41"/>
      </w:r>
      <w:r w:rsidRPr="00CA3220">
        <w:rPr>
          <w:lang w:val="fr-CH"/>
        </w:rPr>
        <w:t>. Le budget annuel moyen affecté au Programme Energie intelligente pour l'Europe sera multiplié par deux par rapport aux budgets précédents, pour s'élever à 100 millions d'euros.</w:t>
      </w:r>
    </w:p>
    <w:p w:rsidR="00DE31BE" w:rsidRPr="00CA3220" w:rsidRDefault="00DE31BE" w:rsidP="00664299">
      <w:pPr>
        <w:rPr>
          <w:lang w:val="fr-CH"/>
        </w:rPr>
      </w:pPr>
      <w:r w:rsidRPr="00CA3220">
        <w:rPr>
          <w:lang w:val="fr-CH"/>
        </w:rPr>
        <w:lastRenderedPageBreak/>
        <w:t>Afin d'associer l'industrie européenne à ses travaux, la Commission européenne a proposé de lancer, au printemps 2009, six Initiatives industrielles européennes dans les domaines suivants: énergie éolienne; énergie solaire; bioénergies; captage, transport et stockage du dioxyde de carbone; réseaux électriques; et fission nucléaire. Ces initiatives visent à renforcer la recherche et l'innovation dans le secteur de l'énergie, à accélérer le déploiement des technologies et à élaborer des stratégies sortant des sentiers battus. Elles permettent d'associer des ressources adaptées et des acteurs des secteurs industriels, offrant une valeur ajoutée grâce au partage des risques, à des partenariats public</w:t>
      </w:r>
      <w:r w:rsidRPr="00CA3220">
        <w:rPr>
          <w:lang w:val="fr-CH"/>
        </w:rPr>
        <w:noBreakHyphen/>
        <w:t>privé et à un financement au niveau européen.</w:t>
      </w:r>
    </w:p>
    <w:p w:rsidR="00DE31BE" w:rsidRPr="00CA3220" w:rsidRDefault="00DE31BE" w:rsidP="00664299">
      <w:pPr>
        <w:rPr>
          <w:lang w:val="fr-CH"/>
        </w:rPr>
      </w:pPr>
      <w:r w:rsidRPr="00CA3220">
        <w:rPr>
          <w:lang w:val="fr-CH"/>
        </w:rPr>
        <w:t>L'initiative industrielle européenne sur les réseaux de distribution d'électricité devrait porter principalement sur l'élaboration du système d'électricité intelligents, comprenant le stockage, et sur la création d'un Centre européen pour mettre en oeuvre un programme de recherche sur le réseau de transmission européen</w:t>
      </w:r>
      <w:r w:rsidRPr="00CA3220">
        <w:rPr>
          <w:rStyle w:val="FootnoteReference"/>
          <w:rFonts w:asciiTheme="majorBidi" w:hAnsiTheme="majorBidi" w:cstheme="majorBidi"/>
          <w:bCs/>
          <w:szCs w:val="24"/>
          <w:lang w:val="fr-CH"/>
        </w:rPr>
        <w:footnoteReference w:id="42"/>
      </w:r>
      <w:r w:rsidRPr="00CA3220">
        <w:rPr>
          <w:lang w:val="fr-CH"/>
        </w:rPr>
        <w:t>, l'objectif étant à terme de mettre en place un réseau de distribution d'électricité intelligent européen unique, capable de prendre en charge l'intégration massive de sources d'énergie renouvelables et décentralisées</w:t>
      </w:r>
      <w:r w:rsidRPr="00CA3220">
        <w:rPr>
          <w:rStyle w:val="FootnoteReference"/>
          <w:rFonts w:asciiTheme="majorBidi" w:hAnsiTheme="majorBidi" w:cstheme="majorBidi"/>
          <w:bCs/>
          <w:szCs w:val="24"/>
          <w:lang w:val="fr-CH"/>
        </w:rPr>
        <w:footnoteReference w:id="43"/>
      </w:r>
      <w:r w:rsidRPr="00CA3220">
        <w:rPr>
          <w:lang w:val="fr-CH"/>
        </w:rPr>
        <w:t>. Comme pour d'autres initiatives industrielles européennes, l'initiative sur les réseaux de distribution d'électricité devra être associée à des objectifs mesurables en termes de réduction des coûts ou d'amélioration de l'efficacité.</w:t>
      </w:r>
    </w:p>
    <w:p w:rsidR="00DE31BE" w:rsidRPr="00CA3220" w:rsidRDefault="00DE31BE" w:rsidP="00664299">
      <w:pPr>
        <w:pStyle w:val="Heading3"/>
        <w:rPr>
          <w:lang w:val="fr-CH"/>
        </w:rPr>
      </w:pPr>
      <w:r w:rsidRPr="00CA3220">
        <w:rPr>
          <w:lang w:val="fr-CH"/>
        </w:rPr>
        <w:t>A3.2.2</w:t>
      </w:r>
      <w:r w:rsidRPr="00CA3220">
        <w:rPr>
          <w:lang w:val="fr-CH"/>
        </w:rPr>
        <w:tab/>
        <w:t>Plate-forme technologique nationale – Réseaux intelligents en Allemagne</w:t>
      </w:r>
    </w:p>
    <w:p w:rsidR="00DE31BE" w:rsidRPr="00CA3220" w:rsidRDefault="00DE31BE" w:rsidP="00664299">
      <w:pPr>
        <w:rPr>
          <w:lang w:val="fr-CH"/>
        </w:rPr>
      </w:pPr>
      <w:r w:rsidRPr="00CA3220">
        <w:rPr>
          <w:lang w:val="fr-CH"/>
        </w:rPr>
        <w:t>L'initiative «E-Energie: Système énergétique fondé sur les TIC de demain»</w:t>
      </w:r>
      <w:r w:rsidRPr="00CA3220">
        <w:rPr>
          <w:rStyle w:val="FootnoteReference"/>
          <w:rFonts w:asciiTheme="majorBidi" w:hAnsiTheme="majorBidi" w:cstheme="majorBidi"/>
          <w:bCs/>
          <w:szCs w:val="24"/>
          <w:lang w:val="fr-CH"/>
        </w:rPr>
        <w:footnoteReference w:id="44"/>
      </w:r>
      <w:r w:rsidRPr="00CA3220">
        <w:rPr>
          <w:lang w:val="fr-CH"/>
        </w:rPr>
        <w:t xml:space="preserve"> est une nouvelle priorité en termes d'appui et de financement, qui s'inscrit dans le cadre de la politique technologique du Gouvernement fédéral. Comme pour les expressions «E-Commerce» ou «E-Gouvernement», l'expression «E-Energie» désigne l'interconnexion numérique complète et le contrôle et la surveillance informatiques du système de fourniture d'énergie dans sa totalité.</w:t>
      </w:r>
    </w:p>
    <w:p w:rsidR="00DE31BE" w:rsidRPr="00CA3220" w:rsidRDefault="00DE31BE" w:rsidP="00664299">
      <w:pPr>
        <w:rPr>
          <w:lang w:val="fr-CH"/>
        </w:rPr>
      </w:pPr>
      <w:r w:rsidRPr="00CA3220">
        <w:rPr>
          <w:lang w:val="fr-CH"/>
        </w:rPr>
        <w:t>Il a été décidé que le secteur de l'électricité serait le premier visé par le projet, étant donné que les problèmes à résoudre en termes d'interaction en temps réel et d'intelligence informatique sont particulièrement importants du fait de la possibilité limitée de stocker l'électricité. L'objectif du projet E-Energy est avant tout de mettre en place des projets régionaux servant de modèles afin de montrer comment utiliser au mieux l'immense potentiel d'optimisation des technologies de l'information et de la communication (TIC) pour accroître l'efficacité, la sécurité de la fourniture et la compatibilité environnementale (piliers des politiques énergétiques et climatiques) en matière de fourniture d'énergie et comment, par la suite, créer des emplois et développer de nouveaux marchés. Elément particulièrement innovant du projet, des concepts de systèmes TIC favorisant l'intégration, qui optimisent l'efficacité, la sécurité de la fourniture et la compatibilité environnementale de l'ensemble du système de fourniture d'électricité tout au long de la chaîne – de la production et du transport à la distribution et la consommation – sont mis au point et testés en temps réel dans le cadre de ces projets régionaux E-Energy modèles.</w:t>
      </w:r>
    </w:p>
    <w:p w:rsidR="00DE31BE" w:rsidRPr="00CA3220" w:rsidRDefault="00DE31BE" w:rsidP="00664299">
      <w:pPr>
        <w:rPr>
          <w:lang w:val="fr-CH"/>
        </w:rPr>
      </w:pPr>
      <w:r w:rsidRPr="00CA3220">
        <w:rPr>
          <w:lang w:val="fr-CH"/>
        </w:rPr>
        <w:t>Afin d'accélérer la mise au point d'innovations et d'élargir les retombées, le programme E-Energy était concentré sur les trois aspects suivants:</w:t>
      </w:r>
    </w:p>
    <w:p w:rsidR="00DE31BE" w:rsidRPr="00CA3220" w:rsidRDefault="00DE31BE" w:rsidP="00664299">
      <w:pPr>
        <w:pStyle w:val="enumlev1"/>
        <w:rPr>
          <w:lang w:val="fr-CH"/>
        </w:rPr>
      </w:pPr>
      <w:r w:rsidRPr="00CA3220">
        <w:rPr>
          <w:lang w:val="fr-CH"/>
        </w:rPr>
        <w:t>1)</w:t>
      </w:r>
      <w:r w:rsidRPr="00CA3220">
        <w:rPr>
          <w:lang w:val="fr-CH"/>
        </w:rPr>
        <w:tab/>
        <w:t>Création d'un marché E-Energy qui facilite les transactions légales et les accords commerciaux électroniques entre tous les acteurs du marché.</w:t>
      </w:r>
    </w:p>
    <w:p w:rsidR="00DE31BE" w:rsidRPr="00CA3220" w:rsidRDefault="00DE31BE" w:rsidP="00664299">
      <w:pPr>
        <w:pStyle w:val="enumlev1"/>
        <w:rPr>
          <w:lang w:val="fr-CH"/>
        </w:rPr>
      </w:pPr>
      <w:r w:rsidRPr="00CA3220">
        <w:rPr>
          <w:lang w:val="fr-CH"/>
        </w:rPr>
        <w:t>2)</w:t>
      </w:r>
      <w:r w:rsidRPr="00CA3220">
        <w:rPr>
          <w:lang w:val="fr-CH"/>
        </w:rPr>
        <w:tab/>
        <w:t xml:space="preserve">Interconnexion numérique et informatisation des systèmes et composants techniques, ainsi que des activités de commande des processus et de maintenance fondées sur ces systèmes et </w:t>
      </w:r>
      <w:r w:rsidRPr="00CA3220">
        <w:rPr>
          <w:lang w:val="fr-CH"/>
        </w:rPr>
        <w:lastRenderedPageBreak/>
        <w:t>composants, afin de garantir une grande indépendance de la surveillance, de l'analyse, de la commande et de la régulation du système technique dans son ensemble.</w:t>
      </w:r>
    </w:p>
    <w:p w:rsidR="00DE31BE" w:rsidRPr="00CA3220" w:rsidRDefault="00DE31BE" w:rsidP="00664299">
      <w:pPr>
        <w:pStyle w:val="enumlev1"/>
        <w:rPr>
          <w:lang w:val="fr-CH"/>
        </w:rPr>
      </w:pPr>
      <w:r w:rsidRPr="00CA3220">
        <w:rPr>
          <w:lang w:val="fr-CH"/>
        </w:rPr>
        <w:t>3)</w:t>
      </w:r>
      <w:r w:rsidRPr="00CA3220">
        <w:rPr>
          <w:lang w:val="fr-CH"/>
        </w:rPr>
        <w:tab/>
        <w:t>Création d'un lien électronique entre le marché de l'énergie électronique et l'ensemble du système technique afin d'assurer l'interaction numérique en temps réel des opérations commerciales et technologiques.</w:t>
      </w:r>
    </w:p>
    <w:p w:rsidR="00DE31BE" w:rsidRPr="00CA3220" w:rsidRDefault="00DE31BE" w:rsidP="00664299">
      <w:pPr>
        <w:rPr>
          <w:lang w:val="fr-CH"/>
        </w:rPr>
      </w:pPr>
      <w:r w:rsidRPr="00CA3220">
        <w:rPr>
          <w:lang w:val="fr-CH"/>
        </w:rPr>
        <w:t>Un concours technologique E-Energy a été organisé, dans le cadre duquel six projets pilotes ont été récompensés. Chaque projet portait sur un système complet, couvrant toutes les activités économiques intervenant dans la fourniture d'énergie, à la fois au niveau du marché et au niveau de l'exploitation technique.</w:t>
      </w:r>
    </w:p>
    <w:p w:rsidR="00DE31BE" w:rsidRPr="00CA3220" w:rsidRDefault="00DE31BE" w:rsidP="00664299">
      <w:pPr>
        <w:rPr>
          <w:lang w:val="fr-CH"/>
        </w:rPr>
      </w:pPr>
      <w:r w:rsidRPr="00CA3220">
        <w:rPr>
          <w:lang w:val="fr-CH"/>
        </w:rPr>
        <w:t>En plus des fonds propres des entreprises participantes, ce programme sur quatre ans mobilisera quelque 140 millions d'euros pour le développement de six projets régionaux E-Energy modèles:</w:t>
      </w:r>
    </w:p>
    <w:p w:rsidR="00FD2137" w:rsidRDefault="00DE31BE" w:rsidP="00FD2137">
      <w:pPr>
        <w:pStyle w:val="enumlev1"/>
        <w:jc w:val="left"/>
        <w:rPr>
          <w:lang w:val="fr-CH"/>
        </w:rPr>
      </w:pPr>
      <w:r w:rsidRPr="00CA3220">
        <w:rPr>
          <w:lang w:val="fr-CH"/>
        </w:rPr>
        <w:t>–</w:t>
      </w:r>
      <w:r w:rsidRPr="00CA3220">
        <w:rPr>
          <w:lang w:val="fr-CH"/>
        </w:rPr>
        <w:tab/>
        <w:t>Projet eTelligence pour la région de Cuxhaven</w:t>
      </w:r>
    </w:p>
    <w:p w:rsidR="00DE31BE" w:rsidRPr="00CA3220" w:rsidRDefault="00FD2137" w:rsidP="00FD2137">
      <w:pPr>
        <w:pStyle w:val="enumlev1"/>
        <w:jc w:val="left"/>
        <w:rPr>
          <w:lang w:val="fr-CH"/>
        </w:rPr>
      </w:pPr>
      <w:r>
        <w:rPr>
          <w:lang w:val="fr-CH"/>
        </w:rPr>
        <w:tab/>
      </w:r>
      <w:r w:rsidR="00DE31BE" w:rsidRPr="00CA3220">
        <w:rPr>
          <w:b/>
          <w:lang w:val="fr-CH"/>
        </w:rPr>
        <w:t>Objet</w:t>
      </w:r>
      <w:r w:rsidR="00DE31BE" w:rsidRPr="00CA3220">
        <w:rPr>
          <w:lang w:val="fr-CH"/>
        </w:rPr>
        <w:t>: Intelligence pour la fourniture d'énergie, les marchés et les réseaux de distribution d'électricité</w:t>
      </w:r>
    </w:p>
    <w:p w:rsidR="00FD2137" w:rsidRDefault="00DE31BE" w:rsidP="00FD2137">
      <w:pPr>
        <w:pStyle w:val="enumlev1"/>
        <w:jc w:val="left"/>
        <w:rPr>
          <w:lang w:val="fr-CH"/>
        </w:rPr>
      </w:pPr>
      <w:r w:rsidRPr="00CA3220">
        <w:rPr>
          <w:lang w:val="fr-CH"/>
        </w:rPr>
        <w:t>–</w:t>
      </w:r>
      <w:r w:rsidRPr="00CA3220">
        <w:rPr>
          <w:lang w:val="fr-CH"/>
        </w:rPr>
        <w:tab/>
        <w:t>Projet E-DeMa pour la région de la Ruhr</w:t>
      </w:r>
    </w:p>
    <w:p w:rsidR="00DE31BE" w:rsidRPr="00CA3220" w:rsidRDefault="00FD2137" w:rsidP="00FD2137">
      <w:pPr>
        <w:pStyle w:val="enumlev1"/>
        <w:jc w:val="left"/>
        <w:rPr>
          <w:lang w:val="fr-CH"/>
        </w:rPr>
      </w:pPr>
      <w:r>
        <w:rPr>
          <w:lang w:val="fr-CH"/>
        </w:rPr>
        <w:tab/>
      </w:r>
      <w:r w:rsidR="00DE31BE" w:rsidRPr="00CA3220">
        <w:rPr>
          <w:b/>
          <w:lang w:val="fr-CH"/>
        </w:rPr>
        <w:t>Objet</w:t>
      </w:r>
      <w:r w:rsidR="00DE31BE" w:rsidRPr="00CA3220">
        <w:rPr>
          <w:lang w:val="fr-CH"/>
        </w:rPr>
        <w:t>: Systèmes d'énergie intégrés décentralisés pour créer le marché E-Energy de demain</w:t>
      </w:r>
    </w:p>
    <w:p w:rsidR="00FD2137" w:rsidRDefault="00DE31BE" w:rsidP="00FD2137">
      <w:pPr>
        <w:pStyle w:val="enumlev1"/>
        <w:jc w:val="left"/>
        <w:rPr>
          <w:lang w:val="fr-CH"/>
        </w:rPr>
      </w:pPr>
      <w:r w:rsidRPr="00CA3220">
        <w:rPr>
          <w:lang w:val="fr-CH"/>
        </w:rPr>
        <w:t>–</w:t>
      </w:r>
      <w:r w:rsidRPr="00CA3220">
        <w:rPr>
          <w:lang w:val="fr-CH"/>
        </w:rPr>
        <w:tab/>
        <w:t>Projet MeRegio</w:t>
      </w:r>
    </w:p>
    <w:p w:rsidR="00DE31BE" w:rsidRPr="00CA3220" w:rsidRDefault="00FD2137" w:rsidP="00FD2137">
      <w:pPr>
        <w:pStyle w:val="enumlev1"/>
        <w:jc w:val="left"/>
        <w:rPr>
          <w:lang w:val="fr-CH"/>
        </w:rPr>
      </w:pPr>
      <w:r>
        <w:rPr>
          <w:lang w:val="fr-CH"/>
        </w:rPr>
        <w:tab/>
      </w:r>
      <w:r w:rsidR="00DE31BE" w:rsidRPr="00CA3220">
        <w:rPr>
          <w:b/>
          <w:lang w:val="fr-CH"/>
        </w:rPr>
        <w:t>Objet</w:t>
      </w:r>
      <w:r w:rsidR="00DE31BE" w:rsidRPr="00CA3220">
        <w:rPr>
          <w:lang w:val="fr-CH"/>
        </w:rPr>
        <w:t>: Réduction au minimum des émissions produites dans une région</w:t>
      </w:r>
    </w:p>
    <w:p w:rsidR="00FD2137" w:rsidRDefault="00DE31BE" w:rsidP="00FD2137">
      <w:pPr>
        <w:pStyle w:val="enumlev1"/>
        <w:jc w:val="left"/>
        <w:rPr>
          <w:lang w:val="fr-CH"/>
        </w:rPr>
      </w:pPr>
      <w:r w:rsidRPr="00CA3220">
        <w:rPr>
          <w:lang w:val="fr-CH"/>
        </w:rPr>
        <w:t>–</w:t>
      </w:r>
      <w:r w:rsidRPr="00CA3220">
        <w:rPr>
          <w:lang w:val="fr-CH"/>
        </w:rPr>
        <w:tab/>
        <w:t>Projet pour la ville de Mannheim</w:t>
      </w:r>
    </w:p>
    <w:p w:rsidR="00DE31BE" w:rsidRPr="00CA3220" w:rsidRDefault="00FD2137" w:rsidP="00FD2137">
      <w:pPr>
        <w:pStyle w:val="enumlev1"/>
        <w:jc w:val="left"/>
        <w:rPr>
          <w:lang w:val="fr-CH"/>
        </w:rPr>
      </w:pPr>
      <w:r>
        <w:rPr>
          <w:lang w:val="fr-CH"/>
        </w:rPr>
        <w:tab/>
      </w:r>
      <w:r w:rsidR="00DE31BE" w:rsidRPr="00CA3220">
        <w:rPr>
          <w:b/>
          <w:lang w:val="fr-CH"/>
        </w:rPr>
        <w:t>Objet</w:t>
      </w:r>
      <w:r w:rsidR="00DE31BE" w:rsidRPr="00CA3220">
        <w:rPr>
          <w:lang w:val="fr-CH"/>
        </w:rPr>
        <w:t>: Projet mené dans le cadre du projet pilote pour la région Rhin</w:t>
      </w:r>
      <w:r w:rsidR="00DE31BE" w:rsidRPr="00CA3220">
        <w:rPr>
          <w:lang w:val="fr-CH"/>
        </w:rPr>
        <w:noBreakHyphen/>
        <w:t>Neckar</w:t>
      </w:r>
    </w:p>
    <w:p w:rsidR="00FD2137" w:rsidRDefault="00DE31BE" w:rsidP="00FD2137">
      <w:pPr>
        <w:pStyle w:val="enumlev1"/>
        <w:jc w:val="left"/>
        <w:rPr>
          <w:lang w:val="fr-CH"/>
        </w:rPr>
      </w:pPr>
      <w:r w:rsidRPr="00CA3220">
        <w:rPr>
          <w:lang w:val="fr-CH"/>
        </w:rPr>
        <w:t>–</w:t>
      </w:r>
      <w:r w:rsidRPr="00CA3220">
        <w:rPr>
          <w:lang w:val="fr-CH"/>
        </w:rPr>
        <w:tab/>
        <w:t xml:space="preserve">Projet RegModHarz </w:t>
      </w:r>
    </w:p>
    <w:p w:rsidR="00DE31BE" w:rsidRPr="00CA3220" w:rsidRDefault="00FD2137" w:rsidP="00FD2137">
      <w:pPr>
        <w:pStyle w:val="enumlev1"/>
        <w:jc w:val="left"/>
        <w:rPr>
          <w:lang w:val="fr-CH"/>
        </w:rPr>
      </w:pPr>
      <w:r>
        <w:rPr>
          <w:lang w:val="fr-CH"/>
        </w:rPr>
        <w:tab/>
      </w:r>
      <w:r w:rsidR="00DE31BE" w:rsidRPr="00CA3220">
        <w:rPr>
          <w:b/>
          <w:lang w:val="fr-CH"/>
        </w:rPr>
        <w:t>Objet</w:t>
      </w:r>
      <w:r w:rsidR="00DE31BE" w:rsidRPr="00CA3220">
        <w:rPr>
          <w:lang w:val="fr-CH"/>
        </w:rPr>
        <w:t>: Modèle de récupération de l'énergie mis en oeuvre à Harz</w:t>
      </w:r>
    </w:p>
    <w:p w:rsidR="00FD2137" w:rsidRDefault="00DE31BE" w:rsidP="00FD2137">
      <w:pPr>
        <w:pStyle w:val="enumlev1"/>
        <w:jc w:val="left"/>
        <w:rPr>
          <w:lang w:val="fr-CH"/>
        </w:rPr>
      </w:pPr>
      <w:r w:rsidRPr="00CA3220">
        <w:rPr>
          <w:lang w:val="fr-CH"/>
        </w:rPr>
        <w:t>–</w:t>
      </w:r>
      <w:r w:rsidRPr="00CA3220">
        <w:rPr>
          <w:lang w:val="fr-CH"/>
        </w:rPr>
        <w:tab/>
        <w:t>Projet Smart Watts pour la région d'Aix-la-Chapelle</w:t>
      </w:r>
    </w:p>
    <w:p w:rsidR="00DE31BE" w:rsidRPr="00CA3220" w:rsidRDefault="00FD2137" w:rsidP="00FD2137">
      <w:pPr>
        <w:pStyle w:val="enumlev1"/>
        <w:jc w:val="left"/>
        <w:rPr>
          <w:lang w:val="fr-CH"/>
        </w:rPr>
      </w:pPr>
      <w:r>
        <w:rPr>
          <w:lang w:val="fr-CH"/>
        </w:rPr>
        <w:tab/>
      </w:r>
      <w:r w:rsidR="00DE31BE" w:rsidRPr="00CA3220">
        <w:rPr>
          <w:b/>
          <w:lang w:val="fr-CH"/>
        </w:rPr>
        <w:t>Objet</w:t>
      </w:r>
      <w:r w:rsidR="00DE31BE" w:rsidRPr="00CA3220">
        <w:rPr>
          <w:lang w:val="fr-CH"/>
        </w:rPr>
        <w:t>: Renforcement de l'efficacité et multiplication des avantages pour les consommateurs grâce à «l'Internet de l'énergie»</w:t>
      </w:r>
    </w:p>
    <w:p w:rsidR="00DE31BE" w:rsidRPr="00CA3220" w:rsidRDefault="00DE31BE" w:rsidP="00664299">
      <w:pPr>
        <w:rPr>
          <w:lang w:val="fr-CH"/>
        </w:rPr>
      </w:pPr>
      <w:r w:rsidRPr="00CA3220">
        <w:rPr>
          <w:lang w:val="fr-CH"/>
        </w:rPr>
        <w:t>En plus des coordonnateurs des projets, d'autres acteurs comme des fabricants d'équipements électriques, des intégrateurs de systèmes, des fournisseurs de services, des instituts de recherche et des universités sont associés au projet.</w:t>
      </w:r>
    </w:p>
    <w:p w:rsidR="00DE31BE" w:rsidRPr="00CA3220" w:rsidRDefault="00DE31BE" w:rsidP="00664299">
      <w:pPr>
        <w:rPr>
          <w:lang w:val="fr-CH"/>
        </w:rPr>
      </w:pPr>
      <w:r w:rsidRPr="00CA3220">
        <w:rPr>
          <w:lang w:val="fr-CH"/>
        </w:rPr>
        <w:t>D'ici à 2012, les projets régionaux modèles sélectionnés devaient développer leurs propositions prometteuses jusqu'au stade de la mise sur le marché et tester les possibilités de commercialisation pour une application au quotidien.</w:t>
      </w:r>
    </w:p>
    <w:p w:rsidR="00C774C4" w:rsidRPr="00CA3220" w:rsidRDefault="00C774C4" w:rsidP="00FD2137">
      <w:pPr>
        <w:rPr>
          <w:lang w:val="fr-CH"/>
        </w:rPr>
      </w:pPr>
    </w:p>
    <w:p w:rsidR="00C774C4" w:rsidRPr="00CA3220" w:rsidRDefault="00C774C4" w:rsidP="00FD2137">
      <w:pPr>
        <w:rPr>
          <w:lang w:val="fr-CH"/>
        </w:rPr>
      </w:pPr>
    </w:p>
    <w:p w:rsidR="00DE31BE" w:rsidRPr="00CA3220" w:rsidRDefault="00DE31BE" w:rsidP="00664299">
      <w:pPr>
        <w:pStyle w:val="AnnexNoTitle"/>
        <w:rPr>
          <w:lang w:val="fr-CH"/>
        </w:rPr>
      </w:pPr>
      <w:bookmarkStart w:id="176" w:name="_Toc438029901"/>
      <w:bookmarkStart w:id="177" w:name="_Toc440533916"/>
      <w:bookmarkStart w:id="178" w:name="_Toc498437787"/>
      <w:bookmarkStart w:id="179" w:name="_Toc498500127"/>
      <w:bookmarkStart w:id="180" w:name="_Toc498500378"/>
      <w:bookmarkStart w:id="181" w:name="_Toc498516143"/>
      <w:r w:rsidRPr="00CA3220">
        <w:rPr>
          <w:lang w:val="fr-CH"/>
        </w:rPr>
        <w:t>Annexe 4</w:t>
      </w:r>
      <w:bookmarkStart w:id="182" w:name="_Toc438029902"/>
      <w:bookmarkEnd w:id="176"/>
      <w:r w:rsidRPr="00CA3220">
        <w:rPr>
          <w:lang w:val="fr-CH"/>
        </w:rPr>
        <w:br/>
      </w:r>
      <w:r w:rsidRPr="00CA3220">
        <w:rPr>
          <w:lang w:val="fr-CH"/>
        </w:rPr>
        <w:br/>
        <w:t>Réseau intelligent au Brésil</w:t>
      </w:r>
      <w:bookmarkEnd w:id="177"/>
      <w:bookmarkEnd w:id="178"/>
      <w:bookmarkEnd w:id="179"/>
      <w:bookmarkEnd w:id="180"/>
      <w:bookmarkEnd w:id="182"/>
      <w:bookmarkEnd w:id="181"/>
    </w:p>
    <w:p w:rsidR="00DE31BE" w:rsidRPr="00CA3220" w:rsidRDefault="00DE31BE" w:rsidP="00664299">
      <w:pPr>
        <w:pStyle w:val="Heading2"/>
        <w:rPr>
          <w:lang w:val="fr-CH"/>
        </w:rPr>
      </w:pPr>
      <w:bookmarkStart w:id="183" w:name="_Toc438029903"/>
      <w:bookmarkStart w:id="184" w:name="_Toc440533917"/>
      <w:bookmarkStart w:id="185" w:name="_Toc498437788"/>
      <w:bookmarkStart w:id="186" w:name="_Toc498500128"/>
      <w:bookmarkStart w:id="187" w:name="_Toc498500379"/>
      <w:bookmarkStart w:id="188" w:name="_Toc498516144"/>
      <w:r w:rsidRPr="00CA3220">
        <w:rPr>
          <w:lang w:val="fr-CH"/>
        </w:rPr>
        <w:t>A4.1</w:t>
      </w:r>
      <w:r w:rsidRPr="00CA3220">
        <w:rPr>
          <w:lang w:val="fr-CH"/>
        </w:rPr>
        <w:tab/>
        <w:t>Introduction</w:t>
      </w:r>
      <w:bookmarkEnd w:id="183"/>
      <w:bookmarkEnd w:id="184"/>
      <w:bookmarkEnd w:id="185"/>
      <w:bookmarkEnd w:id="186"/>
      <w:bookmarkEnd w:id="187"/>
      <w:bookmarkEnd w:id="188"/>
    </w:p>
    <w:p w:rsidR="00DE31BE" w:rsidRPr="00CA3220" w:rsidRDefault="00DE31BE" w:rsidP="00664299">
      <w:pPr>
        <w:rPr>
          <w:lang w:val="fr-CH"/>
        </w:rPr>
      </w:pPr>
      <w:r w:rsidRPr="00CA3220">
        <w:rPr>
          <w:lang w:val="fr-CH"/>
        </w:rPr>
        <w:t xml:space="preserve">Le Ministère des mines et de l'énergie a encouragé les études relatives aux technologies qui pourraient être utilisées pour le concept de réseau intelligent. Ces études étaient motivées par la nécessité de réduire les pertes techniques et non techniques et d'accroître l'efficacité du système tout entier pour améliorer la fiabilité, la résilience, la sécurité, etc. Il y a peu, un groupe d'étude bénéficiant de l'appui </w:t>
      </w:r>
      <w:r w:rsidRPr="00CA3220">
        <w:rPr>
          <w:lang w:val="fr-CH"/>
        </w:rPr>
        <w:lastRenderedPageBreak/>
        <w:t>du Ministère brésilien a mis en avant plusieurs problèmes liés au système d'électricité actuel et a présenté des technologies et des solutions qui pourraient permettre de réduire les pertes et d'améliorer l'efficacité de ces systèmes. Les études menées tenaient également compte des aspects économiques, en particulier du coût qui pourrait être acceptable pour l'installation de plus de 45 millions de compteurs dans le pays.</w:t>
      </w:r>
    </w:p>
    <w:p w:rsidR="003D767D" w:rsidRPr="00CA3220" w:rsidRDefault="003D767D" w:rsidP="00EF75D3">
      <w:pPr>
        <w:rPr>
          <w:lang w:val="fr-CH"/>
        </w:rPr>
      </w:pPr>
      <w:r w:rsidRPr="00CA3220">
        <w:rPr>
          <w:lang w:val="fr-CH"/>
        </w:rPr>
        <w:t xml:space="preserve">En outre, d'autres études ont été menées par des </w:t>
      </w:r>
      <w:r w:rsidR="00EF75D3" w:rsidRPr="00CA3220">
        <w:rPr>
          <w:lang w:val="fr-CH"/>
        </w:rPr>
        <w:t>institutions</w:t>
      </w:r>
      <w:r w:rsidRPr="00CA3220">
        <w:rPr>
          <w:lang w:val="fr-CH"/>
        </w:rPr>
        <w:t xml:space="preserve"> privées grâce à des financements publics, par exemple celle effectuée par l'ABRADEE et l'APTEL, associations à but </w:t>
      </w:r>
      <w:r w:rsidR="00EF75D3" w:rsidRPr="00CA3220">
        <w:rPr>
          <w:lang w:val="fr-CH"/>
        </w:rPr>
        <w:t>non lucratif</w:t>
      </w:r>
      <w:r w:rsidRPr="00CA3220">
        <w:rPr>
          <w:lang w:val="fr-CH"/>
        </w:rPr>
        <w:t xml:space="preserve"> du secteur de l'électricité.</w:t>
      </w:r>
    </w:p>
    <w:p w:rsidR="003D767D" w:rsidRPr="00CA3220" w:rsidRDefault="006A6B50" w:rsidP="00EF75D3">
      <w:pPr>
        <w:ind w:left="794" w:hanging="794"/>
        <w:rPr>
          <w:lang w:val="fr-CH"/>
        </w:rPr>
      </w:pPr>
      <w:r w:rsidRPr="006A6B50">
        <w:rPr>
          <w:lang w:val="fr-CH"/>
        </w:rPr>
        <w:t>–</w:t>
      </w:r>
      <w:r w:rsidR="00EF75D3" w:rsidRPr="00CA3220">
        <w:rPr>
          <w:lang w:val="fr-CH"/>
        </w:rPr>
        <w:tab/>
        <w:t>APTEL –</w:t>
      </w:r>
      <w:r w:rsidR="003D767D" w:rsidRPr="00CA3220">
        <w:rPr>
          <w:lang w:val="fr-CH"/>
        </w:rPr>
        <w:t xml:space="preserve"> Association des entreprises privées propriétaires d'infrastructures et de systèmes de télécommunication, créée le 7 avril 1999.</w:t>
      </w:r>
    </w:p>
    <w:p w:rsidR="003D767D" w:rsidRPr="00CA3220" w:rsidRDefault="006A6B50" w:rsidP="00664299">
      <w:pPr>
        <w:ind w:left="794" w:hanging="794"/>
        <w:rPr>
          <w:lang w:val="fr-CH"/>
        </w:rPr>
      </w:pPr>
      <w:r w:rsidRPr="006A6B50">
        <w:rPr>
          <w:lang w:val="fr-CH"/>
        </w:rPr>
        <w:t>–</w:t>
      </w:r>
      <w:r w:rsidR="00EF75D3" w:rsidRPr="00CA3220">
        <w:rPr>
          <w:lang w:val="fr-CH"/>
        </w:rPr>
        <w:tab/>
        <w:t>ABRADEE –</w:t>
      </w:r>
      <w:r w:rsidR="003D767D" w:rsidRPr="00CA3220">
        <w:rPr>
          <w:lang w:val="fr-CH"/>
        </w:rPr>
        <w:t xml:space="preserve"> Association brésilienne des fournisseurs d'électricité, créée en août 1975.</w:t>
      </w:r>
    </w:p>
    <w:p w:rsidR="00DE31BE" w:rsidRPr="00CA3220" w:rsidRDefault="00DE31BE" w:rsidP="00664299">
      <w:pPr>
        <w:pStyle w:val="Heading2"/>
        <w:rPr>
          <w:lang w:val="fr-CH"/>
        </w:rPr>
      </w:pPr>
      <w:bookmarkStart w:id="189" w:name="_Toc438029904"/>
      <w:bookmarkStart w:id="190" w:name="_Toc440533918"/>
      <w:bookmarkStart w:id="191" w:name="_Toc498437789"/>
      <w:bookmarkStart w:id="192" w:name="_Toc498500129"/>
      <w:bookmarkStart w:id="193" w:name="_Toc498500380"/>
      <w:bookmarkStart w:id="194" w:name="_Toc498516145"/>
      <w:r w:rsidRPr="00CA3220">
        <w:rPr>
          <w:lang w:val="fr-CH"/>
        </w:rPr>
        <w:t>A4.2</w:t>
      </w:r>
      <w:r w:rsidRPr="00CA3220">
        <w:rPr>
          <w:lang w:val="fr-CH"/>
        </w:rPr>
        <w:tab/>
        <w:t>Secteur brésilien de l'électricité</w:t>
      </w:r>
      <w:bookmarkEnd w:id="189"/>
      <w:bookmarkEnd w:id="190"/>
      <w:bookmarkEnd w:id="191"/>
      <w:bookmarkEnd w:id="192"/>
      <w:bookmarkEnd w:id="193"/>
      <w:bookmarkEnd w:id="194"/>
    </w:p>
    <w:p w:rsidR="003D767D" w:rsidRPr="00CA3220" w:rsidRDefault="00DE31BE" w:rsidP="00664299">
      <w:pPr>
        <w:rPr>
          <w:lang w:val="fr-CH"/>
        </w:rPr>
      </w:pPr>
      <w:r w:rsidRPr="00CA3220">
        <w:rPr>
          <w:lang w:val="fr-CH"/>
        </w:rPr>
        <w:t>Actuellement, le Brésil a une capacité de production de plus de 1</w:t>
      </w:r>
      <w:r w:rsidR="003D767D" w:rsidRPr="00CA3220">
        <w:rPr>
          <w:lang w:val="fr-CH"/>
        </w:rPr>
        <w:t>42</w:t>
      </w:r>
      <w:r w:rsidRPr="00CA3220">
        <w:rPr>
          <w:lang w:val="fr-CH"/>
        </w:rPr>
        <w:t xml:space="preserve"> GW pour plus de </w:t>
      </w:r>
      <w:r w:rsidR="003D767D" w:rsidRPr="00CA3220">
        <w:rPr>
          <w:lang w:val="fr-CH"/>
        </w:rPr>
        <w:t>75</w:t>
      </w:r>
      <w:r w:rsidRPr="00CA3220">
        <w:rPr>
          <w:lang w:val="fr-CH"/>
        </w:rPr>
        <w:t xml:space="preserve"> millions de clients. Comme le montre la Figure A4.1</w:t>
      </w:r>
      <w:r w:rsidR="003D767D" w:rsidRPr="00CA3220">
        <w:rPr>
          <w:lang w:val="fr-CH"/>
        </w:rPr>
        <w:t xml:space="preserve"> [1]</w:t>
      </w:r>
      <w:r w:rsidRPr="00CA3220">
        <w:rPr>
          <w:lang w:val="fr-CH"/>
        </w:rPr>
        <w:t xml:space="preserve">, la </w:t>
      </w:r>
      <w:r w:rsidR="003D767D" w:rsidRPr="00CA3220">
        <w:rPr>
          <w:lang w:val="fr-CH"/>
        </w:rPr>
        <w:t>consommation d'énergie au</w:t>
      </w:r>
      <w:r w:rsidRPr="00CA3220">
        <w:rPr>
          <w:lang w:val="fr-CH"/>
        </w:rPr>
        <w:t xml:space="preserve"> Brésil </w:t>
      </w:r>
      <w:r w:rsidR="00EF75D3" w:rsidRPr="00CA3220">
        <w:rPr>
          <w:lang w:val="fr-CH"/>
        </w:rPr>
        <w:t xml:space="preserve">(2014) </w:t>
      </w:r>
      <w:r w:rsidR="003D767D" w:rsidRPr="00CA3220">
        <w:rPr>
          <w:lang w:val="fr-CH"/>
        </w:rPr>
        <w:t>s'élève à environ 624,3 TWh.</w:t>
      </w:r>
    </w:p>
    <w:p w:rsidR="00DE31BE" w:rsidRPr="00CA3220" w:rsidRDefault="003D767D" w:rsidP="00664299">
      <w:pPr>
        <w:rPr>
          <w:lang w:val="fr-CH"/>
        </w:rPr>
      </w:pPr>
      <w:r w:rsidRPr="00CA3220">
        <w:rPr>
          <w:lang w:val="fr-CH"/>
        </w:rPr>
        <w:t>La part des énergies renouvelab</w:t>
      </w:r>
      <w:r w:rsidR="00EF75D3" w:rsidRPr="00CA3220">
        <w:rPr>
          <w:lang w:val="fr-CH"/>
        </w:rPr>
        <w:t>l</w:t>
      </w:r>
      <w:r w:rsidRPr="00CA3220">
        <w:rPr>
          <w:lang w:val="fr-CH"/>
        </w:rPr>
        <w:t>es dans la production totale s'élève à 76,4%, tandis que celle des énergies non renouvelables s'élève à 25,4%</w:t>
      </w:r>
      <w:r w:rsidR="00DE31BE" w:rsidRPr="00CA3220">
        <w:rPr>
          <w:lang w:val="fr-CH"/>
        </w:rPr>
        <w:t>.</w:t>
      </w:r>
    </w:p>
    <w:p w:rsidR="00DE31BE" w:rsidRPr="00CA3220" w:rsidRDefault="00DE31BE" w:rsidP="00664299">
      <w:pPr>
        <w:pStyle w:val="FigureNo"/>
        <w:rPr>
          <w:lang w:val="fr-CH"/>
        </w:rPr>
      </w:pPr>
      <w:r w:rsidRPr="00CA3220">
        <w:rPr>
          <w:lang w:val="fr-CH"/>
        </w:rPr>
        <w:t>FIGURE A4.1</w:t>
      </w:r>
    </w:p>
    <w:p w:rsidR="00DE31BE" w:rsidRPr="00CA3220" w:rsidRDefault="001514AB" w:rsidP="00664299">
      <w:pPr>
        <w:pStyle w:val="Figuretitle"/>
        <w:rPr>
          <w:lang w:val="fr-CH"/>
        </w:rPr>
      </w:pPr>
      <w:r w:rsidRPr="001514AB">
        <w:rPr>
          <w:noProof/>
          <w:lang w:val="en-GB" w:eastAsia="en-GB"/>
        </w:rPr>
        <mc:AlternateContent>
          <mc:Choice Requires="wps">
            <w:drawing>
              <wp:anchor distT="45720" distB="45720" distL="114300" distR="114300" simplePos="0" relativeHeight="251659264" behindDoc="0" locked="0" layoutInCell="1" allowOverlap="1" wp14:anchorId="0DD92EB7" wp14:editId="5FE1D714">
                <wp:simplePos x="0" y="0"/>
                <wp:positionH relativeFrom="column">
                  <wp:posOffset>1835785</wp:posOffset>
                </wp:positionH>
                <wp:positionV relativeFrom="paragraph">
                  <wp:posOffset>170815</wp:posOffset>
                </wp:positionV>
                <wp:extent cx="2360930" cy="384843"/>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4843"/>
                        </a:xfrm>
                        <a:prstGeom prst="rect">
                          <a:avLst/>
                        </a:prstGeom>
                        <a:solidFill>
                          <a:srgbClr val="FFFFFF"/>
                        </a:solidFill>
                        <a:ln w="9525">
                          <a:noFill/>
                          <a:miter lim="800000"/>
                          <a:headEnd/>
                          <a:tailEnd/>
                        </a:ln>
                      </wps:spPr>
                      <wps:txbx>
                        <w:txbxContent>
                          <w:p w:rsidR="001514AB" w:rsidRPr="001514AB" w:rsidRDefault="001514AB" w:rsidP="001514AB">
                            <w:pPr>
                              <w:jc w:val="center"/>
                              <w:rPr>
                                <w:sz w:val="18"/>
                                <w:szCs w:val="18"/>
                                <w:lang w:val="en-US"/>
                              </w:rPr>
                            </w:pPr>
                            <w:r w:rsidRPr="001514AB">
                              <w:rPr>
                                <w:sz w:val="18"/>
                                <w:szCs w:val="18"/>
                                <w:lang w:val="en-US"/>
                              </w:rPr>
                              <w:t>Consommation totale 2014: 624,3 TWh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D92EB7" id="_x0000_t202" coordsize="21600,21600" o:spt="202" path="m,l,21600r21600,l21600,xe">
                <v:stroke joinstyle="miter"/>
                <v:path gradientshapeok="t" o:connecttype="rect"/>
              </v:shapetype>
              <v:shape id="Text Box 2" o:spid="_x0000_s1026" type="#_x0000_t202" style="position:absolute;left:0;text-align:left;margin-left:144.55pt;margin-top:13.45pt;width:185.9pt;height:30.3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UdIgIAAB0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" stroked="f">
                <v:textbox>
                  <w:txbxContent>
                    <w:p w:rsidR="001514AB" w:rsidRPr="001514AB" w:rsidRDefault="001514AB" w:rsidP="001514AB">
                      <w:pPr>
                        <w:jc w:val="center"/>
                        <w:rPr>
                          <w:sz w:val="18"/>
                          <w:szCs w:val="18"/>
                          <w:lang w:val="en-US"/>
                        </w:rPr>
                      </w:pPr>
                      <w:r w:rsidRPr="001514AB">
                        <w:rPr>
                          <w:sz w:val="18"/>
                          <w:szCs w:val="18"/>
                          <w:lang w:val="en-US"/>
                        </w:rPr>
                        <w:t>Consommation totale 2014: 624</w:t>
                      </w:r>
                      <w:proofErr w:type="gramStart"/>
                      <w:r w:rsidRPr="001514AB">
                        <w:rPr>
                          <w:sz w:val="18"/>
                          <w:szCs w:val="18"/>
                          <w:lang w:val="en-US"/>
                        </w:rPr>
                        <w:t>,3</w:t>
                      </w:r>
                      <w:proofErr w:type="gramEnd"/>
                      <w:r w:rsidRPr="001514AB">
                        <w:rPr>
                          <w:sz w:val="18"/>
                          <w:szCs w:val="18"/>
                          <w:lang w:val="en-US"/>
                        </w:rPr>
                        <w:t xml:space="preserve"> TWh</w:t>
                      </w:r>
                    </w:p>
                  </w:txbxContent>
                </v:textbox>
              </v:shape>
            </w:pict>
          </mc:Fallback>
        </mc:AlternateContent>
      </w:r>
      <w:r w:rsidR="00DE31BE" w:rsidRPr="00CA3220">
        <w:rPr>
          <w:lang w:val="fr-CH"/>
        </w:rPr>
        <w:t>Capacité de production d'électricité du Brésil</w:t>
      </w:r>
    </w:p>
    <w:p w:rsidR="00DE31BE" w:rsidRPr="00CA3220" w:rsidRDefault="00A908E1" w:rsidP="00664299">
      <w:pPr>
        <w:pStyle w:val="Figure"/>
        <w:rPr>
          <w:lang w:val="fr-CH"/>
        </w:rPr>
      </w:pPr>
      <w:r w:rsidRPr="00F82129">
        <w:rPr>
          <w:noProof/>
          <w:lang w:val="en-GB" w:eastAsia="en-GB"/>
        </w:rPr>
        <mc:AlternateContent>
          <mc:Choice Requires="wps">
            <w:drawing>
              <wp:anchor distT="0" distB="0" distL="114300" distR="114300" simplePos="0" relativeHeight="251684864" behindDoc="0" locked="0" layoutInCell="1" allowOverlap="1" wp14:anchorId="302A1C5A" wp14:editId="5A8E6CE1">
                <wp:simplePos x="0" y="0"/>
                <wp:positionH relativeFrom="page">
                  <wp:posOffset>4711700</wp:posOffset>
                </wp:positionH>
                <wp:positionV relativeFrom="page">
                  <wp:posOffset>5956300</wp:posOffset>
                </wp:positionV>
                <wp:extent cx="400050" cy="2095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9550"/>
                        </a:xfrm>
                        <a:prstGeom prst="rect">
                          <a:avLst/>
                        </a:prstGeom>
                        <a:solidFill>
                          <a:srgbClr val="FFFFFF"/>
                        </a:solidFill>
                        <a:ln w="9525">
                          <a:noFill/>
                          <a:miter lim="800000"/>
                          <a:headEnd/>
                          <a:tailEnd/>
                        </a:ln>
                      </wps:spPr>
                      <wps:txbx>
                        <w:txbxContent>
                          <w:p w:rsidR="00A908E1" w:rsidRPr="00A908E1" w:rsidRDefault="00A908E1" w:rsidP="00A908E1">
                            <w:pPr>
                              <w:spacing w:before="0"/>
                              <w:jc w:val="center"/>
                              <w:rPr>
                                <w:sz w:val="12"/>
                                <w:szCs w:val="12"/>
                                <w:lang w:val="fr-CH"/>
                              </w:rPr>
                            </w:pPr>
                            <w:r>
                              <w:rPr>
                                <w:sz w:val="12"/>
                                <w:szCs w:val="12"/>
                                <w:lang w:val="fr-CH"/>
                              </w:rPr>
                              <w:t>Biomasse</w:t>
                            </w:r>
                            <w:r>
                              <w:rPr>
                                <w:sz w:val="12"/>
                                <w:szCs w:val="12"/>
                                <w:lang w:val="fr-CH"/>
                              </w:rPr>
                              <w:br/>
                              <w:t>7%</w:t>
                            </w:r>
                            <w:r w:rsidRPr="00A908E1">
                              <w:rPr>
                                <w:sz w:val="12"/>
                                <w:szCs w:val="12"/>
                                <w:lang w:val="fr-CH"/>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A1C5A" id="_x0000_s1027" type="#_x0000_t202" style="position:absolute;left:0;text-align:left;margin-left:371pt;margin-top:469pt;width:31.5pt;height:1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" stroked="f">
                <v:textbox inset="0,0,0,0">
                  <w:txbxContent>
                    <w:p w:rsidR="00A908E1" w:rsidRPr="00A908E1" w:rsidRDefault="00A908E1" w:rsidP="00A908E1">
                      <w:pPr>
                        <w:spacing w:before="0"/>
                        <w:jc w:val="center"/>
                        <w:rPr>
                          <w:sz w:val="12"/>
                          <w:szCs w:val="12"/>
                          <w:lang w:val="fr-CH"/>
                        </w:rPr>
                      </w:pPr>
                      <w:r>
                        <w:rPr>
                          <w:sz w:val="12"/>
                          <w:szCs w:val="12"/>
                          <w:lang w:val="fr-CH"/>
                        </w:rPr>
                        <w:t>Biomasse</w:t>
                      </w:r>
                      <w:r>
                        <w:rPr>
                          <w:sz w:val="12"/>
                          <w:szCs w:val="12"/>
                          <w:lang w:val="fr-CH"/>
                        </w:rPr>
                        <w:br/>
                        <w:t>7%</w:t>
                      </w:r>
                      <w:r w:rsidRPr="00A908E1">
                        <w:rPr>
                          <w:sz w:val="12"/>
                          <w:szCs w:val="12"/>
                          <w:lang w:val="fr-CH"/>
                        </w:rPr>
                        <w:t xml:space="preserve"> </w:t>
                      </w:r>
                    </w:p>
                  </w:txbxContent>
                </v:textbox>
                <w10:wrap anchorx="page" anchory="page"/>
              </v:shape>
            </w:pict>
          </mc:Fallback>
        </mc:AlternateContent>
      </w:r>
      <w:r w:rsidRPr="00F82129">
        <w:rPr>
          <w:noProof/>
          <w:lang w:val="en-GB" w:eastAsia="en-GB"/>
        </w:rPr>
        <mc:AlternateContent>
          <mc:Choice Requires="wps">
            <w:drawing>
              <wp:anchor distT="0" distB="0" distL="114300" distR="114300" simplePos="0" relativeHeight="251682816" behindDoc="0" locked="0" layoutInCell="1" allowOverlap="1" wp14:anchorId="12329023" wp14:editId="38D03980">
                <wp:simplePos x="0" y="0"/>
                <wp:positionH relativeFrom="page">
                  <wp:posOffset>4997450</wp:posOffset>
                </wp:positionH>
                <wp:positionV relativeFrom="page">
                  <wp:posOffset>5848350</wp:posOffset>
                </wp:positionV>
                <wp:extent cx="412750" cy="120650"/>
                <wp:effectExtent l="0" t="0" r="635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20650"/>
                        </a:xfrm>
                        <a:prstGeom prst="rect">
                          <a:avLst/>
                        </a:prstGeom>
                        <a:solidFill>
                          <a:srgbClr val="FFFFFF"/>
                        </a:solidFill>
                        <a:ln w="9525">
                          <a:noFill/>
                          <a:miter lim="800000"/>
                          <a:headEnd/>
                          <a:tailEnd/>
                        </a:ln>
                      </wps:spPr>
                      <wps:txbx>
                        <w:txbxContent>
                          <w:p w:rsidR="00A908E1" w:rsidRPr="00A908E1" w:rsidRDefault="00A908E1" w:rsidP="00A908E1">
                            <w:pPr>
                              <w:spacing w:before="0"/>
                              <w:jc w:val="center"/>
                              <w:rPr>
                                <w:sz w:val="12"/>
                                <w:szCs w:val="12"/>
                                <w:lang w:val="fr-CH"/>
                              </w:rPr>
                            </w:pPr>
                            <w:r>
                              <w:rPr>
                                <w:sz w:val="12"/>
                                <w:szCs w:val="12"/>
                                <w:lang w:val="fr-CH"/>
                              </w:rPr>
                              <w:t>Eolien</w:t>
                            </w:r>
                            <w:r w:rsidRPr="00A908E1">
                              <w:rPr>
                                <w:sz w:val="12"/>
                                <w:szCs w:val="12"/>
                                <w:lang w:val="fr-CH"/>
                              </w:rPr>
                              <w:t xml:space="preserve"> </w:t>
                            </w:r>
                            <w:r>
                              <w:rPr>
                                <w:sz w:val="12"/>
                                <w:szCs w:val="12"/>
                                <w:lang w:val="fr-CH"/>
                              </w:rPr>
                              <w:t>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9023" id="_x0000_s1028" type="#_x0000_t202" style="position:absolute;left:0;text-align:left;margin-left:393.5pt;margin-top:460.5pt;width:32.5pt;height: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" stroked="f">
                <v:textbox inset="0,0,0,0">
                  <w:txbxContent>
                    <w:p w:rsidR="00A908E1" w:rsidRPr="00A908E1" w:rsidRDefault="00A908E1" w:rsidP="00A908E1">
                      <w:pPr>
                        <w:spacing w:before="0"/>
                        <w:jc w:val="center"/>
                        <w:rPr>
                          <w:sz w:val="12"/>
                          <w:szCs w:val="12"/>
                          <w:lang w:val="fr-CH"/>
                        </w:rPr>
                      </w:pPr>
                      <w:r>
                        <w:rPr>
                          <w:sz w:val="12"/>
                          <w:szCs w:val="12"/>
                          <w:lang w:val="fr-CH"/>
                        </w:rPr>
                        <w:t>Eolien</w:t>
                      </w:r>
                      <w:r w:rsidRPr="00A908E1">
                        <w:rPr>
                          <w:sz w:val="12"/>
                          <w:szCs w:val="12"/>
                          <w:lang w:val="fr-CH"/>
                        </w:rPr>
                        <w:t xml:space="preserve"> </w:t>
                      </w:r>
                      <w:r>
                        <w:rPr>
                          <w:sz w:val="12"/>
                          <w:szCs w:val="12"/>
                          <w:lang w:val="fr-CH"/>
                        </w:rPr>
                        <w:t>2,6%</w:t>
                      </w:r>
                    </w:p>
                  </w:txbxContent>
                </v:textbox>
                <w10:wrap anchorx="page" anchory="page"/>
              </v:shape>
            </w:pict>
          </mc:Fallback>
        </mc:AlternateContent>
      </w:r>
      <w:r w:rsidRPr="00F82129">
        <w:rPr>
          <w:noProof/>
          <w:lang w:val="en-GB" w:eastAsia="en-GB"/>
        </w:rPr>
        <mc:AlternateContent>
          <mc:Choice Requires="wps">
            <w:drawing>
              <wp:anchor distT="0" distB="0" distL="114300" distR="114300" simplePos="0" relativeHeight="251680768" behindDoc="0" locked="0" layoutInCell="1" allowOverlap="1" wp14:anchorId="545886A6" wp14:editId="63326179">
                <wp:simplePos x="0" y="0"/>
                <wp:positionH relativeFrom="page">
                  <wp:posOffset>5499100</wp:posOffset>
                </wp:positionH>
                <wp:positionV relativeFrom="page">
                  <wp:posOffset>5816600</wp:posOffset>
                </wp:positionV>
                <wp:extent cx="298450" cy="127000"/>
                <wp:effectExtent l="0" t="0" r="635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27000"/>
                        </a:xfrm>
                        <a:prstGeom prst="rect">
                          <a:avLst/>
                        </a:prstGeom>
                        <a:solidFill>
                          <a:srgbClr val="FFFFFF"/>
                        </a:solidFill>
                        <a:ln w="9525">
                          <a:noFill/>
                          <a:miter lim="800000"/>
                          <a:headEnd/>
                          <a:tailEnd/>
                        </a:ln>
                      </wps:spPr>
                      <wps:txbx>
                        <w:txbxContent>
                          <w:p w:rsidR="00A908E1" w:rsidRPr="00A908E1" w:rsidRDefault="00A908E1" w:rsidP="00A908E1">
                            <w:pPr>
                              <w:spacing w:before="0"/>
                              <w:jc w:val="center"/>
                              <w:rPr>
                                <w:sz w:val="12"/>
                                <w:szCs w:val="12"/>
                                <w:lang w:val="fr-CH"/>
                              </w:rPr>
                            </w:pPr>
                            <w:r>
                              <w:rPr>
                                <w:sz w:val="12"/>
                                <w:szCs w:val="12"/>
                                <w:lang w:val="fr-CH"/>
                              </w:rPr>
                              <w:t>Solaire</w:t>
                            </w:r>
                            <w:r w:rsidRPr="00A908E1">
                              <w:rPr>
                                <w:sz w:val="12"/>
                                <w:szCs w:val="12"/>
                                <w:lang w:val="fr-CH"/>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886A6" id="_x0000_s1029" type="#_x0000_t202" style="position:absolute;left:0;text-align:left;margin-left:433pt;margin-top:458pt;width:23.5pt;height:10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" stroked="f">
                <v:textbox inset="0,0,0,0">
                  <w:txbxContent>
                    <w:p w:rsidR="00A908E1" w:rsidRPr="00A908E1" w:rsidRDefault="00A908E1" w:rsidP="00A908E1">
                      <w:pPr>
                        <w:spacing w:before="0"/>
                        <w:jc w:val="center"/>
                        <w:rPr>
                          <w:sz w:val="12"/>
                          <w:szCs w:val="12"/>
                          <w:lang w:val="fr-CH"/>
                        </w:rPr>
                      </w:pPr>
                      <w:r>
                        <w:rPr>
                          <w:sz w:val="12"/>
                          <w:szCs w:val="12"/>
                          <w:lang w:val="fr-CH"/>
                        </w:rPr>
                        <w:t>Solaire</w:t>
                      </w:r>
                      <w:r w:rsidRPr="00A908E1">
                        <w:rPr>
                          <w:sz w:val="12"/>
                          <w:szCs w:val="12"/>
                          <w:lang w:val="fr-CH"/>
                        </w:rPr>
                        <w:t xml:space="preserve"> </w:t>
                      </w:r>
                    </w:p>
                  </w:txbxContent>
                </v:textbox>
                <w10:wrap anchorx="page" anchory="page"/>
              </v:shape>
            </w:pict>
          </mc:Fallback>
        </mc:AlternateContent>
      </w:r>
      <w:r w:rsidRPr="00F82129">
        <w:rPr>
          <w:noProof/>
          <w:lang w:val="en-GB" w:eastAsia="en-GB"/>
        </w:rPr>
        <mc:AlternateContent>
          <mc:Choice Requires="wps">
            <w:drawing>
              <wp:anchor distT="0" distB="0" distL="114300" distR="114300" simplePos="0" relativeHeight="251678720" behindDoc="0" locked="0" layoutInCell="1" allowOverlap="1" wp14:anchorId="14BFB970" wp14:editId="1A39B9A2">
                <wp:simplePos x="0" y="0"/>
                <wp:positionH relativeFrom="page">
                  <wp:posOffset>6089650</wp:posOffset>
                </wp:positionH>
                <wp:positionV relativeFrom="page">
                  <wp:posOffset>5842000</wp:posOffset>
                </wp:positionV>
                <wp:extent cx="298450" cy="127000"/>
                <wp:effectExtent l="0" t="0" r="635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27000"/>
                        </a:xfrm>
                        <a:prstGeom prst="rect">
                          <a:avLst/>
                        </a:prstGeom>
                        <a:solidFill>
                          <a:srgbClr val="FFFFFF"/>
                        </a:solidFill>
                        <a:ln w="9525">
                          <a:noFill/>
                          <a:miter lim="800000"/>
                          <a:headEnd/>
                          <a:tailEnd/>
                        </a:ln>
                      </wps:spPr>
                      <wps:txbx>
                        <w:txbxContent>
                          <w:p w:rsidR="00A908E1" w:rsidRPr="00A908E1" w:rsidRDefault="00A908E1" w:rsidP="00A908E1">
                            <w:pPr>
                              <w:spacing w:before="0"/>
                              <w:jc w:val="center"/>
                              <w:rPr>
                                <w:sz w:val="12"/>
                                <w:szCs w:val="12"/>
                                <w:lang w:val="fr-CH"/>
                              </w:rPr>
                            </w:pPr>
                            <w:r w:rsidRPr="00A908E1">
                              <w:rPr>
                                <w:sz w:val="12"/>
                                <w:szCs w:val="12"/>
                                <w:lang w:val="fr-CH"/>
                              </w:rPr>
                              <w:t xml:space="preserve">Autres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FB970" id="_x0000_s1030" type="#_x0000_t202" style="position:absolute;left:0;text-align:left;margin-left:479.5pt;margin-top:460pt;width:23.5pt;height:10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" stroked="f">
                <v:textbox inset="0,0,0,0">
                  <w:txbxContent>
                    <w:p w:rsidR="00A908E1" w:rsidRPr="00A908E1" w:rsidRDefault="00A908E1" w:rsidP="00A908E1">
                      <w:pPr>
                        <w:spacing w:before="0"/>
                        <w:jc w:val="center"/>
                        <w:rPr>
                          <w:sz w:val="12"/>
                          <w:szCs w:val="12"/>
                          <w:lang w:val="fr-CH"/>
                        </w:rPr>
                      </w:pPr>
                      <w:r w:rsidRPr="00A908E1">
                        <w:rPr>
                          <w:sz w:val="12"/>
                          <w:szCs w:val="12"/>
                          <w:lang w:val="fr-CH"/>
                        </w:rPr>
                        <w:t xml:space="preserve">Autres </w:t>
                      </w:r>
                    </w:p>
                  </w:txbxContent>
                </v:textbox>
                <w10:wrap anchorx="page" anchory="page"/>
              </v:shape>
            </w:pict>
          </mc:Fallback>
        </mc:AlternateContent>
      </w:r>
      <w:r w:rsidRPr="00F82129">
        <w:rPr>
          <w:noProof/>
          <w:lang w:val="en-GB" w:eastAsia="en-GB"/>
        </w:rPr>
        <mc:AlternateContent>
          <mc:Choice Requires="wps">
            <w:drawing>
              <wp:anchor distT="0" distB="0" distL="114300" distR="114300" simplePos="0" relativeHeight="251676672" behindDoc="0" locked="0" layoutInCell="1" allowOverlap="1" wp14:anchorId="6D0045D4" wp14:editId="3E83CD14">
                <wp:simplePos x="0" y="0"/>
                <wp:positionH relativeFrom="page">
                  <wp:posOffset>838200</wp:posOffset>
                </wp:positionH>
                <wp:positionV relativeFrom="page">
                  <wp:posOffset>5918200</wp:posOffset>
                </wp:positionV>
                <wp:extent cx="469900" cy="24765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47650"/>
                        </a:xfrm>
                        <a:prstGeom prst="rect">
                          <a:avLst/>
                        </a:prstGeom>
                        <a:solidFill>
                          <a:srgbClr val="FFFFFF"/>
                        </a:solidFill>
                        <a:ln w="9525">
                          <a:noFill/>
                          <a:miter lim="800000"/>
                          <a:headEnd/>
                          <a:tailEnd/>
                        </a:ln>
                      </wps:spPr>
                      <wps:txbx>
                        <w:txbxContent>
                          <w:p w:rsidR="00A908E1" w:rsidRPr="00A908E1" w:rsidRDefault="00A908E1" w:rsidP="00F82129">
                            <w:pPr>
                              <w:spacing w:before="0"/>
                              <w:jc w:val="center"/>
                              <w:rPr>
                                <w:sz w:val="14"/>
                                <w:szCs w:val="14"/>
                                <w:lang w:val="fr-CH"/>
                              </w:rPr>
                            </w:pPr>
                            <w:r>
                              <w:rPr>
                                <w:sz w:val="14"/>
                                <w:szCs w:val="14"/>
                                <w:lang w:val="fr-CH"/>
                              </w:rPr>
                              <w:t>Charbon de</w:t>
                            </w:r>
                            <w:r>
                              <w:rPr>
                                <w:sz w:val="14"/>
                                <w:szCs w:val="14"/>
                                <w:lang w:val="fr-CH"/>
                              </w:rPr>
                              <w:br/>
                              <w:t>bois</w:t>
                            </w:r>
                            <w:r w:rsidRPr="00A908E1">
                              <w:rPr>
                                <w:sz w:val="14"/>
                                <w:szCs w:val="14"/>
                                <w:lang w:val="fr-CH"/>
                              </w:rPr>
                              <w:t xml:space="preserve">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045D4" id="_x0000_s1031" type="#_x0000_t202" style="position:absolute;left:0;text-align:left;margin-left:66pt;margin-top:466pt;width:37pt;height:1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" stroked="f">
                <v:textbox inset="0,0,0,0">
                  <w:txbxContent>
                    <w:p w:rsidR="00A908E1" w:rsidRPr="00A908E1" w:rsidRDefault="00A908E1" w:rsidP="00F82129">
                      <w:pPr>
                        <w:spacing w:before="0"/>
                        <w:jc w:val="center"/>
                        <w:rPr>
                          <w:sz w:val="14"/>
                          <w:szCs w:val="14"/>
                          <w:lang w:val="fr-CH"/>
                        </w:rPr>
                      </w:pPr>
                      <w:r>
                        <w:rPr>
                          <w:sz w:val="14"/>
                          <w:szCs w:val="14"/>
                          <w:lang w:val="fr-CH"/>
                        </w:rPr>
                        <w:t>Charbon de</w:t>
                      </w:r>
                      <w:r>
                        <w:rPr>
                          <w:sz w:val="14"/>
                          <w:szCs w:val="14"/>
                          <w:lang w:val="fr-CH"/>
                        </w:rPr>
                        <w:br/>
                        <w:t>bois</w:t>
                      </w:r>
                      <w:r w:rsidRPr="00A908E1">
                        <w:rPr>
                          <w:sz w:val="14"/>
                          <w:szCs w:val="14"/>
                          <w:lang w:val="fr-CH"/>
                        </w:rPr>
                        <w:t xml:space="preserve"> 10%</w:t>
                      </w:r>
                    </w:p>
                  </w:txbxContent>
                </v:textbox>
                <w10:wrap anchorx="page" anchory="page"/>
              </v:shape>
            </w:pict>
          </mc:Fallback>
        </mc:AlternateContent>
      </w:r>
      <w:r w:rsidRPr="00F82129">
        <w:rPr>
          <w:noProof/>
          <w:lang w:val="en-GB" w:eastAsia="en-GB"/>
        </w:rPr>
        <mc:AlternateContent>
          <mc:Choice Requires="wps">
            <w:drawing>
              <wp:anchor distT="0" distB="0" distL="114300" distR="114300" simplePos="0" relativeHeight="251674624" behindDoc="0" locked="0" layoutInCell="1" allowOverlap="1" wp14:anchorId="035CF2BF" wp14:editId="1FD93B24">
                <wp:simplePos x="0" y="0"/>
                <wp:positionH relativeFrom="page">
                  <wp:posOffset>1441450</wp:posOffset>
                </wp:positionH>
                <wp:positionV relativeFrom="page">
                  <wp:posOffset>5842000</wp:posOffset>
                </wp:positionV>
                <wp:extent cx="660400" cy="196850"/>
                <wp:effectExtent l="0" t="0" r="635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96850"/>
                        </a:xfrm>
                        <a:prstGeom prst="rect">
                          <a:avLst/>
                        </a:prstGeom>
                        <a:solidFill>
                          <a:srgbClr val="FFFFFF"/>
                        </a:solidFill>
                        <a:ln w="9525">
                          <a:noFill/>
                          <a:miter lim="800000"/>
                          <a:headEnd/>
                          <a:tailEnd/>
                        </a:ln>
                      </wps:spPr>
                      <wps:txbx>
                        <w:txbxContent>
                          <w:p w:rsidR="00A908E1" w:rsidRPr="00A908E1" w:rsidRDefault="00A908E1" w:rsidP="00F82129">
                            <w:pPr>
                              <w:spacing w:before="0"/>
                              <w:jc w:val="center"/>
                              <w:rPr>
                                <w:sz w:val="14"/>
                                <w:szCs w:val="14"/>
                                <w:lang w:val="fr-CH"/>
                              </w:rPr>
                            </w:pPr>
                            <w:r w:rsidRPr="00A908E1">
                              <w:rPr>
                                <w:sz w:val="14"/>
                                <w:szCs w:val="14"/>
                                <w:lang w:val="fr-CH"/>
                              </w:rPr>
                              <w:t>Nucléaire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CF2BF" id="_x0000_s1032" type="#_x0000_t202" style="position:absolute;left:0;text-align:left;margin-left:113.5pt;margin-top:460pt;width:52pt;height:1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" stroked="f">
                <v:textbox inset="0,0,0,0">
                  <w:txbxContent>
                    <w:p w:rsidR="00A908E1" w:rsidRPr="00A908E1" w:rsidRDefault="00A908E1" w:rsidP="00F82129">
                      <w:pPr>
                        <w:spacing w:before="0"/>
                        <w:jc w:val="center"/>
                        <w:rPr>
                          <w:sz w:val="14"/>
                          <w:szCs w:val="14"/>
                          <w:lang w:val="fr-CH"/>
                        </w:rPr>
                      </w:pPr>
                      <w:r w:rsidRPr="00A908E1">
                        <w:rPr>
                          <w:sz w:val="14"/>
                          <w:szCs w:val="14"/>
                          <w:lang w:val="fr-CH"/>
                        </w:rPr>
                        <w:t>Nucléaire 10%</w:t>
                      </w:r>
                    </w:p>
                  </w:txbxContent>
                </v:textbox>
                <w10:wrap anchorx="page" anchory="page"/>
              </v:shape>
            </w:pict>
          </mc:Fallback>
        </mc:AlternateContent>
      </w:r>
      <w:r w:rsidR="00751017" w:rsidRPr="00F82129">
        <w:rPr>
          <w:noProof/>
          <w:lang w:val="en-GB" w:eastAsia="en-GB"/>
        </w:rPr>
        <mc:AlternateContent>
          <mc:Choice Requires="wps">
            <w:drawing>
              <wp:anchor distT="0" distB="0" distL="114300" distR="114300" simplePos="0" relativeHeight="251672576" behindDoc="0" locked="0" layoutInCell="1" allowOverlap="1" wp14:anchorId="3BEE8C0B" wp14:editId="497F4F79">
                <wp:simplePos x="0" y="0"/>
                <wp:positionH relativeFrom="page">
                  <wp:posOffset>1181100</wp:posOffset>
                </wp:positionH>
                <wp:positionV relativeFrom="page">
                  <wp:posOffset>6356350</wp:posOffset>
                </wp:positionV>
                <wp:extent cx="361950" cy="2476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chemeClr val="accent2"/>
                        </a:solidFill>
                        <a:ln w="9525">
                          <a:noFill/>
                          <a:miter lim="800000"/>
                          <a:headEnd/>
                          <a:tailEnd/>
                        </a:ln>
                      </wps:spPr>
                      <wps:txbx>
                        <w:txbxContent>
                          <w:p w:rsidR="00751017" w:rsidRPr="00751017" w:rsidRDefault="00751017" w:rsidP="00751017">
                            <w:pPr>
                              <w:spacing w:before="0"/>
                              <w:jc w:val="center"/>
                              <w:rPr>
                                <w:color w:val="FFFFFF" w:themeColor="background1"/>
                                <w:sz w:val="12"/>
                                <w:szCs w:val="12"/>
                                <w:lang w:val="fr-CH"/>
                              </w:rPr>
                            </w:pPr>
                            <w:r w:rsidRPr="00751017">
                              <w:rPr>
                                <w:color w:val="FFFFFF" w:themeColor="background1"/>
                                <w:sz w:val="12"/>
                                <w:szCs w:val="12"/>
                                <w:lang w:val="fr-CH"/>
                              </w:rPr>
                              <w:t>Pétrole</w:t>
                            </w:r>
                            <w:r w:rsidRPr="00751017">
                              <w:rPr>
                                <w:color w:val="FFFFFF" w:themeColor="background1"/>
                                <w:sz w:val="12"/>
                                <w:szCs w:val="12"/>
                                <w:lang w:val="fr-CH"/>
                              </w:rPr>
                              <w:br/>
                              <w:t>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E8C0B" id="Text Box 9" o:spid="_x0000_s1033" type="#_x0000_t202" style="position:absolute;left:0;text-align:left;margin-left:93pt;margin-top:500.5pt;width:28.5pt;height:1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" fillcolor="#c0504d [3205]" stroked="f">
                <v:textbox inset="0,0,0,0">
                  <w:txbxContent>
                    <w:p w:rsidR="00751017" w:rsidRPr="00751017" w:rsidRDefault="00751017" w:rsidP="00751017">
                      <w:pPr>
                        <w:spacing w:before="0"/>
                        <w:jc w:val="center"/>
                        <w:rPr>
                          <w:color w:val="FFFFFF" w:themeColor="background1"/>
                          <w:sz w:val="12"/>
                          <w:szCs w:val="12"/>
                          <w:lang w:val="fr-CH"/>
                        </w:rPr>
                      </w:pPr>
                      <w:r w:rsidRPr="00751017">
                        <w:rPr>
                          <w:color w:val="FFFFFF" w:themeColor="background1"/>
                          <w:sz w:val="12"/>
                          <w:szCs w:val="12"/>
                          <w:lang w:val="fr-CH"/>
                        </w:rPr>
                        <w:t>Pétrole</w:t>
                      </w:r>
                      <w:r w:rsidRPr="00751017">
                        <w:rPr>
                          <w:color w:val="FFFFFF" w:themeColor="background1"/>
                          <w:sz w:val="12"/>
                          <w:szCs w:val="12"/>
                          <w:lang w:val="fr-CH"/>
                        </w:rPr>
                        <w:br/>
                        <w:t>20%</w:t>
                      </w:r>
                    </w:p>
                  </w:txbxContent>
                </v:textbox>
                <w10:wrap anchorx="page" anchory="page"/>
              </v:shape>
            </w:pict>
          </mc:Fallback>
        </mc:AlternateContent>
      </w:r>
      <w:r w:rsidR="00751017" w:rsidRPr="00F82129">
        <w:rPr>
          <w:noProof/>
          <w:lang w:val="en-GB" w:eastAsia="en-GB"/>
        </w:rPr>
        <mc:AlternateContent>
          <mc:Choice Requires="wps">
            <w:drawing>
              <wp:anchor distT="0" distB="0" distL="114300" distR="114300" simplePos="0" relativeHeight="251670528" behindDoc="0" locked="0" layoutInCell="1" allowOverlap="1" wp14:anchorId="08675400" wp14:editId="7F0E33BA">
                <wp:simplePos x="0" y="0"/>
                <wp:positionH relativeFrom="page">
                  <wp:posOffset>2946400</wp:posOffset>
                </wp:positionH>
                <wp:positionV relativeFrom="page">
                  <wp:posOffset>5758180</wp:posOffset>
                </wp:positionV>
                <wp:extent cx="730250" cy="247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47650"/>
                        </a:xfrm>
                        <a:prstGeom prst="rect">
                          <a:avLst/>
                        </a:prstGeom>
                        <a:solidFill>
                          <a:schemeClr val="accent2"/>
                        </a:solidFill>
                        <a:ln w="9525">
                          <a:noFill/>
                          <a:miter lim="800000"/>
                          <a:headEnd/>
                          <a:tailEnd/>
                        </a:ln>
                      </wps:spPr>
                      <wps:txbx>
                        <w:txbxContent>
                          <w:p w:rsidR="00751017" w:rsidRPr="00751017" w:rsidRDefault="00751017" w:rsidP="00751017">
                            <w:pPr>
                              <w:spacing w:before="0"/>
                              <w:jc w:val="center"/>
                              <w:rPr>
                                <w:sz w:val="12"/>
                                <w:szCs w:val="12"/>
                                <w:lang w:val="fr-CH"/>
                              </w:rPr>
                            </w:pPr>
                            <w:r w:rsidRPr="00751017">
                              <w:rPr>
                                <w:color w:val="FFFFFF" w:themeColor="background1"/>
                                <w:sz w:val="12"/>
                                <w:szCs w:val="12"/>
                                <w:lang w:val="fr-CH"/>
                              </w:rPr>
                              <w:t>Sources d'énergies non renouvelables</w:t>
                            </w:r>
                            <w:r w:rsidRPr="00751017">
                              <w:rPr>
                                <w:color w:val="FFFFFF" w:themeColor="background1"/>
                                <w:sz w:val="12"/>
                                <w:szCs w:val="12"/>
                                <w:lang w:val="fr-CH"/>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75400" id="Text Box 8" o:spid="_x0000_s1034" type="#_x0000_t202" style="position:absolute;left:0;text-align:left;margin-left:232pt;margin-top:453.4pt;width:57.5pt;height:1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" fillcolor="#c0504d [3205]" stroked="f">
                <v:textbox inset="0,0,0,0">
                  <w:txbxContent>
                    <w:p w:rsidR="00751017" w:rsidRPr="00751017" w:rsidRDefault="00751017" w:rsidP="00751017">
                      <w:pPr>
                        <w:spacing w:before="0"/>
                        <w:jc w:val="center"/>
                        <w:rPr>
                          <w:sz w:val="12"/>
                          <w:szCs w:val="12"/>
                          <w:lang w:val="fr-CH"/>
                        </w:rPr>
                      </w:pPr>
                      <w:r w:rsidRPr="00751017">
                        <w:rPr>
                          <w:color w:val="FFFFFF" w:themeColor="background1"/>
                          <w:sz w:val="12"/>
                          <w:szCs w:val="12"/>
                          <w:lang w:val="fr-CH"/>
                        </w:rPr>
                        <w:t>Sources d'énergies non renouvelables</w:t>
                      </w:r>
                      <w:r w:rsidRPr="00751017">
                        <w:rPr>
                          <w:color w:val="FFFFFF" w:themeColor="background1"/>
                          <w:sz w:val="12"/>
                          <w:szCs w:val="12"/>
                          <w:lang w:val="fr-CH"/>
                        </w:rPr>
                        <w:br/>
                      </w:r>
                    </w:p>
                  </w:txbxContent>
                </v:textbox>
                <w10:wrap anchorx="page" anchory="page"/>
              </v:shape>
            </w:pict>
          </mc:Fallback>
        </mc:AlternateContent>
      </w:r>
      <w:r w:rsidR="00F82129" w:rsidRPr="00F82129">
        <w:rPr>
          <w:noProof/>
          <w:lang w:val="en-GB" w:eastAsia="en-GB"/>
        </w:rPr>
        <mc:AlternateContent>
          <mc:Choice Requires="wps">
            <w:drawing>
              <wp:anchor distT="0" distB="0" distL="114300" distR="114300" simplePos="0" relativeHeight="251668480" behindDoc="0" locked="0" layoutInCell="1" allowOverlap="1" wp14:anchorId="7F5ADDD0" wp14:editId="5BFC681A">
                <wp:simplePos x="0" y="0"/>
                <wp:positionH relativeFrom="page">
                  <wp:posOffset>2006600</wp:posOffset>
                </wp:positionH>
                <wp:positionV relativeFrom="page">
                  <wp:posOffset>6407150</wp:posOffset>
                </wp:positionV>
                <wp:extent cx="488950" cy="298450"/>
                <wp:effectExtent l="0" t="0" r="635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98450"/>
                        </a:xfrm>
                        <a:prstGeom prst="rect">
                          <a:avLst/>
                        </a:prstGeom>
                        <a:solidFill>
                          <a:schemeClr val="accent1"/>
                        </a:solidFill>
                        <a:ln w="9525">
                          <a:noFill/>
                          <a:miter lim="800000"/>
                          <a:headEnd/>
                          <a:tailEnd/>
                        </a:ln>
                      </wps:spPr>
                      <wps:txbx>
                        <w:txbxContent>
                          <w:p w:rsidR="00F82129" w:rsidRPr="00F82129" w:rsidRDefault="00F82129" w:rsidP="00F82129">
                            <w:pPr>
                              <w:spacing w:before="0"/>
                              <w:jc w:val="center"/>
                              <w:rPr>
                                <w:sz w:val="14"/>
                                <w:szCs w:val="14"/>
                                <w:lang w:val="fr-CH"/>
                              </w:rPr>
                            </w:pPr>
                            <w:r w:rsidRPr="00F82129">
                              <w:rPr>
                                <w:sz w:val="14"/>
                                <w:szCs w:val="14"/>
                                <w:lang w:val="fr-CH"/>
                              </w:rPr>
                              <w:t>Gaz naturel 58%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ADDD0" id="Text Box 6" o:spid="_x0000_s1035" type="#_x0000_t202" style="position:absolute;left:0;text-align:left;margin-left:158pt;margin-top:504.5pt;width:38.5pt;height:2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" fillcolor="#4f81bd [3204]" stroked="f">
                <v:textbox inset="0,0,0,0">
                  <w:txbxContent>
                    <w:p w:rsidR="00F82129" w:rsidRPr="00F82129" w:rsidRDefault="00F82129" w:rsidP="00F82129">
                      <w:pPr>
                        <w:spacing w:before="0"/>
                        <w:jc w:val="center"/>
                        <w:rPr>
                          <w:sz w:val="14"/>
                          <w:szCs w:val="14"/>
                          <w:lang w:val="fr-CH"/>
                        </w:rPr>
                      </w:pPr>
                      <w:r w:rsidRPr="00F82129">
                        <w:rPr>
                          <w:sz w:val="14"/>
                          <w:szCs w:val="14"/>
                          <w:lang w:val="fr-CH"/>
                        </w:rPr>
                        <w:t>Gaz naturel 58%</w:t>
                      </w:r>
                    </w:p>
                  </w:txbxContent>
                </v:textbox>
                <w10:wrap anchorx="page" anchory="page"/>
              </v:shape>
            </w:pict>
          </mc:Fallback>
        </mc:AlternateContent>
      </w:r>
      <w:r w:rsidR="00F82129" w:rsidRPr="00F82129">
        <w:rPr>
          <w:noProof/>
          <w:lang w:val="en-GB" w:eastAsia="en-GB"/>
        </w:rPr>
        <mc:AlternateContent>
          <mc:Choice Requires="wps">
            <w:drawing>
              <wp:anchor distT="0" distB="0" distL="114300" distR="114300" simplePos="0" relativeHeight="251666432" behindDoc="0" locked="0" layoutInCell="1" allowOverlap="1" wp14:anchorId="3990AABA" wp14:editId="7DF285D2">
                <wp:simplePos x="0" y="0"/>
                <wp:positionH relativeFrom="page">
                  <wp:posOffset>5365750</wp:posOffset>
                </wp:positionH>
                <wp:positionV relativeFrom="page">
                  <wp:posOffset>6515100</wp:posOffset>
                </wp:positionV>
                <wp:extent cx="825500" cy="190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90500"/>
                        </a:xfrm>
                        <a:prstGeom prst="rect">
                          <a:avLst/>
                        </a:prstGeom>
                        <a:solidFill>
                          <a:schemeClr val="accent1"/>
                        </a:solidFill>
                        <a:ln w="9525">
                          <a:noFill/>
                          <a:miter lim="800000"/>
                          <a:headEnd/>
                          <a:tailEnd/>
                        </a:ln>
                      </wps:spPr>
                      <wps:txbx>
                        <w:txbxContent>
                          <w:p w:rsidR="00F82129" w:rsidRPr="00F82129" w:rsidRDefault="00F82129" w:rsidP="00F82129">
                            <w:pPr>
                              <w:spacing w:before="0"/>
                              <w:jc w:val="center"/>
                              <w:rPr>
                                <w:sz w:val="14"/>
                                <w:szCs w:val="14"/>
                                <w:lang w:val="fr-CH"/>
                              </w:rPr>
                            </w:pPr>
                            <w:r w:rsidRPr="00F82129">
                              <w:rPr>
                                <w:sz w:val="14"/>
                                <w:szCs w:val="14"/>
                                <w:lang w:val="fr-CH"/>
                              </w:rPr>
                              <w:t>Hydraulique 88%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0AABA" id="Text Box 5" o:spid="_x0000_s1036" type="#_x0000_t202" style="position:absolute;left:0;text-align:left;margin-left:422.5pt;margin-top:513pt;width:65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" fillcolor="#4f81bd [3204]" stroked="f">
                <v:textbox inset="0,0,0,0">
                  <w:txbxContent>
                    <w:p w:rsidR="00F82129" w:rsidRPr="00F82129" w:rsidRDefault="00F82129" w:rsidP="00F82129">
                      <w:pPr>
                        <w:spacing w:before="0"/>
                        <w:jc w:val="center"/>
                        <w:rPr>
                          <w:sz w:val="14"/>
                          <w:szCs w:val="14"/>
                          <w:lang w:val="fr-CH"/>
                        </w:rPr>
                      </w:pPr>
                      <w:r w:rsidRPr="00F82129">
                        <w:rPr>
                          <w:sz w:val="14"/>
                          <w:szCs w:val="14"/>
                          <w:lang w:val="fr-CH"/>
                        </w:rPr>
                        <w:t>Hydraulique 88%</w:t>
                      </w:r>
                    </w:p>
                  </w:txbxContent>
                </v:textbox>
                <w10:wrap anchorx="page" anchory="page"/>
              </v:shape>
            </w:pict>
          </mc:Fallback>
        </mc:AlternateContent>
      </w:r>
      <w:r w:rsidR="00751017" w:rsidRPr="00F82129">
        <w:rPr>
          <w:noProof/>
          <w:lang w:val="en-GB" w:eastAsia="en-GB"/>
        </w:rPr>
        <mc:AlternateContent>
          <mc:Choice Requires="wps">
            <w:drawing>
              <wp:anchor distT="0" distB="0" distL="114300" distR="114300" simplePos="0" relativeHeight="251664384" behindDoc="0" locked="0" layoutInCell="1" allowOverlap="1" wp14:anchorId="1D5C81B0" wp14:editId="00E7F98F">
                <wp:simplePos x="0" y="0"/>
                <wp:positionH relativeFrom="page">
                  <wp:posOffset>3416300</wp:posOffset>
                </wp:positionH>
                <wp:positionV relativeFrom="page">
                  <wp:posOffset>6210300</wp:posOffset>
                </wp:positionV>
                <wp:extent cx="939800" cy="273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73050"/>
                        </a:xfrm>
                        <a:prstGeom prst="rect">
                          <a:avLst/>
                        </a:prstGeom>
                        <a:solidFill>
                          <a:schemeClr val="accent1"/>
                        </a:solidFill>
                        <a:ln w="9525">
                          <a:noFill/>
                          <a:miter lim="800000"/>
                          <a:headEnd/>
                          <a:tailEnd/>
                        </a:ln>
                      </wps:spPr>
                      <wps:txbx>
                        <w:txbxContent>
                          <w:p w:rsidR="00F82129" w:rsidRPr="00F82129" w:rsidRDefault="00F82129" w:rsidP="00F82129">
                            <w:pPr>
                              <w:spacing w:before="0"/>
                              <w:jc w:val="center"/>
                              <w:rPr>
                                <w:sz w:val="14"/>
                                <w:szCs w:val="14"/>
                                <w:lang w:val="fr-CH"/>
                              </w:rPr>
                            </w:pPr>
                            <w:r w:rsidRPr="00F82129">
                              <w:rPr>
                                <w:sz w:val="14"/>
                                <w:szCs w:val="14"/>
                                <w:lang w:val="fr-CH"/>
                              </w:rPr>
                              <w:t>Sources d'énergies renouvelables 74,6%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C81B0" id="Text Box 3" o:spid="_x0000_s1037" type="#_x0000_t202" style="position:absolute;left:0;text-align:left;margin-left:269pt;margin-top:489pt;width:74pt;height:2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" fillcolor="#4f81bd [3204]" stroked="f">
                <v:textbox inset="0,0,0,0">
                  <w:txbxContent>
                    <w:p w:rsidR="00F82129" w:rsidRPr="00F82129" w:rsidRDefault="00F82129" w:rsidP="00F82129">
                      <w:pPr>
                        <w:spacing w:before="0"/>
                        <w:jc w:val="center"/>
                        <w:rPr>
                          <w:sz w:val="14"/>
                          <w:szCs w:val="14"/>
                          <w:lang w:val="fr-CH"/>
                        </w:rPr>
                      </w:pPr>
                      <w:r w:rsidRPr="00F82129">
                        <w:rPr>
                          <w:sz w:val="14"/>
                          <w:szCs w:val="14"/>
                          <w:lang w:val="fr-CH"/>
                        </w:rPr>
                        <w:t>Sources d'énergies renouvelables</w:t>
                      </w:r>
                      <w:r w:rsidRPr="00F82129">
                        <w:rPr>
                          <w:sz w:val="14"/>
                          <w:szCs w:val="14"/>
                          <w:lang w:val="fr-CH"/>
                        </w:rPr>
                        <w:t xml:space="preserve"> </w:t>
                      </w:r>
                      <w:r w:rsidRPr="00F82129">
                        <w:rPr>
                          <w:sz w:val="14"/>
                          <w:szCs w:val="14"/>
                          <w:lang w:val="fr-CH"/>
                        </w:rPr>
                        <w:t>74,6%</w:t>
                      </w:r>
                    </w:p>
                  </w:txbxContent>
                </v:textbox>
                <w10:wrap anchorx="page" anchory="page"/>
              </v:shape>
            </w:pict>
          </mc:Fallback>
        </mc:AlternateContent>
      </w:r>
      <w:r w:rsidR="00F82129" w:rsidRPr="00F82129">
        <w:rPr>
          <w:noProof/>
          <w:lang w:val="en-GB" w:eastAsia="en-GB"/>
        </w:rPr>
        <mc:AlternateContent>
          <mc:Choice Requires="wps">
            <w:drawing>
              <wp:anchor distT="0" distB="0" distL="114300" distR="114300" simplePos="0" relativeHeight="251662336" behindDoc="0" locked="0" layoutInCell="1" allowOverlap="1" wp14:anchorId="340689A5" wp14:editId="79DB4F43">
                <wp:simplePos x="0" y="0"/>
                <wp:positionH relativeFrom="page">
                  <wp:posOffset>4711700</wp:posOffset>
                </wp:positionH>
                <wp:positionV relativeFrom="page">
                  <wp:posOffset>5486400</wp:posOffset>
                </wp:positionV>
                <wp:extent cx="19812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F82129" w:rsidRPr="00F82129" w:rsidRDefault="00F82129" w:rsidP="00F82129">
                            <w:pPr>
                              <w:spacing w:before="0"/>
                              <w:jc w:val="center"/>
                              <w:rPr>
                                <w:lang w:val="fr-CH"/>
                              </w:rPr>
                            </w:pPr>
                            <w:r>
                              <w:rPr>
                                <w:sz w:val="18"/>
                                <w:szCs w:val="18"/>
                                <w:lang w:val="fr-CH"/>
                              </w:rPr>
                              <w:t>Sources d'énergies renouvelables</w:t>
                            </w:r>
                            <w:r>
                              <w:rPr>
                                <w:sz w:val="18"/>
                                <w:szCs w:val="18"/>
                                <w:lang w:val="fr-CH"/>
                              </w:rPr>
                              <w:br/>
                              <w:t>Total 465,7 TWh</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340689A5" id="_x0000_s1038" type="#_x0000_t202" style="position:absolute;left:0;text-align:left;margin-left:371pt;margin-top:6in;width:156pt;height:110.6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" stroked="f">
                <v:textbox style="mso-fit-shape-to-text:t" inset="0,0,0,0">
                  <w:txbxContent>
                    <w:p w:rsidR="00F82129" w:rsidRPr="00F82129" w:rsidRDefault="00F82129" w:rsidP="00F82129">
                      <w:pPr>
                        <w:spacing w:before="0"/>
                        <w:jc w:val="center"/>
                        <w:rPr>
                          <w:lang w:val="fr-CH"/>
                        </w:rPr>
                      </w:pPr>
                      <w:r>
                        <w:rPr>
                          <w:sz w:val="18"/>
                          <w:szCs w:val="18"/>
                          <w:lang w:val="fr-CH"/>
                        </w:rPr>
                        <w:t>Sources d'énergies renouvelables</w:t>
                      </w:r>
                      <w:r>
                        <w:rPr>
                          <w:sz w:val="18"/>
                          <w:szCs w:val="18"/>
                          <w:lang w:val="fr-CH"/>
                        </w:rPr>
                        <w:br/>
                        <w:t>Total 465,7 TWh</w:t>
                      </w:r>
                    </w:p>
                  </w:txbxContent>
                </v:textbox>
                <w10:wrap anchorx="page" anchory="page"/>
              </v:shape>
            </w:pict>
          </mc:Fallback>
        </mc:AlternateContent>
      </w:r>
      <w:r w:rsidR="00F82129" w:rsidRPr="00F82129">
        <w:rPr>
          <w:noProof/>
          <w:lang w:val="en-GB" w:eastAsia="en-GB"/>
        </w:rPr>
        <mc:AlternateContent>
          <mc:Choice Requires="wps">
            <w:drawing>
              <wp:anchor distT="0" distB="0" distL="114300" distR="114300" simplePos="0" relativeHeight="251660288" behindDoc="0" locked="0" layoutInCell="1" allowOverlap="1">
                <wp:simplePos x="0" y="0"/>
                <wp:positionH relativeFrom="page">
                  <wp:posOffset>914400</wp:posOffset>
                </wp:positionH>
                <wp:positionV relativeFrom="page">
                  <wp:posOffset>5467350</wp:posOffset>
                </wp:positionV>
                <wp:extent cx="198120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F82129" w:rsidRPr="00F82129" w:rsidRDefault="00F82129" w:rsidP="00F82129">
                            <w:pPr>
                              <w:spacing w:before="0"/>
                              <w:jc w:val="center"/>
                              <w:rPr>
                                <w:lang w:val="fr-CH"/>
                              </w:rPr>
                            </w:pPr>
                            <w:r w:rsidRPr="001514AB">
                              <w:rPr>
                                <w:sz w:val="18"/>
                                <w:szCs w:val="18"/>
                                <w:lang w:val="fr-CH"/>
                              </w:rPr>
                              <w:t>Sources d'énergies non renouvelables</w:t>
                            </w:r>
                            <w:r>
                              <w:rPr>
                                <w:sz w:val="18"/>
                                <w:szCs w:val="18"/>
                                <w:lang w:val="fr-CH"/>
                              </w:rPr>
                              <w:t xml:space="preserve"> </w:t>
                            </w:r>
                            <w:r>
                              <w:rPr>
                                <w:sz w:val="18"/>
                                <w:szCs w:val="18"/>
                                <w:lang w:val="fr-CH"/>
                              </w:rPr>
                              <w:br/>
                              <w:t>Total: 158,6 TWh</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id="_x0000_s1039" type="#_x0000_t202" style="position:absolute;left:0;text-align:left;margin-left:1in;margin-top:430.5pt;width:156pt;height:110.6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" stroked="f">
                <v:textbox style="mso-fit-shape-to-text:t" inset="0,0,0,0">
                  <w:txbxContent>
                    <w:p w:rsidR="00F82129" w:rsidRPr="00F82129" w:rsidRDefault="00F82129" w:rsidP="00F82129">
                      <w:pPr>
                        <w:spacing w:before="0"/>
                        <w:jc w:val="center"/>
                        <w:rPr>
                          <w:lang w:val="fr-CH"/>
                        </w:rPr>
                      </w:pPr>
                      <w:r w:rsidRPr="001514AB">
                        <w:rPr>
                          <w:sz w:val="18"/>
                          <w:szCs w:val="18"/>
                          <w:lang w:val="fr-CH"/>
                        </w:rPr>
                        <w:t>Sources d'énergies non renouvelables</w:t>
                      </w:r>
                      <w:r>
                        <w:rPr>
                          <w:sz w:val="18"/>
                          <w:szCs w:val="18"/>
                          <w:lang w:val="fr-CH"/>
                        </w:rPr>
                        <w:t xml:space="preserve"> </w:t>
                      </w:r>
                      <w:r>
                        <w:rPr>
                          <w:sz w:val="18"/>
                          <w:szCs w:val="18"/>
                          <w:lang w:val="fr-CH"/>
                        </w:rPr>
                        <w:br/>
                        <w:t>Total: 158,6 TWh</w:t>
                      </w:r>
                    </w:p>
                  </w:txbxContent>
                </v:textbox>
                <w10:wrap anchorx="page" anchory="page"/>
              </v:shape>
            </w:pict>
          </mc:Fallback>
        </mc:AlternateContent>
      </w:r>
      <w:r w:rsidR="00EF75D3" w:rsidRPr="00CA3220">
        <w:rPr>
          <w:rFonts w:eastAsia="Batang"/>
          <w:noProof/>
          <w:lang w:val="en-GB" w:eastAsia="en-GB"/>
        </w:rPr>
        <w:drawing>
          <wp:inline distT="0" distB="0" distL="0" distR="0" wp14:anchorId="760507BC" wp14:editId="3A069F99">
            <wp:extent cx="5580618" cy="1888786"/>
            <wp:effectExtent l="0" t="0" r="1270"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3407" cy="1893114"/>
                    </a:xfrm>
                    <a:prstGeom prst="rect">
                      <a:avLst/>
                    </a:prstGeom>
                    <a:noFill/>
                    <a:ln>
                      <a:noFill/>
                    </a:ln>
                  </pic:spPr>
                </pic:pic>
              </a:graphicData>
            </a:graphic>
          </wp:inline>
        </w:drawing>
      </w:r>
    </w:p>
    <w:p w:rsidR="00DE31BE" w:rsidRPr="00CA3220" w:rsidRDefault="00DE31BE" w:rsidP="00664299">
      <w:pPr>
        <w:pStyle w:val="Normalaftertitle0"/>
        <w:jc w:val="both"/>
        <w:rPr>
          <w:lang w:val="fr-CH"/>
        </w:rPr>
      </w:pPr>
      <w:r w:rsidRPr="00CA3220">
        <w:rPr>
          <w:lang w:val="fr-CH"/>
        </w:rPr>
        <w:t xml:space="preserve">La consommation moyenne au Brésil est de 68 GW, avec des pics à plus de </w:t>
      </w:r>
      <w:r w:rsidR="003D767D" w:rsidRPr="00CA3220">
        <w:rPr>
          <w:lang w:val="fr-CH"/>
        </w:rPr>
        <w:t>8</w:t>
      </w:r>
      <w:r w:rsidRPr="00CA3220">
        <w:rPr>
          <w:lang w:val="fr-CH"/>
        </w:rPr>
        <w:t xml:space="preserve">0 GW. Récemment, le secteur de l'électricité a annoncé qu'il prévoyait une augmentation de la consommation d'environ </w:t>
      </w:r>
      <w:r w:rsidR="003D767D" w:rsidRPr="00CA3220">
        <w:rPr>
          <w:lang w:val="fr-CH"/>
        </w:rPr>
        <w:t>44</w:t>
      </w:r>
      <w:r w:rsidRPr="00CA3220">
        <w:rPr>
          <w:lang w:val="fr-CH"/>
        </w:rPr>
        <w:t>%, ce qui suppose un système électrique efficace sur le plan énergétique.</w:t>
      </w:r>
    </w:p>
    <w:p w:rsidR="00DE31BE" w:rsidRPr="00CA3220" w:rsidRDefault="00DE31BE" w:rsidP="00EF75D3">
      <w:pPr>
        <w:keepNext/>
        <w:keepLines/>
        <w:rPr>
          <w:lang w:val="fr-CH"/>
        </w:rPr>
      </w:pPr>
      <w:r w:rsidRPr="00CA3220">
        <w:rPr>
          <w:lang w:val="fr-CH"/>
        </w:rPr>
        <w:t>A titre de première étape pour atteindre cette efficacité, le Ministère estime qu'il faut en priorité réduire les pertes techniques et non techniques dans les systèmes d'électricité. Les pertes techniques s'élèvent à 5% dans le système de transmission et à 7% dans le système de distribution. En outre, les pertes non techniques, par exemple les raccordements non autorisés aux systèmes de distribution, s'élèvent à 7%.</w:t>
      </w:r>
    </w:p>
    <w:p w:rsidR="00DE31BE" w:rsidRPr="00CA3220" w:rsidRDefault="00DE31BE" w:rsidP="00664299">
      <w:pPr>
        <w:rPr>
          <w:lang w:val="fr-CH"/>
        </w:rPr>
      </w:pPr>
      <w:r w:rsidRPr="00CA3220">
        <w:rPr>
          <w:lang w:val="fr-CH"/>
        </w:rPr>
        <w:t>Vu ces chiffres, le Brésil risque de rencontrer d'importantes difficultés pour mettre au point un système d'électricité permettant d'accroître l'efficacité et de réduire les pertes.</w:t>
      </w:r>
    </w:p>
    <w:p w:rsidR="00DE31BE" w:rsidRPr="00CA3220" w:rsidRDefault="00DE31BE" w:rsidP="00664299">
      <w:pPr>
        <w:pStyle w:val="Heading2"/>
        <w:rPr>
          <w:lang w:val="fr-CH"/>
        </w:rPr>
      </w:pPr>
      <w:bookmarkStart w:id="195" w:name="_Toc438029905"/>
      <w:bookmarkStart w:id="196" w:name="_Toc440533919"/>
      <w:bookmarkStart w:id="197" w:name="_Toc498437790"/>
      <w:bookmarkStart w:id="198" w:name="_Toc498500130"/>
      <w:bookmarkStart w:id="199" w:name="_Toc498500381"/>
      <w:bookmarkStart w:id="200" w:name="_Toc498516146"/>
      <w:r w:rsidRPr="00CA3220">
        <w:rPr>
          <w:lang w:val="fr-CH"/>
        </w:rPr>
        <w:t>A4.3</w:t>
      </w:r>
      <w:r w:rsidRPr="00CA3220">
        <w:rPr>
          <w:lang w:val="fr-CH"/>
        </w:rPr>
        <w:tab/>
        <w:t>Groupe d'étude brésilien sur le réseau intelligent</w:t>
      </w:r>
      <w:bookmarkEnd w:id="195"/>
      <w:bookmarkEnd w:id="196"/>
      <w:bookmarkEnd w:id="197"/>
      <w:bookmarkEnd w:id="198"/>
      <w:bookmarkEnd w:id="199"/>
      <w:bookmarkEnd w:id="200"/>
    </w:p>
    <w:p w:rsidR="00DE31BE" w:rsidRPr="00CA3220" w:rsidRDefault="00DE31BE" w:rsidP="00664299">
      <w:pPr>
        <w:rPr>
          <w:lang w:val="fr-CH"/>
        </w:rPr>
      </w:pPr>
      <w:r w:rsidRPr="00CA3220">
        <w:rPr>
          <w:lang w:val="fr-CH"/>
        </w:rPr>
        <w:t xml:space="preserve">Afin de comprendre le concept de réseau intelligent, le Ministère des mines et de l'énergie a créé en mai 2010 un groupe d'étude composé de membres des secteurs de l'électricité et des </w:t>
      </w:r>
      <w:r w:rsidRPr="00CA3220">
        <w:rPr>
          <w:lang w:val="fr-CH"/>
        </w:rPr>
        <w:lastRenderedPageBreak/>
        <w:t>télécommunications. Ce groupe a notamment pour objectif d'évaluer la possibilité d'appliquer ce concept au réseau de distribution d'électricité brésilien afin d'accroître l'efficacité du système.</w:t>
      </w:r>
    </w:p>
    <w:p w:rsidR="00DE31BE" w:rsidRPr="00CA3220" w:rsidRDefault="00DE31BE" w:rsidP="00664299">
      <w:pPr>
        <w:rPr>
          <w:lang w:val="fr-CH"/>
        </w:rPr>
      </w:pPr>
      <w:r w:rsidRPr="00CA3220">
        <w:rPr>
          <w:lang w:val="fr-CH"/>
        </w:rPr>
        <w:t>Mi-mars 2011, un rapport a été présenté au Ministre des mines et de l'énergie concernant les technologies les plus modernes dans ce domaine. Il contenait des renseignements sur les concepts de réseau intelligent, ainsi que des informations techniques sur des questions économiques, de facturation et de télécommunication.</w:t>
      </w:r>
    </w:p>
    <w:p w:rsidR="00DE31BE" w:rsidRPr="00CA3220" w:rsidRDefault="00DE31BE" w:rsidP="00664299">
      <w:pPr>
        <w:rPr>
          <w:lang w:val="fr-CH"/>
        </w:rPr>
      </w:pPr>
      <w:r w:rsidRPr="00CA3220">
        <w:rPr>
          <w:lang w:val="fr-CH"/>
        </w:rPr>
        <w:t>S'agissant des télécommunications, l'étude tenait compte des technologies et des ressources disponibles au Brésil et des types de technologies utilisés dans d'autres pays qui pourraient être appliqués au Brésil. Dans un premier temps, la stratégie adoptée par le Gouvernement brésilien consiste à s'intéresser en particulier au déploiement d'une infrastructure de comptage évolué.</w:t>
      </w:r>
    </w:p>
    <w:p w:rsidR="00DE31BE" w:rsidRPr="00CA3220" w:rsidRDefault="00DE31BE" w:rsidP="00664299">
      <w:pPr>
        <w:rPr>
          <w:lang w:val="fr-CH"/>
        </w:rPr>
      </w:pPr>
      <w:r w:rsidRPr="00CA3220">
        <w:rPr>
          <w:lang w:val="fr-CH"/>
        </w:rPr>
        <w:t>Dans le cadre de cette étude, un groupe technique s'est rendu aux Etats-Unis en octobre 2010, pour recueillir des informations sur les questions liées aux réseaux intelligents. En général, il a été constaté que la quasi-totalité des technologies de télécommunication déployées pour prendre en charge les fonctionnalités de réseaux intelligents pourraient être appliquées dans le cas du Brésil.</w:t>
      </w:r>
    </w:p>
    <w:p w:rsidR="003D767D" w:rsidRPr="00CA3220" w:rsidRDefault="006A6B50" w:rsidP="00B4695E">
      <w:pPr>
        <w:rPr>
          <w:lang w:val="fr-CH"/>
        </w:rPr>
      </w:pPr>
      <w:r>
        <w:rPr>
          <w:lang w:val="fr-CH"/>
        </w:rPr>
        <w:t>En décembre 2011, la C</w:t>
      </w:r>
      <w:r w:rsidR="003D767D" w:rsidRPr="00CA3220">
        <w:rPr>
          <w:lang w:val="fr-CH"/>
        </w:rPr>
        <w:t xml:space="preserve">ommission d'études ABRADEE-APTEL a présenté </w:t>
      </w:r>
      <w:r w:rsidR="005E6EDB" w:rsidRPr="00CA3220">
        <w:rPr>
          <w:lang w:val="fr-CH"/>
        </w:rPr>
        <w:t>le</w:t>
      </w:r>
      <w:r w:rsidR="003D767D" w:rsidRPr="00CA3220">
        <w:rPr>
          <w:lang w:val="fr-CH"/>
        </w:rPr>
        <w:t xml:space="preserve"> rapport</w:t>
      </w:r>
      <w:r w:rsidR="005E6EDB" w:rsidRPr="00CA3220">
        <w:rPr>
          <w:lang w:val="fr-CH"/>
        </w:rPr>
        <w:t xml:space="preserve"> de son étude</w:t>
      </w:r>
      <w:r w:rsidR="003D767D" w:rsidRPr="00CA3220">
        <w:rPr>
          <w:lang w:val="fr-CH"/>
        </w:rPr>
        <w:t xml:space="preserve"> à l'agence </w:t>
      </w:r>
      <w:r w:rsidR="00CA3220" w:rsidRPr="00CA3220">
        <w:rPr>
          <w:lang w:val="fr-CH"/>
        </w:rPr>
        <w:t>nationale</w:t>
      </w:r>
      <w:r w:rsidR="003D767D" w:rsidRPr="00CA3220">
        <w:rPr>
          <w:lang w:val="fr-CH"/>
        </w:rPr>
        <w:t xml:space="preserve"> de régulation, l'ANEEL (Agência Nactional de Energia Elétrica).</w:t>
      </w:r>
      <w:r w:rsidR="005E6EDB" w:rsidRPr="00CA3220">
        <w:rPr>
          <w:lang w:val="fr-CH"/>
        </w:rPr>
        <w:t xml:space="preserve"> Cette étude visait à faire une projection du déploiement des fonctionnalités de réseau de distribution intelligent dans l'ensemble du secteur brésilien de l'électricité sur une période de dix ans et à établir des prévisions concernant les investissements et les bénéfices associés à ces projections. Pour ce faire, la commission a utilisé une base de données rassemblant plus de 50 entreprises de services </w:t>
      </w:r>
      <w:r w:rsidR="00B4695E" w:rsidRPr="00CA3220">
        <w:rPr>
          <w:lang w:val="fr-CH"/>
        </w:rPr>
        <w:t>d'électricité</w:t>
      </w:r>
      <w:r w:rsidR="005E6EDB" w:rsidRPr="00CA3220">
        <w:rPr>
          <w:lang w:val="fr-CH"/>
        </w:rPr>
        <w:t xml:space="preserve"> associées aux responsables du projet et les projections reposent sur la situation réelle des entreprises brésiliennes.</w:t>
      </w:r>
    </w:p>
    <w:p w:rsidR="00DE31BE" w:rsidRPr="00CA3220" w:rsidRDefault="00DE31BE" w:rsidP="00664299">
      <w:pPr>
        <w:pStyle w:val="Heading2"/>
        <w:rPr>
          <w:lang w:val="fr-CH"/>
        </w:rPr>
      </w:pPr>
      <w:bookmarkStart w:id="201" w:name="_Toc438029906"/>
      <w:bookmarkStart w:id="202" w:name="_Toc440533920"/>
      <w:bookmarkStart w:id="203" w:name="_Toc498437791"/>
      <w:bookmarkStart w:id="204" w:name="_Toc498500131"/>
      <w:bookmarkStart w:id="205" w:name="_Toc498500382"/>
      <w:bookmarkStart w:id="206" w:name="_Toc498516147"/>
      <w:r w:rsidRPr="00CA3220">
        <w:rPr>
          <w:lang w:val="fr-CH"/>
        </w:rPr>
        <w:t>A4.4</w:t>
      </w:r>
      <w:r w:rsidRPr="00CA3220">
        <w:rPr>
          <w:lang w:val="fr-CH"/>
        </w:rPr>
        <w:tab/>
        <w:t>Questions liées aux télécommunications</w:t>
      </w:r>
      <w:bookmarkEnd w:id="201"/>
      <w:bookmarkEnd w:id="202"/>
      <w:bookmarkEnd w:id="203"/>
      <w:bookmarkEnd w:id="204"/>
      <w:bookmarkEnd w:id="205"/>
      <w:bookmarkEnd w:id="206"/>
    </w:p>
    <w:p w:rsidR="00DE31BE" w:rsidRPr="00CA3220" w:rsidRDefault="00DE31BE" w:rsidP="00664299">
      <w:pPr>
        <w:rPr>
          <w:lang w:val="fr-CH"/>
        </w:rPr>
      </w:pPr>
      <w:r w:rsidRPr="00CA3220">
        <w:rPr>
          <w:lang w:val="fr-CH"/>
        </w:rPr>
        <w:t>Il a été constaté que plusieurs types de technologies de télécommunication peuvent être appliqués dans le même but. Par exemple, il est possible d'utiliser les technologies Zig-Bee et Mesh Grid pour relever les compteurs de consommation d'énergie des utilisateurs finals. Pour les liaisons de raccordement, les technologies Wi-Max, GPRS, 3G, 4G, etc., peuvent toutes être utilisées. Chaque solution est choisie en fonction d'aspects techniques comme le spectre disponible, les conditions de propagation, le débit, etc.</w:t>
      </w:r>
    </w:p>
    <w:p w:rsidR="00DE31BE" w:rsidRPr="00CA3220" w:rsidRDefault="00DE31BE" w:rsidP="00664299">
      <w:pPr>
        <w:rPr>
          <w:lang w:val="fr-CH"/>
        </w:rPr>
      </w:pPr>
      <w:r w:rsidRPr="00CA3220">
        <w:rPr>
          <w:lang w:val="fr-CH"/>
        </w:rPr>
        <w:t>Actuellement, on ne connaît pas avec certitude le débit de raccordement nécessaire pour les applications de réseaux intelligents. Il s'agit pourtant d'une information capitale dans le cadre des projets de réseau intelligent pour choisir la solution adaptée et définir les exigences en ce qui concerne les ressources spectrales, comme la largeur de bande, les limites des brouillages préjudiciables causés à d'autres services, les limites de puissance et les aspects liés à la propagation. Jusqu'à présent, aucune étude n'a été consacrée aux exigences pour le système de télécommunication qui pourrait être appliqué pour les réseaux intelligents.</w:t>
      </w:r>
    </w:p>
    <w:p w:rsidR="00DE31BE" w:rsidRPr="00CA3220" w:rsidRDefault="00DE31BE" w:rsidP="00664299">
      <w:pPr>
        <w:rPr>
          <w:lang w:val="fr-CH"/>
        </w:rPr>
      </w:pPr>
      <w:r w:rsidRPr="00CA3220">
        <w:rPr>
          <w:lang w:val="fr-CH"/>
        </w:rPr>
        <w:t>Nous nous intéressons aux techniques de mesure des champs électriques dans le cadre de l'utilisation des courants porteurs en ligne dans la bande d'ondes kilométriques pour les applications de réseaux intelligents. Il y a peu, plusieurs entreprises au Brésil ont indiqué qu'elles souhaitaient faire certifier des équipements CPL utilisant des porteuses aux environs de 80 kHz et une largeur de bande de 20 kHz pour le comptage intelligent. La réglementation prévoit des restrictions des émissions aux environs de cette fréquence et la valeur limite du champ électrique est donnée pour des mesures faites à 300 m de la source.</w:t>
      </w:r>
    </w:p>
    <w:p w:rsidR="005E6EDB" w:rsidRPr="00CA3220" w:rsidRDefault="005E6EDB" w:rsidP="00B4695E">
      <w:pPr>
        <w:rPr>
          <w:lang w:val="fr-CH"/>
        </w:rPr>
      </w:pPr>
      <w:r w:rsidRPr="00CA3220">
        <w:rPr>
          <w:lang w:val="fr-CH"/>
        </w:rPr>
        <w:t xml:space="preserve">L'étude réalisée par l'ABRADEE/APTEL a montré qu'il faut investir environ 19 milliards de reais dans les équipements de télécommunication et 3 milliards de reais dans les équipements de technologies </w:t>
      </w:r>
      <w:r w:rsidR="00B4695E" w:rsidRPr="00CA3220">
        <w:rPr>
          <w:lang w:val="fr-CH"/>
        </w:rPr>
        <w:t>de l'information pour déployer l</w:t>
      </w:r>
      <w:r w:rsidRPr="00CA3220">
        <w:rPr>
          <w:lang w:val="fr-CH"/>
        </w:rPr>
        <w:t>es fonctionnalités</w:t>
      </w:r>
      <w:r w:rsidR="00B4695E" w:rsidRPr="00CA3220">
        <w:rPr>
          <w:lang w:val="fr-CH"/>
        </w:rPr>
        <w:t xml:space="preserve"> de base</w:t>
      </w:r>
      <w:r w:rsidRPr="00CA3220">
        <w:rPr>
          <w:lang w:val="fr-CH"/>
        </w:rPr>
        <w:t xml:space="preserve"> de réseau de distribution intelligent comme le comptage intelligent, l'automatisation du réseau de distribution, l'auto</w:t>
      </w:r>
      <w:r w:rsidR="00B4695E" w:rsidRPr="00CA3220">
        <w:rPr>
          <w:lang w:val="fr-CH"/>
        </w:rPr>
        <w:noBreakHyphen/>
      </w:r>
      <w:r w:rsidRPr="00CA3220">
        <w:rPr>
          <w:lang w:val="fr-CH"/>
        </w:rPr>
        <w:t>rétablissement, les sources décentralisées d'énergie renouvelable et les voitures électriques.</w:t>
      </w:r>
    </w:p>
    <w:p w:rsidR="007E7AA5" w:rsidRPr="00CA3220" w:rsidRDefault="007E7AA5" w:rsidP="006A6B50">
      <w:pPr>
        <w:rPr>
          <w:lang w:val="fr-CH"/>
        </w:rPr>
      </w:pPr>
      <w:r w:rsidRPr="00CA3220">
        <w:rPr>
          <w:lang w:val="fr-CH"/>
        </w:rPr>
        <w:lastRenderedPageBreak/>
        <w:t xml:space="preserve">Le modèle de référence de l'architecture de communication utilisée est celui proposé par </w:t>
      </w:r>
      <w:r w:rsidR="00B4695E" w:rsidRPr="00CA3220">
        <w:rPr>
          <w:lang w:val="fr-CH"/>
        </w:rPr>
        <w:t xml:space="preserve">le projet </w:t>
      </w:r>
      <w:r w:rsidRPr="00CA3220">
        <w:rPr>
          <w:lang w:val="fr-CH"/>
        </w:rPr>
        <w:t>P2030</w:t>
      </w:r>
      <w:r w:rsidR="00B4695E" w:rsidRPr="00CA3220">
        <w:rPr>
          <w:lang w:val="fr-CH"/>
        </w:rPr>
        <w:t xml:space="preserve"> de l'IEEE</w:t>
      </w:r>
      <w:r w:rsidRPr="00CA3220">
        <w:rPr>
          <w:lang w:val="fr-CH"/>
        </w:rPr>
        <w:t xml:space="preserve">. L'architecture suggérée définit une hiérarchie logique et une interface normalisée </w:t>
      </w:r>
      <w:r w:rsidR="00B4695E" w:rsidRPr="00CA3220">
        <w:rPr>
          <w:lang w:val="fr-CH"/>
        </w:rPr>
        <w:t>d'</w:t>
      </w:r>
      <w:r w:rsidRPr="00CA3220">
        <w:rPr>
          <w:lang w:val="fr-CH"/>
        </w:rPr>
        <w:t xml:space="preserve">interconnexions </w:t>
      </w:r>
      <w:r w:rsidR="00B4695E" w:rsidRPr="00CA3220">
        <w:rPr>
          <w:lang w:val="fr-CH"/>
        </w:rPr>
        <w:t xml:space="preserve">interopérables </w:t>
      </w:r>
      <w:r w:rsidRPr="00CA3220">
        <w:rPr>
          <w:lang w:val="fr-CH"/>
        </w:rPr>
        <w:t>pouvant être déployées avec plusieurs technologies de réseaux de communication, par exempl</w:t>
      </w:r>
      <w:r w:rsidR="00B4695E" w:rsidRPr="00CA3220">
        <w:rPr>
          <w:lang w:val="fr-CH"/>
        </w:rPr>
        <w:t>e celles utilisées dans l'étude</w:t>
      </w:r>
      <w:r w:rsidRPr="00CA3220">
        <w:rPr>
          <w:lang w:val="fr-CH"/>
        </w:rPr>
        <w:t>: hertzienne</w:t>
      </w:r>
      <w:r w:rsidR="00B4695E" w:rsidRPr="00CA3220">
        <w:rPr>
          <w:lang w:val="fr-CH"/>
        </w:rPr>
        <w:t>s (Wi</w:t>
      </w:r>
      <w:r w:rsidRPr="00CA3220">
        <w:rPr>
          <w:lang w:val="fr-CH"/>
        </w:rPr>
        <w:t>Fi 802.11, WIMAX 802.16), GPRS, 3G, MPLS, VPN et liaisons à fibre optique ou liaisons radioélectriques pour les réseaux de jonction extérieure (FAN) et les liaisons de raccordement</w:t>
      </w:r>
      <w:r w:rsidR="00D95A19" w:rsidRPr="00CA3220">
        <w:rPr>
          <w:lang w:val="fr-CH"/>
        </w:rPr>
        <w:t>.</w:t>
      </w:r>
    </w:p>
    <w:p w:rsidR="00D95A19" w:rsidRPr="00CA3220" w:rsidRDefault="00D95A19" w:rsidP="006A6B50">
      <w:pPr>
        <w:rPr>
          <w:lang w:val="fr-CH"/>
        </w:rPr>
      </w:pPr>
      <w:r w:rsidRPr="00CA3220">
        <w:rPr>
          <w:lang w:val="fr-CH"/>
        </w:rPr>
        <w:t xml:space="preserve">Une étude sur les réseaux de télécommunication utilisés actuellement au Brésil </w:t>
      </w:r>
      <w:r w:rsidR="00B4695E" w:rsidRPr="00CA3220">
        <w:rPr>
          <w:lang w:val="fr-CH"/>
        </w:rPr>
        <w:t>par les fournisseurs de</w:t>
      </w:r>
      <w:r w:rsidRPr="00CA3220">
        <w:rPr>
          <w:lang w:val="fr-CH"/>
        </w:rPr>
        <w:t xml:space="preserve"> services </w:t>
      </w:r>
      <w:r w:rsidR="006A6B50">
        <w:rPr>
          <w:lang w:val="fr-CH"/>
        </w:rPr>
        <w:t>d'</w:t>
      </w:r>
      <w:r w:rsidR="00B4695E" w:rsidRPr="00CA3220">
        <w:rPr>
          <w:lang w:val="fr-CH"/>
        </w:rPr>
        <w:t>électri</w:t>
      </w:r>
      <w:r w:rsidR="006A6B50">
        <w:rPr>
          <w:lang w:val="fr-CH"/>
        </w:rPr>
        <w:t>cité</w:t>
      </w:r>
      <w:r w:rsidRPr="00CA3220">
        <w:rPr>
          <w:lang w:val="fr-CH"/>
        </w:rPr>
        <w:t xml:space="preserve"> a montré que 69% des systèmes de raccordement utilisent la fibre optique, que la technologie GPRS est celle qui est le plus utilisé pour l'accès sur le dernier kilomètre et que les liaisons hyperfréquences (400 MHz et 900 MHz) sont utilisées dans 44% des entreprises, principalement pour </w:t>
      </w:r>
      <w:r w:rsidR="00CA3220" w:rsidRPr="00CA3220">
        <w:rPr>
          <w:lang w:val="fr-CH"/>
        </w:rPr>
        <w:t>raccorder</w:t>
      </w:r>
      <w:r w:rsidRPr="00CA3220">
        <w:rPr>
          <w:lang w:val="fr-CH"/>
        </w:rPr>
        <w:t xml:space="preserve"> les équipements de données installés sur des poteaux. Quelque 50% des </w:t>
      </w:r>
      <w:r w:rsidR="00B4695E" w:rsidRPr="00CA3220">
        <w:rPr>
          <w:lang w:val="fr-CH"/>
        </w:rPr>
        <w:t xml:space="preserve">entreprises de </w:t>
      </w:r>
      <w:r w:rsidRPr="00CA3220">
        <w:rPr>
          <w:lang w:val="fr-CH"/>
        </w:rPr>
        <w:t xml:space="preserve">services </w:t>
      </w:r>
      <w:r w:rsidR="00B4695E" w:rsidRPr="00CA3220">
        <w:rPr>
          <w:lang w:val="fr-CH"/>
        </w:rPr>
        <w:t>d'électricité</w:t>
      </w:r>
      <w:r w:rsidRPr="00CA3220">
        <w:rPr>
          <w:lang w:val="fr-CH"/>
        </w:rPr>
        <w:t xml:space="preserve"> utilisent des lignes dédiées fournies par des opérateurs de télécommunication publics.</w:t>
      </w:r>
    </w:p>
    <w:p w:rsidR="00DE31BE" w:rsidRPr="00CA3220" w:rsidRDefault="00DE31BE" w:rsidP="00664299">
      <w:pPr>
        <w:pStyle w:val="Heading2"/>
        <w:rPr>
          <w:lang w:val="fr-CH"/>
        </w:rPr>
      </w:pPr>
      <w:bookmarkStart w:id="207" w:name="_Toc438029907"/>
      <w:bookmarkStart w:id="208" w:name="_Toc440533921"/>
      <w:bookmarkStart w:id="209" w:name="_Toc498437792"/>
      <w:bookmarkStart w:id="210" w:name="_Toc498500132"/>
      <w:bookmarkStart w:id="211" w:name="_Toc498500383"/>
      <w:bookmarkStart w:id="212" w:name="_Toc498516148"/>
      <w:r w:rsidRPr="00CA3220">
        <w:rPr>
          <w:lang w:val="fr-CH"/>
        </w:rPr>
        <w:t>A4.5</w:t>
      </w:r>
      <w:r w:rsidRPr="00CA3220">
        <w:rPr>
          <w:lang w:val="fr-CH"/>
        </w:rPr>
        <w:tab/>
        <w:t>Données techniques</w:t>
      </w:r>
      <w:bookmarkEnd w:id="207"/>
      <w:bookmarkEnd w:id="208"/>
      <w:bookmarkEnd w:id="209"/>
      <w:bookmarkEnd w:id="210"/>
      <w:bookmarkEnd w:id="211"/>
      <w:bookmarkEnd w:id="212"/>
    </w:p>
    <w:p w:rsidR="00DE31BE" w:rsidRPr="00CA3220" w:rsidRDefault="00DE31BE" w:rsidP="00664299">
      <w:pPr>
        <w:rPr>
          <w:lang w:val="fr-CH"/>
        </w:rPr>
      </w:pPr>
      <w:r w:rsidRPr="00CA3220">
        <w:rPr>
          <w:lang w:val="fr-CH"/>
        </w:rPr>
        <w:t>Il est essentiel de présenter des données sur le débit de raccordement, le temps de latence, la résilience, la fiabilité, etc., que l'on jugerait adaptés pour le réseau intelligent pour pouvoir planifier les ressources nécessaires en termes d'infrastructure et de spectre et éviter l'obsolescence et le gaspillage des ressources.</w:t>
      </w:r>
    </w:p>
    <w:p w:rsidR="00A13FBD" w:rsidRPr="00CA3220" w:rsidRDefault="00A13FBD" w:rsidP="00B4695E">
      <w:pPr>
        <w:rPr>
          <w:lang w:val="fr-CH"/>
        </w:rPr>
      </w:pPr>
      <w:r w:rsidRPr="00CA3220">
        <w:rPr>
          <w:lang w:val="fr-CH"/>
        </w:rPr>
        <w:t xml:space="preserve">Sur la base du modèle d'informations commun (CIM) adopté par la CEI et défini dans </w:t>
      </w:r>
      <w:r w:rsidR="00B4695E" w:rsidRPr="00CA3220">
        <w:rPr>
          <w:lang w:val="fr-CH"/>
        </w:rPr>
        <w:t>les normes de la CEI de la série</w:t>
      </w:r>
      <w:r w:rsidRPr="00CA3220">
        <w:rPr>
          <w:lang w:val="fr-CH"/>
        </w:rPr>
        <w:t xml:space="preserve"> 61970, l'étude ABRADEE/APTEL a mis en lumière la nécessité d'élaborer une stratégie spéciale en matière de cybersécurité des réseaux de distribution intelligents compte tenu des risques potentiels liés aux aspects suivants:</w:t>
      </w:r>
    </w:p>
    <w:p w:rsidR="00A13FBD" w:rsidRPr="00CA3220" w:rsidRDefault="00B4695E" w:rsidP="00B4695E">
      <w:pPr>
        <w:pStyle w:val="enumlev1"/>
        <w:rPr>
          <w:lang w:val="fr-CH"/>
        </w:rPr>
      </w:pPr>
      <w:r w:rsidRPr="00CA3220">
        <w:rPr>
          <w:lang w:val="fr-CH"/>
        </w:rPr>
        <w:t>–</w:t>
      </w:r>
      <w:r w:rsidRPr="00CA3220">
        <w:rPr>
          <w:lang w:val="fr-CH"/>
        </w:rPr>
        <w:tab/>
        <w:t>g</w:t>
      </w:r>
      <w:r w:rsidR="00A13FBD" w:rsidRPr="00CA3220">
        <w:rPr>
          <w:lang w:val="fr-CH"/>
        </w:rPr>
        <w:t>rande complexité du réseau électrique;</w:t>
      </w:r>
    </w:p>
    <w:p w:rsidR="00A13FBD" w:rsidRPr="00CA3220" w:rsidRDefault="00B4695E" w:rsidP="00B4695E">
      <w:pPr>
        <w:pStyle w:val="enumlev1"/>
        <w:rPr>
          <w:lang w:val="fr-CH"/>
        </w:rPr>
      </w:pPr>
      <w:r w:rsidRPr="00CA3220">
        <w:rPr>
          <w:lang w:val="fr-CH"/>
        </w:rPr>
        <w:t>–</w:t>
      </w:r>
      <w:r w:rsidRPr="00CA3220">
        <w:rPr>
          <w:lang w:val="fr-CH"/>
        </w:rPr>
        <w:tab/>
        <w:t>n</w:t>
      </w:r>
      <w:r w:rsidR="00A13FBD" w:rsidRPr="00CA3220">
        <w:rPr>
          <w:lang w:val="fr-CH"/>
        </w:rPr>
        <w:t>ouvelles formes de vulnérabilités dans les réseaux interconnectés;</w:t>
      </w:r>
    </w:p>
    <w:p w:rsidR="00A13FBD" w:rsidRPr="00CA3220" w:rsidRDefault="00B4695E" w:rsidP="00B4695E">
      <w:pPr>
        <w:pStyle w:val="enumlev1"/>
        <w:rPr>
          <w:lang w:val="fr-CH"/>
        </w:rPr>
      </w:pPr>
      <w:r w:rsidRPr="00CA3220">
        <w:rPr>
          <w:lang w:val="fr-CH"/>
        </w:rPr>
        <w:t>–</w:t>
      </w:r>
      <w:r w:rsidRPr="00CA3220">
        <w:rPr>
          <w:lang w:val="fr-CH"/>
        </w:rPr>
        <w:tab/>
        <w:t>e</w:t>
      </w:r>
      <w:r w:rsidR="00A13FBD" w:rsidRPr="00CA3220">
        <w:rPr>
          <w:lang w:val="fr-CH"/>
        </w:rPr>
        <w:t>xploitation du nombre de points d'accès;</w:t>
      </w:r>
    </w:p>
    <w:p w:rsidR="00A13FBD" w:rsidRPr="00CA3220" w:rsidRDefault="00B4695E" w:rsidP="00B4695E">
      <w:pPr>
        <w:pStyle w:val="enumlev1"/>
        <w:rPr>
          <w:lang w:val="fr-CH"/>
        </w:rPr>
      </w:pPr>
      <w:r w:rsidRPr="00CA3220">
        <w:rPr>
          <w:lang w:val="fr-CH"/>
        </w:rPr>
        <w:t>–</w:t>
      </w:r>
      <w:r w:rsidRPr="00CA3220">
        <w:rPr>
          <w:lang w:val="fr-CH"/>
        </w:rPr>
        <w:tab/>
        <w:t>p</w:t>
      </w:r>
      <w:r w:rsidR="00A13FBD" w:rsidRPr="00CA3220">
        <w:rPr>
          <w:lang w:val="fr-CH"/>
        </w:rPr>
        <w:t>rotection de la vie privée des consommateurs.</w:t>
      </w:r>
    </w:p>
    <w:p w:rsidR="00DE31BE" w:rsidRPr="00CA3220" w:rsidRDefault="00DE31BE" w:rsidP="00664299">
      <w:pPr>
        <w:pStyle w:val="Heading2"/>
        <w:rPr>
          <w:lang w:val="fr-CH"/>
        </w:rPr>
      </w:pPr>
      <w:bookmarkStart w:id="213" w:name="_Toc438029908"/>
      <w:bookmarkStart w:id="214" w:name="_Toc440533922"/>
      <w:bookmarkStart w:id="215" w:name="_Toc498437793"/>
      <w:bookmarkStart w:id="216" w:name="_Toc498500133"/>
      <w:bookmarkStart w:id="217" w:name="_Toc498500384"/>
      <w:bookmarkStart w:id="218" w:name="_Toc498516149"/>
      <w:r w:rsidRPr="00CA3220">
        <w:rPr>
          <w:lang w:val="fr-CH"/>
        </w:rPr>
        <w:t>A4.6</w:t>
      </w:r>
      <w:r w:rsidRPr="00CA3220">
        <w:rPr>
          <w:lang w:val="fr-CH"/>
        </w:rPr>
        <w:tab/>
        <w:t>Mesures dans la bande d'ondes kilométriques</w:t>
      </w:r>
      <w:bookmarkEnd w:id="213"/>
      <w:bookmarkEnd w:id="214"/>
      <w:bookmarkEnd w:id="215"/>
      <w:bookmarkEnd w:id="216"/>
      <w:bookmarkEnd w:id="217"/>
      <w:bookmarkEnd w:id="218"/>
    </w:p>
    <w:p w:rsidR="00DE31BE" w:rsidRPr="00CA3220" w:rsidRDefault="00DE31BE" w:rsidP="00664299">
      <w:pPr>
        <w:rPr>
          <w:lang w:val="fr-CH"/>
        </w:rPr>
      </w:pPr>
      <w:r w:rsidRPr="00CA3220">
        <w:rPr>
          <w:lang w:val="fr-CH"/>
        </w:rPr>
        <w:t>En outre, aux fins de l'application de la loi, en vue d'éviter les procédures compliquées de mesure des champs électriques en zones urbaines et compte tenu de la réglementation stricte, il est reconnu que d'autres procédures, comme la mesure de la puissance, seraient moins lourdes que l'utilisation d'analyseurs de spectre raccordés à une antenne en ondes kilométriques.</w:t>
      </w:r>
    </w:p>
    <w:p w:rsidR="00DE31BE" w:rsidRPr="00CA3220" w:rsidRDefault="00DE31BE" w:rsidP="00664299">
      <w:pPr>
        <w:pStyle w:val="Heading2"/>
        <w:rPr>
          <w:lang w:val="fr-CH"/>
        </w:rPr>
      </w:pPr>
      <w:bookmarkStart w:id="219" w:name="_Toc438029909"/>
      <w:bookmarkStart w:id="220" w:name="_Toc440533923"/>
      <w:bookmarkStart w:id="221" w:name="_Toc498437794"/>
      <w:bookmarkStart w:id="222" w:name="_Toc498500134"/>
      <w:bookmarkStart w:id="223" w:name="_Toc498500385"/>
      <w:bookmarkStart w:id="224" w:name="_Toc498516150"/>
      <w:r w:rsidRPr="00CA3220">
        <w:rPr>
          <w:lang w:val="fr-CH"/>
        </w:rPr>
        <w:t>A4.7</w:t>
      </w:r>
      <w:r w:rsidRPr="00CA3220">
        <w:rPr>
          <w:lang w:val="fr-CH"/>
        </w:rPr>
        <w:tab/>
        <w:t>Conclusion</w:t>
      </w:r>
      <w:bookmarkEnd w:id="219"/>
      <w:bookmarkEnd w:id="220"/>
      <w:bookmarkEnd w:id="221"/>
      <w:bookmarkEnd w:id="222"/>
      <w:bookmarkEnd w:id="223"/>
      <w:bookmarkEnd w:id="224"/>
    </w:p>
    <w:p w:rsidR="00DE31BE" w:rsidRPr="00CA3220" w:rsidRDefault="00DE31BE" w:rsidP="00664299">
      <w:pPr>
        <w:rPr>
          <w:lang w:val="fr-CH"/>
        </w:rPr>
      </w:pPr>
      <w:r w:rsidRPr="00CA3220">
        <w:rPr>
          <w:lang w:val="fr-CH"/>
        </w:rPr>
        <w:t>Vu la nature stratégique de la mise en oeuvre des réseaux intelligents dans les pays en développement, nous demandons aux autres administrations de soumettre des contributions sur les données techniques et les mesures en ondes kilométriques comme indiqué ci-dessus.</w:t>
      </w:r>
    </w:p>
    <w:p w:rsidR="00A13FBD" w:rsidRPr="00CA3220" w:rsidRDefault="00A13FBD" w:rsidP="006A6B50">
      <w:pPr>
        <w:spacing w:after="600"/>
        <w:rPr>
          <w:lang w:val="fr-CH"/>
        </w:rPr>
      </w:pPr>
      <w:r w:rsidRPr="00CA3220">
        <w:rPr>
          <w:lang w:val="fr-CH"/>
        </w:rPr>
        <w:t>Compte tenu de la taille et de la complexité du réseau de télécommunication nécessaire pour prendre en charge le déploiement du concept de réseau intelligent à l'échelle du réseau d'électricité au Brésil, l'étude ABRADEE/APTEL préconise, entre autres choses, une analyse approfondie de l'utilisation du spectre</w:t>
      </w:r>
      <w:r w:rsidR="00300B59" w:rsidRPr="00CA3220">
        <w:rPr>
          <w:lang w:val="fr-CH"/>
        </w:rPr>
        <w:t>,</w:t>
      </w:r>
      <w:r w:rsidRPr="00CA3220">
        <w:rPr>
          <w:lang w:val="fr-CH"/>
        </w:rPr>
        <w:t xml:space="preserve"> en vue d'identifier des bandes de fréquences spécifiques </w:t>
      </w:r>
      <w:r w:rsidR="00300B59" w:rsidRPr="00CA3220">
        <w:rPr>
          <w:lang w:val="fr-CH"/>
        </w:rPr>
        <w:t>dont l'utilisation serait réservée aux</w:t>
      </w:r>
      <w:r w:rsidRPr="00CA3220">
        <w:rPr>
          <w:lang w:val="fr-CH"/>
        </w:rPr>
        <w:t xml:space="preserve"> applications dans les zones rurales et urbaines. </w:t>
      </w:r>
    </w:p>
    <w:p w:rsidR="00714111" w:rsidRPr="00CA3220" w:rsidRDefault="004A2EB8" w:rsidP="009678A6">
      <w:pPr>
        <w:pStyle w:val="AnnexNoTitle"/>
        <w:rPr>
          <w:lang w:val="fr-CH"/>
        </w:rPr>
      </w:pPr>
      <w:bookmarkStart w:id="225" w:name="_Toc498437681"/>
      <w:bookmarkStart w:id="226" w:name="_Toc498437795"/>
      <w:bookmarkStart w:id="227" w:name="_Toc498500135"/>
      <w:bookmarkStart w:id="228" w:name="_Toc498516151"/>
      <w:r>
        <w:rPr>
          <w:lang w:val="fr-CH"/>
        </w:rPr>
        <w:lastRenderedPageBreak/>
        <w:t>Référence</w:t>
      </w:r>
      <w:bookmarkEnd w:id="225"/>
      <w:bookmarkEnd w:id="226"/>
      <w:bookmarkEnd w:id="227"/>
      <w:bookmarkEnd w:id="228"/>
    </w:p>
    <w:p w:rsidR="00714111" w:rsidRPr="00CA3220" w:rsidRDefault="00714111" w:rsidP="004350F0">
      <w:pPr>
        <w:pStyle w:val="Reftext"/>
        <w:rPr>
          <w:lang w:val="fr-CH"/>
        </w:rPr>
      </w:pPr>
      <w:r w:rsidRPr="00CA3220">
        <w:rPr>
          <w:lang w:val="fr-CH"/>
        </w:rPr>
        <w:t>[1]</w:t>
      </w:r>
      <w:r w:rsidRPr="00CA3220">
        <w:rPr>
          <w:lang w:val="fr-CH"/>
        </w:rPr>
        <w:tab/>
        <w:t>Presentation: Distributed Generation, Rodrigo Campos de Souza – APTEL Seminar of Mini and Micro Power Generation – Rio de Janeiro – RJ – 8 décembre 2015.</w:t>
      </w:r>
    </w:p>
    <w:p w:rsidR="00DE31BE" w:rsidRPr="00CA3220" w:rsidRDefault="00DE31BE" w:rsidP="00664299">
      <w:pPr>
        <w:rPr>
          <w:rFonts w:asciiTheme="majorBidi" w:hAnsiTheme="majorBidi" w:cstheme="majorBidi"/>
          <w:bCs/>
          <w:szCs w:val="24"/>
          <w:lang w:val="fr-CH"/>
        </w:rPr>
      </w:pPr>
    </w:p>
    <w:p w:rsidR="00DE31BE" w:rsidRPr="00CA3220" w:rsidRDefault="00DE31BE" w:rsidP="00664299">
      <w:pPr>
        <w:rPr>
          <w:rFonts w:asciiTheme="majorBidi" w:hAnsiTheme="majorBidi" w:cstheme="majorBidi"/>
          <w:bCs/>
          <w:szCs w:val="24"/>
          <w:lang w:val="fr-CH"/>
        </w:rPr>
      </w:pPr>
    </w:p>
    <w:p w:rsidR="00DE31BE" w:rsidRPr="00CA3220" w:rsidRDefault="00DE31BE" w:rsidP="00664299">
      <w:pPr>
        <w:pStyle w:val="AnnexNoTitle"/>
        <w:rPr>
          <w:lang w:val="fr-CH"/>
        </w:rPr>
      </w:pPr>
      <w:bookmarkStart w:id="229" w:name="_Toc438029910"/>
      <w:bookmarkStart w:id="230" w:name="_Toc440533924"/>
      <w:bookmarkStart w:id="231" w:name="_Toc498437796"/>
      <w:bookmarkStart w:id="232" w:name="_Toc498500136"/>
      <w:bookmarkStart w:id="233" w:name="_Toc498500386"/>
      <w:bookmarkStart w:id="234" w:name="_Toc498516152"/>
      <w:r w:rsidRPr="00CA3220">
        <w:rPr>
          <w:lang w:val="fr-CH"/>
        </w:rPr>
        <w:t>Annexe 5</w:t>
      </w:r>
      <w:bookmarkStart w:id="235" w:name="_Toc438029911"/>
      <w:bookmarkEnd w:id="229"/>
      <w:r w:rsidRPr="00CA3220">
        <w:rPr>
          <w:lang w:val="fr-CH"/>
        </w:rPr>
        <w:br/>
      </w:r>
      <w:r w:rsidRPr="00CA3220">
        <w:rPr>
          <w:lang w:val="fr-CH"/>
        </w:rPr>
        <w:br/>
        <w:t>Réseau intelligent en République de Corée</w:t>
      </w:r>
      <w:bookmarkEnd w:id="235"/>
      <w:bookmarkEnd w:id="230"/>
      <w:bookmarkEnd w:id="231"/>
      <w:bookmarkEnd w:id="232"/>
      <w:bookmarkEnd w:id="233"/>
      <w:bookmarkEnd w:id="234"/>
    </w:p>
    <w:p w:rsidR="00DE31BE" w:rsidRPr="00CA3220" w:rsidRDefault="00DE31BE" w:rsidP="00664299">
      <w:pPr>
        <w:pStyle w:val="Heading2"/>
        <w:rPr>
          <w:lang w:val="fr-CH"/>
        </w:rPr>
      </w:pPr>
      <w:bookmarkStart w:id="236" w:name="_Toc438029912"/>
      <w:bookmarkStart w:id="237" w:name="_Toc440533925"/>
      <w:bookmarkStart w:id="238" w:name="_Toc498437797"/>
      <w:bookmarkStart w:id="239" w:name="_Toc498500137"/>
      <w:bookmarkStart w:id="240" w:name="_Toc498500387"/>
      <w:bookmarkStart w:id="241" w:name="_Toc498516153"/>
      <w:r w:rsidRPr="00CA3220">
        <w:rPr>
          <w:lang w:val="fr-CH"/>
        </w:rPr>
        <w:t>A5.1</w:t>
      </w:r>
      <w:r w:rsidRPr="00CA3220">
        <w:rPr>
          <w:lang w:val="fr-CH"/>
        </w:rPr>
        <w:tab/>
        <w:t>Feuille de route sur un réseau intelligent en Corée</w:t>
      </w:r>
      <w:bookmarkEnd w:id="236"/>
      <w:bookmarkEnd w:id="237"/>
      <w:bookmarkEnd w:id="238"/>
      <w:bookmarkEnd w:id="239"/>
      <w:bookmarkEnd w:id="240"/>
      <w:bookmarkEnd w:id="241"/>
    </w:p>
    <w:p w:rsidR="00DE31BE" w:rsidRPr="00CA3220" w:rsidRDefault="00DE31BE" w:rsidP="00664299">
      <w:pPr>
        <w:rPr>
          <w:lang w:val="fr-CH"/>
        </w:rPr>
      </w:pPr>
      <w:r w:rsidRPr="00CA3220">
        <w:rPr>
          <w:lang w:val="fr-CH"/>
        </w:rPr>
        <w:t>Afin de lutter contre les changements climatiques, la Corée a reconnu qu'il est nécessaire de déployer un réseau intelligent qui servira d'infrastructure dans l'optique d'un passage à une industrie verte à faible empreinte carbone et du respect des obligations du pays en matière de réduction des émissions de gaz à effet de serre. Dans ce contexte, le Gouvernement coréen met en oeuvre l'initiative sur le réseau de distribution intelligent, qui fait partie des politiques nationales mises en oeuvre pour parvenir à une «croissance verte à faible empreinte carbone».</w:t>
      </w:r>
    </w:p>
    <w:p w:rsidR="00DE31BE" w:rsidRPr="00CA3220" w:rsidRDefault="00DE31BE" w:rsidP="00664299">
      <w:pPr>
        <w:rPr>
          <w:lang w:val="fr-CH"/>
        </w:rPr>
      </w:pPr>
      <w:r w:rsidRPr="00CA3220">
        <w:rPr>
          <w:lang w:val="fr-CH"/>
        </w:rPr>
        <w:t>En 2009, la Commission pour une croissance verte de la Corée a présenté son projet «Construire un pays vert évolué» et a exposé les grandes lignes de la feuille de route pour un réseau intelligent</w:t>
      </w:r>
      <w:r w:rsidRPr="00CA3220">
        <w:rPr>
          <w:rStyle w:val="FootnoteReference"/>
          <w:rFonts w:asciiTheme="majorBidi" w:hAnsiTheme="majorBidi" w:cstheme="majorBidi"/>
          <w:bCs/>
          <w:szCs w:val="24"/>
          <w:lang w:val="fr-CH"/>
        </w:rPr>
        <w:footnoteReference w:id="45"/>
      </w:r>
      <w:r w:rsidRPr="00CA3220">
        <w:rPr>
          <w:lang w:val="fr-CH"/>
        </w:rPr>
        <w:t>. A partir de novembre 2009, les avis et les observations d'experts du secteur privé, des milieux universitaires et des instituts de recherche ont été recueillis et ont servi à l'élaboration de la version finale de la feuille de route qui a été présentée en janvier 2010. Conformément à cette feuille de route nationale, le projet de réseau intelligent est mis en oeuvre dans les cinq domaines ci-après, l'objectif étant de construire un réseau intelligent couvrant l'ensemble du pays d'ici à 2030:</w:t>
      </w:r>
    </w:p>
    <w:p w:rsidR="00DE31BE" w:rsidRPr="00CA3220" w:rsidRDefault="00DE31BE" w:rsidP="00664299">
      <w:pPr>
        <w:pStyle w:val="enumlev1"/>
        <w:rPr>
          <w:lang w:val="fr-CH"/>
        </w:rPr>
      </w:pPr>
      <w:r w:rsidRPr="00CA3220">
        <w:rPr>
          <w:lang w:val="fr-CH"/>
        </w:rPr>
        <w:t>1)</w:t>
      </w:r>
      <w:r w:rsidRPr="00CA3220">
        <w:rPr>
          <w:lang w:val="fr-CH"/>
        </w:rPr>
        <w:tab/>
        <w:t>Réseau de distribution d'électricité intelligent</w:t>
      </w:r>
    </w:p>
    <w:p w:rsidR="00DE31BE" w:rsidRPr="00CA3220" w:rsidRDefault="00DE31BE" w:rsidP="00664299">
      <w:pPr>
        <w:pStyle w:val="enumlev1"/>
        <w:rPr>
          <w:lang w:val="fr-CH"/>
        </w:rPr>
      </w:pPr>
      <w:r w:rsidRPr="00CA3220">
        <w:rPr>
          <w:lang w:val="fr-CH"/>
        </w:rPr>
        <w:t>2)</w:t>
      </w:r>
      <w:r w:rsidRPr="00CA3220">
        <w:rPr>
          <w:lang w:val="fr-CH"/>
        </w:rPr>
        <w:tab/>
        <w:t>Bâtiments intelligents</w:t>
      </w:r>
    </w:p>
    <w:p w:rsidR="00DE31BE" w:rsidRPr="00CA3220" w:rsidRDefault="00DE31BE" w:rsidP="00664299">
      <w:pPr>
        <w:pStyle w:val="enumlev1"/>
        <w:rPr>
          <w:lang w:val="fr-CH"/>
        </w:rPr>
      </w:pPr>
      <w:r w:rsidRPr="00CA3220">
        <w:rPr>
          <w:lang w:val="fr-CH"/>
        </w:rPr>
        <w:t>3)</w:t>
      </w:r>
      <w:r w:rsidRPr="00CA3220">
        <w:rPr>
          <w:lang w:val="fr-CH"/>
        </w:rPr>
        <w:tab/>
        <w:t>Transports intelligents</w:t>
      </w:r>
    </w:p>
    <w:p w:rsidR="00DE31BE" w:rsidRPr="00CA3220" w:rsidRDefault="00DE31BE" w:rsidP="00664299">
      <w:pPr>
        <w:pStyle w:val="enumlev1"/>
        <w:rPr>
          <w:lang w:val="fr-CH"/>
        </w:rPr>
      </w:pPr>
      <w:r w:rsidRPr="00CA3220">
        <w:rPr>
          <w:lang w:val="fr-CH"/>
        </w:rPr>
        <w:t>4)</w:t>
      </w:r>
      <w:r w:rsidRPr="00CA3220">
        <w:rPr>
          <w:lang w:val="fr-CH"/>
        </w:rPr>
        <w:tab/>
        <w:t>Energies renouvelables intelligentes</w:t>
      </w:r>
    </w:p>
    <w:p w:rsidR="00DE31BE" w:rsidRPr="00CA3220" w:rsidRDefault="00DE31BE" w:rsidP="00664299">
      <w:pPr>
        <w:pStyle w:val="enumlev1"/>
        <w:rPr>
          <w:lang w:val="fr-CH"/>
        </w:rPr>
      </w:pPr>
      <w:r w:rsidRPr="00CA3220">
        <w:rPr>
          <w:lang w:val="fr-CH"/>
        </w:rPr>
        <w:t>5)</w:t>
      </w:r>
      <w:r w:rsidRPr="00CA3220">
        <w:rPr>
          <w:lang w:val="fr-CH"/>
        </w:rPr>
        <w:tab/>
        <w:t>Service d'électricité intelligent.</w:t>
      </w:r>
    </w:p>
    <w:p w:rsidR="00270397" w:rsidRPr="00CA3220" w:rsidRDefault="00DE31BE" w:rsidP="00664299">
      <w:pPr>
        <w:rPr>
          <w:lang w:val="fr-CH"/>
        </w:rPr>
      </w:pPr>
      <w:r w:rsidRPr="00CA3220">
        <w:rPr>
          <w:lang w:val="fr-CH"/>
        </w:rPr>
        <w:t>Le projet de réseau intelligent de la Corée sera mis en oeuvre en trois phases: la première phase consiste à construire et à mettre en service une zone test servant de banc d'essai pour réseaux intelligents afin de tester les technologies pertinentes. La deuxième phase consiste à étendre la zone test aux grandes agglomérations tout en ajoutant des éléments intelligents à l'extrémité consommateur. La dernière phase consiste à achever la mise en place, dans l'ensemble du pays, du réseau intelligent prenant en charge tous les réseaux de communication qui lui sont associés.</w:t>
      </w:r>
    </w:p>
    <w:p w:rsidR="00DE31BE" w:rsidRPr="00CA3220" w:rsidRDefault="00DE31BE" w:rsidP="00664299">
      <w:pPr>
        <w:pStyle w:val="FigureNo"/>
        <w:rPr>
          <w:lang w:val="fr-CH"/>
        </w:rPr>
      </w:pPr>
      <w:r w:rsidRPr="00CA3220">
        <w:rPr>
          <w:lang w:val="fr-CH"/>
        </w:rPr>
        <w:t>FIGURE A5.1</w:t>
      </w:r>
    </w:p>
    <w:p w:rsidR="00DE31BE" w:rsidRPr="00CA3220" w:rsidRDefault="00DE31BE" w:rsidP="00664299">
      <w:pPr>
        <w:pStyle w:val="Figuretitle"/>
        <w:spacing w:after="240"/>
        <w:rPr>
          <w:lang w:val="fr-CH"/>
        </w:rPr>
      </w:pPr>
      <w:r w:rsidRPr="00CA3220">
        <w:rPr>
          <w:lang w:val="fr-CH"/>
        </w:rPr>
        <w:t>Feuille de route pour un réseau intelligent en Corée</w:t>
      </w:r>
    </w:p>
    <w:tbl>
      <w:tblPr>
        <w:tblStyle w:val="TableGrid"/>
        <w:tblW w:w="9639" w:type="dxa"/>
        <w:tblLook w:val="04A0" w:firstRow="1" w:lastRow="0" w:firstColumn="1" w:lastColumn="0" w:noHBand="0" w:noVBand="1"/>
      </w:tblPr>
      <w:tblGrid>
        <w:gridCol w:w="1969"/>
        <w:gridCol w:w="2577"/>
        <w:gridCol w:w="2577"/>
        <w:gridCol w:w="2516"/>
      </w:tblGrid>
      <w:tr w:rsidR="00DE31BE" w:rsidRPr="00CA3220" w:rsidTr="004350F0">
        <w:trPr>
          <w:cantSplit/>
        </w:trPr>
        <w:tc>
          <w:tcPr>
            <w:tcW w:w="1843" w:type="dxa"/>
          </w:tcPr>
          <w:p w:rsidR="00DE31BE" w:rsidRPr="00CA3220" w:rsidRDefault="00DE31BE" w:rsidP="00664299">
            <w:pPr>
              <w:pStyle w:val="Tabletext"/>
              <w:rPr>
                <w:b/>
                <w:bCs/>
                <w:sz w:val="18"/>
                <w:szCs w:val="18"/>
                <w:lang w:val="fr-CH"/>
              </w:rPr>
            </w:pPr>
          </w:p>
        </w:tc>
        <w:tc>
          <w:tcPr>
            <w:tcW w:w="2410" w:type="dxa"/>
          </w:tcPr>
          <w:p w:rsidR="00DE31BE" w:rsidRPr="00CA3220" w:rsidRDefault="00DE31BE" w:rsidP="004350F0">
            <w:pPr>
              <w:pStyle w:val="Tabletext"/>
              <w:jc w:val="center"/>
              <w:rPr>
                <w:b/>
                <w:bCs/>
                <w:sz w:val="18"/>
                <w:szCs w:val="18"/>
                <w:lang w:val="fr-CH"/>
              </w:rPr>
            </w:pPr>
            <w:r w:rsidRPr="00CA3220">
              <w:rPr>
                <w:b/>
                <w:bCs/>
                <w:sz w:val="18"/>
                <w:szCs w:val="18"/>
                <w:lang w:val="fr-CH"/>
              </w:rPr>
              <w:t>Première phase (2010</w:t>
            </w:r>
            <w:r w:rsidRPr="00CA3220">
              <w:rPr>
                <w:b/>
                <w:bCs/>
                <w:sz w:val="18"/>
                <w:szCs w:val="18"/>
                <w:lang w:val="fr-CH"/>
              </w:rPr>
              <w:noBreakHyphen/>
              <w:t>2012)</w:t>
            </w:r>
          </w:p>
        </w:tc>
        <w:tc>
          <w:tcPr>
            <w:tcW w:w="2410" w:type="dxa"/>
          </w:tcPr>
          <w:p w:rsidR="00DE31BE" w:rsidRPr="00CA3220" w:rsidRDefault="00DE31BE" w:rsidP="004350F0">
            <w:pPr>
              <w:pStyle w:val="Tabletext"/>
              <w:jc w:val="center"/>
              <w:rPr>
                <w:b/>
                <w:bCs/>
                <w:sz w:val="18"/>
                <w:szCs w:val="18"/>
                <w:lang w:val="fr-CH"/>
              </w:rPr>
            </w:pPr>
            <w:r w:rsidRPr="00CA3220">
              <w:rPr>
                <w:b/>
                <w:bCs/>
                <w:sz w:val="18"/>
                <w:szCs w:val="18"/>
                <w:lang w:val="fr-CH"/>
              </w:rPr>
              <w:t>Deuxième phase (2012</w:t>
            </w:r>
            <w:r w:rsidRPr="00CA3220">
              <w:rPr>
                <w:b/>
                <w:bCs/>
                <w:sz w:val="18"/>
                <w:szCs w:val="18"/>
                <w:lang w:val="fr-CH"/>
              </w:rPr>
              <w:noBreakHyphen/>
              <w:t>2020)</w:t>
            </w:r>
          </w:p>
        </w:tc>
        <w:tc>
          <w:tcPr>
            <w:tcW w:w="2353" w:type="dxa"/>
          </w:tcPr>
          <w:p w:rsidR="00DE31BE" w:rsidRPr="00CA3220" w:rsidRDefault="00DE31BE" w:rsidP="004350F0">
            <w:pPr>
              <w:pStyle w:val="Tabletext"/>
              <w:jc w:val="center"/>
              <w:rPr>
                <w:b/>
                <w:bCs/>
                <w:sz w:val="18"/>
                <w:szCs w:val="18"/>
                <w:lang w:val="fr-CH"/>
              </w:rPr>
            </w:pPr>
            <w:r w:rsidRPr="00CA3220">
              <w:rPr>
                <w:b/>
                <w:bCs/>
                <w:sz w:val="18"/>
                <w:szCs w:val="18"/>
                <w:lang w:val="fr-CH"/>
              </w:rPr>
              <w:t>Troisi</w:t>
            </w:r>
            <w:r w:rsidR="004350F0">
              <w:rPr>
                <w:b/>
                <w:bCs/>
                <w:sz w:val="18"/>
                <w:szCs w:val="18"/>
                <w:lang w:val="fr-CH"/>
              </w:rPr>
              <w:t xml:space="preserve">ème phase </w:t>
            </w:r>
            <w:r w:rsidRPr="00CA3220">
              <w:rPr>
                <w:b/>
                <w:bCs/>
                <w:sz w:val="18"/>
                <w:szCs w:val="18"/>
                <w:lang w:val="fr-CH"/>
              </w:rPr>
              <w:t>(2021</w:t>
            </w:r>
            <w:r w:rsidRPr="00CA3220">
              <w:rPr>
                <w:b/>
                <w:bCs/>
                <w:sz w:val="18"/>
                <w:szCs w:val="18"/>
                <w:lang w:val="fr-CH"/>
              </w:rPr>
              <w:noBreakHyphen/>
              <w:t>2030)</w:t>
            </w:r>
          </w:p>
        </w:tc>
      </w:tr>
      <w:tr w:rsidR="00DE31BE" w:rsidRPr="00CA3220" w:rsidTr="004350F0">
        <w:trPr>
          <w:cantSplit/>
        </w:trPr>
        <w:tc>
          <w:tcPr>
            <w:tcW w:w="1843" w:type="dxa"/>
          </w:tcPr>
          <w:p w:rsidR="00DE31BE" w:rsidRPr="00CA3220" w:rsidRDefault="00DE31BE" w:rsidP="00664299">
            <w:pPr>
              <w:pStyle w:val="Tabletext"/>
              <w:jc w:val="left"/>
              <w:rPr>
                <w:b/>
                <w:bCs/>
                <w:sz w:val="18"/>
                <w:szCs w:val="18"/>
                <w:lang w:val="fr-CH"/>
              </w:rPr>
            </w:pPr>
            <w:r w:rsidRPr="00CA3220">
              <w:rPr>
                <w:b/>
                <w:bCs/>
                <w:sz w:val="18"/>
                <w:szCs w:val="18"/>
                <w:lang w:val="fr-CH"/>
              </w:rPr>
              <w:lastRenderedPageBreak/>
              <w:t>Phase de mise en oeuvre</w:t>
            </w:r>
          </w:p>
        </w:tc>
        <w:tc>
          <w:tcPr>
            <w:tcW w:w="2410" w:type="dxa"/>
          </w:tcPr>
          <w:p w:rsidR="00DE31BE" w:rsidRPr="00CA3220" w:rsidRDefault="00DE31BE" w:rsidP="00664299">
            <w:pPr>
              <w:pStyle w:val="Tabletext"/>
              <w:jc w:val="left"/>
              <w:rPr>
                <w:sz w:val="18"/>
                <w:szCs w:val="18"/>
                <w:lang w:val="fr-CH"/>
              </w:rPr>
            </w:pPr>
            <w:r w:rsidRPr="00CA3220">
              <w:rPr>
                <w:sz w:val="18"/>
                <w:szCs w:val="18"/>
                <w:lang w:val="fr-CH"/>
              </w:rPr>
              <w:t>«Construction et mise en service de la zone test servant de banc d'essai pour réseaux intelligents» (validation technique)</w:t>
            </w:r>
          </w:p>
        </w:tc>
        <w:tc>
          <w:tcPr>
            <w:tcW w:w="2410" w:type="dxa"/>
          </w:tcPr>
          <w:p w:rsidR="00DE31BE" w:rsidRPr="00CA3220" w:rsidRDefault="00DE31BE" w:rsidP="00664299">
            <w:pPr>
              <w:pStyle w:val="Tabletext"/>
              <w:jc w:val="left"/>
              <w:rPr>
                <w:sz w:val="18"/>
                <w:szCs w:val="18"/>
                <w:lang w:val="fr-CH"/>
              </w:rPr>
            </w:pPr>
            <w:r w:rsidRPr="00CA3220">
              <w:rPr>
                <w:sz w:val="18"/>
                <w:szCs w:val="18"/>
                <w:lang w:val="fr-CH"/>
              </w:rPr>
              <w:t>«Elargissement aux zones urbaines» (consommateurs intelligents)</w:t>
            </w:r>
          </w:p>
        </w:tc>
        <w:tc>
          <w:tcPr>
            <w:tcW w:w="2353" w:type="dxa"/>
          </w:tcPr>
          <w:p w:rsidR="00DE31BE" w:rsidRPr="00CA3220" w:rsidRDefault="00DE31BE" w:rsidP="00664299">
            <w:pPr>
              <w:pStyle w:val="Tabletext"/>
              <w:jc w:val="left"/>
              <w:rPr>
                <w:sz w:val="18"/>
                <w:szCs w:val="18"/>
                <w:lang w:val="fr-CH"/>
              </w:rPr>
            </w:pPr>
            <w:r w:rsidRPr="00CA3220">
              <w:rPr>
                <w:sz w:val="18"/>
                <w:szCs w:val="18"/>
                <w:lang w:val="fr-CH"/>
              </w:rPr>
              <w:t>«Achèvement du réseau national de distribution d'électricité (réseau de distribution d'électricité intelligent)</w:t>
            </w:r>
          </w:p>
        </w:tc>
      </w:tr>
      <w:tr w:rsidR="00DE31BE" w:rsidRPr="00CA3220" w:rsidTr="004350F0">
        <w:trPr>
          <w:cantSplit/>
        </w:trPr>
        <w:tc>
          <w:tcPr>
            <w:tcW w:w="1843" w:type="dxa"/>
          </w:tcPr>
          <w:p w:rsidR="00DE31BE" w:rsidRPr="00CA3220" w:rsidRDefault="00DE31BE" w:rsidP="00664299">
            <w:pPr>
              <w:pStyle w:val="Tabletext"/>
              <w:jc w:val="left"/>
              <w:rPr>
                <w:b/>
                <w:bCs/>
                <w:sz w:val="18"/>
                <w:szCs w:val="18"/>
                <w:lang w:val="fr-CH"/>
              </w:rPr>
            </w:pPr>
            <w:r w:rsidRPr="00CA3220">
              <w:rPr>
                <w:b/>
                <w:bCs/>
                <w:sz w:val="18"/>
                <w:szCs w:val="18"/>
                <w:lang w:val="fr-CH"/>
              </w:rPr>
              <w:t>Réseau de distribution d'électricité intelligent</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Surveillance du réseau de distribution d'électricité en temps réel</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Transmission d'énergie numérique</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Exploitation d'un système de distribution optimal</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Prévoir les pannes possibles des réseaux d'électricité</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Raccorder le système d'électricité à celui des autres pays</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Raccorder le système de fourniture d'électricité aux moyens de production décentralisés et aux dispositifs de stockage de l'énergie</w:t>
            </w:r>
          </w:p>
        </w:tc>
        <w:tc>
          <w:tcPr>
            <w:tcW w:w="2353"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Auto-rétablissement des réseaux de distribution d'électricité</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 xml:space="preserve">Exploitation d'un réseau intelligent intégré pour l'énergie </w:t>
            </w:r>
          </w:p>
        </w:tc>
      </w:tr>
      <w:tr w:rsidR="00DE31BE" w:rsidRPr="00CA3220" w:rsidTr="004350F0">
        <w:trPr>
          <w:cantSplit/>
        </w:trPr>
        <w:tc>
          <w:tcPr>
            <w:tcW w:w="1843" w:type="dxa"/>
          </w:tcPr>
          <w:p w:rsidR="00DE31BE" w:rsidRPr="00CA3220" w:rsidRDefault="00DE31BE" w:rsidP="00664299">
            <w:pPr>
              <w:pStyle w:val="Tabletext"/>
              <w:jc w:val="left"/>
              <w:rPr>
                <w:b/>
                <w:bCs/>
                <w:sz w:val="18"/>
                <w:szCs w:val="18"/>
                <w:lang w:val="fr-CH"/>
              </w:rPr>
            </w:pPr>
            <w:r w:rsidRPr="00CA3220">
              <w:rPr>
                <w:b/>
                <w:bCs/>
                <w:sz w:val="18"/>
                <w:szCs w:val="18"/>
                <w:lang w:val="fr-CH"/>
              </w:rPr>
              <w:t>Consommateur intelligent</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Gestion de l'énergie dans les foyers intelligents</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Différents choix pour les consommateurs, notamment pour les prix</w:t>
            </w:r>
          </w:p>
        </w:tc>
        <w:tc>
          <w:tcPr>
            <w:tcW w:w="2410" w:type="dxa"/>
          </w:tcPr>
          <w:p w:rsidR="00DE31BE" w:rsidRPr="00CA3220" w:rsidRDefault="004350F0" w:rsidP="00664299">
            <w:pPr>
              <w:pStyle w:val="Tabletext"/>
              <w:ind w:left="284" w:hanging="284"/>
              <w:jc w:val="left"/>
              <w:rPr>
                <w:sz w:val="18"/>
                <w:szCs w:val="18"/>
                <w:lang w:val="fr-CH"/>
              </w:rPr>
            </w:pPr>
            <w:r>
              <w:rPr>
                <w:sz w:val="18"/>
                <w:szCs w:val="18"/>
                <w:lang w:val="fr-CH"/>
              </w:rPr>
              <w:t>–</w:t>
            </w:r>
            <w:r w:rsidR="00DE31BE" w:rsidRPr="00CA3220">
              <w:rPr>
                <w:sz w:val="18"/>
                <w:szCs w:val="18"/>
                <w:lang w:val="fr-CH"/>
              </w:rPr>
              <w:tab/>
              <w:t>Gestion intelligente de l'énergie dans les bâtiments/usines</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Encourager les consommateurs à produire de l'électricité</w:t>
            </w:r>
          </w:p>
        </w:tc>
        <w:tc>
          <w:tcPr>
            <w:tcW w:w="2353"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Habitations/bâtiments passifs</w:t>
            </w:r>
          </w:p>
        </w:tc>
      </w:tr>
      <w:tr w:rsidR="00DE31BE" w:rsidRPr="00CA3220" w:rsidTr="004350F0">
        <w:trPr>
          <w:cantSplit/>
        </w:trPr>
        <w:tc>
          <w:tcPr>
            <w:tcW w:w="1843" w:type="dxa"/>
          </w:tcPr>
          <w:p w:rsidR="00DE31BE" w:rsidRPr="00CA3220" w:rsidRDefault="00DE31BE" w:rsidP="00664299">
            <w:pPr>
              <w:pStyle w:val="Tabletext"/>
              <w:jc w:val="left"/>
              <w:rPr>
                <w:b/>
                <w:bCs/>
                <w:sz w:val="18"/>
                <w:szCs w:val="18"/>
                <w:lang w:val="fr-CH"/>
              </w:rPr>
            </w:pPr>
            <w:r w:rsidRPr="00CA3220">
              <w:rPr>
                <w:b/>
                <w:bCs/>
                <w:sz w:val="18"/>
                <w:szCs w:val="18"/>
                <w:lang w:val="fr-CH"/>
              </w:rPr>
              <w:t>Transports intelligents</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Construction et tests d'installations de recharge de véhicules électriques</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Exploitation de véhicules électriques dans le cadre d'un projet pilote</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Extension des installations de recharge de véhicules électriques dans l'ensemble du pays</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Maintenance et gestion efficaces des véhicules électriques</w:t>
            </w:r>
          </w:p>
        </w:tc>
        <w:tc>
          <w:tcPr>
            <w:tcW w:w="2353"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Généraliser la disponibilité d'installations de recharge</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Diversifier les méthodes de facturation</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 xml:space="preserve">Utiliser des dispositifs portables pour le stockage de l'énergie </w:t>
            </w:r>
          </w:p>
        </w:tc>
      </w:tr>
      <w:tr w:rsidR="00DE31BE" w:rsidRPr="00CA3220" w:rsidTr="004350F0">
        <w:trPr>
          <w:cantSplit/>
        </w:trPr>
        <w:tc>
          <w:tcPr>
            <w:tcW w:w="1843" w:type="dxa"/>
          </w:tcPr>
          <w:p w:rsidR="00DE31BE" w:rsidRPr="00CA3220" w:rsidRDefault="00DE31BE" w:rsidP="00664299">
            <w:pPr>
              <w:pStyle w:val="Tabletext"/>
              <w:jc w:val="left"/>
              <w:rPr>
                <w:b/>
                <w:bCs/>
                <w:sz w:val="18"/>
                <w:szCs w:val="18"/>
                <w:lang w:val="fr-CH"/>
              </w:rPr>
            </w:pPr>
            <w:r w:rsidRPr="00CA3220">
              <w:rPr>
                <w:b/>
                <w:bCs/>
                <w:sz w:val="18"/>
                <w:szCs w:val="18"/>
                <w:lang w:val="fr-CH"/>
              </w:rPr>
              <w:t>Energies renouvelables intelligentes</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Exploitation de micro</w:t>
            </w:r>
            <w:r w:rsidRPr="00CA3220">
              <w:rPr>
                <w:sz w:val="18"/>
                <w:szCs w:val="18"/>
                <w:lang w:val="fr-CH"/>
              </w:rPr>
              <w:noBreakHyphen/>
              <w:t>réseaux de distribution en raccordant des moyens de production décentralisés, des dispositifs de stockage et des véhicules électriques</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Elargissement de l'utilisation des dispositifs de stockage d'énergie et des moyens de production décentralisés</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Exploitation optimale des systèmes d'électricité avec micro</w:t>
            </w:r>
            <w:r w:rsidRPr="00CA3220">
              <w:rPr>
                <w:sz w:val="18"/>
                <w:szCs w:val="18"/>
                <w:lang w:val="fr-CH"/>
              </w:rPr>
              <w:noBreakHyphen/>
              <w:t>réseaux</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Elargissement de l'application des dispositifs de stockage de l'énergie</w:t>
            </w:r>
          </w:p>
        </w:tc>
        <w:tc>
          <w:tcPr>
            <w:tcW w:w="2353"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Mettre l'énergie renouvelable à la disposition de tous</w:t>
            </w:r>
          </w:p>
        </w:tc>
      </w:tr>
      <w:tr w:rsidR="00DE31BE" w:rsidRPr="00CA3220" w:rsidTr="004350F0">
        <w:trPr>
          <w:cantSplit/>
        </w:trPr>
        <w:tc>
          <w:tcPr>
            <w:tcW w:w="1843" w:type="dxa"/>
          </w:tcPr>
          <w:p w:rsidR="00DE31BE" w:rsidRPr="00CA3220" w:rsidRDefault="00DE31BE" w:rsidP="00664299">
            <w:pPr>
              <w:pStyle w:val="Tabletext"/>
              <w:jc w:val="left"/>
              <w:rPr>
                <w:b/>
                <w:bCs/>
                <w:sz w:val="18"/>
                <w:szCs w:val="18"/>
                <w:lang w:val="fr-CH"/>
              </w:rPr>
            </w:pPr>
            <w:r w:rsidRPr="00CA3220">
              <w:rPr>
                <w:b/>
                <w:bCs/>
                <w:sz w:val="18"/>
                <w:szCs w:val="18"/>
                <w:lang w:val="fr-CH"/>
              </w:rPr>
              <w:t>Service d'électricité intelligent</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Les consommateurs choisissent le prix de leur électricité</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Les consommateurs revendent l'énergie renouvelable qu'ils produisent</w:t>
            </w:r>
          </w:p>
        </w:tc>
        <w:tc>
          <w:tcPr>
            <w:tcW w:w="2410"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Promouvoir les transactions concernant les produits dérivés de l'énergie électrique</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Mettre en oeuvre, dans l'ensemble du pays, un système de tarification en temps réel</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Permettre l'arrivée de participants volontaires sur le marché</w:t>
            </w:r>
          </w:p>
        </w:tc>
        <w:tc>
          <w:tcPr>
            <w:tcW w:w="2353" w:type="dxa"/>
          </w:tcPr>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Encourager différents types de transactions relatives à l'énergie électrique</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Promouvoir la convergence pour le marché des secteurs reposant pour l'électricité</w:t>
            </w:r>
          </w:p>
          <w:p w:rsidR="00DE31BE" w:rsidRPr="00CA3220" w:rsidRDefault="00DE31BE" w:rsidP="00664299">
            <w:pPr>
              <w:pStyle w:val="Tabletext"/>
              <w:ind w:left="284" w:hanging="284"/>
              <w:jc w:val="left"/>
              <w:rPr>
                <w:sz w:val="18"/>
                <w:szCs w:val="18"/>
                <w:lang w:val="fr-CH"/>
              </w:rPr>
            </w:pPr>
            <w:r w:rsidRPr="00CA3220">
              <w:rPr>
                <w:sz w:val="18"/>
                <w:szCs w:val="18"/>
                <w:lang w:val="fr-CH"/>
              </w:rPr>
              <w:t>–</w:t>
            </w:r>
            <w:r w:rsidRPr="00CA3220">
              <w:rPr>
                <w:sz w:val="18"/>
                <w:szCs w:val="18"/>
                <w:lang w:val="fr-CH"/>
              </w:rPr>
              <w:tab/>
              <w:t>Devenir leader sur le marché de l'énergie en Asie du Nord-Est</w:t>
            </w:r>
          </w:p>
        </w:tc>
      </w:tr>
    </w:tbl>
    <w:p w:rsidR="00DE31BE" w:rsidRPr="00CA3220" w:rsidRDefault="00DE31BE" w:rsidP="00664299">
      <w:pPr>
        <w:pStyle w:val="Normalaftertitle0"/>
        <w:jc w:val="both"/>
        <w:rPr>
          <w:lang w:val="fr-CH"/>
        </w:rPr>
      </w:pPr>
      <w:r w:rsidRPr="00CA3220">
        <w:rPr>
          <w:lang w:val="fr-CH"/>
        </w:rPr>
        <w:t>Une fois la troisième phase menée à bien, les retombées et les avantages associés au réseau intelligent seront notables: grâce à ce réseau, la Corée prévoit de réduire la consommation d'électricité nationale de 6%, tout en facilitant l'utilisation plus large d'énergies nouvelles ou renouvelables, comme les énergies éoliennes et solaires. En outre, la Corée réduira de 230 millions de tonnes ses émissions de gaz à effet de serre et créera 50 000 emplois par an, sur un march</w:t>
      </w:r>
      <w:r w:rsidR="00B25010">
        <w:rPr>
          <w:lang w:val="fr-CH"/>
        </w:rPr>
        <w:t>é intérieur qui représentera 68 </w:t>
      </w:r>
      <w:r w:rsidRPr="00CA3220">
        <w:rPr>
          <w:lang w:val="fr-CH"/>
        </w:rPr>
        <w:t>milliards de wons d'ici à 2030. Le savoir-faire accumulé permettra à la Corée de progresser sur le marché international. La croissance verte dans le pays contribuera grandement à la lutte contre le réchauffement de la planète dans l'avenir.</w:t>
      </w:r>
    </w:p>
    <w:p w:rsidR="00DE31BE" w:rsidRPr="00CA3220" w:rsidRDefault="00DE31BE" w:rsidP="00664299">
      <w:pPr>
        <w:rPr>
          <w:lang w:val="fr-CH"/>
        </w:rPr>
      </w:pPr>
      <w:r w:rsidRPr="00CA3220">
        <w:rPr>
          <w:lang w:val="fr-CH"/>
        </w:rPr>
        <w:lastRenderedPageBreak/>
        <w:t>Pour le pays, le projet de réseau intelligent vise à accroître l'efficacité énergétique et à mettre en oeuvre une infrastructure utilisant les énergies vertes en construisant une infrastructure respectueuse de l'environnement qui produit moins d'émissions de dioxyde de carbone. Pour l'industrie, ce projet vise à garantir un nouveau moteur de croissance qui permettra à la Corée d'entrer dans l'ère de la croissance verte. Pour les habitants, l'objectif de ce projet est de mettre en place un mode de vie écologique à faible empreinte carbone, en améliorant la qualité de vie moyennant l'adoption d'habitudes écologiques à faible empreinte carbone.</w:t>
      </w:r>
    </w:p>
    <w:p w:rsidR="00DE31BE" w:rsidRPr="00CA3220" w:rsidRDefault="00DE31BE" w:rsidP="00664299">
      <w:pPr>
        <w:pStyle w:val="Heading2"/>
        <w:rPr>
          <w:lang w:val="fr-CH"/>
        </w:rPr>
      </w:pPr>
      <w:bookmarkStart w:id="242" w:name="_Toc438029913"/>
      <w:bookmarkStart w:id="243" w:name="_Toc440533926"/>
      <w:bookmarkStart w:id="244" w:name="_Toc498437798"/>
      <w:bookmarkStart w:id="245" w:name="_Toc498500138"/>
      <w:bookmarkStart w:id="246" w:name="_Toc498500388"/>
      <w:bookmarkStart w:id="247" w:name="_Toc498516154"/>
      <w:r w:rsidRPr="00CA3220">
        <w:rPr>
          <w:lang w:val="fr-CH"/>
        </w:rPr>
        <w:t>A5.2</w:t>
      </w:r>
      <w:r w:rsidRPr="00CA3220">
        <w:rPr>
          <w:lang w:val="fr-CH"/>
        </w:rPr>
        <w:tab/>
        <w:t>Mise au point des technologies</w:t>
      </w:r>
      <w:bookmarkEnd w:id="242"/>
      <w:bookmarkEnd w:id="243"/>
      <w:bookmarkEnd w:id="244"/>
      <w:bookmarkEnd w:id="245"/>
      <w:bookmarkEnd w:id="246"/>
      <w:bookmarkEnd w:id="247"/>
    </w:p>
    <w:p w:rsidR="00DE31BE" w:rsidRPr="00CA3220" w:rsidRDefault="00DE31BE" w:rsidP="00664299">
      <w:pPr>
        <w:rPr>
          <w:lang w:val="fr-CH"/>
        </w:rPr>
      </w:pPr>
      <w:r w:rsidRPr="00CA3220">
        <w:rPr>
          <w:lang w:val="fr-CH"/>
        </w:rPr>
        <w:t>La zone test du réseau intelligent (10 MW) sera une ville de 3 000 foyers et comprendra au total deux sous</w:t>
      </w:r>
      <w:r w:rsidRPr="00CA3220">
        <w:rPr>
          <w:lang w:val="fr-CH"/>
        </w:rPr>
        <w:noBreakHyphen/>
        <w:t>stations avec au moins deux bancs et, pour chaque banc, deux lignes de distribution. C'est dans cette zone que seront menés des programmes de recherche sur «la transmission d'énergie à l'aide des technologies de l'information» et sur les nouvelles ressources d'énergie renouvelable.</w:t>
      </w:r>
    </w:p>
    <w:p w:rsidR="00DE31BE" w:rsidRPr="00CA3220" w:rsidRDefault="00DE31BE" w:rsidP="00664299">
      <w:pPr>
        <w:rPr>
          <w:lang w:val="fr-CH"/>
        </w:rPr>
      </w:pPr>
      <w:r w:rsidRPr="00CA3220">
        <w:rPr>
          <w:lang w:val="fr-CH"/>
        </w:rPr>
        <w:t>Une dizaine de consortiums dans cinq domaines ont participé aux tests des technologies et à l'élaboration de modèles commerciaux, le projet ayant été mis en oeuvre en deux étapes, comme indiqué dans le Tableau A5.1.</w:t>
      </w:r>
    </w:p>
    <w:p w:rsidR="00DE31BE" w:rsidRPr="00CA3220" w:rsidRDefault="00DE31BE" w:rsidP="00664299">
      <w:pPr>
        <w:pStyle w:val="TableNo"/>
        <w:rPr>
          <w:lang w:val="fr-CH"/>
        </w:rPr>
      </w:pPr>
      <w:r w:rsidRPr="00CA3220">
        <w:rPr>
          <w:lang w:val="fr-CH"/>
        </w:rPr>
        <w:t>TABLEAU A5.1</w:t>
      </w:r>
    </w:p>
    <w:p w:rsidR="00DE31BE" w:rsidRPr="00CA3220" w:rsidRDefault="00DE31BE" w:rsidP="00664299">
      <w:pPr>
        <w:pStyle w:val="Tabletitle"/>
        <w:rPr>
          <w:lang w:val="fr-CH"/>
        </w:rPr>
      </w:pPr>
      <w:r w:rsidRPr="00CA3220">
        <w:rPr>
          <w:lang w:val="fr-CH"/>
        </w:rPr>
        <w:t>Plan de mise en oeuvre de la zone test de Jeju par phase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4"/>
        <w:gridCol w:w="1347"/>
        <w:gridCol w:w="2377"/>
        <w:gridCol w:w="3561"/>
      </w:tblGrid>
      <w:tr w:rsidR="00DE31BE" w:rsidRPr="00CA3220" w:rsidTr="00153FD2">
        <w:trPr>
          <w:trHeight w:val="446"/>
        </w:trPr>
        <w:tc>
          <w:tcPr>
            <w:tcW w:w="2381" w:type="dxa"/>
            <w:shd w:val="clear" w:color="auto" w:fill="auto"/>
            <w:vAlign w:val="center"/>
          </w:tcPr>
          <w:p w:rsidR="00DE31BE" w:rsidRPr="00CA3220" w:rsidRDefault="00DE31BE" w:rsidP="00664299">
            <w:pPr>
              <w:pStyle w:val="Tablehead"/>
              <w:rPr>
                <w:rFonts w:eastAsia="Batang"/>
                <w:lang w:val="fr-CH"/>
              </w:rPr>
            </w:pPr>
            <w:r w:rsidRPr="00CA3220">
              <w:rPr>
                <w:rFonts w:eastAsia="Batang"/>
                <w:lang w:val="fr-CH"/>
              </w:rPr>
              <w:t>Etape</w:t>
            </w:r>
          </w:p>
        </w:tc>
        <w:tc>
          <w:tcPr>
            <w:tcW w:w="1361" w:type="dxa"/>
            <w:shd w:val="clear" w:color="auto" w:fill="auto"/>
            <w:vAlign w:val="center"/>
          </w:tcPr>
          <w:p w:rsidR="00DE31BE" w:rsidRPr="00CA3220" w:rsidRDefault="00DE31BE" w:rsidP="00664299">
            <w:pPr>
              <w:pStyle w:val="Tablehead"/>
              <w:rPr>
                <w:rFonts w:eastAsia="Batang"/>
                <w:lang w:val="fr-CH"/>
              </w:rPr>
            </w:pPr>
            <w:r w:rsidRPr="00CA3220">
              <w:rPr>
                <w:rFonts w:eastAsia="Batang"/>
                <w:lang w:val="fr-CH"/>
              </w:rPr>
              <w:t>Période</w:t>
            </w:r>
          </w:p>
        </w:tc>
        <w:tc>
          <w:tcPr>
            <w:tcW w:w="2410" w:type="dxa"/>
            <w:shd w:val="clear" w:color="auto" w:fill="auto"/>
            <w:vAlign w:val="center"/>
          </w:tcPr>
          <w:p w:rsidR="00DE31BE" w:rsidRPr="00CA3220" w:rsidRDefault="00DE31BE" w:rsidP="00664299">
            <w:pPr>
              <w:pStyle w:val="Tablehead"/>
              <w:rPr>
                <w:rFonts w:eastAsia="Batang"/>
                <w:lang w:val="fr-CH"/>
              </w:rPr>
            </w:pPr>
            <w:r w:rsidRPr="00CA3220">
              <w:rPr>
                <w:rFonts w:eastAsia="Batang"/>
                <w:lang w:val="fr-CH"/>
              </w:rPr>
              <w:t xml:space="preserve">Principaux domaines </w:t>
            </w:r>
          </w:p>
        </w:tc>
        <w:tc>
          <w:tcPr>
            <w:tcW w:w="3628" w:type="dxa"/>
            <w:shd w:val="clear" w:color="auto" w:fill="auto"/>
            <w:vAlign w:val="center"/>
          </w:tcPr>
          <w:p w:rsidR="00DE31BE" w:rsidRPr="00CA3220" w:rsidRDefault="00DE31BE" w:rsidP="00664299">
            <w:pPr>
              <w:pStyle w:val="Tablehead"/>
              <w:rPr>
                <w:rFonts w:eastAsia="Batang"/>
                <w:lang w:val="fr-CH"/>
              </w:rPr>
            </w:pPr>
            <w:r w:rsidRPr="00CA3220">
              <w:rPr>
                <w:rFonts w:eastAsia="Batang"/>
                <w:lang w:val="fr-CH"/>
              </w:rPr>
              <w:t>Principaux éléments</w:t>
            </w:r>
          </w:p>
        </w:tc>
      </w:tr>
      <w:tr w:rsidR="00DE31BE" w:rsidRPr="00CA3220" w:rsidTr="00E95ABB">
        <w:tc>
          <w:tcPr>
            <w:tcW w:w="2381" w:type="dxa"/>
          </w:tcPr>
          <w:p w:rsidR="00DE31BE" w:rsidRPr="00CA3220" w:rsidRDefault="00DE31BE" w:rsidP="00E95ABB">
            <w:pPr>
              <w:pStyle w:val="Tabletext"/>
              <w:jc w:val="left"/>
              <w:rPr>
                <w:lang w:val="fr-CH"/>
              </w:rPr>
            </w:pPr>
            <w:r w:rsidRPr="00CA3220">
              <w:rPr>
                <w:lang w:val="fr-CH"/>
              </w:rPr>
              <w:t>Phase de base (construction de l'infrastructure)</w:t>
            </w:r>
          </w:p>
        </w:tc>
        <w:tc>
          <w:tcPr>
            <w:tcW w:w="1361" w:type="dxa"/>
          </w:tcPr>
          <w:p w:rsidR="00DE31BE" w:rsidRPr="00CA3220" w:rsidRDefault="002D594E" w:rsidP="009678A6">
            <w:pPr>
              <w:pStyle w:val="Tabletext"/>
              <w:jc w:val="center"/>
              <w:rPr>
                <w:lang w:val="fr-CH"/>
              </w:rPr>
            </w:pPr>
            <w:r>
              <w:rPr>
                <w:lang w:val="fr-CH"/>
              </w:rPr>
              <w:t>2010</w:t>
            </w:r>
            <w:r w:rsidR="009678A6">
              <w:rPr>
                <w:lang w:val="fr-CH"/>
              </w:rPr>
              <w:t xml:space="preserve"> </w:t>
            </w:r>
            <w:r w:rsidR="009678A6" w:rsidRPr="00D77C3D">
              <w:rPr>
                <w:lang w:val="en-US" w:eastAsia="ko-KR"/>
              </w:rPr>
              <w:t>~</w:t>
            </w:r>
            <w:r w:rsidR="009678A6">
              <w:rPr>
                <w:lang w:val="fr-CH"/>
              </w:rPr>
              <w:t xml:space="preserve"> </w:t>
            </w:r>
            <w:r w:rsidR="00DE31BE" w:rsidRPr="00CA3220">
              <w:rPr>
                <w:lang w:val="fr-CH"/>
              </w:rPr>
              <w:t>2011</w:t>
            </w:r>
          </w:p>
        </w:tc>
        <w:tc>
          <w:tcPr>
            <w:tcW w:w="2410" w:type="dxa"/>
          </w:tcPr>
          <w:p w:rsidR="00DE31BE" w:rsidRPr="00CA3220" w:rsidRDefault="00DE31BE" w:rsidP="00E95ABB">
            <w:pPr>
              <w:pStyle w:val="Tabletext"/>
              <w:jc w:val="left"/>
              <w:rPr>
                <w:lang w:val="fr-CH"/>
              </w:rPr>
            </w:pPr>
            <w:r w:rsidRPr="00CA3220">
              <w:rPr>
                <w:lang w:val="fr-CH"/>
              </w:rPr>
              <w:t>Réseaux de distribution d'électricité intelligents</w:t>
            </w:r>
          </w:p>
          <w:p w:rsidR="00DE31BE" w:rsidRPr="00CA3220" w:rsidRDefault="00DE31BE" w:rsidP="00E95ABB">
            <w:pPr>
              <w:pStyle w:val="Tabletext"/>
              <w:jc w:val="left"/>
              <w:rPr>
                <w:lang w:val="fr-CH"/>
              </w:rPr>
            </w:pPr>
            <w:r w:rsidRPr="00CA3220">
              <w:rPr>
                <w:lang w:val="fr-CH"/>
              </w:rPr>
              <w:t>Bâtiments intelligents</w:t>
            </w:r>
          </w:p>
          <w:p w:rsidR="00DE31BE" w:rsidRPr="00CA3220" w:rsidRDefault="00DE31BE" w:rsidP="00E95ABB">
            <w:pPr>
              <w:pStyle w:val="Tabletext"/>
              <w:jc w:val="left"/>
              <w:rPr>
                <w:lang w:val="fr-CH"/>
              </w:rPr>
            </w:pPr>
            <w:r w:rsidRPr="00CA3220">
              <w:rPr>
                <w:lang w:val="fr-CH"/>
              </w:rPr>
              <w:t>Transports intelligents</w:t>
            </w:r>
          </w:p>
        </w:tc>
        <w:tc>
          <w:tcPr>
            <w:tcW w:w="3628" w:type="dxa"/>
          </w:tcPr>
          <w:p w:rsidR="00DE31BE" w:rsidRPr="00CA3220" w:rsidRDefault="00DE31BE" w:rsidP="00E95ABB">
            <w:pPr>
              <w:pStyle w:val="Tabletext"/>
              <w:jc w:val="left"/>
              <w:rPr>
                <w:lang w:val="fr-CH"/>
              </w:rPr>
            </w:pPr>
            <w:r w:rsidRPr="00CA3220">
              <w:rPr>
                <w:lang w:val="fr-CH"/>
              </w:rPr>
              <w:t>Raccorder les réseaux associés au réseau de distribution et les consommateurs, les réseaux associés au réseau de distribution et les véhicules électriques</w:t>
            </w:r>
          </w:p>
        </w:tc>
      </w:tr>
      <w:tr w:rsidR="00DE31BE" w:rsidRPr="00CA3220" w:rsidTr="00E95ABB">
        <w:tc>
          <w:tcPr>
            <w:tcW w:w="2381" w:type="dxa"/>
          </w:tcPr>
          <w:p w:rsidR="00DE31BE" w:rsidRPr="00CA3220" w:rsidRDefault="00DE31BE" w:rsidP="00E95ABB">
            <w:pPr>
              <w:pStyle w:val="Tabletext"/>
              <w:jc w:val="left"/>
              <w:rPr>
                <w:lang w:val="fr-CH"/>
              </w:rPr>
            </w:pPr>
            <w:r w:rsidRPr="00CA3220">
              <w:rPr>
                <w:lang w:val="fr-CH"/>
              </w:rPr>
              <w:t>Phase de développement (exploitation intégrée)</w:t>
            </w:r>
          </w:p>
        </w:tc>
        <w:tc>
          <w:tcPr>
            <w:tcW w:w="1361" w:type="dxa"/>
          </w:tcPr>
          <w:p w:rsidR="00DE31BE" w:rsidRPr="00CA3220" w:rsidRDefault="00DE31BE" w:rsidP="009678A6">
            <w:pPr>
              <w:pStyle w:val="Tabletext"/>
              <w:jc w:val="center"/>
              <w:rPr>
                <w:lang w:val="fr-CH"/>
              </w:rPr>
            </w:pPr>
            <w:r w:rsidRPr="00CA3220">
              <w:rPr>
                <w:lang w:val="fr-CH"/>
              </w:rPr>
              <w:t>2012</w:t>
            </w:r>
            <w:r w:rsidR="009678A6">
              <w:rPr>
                <w:lang w:val="fr-CH"/>
              </w:rPr>
              <w:t xml:space="preserve"> </w:t>
            </w:r>
            <w:r w:rsidR="009678A6" w:rsidRPr="00D77C3D">
              <w:rPr>
                <w:lang w:val="en-US" w:eastAsia="ko-KR"/>
              </w:rPr>
              <w:t>~</w:t>
            </w:r>
            <w:r w:rsidRPr="00CA3220">
              <w:rPr>
                <w:lang w:val="fr-CH"/>
              </w:rPr>
              <w:t>2013</w:t>
            </w:r>
          </w:p>
        </w:tc>
        <w:tc>
          <w:tcPr>
            <w:tcW w:w="2410" w:type="dxa"/>
          </w:tcPr>
          <w:p w:rsidR="00DE31BE" w:rsidRPr="00CA3220" w:rsidRDefault="00DE31BE" w:rsidP="00E95ABB">
            <w:pPr>
              <w:pStyle w:val="Tabletext"/>
              <w:jc w:val="left"/>
              <w:rPr>
                <w:lang w:val="fr-CH"/>
              </w:rPr>
            </w:pPr>
            <w:r w:rsidRPr="00CA3220">
              <w:rPr>
                <w:lang w:val="fr-CH"/>
              </w:rPr>
              <w:t>Energies renouvelables intelligentes</w:t>
            </w:r>
          </w:p>
          <w:p w:rsidR="00DE31BE" w:rsidRPr="00CA3220" w:rsidRDefault="00DE31BE" w:rsidP="00E95ABB">
            <w:pPr>
              <w:pStyle w:val="Tabletext"/>
              <w:jc w:val="left"/>
              <w:rPr>
                <w:lang w:val="fr-CH"/>
              </w:rPr>
            </w:pPr>
            <w:r w:rsidRPr="00CA3220">
              <w:rPr>
                <w:lang w:val="fr-CH"/>
              </w:rPr>
              <w:t>Service d'électricité intelligent</w:t>
            </w:r>
          </w:p>
        </w:tc>
        <w:tc>
          <w:tcPr>
            <w:tcW w:w="3628" w:type="dxa"/>
          </w:tcPr>
          <w:p w:rsidR="00DE31BE" w:rsidRPr="00CA3220" w:rsidRDefault="00DE31BE" w:rsidP="00E95ABB">
            <w:pPr>
              <w:pStyle w:val="Tabletext"/>
              <w:ind w:left="284" w:hanging="284"/>
              <w:jc w:val="left"/>
              <w:rPr>
                <w:lang w:val="fr-CH"/>
              </w:rPr>
            </w:pPr>
            <w:r w:rsidRPr="00CA3220">
              <w:rPr>
                <w:rFonts w:eastAsia="Batang"/>
                <w:lang w:val="fr-CH"/>
              </w:rPr>
              <w:t>–</w:t>
            </w:r>
            <w:r w:rsidRPr="00CA3220">
              <w:rPr>
                <w:rFonts w:eastAsia="Batang"/>
                <w:lang w:val="fr-CH"/>
              </w:rPr>
              <w:tab/>
            </w:r>
            <w:r w:rsidRPr="00CA3220">
              <w:rPr>
                <w:lang w:val="fr-CH"/>
              </w:rPr>
              <w:t>Fournir de nouveaux services d'électricité</w:t>
            </w:r>
          </w:p>
          <w:p w:rsidR="00DE31BE" w:rsidRPr="00CA3220" w:rsidRDefault="00DE31BE" w:rsidP="00E95ABB">
            <w:pPr>
              <w:pStyle w:val="Tabletext"/>
              <w:ind w:left="284" w:hanging="284"/>
              <w:jc w:val="left"/>
              <w:rPr>
                <w:lang w:val="fr-CH"/>
              </w:rPr>
            </w:pPr>
            <w:r w:rsidRPr="00CA3220">
              <w:rPr>
                <w:rFonts w:eastAsia="Batang"/>
                <w:lang w:val="fr-CH"/>
              </w:rPr>
              <w:t>–</w:t>
            </w:r>
            <w:r w:rsidRPr="00CA3220">
              <w:rPr>
                <w:rFonts w:eastAsia="Batang"/>
                <w:lang w:val="fr-CH"/>
              </w:rPr>
              <w:tab/>
            </w:r>
            <w:r w:rsidRPr="00CA3220">
              <w:rPr>
                <w:lang w:val="fr-CH"/>
              </w:rPr>
              <w:t>Prendre en charge les sources d'énergie renouvelable dans le réseau de distribution d'électricité</w:t>
            </w:r>
          </w:p>
        </w:tc>
      </w:tr>
    </w:tbl>
    <w:p w:rsidR="00DE31BE" w:rsidRPr="00953485" w:rsidRDefault="00DE31BE" w:rsidP="002D594E">
      <w:pPr>
        <w:pStyle w:val="Tablefin"/>
        <w:rPr>
          <w:lang w:val="fr-FR"/>
        </w:rPr>
      </w:pPr>
    </w:p>
    <w:p w:rsidR="00DE31BE" w:rsidRDefault="00DE31BE" w:rsidP="00664299">
      <w:pPr>
        <w:rPr>
          <w:rFonts w:asciiTheme="majorBidi" w:hAnsiTheme="majorBidi" w:cstheme="majorBidi"/>
          <w:b/>
          <w:szCs w:val="24"/>
          <w:lang w:val="fr-CH"/>
        </w:rPr>
      </w:pPr>
    </w:p>
    <w:p w:rsidR="002D594E" w:rsidRDefault="002D594E" w:rsidP="00664299">
      <w:pPr>
        <w:rPr>
          <w:rFonts w:asciiTheme="majorBidi" w:hAnsiTheme="majorBidi" w:cstheme="majorBidi"/>
          <w:b/>
          <w:szCs w:val="24"/>
          <w:lang w:val="fr-CH"/>
        </w:rPr>
      </w:pPr>
    </w:p>
    <w:p w:rsidR="00DE31BE" w:rsidRPr="00CA3220" w:rsidRDefault="00DE31BE" w:rsidP="00664299">
      <w:pPr>
        <w:pStyle w:val="AnnexNoTitle"/>
        <w:rPr>
          <w:lang w:val="fr-CH"/>
        </w:rPr>
      </w:pPr>
      <w:bookmarkStart w:id="248" w:name="_Toc438029914"/>
      <w:bookmarkStart w:id="249" w:name="_Toc440533927"/>
      <w:bookmarkStart w:id="250" w:name="_Toc498437799"/>
      <w:bookmarkStart w:id="251" w:name="_Toc498500139"/>
      <w:bookmarkStart w:id="252" w:name="_Toc498500389"/>
      <w:bookmarkStart w:id="253" w:name="_Toc498516155"/>
      <w:r w:rsidRPr="00CA3220">
        <w:rPr>
          <w:lang w:val="fr-CH"/>
        </w:rPr>
        <w:t>Annexe 6</w:t>
      </w:r>
      <w:bookmarkStart w:id="254" w:name="_Toc438029915"/>
      <w:bookmarkEnd w:id="248"/>
      <w:r w:rsidRPr="00CA3220">
        <w:rPr>
          <w:lang w:val="fr-CH"/>
        </w:rPr>
        <w:br/>
      </w:r>
      <w:r w:rsidRPr="00CA3220">
        <w:rPr>
          <w:lang w:val="fr-CH"/>
        </w:rPr>
        <w:br/>
        <w:t>Réseau intelligent en Indonésie</w:t>
      </w:r>
      <w:bookmarkEnd w:id="254"/>
      <w:bookmarkEnd w:id="249"/>
      <w:bookmarkEnd w:id="250"/>
      <w:bookmarkEnd w:id="251"/>
      <w:bookmarkEnd w:id="252"/>
      <w:bookmarkEnd w:id="253"/>
    </w:p>
    <w:p w:rsidR="00DE31BE" w:rsidRPr="00CA3220" w:rsidRDefault="00DE31BE" w:rsidP="00664299">
      <w:pPr>
        <w:pStyle w:val="Heading2"/>
        <w:rPr>
          <w:lang w:val="fr-CH"/>
        </w:rPr>
      </w:pPr>
      <w:bookmarkStart w:id="255" w:name="_Toc438029916"/>
      <w:bookmarkStart w:id="256" w:name="_Toc440533928"/>
      <w:bookmarkStart w:id="257" w:name="_Toc498437800"/>
      <w:bookmarkStart w:id="258" w:name="_Toc498500140"/>
      <w:bookmarkStart w:id="259" w:name="_Toc498500390"/>
      <w:bookmarkStart w:id="260" w:name="_Toc498516156"/>
      <w:r w:rsidRPr="00CA3220">
        <w:rPr>
          <w:lang w:val="fr-CH"/>
        </w:rPr>
        <w:t>A6.1</w:t>
      </w:r>
      <w:r w:rsidRPr="00CA3220">
        <w:rPr>
          <w:lang w:val="fr-CH"/>
        </w:rPr>
        <w:tab/>
        <w:t>Introduction</w:t>
      </w:r>
      <w:bookmarkEnd w:id="255"/>
      <w:bookmarkEnd w:id="256"/>
      <w:bookmarkEnd w:id="257"/>
      <w:bookmarkEnd w:id="258"/>
      <w:bookmarkEnd w:id="259"/>
      <w:bookmarkEnd w:id="260"/>
    </w:p>
    <w:p w:rsidR="00DE31BE" w:rsidRPr="00CA3220" w:rsidRDefault="00DE31BE" w:rsidP="00664299">
      <w:pPr>
        <w:rPr>
          <w:lang w:val="fr-CH"/>
        </w:rPr>
      </w:pPr>
      <w:r w:rsidRPr="00CA3220">
        <w:rPr>
          <w:lang w:val="fr-CH"/>
        </w:rPr>
        <w:t xml:space="preserve">La mise en oeuvre d'un réseau intelligent a nécessité des équipements technologiques modifiant le flux de service depuis la centrale électrique vers les clients, avec sept grands domaines: production de gros, transmission, distribution, clients, exploitation, marché et fourniture de services. Pour chaque domaine, des éléments de réseaux intelligents sont connectés entre eux grâce à des technologies analogiques ou numériques de communications bidirectionnelles qui permettent de rassembler des informations et servent à faire circuler l'information et l'électricité. La connexion est un élément </w:t>
      </w:r>
      <w:r w:rsidRPr="00CA3220">
        <w:rPr>
          <w:lang w:val="fr-CH"/>
        </w:rPr>
        <w:lastRenderedPageBreak/>
        <w:t>essentiel dans le réseau intelligent pour pouvoir accroître l'efficacité, la fiabilité, la sécurité, la rentabilité et la pérennité de la production et de la distribution d'électricité.</w:t>
      </w:r>
    </w:p>
    <w:p w:rsidR="00DE31BE" w:rsidRPr="00CA3220" w:rsidRDefault="00DE31BE" w:rsidP="00664299">
      <w:pPr>
        <w:pStyle w:val="FigureNo"/>
        <w:rPr>
          <w:lang w:val="fr-CH"/>
        </w:rPr>
      </w:pPr>
      <w:r w:rsidRPr="00CA3220">
        <w:rPr>
          <w:lang w:val="fr-CH"/>
        </w:rPr>
        <w:t>FIGURE A6.1</w:t>
      </w:r>
    </w:p>
    <w:p w:rsidR="00DE31BE" w:rsidRPr="00CA3220" w:rsidRDefault="00DE31BE" w:rsidP="00664299">
      <w:pPr>
        <w:pStyle w:val="Figuretitle"/>
        <w:spacing w:after="240"/>
        <w:rPr>
          <w:lang w:val="fr-CH"/>
        </w:rPr>
      </w:pPr>
      <w:r w:rsidRPr="00CA3220">
        <w:rPr>
          <w:lang w:val="fr-CH"/>
        </w:rPr>
        <w:t>Interaction entre les acteurs du réseau intelligent</w:t>
      </w:r>
    </w:p>
    <w:p w:rsidR="00DE31BE" w:rsidRPr="00CA3220" w:rsidRDefault="00C5455C" w:rsidP="00664299">
      <w:pPr>
        <w:pStyle w:val="Figure"/>
        <w:rPr>
          <w:lang w:val="fr-CH"/>
        </w:rPr>
      </w:pPr>
      <w:r w:rsidRPr="00CA3220">
        <w:rPr>
          <w:lang w:val="fr-CH"/>
        </w:rPr>
        <w:object w:dxaOrig="5420" w:dyaOrig="3221">
          <v:shape id="_x0000_i1027" type="#_x0000_t75" style="width:359.6pt;height:213.75pt" o:ole="">
            <v:imagedata r:id="rId35" o:title=""/>
          </v:shape>
          <o:OLEObject Type="Embed" ProgID="CorelDraw.Graphic.16" ShapeID="_x0000_i1027" DrawAspect="Content" ObjectID="_1572260668" r:id="rId36"/>
        </w:object>
      </w:r>
    </w:p>
    <w:p w:rsidR="00DE31BE" w:rsidRPr="00CA3220" w:rsidRDefault="00DE31BE" w:rsidP="00664299">
      <w:pPr>
        <w:pStyle w:val="Normalaftertitle0"/>
        <w:jc w:val="both"/>
        <w:rPr>
          <w:lang w:val="fr-CH"/>
        </w:rPr>
      </w:pPr>
      <w:r w:rsidRPr="00CA3220">
        <w:rPr>
          <w:lang w:val="fr-CH"/>
        </w:rPr>
        <w:t>Un réseau intelligent est un réseau de système à système, qui comprend trois couches principales: couche électricité et énergie, couche communication et couche technologies de l'information. Ces couches sont des éléments essentiels pour les flux électriques et les flux de communication.</w:t>
      </w:r>
    </w:p>
    <w:p w:rsidR="00DE31BE" w:rsidRPr="00CA3220" w:rsidRDefault="00DE31BE" w:rsidP="00664299">
      <w:pPr>
        <w:rPr>
          <w:lang w:val="fr-CH"/>
        </w:rPr>
      </w:pPr>
      <w:r w:rsidRPr="00CA3220">
        <w:rPr>
          <w:lang w:val="fr-CH"/>
        </w:rPr>
        <w:t>La consommation d'électricité/d'énergie et les prix correspondants sont orientés à la hausse, tout comme le nombre d'abonnés au service mobile.</w:t>
      </w:r>
    </w:p>
    <w:p w:rsidR="00DE31BE" w:rsidRPr="00CA3220" w:rsidRDefault="00DE31BE" w:rsidP="00664299">
      <w:pPr>
        <w:pStyle w:val="Heading2"/>
        <w:rPr>
          <w:lang w:val="fr-CH"/>
        </w:rPr>
      </w:pPr>
      <w:bookmarkStart w:id="261" w:name="_Toc438029917"/>
      <w:bookmarkStart w:id="262" w:name="_Toc440533929"/>
      <w:bookmarkStart w:id="263" w:name="_Toc498437801"/>
      <w:bookmarkStart w:id="264" w:name="_Toc498500141"/>
      <w:bookmarkStart w:id="265" w:name="_Toc498500391"/>
      <w:bookmarkStart w:id="266" w:name="_Toc498516157"/>
      <w:r w:rsidRPr="00CA3220">
        <w:rPr>
          <w:lang w:val="fr-CH"/>
        </w:rPr>
        <w:t>A6.2</w:t>
      </w:r>
      <w:r w:rsidRPr="00CA3220">
        <w:rPr>
          <w:lang w:val="fr-CH"/>
        </w:rPr>
        <w:tab/>
        <w:t>Développement du réseau intelligent et questions à résoudre</w:t>
      </w:r>
      <w:bookmarkEnd w:id="261"/>
      <w:bookmarkEnd w:id="262"/>
      <w:bookmarkEnd w:id="263"/>
      <w:bookmarkEnd w:id="264"/>
      <w:bookmarkEnd w:id="265"/>
      <w:bookmarkEnd w:id="266"/>
    </w:p>
    <w:p w:rsidR="00DE31BE" w:rsidRPr="00CA3220" w:rsidRDefault="00DE31BE" w:rsidP="00664299">
      <w:pPr>
        <w:rPr>
          <w:lang w:val="fr-CH"/>
        </w:rPr>
      </w:pPr>
      <w:r w:rsidRPr="00CA3220">
        <w:rPr>
          <w:lang w:val="fr-CH"/>
        </w:rPr>
        <w:t>Le Gouvernement indonésien a conscience qu'un réseau intelligent pourrait offrir une nouvelle solution pour utiliser efficacement électricité. L'organisme public compétent a donc élaboré un projet pilote de mise en oeuvre d'un réseau intelligent dans l'est de l'Indonésie. Ce projet a été mené par l'agence pour l'évaluation et l'application des technologies, en coopération avec PLN (la</w:t>
      </w:r>
      <w:r w:rsidR="00525840" w:rsidRPr="00CA3220">
        <w:rPr>
          <w:lang w:val="fr-CH"/>
        </w:rPr>
        <w:t> </w:t>
      </w:r>
      <w:r w:rsidRPr="00CA3220">
        <w:rPr>
          <w:lang w:val="fr-CH"/>
        </w:rPr>
        <w:t>compagnie nationale d'électricité).</w:t>
      </w:r>
    </w:p>
    <w:p w:rsidR="00DE31BE" w:rsidRPr="00CA3220" w:rsidRDefault="00DE31BE" w:rsidP="00664299">
      <w:pPr>
        <w:rPr>
          <w:lang w:val="fr-CH"/>
        </w:rPr>
      </w:pPr>
      <w:r w:rsidRPr="00CA3220">
        <w:rPr>
          <w:lang w:val="fr-CH"/>
        </w:rPr>
        <w:t>Le développement du réseau intelligent suppose de résoudre plusieurs questions. Certains aspects technologiques et commerciaux pourraient servir de base dans le cadre de l'élaboration de la politique et de la réglementation.</w:t>
      </w:r>
    </w:p>
    <w:p w:rsidR="00DE31BE" w:rsidRPr="00CA3220" w:rsidRDefault="00DE31BE" w:rsidP="00664299">
      <w:pPr>
        <w:pStyle w:val="FigureNo"/>
        <w:rPr>
          <w:lang w:val="fr-CH"/>
        </w:rPr>
      </w:pPr>
      <w:r w:rsidRPr="00CA3220">
        <w:rPr>
          <w:lang w:val="fr-CH"/>
        </w:rPr>
        <w:lastRenderedPageBreak/>
        <w:t>FIGURE A6.2</w:t>
      </w:r>
    </w:p>
    <w:p w:rsidR="00DE31BE" w:rsidRPr="00CA3220" w:rsidRDefault="00DE31BE" w:rsidP="00664299">
      <w:pPr>
        <w:pStyle w:val="Figuretitle"/>
        <w:spacing w:after="240"/>
        <w:rPr>
          <w:lang w:val="fr-CH"/>
        </w:rPr>
      </w:pPr>
      <w:r w:rsidRPr="00CA3220">
        <w:rPr>
          <w:lang w:val="fr-CH"/>
        </w:rPr>
        <w:t>Questions à résoudre</w:t>
      </w:r>
    </w:p>
    <w:p w:rsidR="00DE31BE" w:rsidRPr="00CA3220" w:rsidRDefault="00DE31BE" w:rsidP="00664299">
      <w:pPr>
        <w:pStyle w:val="Figure"/>
        <w:rPr>
          <w:lang w:val="fr-CH"/>
        </w:rPr>
      </w:pPr>
      <w:r w:rsidRPr="00CA3220">
        <w:rPr>
          <w:lang w:val="fr-CH"/>
        </w:rPr>
        <w:object w:dxaOrig="6049" w:dyaOrig="6413">
          <v:shape id="_x0000_i1028" type="#_x0000_t75" style="width:362.65pt;height:385.1pt" o:ole="">
            <v:imagedata r:id="rId37" o:title=""/>
          </v:shape>
          <o:OLEObject Type="Embed" ProgID="CorelDraw.Graphic.16" ShapeID="_x0000_i1028" DrawAspect="Content" ObjectID="_1572260669" r:id="rId38"/>
        </w:object>
      </w:r>
    </w:p>
    <w:p w:rsidR="00DE31BE" w:rsidRPr="00CA3220" w:rsidRDefault="00DE31BE" w:rsidP="00664299">
      <w:pPr>
        <w:pStyle w:val="Normalaftertitle0"/>
        <w:jc w:val="both"/>
        <w:rPr>
          <w:lang w:val="fr-CH"/>
        </w:rPr>
      </w:pPr>
      <w:r w:rsidRPr="00CA3220">
        <w:rPr>
          <w:lang w:val="fr-CH"/>
        </w:rPr>
        <w:t>En ce qui concerne la Figure A6.2 et les deux principales questions ayant une incidence sur le développement du réseau intelligent, plusieurs points liés aux télécommunications et aux technologies de l'information nous préoccupent, à savoir:</w:t>
      </w:r>
    </w:p>
    <w:p w:rsidR="00DE31BE" w:rsidRPr="00CA3220" w:rsidRDefault="00DE31BE" w:rsidP="00664299">
      <w:pPr>
        <w:pStyle w:val="enumlev1"/>
        <w:rPr>
          <w:lang w:val="fr-CH"/>
        </w:rPr>
      </w:pPr>
      <w:r w:rsidRPr="00CA3220">
        <w:rPr>
          <w:lang w:val="fr-CH"/>
        </w:rPr>
        <w:t>a)</w:t>
      </w:r>
      <w:r w:rsidRPr="00CA3220">
        <w:rPr>
          <w:lang w:val="fr-CH"/>
        </w:rPr>
        <w:tab/>
        <w:t>La fourniture d'équipement normalisé:</w:t>
      </w:r>
    </w:p>
    <w:p w:rsidR="00DE31BE" w:rsidRPr="00CA3220" w:rsidRDefault="00DE31BE" w:rsidP="00664299">
      <w:pPr>
        <w:pStyle w:val="enumlev1"/>
        <w:rPr>
          <w:lang w:val="fr-CH"/>
        </w:rPr>
      </w:pPr>
      <w:r w:rsidRPr="00CA3220">
        <w:rPr>
          <w:lang w:val="fr-CH"/>
        </w:rPr>
        <w:tab/>
        <w:t>Donner une description succincte des spécifications techniques des équipements afin de vérifier la compatibilité.</w:t>
      </w:r>
    </w:p>
    <w:p w:rsidR="00DE31BE" w:rsidRPr="00CA3220" w:rsidRDefault="00DE31BE" w:rsidP="00664299">
      <w:pPr>
        <w:pStyle w:val="enumlev1"/>
        <w:rPr>
          <w:lang w:val="fr-CH"/>
        </w:rPr>
      </w:pPr>
      <w:r w:rsidRPr="00CA3220">
        <w:rPr>
          <w:lang w:val="fr-CH"/>
        </w:rPr>
        <w:t>b)</w:t>
      </w:r>
      <w:r w:rsidRPr="00CA3220">
        <w:rPr>
          <w:lang w:val="fr-CH"/>
        </w:rPr>
        <w:tab/>
        <w:t>Les ressources spectrales:</w:t>
      </w:r>
    </w:p>
    <w:p w:rsidR="00DE31BE" w:rsidRPr="00CA3220" w:rsidRDefault="00DE31BE" w:rsidP="00664299">
      <w:pPr>
        <w:pStyle w:val="enumlev1"/>
        <w:rPr>
          <w:lang w:val="fr-CH"/>
        </w:rPr>
      </w:pPr>
      <w:r w:rsidRPr="00CA3220">
        <w:rPr>
          <w:lang w:val="fr-CH"/>
        </w:rPr>
        <w:tab/>
        <w:t>Mettre au point un plan stratégique concernant l'attribution du spectre et la largeur de bande nécessaire pour cette application. Cette question est importante si l'on veut utiliser efficacement les ressources limitées.</w:t>
      </w:r>
    </w:p>
    <w:p w:rsidR="00DE31BE" w:rsidRPr="00CA3220" w:rsidRDefault="00DE31BE" w:rsidP="008953B1">
      <w:pPr>
        <w:pStyle w:val="enumlev1"/>
        <w:rPr>
          <w:lang w:val="fr-CH"/>
        </w:rPr>
      </w:pPr>
      <w:r w:rsidRPr="00CA3220">
        <w:rPr>
          <w:lang w:val="fr-CH"/>
        </w:rPr>
        <w:t>c)</w:t>
      </w:r>
      <w:r w:rsidRPr="00CA3220">
        <w:rPr>
          <w:lang w:val="fr-CH"/>
        </w:rPr>
        <w:tab/>
        <w:t>Les brouillages radioélectriques:</w:t>
      </w:r>
    </w:p>
    <w:p w:rsidR="00DE31BE" w:rsidRPr="00CA3220" w:rsidRDefault="00DE31BE" w:rsidP="008953B1">
      <w:pPr>
        <w:pStyle w:val="enumlev1"/>
        <w:rPr>
          <w:lang w:val="fr-CH"/>
        </w:rPr>
      </w:pPr>
      <w:r w:rsidRPr="00CA3220">
        <w:rPr>
          <w:lang w:val="fr-CH"/>
        </w:rPr>
        <w:tab/>
        <w:t>S'assurer que la mise en oeuvre de cette technologie ne cause pas de brouillages aux autres services.</w:t>
      </w:r>
    </w:p>
    <w:p w:rsidR="00DE31BE" w:rsidRPr="00CA3220" w:rsidRDefault="00DE31BE" w:rsidP="008953B1">
      <w:pPr>
        <w:pStyle w:val="enumlev1"/>
        <w:rPr>
          <w:lang w:val="fr-CH"/>
        </w:rPr>
      </w:pPr>
      <w:r w:rsidRPr="00CA3220">
        <w:rPr>
          <w:lang w:val="fr-CH"/>
        </w:rPr>
        <w:t>d)</w:t>
      </w:r>
      <w:r w:rsidRPr="00CA3220">
        <w:rPr>
          <w:lang w:val="fr-CH"/>
        </w:rPr>
        <w:tab/>
        <w:t>La sécurité des réseaux:</w:t>
      </w:r>
    </w:p>
    <w:p w:rsidR="00DE31BE" w:rsidRPr="00CA3220" w:rsidRDefault="00DE31BE" w:rsidP="008953B1">
      <w:pPr>
        <w:pStyle w:val="enumlev1"/>
        <w:rPr>
          <w:lang w:val="fr-CH"/>
        </w:rPr>
      </w:pPr>
      <w:r w:rsidRPr="00CA3220">
        <w:rPr>
          <w:lang w:val="fr-CH"/>
        </w:rPr>
        <w:tab/>
        <w:t>Garantir la sécurité des flux de données.</w:t>
      </w:r>
    </w:p>
    <w:p w:rsidR="00DE31BE" w:rsidRPr="00CA3220" w:rsidRDefault="00DE31BE" w:rsidP="002D594E">
      <w:pPr>
        <w:keepNext/>
        <w:keepLines/>
        <w:rPr>
          <w:lang w:val="fr-CH"/>
        </w:rPr>
      </w:pPr>
      <w:r w:rsidRPr="00CA3220">
        <w:rPr>
          <w:lang w:val="fr-CH"/>
        </w:rPr>
        <w:lastRenderedPageBreak/>
        <w:t>Etant donné que cette application pourrait être mise en oeuvre dans différents services mobiles (large bande), il est proposé que la commission d'études examine plus avant les exigences liées aux télécommunications, afin d'aider les pays en développement à élaborer un plan stratégique qui les aidera à définir des politiques et des réglementations adaptées concernant la mise en oeuvre des réseaux intelligents.</w:t>
      </w:r>
    </w:p>
    <w:p w:rsidR="00DE31BE" w:rsidRPr="00CA3220" w:rsidRDefault="00DE31BE" w:rsidP="00664299">
      <w:pPr>
        <w:rPr>
          <w:rFonts w:asciiTheme="majorBidi" w:hAnsiTheme="majorBidi" w:cstheme="majorBidi"/>
          <w:b/>
          <w:szCs w:val="24"/>
          <w:lang w:val="fr-CH"/>
        </w:rPr>
      </w:pPr>
    </w:p>
    <w:p w:rsidR="00DE31BE" w:rsidRPr="00CA3220" w:rsidRDefault="00DE31BE" w:rsidP="00664299">
      <w:pPr>
        <w:rPr>
          <w:rFonts w:asciiTheme="majorBidi" w:hAnsiTheme="majorBidi" w:cstheme="majorBidi"/>
          <w:b/>
          <w:szCs w:val="24"/>
          <w:lang w:val="fr-CH"/>
        </w:rPr>
      </w:pPr>
    </w:p>
    <w:p w:rsidR="00DE31BE" w:rsidRPr="00CA3220" w:rsidRDefault="00DE31BE" w:rsidP="00664299">
      <w:pPr>
        <w:pStyle w:val="AnnexNoTitle"/>
        <w:rPr>
          <w:lang w:val="fr-CH"/>
        </w:rPr>
      </w:pPr>
      <w:bookmarkStart w:id="267" w:name="_Toc438029918"/>
      <w:bookmarkStart w:id="268" w:name="_Toc440533930"/>
      <w:bookmarkStart w:id="269" w:name="_Toc498437802"/>
      <w:bookmarkStart w:id="270" w:name="_Toc498500142"/>
      <w:bookmarkStart w:id="271" w:name="_Toc498500392"/>
      <w:bookmarkStart w:id="272" w:name="_Toc498516158"/>
      <w:r w:rsidRPr="00CA3220">
        <w:rPr>
          <w:lang w:val="fr-CH"/>
        </w:rPr>
        <w:t>Annexe 7</w:t>
      </w:r>
      <w:bookmarkStart w:id="273" w:name="_Toc438029919"/>
      <w:bookmarkEnd w:id="267"/>
      <w:r w:rsidRPr="00CA3220">
        <w:rPr>
          <w:lang w:val="fr-CH"/>
        </w:rPr>
        <w:br/>
      </w:r>
      <w:r w:rsidRPr="00CA3220">
        <w:rPr>
          <w:lang w:val="fr-CH"/>
        </w:rPr>
        <w:br/>
        <w:t xml:space="preserve">Activités de recherche sur les technologies d'accès hertzien </w:t>
      </w:r>
      <w:r w:rsidRPr="00CA3220">
        <w:rPr>
          <w:lang w:val="fr-CH"/>
        </w:rPr>
        <w:br/>
        <w:t>pour les réseaux intelligents en Chine</w:t>
      </w:r>
      <w:bookmarkEnd w:id="273"/>
      <w:bookmarkEnd w:id="268"/>
      <w:bookmarkEnd w:id="269"/>
      <w:bookmarkEnd w:id="270"/>
      <w:bookmarkEnd w:id="271"/>
      <w:bookmarkEnd w:id="272"/>
    </w:p>
    <w:p w:rsidR="00DE31BE" w:rsidRPr="00CA3220" w:rsidRDefault="00DE31BE" w:rsidP="00664299">
      <w:pPr>
        <w:pStyle w:val="Heading2"/>
        <w:rPr>
          <w:lang w:val="fr-CH"/>
        </w:rPr>
      </w:pPr>
      <w:bookmarkStart w:id="274" w:name="_Toc438029920"/>
      <w:bookmarkStart w:id="275" w:name="_Toc440533931"/>
      <w:bookmarkStart w:id="276" w:name="_Toc498437803"/>
      <w:bookmarkStart w:id="277" w:name="_Toc498500143"/>
      <w:bookmarkStart w:id="278" w:name="_Toc498500393"/>
      <w:bookmarkStart w:id="279" w:name="_Toc498516159"/>
      <w:r w:rsidRPr="00CA3220">
        <w:rPr>
          <w:lang w:val="fr-CH"/>
        </w:rPr>
        <w:t>A7.1</w:t>
      </w:r>
      <w:r w:rsidRPr="00CA3220">
        <w:rPr>
          <w:lang w:val="fr-CH"/>
        </w:rPr>
        <w:tab/>
        <w:t>Introduction</w:t>
      </w:r>
      <w:bookmarkEnd w:id="274"/>
      <w:bookmarkEnd w:id="275"/>
      <w:bookmarkEnd w:id="276"/>
      <w:bookmarkEnd w:id="277"/>
      <w:bookmarkEnd w:id="278"/>
      <w:bookmarkEnd w:id="279"/>
    </w:p>
    <w:p w:rsidR="00DE31BE" w:rsidRPr="00CA3220" w:rsidRDefault="00DE31BE" w:rsidP="00664299">
      <w:pPr>
        <w:rPr>
          <w:lang w:val="fr-CH"/>
        </w:rPr>
      </w:pPr>
      <w:r w:rsidRPr="00CA3220">
        <w:rPr>
          <w:lang w:val="fr-CH"/>
        </w:rPr>
        <w:t xml:space="preserve">La technologie hertzienne représente un élément important du système de gestion de l'électricité, grâce auquel différentes informations relatives à la gestion et au contrôle sont transmises dans le cadre d'interactions bidirectionnelles en temps réel. Au départ, les capacités de communication requises par les réseaux de communication utilisés pour la distribution et l'utilisation d'électricité sont généralement faibles. Les dispositifs classiques de communication hertziens à bande étroite, qui utilisent des fréquences attribuées au service fixe, servent très souvent de moyens de communication hertziens privés pour les systèmes de gestion de l'électricité. Avec le développement des réseaux intelligents, l'acquisition de données relatives à l'énergie électrique, la gestion de la demande de charges et les services de vidéosurveillance sur place que suppose le réseau de communication utilisé pour la distribution et l'utilisation de l'électricité se traduisent par des exigences plus importantes en termes de largeur de bande pour les communications, de délais de transmission et de fiabilité. Dans ce contexte, la Chine mène des activités de recherche et construit une nouvelle génération de réseau de communication pour le réseau intelligent. Actuellement, ce nouveau système de communication hertzien comprend des applications pilotes à grande échelle pour </w:t>
      </w:r>
      <w:r w:rsidR="00CA3220" w:rsidRPr="00CA3220">
        <w:rPr>
          <w:lang w:val="fr-CH"/>
        </w:rPr>
        <w:t>le réseau intelligent</w:t>
      </w:r>
      <w:r w:rsidRPr="00CA3220">
        <w:rPr>
          <w:lang w:val="fr-CH"/>
        </w:rPr>
        <w:t xml:space="preserve"> en Chine.</w:t>
      </w:r>
    </w:p>
    <w:p w:rsidR="00DE31BE" w:rsidRPr="00CA3220" w:rsidRDefault="00DE31BE" w:rsidP="00664299">
      <w:pPr>
        <w:pStyle w:val="Heading2"/>
        <w:rPr>
          <w:b w:val="0"/>
          <w:lang w:val="fr-CH"/>
        </w:rPr>
      </w:pPr>
      <w:bookmarkStart w:id="280" w:name="_Toc438029921"/>
      <w:bookmarkStart w:id="281" w:name="_Toc440533932"/>
      <w:bookmarkStart w:id="282" w:name="_Toc498437804"/>
      <w:bookmarkStart w:id="283" w:name="_Toc498500144"/>
      <w:bookmarkStart w:id="284" w:name="_Toc498500394"/>
      <w:bookmarkStart w:id="285" w:name="_Toc498516160"/>
      <w:r w:rsidRPr="00CA3220">
        <w:rPr>
          <w:lang w:val="fr-CH"/>
        </w:rPr>
        <w:t>A7.2</w:t>
      </w:r>
      <w:r w:rsidRPr="00CA3220">
        <w:rPr>
          <w:lang w:val="fr-CH"/>
        </w:rPr>
        <w:tab/>
        <w:t>Technologie d'accès hertzien pour le réseau intelligent en Chine</w:t>
      </w:r>
      <w:bookmarkEnd w:id="280"/>
      <w:bookmarkEnd w:id="281"/>
      <w:bookmarkEnd w:id="282"/>
      <w:bookmarkEnd w:id="283"/>
      <w:bookmarkEnd w:id="284"/>
      <w:bookmarkEnd w:id="285"/>
    </w:p>
    <w:p w:rsidR="00DE31BE" w:rsidRPr="00CA3220" w:rsidRDefault="00DE31BE" w:rsidP="00664299">
      <w:pPr>
        <w:pStyle w:val="Heading3"/>
        <w:rPr>
          <w:lang w:val="fr-CH"/>
        </w:rPr>
      </w:pPr>
      <w:r w:rsidRPr="00CA3220">
        <w:rPr>
          <w:lang w:val="fr-CH"/>
        </w:rPr>
        <w:t>A7.2.1</w:t>
      </w:r>
      <w:r w:rsidRPr="00CA3220">
        <w:rPr>
          <w:lang w:val="fr-CH"/>
        </w:rPr>
        <w:tab/>
        <w:t>Introduction</w:t>
      </w:r>
    </w:p>
    <w:p w:rsidR="00DE31BE" w:rsidRPr="00CA3220" w:rsidRDefault="00DE31BE" w:rsidP="00664299">
      <w:pPr>
        <w:rPr>
          <w:lang w:val="fr-CH"/>
        </w:rPr>
      </w:pPr>
      <w:r w:rsidRPr="00CA3220">
        <w:rPr>
          <w:lang w:val="fr-CH"/>
        </w:rPr>
        <w:t>Le réseau hertzien intelligent à large couverture pour l'industrie (SWIN) est conçu pour répondre pleinement aux besoins de services du réseau intelligent. Il repose sur une technologie 4G et utilise la bande de fréquences 223</w:t>
      </w:r>
      <w:r w:rsidRPr="00CA3220">
        <w:rPr>
          <w:lang w:val="fr-CH"/>
        </w:rPr>
        <w:noBreakHyphen/>
        <w:t>235 MHz soumise à obligation de licences pour le réseau intelligent. Ce système présente de nombreux avantages par rapport aux systèmes de communication hertziens à bande étroite, par exemple une grande couverture, des capacités d'accès d'abonnés considérables, une grande efficacité spectrale, un fonctionnement en temps réel, une sécurité et une fiabilité considérables, des fonctionnalités performantes de gestion du réseau, etc.</w:t>
      </w:r>
    </w:p>
    <w:p w:rsidR="00DE31BE" w:rsidRPr="00CA3220" w:rsidRDefault="00DE31BE" w:rsidP="00664299">
      <w:pPr>
        <w:pStyle w:val="Heading3"/>
        <w:rPr>
          <w:lang w:val="fr-CH"/>
        </w:rPr>
      </w:pPr>
      <w:r w:rsidRPr="00CA3220">
        <w:rPr>
          <w:lang w:val="fr-CH"/>
        </w:rPr>
        <w:t>A7.2.2</w:t>
      </w:r>
      <w:r w:rsidRPr="00CA3220">
        <w:rPr>
          <w:lang w:val="fr-CH"/>
        </w:rPr>
        <w:tab/>
        <w:t>Principales caractéristiques techniques</w:t>
      </w:r>
    </w:p>
    <w:p w:rsidR="00DE31BE" w:rsidRPr="00CA3220" w:rsidRDefault="00DE31BE" w:rsidP="00E95ABB">
      <w:pPr>
        <w:rPr>
          <w:lang w:val="fr-CH"/>
        </w:rPr>
      </w:pPr>
      <w:r w:rsidRPr="00CA3220">
        <w:rPr>
          <w:lang w:val="fr-CH"/>
        </w:rPr>
        <w:t xml:space="preserve">Le Bureau national d'administration des radiocommunications de la Chine a fait des attributions dans la bande 223-235 MHz par tranche de 25 kHz. En ce qui concerne les caractéristiques relatives aux spectres, le réseau SWIN permet l'agrégation de plusieurs fréquences à bande étroite discrètes pour assurer la transmission de données large bande. Par ailleurs, la technologie de détection du spectre qui permet de détecter des brouillages entre technologies d'accès radioélectrique dans les bandes adjacentes pour améliorer les possibilités de coexistence est l'une des technologies clés utilisées par </w:t>
      </w:r>
      <w:r w:rsidRPr="00CA3220">
        <w:rPr>
          <w:lang w:val="fr-CH"/>
        </w:rPr>
        <w:lastRenderedPageBreak/>
        <w:t>le réseau SWIN. Il est ainsi possible de garantir la coexistence avec les systèmes à bande étroite existants dans la même bande de fréquences 223</w:t>
      </w:r>
      <w:r w:rsidR="00E95ABB">
        <w:rPr>
          <w:lang w:val="fr-CH"/>
        </w:rPr>
        <w:t>-</w:t>
      </w:r>
      <w:r w:rsidRPr="00CA3220">
        <w:rPr>
          <w:lang w:val="fr-CH"/>
        </w:rPr>
        <w:t>235 MHz.</w:t>
      </w:r>
    </w:p>
    <w:p w:rsidR="00DE31BE" w:rsidRPr="00CA3220" w:rsidRDefault="00DE31BE" w:rsidP="00664299">
      <w:pPr>
        <w:pStyle w:val="TableNo"/>
        <w:rPr>
          <w:lang w:val="fr-CH"/>
        </w:rPr>
      </w:pPr>
      <w:r w:rsidRPr="00CA3220">
        <w:rPr>
          <w:lang w:val="fr-CH"/>
        </w:rPr>
        <w:t>TABLEAU A7.1</w:t>
      </w:r>
    </w:p>
    <w:p w:rsidR="00DE31BE" w:rsidRPr="00CA3220" w:rsidRDefault="00DE31BE" w:rsidP="00664299">
      <w:pPr>
        <w:pStyle w:val="Tabletitle"/>
        <w:rPr>
          <w:lang w:val="fr-CH"/>
        </w:rPr>
      </w:pPr>
      <w:r w:rsidRPr="00CA3220">
        <w:rPr>
          <w:lang w:val="fr-CH"/>
        </w:rPr>
        <w:t>Caractéristiques techniques et opérationnelles du réseau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DE31BE" w:rsidRPr="00CA3220" w:rsidTr="00B824BF">
        <w:trPr>
          <w:cantSplit/>
          <w:tblHeader/>
          <w:jc w:val="center"/>
        </w:trPr>
        <w:tc>
          <w:tcPr>
            <w:tcW w:w="3510" w:type="dxa"/>
          </w:tcPr>
          <w:p w:rsidR="00DE31BE" w:rsidRPr="00CA3220" w:rsidRDefault="00DE31BE" w:rsidP="00664299">
            <w:pPr>
              <w:pStyle w:val="Tablehead"/>
              <w:rPr>
                <w:lang w:val="fr-CH"/>
              </w:rPr>
            </w:pPr>
            <w:r w:rsidRPr="00CA3220">
              <w:rPr>
                <w:lang w:val="fr-CH"/>
              </w:rPr>
              <w:t>Fonction</w:t>
            </w:r>
          </w:p>
        </w:tc>
        <w:tc>
          <w:tcPr>
            <w:tcW w:w="5012" w:type="dxa"/>
          </w:tcPr>
          <w:p w:rsidR="00DE31BE" w:rsidRPr="00CA3220" w:rsidRDefault="00DE31BE" w:rsidP="00664299">
            <w:pPr>
              <w:pStyle w:val="Tablehead"/>
              <w:rPr>
                <w:lang w:val="fr-CH"/>
              </w:rPr>
            </w:pPr>
            <w:r w:rsidRPr="00CA3220">
              <w:rPr>
                <w:lang w:val="fr-CH"/>
              </w:rPr>
              <w:t>Valeurs</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Bandes de fréquences prises en charge, avec ou sans licence (MHz)</w:t>
            </w:r>
          </w:p>
        </w:tc>
        <w:tc>
          <w:tcPr>
            <w:tcW w:w="5012" w:type="dxa"/>
          </w:tcPr>
          <w:p w:rsidR="00DE31BE" w:rsidRPr="00CA3220" w:rsidRDefault="00DE31BE" w:rsidP="00664299">
            <w:pPr>
              <w:pStyle w:val="Tabletext"/>
              <w:jc w:val="center"/>
              <w:rPr>
                <w:lang w:val="fr-CH" w:eastAsia="zh-CN"/>
              </w:rPr>
            </w:pPr>
            <w:r w:rsidRPr="00CA3220">
              <w:rPr>
                <w:lang w:val="fr-CH" w:eastAsia="zh-CN"/>
              </w:rPr>
              <w:t>Bande de fréquences avec licence: 223-235 MHz</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Portée opérationnelle nominale</w:t>
            </w:r>
          </w:p>
        </w:tc>
        <w:tc>
          <w:tcPr>
            <w:tcW w:w="5012" w:type="dxa"/>
          </w:tcPr>
          <w:p w:rsidR="00DE31BE" w:rsidRPr="00CA3220" w:rsidRDefault="00DE31BE" w:rsidP="002D594E">
            <w:pPr>
              <w:pStyle w:val="Tabletext"/>
              <w:jc w:val="center"/>
              <w:rPr>
                <w:lang w:val="fr-CH" w:eastAsia="zh-CN"/>
              </w:rPr>
            </w:pPr>
            <w:r w:rsidRPr="00CA3220">
              <w:rPr>
                <w:lang w:val="fr-CH" w:eastAsia="zh-CN"/>
              </w:rPr>
              <w:t>3</w:t>
            </w:r>
            <w:r w:rsidR="002D594E">
              <w:rPr>
                <w:lang w:val="fr-CH" w:eastAsia="zh-CN"/>
              </w:rPr>
              <w:t>-</w:t>
            </w:r>
            <w:r w:rsidRPr="00CA3220">
              <w:rPr>
                <w:lang w:val="fr-CH" w:eastAsia="zh-CN"/>
              </w:rPr>
              <w:t>30 km</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Fonctionnalités de mobilité (nomade/mobile)</w:t>
            </w:r>
          </w:p>
        </w:tc>
        <w:tc>
          <w:tcPr>
            <w:tcW w:w="5012" w:type="dxa"/>
          </w:tcPr>
          <w:p w:rsidR="00DE31BE" w:rsidRPr="00CA3220" w:rsidRDefault="00DE31BE" w:rsidP="00664299">
            <w:pPr>
              <w:pStyle w:val="Tabletext"/>
              <w:jc w:val="center"/>
              <w:rPr>
                <w:lang w:val="fr-CH"/>
              </w:rPr>
            </w:pPr>
            <w:r w:rsidRPr="00CA3220">
              <w:rPr>
                <w:lang w:val="fr-CH"/>
              </w:rPr>
              <w:t>Mobile</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Débit de données maximal (sens amont/sens aval si différents)</w:t>
            </w:r>
          </w:p>
        </w:tc>
        <w:tc>
          <w:tcPr>
            <w:tcW w:w="5012" w:type="dxa"/>
          </w:tcPr>
          <w:p w:rsidR="00DE31BE" w:rsidRPr="00CA3220" w:rsidRDefault="00DE31BE" w:rsidP="00664299">
            <w:pPr>
              <w:pStyle w:val="Tabletext"/>
              <w:jc w:val="center"/>
              <w:rPr>
                <w:lang w:val="fr-CH" w:eastAsia="zh-CN"/>
              </w:rPr>
            </w:pPr>
            <w:r w:rsidRPr="00CA3220">
              <w:rPr>
                <w:lang w:val="fr-CH" w:eastAsia="zh-CN"/>
              </w:rPr>
              <w:t>1,5 (</w:t>
            </w:r>
            <w:r w:rsidRPr="00CA3220">
              <w:rPr>
                <w:lang w:val="fr-CH"/>
              </w:rPr>
              <w:t>sens amont)</w:t>
            </w:r>
            <w:r w:rsidRPr="00CA3220">
              <w:rPr>
                <w:lang w:val="fr-CH" w:eastAsia="zh-CN"/>
              </w:rPr>
              <w:t>/0,5 (</w:t>
            </w:r>
            <w:r w:rsidRPr="00CA3220">
              <w:rPr>
                <w:lang w:val="fr-CH"/>
              </w:rPr>
              <w:t xml:space="preserve">sens aval) </w:t>
            </w:r>
            <w:r w:rsidRPr="00CA3220">
              <w:rPr>
                <w:lang w:val="fr-CH" w:eastAsia="zh-CN"/>
              </w:rPr>
              <w:t xml:space="preserve">Mbit/s </w:t>
            </w:r>
            <w:r w:rsidRPr="00CA3220">
              <w:rPr>
                <w:lang w:val="fr-CH"/>
              </w:rPr>
              <w:t>(</w:t>
            </w:r>
            <w:r w:rsidRPr="00CA3220">
              <w:rPr>
                <w:lang w:val="fr-CH" w:eastAsia="zh-CN"/>
              </w:rPr>
              <w:t>1M BW</w:t>
            </w:r>
            <w:r w:rsidRPr="00CA3220">
              <w:rPr>
                <w:lang w:val="fr-CH"/>
              </w:rPr>
              <w:t>)</w:t>
            </w:r>
          </w:p>
          <w:p w:rsidR="00DE31BE" w:rsidRPr="00CA3220" w:rsidRDefault="00DE31BE" w:rsidP="00664299">
            <w:pPr>
              <w:pStyle w:val="Tabletext"/>
              <w:jc w:val="center"/>
              <w:rPr>
                <w:lang w:val="fr-CH" w:eastAsia="zh-CN"/>
              </w:rPr>
            </w:pPr>
            <w:r w:rsidRPr="00CA3220">
              <w:rPr>
                <w:lang w:val="fr-CH" w:eastAsia="zh-CN"/>
              </w:rPr>
              <w:t>13 (</w:t>
            </w:r>
            <w:r w:rsidRPr="00CA3220">
              <w:rPr>
                <w:lang w:val="fr-CH"/>
              </w:rPr>
              <w:t>sens amont</w:t>
            </w:r>
            <w:r w:rsidRPr="00CA3220">
              <w:rPr>
                <w:lang w:val="fr-CH" w:eastAsia="zh-CN"/>
              </w:rPr>
              <w:t>)/5 (</w:t>
            </w:r>
            <w:r w:rsidRPr="00CA3220">
              <w:rPr>
                <w:lang w:val="fr-CH"/>
              </w:rPr>
              <w:t xml:space="preserve">sens aval) </w:t>
            </w:r>
            <w:r w:rsidRPr="00CA3220">
              <w:rPr>
                <w:lang w:val="fr-CH" w:eastAsia="zh-CN"/>
              </w:rPr>
              <w:t xml:space="preserve">Mbit/s </w:t>
            </w:r>
            <w:r w:rsidRPr="00CA3220">
              <w:rPr>
                <w:lang w:val="fr-CH"/>
              </w:rPr>
              <w:t>(</w:t>
            </w:r>
            <w:r w:rsidRPr="00CA3220">
              <w:rPr>
                <w:lang w:val="fr-CH" w:eastAsia="zh-CN"/>
              </w:rPr>
              <w:t>8,5M BW</w:t>
            </w:r>
            <w:r w:rsidRPr="00CA3220">
              <w:rPr>
                <w:lang w:val="fr-CH"/>
              </w:rPr>
              <w:t>)</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Méthode duplex (DRF, DRT, etc.)</w:t>
            </w:r>
          </w:p>
        </w:tc>
        <w:tc>
          <w:tcPr>
            <w:tcW w:w="5012" w:type="dxa"/>
          </w:tcPr>
          <w:p w:rsidR="00DE31BE" w:rsidRPr="00CA3220" w:rsidRDefault="00DE31BE" w:rsidP="00664299">
            <w:pPr>
              <w:pStyle w:val="Tabletext"/>
              <w:jc w:val="center"/>
              <w:rPr>
                <w:lang w:val="fr-CH"/>
              </w:rPr>
            </w:pPr>
            <w:r w:rsidRPr="00CA3220">
              <w:rPr>
                <w:lang w:val="fr-CH"/>
              </w:rPr>
              <w:t>DRT</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Largeur de bande RF nominale</w:t>
            </w:r>
          </w:p>
        </w:tc>
        <w:tc>
          <w:tcPr>
            <w:tcW w:w="5012" w:type="dxa"/>
          </w:tcPr>
          <w:p w:rsidR="00DE31BE" w:rsidRPr="00CA3220" w:rsidRDefault="00DE31BE" w:rsidP="00664299">
            <w:pPr>
              <w:pStyle w:val="Tabletext"/>
              <w:jc w:val="center"/>
              <w:rPr>
                <w:lang w:val="fr-CH" w:eastAsia="zh-CN"/>
              </w:rPr>
            </w:pPr>
            <w:r w:rsidRPr="00CA3220">
              <w:rPr>
                <w:lang w:val="fr-CH" w:eastAsia="zh-CN"/>
              </w:rPr>
              <w:t xml:space="preserve">Adaptable: 25 kHz </w:t>
            </w:r>
            <w:r w:rsidR="00300B59" w:rsidRPr="00CA3220">
              <w:rPr>
                <w:lang w:val="fr-CH" w:eastAsia="zh-CN"/>
              </w:rPr>
              <w:t>–</w:t>
            </w:r>
            <w:r w:rsidRPr="00CA3220">
              <w:rPr>
                <w:lang w:val="fr-CH" w:eastAsia="zh-CN"/>
              </w:rPr>
              <w:t xml:space="preserve"> 12 MHz</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Prise en charge de la technique MIMO</w:t>
            </w:r>
          </w:p>
        </w:tc>
        <w:tc>
          <w:tcPr>
            <w:tcW w:w="5012" w:type="dxa"/>
          </w:tcPr>
          <w:p w:rsidR="00DE31BE" w:rsidRPr="00CA3220" w:rsidRDefault="00DE31BE" w:rsidP="00664299">
            <w:pPr>
              <w:pStyle w:val="Tabletext"/>
              <w:jc w:val="center"/>
              <w:rPr>
                <w:lang w:val="fr-CH"/>
              </w:rPr>
            </w:pPr>
            <w:r w:rsidRPr="00CA3220">
              <w:rPr>
                <w:lang w:val="fr-CH"/>
              </w:rPr>
              <w:t>Non</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Retransmission</w:t>
            </w:r>
          </w:p>
        </w:tc>
        <w:tc>
          <w:tcPr>
            <w:tcW w:w="5012" w:type="dxa"/>
          </w:tcPr>
          <w:p w:rsidR="00DE31BE" w:rsidRPr="00CA3220" w:rsidRDefault="00DE31BE" w:rsidP="00664299">
            <w:pPr>
              <w:pStyle w:val="Tabletext"/>
              <w:jc w:val="center"/>
              <w:rPr>
                <w:lang w:val="fr-CH"/>
              </w:rPr>
            </w:pPr>
            <w:r w:rsidRPr="00CA3220">
              <w:rPr>
                <w:lang w:val="fr-CH" w:eastAsia="zh-CN"/>
              </w:rPr>
              <w:t>H</w:t>
            </w:r>
            <w:r w:rsidRPr="00CA3220">
              <w:rPr>
                <w:lang w:val="fr-CH"/>
              </w:rPr>
              <w:t>ARQ</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Correction d'erreur directe</w:t>
            </w:r>
          </w:p>
        </w:tc>
        <w:tc>
          <w:tcPr>
            <w:tcW w:w="5012" w:type="dxa"/>
          </w:tcPr>
          <w:p w:rsidR="00DE31BE" w:rsidRPr="00CA3220" w:rsidRDefault="00DE31BE" w:rsidP="00664299">
            <w:pPr>
              <w:pStyle w:val="Tabletext"/>
              <w:jc w:val="center"/>
              <w:rPr>
                <w:lang w:val="fr-CH" w:eastAsia="zh-CN"/>
              </w:rPr>
            </w:pPr>
            <w:r w:rsidRPr="00CA3220">
              <w:rPr>
                <w:lang w:val="fr-CH"/>
              </w:rPr>
              <w:t xml:space="preserve">Convolutionnelle, </w:t>
            </w:r>
            <w:r w:rsidRPr="00CA3220">
              <w:rPr>
                <w:lang w:val="fr-CH" w:eastAsia="zh-CN"/>
              </w:rPr>
              <w:t>Turbo</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Gestion des brouillages</w:t>
            </w:r>
          </w:p>
        </w:tc>
        <w:tc>
          <w:tcPr>
            <w:tcW w:w="5012" w:type="dxa"/>
          </w:tcPr>
          <w:p w:rsidR="00DE31BE" w:rsidRPr="00CA3220" w:rsidRDefault="00DE31BE" w:rsidP="00664299">
            <w:pPr>
              <w:pStyle w:val="Tabletext"/>
              <w:jc w:val="center"/>
              <w:rPr>
                <w:lang w:val="fr-CH" w:eastAsia="zh-CN"/>
              </w:rPr>
            </w:pPr>
            <w:r w:rsidRPr="00CA3220">
              <w:rPr>
                <w:lang w:val="fr-CH" w:eastAsia="zh-CN"/>
              </w:rPr>
              <w:t>Réutilisation partielle des fréquences, détection du spectre</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Gestion de la puissance</w:t>
            </w:r>
          </w:p>
        </w:tc>
        <w:tc>
          <w:tcPr>
            <w:tcW w:w="5012" w:type="dxa"/>
          </w:tcPr>
          <w:p w:rsidR="00DE31BE" w:rsidRPr="00CA3220" w:rsidRDefault="00DE31BE" w:rsidP="00664299">
            <w:pPr>
              <w:pStyle w:val="Tabletext"/>
              <w:jc w:val="center"/>
              <w:rPr>
                <w:lang w:val="fr-CH"/>
              </w:rPr>
            </w:pPr>
            <w:r w:rsidRPr="00CA3220">
              <w:rPr>
                <w:lang w:val="fr-CH"/>
              </w:rPr>
              <w:t>Oui</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Topologie de connexion</w:t>
            </w:r>
          </w:p>
        </w:tc>
        <w:tc>
          <w:tcPr>
            <w:tcW w:w="5012" w:type="dxa"/>
          </w:tcPr>
          <w:p w:rsidR="00DE31BE" w:rsidRPr="00CA3220" w:rsidRDefault="00DE31BE" w:rsidP="00664299">
            <w:pPr>
              <w:pStyle w:val="Tabletext"/>
              <w:jc w:val="center"/>
              <w:rPr>
                <w:lang w:val="fr-CH"/>
              </w:rPr>
            </w:pPr>
            <w:r w:rsidRPr="00CA3220">
              <w:rPr>
                <w:lang w:val="fr-CH"/>
              </w:rPr>
              <w:t xml:space="preserve">Point à </w:t>
            </w:r>
            <w:r w:rsidRPr="00CA3220">
              <w:rPr>
                <w:lang w:val="fr-CH" w:eastAsia="zh-CN"/>
              </w:rPr>
              <w:t>multi</w:t>
            </w:r>
            <w:r w:rsidRPr="00CA3220">
              <w:rPr>
                <w:lang w:val="fr-CH"/>
              </w:rPr>
              <w:t>point</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Méthodes d'accès au support</w:t>
            </w:r>
          </w:p>
        </w:tc>
        <w:tc>
          <w:tcPr>
            <w:tcW w:w="5012" w:type="dxa"/>
          </w:tcPr>
          <w:p w:rsidR="00DE31BE" w:rsidRPr="00CA3220" w:rsidRDefault="00DE31BE" w:rsidP="00664299">
            <w:pPr>
              <w:pStyle w:val="Tabletext"/>
              <w:jc w:val="center"/>
              <w:rPr>
                <w:lang w:val="fr-CH" w:eastAsia="zh-CN"/>
              </w:rPr>
            </w:pPr>
            <w:r w:rsidRPr="00CA3220">
              <w:rPr>
                <w:lang w:val="fr-CH" w:eastAsia="zh-CN"/>
              </w:rPr>
              <w:t>Accès aléatoire (fondé ou non sur la contention)</w:t>
            </w:r>
          </w:p>
        </w:tc>
      </w:tr>
      <w:tr w:rsidR="00DE31BE" w:rsidRPr="00CA3220" w:rsidTr="00B824BF">
        <w:trPr>
          <w:cantSplit/>
          <w:jc w:val="center"/>
        </w:trPr>
        <w:tc>
          <w:tcPr>
            <w:tcW w:w="3510" w:type="dxa"/>
          </w:tcPr>
          <w:p w:rsidR="00DE31BE" w:rsidRPr="00CA3220" w:rsidRDefault="00DE31BE" w:rsidP="00664299">
            <w:pPr>
              <w:pStyle w:val="Tabletext"/>
              <w:jc w:val="left"/>
              <w:rPr>
                <w:lang w:val="fr-CH" w:eastAsia="zh-CN"/>
              </w:rPr>
            </w:pPr>
            <w:r w:rsidRPr="00CA3220">
              <w:rPr>
                <w:lang w:val="fr-CH" w:eastAsia="zh-CN"/>
              </w:rPr>
              <w:t>Méthodes d'accès multiple</w:t>
            </w:r>
          </w:p>
        </w:tc>
        <w:tc>
          <w:tcPr>
            <w:tcW w:w="5012" w:type="dxa"/>
          </w:tcPr>
          <w:p w:rsidR="00DE31BE" w:rsidRPr="00CA3220" w:rsidRDefault="00DE31BE" w:rsidP="00664299">
            <w:pPr>
              <w:pStyle w:val="Tabletext"/>
              <w:jc w:val="center"/>
              <w:rPr>
                <w:lang w:val="fr-CH" w:eastAsia="zh-CN"/>
              </w:rPr>
            </w:pPr>
            <w:r w:rsidRPr="00CA3220">
              <w:rPr>
                <w:lang w:val="fr-CH" w:eastAsia="zh-CN"/>
              </w:rPr>
              <w:t xml:space="preserve">SC-FDMA (sens amont) et OFDMA </w:t>
            </w:r>
            <w:r w:rsidRPr="00CA3220">
              <w:rPr>
                <w:lang w:val="fr-CH"/>
              </w:rPr>
              <w:t>(</w:t>
            </w:r>
            <w:r w:rsidRPr="00CA3220">
              <w:rPr>
                <w:lang w:val="fr-CH" w:eastAsia="zh-CN"/>
              </w:rPr>
              <w:t>sens aval</w:t>
            </w:r>
            <w:r w:rsidRPr="00CA3220">
              <w:rPr>
                <w:lang w:val="fr-CH"/>
              </w:rPr>
              <w:t>)</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Découverte et méthode d'association</w:t>
            </w:r>
          </w:p>
        </w:tc>
        <w:tc>
          <w:tcPr>
            <w:tcW w:w="5012" w:type="dxa"/>
          </w:tcPr>
          <w:p w:rsidR="00DE31BE" w:rsidRPr="00CA3220" w:rsidRDefault="00DE31BE" w:rsidP="00664299">
            <w:pPr>
              <w:pStyle w:val="Tabletext"/>
              <w:jc w:val="center"/>
              <w:rPr>
                <w:lang w:val="fr-CH" w:eastAsia="zh-CN"/>
              </w:rPr>
            </w:pPr>
            <w:r w:rsidRPr="00CA3220">
              <w:rPr>
                <w:lang w:val="fr-CH" w:eastAsia="zh-CN"/>
              </w:rPr>
              <w:t>Découverte autonome, association grâce au support</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Méthodes de qualité de service</w:t>
            </w:r>
          </w:p>
        </w:tc>
        <w:tc>
          <w:tcPr>
            <w:tcW w:w="5012" w:type="dxa"/>
          </w:tcPr>
          <w:p w:rsidR="00DE31BE" w:rsidRPr="00CA3220" w:rsidRDefault="00DE31BE" w:rsidP="00664299">
            <w:pPr>
              <w:pStyle w:val="Tabletext"/>
              <w:jc w:val="center"/>
              <w:rPr>
                <w:lang w:val="fr-CH" w:eastAsia="zh-CN"/>
              </w:rPr>
            </w:pPr>
            <w:r w:rsidRPr="00CA3220">
              <w:rPr>
                <w:lang w:val="fr-CH" w:eastAsia="zh-CN"/>
              </w:rPr>
              <w:t xml:space="preserve">Différentiation de la qualité de service </w:t>
            </w:r>
            <w:r w:rsidR="002D594E">
              <w:rPr>
                <w:lang w:val="fr-CH" w:eastAsia="zh-CN"/>
              </w:rPr>
              <w:br/>
            </w:r>
            <w:r w:rsidRPr="00CA3220">
              <w:rPr>
                <w:lang w:val="fr-CH" w:eastAsia="zh-CN"/>
              </w:rPr>
              <w:t>(5 classes prises en charge, modulable)</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Détection de l'emplacement</w:t>
            </w:r>
          </w:p>
        </w:tc>
        <w:tc>
          <w:tcPr>
            <w:tcW w:w="5012" w:type="dxa"/>
          </w:tcPr>
          <w:p w:rsidR="00DE31BE" w:rsidRPr="00CA3220" w:rsidRDefault="00DE31BE" w:rsidP="00664299">
            <w:pPr>
              <w:pStyle w:val="Tabletext"/>
              <w:jc w:val="center"/>
              <w:rPr>
                <w:lang w:val="fr-CH" w:eastAsia="zh-CN"/>
              </w:rPr>
            </w:pPr>
            <w:r w:rsidRPr="00CA3220">
              <w:rPr>
                <w:lang w:val="fr-CH" w:eastAsia="zh-CN"/>
              </w:rPr>
              <w:t>Oui</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Chiffrement</w:t>
            </w:r>
          </w:p>
        </w:tc>
        <w:tc>
          <w:tcPr>
            <w:tcW w:w="5012" w:type="dxa"/>
          </w:tcPr>
          <w:p w:rsidR="00DE31BE" w:rsidRPr="00CA3220" w:rsidRDefault="00DE31BE" w:rsidP="00664299">
            <w:pPr>
              <w:pStyle w:val="Tabletext"/>
              <w:jc w:val="center"/>
              <w:rPr>
                <w:lang w:val="fr-CH" w:eastAsia="zh-CN"/>
              </w:rPr>
            </w:pPr>
            <w:r w:rsidRPr="00CA3220">
              <w:rPr>
                <w:lang w:val="fr-CH" w:eastAsia="zh-CN"/>
              </w:rPr>
              <w:t>ZUC</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Authentification/protection contre les réexécutions</w:t>
            </w:r>
          </w:p>
        </w:tc>
        <w:tc>
          <w:tcPr>
            <w:tcW w:w="5012" w:type="dxa"/>
          </w:tcPr>
          <w:p w:rsidR="00DE31BE" w:rsidRPr="00CA3220" w:rsidRDefault="00DE31BE" w:rsidP="00664299">
            <w:pPr>
              <w:pStyle w:val="Tabletext"/>
              <w:jc w:val="center"/>
              <w:rPr>
                <w:lang w:val="fr-CH"/>
              </w:rPr>
            </w:pPr>
            <w:r w:rsidRPr="00CA3220">
              <w:rPr>
                <w:lang w:val="fr-CH" w:eastAsia="zh-CN"/>
              </w:rPr>
              <w:t>Oui</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Echange de clés</w:t>
            </w:r>
          </w:p>
        </w:tc>
        <w:tc>
          <w:tcPr>
            <w:tcW w:w="5012" w:type="dxa"/>
          </w:tcPr>
          <w:p w:rsidR="00DE31BE" w:rsidRPr="00CA3220" w:rsidRDefault="00DE31BE" w:rsidP="00664299">
            <w:pPr>
              <w:pStyle w:val="Tabletext"/>
              <w:jc w:val="center"/>
              <w:rPr>
                <w:lang w:val="fr-CH"/>
              </w:rPr>
            </w:pPr>
            <w:r w:rsidRPr="00CA3220">
              <w:rPr>
                <w:lang w:val="fr-CH" w:eastAsia="zh-CN"/>
              </w:rPr>
              <w:t>Oui</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Détection des noeuds malveillants</w:t>
            </w:r>
          </w:p>
        </w:tc>
        <w:tc>
          <w:tcPr>
            <w:tcW w:w="5012" w:type="dxa"/>
          </w:tcPr>
          <w:p w:rsidR="00DE31BE" w:rsidRPr="00CA3220" w:rsidRDefault="00DE31BE" w:rsidP="00664299">
            <w:pPr>
              <w:pStyle w:val="Tabletext"/>
              <w:jc w:val="center"/>
              <w:rPr>
                <w:lang w:val="fr-CH" w:eastAsia="zh-CN"/>
              </w:rPr>
            </w:pPr>
            <w:r w:rsidRPr="00CA3220">
              <w:rPr>
                <w:lang w:val="fr-CH" w:eastAsia="zh-CN"/>
              </w:rPr>
              <w:t>Oui</w:t>
            </w:r>
          </w:p>
        </w:tc>
      </w:tr>
      <w:tr w:rsidR="00DE31BE" w:rsidRPr="00CA3220" w:rsidTr="00B824BF">
        <w:trPr>
          <w:cantSplit/>
          <w:jc w:val="center"/>
        </w:trPr>
        <w:tc>
          <w:tcPr>
            <w:tcW w:w="3510" w:type="dxa"/>
          </w:tcPr>
          <w:p w:rsidR="00DE31BE" w:rsidRPr="00CA3220" w:rsidRDefault="00DE31BE" w:rsidP="00664299">
            <w:pPr>
              <w:pStyle w:val="Tabletext"/>
              <w:jc w:val="left"/>
              <w:rPr>
                <w:lang w:val="fr-CH"/>
              </w:rPr>
            </w:pPr>
            <w:r w:rsidRPr="00CA3220">
              <w:rPr>
                <w:lang w:val="fr-CH"/>
              </w:rPr>
              <w:t>Identification unique de l'équipement</w:t>
            </w:r>
          </w:p>
        </w:tc>
        <w:tc>
          <w:tcPr>
            <w:tcW w:w="5012" w:type="dxa"/>
          </w:tcPr>
          <w:p w:rsidR="00DE31BE" w:rsidRPr="00CA3220" w:rsidRDefault="00DE31BE" w:rsidP="00664299">
            <w:pPr>
              <w:pStyle w:val="Tabletext"/>
              <w:jc w:val="center"/>
              <w:rPr>
                <w:lang w:val="fr-CH" w:eastAsia="zh-CN"/>
              </w:rPr>
            </w:pPr>
            <w:r w:rsidRPr="00CA3220">
              <w:rPr>
                <w:lang w:val="fr-CH" w:eastAsia="zh-CN"/>
              </w:rPr>
              <w:t xml:space="preserve">15 chiffres </w:t>
            </w:r>
            <w:r w:rsidRPr="00CA3220">
              <w:rPr>
                <w:lang w:val="fr-CH"/>
              </w:rPr>
              <w:t>(</w:t>
            </w:r>
            <w:r w:rsidRPr="00CA3220">
              <w:rPr>
                <w:lang w:val="fr-CH" w:eastAsia="zh-CN"/>
              </w:rPr>
              <w:t>IMEI</w:t>
            </w:r>
            <w:r w:rsidRPr="00CA3220">
              <w:rPr>
                <w:lang w:val="fr-CH"/>
              </w:rPr>
              <w:t>)</w:t>
            </w:r>
          </w:p>
        </w:tc>
      </w:tr>
    </w:tbl>
    <w:p w:rsidR="00DE31BE" w:rsidRPr="00CA3220" w:rsidRDefault="00DE31BE" w:rsidP="00664299">
      <w:pPr>
        <w:pStyle w:val="Tablefin"/>
        <w:rPr>
          <w:lang w:val="fr-CH"/>
        </w:rPr>
      </w:pPr>
    </w:p>
    <w:p w:rsidR="00DE31BE" w:rsidRPr="00CA3220" w:rsidRDefault="00DE31BE" w:rsidP="00664299">
      <w:pPr>
        <w:pStyle w:val="Heading3"/>
        <w:rPr>
          <w:lang w:val="fr-CH"/>
        </w:rPr>
      </w:pPr>
      <w:r w:rsidRPr="00CA3220">
        <w:rPr>
          <w:lang w:val="fr-CH"/>
        </w:rPr>
        <w:t>A7.2.3</w:t>
      </w:r>
      <w:r w:rsidRPr="00CA3220">
        <w:rPr>
          <w:lang w:val="fr-CH"/>
        </w:rPr>
        <w:tab/>
        <w:t>Production et application industrielles</w:t>
      </w:r>
    </w:p>
    <w:p w:rsidR="00DE31BE" w:rsidRPr="00CA3220" w:rsidRDefault="00DE31BE" w:rsidP="00664299">
      <w:pPr>
        <w:rPr>
          <w:lang w:val="fr-CH"/>
        </w:rPr>
      </w:pPr>
      <w:r w:rsidRPr="00CA3220">
        <w:rPr>
          <w:lang w:val="fr-CH"/>
        </w:rPr>
        <w:t>Actuellement, le système SWIN est composé de puces en bande de bases, de terminaux, de station de base, d'un réseau central et des équipements de gestion du réseau. Il est déployé dans les réseaux de communication utilisés pour la distribution et l'utilisation d'électricité. Jusqu'à présent, des réseaux expérimentaux SWIN ont été déployés dans 13 provinces de Chine et fournissent au réseau intelligent des services d'acquisition d'informations relatives à l'électricité, de commande de la charge, d'automatisation de la distribution, etc. Après une période de test, il est établi que le système SWIN peut répondre aux besoins de services du comptage intelligent et de l'automatisation de la distribution.</w:t>
      </w:r>
    </w:p>
    <w:p w:rsidR="00DE31BE" w:rsidRPr="00CA3220" w:rsidRDefault="00DE31BE" w:rsidP="00664299">
      <w:pPr>
        <w:pStyle w:val="Heading3"/>
        <w:rPr>
          <w:lang w:val="fr-CH"/>
        </w:rPr>
      </w:pPr>
      <w:r w:rsidRPr="00CA3220">
        <w:rPr>
          <w:lang w:val="fr-CH"/>
        </w:rPr>
        <w:lastRenderedPageBreak/>
        <w:t>A7.2.4</w:t>
      </w:r>
      <w:r w:rsidRPr="00CA3220">
        <w:rPr>
          <w:lang w:val="fr-CH"/>
        </w:rPr>
        <w:tab/>
        <w:t>Normalisation</w:t>
      </w:r>
    </w:p>
    <w:p w:rsidR="00DE31BE" w:rsidRPr="00CA3220" w:rsidRDefault="00DE31BE" w:rsidP="00664299">
      <w:pPr>
        <w:rPr>
          <w:lang w:val="fr-CH"/>
        </w:rPr>
      </w:pPr>
      <w:r w:rsidRPr="00CA3220">
        <w:rPr>
          <w:lang w:val="fr-CH"/>
        </w:rPr>
        <w:t>Actuellement, l'entreprise qui exploite le réseau intelligent en Chine (State Grid Corporation of China) a déjà commencé à élaborer des normes pour le système SWIN. Le Centre national de test et de contrôle des émissions (organisation nationale chargée de la gestion du spectre des fréquences radioélectriques) et l'Association de normalisation des communications de Chine (CCSA) élaborent actuellement des normes radioélectriques applicables au système SWIN, afin de garantir la coexistence entre les différents systèmes fonctionnant dans la même bande. Par ailleurs, la normalisation du système SWIN au niveau national sera menée à bien sous peu.</w:t>
      </w:r>
    </w:p>
    <w:p w:rsidR="00DE31BE" w:rsidRPr="00CA3220" w:rsidRDefault="00DE31BE" w:rsidP="00664299">
      <w:pPr>
        <w:pStyle w:val="Heading2"/>
        <w:rPr>
          <w:lang w:val="fr-CH"/>
        </w:rPr>
      </w:pPr>
      <w:bookmarkStart w:id="286" w:name="_Toc438029922"/>
      <w:bookmarkStart w:id="287" w:name="_Toc440533933"/>
      <w:bookmarkStart w:id="288" w:name="_Toc498437805"/>
      <w:bookmarkStart w:id="289" w:name="_Toc498500145"/>
      <w:bookmarkStart w:id="290" w:name="_Toc498500395"/>
      <w:bookmarkStart w:id="291" w:name="_Toc498516161"/>
      <w:r w:rsidRPr="00CA3220">
        <w:rPr>
          <w:lang w:val="fr-CH"/>
        </w:rPr>
        <w:t>A7.3</w:t>
      </w:r>
      <w:r w:rsidRPr="00CA3220">
        <w:rPr>
          <w:lang w:val="fr-CH"/>
        </w:rPr>
        <w:tab/>
        <w:t>Conclusion</w:t>
      </w:r>
      <w:bookmarkEnd w:id="286"/>
      <w:bookmarkEnd w:id="287"/>
      <w:bookmarkEnd w:id="288"/>
      <w:bookmarkEnd w:id="289"/>
      <w:bookmarkEnd w:id="290"/>
      <w:bookmarkEnd w:id="291"/>
    </w:p>
    <w:p w:rsidR="00DE31BE" w:rsidRDefault="00DE31BE" w:rsidP="00664299">
      <w:pPr>
        <w:rPr>
          <w:lang w:val="fr-CH"/>
        </w:rPr>
      </w:pPr>
      <w:r w:rsidRPr="00CA3220">
        <w:rPr>
          <w:lang w:val="fr-CH"/>
        </w:rPr>
        <w:t>Les activités de recherche menées par la Chine sur les technologies d'accès hertzien pour le réseau intelligent sont en cours. Le système SWIN peut permettre de répondre aux besoins de communications hertziennes du réseau intelligent et, ainsi, de réduire le coût de sa construction et de son exploitation.</w:t>
      </w:r>
    </w:p>
    <w:p w:rsidR="002D594E" w:rsidRDefault="002D594E" w:rsidP="00664299">
      <w:pPr>
        <w:rPr>
          <w:lang w:val="fr-CH"/>
        </w:rPr>
      </w:pPr>
    </w:p>
    <w:p w:rsidR="002D594E" w:rsidRDefault="002D594E" w:rsidP="002D594E">
      <w:pPr>
        <w:pStyle w:val="Line"/>
        <w:rPr>
          <w:sz w:val="24"/>
          <w:lang w:val="fr-CH"/>
        </w:rPr>
      </w:pPr>
    </w:p>
    <w:sectPr w:rsidR="002D594E" w:rsidSect="005E0502">
      <w:headerReference w:type="even" r:id="rId39"/>
      <w:headerReference w:type="default" r:id="rId40"/>
      <w:type w:val="oddPage"/>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CD4" w:rsidRDefault="00206CD4">
      <w:r>
        <w:separator/>
      </w:r>
    </w:p>
  </w:endnote>
  <w:endnote w:type="continuationSeparator" w:id="0">
    <w:p w:rsidR="00206CD4" w:rsidRDefault="0020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CD4" w:rsidRDefault="00206CD4">
      <w:r>
        <w:separator/>
      </w:r>
    </w:p>
  </w:footnote>
  <w:footnote w:type="continuationSeparator" w:id="0">
    <w:p w:rsidR="00206CD4" w:rsidRDefault="00206CD4">
      <w:r>
        <w:continuationSeparator/>
      </w:r>
    </w:p>
  </w:footnote>
  <w:footnote w:id="1">
    <w:p w:rsidR="00206CD4" w:rsidRPr="00E27F38" w:rsidRDefault="00206CD4" w:rsidP="00206CD4">
      <w:pPr>
        <w:pStyle w:val="FootnoteText"/>
      </w:pPr>
      <w:r w:rsidRPr="00873451">
        <w:rPr>
          <w:rStyle w:val="FootnoteReference"/>
        </w:rPr>
        <w:footnoteRef/>
      </w:r>
      <w:r w:rsidRPr="00E27F38">
        <w:rPr>
          <w:szCs w:val="22"/>
        </w:rPr>
        <w:tab/>
        <w:t>The European Commission Smart Grid Vision and Strategy for Europe's Electricity Networks of the Future («EC Smart Grid Vision Report»</w:t>
      </w:r>
      <w:r>
        <w:rPr>
          <w:szCs w:val="22"/>
        </w:rPr>
        <w:t>, page 7,</w:t>
      </w:r>
      <w:r w:rsidRPr="00E27F38">
        <w:rPr>
          <w:szCs w:val="22"/>
        </w:rPr>
        <w:t xml:space="preserve"> Commission européenne, 2006, disponible à l'adresse: </w:t>
      </w:r>
      <w:hyperlink r:id="rId1" w:history="1">
        <w:r w:rsidRPr="00E27F38">
          <w:rPr>
            <w:rStyle w:val="Hyperlink"/>
            <w:szCs w:val="22"/>
          </w:rPr>
          <w:t>http://www.smartgrids.eu/documents/vision.pdf</w:t>
        </w:r>
      </w:hyperlink>
      <w:r w:rsidRPr="00E27F38">
        <w:rPr>
          <w:szCs w:val="22"/>
        </w:rPr>
        <w:t xml:space="preserve">). </w:t>
      </w:r>
    </w:p>
  </w:footnote>
  <w:footnote w:id="2">
    <w:p w:rsidR="00206CD4" w:rsidRPr="00E27F38" w:rsidRDefault="00206CD4" w:rsidP="00206CD4">
      <w:pPr>
        <w:pStyle w:val="FootnoteText"/>
      </w:pPr>
      <w:r w:rsidRPr="00873451">
        <w:rPr>
          <w:rStyle w:val="FootnoteReference"/>
        </w:rPr>
        <w:footnoteRef/>
      </w:r>
      <w:r w:rsidRPr="00E27F38">
        <w:tab/>
        <w:t xml:space="preserve">Le Comité IEEE 802 </w:t>
      </w:r>
      <w:r>
        <w:t xml:space="preserve">a </w:t>
      </w:r>
      <w:r w:rsidRPr="00E27F38">
        <w:t>élabor</w:t>
      </w:r>
      <w:r>
        <w:t>é</w:t>
      </w:r>
      <w:r w:rsidRPr="00E27F38">
        <w:t xml:space="preserve"> des normes</w:t>
      </w:r>
      <w:r>
        <w:t xml:space="preserve"> spécifiques pour les </w:t>
      </w:r>
      <w:r w:rsidRPr="00E27F38">
        <w:t>réseaux intelligents et la connectivité longue distance</w:t>
      </w:r>
      <w:r>
        <w:t xml:space="preserve"> en</w:t>
      </w:r>
      <w:r w:rsidRPr="00C320DA">
        <w:t xml:space="preserve"> </w:t>
      </w:r>
      <w:r>
        <w:t>extérieur</w:t>
      </w:r>
      <w:r w:rsidRPr="00E27F38">
        <w:t>.</w:t>
      </w:r>
    </w:p>
  </w:footnote>
  <w:footnote w:id="3">
    <w:p w:rsidR="00206CD4" w:rsidRPr="00E27F38" w:rsidRDefault="00206CD4" w:rsidP="00206CD4">
      <w:pPr>
        <w:pStyle w:val="FootnoteText"/>
      </w:pPr>
      <w:r w:rsidRPr="00873451">
        <w:rPr>
          <w:rStyle w:val="FootnoteReference"/>
        </w:rPr>
        <w:footnoteRef/>
      </w:r>
      <w:r w:rsidRPr="00E27F38">
        <w:tab/>
      </w:r>
      <w:hyperlink r:id="rId2" w:history="1">
        <w:r w:rsidRPr="00E27F38">
          <w:rPr>
            <w:rStyle w:val="Hyperlink"/>
            <w:szCs w:val="22"/>
          </w:rPr>
          <w:t>http://www.itu.int/pub/T-TUT-HOME-2010/en</w:t>
        </w:r>
      </w:hyperlink>
      <w:r w:rsidRPr="00E27F38">
        <w:t>.</w:t>
      </w:r>
    </w:p>
  </w:footnote>
  <w:footnote w:id="4">
    <w:p w:rsidR="00206CD4" w:rsidRPr="00E27F38" w:rsidRDefault="00206CD4" w:rsidP="00206CD4">
      <w:pPr>
        <w:pStyle w:val="FootnoteText"/>
      </w:pPr>
      <w:r w:rsidRPr="00873451">
        <w:rPr>
          <w:rStyle w:val="FootnoteReference"/>
        </w:rPr>
        <w:footnoteRef/>
      </w:r>
      <w:r>
        <w:rPr>
          <w:lang w:val="fr-CH"/>
        </w:rPr>
        <w:tab/>
      </w:r>
      <w:r w:rsidRPr="004A4E14">
        <w:rPr>
          <w:lang w:val="fr-CH"/>
        </w:rPr>
        <w:t>Loi sur l'indépendance et la sécurité énergétique de 2007 (Public Law 110-140) (TITLE XIII</w:t>
      </w:r>
      <w:r w:rsidRPr="004A4E14">
        <w:rPr>
          <w:lang w:val="fr-CH"/>
        </w:rPr>
        <w:noBreakHyphen/>
        <w:t xml:space="preserve">SMART GRID). </w:t>
      </w:r>
      <w:hyperlink r:id="rId3" w:history="1">
        <w:r w:rsidRPr="00E27F38">
          <w:rPr>
            <w:rStyle w:val="Hyperlink"/>
            <w:szCs w:val="22"/>
          </w:rPr>
          <w:t>http://www.gpo.gov/fdsys/pkg/PLAW-110publ140/pdf/PLAW-110publ140.pdf</w:t>
        </w:r>
      </w:hyperlink>
      <w:r w:rsidRPr="00E27F38">
        <w:t>.</w:t>
      </w:r>
    </w:p>
  </w:footnote>
  <w:footnote w:id="5">
    <w:p w:rsidR="00206CD4" w:rsidRPr="00E27F38" w:rsidRDefault="00206CD4" w:rsidP="00206CD4">
      <w:pPr>
        <w:pStyle w:val="FootnoteText"/>
        <w:rPr>
          <w:lang w:val="en-US"/>
        </w:rPr>
      </w:pPr>
      <w:r w:rsidRPr="00873451">
        <w:rPr>
          <w:rStyle w:val="FootnoteReference"/>
        </w:rPr>
        <w:footnoteRef/>
      </w:r>
      <w:r w:rsidRPr="00841379">
        <w:rPr>
          <w:lang w:val="en-US"/>
        </w:rPr>
        <w:tab/>
      </w:r>
      <w:r w:rsidRPr="00E27F38">
        <w:rPr>
          <w:lang w:val="en-US"/>
        </w:rPr>
        <w:t>NISTIR 7761v2 Priority Action Plan 2 Guidelines for assessing wireless standards for Smart Grid applications.</w:t>
      </w:r>
    </w:p>
  </w:footnote>
  <w:footnote w:id="6">
    <w:p w:rsidR="00206CD4" w:rsidRPr="00E27F38" w:rsidRDefault="00206CD4" w:rsidP="00206CD4">
      <w:pPr>
        <w:pStyle w:val="FootnoteText"/>
        <w:rPr>
          <w:lang w:val="en-US"/>
        </w:rPr>
      </w:pPr>
      <w:r w:rsidRPr="00873451">
        <w:rPr>
          <w:rStyle w:val="FootnoteReference"/>
        </w:rPr>
        <w:footnoteRef/>
      </w:r>
      <w:r w:rsidRPr="00E27F38">
        <w:rPr>
          <w:lang w:val="en-US"/>
        </w:rPr>
        <w:tab/>
      </w:r>
      <w:hyperlink r:id="rId4" w:history="1">
        <w:r w:rsidRPr="00E27F38">
          <w:rPr>
            <w:rStyle w:val="Hyperlink"/>
            <w:szCs w:val="22"/>
            <w:lang w:val="en-US"/>
          </w:rPr>
          <w:t>http://my.epri.com/portal/server.pt</w:t>
        </w:r>
      </w:hyperlink>
      <w:r w:rsidRPr="00273DA8">
        <w:rPr>
          <w:lang w:val="en-US"/>
        </w:rPr>
        <w:t>.</w:t>
      </w:r>
    </w:p>
  </w:footnote>
  <w:footnote w:id="7">
    <w:p w:rsidR="00206CD4" w:rsidRPr="00E27F38" w:rsidRDefault="00206CD4" w:rsidP="00206CD4">
      <w:pPr>
        <w:pStyle w:val="FootnoteText"/>
      </w:pPr>
      <w:r w:rsidRPr="005241D8">
        <w:rPr>
          <w:rStyle w:val="FootnoteReference"/>
        </w:rPr>
        <w:footnoteRef/>
      </w:r>
      <w:r w:rsidRPr="005241D8">
        <w:rPr>
          <w:rStyle w:val="FootnoteReference"/>
        </w:rPr>
        <w:tab/>
      </w:r>
      <w:r w:rsidRPr="00E27F38">
        <w:rPr>
          <w:szCs w:val="22"/>
        </w:rPr>
        <w:t>De plus amples renseignement</w:t>
      </w:r>
      <w:r>
        <w:rPr>
          <w:szCs w:val="22"/>
        </w:rPr>
        <w:t>s</w:t>
      </w:r>
      <w:r w:rsidRPr="00E27F38">
        <w:rPr>
          <w:szCs w:val="22"/>
        </w:rPr>
        <w:t xml:space="preserve"> sur cette initiative</w:t>
      </w:r>
      <w:r>
        <w:rPr>
          <w:szCs w:val="22"/>
        </w:rPr>
        <w:t xml:space="preserve"> appuyée par le Département de l'énergie,</w:t>
      </w:r>
      <w:r w:rsidRPr="00E27F38">
        <w:rPr>
          <w:szCs w:val="22"/>
        </w:rPr>
        <w:t xml:space="preserve"> qui </w:t>
      </w:r>
      <w:r>
        <w:rPr>
          <w:szCs w:val="22"/>
        </w:rPr>
        <w:t>d</w:t>
      </w:r>
      <w:r w:rsidRPr="00E27F38">
        <w:rPr>
          <w:szCs w:val="22"/>
        </w:rPr>
        <w:t>é</w:t>
      </w:r>
      <w:r>
        <w:rPr>
          <w:szCs w:val="22"/>
        </w:rPr>
        <w:t>fin</w:t>
      </w:r>
      <w:r w:rsidRPr="00E27F38">
        <w:rPr>
          <w:szCs w:val="22"/>
        </w:rPr>
        <w:t xml:space="preserve">it un réseau de distribution moderne ou intelligent sont disponibles à l'adresse: </w:t>
      </w:r>
      <w:hyperlink r:id="rId5" w:history="1">
        <w:r w:rsidRPr="00E27F38">
          <w:rPr>
            <w:rStyle w:val="Hyperlink"/>
            <w:szCs w:val="22"/>
          </w:rPr>
          <w:t>http://www.netl.doe.gov/smartgrid/referenceshelf/whitepapers/Integrated%20Communications_Final_v2_0.pdf</w:t>
        </w:r>
      </w:hyperlink>
      <w:r w:rsidRPr="00C101BA">
        <w:t>.</w:t>
      </w:r>
    </w:p>
  </w:footnote>
  <w:footnote w:id="8">
    <w:p w:rsidR="00206CD4" w:rsidRDefault="00206CD4" w:rsidP="00206CD4">
      <w:pPr>
        <w:pStyle w:val="FootnoteText"/>
        <w:rPr>
          <w:rFonts w:eastAsia="MS Mincho"/>
          <w:lang w:val="en-US"/>
        </w:rPr>
      </w:pPr>
      <w:r w:rsidRPr="00873451">
        <w:rPr>
          <w:rStyle w:val="FootnoteReference"/>
        </w:rPr>
        <w:footnoteRef/>
      </w:r>
      <w:r w:rsidRPr="00E27F38">
        <w:rPr>
          <w:lang w:val="en-US"/>
        </w:rPr>
        <w:tab/>
        <w:t>EUR</w:t>
      </w:r>
      <w:r w:rsidRPr="00E27F38">
        <w:rPr>
          <w:rFonts w:eastAsia="MS Mincho"/>
          <w:lang w:val="en-US"/>
        </w:rPr>
        <w:t xml:space="preserve"> 22580 – Strategic Research Agenda for Europe's Electricity Networks of the Future (</w:t>
      </w:r>
      <w:r>
        <w:rPr>
          <w:lang w:val="en-US"/>
        </w:rPr>
        <w:t>EC Strategic Research Agenda), page</w:t>
      </w:r>
      <w:r w:rsidRPr="00E27F38">
        <w:rPr>
          <w:lang w:val="en-US"/>
        </w:rPr>
        <w:t xml:space="preserve"> 62, </w:t>
      </w:r>
      <w:r w:rsidRPr="00E27F38">
        <w:rPr>
          <w:rFonts w:eastAsia="MS Mincho"/>
          <w:lang w:val="en-US"/>
        </w:rPr>
        <w:t>Commission européenne, 2007.</w:t>
      </w:r>
    </w:p>
    <w:p w:rsidR="00206CD4" w:rsidRPr="008A15EB" w:rsidRDefault="00206CD4" w:rsidP="00206CD4">
      <w:pPr>
        <w:pStyle w:val="FootnoteText"/>
        <w:spacing w:before="0"/>
        <w:rPr>
          <w:lang w:val="en-US"/>
        </w:rPr>
      </w:pPr>
      <w:r w:rsidRPr="008A15EB">
        <w:rPr>
          <w:lang w:val="en-US"/>
        </w:rPr>
        <w:tab/>
      </w:r>
      <w:hyperlink r:id="rId6" w:history="1">
        <w:r w:rsidRPr="008A15EB">
          <w:rPr>
            <w:rStyle w:val="Hyperlink"/>
            <w:rFonts w:eastAsia="MS Mincho"/>
            <w:szCs w:val="22"/>
            <w:lang w:val="en-US"/>
          </w:rPr>
          <w:t>ftp://ftp.cordis.europa.eu/pub/fp7/energy/docs/smartgrids_agenda_en.pdf</w:t>
        </w:r>
      </w:hyperlink>
      <w:r w:rsidRPr="008A15EB">
        <w:rPr>
          <w:rFonts w:eastAsia="MS Mincho"/>
          <w:lang w:val="en-US"/>
        </w:rPr>
        <w:t>.</w:t>
      </w:r>
    </w:p>
  </w:footnote>
  <w:footnote w:id="9">
    <w:p w:rsidR="00206CD4" w:rsidRDefault="00206CD4" w:rsidP="00206CD4">
      <w:pPr>
        <w:pStyle w:val="FootnoteText"/>
        <w:rPr>
          <w:szCs w:val="22"/>
        </w:rPr>
      </w:pPr>
      <w:r w:rsidRPr="005241D8">
        <w:rPr>
          <w:rStyle w:val="FootnoteReference"/>
        </w:rPr>
        <w:footnoteRef/>
      </w:r>
      <w:r w:rsidRPr="00E27F38">
        <w:rPr>
          <w:szCs w:val="22"/>
        </w:rPr>
        <w:tab/>
        <w:t xml:space="preserve">Le Département de l'énergie et des changements climatiques du Royaume-Uni a </w:t>
      </w:r>
      <w:r>
        <w:rPr>
          <w:szCs w:val="22"/>
        </w:rPr>
        <w:t xml:space="preserve">tenu </w:t>
      </w:r>
      <w:r w:rsidRPr="00E27F38">
        <w:rPr>
          <w:szCs w:val="22"/>
        </w:rPr>
        <w:t xml:space="preserve">des consultations sur la mise en œuvre </w:t>
      </w:r>
      <w:r>
        <w:rPr>
          <w:szCs w:val="22"/>
        </w:rPr>
        <w:t xml:space="preserve">du comptage </w:t>
      </w:r>
      <w:r w:rsidRPr="00E27F38">
        <w:rPr>
          <w:szCs w:val="22"/>
        </w:rPr>
        <w:t>intelligent</w:t>
      </w:r>
      <w:r>
        <w:rPr>
          <w:szCs w:val="22"/>
        </w:rPr>
        <w:t xml:space="preserve"> en 2010</w:t>
      </w:r>
      <w:r>
        <w:rPr>
          <w:szCs w:val="22"/>
        </w:rPr>
        <w:noBreakHyphen/>
      </w:r>
      <w:r w:rsidRPr="00E27F38">
        <w:rPr>
          <w:szCs w:val="22"/>
        </w:rPr>
        <w:t xml:space="preserve">2011 (réf: 10D/732 20/7/2010 – 30/03/2011); les résultats sont disponibles à l'adresse suivante: </w:t>
      </w:r>
    </w:p>
    <w:p w:rsidR="00206CD4" w:rsidRPr="00E27F38" w:rsidRDefault="00206CD4" w:rsidP="00206CD4">
      <w:pPr>
        <w:pStyle w:val="FootnoteText"/>
        <w:spacing w:before="0"/>
      </w:pPr>
      <w:r>
        <w:rPr>
          <w:szCs w:val="22"/>
        </w:rPr>
        <w:tab/>
      </w:r>
      <w:hyperlink r:id="rId7" w:history="1">
        <w:r w:rsidRPr="00E27F38">
          <w:rPr>
            <w:rStyle w:val="Hyperlink"/>
            <w:szCs w:val="22"/>
          </w:rPr>
          <w:t>https://www.gov.uk/government/uploads/system/uploads/attachment_data/file/42742/1475-smart-metering-imp-response-overview.pdf</w:t>
        </w:r>
      </w:hyperlink>
      <w:r w:rsidRPr="00C101BA">
        <w:t>.</w:t>
      </w:r>
    </w:p>
  </w:footnote>
  <w:footnote w:id="10">
    <w:p w:rsidR="00206CD4" w:rsidRPr="005241D8" w:rsidRDefault="00206CD4" w:rsidP="00206CD4">
      <w:pPr>
        <w:pStyle w:val="FootnoteText"/>
        <w:rPr>
          <w:lang w:val="fr-CH"/>
        </w:rPr>
      </w:pPr>
      <w:r>
        <w:rPr>
          <w:rStyle w:val="FootnoteReference"/>
        </w:rPr>
        <w:footnoteRef/>
      </w:r>
      <w:r>
        <w:t xml:space="preserve"> </w:t>
      </w:r>
      <w:r>
        <w:rPr>
          <w:lang w:val="fr-CH"/>
        </w:rPr>
        <w:tab/>
      </w:r>
      <w:hyperlink r:id="rId8" w:history="1">
        <w:r w:rsidRPr="00E27F38">
          <w:rPr>
            <w:rStyle w:val="Hyperlink"/>
            <w:szCs w:val="22"/>
          </w:rPr>
          <w:t>http://www.tiaonline.org/all-standards/committees/tr-51</w:t>
        </w:r>
      </w:hyperlink>
      <w:r w:rsidRPr="005241D8">
        <w:t>.</w:t>
      </w:r>
    </w:p>
  </w:footnote>
  <w:footnote w:id="11">
    <w:p w:rsidR="00206CD4" w:rsidRPr="000476E5" w:rsidRDefault="00206CD4" w:rsidP="007B6CF9">
      <w:pPr>
        <w:pStyle w:val="FootnoteText"/>
        <w:rPr>
          <w:lang w:val="fr-CH"/>
        </w:rPr>
      </w:pPr>
      <w:r>
        <w:rPr>
          <w:rStyle w:val="FootnoteReference"/>
        </w:rPr>
        <w:footnoteRef/>
      </w:r>
      <w:r>
        <w:tab/>
      </w:r>
      <w:r>
        <w:rPr>
          <w:lang w:val="fr-CH"/>
        </w:rPr>
        <w:t xml:space="preserve">Voir </w:t>
      </w:r>
      <w:hyperlink r:id="rId9" w:history="1">
        <w:r w:rsidR="007B6CF9" w:rsidRPr="002B328B">
          <w:rPr>
            <w:rStyle w:val="Hyperlink"/>
            <w:lang w:val="fr-CH"/>
          </w:rPr>
          <w:t>http://www.iec.ch/smartgrid</w:t>
        </w:r>
      </w:hyperlink>
      <w:r>
        <w:rPr>
          <w:lang w:val="fr-CH"/>
        </w:rPr>
        <w:t xml:space="preserve">. </w:t>
      </w:r>
    </w:p>
  </w:footnote>
  <w:footnote w:id="12">
    <w:p w:rsidR="00206CD4" w:rsidRPr="00E27F38" w:rsidRDefault="00206CD4" w:rsidP="00206CD4">
      <w:pPr>
        <w:pStyle w:val="FootnoteText"/>
      </w:pPr>
      <w:r w:rsidRPr="004B48E0">
        <w:rPr>
          <w:rStyle w:val="FootnoteReference"/>
        </w:rPr>
        <w:footnoteRef/>
      </w:r>
      <w:r w:rsidRPr="004B48E0">
        <w:rPr>
          <w:rStyle w:val="FootnoteReference"/>
        </w:rPr>
        <w:tab/>
      </w:r>
      <w:r w:rsidRPr="00E27F38">
        <w:t xml:space="preserve">Par exemple, une loi fédérale adoptée récemment aux </w:t>
      </w:r>
      <w:r>
        <w:t>E</w:t>
      </w:r>
      <w:r w:rsidRPr="00E27F38">
        <w:t xml:space="preserve">tats-Unis, à savoir la Loi sur l'indépendance </w:t>
      </w:r>
      <w:r>
        <w:t xml:space="preserve">et </w:t>
      </w:r>
      <w:r w:rsidRPr="00E27F38">
        <w:t>la sécurité énergétique</w:t>
      </w:r>
      <w:r>
        <w:t>s de 2007 (Public Law 110</w:t>
      </w:r>
      <w:r>
        <w:noBreakHyphen/>
      </w:r>
      <w:r w:rsidRPr="00E27F38">
        <w:t>140), in</w:t>
      </w:r>
      <w:r>
        <w:t xml:space="preserve">dique que </w:t>
      </w:r>
      <w:r w:rsidRPr="00E27F38">
        <w:t xml:space="preserve">la mise en œuvre de systèmes de réseaux intelligents </w:t>
      </w:r>
      <w:r>
        <w:t>est la stratégie appliquée par l</w:t>
      </w:r>
      <w:r w:rsidRPr="00E27F38">
        <w:t xml:space="preserve">es </w:t>
      </w:r>
      <w:r>
        <w:t>E</w:t>
      </w:r>
      <w:r w:rsidRPr="00E27F38">
        <w:t>tats-Unis pour moderniser le réseau électrique</w:t>
      </w:r>
      <w:r>
        <w:t>,</w:t>
      </w:r>
      <w:r w:rsidRPr="00E27F38">
        <w:t xml:space="preserve"> et impose aux autorités et aux régulateurs au niveau fédéral comme au niveau des </w:t>
      </w:r>
      <w:r>
        <w:t>E</w:t>
      </w:r>
      <w:r w:rsidRPr="00E27F38">
        <w:t>tats de prendre des mesures spécifiques pour appuyer la mise en œuvre d'un réseau intelligent.</w:t>
      </w:r>
    </w:p>
  </w:footnote>
  <w:footnote w:id="13">
    <w:p w:rsidR="00206CD4" w:rsidRPr="00E27F38" w:rsidRDefault="00206CD4" w:rsidP="00206CD4">
      <w:pPr>
        <w:pStyle w:val="FootnoteText"/>
      </w:pPr>
      <w:r w:rsidRPr="004B48E0">
        <w:rPr>
          <w:rStyle w:val="FootnoteReference"/>
        </w:rPr>
        <w:footnoteRef/>
      </w:r>
      <w:r w:rsidRPr="004B48E0">
        <w:rPr>
          <w:rStyle w:val="FootnoteReference"/>
        </w:rPr>
        <w:tab/>
      </w:r>
      <w:r w:rsidRPr="00E27F38">
        <w:t>Agence internationale de l'énergie, Energy Technology Prospectives, 2008</w:t>
      </w:r>
      <w:r>
        <w:t>, page 179</w:t>
      </w:r>
      <w:r w:rsidRPr="00E27F38">
        <w:t>.</w:t>
      </w:r>
    </w:p>
  </w:footnote>
  <w:footnote w:id="14">
    <w:p w:rsidR="00206CD4" w:rsidRPr="00E27F38" w:rsidRDefault="00206CD4" w:rsidP="00206CD4">
      <w:pPr>
        <w:pStyle w:val="FootnoteText"/>
        <w:rPr>
          <w:lang w:val="en-US"/>
        </w:rPr>
      </w:pPr>
      <w:r w:rsidRPr="00C3213F">
        <w:rPr>
          <w:rStyle w:val="FootnoteReference"/>
        </w:rPr>
        <w:footnoteRef/>
      </w:r>
      <w:r w:rsidRPr="00841379">
        <w:rPr>
          <w:rStyle w:val="FootnoteReference"/>
          <w:lang w:val="en-US"/>
        </w:rPr>
        <w:tab/>
      </w:r>
      <w:r w:rsidRPr="00E27F38">
        <w:rPr>
          <w:lang w:val="en-US"/>
        </w:rPr>
        <w:t>Voir Electricity Sector Framework for the Future: Achieving the 21st Century Transformation, page 42, Electric Power Research Institute (août 2003) (</w:t>
      </w:r>
      <w:r>
        <w:rPr>
          <w:lang w:val="en-US"/>
        </w:rPr>
        <w:t>«</w:t>
      </w:r>
      <w:r w:rsidRPr="00E27F38">
        <w:rPr>
          <w:lang w:val="en-US"/>
        </w:rPr>
        <w:t>EPRI Report</w:t>
      </w:r>
      <w:r>
        <w:rPr>
          <w:lang w:val="en-US"/>
        </w:rPr>
        <w:t>»</w:t>
      </w:r>
      <w:r w:rsidRPr="00E27F38">
        <w:rPr>
          <w:lang w:val="en-US"/>
        </w:rPr>
        <w:t xml:space="preserve">), disponible à l'adresse: </w:t>
      </w:r>
      <w:hyperlink r:id="rId10" w:history="1">
        <w:r w:rsidRPr="00E27F38">
          <w:rPr>
            <w:rStyle w:val="Hyperlink"/>
            <w:szCs w:val="22"/>
            <w:lang w:val="en-US"/>
          </w:rPr>
          <w:t>http://www.globalregulatorynetwork.org/PDFs/ESFF_volume1.pdf</w:t>
        </w:r>
      </w:hyperlink>
      <w:r w:rsidRPr="00E27F38">
        <w:rPr>
          <w:lang w:val="en-US"/>
        </w:rPr>
        <w:t>.</w:t>
      </w:r>
    </w:p>
  </w:footnote>
  <w:footnote w:id="15">
    <w:p w:rsidR="00206CD4" w:rsidRPr="00E27F38" w:rsidRDefault="00206CD4" w:rsidP="00206CD4">
      <w:pPr>
        <w:pStyle w:val="FootnoteText"/>
      </w:pPr>
      <w:r w:rsidRPr="00C3213F">
        <w:rPr>
          <w:rStyle w:val="FootnoteReference"/>
        </w:rPr>
        <w:footnoteRef/>
      </w:r>
      <w:r w:rsidRPr="00C3213F">
        <w:rPr>
          <w:rStyle w:val="FootnoteReference"/>
        </w:rPr>
        <w:tab/>
      </w:r>
      <w:r w:rsidRPr="00E27F38">
        <w:t xml:space="preserve">Commission de l'énergie de Californie sur la valeur de l'automatisation de la distribution, </w:t>
      </w:r>
      <w:r>
        <w:t>«</w:t>
      </w:r>
      <w:hyperlink r:id="rId11" w:history="1">
        <w:r w:rsidRPr="005D2751">
          <w:rPr>
            <w:rStyle w:val="Hyperlink"/>
            <w:rFonts w:eastAsia="MS Mincho"/>
            <w:szCs w:val="24"/>
            <w:lang w:val="fr-CH"/>
          </w:rPr>
          <w:t>California Energy Commission Public Interest Energy Research Final Project Report</w:t>
        </w:r>
      </w:hyperlink>
      <w:r>
        <w:t>»</w:t>
      </w:r>
      <w:r w:rsidRPr="00E27F38">
        <w:t>, page 95 (avril 2007) (CEC Report).</w:t>
      </w:r>
    </w:p>
  </w:footnote>
  <w:footnote w:id="16">
    <w:p w:rsidR="00206CD4" w:rsidRPr="00E27F38" w:rsidRDefault="00206CD4" w:rsidP="00206CD4">
      <w:pPr>
        <w:pStyle w:val="FootnoteText"/>
      </w:pPr>
      <w:r w:rsidRPr="00E62524">
        <w:rPr>
          <w:rStyle w:val="FootnoteReference"/>
        </w:rPr>
        <w:footnoteRef/>
      </w:r>
      <w:r w:rsidRPr="00E62524">
        <w:rPr>
          <w:rStyle w:val="FootnoteReference"/>
        </w:rPr>
        <w:tab/>
      </w:r>
      <w:r w:rsidRPr="00E27F38">
        <w:t xml:space="preserve">Les définitions et la </w:t>
      </w:r>
      <w:r>
        <w:t>f</w:t>
      </w:r>
      <w:r w:rsidRPr="00E27F38">
        <w:t xml:space="preserve">igure sont tirées de la norme </w:t>
      </w:r>
      <w:hyperlink r:id="rId12" w:history="1">
        <w:r w:rsidRPr="008B07A2">
          <w:rPr>
            <w:rStyle w:val="Hyperlink"/>
            <w:lang w:val="fr-CH"/>
          </w:rPr>
          <w:t xml:space="preserve">NISTIR 7761 </w:t>
        </w:r>
        <w:r>
          <w:rPr>
            <w:rStyle w:val="Hyperlink"/>
            <w:lang w:val="fr-CH"/>
          </w:rPr>
          <w:t xml:space="preserve">(12 juillet </w:t>
        </w:r>
        <w:r w:rsidRPr="008B07A2">
          <w:rPr>
            <w:rStyle w:val="Hyperlink"/>
            <w:lang w:val="fr-CH"/>
          </w:rPr>
          <w:t>2013</w:t>
        </w:r>
        <w:r>
          <w:rPr>
            <w:rStyle w:val="Hyperlink"/>
            <w:lang w:val="fr-CH"/>
          </w:rPr>
          <w:t>)</w:t>
        </w:r>
      </w:hyperlink>
      <w:r w:rsidRPr="00E27F38">
        <w:t>.</w:t>
      </w:r>
    </w:p>
  </w:footnote>
  <w:footnote w:id="17">
    <w:p w:rsidR="00206CD4" w:rsidRPr="00E27F38" w:rsidRDefault="00206CD4" w:rsidP="00206CD4">
      <w:pPr>
        <w:pStyle w:val="FootnoteText"/>
      </w:pPr>
      <w:r w:rsidRPr="00E62524">
        <w:rPr>
          <w:rStyle w:val="FootnoteReference"/>
        </w:rPr>
        <w:footnoteRef/>
      </w:r>
      <w:r w:rsidRPr="00E62524">
        <w:rPr>
          <w:rStyle w:val="FootnoteReference"/>
        </w:rPr>
        <w:tab/>
      </w:r>
      <w:hyperlink r:id="rId13" w:history="1">
        <w:r w:rsidRPr="00E27F38">
          <w:rPr>
            <w:rStyle w:val="Hyperlink"/>
            <w:szCs w:val="22"/>
          </w:rPr>
          <w:t>http://www.decc.gov.uk/en/content/cms/consultations/smart_mtr_imp/smart_mtr_imp.aspx</w:t>
        </w:r>
      </w:hyperlink>
      <w:r w:rsidRPr="00E27F38">
        <w:t>.</w:t>
      </w:r>
    </w:p>
  </w:footnote>
  <w:footnote w:id="18">
    <w:p w:rsidR="00206CD4" w:rsidRPr="00E27F38" w:rsidRDefault="00206CD4" w:rsidP="00206CD4">
      <w:pPr>
        <w:pStyle w:val="FootnoteText"/>
      </w:pPr>
      <w:r w:rsidRPr="00C3213F">
        <w:rPr>
          <w:rStyle w:val="FootnoteReference"/>
        </w:rPr>
        <w:footnoteRef/>
      </w:r>
      <w:r w:rsidRPr="00C3213F">
        <w:rPr>
          <w:rStyle w:val="FootnoteReference"/>
        </w:rPr>
        <w:tab/>
      </w:r>
      <w:r w:rsidRPr="00E27F38">
        <w:t xml:space="preserve">Voir le § 5.1.2 du tutoriel de l'UIT-T: </w:t>
      </w:r>
      <w:hyperlink r:id="rId14" w:history="1">
        <w:r w:rsidRPr="00E27F38">
          <w:rPr>
            <w:rStyle w:val="Hyperlink"/>
            <w:szCs w:val="22"/>
          </w:rPr>
          <w:t>http://www.itu.int/pub/T-TUT-HOME-2010/en</w:t>
        </w:r>
      </w:hyperlink>
      <w:r w:rsidRPr="00E27F38">
        <w:t>.</w:t>
      </w:r>
    </w:p>
  </w:footnote>
  <w:footnote w:id="19">
    <w:p w:rsidR="00206CD4" w:rsidRPr="00E27F38" w:rsidRDefault="00206CD4" w:rsidP="00206CD4">
      <w:pPr>
        <w:pStyle w:val="FootnoteText"/>
      </w:pPr>
      <w:r w:rsidRPr="00C3213F">
        <w:rPr>
          <w:rStyle w:val="FootnoteReference"/>
        </w:rPr>
        <w:footnoteRef/>
      </w:r>
      <w:r w:rsidRPr="005D2751">
        <w:rPr>
          <w:lang w:val="fr-CH"/>
        </w:rPr>
        <w:tab/>
      </w:r>
      <w:hyperlink r:id="rId15" w:history="1">
        <w:r w:rsidRPr="005D2751">
          <w:rPr>
            <w:rStyle w:val="Hyperlink"/>
            <w:szCs w:val="24"/>
            <w:lang w:val="fr-CH"/>
          </w:rPr>
          <w:t>Com</w:t>
        </w:r>
        <w:r>
          <w:rPr>
            <w:rStyle w:val="Hyperlink"/>
            <w:szCs w:val="24"/>
            <w:lang w:val="fr-CH"/>
          </w:rPr>
          <w:t>i</w:t>
        </w:r>
        <w:r w:rsidRPr="005D2751">
          <w:rPr>
            <w:rStyle w:val="Hyperlink"/>
            <w:szCs w:val="24"/>
            <w:lang w:val="fr-CH"/>
          </w:rPr>
          <w:t>t</w:t>
        </w:r>
        <w:r>
          <w:rPr>
            <w:rStyle w:val="Hyperlink"/>
            <w:szCs w:val="24"/>
            <w:lang w:val="fr-CH"/>
          </w:rPr>
          <w:t>é européen de normalisation él</w:t>
        </w:r>
        <w:r w:rsidRPr="005D2751">
          <w:rPr>
            <w:rStyle w:val="Hyperlink"/>
            <w:szCs w:val="24"/>
            <w:lang w:val="fr-CH"/>
          </w:rPr>
          <w:t>ectrotechni</w:t>
        </w:r>
        <w:r>
          <w:rPr>
            <w:rStyle w:val="Hyperlink"/>
            <w:szCs w:val="24"/>
            <w:lang w:val="fr-CH"/>
          </w:rPr>
          <w:t>que</w:t>
        </w:r>
      </w:hyperlink>
      <w:r w:rsidRPr="00E27F38">
        <w:t>.</w:t>
      </w:r>
    </w:p>
  </w:footnote>
  <w:footnote w:id="20">
    <w:p w:rsidR="00206CD4" w:rsidRPr="005D2751" w:rsidRDefault="00206CD4" w:rsidP="00206CD4">
      <w:pPr>
        <w:pStyle w:val="FootnoteText"/>
        <w:rPr>
          <w:lang w:val="fr-CH"/>
        </w:rPr>
      </w:pPr>
      <w:r w:rsidRPr="00C3213F">
        <w:rPr>
          <w:rStyle w:val="FootnoteReference"/>
        </w:rPr>
        <w:footnoteRef/>
      </w:r>
      <w:r w:rsidRPr="005D2751">
        <w:rPr>
          <w:rStyle w:val="FootnoteReference"/>
          <w:lang w:val="fr-CH"/>
        </w:rPr>
        <w:tab/>
      </w:r>
      <w:hyperlink r:id="rId16" w:history="1">
        <w:r w:rsidRPr="005D2751">
          <w:rPr>
            <w:rStyle w:val="Hyperlink"/>
            <w:szCs w:val="24"/>
            <w:lang w:val="fr-CH"/>
          </w:rPr>
          <w:t>Conférence européenne des administrations des p</w:t>
        </w:r>
        <w:r>
          <w:rPr>
            <w:rStyle w:val="Hyperlink"/>
            <w:szCs w:val="24"/>
            <w:lang w:val="fr-CH"/>
          </w:rPr>
          <w:t>ostes et des télé</w:t>
        </w:r>
        <w:r w:rsidRPr="005D2751">
          <w:rPr>
            <w:rStyle w:val="Hyperlink"/>
            <w:szCs w:val="24"/>
            <w:lang w:val="fr-CH"/>
          </w:rPr>
          <w:t>communications</w:t>
        </w:r>
      </w:hyperlink>
      <w:r w:rsidRPr="005D2751">
        <w:rPr>
          <w:lang w:val="fr-CH"/>
        </w:rPr>
        <w:t>.</w:t>
      </w:r>
    </w:p>
  </w:footnote>
  <w:footnote w:id="21">
    <w:p w:rsidR="00206CD4" w:rsidRPr="00E27F38" w:rsidRDefault="00206CD4" w:rsidP="00206CD4">
      <w:pPr>
        <w:pStyle w:val="FootnoteText"/>
      </w:pPr>
      <w:r w:rsidRPr="00E62524">
        <w:rPr>
          <w:rStyle w:val="FootnoteReference"/>
        </w:rPr>
        <w:footnoteRef/>
      </w:r>
      <w:r w:rsidRPr="00E62524">
        <w:rPr>
          <w:rStyle w:val="FootnoteReference"/>
        </w:rPr>
        <w:tab/>
      </w:r>
      <w:r w:rsidRPr="00E27F38">
        <w:t>La technologie Z-Wave est une technologie</w:t>
      </w:r>
      <w:r>
        <w:t xml:space="preserve"> hertzienne </w:t>
      </w:r>
      <w:r w:rsidRPr="00E27F38">
        <w:t xml:space="preserve">à faible consommation d'énergie et </w:t>
      </w:r>
      <w:r>
        <w:t xml:space="preserve">peu coûteuse </w:t>
      </w:r>
      <w:r w:rsidRPr="00E27F38">
        <w:t xml:space="preserve">permettant de proposer des produits grands publics avec des fonctionnalités de mise en réseau (par exemple variateurs de lumière commandés à distance, capteurs de température en réseau, serrures électroniques et systèmes audiovisuels). Les nœuds Z-Wave doivent fonctionner dans les bandes de fréquences </w:t>
      </w:r>
      <w:r>
        <w:t xml:space="preserve">pouvant être utilisées sans </w:t>
      </w:r>
      <w:r w:rsidRPr="00E27F38">
        <w:t>licence comme les bandes ISM (</w:t>
      </w:r>
      <w:hyperlink r:id="rId17" w:history="1">
        <w:r w:rsidRPr="00E27F38">
          <w:rPr>
            <w:rStyle w:val="Hyperlink"/>
            <w:szCs w:val="22"/>
          </w:rPr>
          <w:t>http://www.z-wave.com/what_is_z-wave</w:t>
        </w:r>
      </w:hyperlink>
      <w:r w:rsidRPr="00E27F38">
        <w:t xml:space="preserve">). </w:t>
      </w:r>
    </w:p>
  </w:footnote>
  <w:footnote w:id="22">
    <w:p w:rsidR="00206CD4" w:rsidRPr="00AB44A4" w:rsidRDefault="00206CD4" w:rsidP="00206CD4">
      <w:pPr>
        <w:pStyle w:val="FootnoteText"/>
        <w:rPr>
          <w:lang w:val="fr-CH"/>
        </w:rPr>
      </w:pPr>
      <w:r>
        <w:rPr>
          <w:rStyle w:val="FootnoteReference"/>
        </w:rPr>
        <w:footnoteRef/>
      </w:r>
      <w:r>
        <w:tab/>
        <w:t>IEEE P802.11ah est un projet qui a été mené à bien, mais pour lequel les résultats du processus d'approbation n'étaient pas encore connus au moment où le présent Rapport a été rédigé.</w:t>
      </w:r>
    </w:p>
  </w:footnote>
  <w:footnote w:id="23">
    <w:p w:rsidR="00206CD4" w:rsidRPr="00A93AA5" w:rsidRDefault="00206CD4" w:rsidP="00206CD4">
      <w:pPr>
        <w:pStyle w:val="FootnoteText"/>
        <w:rPr>
          <w:rStyle w:val="FootnoteTextChar"/>
        </w:rPr>
      </w:pPr>
      <w:r w:rsidRPr="00A93AA5">
        <w:rPr>
          <w:rStyle w:val="FootnoteReference"/>
        </w:rPr>
        <w:footnoteRef/>
      </w:r>
      <w:r w:rsidRPr="00A93AA5">
        <w:rPr>
          <w:rStyle w:val="FootnoteTextChar"/>
        </w:rPr>
        <w:tab/>
        <w:t>Le modèle 1 comprend une description des normes de cette famille et un modèle pour l</w:t>
      </w:r>
      <w:r>
        <w:rPr>
          <w:rStyle w:val="FootnoteTextChar"/>
        </w:rPr>
        <w:t>'</w:t>
      </w:r>
      <w:r w:rsidRPr="00A93AA5">
        <w:rPr>
          <w:rStyle w:val="FootnoteTextChar"/>
        </w:rPr>
        <w:t>intérieur.</w:t>
      </w:r>
    </w:p>
  </w:footnote>
  <w:footnote w:id="24">
    <w:p w:rsidR="00206CD4" w:rsidRPr="00A93AA5" w:rsidRDefault="00206CD4" w:rsidP="00206CD4">
      <w:pPr>
        <w:pStyle w:val="FootnoteText"/>
      </w:pPr>
      <w:r w:rsidRPr="00A93AA5">
        <w:rPr>
          <w:rStyle w:val="FootnoteReference"/>
        </w:rPr>
        <w:footnoteRef/>
      </w:r>
      <w:r w:rsidRPr="00A93AA5">
        <w:tab/>
      </w:r>
      <w:r w:rsidRPr="00A93AA5">
        <w:rPr>
          <w:rStyle w:val="FootnoteTextChar"/>
        </w:rPr>
        <w:t xml:space="preserve">Le modèle </w:t>
      </w:r>
      <w:r w:rsidRPr="00A93AA5">
        <w:t>2 comprend un modèle d</w:t>
      </w:r>
      <w:r>
        <w:t>'</w:t>
      </w:r>
      <w:r w:rsidRPr="00A93AA5">
        <w:t xml:space="preserve">exploitation </w:t>
      </w:r>
      <w:r>
        <w:t xml:space="preserve">particulier </w:t>
      </w:r>
      <w:r w:rsidRPr="00A93AA5">
        <w:t>et un modèle pour l</w:t>
      </w:r>
      <w:r>
        <w:t>'</w:t>
      </w:r>
      <w:r w:rsidRPr="00A93AA5">
        <w:t>extérieur.</w:t>
      </w:r>
    </w:p>
  </w:footnote>
  <w:footnote w:id="25">
    <w:p w:rsidR="00B16AA8" w:rsidRDefault="00B16AA8">
      <w:pPr>
        <w:pStyle w:val="FootnoteText"/>
      </w:pPr>
      <w:r>
        <w:rPr>
          <w:rStyle w:val="FootnoteReference"/>
        </w:rPr>
        <w:footnoteRef/>
      </w:r>
      <w:r>
        <w:t xml:space="preserve"> IEEE P802.11ah est un projet qui a été mené à bien, mais pour lequel les résultats du processus d'approbation n'étaient pas encore connus au moment où le présent Rapport a été rédigé.</w:t>
      </w:r>
    </w:p>
  </w:footnote>
  <w:footnote w:id="26">
    <w:p w:rsidR="00B16AA8" w:rsidRDefault="00B16AA8">
      <w:pPr>
        <w:pStyle w:val="FootnoteText"/>
      </w:pPr>
      <w:r>
        <w:rPr>
          <w:rStyle w:val="FootnoteReference"/>
        </w:rPr>
        <w:footnoteRef/>
      </w:r>
      <w:r>
        <w:t xml:space="preserve"> </w:t>
      </w:r>
      <w:r w:rsidRPr="00A93AA5">
        <w:rPr>
          <w:rStyle w:val="FootnoteTextChar"/>
        </w:rPr>
        <w:t>Le modèle 1 comprend une description des normes de cette famille et un modèle pour l</w:t>
      </w:r>
      <w:r>
        <w:rPr>
          <w:rStyle w:val="FootnoteTextChar"/>
        </w:rPr>
        <w:t>'</w:t>
      </w:r>
      <w:r w:rsidRPr="00A93AA5">
        <w:rPr>
          <w:rStyle w:val="FootnoteTextChar"/>
        </w:rPr>
        <w:t>intérieur.</w:t>
      </w:r>
    </w:p>
  </w:footnote>
  <w:footnote w:id="27">
    <w:p w:rsidR="00B16AA8" w:rsidRDefault="00B16AA8">
      <w:pPr>
        <w:pStyle w:val="FootnoteText"/>
      </w:pPr>
      <w:r>
        <w:rPr>
          <w:rStyle w:val="FootnoteReference"/>
        </w:rPr>
        <w:footnoteRef/>
      </w:r>
      <w:r>
        <w:t xml:space="preserve"> </w:t>
      </w:r>
      <w:r w:rsidRPr="00A93AA5">
        <w:rPr>
          <w:rStyle w:val="FootnoteTextChar"/>
        </w:rPr>
        <w:t xml:space="preserve">Le modèle </w:t>
      </w:r>
      <w:r w:rsidRPr="00A93AA5">
        <w:t>2 comprend un modèle d</w:t>
      </w:r>
      <w:r>
        <w:t>'</w:t>
      </w:r>
      <w:r w:rsidRPr="00A93AA5">
        <w:t xml:space="preserve">exploitation </w:t>
      </w:r>
      <w:r>
        <w:t xml:space="preserve">particulier </w:t>
      </w:r>
      <w:r w:rsidRPr="00A93AA5">
        <w:t>et un modèle pour l</w:t>
      </w:r>
      <w:r>
        <w:t>'</w:t>
      </w:r>
      <w:r w:rsidRPr="00A93AA5">
        <w:t>extérieur.</w:t>
      </w:r>
    </w:p>
  </w:footnote>
  <w:footnote w:id="28">
    <w:p w:rsidR="00206CD4" w:rsidRPr="00DD0BDA" w:rsidRDefault="00206CD4" w:rsidP="00206CD4">
      <w:pPr>
        <w:pStyle w:val="FootnoteText"/>
        <w:rPr>
          <w:lang w:val="fr-CH"/>
        </w:rPr>
      </w:pPr>
      <w:r w:rsidRPr="00A93AA5">
        <w:rPr>
          <w:rStyle w:val="FootnoteReference"/>
        </w:rPr>
        <w:footnoteRef/>
      </w:r>
      <w:r>
        <w:tab/>
      </w:r>
      <w:r w:rsidRPr="00A93AA5">
        <w:t xml:space="preserve">Fin 2008, le Conseil des ressources éoliennes de Californie (CARB) </w:t>
      </w:r>
      <w:r>
        <w:t xml:space="preserve">a déclaré </w:t>
      </w:r>
      <w:r w:rsidRPr="00A93AA5">
        <w:t>qu'</w:t>
      </w:r>
      <w:r>
        <w:t>«</w:t>
      </w:r>
      <w:r w:rsidRPr="00A93AA5">
        <w:t>un réseau de distribution</w:t>
      </w:r>
      <w:r w:rsidRPr="00627324">
        <w:t xml:space="preserve"> </w:t>
      </w:r>
      <w:r>
        <w:t>et</w:t>
      </w:r>
      <w:r w:rsidRPr="00A93AA5">
        <w:t xml:space="preserve"> une infrastructure de communication intelligent</w:t>
      </w:r>
      <w:r>
        <w:t>s</w:t>
      </w:r>
      <w:r w:rsidRPr="00A93AA5">
        <w:t xml:space="preserve"> et interactif</w:t>
      </w:r>
      <w:r>
        <w:t>s</w:t>
      </w:r>
      <w:r w:rsidRPr="00A93AA5">
        <w:t xml:space="preserve"> permettrai</w:t>
      </w:r>
      <w:r>
        <w:t>en</w:t>
      </w:r>
      <w:r w:rsidRPr="00A93AA5">
        <w:t>t la circulation bidirectionnelle de l'énergie et des données</w:t>
      </w:r>
      <w:r>
        <w:t>, qui est</w:t>
      </w:r>
      <w:r w:rsidRPr="00A93AA5">
        <w:t xml:space="preserve"> nécessaire pour déployer à grande échelle des </w:t>
      </w:r>
      <w:r>
        <w:t>res</w:t>
      </w:r>
      <w:r w:rsidRPr="00A93AA5">
        <w:t>sources renouvelables d</w:t>
      </w:r>
      <w:r>
        <w:t>écentralis</w:t>
      </w:r>
      <w:r w:rsidRPr="00A93AA5">
        <w:t>ées</w:t>
      </w:r>
      <w:r>
        <w:t xml:space="preserve"> de production d'énergie</w:t>
      </w:r>
      <w:r w:rsidRPr="00A93AA5">
        <w:t>, des véhicules hybrides ou électriques et des dispositifs d'utilisateur final efficace</w:t>
      </w:r>
      <w:r>
        <w:t>s</w:t>
      </w:r>
      <w:r w:rsidRPr="00A93AA5">
        <w:t xml:space="preserve">. Les réseaux intelligents peuvent prendre en charge un volume croissant de </w:t>
      </w:r>
      <w:r>
        <w:t>res</w:t>
      </w:r>
      <w:r w:rsidRPr="00A93AA5">
        <w:t xml:space="preserve">sources </w:t>
      </w:r>
      <w:r>
        <w:t xml:space="preserve">de production décentralisées, </w:t>
      </w:r>
      <w:r w:rsidRPr="00A93AA5">
        <w:t xml:space="preserve">situées à proximité des </w:t>
      </w:r>
      <w:r>
        <w:t>lieux de consommation</w:t>
      </w:r>
      <w:r w:rsidRPr="00A93AA5">
        <w:t xml:space="preserve">, </w:t>
      </w:r>
      <w:r>
        <w:t xml:space="preserve">d'où </w:t>
      </w:r>
      <w:r w:rsidRPr="00A93AA5">
        <w:t xml:space="preserve">une diminution des pertes dans l'ensemble </w:t>
      </w:r>
      <w:r>
        <w:t xml:space="preserve">du </w:t>
      </w:r>
      <w:r w:rsidRPr="00A93AA5">
        <w:t xml:space="preserve">système électrique et une réduction des émissions de gaz à effet de serre correspondantes. Grâce à un tel système, la production </w:t>
      </w:r>
      <w:r>
        <w:t xml:space="preserve">décentralisée </w:t>
      </w:r>
      <w:r w:rsidRPr="00A93AA5">
        <w:t xml:space="preserve">deviendrait </w:t>
      </w:r>
      <w:r>
        <w:t>courante</w:t>
      </w:r>
      <w:r w:rsidRPr="00A93AA5">
        <w:t xml:space="preserve">, … les véhicules électriques pourraient servir de dispositifs de stockage de l'énergie … [et] les opérateurs des réseaux </w:t>
      </w:r>
      <w:r>
        <w:t xml:space="preserve">de distribution </w:t>
      </w:r>
      <w:r w:rsidRPr="00A93AA5">
        <w:t>auraient à leur tour une plus grande marge de manœuvre pour faire face aux variations de la production, ce qui peut contribuer à résoudre les</w:t>
      </w:r>
      <w:r>
        <w:t xml:space="preserve"> problèmes que pose actuellement</w:t>
      </w:r>
      <w:r w:rsidRPr="00A93AA5">
        <w:t xml:space="preserve"> l'intégration des </w:t>
      </w:r>
      <w:r>
        <w:t>res</w:t>
      </w:r>
      <w:r w:rsidRPr="00A93AA5">
        <w:t xml:space="preserve">sources intermittentes comme l'éolien.» </w:t>
      </w:r>
      <w:r>
        <w:t xml:space="preserve">Plan-cadre du Conseil des ressources éoliennes de </w:t>
      </w:r>
      <w:r w:rsidRPr="00DD0BDA">
        <w:rPr>
          <w:lang w:val="fr-CH"/>
        </w:rPr>
        <w:t>Californie, Appendice, Vol. I à C-96, 97, CARB (</w:t>
      </w:r>
      <w:r>
        <w:rPr>
          <w:lang w:val="fr-CH"/>
        </w:rPr>
        <w:t>d</w:t>
      </w:r>
      <w:r w:rsidRPr="00DD0BDA">
        <w:rPr>
          <w:lang w:val="fr-CH"/>
        </w:rPr>
        <w:t>éc. 2008).</w:t>
      </w:r>
    </w:p>
  </w:footnote>
  <w:footnote w:id="29">
    <w:p w:rsidR="00206CD4" w:rsidRPr="00A93AA5" w:rsidRDefault="00206CD4" w:rsidP="00206CD4">
      <w:pPr>
        <w:pStyle w:val="FootnoteText"/>
      </w:pPr>
      <w:r w:rsidRPr="00A93AA5">
        <w:rPr>
          <w:rStyle w:val="FootnoteReference"/>
        </w:rPr>
        <w:footnoteRef/>
      </w:r>
      <w:r>
        <w:tab/>
      </w:r>
      <w:r w:rsidRPr="00A93AA5">
        <w:t>Voir par exemple Enabling Tomorrow</w:t>
      </w:r>
      <w:r>
        <w:t>'</w:t>
      </w:r>
      <w:r w:rsidRPr="00A93AA5">
        <w:t xml:space="preserve">s Electricity System – Report of the Ontario Smart Grid Forum, Ontario Smart Grid Forum (février, 2009), </w:t>
      </w:r>
      <w:r>
        <w:t xml:space="preserve">selon lequel </w:t>
      </w:r>
      <w:r w:rsidRPr="00A93AA5">
        <w:t xml:space="preserve">«les initiatives en matière de conservation, de production d'énergie renouvelable et de comptage intelligent </w:t>
      </w:r>
      <w:r>
        <w:t xml:space="preserve">marquent le début du passage à </w:t>
      </w:r>
      <w:r w:rsidRPr="00A93AA5">
        <w:t xml:space="preserve">un nouveau système de fourniture de l'électricité, mais </w:t>
      </w:r>
      <w:r>
        <w:t>ell</w:t>
      </w:r>
      <w:r w:rsidRPr="00A93AA5">
        <w:t xml:space="preserve">es ne pourront produire tous leurs effets sans les technologies évoluées </w:t>
      </w:r>
      <w:r>
        <w:t xml:space="preserve">grâce auxquelles il est possible de mettre </w:t>
      </w:r>
      <w:r w:rsidRPr="00A93AA5">
        <w:t>en place le réseau intelligent.»</w:t>
      </w:r>
    </w:p>
  </w:footnote>
  <w:footnote w:id="30">
    <w:p w:rsidR="00206CD4" w:rsidRPr="00A93AA5" w:rsidRDefault="00206CD4" w:rsidP="00206CD4">
      <w:pPr>
        <w:pStyle w:val="FootnoteText"/>
      </w:pPr>
      <w:r w:rsidRPr="00A93AA5">
        <w:rPr>
          <w:rStyle w:val="FootnoteReference"/>
        </w:rPr>
        <w:footnoteRef/>
      </w:r>
      <w:r>
        <w:tab/>
      </w:r>
      <w:r w:rsidRPr="00E04AB5">
        <w:t>Voir</w:t>
      </w:r>
      <w:r w:rsidRPr="00A93AA5">
        <w:rPr>
          <w:i/>
          <w:iCs/>
        </w:rPr>
        <w:t xml:space="preserve"> </w:t>
      </w:r>
      <w:r w:rsidRPr="00A93AA5">
        <w:t xml:space="preserve">A System view of the Modern Grid, B1.2 et B1.11, Integrated Communications, </w:t>
      </w:r>
      <w:r>
        <w:t>élaboré</w:t>
      </w:r>
      <w:r w:rsidRPr="00A93AA5">
        <w:t xml:space="preserve"> par le National Energy Technology Laboratory pour le Bureau de la fourniture d'électricité </w:t>
      </w:r>
      <w:r>
        <w:t xml:space="preserve">et </w:t>
      </w:r>
      <w:r w:rsidRPr="00A93AA5">
        <w:t>de la fiabilité énergétique du Département de l'énergie américain (février 2007). Ces communications intégrées «[raccorderont] les composants à une architecture ouverte d'info</w:t>
      </w:r>
      <w:r>
        <w:t>rmation et de commande en</w:t>
      </w:r>
      <w:r w:rsidRPr="00A93AA5">
        <w:t xml:space="preserve"> temps réel, ce qui permettra à chaque </w:t>
      </w:r>
      <w:r>
        <w:t>élément</w:t>
      </w:r>
      <w:r w:rsidRPr="00A93AA5">
        <w:t xml:space="preserve"> du réseau à la fois de «parler»</w:t>
      </w:r>
      <w:r>
        <w:t xml:space="preserve"> et </w:t>
      </w:r>
      <w:r w:rsidRPr="00A93AA5">
        <w:t>«d'écouter». The Smart Grid</w:t>
      </w:r>
      <w:r>
        <w:t>:</w:t>
      </w:r>
      <w:r w:rsidRPr="00A93AA5">
        <w:t xml:space="preserve"> An Introduction, page 29, Département de l'énergie des </w:t>
      </w:r>
      <w:r>
        <w:t>E</w:t>
      </w:r>
      <w:r w:rsidRPr="00A93AA5">
        <w:t>tats-Unis (</w:t>
      </w:r>
      <w:r>
        <w:t>2008</w:t>
      </w:r>
      <w:r w:rsidRPr="00A93AA5">
        <w:t>).</w:t>
      </w:r>
    </w:p>
  </w:footnote>
  <w:footnote w:id="31">
    <w:p w:rsidR="00206CD4" w:rsidRPr="00C227A3" w:rsidRDefault="00206CD4" w:rsidP="00206CD4">
      <w:pPr>
        <w:pStyle w:val="FootnoteText"/>
        <w:rPr>
          <w:i/>
          <w:iCs/>
          <w:lang w:val="en-US"/>
        </w:rPr>
      </w:pPr>
      <w:r w:rsidRPr="00A93AA5">
        <w:rPr>
          <w:rStyle w:val="FootnoteReference"/>
        </w:rPr>
        <w:footnoteRef/>
      </w:r>
      <w:r w:rsidRPr="00C227A3">
        <w:rPr>
          <w:lang w:val="en-US"/>
        </w:rPr>
        <w:t xml:space="preserve"> </w:t>
      </w:r>
      <w:r>
        <w:rPr>
          <w:lang w:val="en-US"/>
        </w:rPr>
        <w:tab/>
      </w:r>
      <w:r w:rsidRPr="00C227A3">
        <w:rPr>
          <w:i/>
          <w:iCs/>
          <w:lang w:val="en-US"/>
        </w:rPr>
        <w:t>Id.</w:t>
      </w:r>
    </w:p>
  </w:footnote>
  <w:footnote w:id="32">
    <w:p w:rsidR="00206CD4" w:rsidRPr="00A93AA5" w:rsidRDefault="00206CD4" w:rsidP="009627F4">
      <w:pPr>
        <w:pStyle w:val="FootnoteText"/>
      </w:pPr>
      <w:r w:rsidRPr="00A93AA5">
        <w:rPr>
          <w:rStyle w:val="FootnoteReference"/>
        </w:rPr>
        <w:footnoteRef/>
      </w:r>
      <w:r>
        <w:rPr>
          <w:lang w:val="en-US"/>
        </w:rPr>
        <w:tab/>
        <w:t>«</w:t>
      </w:r>
      <w:r w:rsidRPr="00C227A3">
        <w:rPr>
          <w:lang w:val="en-US"/>
        </w:rPr>
        <w:t>Modernizing the electric grid with additional two-way communications, sensors and control technologies, key components of a smart grid, can lead to subs</w:t>
      </w:r>
      <w:r>
        <w:rPr>
          <w:lang w:val="en-US"/>
        </w:rPr>
        <w:t>tantial benefits for consumers.»</w:t>
      </w:r>
      <w:r w:rsidRPr="00C227A3">
        <w:rPr>
          <w:lang w:val="en-US"/>
        </w:rPr>
        <w:t xml:space="preserve"> </w:t>
      </w:r>
      <w:r w:rsidRPr="00583FB0">
        <w:rPr>
          <w:lang w:val="fr-CH"/>
        </w:rPr>
        <w:t xml:space="preserve">Décision de la PUC de Californie établissant les procédures appliquées par la Commission pour l'examen de projets et des investissements des entreprises de services collectifs à capitaux privés recherchant un financement au titre de la Loi sur la reprise à 3 (10 sept. 2009), disponible à: </w:t>
      </w:r>
      <w:r w:rsidRPr="00583FB0">
        <w:rPr>
          <w:szCs w:val="22"/>
          <w:lang w:val="fr-CH"/>
        </w:rPr>
        <w:t>http://docs.cpuc.ca.gov/word_pdf/FINAL_DECISION/106992.pdf</w:t>
      </w:r>
      <w:r w:rsidRPr="00583FB0">
        <w:rPr>
          <w:lang w:val="fr-CH"/>
        </w:rPr>
        <w:t xml:space="preserve">. </w:t>
      </w:r>
      <w:r w:rsidRPr="00583FB0">
        <w:rPr>
          <w:i/>
          <w:iCs/>
          <w:lang w:val="fr-CH"/>
        </w:rPr>
        <w:t>Voir</w:t>
      </w:r>
      <w:r w:rsidRPr="00583FB0">
        <w:rPr>
          <w:bCs/>
          <w:i/>
          <w:lang w:val="fr-CH"/>
        </w:rPr>
        <w:t xml:space="preserve"> également, </w:t>
      </w:r>
      <w:r w:rsidRPr="00583FB0">
        <w:rPr>
          <w:lang w:val="fr-CH"/>
        </w:rPr>
        <w:t xml:space="preserve">California Energy Commission on the Value of Distribution Automation, California Energy Commission Public Interest Energy Research Final Project Report </w:t>
      </w:r>
      <w:r>
        <w:rPr>
          <w:lang w:val="fr-CH"/>
        </w:rPr>
        <w:t>à</w:t>
      </w:r>
      <w:r w:rsidRPr="00583FB0">
        <w:rPr>
          <w:lang w:val="fr-CH"/>
        </w:rPr>
        <w:t xml:space="preserve"> 51 (avril 2007), disponible à: </w:t>
      </w:r>
      <w:hyperlink r:id="rId18" w:history="1">
        <w:r w:rsidRPr="00583FB0">
          <w:rPr>
            <w:rStyle w:val="Hyperlink"/>
            <w:lang w:val="fr-CH"/>
          </w:rPr>
          <w:t>http://www.energy.ca.gov/2007publications/CEC-100-2007-008/CEC-100-2007-008-CTF.PDF</w:t>
        </w:r>
        <w:r w:rsidRPr="00CE6F0C">
          <w:t>.</w:t>
        </w:r>
      </w:hyperlink>
      <w:r>
        <w:t xml:space="preserve">«[Les] </w:t>
      </w:r>
      <w:r w:rsidRPr="00A93AA5">
        <w:t>communications constituent la base de presque toutes les applications et comprennent les communications</w:t>
      </w:r>
      <w:r>
        <w:t xml:space="preserve"> bidirectionnelles haut débit dans</w:t>
      </w:r>
      <w:r w:rsidRPr="00A93AA5">
        <w:t xml:space="preserve"> l'ensemble du système de distribution et à l'intention des différents clients.</w:t>
      </w:r>
      <w:r>
        <w:t>»</w:t>
      </w:r>
      <w:r w:rsidRPr="00A93AA5">
        <w:t>)</w:t>
      </w:r>
    </w:p>
  </w:footnote>
  <w:footnote w:id="33">
    <w:p w:rsidR="00206CD4" w:rsidRPr="00A93AA5" w:rsidRDefault="00206CD4" w:rsidP="00206CD4">
      <w:pPr>
        <w:pStyle w:val="FootnoteText"/>
      </w:pPr>
      <w:r w:rsidRPr="00A93AA5">
        <w:rPr>
          <w:rStyle w:val="FootnoteReference"/>
        </w:rPr>
        <w:footnoteRef/>
      </w:r>
      <w:r w:rsidRPr="005C4A28">
        <w:rPr>
          <w:lang w:val="fr-CH"/>
        </w:rPr>
        <w:tab/>
      </w:r>
      <w:r w:rsidRPr="005C4A28">
        <w:rPr>
          <w:i/>
          <w:lang w:val="fr-CH"/>
        </w:rPr>
        <w:t xml:space="preserve">Voir </w:t>
      </w:r>
      <w:r w:rsidRPr="005C4A28">
        <w:rPr>
          <w:lang w:val="fr-CH"/>
        </w:rPr>
        <w:t xml:space="preserve">Enabling Tomorrow's Electricity System – Rapport de l'Ontario Smart Grid Forum à 34, Ontario Smart Grid Forum (février 2009). </w:t>
      </w:r>
      <w:r w:rsidRPr="00A93AA5">
        <w:t xml:space="preserve">Ce rapport indique en outre que </w:t>
      </w:r>
      <w:r>
        <w:t>«</w:t>
      </w:r>
      <w:r w:rsidRPr="00A93AA5">
        <w:t xml:space="preserve">les systèmes de communication que les entreprises de services collectifs mettent </w:t>
      </w:r>
      <w:r>
        <w:t xml:space="preserve">actuellement </w:t>
      </w:r>
      <w:r w:rsidRPr="00A93AA5">
        <w:t xml:space="preserve">au point </w:t>
      </w:r>
      <w:r>
        <w:t xml:space="preserve">pour les </w:t>
      </w:r>
      <w:r w:rsidRPr="00A93AA5">
        <w:t>compteurs intelligents ne permettront pas de prendre en charge l</w:t>
      </w:r>
      <w:r>
        <w:t>e</w:t>
      </w:r>
      <w:r w:rsidRPr="00A93AA5">
        <w:t xml:space="preserve"> développement </w:t>
      </w:r>
      <w:r>
        <w:t xml:space="preserve">plein et entier </w:t>
      </w:r>
      <w:r w:rsidRPr="00A93AA5">
        <w:t>des réseaux intelligents. Les besoins de communication associés à la collecte des données de comptage sont différents de ceux associés au fonctionnement des réseaux. Le fonctionnement des réseaux nécessitera une largeur de bande supplémentaire et un service redondant</w:t>
      </w:r>
      <w:r>
        <w:t xml:space="preserve"> vu</w:t>
      </w:r>
      <w:r w:rsidRPr="00A93AA5">
        <w:t xml:space="preserve"> la quantit</w:t>
      </w:r>
      <w:r>
        <w:t>é de données opérationnelles, le</w:t>
      </w:r>
      <w:r w:rsidRPr="00A93AA5">
        <w:t xml:space="preserve"> débit requis pour les utiliser et leur sensibilité. </w:t>
      </w:r>
      <w:r w:rsidRPr="00A93AA5">
        <w:rPr>
          <w:i/>
          <w:iCs/>
        </w:rPr>
        <w:t>Id</w:t>
      </w:r>
      <w:r>
        <w:rPr>
          <w:i/>
          <w:iCs/>
        </w:rPr>
        <w:t>.</w:t>
      </w:r>
      <w:r w:rsidRPr="00A93AA5">
        <w:rPr>
          <w:i/>
          <w:iCs/>
        </w:rPr>
        <w:t xml:space="preserve"> </w:t>
      </w:r>
      <w:r>
        <w:t>à</w:t>
      </w:r>
      <w:r w:rsidRPr="00A93AA5">
        <w:t xml:space="preserve"> 35.</w:t>
      </w:r>
    </w:p>
  </w:footnote>
  <w:footnote w:id="34">
    <w:p w:rsidR="00206CD4" w:rsidRPr="00A93AA5" w:rsidRDefault="00206CD4" w:rsidP="00206CD4">
      <w:pPr>
        <w:pStyle w:val="FootnoteText"/>
      </w:pPr>
      <w:r w:rsidRPr="00A93AA5">
        <w:rPr>
          <w:rStyle w:val="FootnoteReference"/>
        </w:rPr>
        <w:footnoteRef/>
      </w:r>
      <w:r>
        <w:t xml:space="preserve"> </w:t>
      </w:r>
      <w:r>
        <w:tab/>
      </w:r>
      <w:hyperlink r:id="rId19" w:history="1">
        <w:r w:rsidRPr="00A93AA5">
          <w:rPr>
            <w:rStyle w:val="Hyperlink"/>
            <w:szCs w:val="24"/>
          </w:rPr>
          <w:t>http://www.europarl.europa.eu/sides/getDoc.do?pubRef=-//EP//NONSGML+REPORT+A6-2008-0003+0+DOC+PDF+V0//EN&amp;language=EN</w:t>
        </w:r>
      </w:hyperlink>
      <w:r w:rsidRPr="00A93AA5">
        <w:t>.</w:t>
      </w:r>
    </w:p>
  </w:footnote>
  <w:footnote w:id="35">
    <w:p w:rsidR="00206CD4" w:rsidRPr="00A93AA5" w:rsidRDefault="00206CD4" w:rsidP="00206CD4">
      <w:pPr>
        <w:pStyle w:val="FootnoteText"/>
      </w:pPr>
      <w:r w:rsidRPr="00A93AA5">
        <w:rPr>
          <w:rStyle w:val="FootnoteReference"/>
        </w:rPr>
        <w:footnoteRef/>
      </w:r>
      <w:r w:rsidRPr="00A93AA5">
        <w:t xml:space="preserve"> </w:t>
      </w:r>
      <w:r>
        <w:rPr>
          <w:rStyle w:val="FootnoteReference"/>
        </w:rPr>
        <w:tab/>
      </w:r>
      <w:hyperlink r:id="rId20" w:history="1">
        <w:r w:rsidRPr="00A93AA5">
          <w:rPr>
            <w:rStyle w:val="Hyperlink"/>
            <w:szCs w:val="22"/>
          </w:rPr>
          <w:t>http://</w:t>
        </w:r>
        <w:r w:rsidRPr="00E04AB5">
          <w:rPr>
            <w:rStyle w:val="Hyperlink"/>
            <w:szCs w:val="22"/>
          </w:rPr>
          <w:t>w</w:t>
        </w:r>
        <w:r w:rsidRPr="00A93AA5">
          <w:rPr>
            <w:rStyle w:val="Hyperlink"/>
            <w:szCs w:val="22"/>
          </w:rPr>
          <w:t>ww.europarl.europa.eu/sides/getDoc.do?type=TA&amp;language=EN&amp;reference=P6-TA-2008-0294</w:t>
        </w:r>
      </w:hyperlink>
      <w:r w:rsidRPr="00A93AA5">
        <w:t>.</w:t>
      </w:r>
    </w:p>
  </w:footnote>
  <w:footnote w:id="36">
    <w:p w:rsidR="00206CD4" w:rsidRPr="006C7CFE" w:rsidRDefault="00206CD4" w:rsidP="00206CD4">
      <w:pPr>
        <w:pStyle w:val="FootnoteText"/>
      </w:pPr>
      <w:r w:rsidRPr="00A93AA5">
        <w:rPr>
          <w:rStyle w:val="FootnoteReference"/>
        </w:rPr>
        <w:footnoteRef/>
      </w:r>
      <w:r w:rsidRPr="006C7CFE">
        <w:t xml:space="preserve"> </w:t>
      </w:r>
      <w:r w:rsidRPr="006C7CFE">
        <w:tab/>
      </w:r>
      <w:hyperlink r:id="rId21" w:history="1">
        <w:r w:rsidRPr="006C7CFE">
          <w:rPr>
            <w:rStyle w:val="Hyperlink"/>
          </w:rPr>
          <w:t>http://www.smartgrids.eu/</w:t>
        </w:r>
      </w:hyperlink>
      <w:r w:rsidRPr="006C7CFE">
        <w:rPr>
          <w:szCs w:val="22"/>
        </w:rPr>
        <w:t>.</w:t>
      </w:r>
    </w:p>
  </w:footnote>
  <w:footnote w:id="37">
    <w:p w:rsidR="00206CD4" w:rsidRPr="006C7CFE" w:rsidRDefault="00206CD4" w:rsidP="00206CD4">
      <w:pPr>
        <w:pStyle w:val="FootnoteText"/>
        <w:jc w:val="left"/>
      </w:pPr>
      <w:r w:rsidRPr="00A93AA5">
        <w:rPr>
          <w:rStyle w:val="FootnoteReference"/>
        </w:rPr>
        <w:footnoteRef/>
      </w:r>
      <w:r>
        <w:tab/>
      </w:r>
      <w:hyperlink r:id="rId22" w:history="1">
        <w:r w:rsidRPr="006C7CFE">
          <w:rPr>
            <w:rStyle w:val="Hyperlink"/>
            <w:szCs w:val="22"/>
          </w:rPr>
          <w:t>http://cordis.europa.eu/fetch?CALLER=ENERGY_NEWS&amp;ACTION=D&amp;DOC=1&amp;CAT=</w:t>
        </w:r>
        <w:r w:rsidRPr="006C7CFE">
          <w:rPr>
            <w:rStyle w:val="Hyperlink"/>
            <w:szCs w:val="22"/>
          </w:rPr>
          <w:br/>
          <w:t>NEWS&amp;QUERY=011bae3744bf:2435:2d5957f8&amp;RCN=29756</w:t>
        </w:r>
      </w:hyperlink>
      <w:r w:rsidRPr="00CE6F0C">
        <w:t>.</w:t>
      </w:r>
    </w:p>
  </w:footnote>
  <w:footnote w:id="38">
    <w:p w:rsidR="00206CD4" w:rsidRPr="00C227A3" w:rsidRDefault="00206CD4" w:rsidP="00206CD4">
      <w:pPr>
        <w:pStyle w:val="FootnoteText"/>
        <w:rPr>
          <w:lang w:val="en-US"/>
        </w:rPr>
      </w:pPr>
      <w:r w:rsidRPr="00A93AA5">
        <w:rPr>
          <w:rStyle w:val="FootnoteReference"/>
        </w:rPr>
        <w:footnoteRef/>
      </w:r>
      <w:r>
        <w:rPr>
          <w:lang w:val="en-US"/>
        </w:rPr>
        <w:tab/>
        <w:t>Voir «</w:t>
      </w:r>
      <w:r w:rsidRPr="00C227A3">
        <w:rPr>
          <w:lang w:val="en-US"/>
        </w:rPr>
        <w:t>Iberdrola, EDP Announce Big Smar</w:t>
      </w:r>
      <w:r>
        <w:rPr>
          <w:lang w:val="en-US"/>
        </w:rPr>
        <w:t>t Grid Expansions at EUTC Event»,</w:t>
      </w:r>
      <w:r w:rsidRPr="00C227A3">
        <w:rPr>
          <w:lang w:val="en-US"/>
        </w:rPr>
        <w:t xml:space="preserve"> Smar</w:t>
      </w:r>
      <w:r>
        <w:rPr>
          <w:lang w:val="en-US"/>
        </w:rPr>
        <w:t>t Grid Today, 9 novembre 2009 («</w:t>
      </w:r>
      <w:r w:rsidRPr="00C227A3">
        <w:rPr>
          <w:lang w:val="en-US"/>
        </w:rPr>
        <w:t xml:space="preserve">Iberdrola is using PLC to connect its smart meters while EDP is </w:t>
      </w:r>
      <w:r>
        <w:rPr>
          <w:lang w:val="en-US"/>
        </w:rPr>
        <w:t>using a mix of PLC and wireless»</w:t>
      </w:r>
      <w:r w:rsidRPr="00C227A3">
        <w:rPr>
          <w:lang w:val="en-US"/>
        </w:rPr>
        <w:t>).</w:t>
      </w:r>
    </w:p>
  </w:footnote>
  <w:footnote w:id="39">
    <w:p w:rsidR="00206CD4" w:rsidRDefault="00206CD4" w:rsidP="00206CD4">
      <w:pPr>
        <w:pStyle w:val="FootnoteText"/>
        <w:rPr>
          <w:lang w:val="en-US"/>
        </w:rPr>
      </w:pPr>
      <w:r w:rsidRPr="00A93AA5">
        <w:rPr>
          <w:rStyle w:val="FootnoteReference"/>
        </w:rPr>
        <w:footnoteRef/>
      </w:r>
      <w:r>
        <w:rPr>
          <w:lang w:val="en-US"/>
        </w:rPr>
        <w:t xml:space="preserve"> </w:t>
      </w:r>
      <w:r>
        <w:rPr>
          <w:lang w:val="en-US"/>
        </w:rPr>
        <w:tab/>
      </w:r>
      <w:r w:rsidRPr="00C227A3">
        <w:rPr>
          <w:lang w:val="en-US"/>
        </w:rPr>
        <w:t xml:space="preserve">Source </w:t>
      </w:r>
      <w:r>
        <w:rPr>
          <w:lang w:val="en-US"/>
        </w:rPr>
        <w:t xml:space="preserve">pour </w:t>
      </w:r>
      <w:r w:rsidRPr="00C227A3">
        <w:rPr>
          <w:lang w:val="en-US"/>
        </w:rPr>
        <w:t>l</w:t>
      </w:r>
      <w:r>
        <w:rPr>
          <w:lang w:val="en-US"/>
        </w:rPr>
        <w:t>'</w:t>
      </w:r>
      <w:r w:rsidRPr="00C227A3">
        <w:rPr>
          <w:lang w:val="en-US"/>
        </w:rPr>
        <w:t>ensemble de cette section: European Regulators</w:t>
      </w:r>
      <w:r>
        <w:rPr>
          <w:lang w:val="en-US"/>
        </w:rPr>
        <w:t>'</w:t>
      </w:r>
      <w:r w:rsidRPr="00C227A3">
        <w:rPr>
          <w:lang w:val="en-US"/>
        </w:rPr>
        <w:t xml:space="preserve"> Group for Electricity and Gas Position Paper on Smart Grids – Ref: E09-EQS-30-04, Annexe III</w:t>
      </w:r>
      <w:r>
        <w:rPr>
          <w:lang w:val="en-US"/>
        </w:rPr>
        <w:t xml:space="preserve">. </w:t>
      </w:r>
    </w:p>
    <w:p w:rsidR="00206CD4" w:rsidRPr="00C227A3" w:rsidRDefault="00206CD4" w:rsidP="00206CD4">
      <w:pPr>
        <w:pStyle w:val="FootnoteText"/>
        <w:spacing w:before="0"/>
        <w:jc w:val="left"/>
        <w:rPr>
          <w:lang w:val="en-US"/>
        </w:rPr>
      </w:pPr>
      <w:r>
        <w:rPr>
          <w:lang w:val="en-US"/>
        </w:rPr>
        <w:tab/>
      </w:r>
      <w:hyperlink r:id="rId23" w:history="1">
        <w:r w:rsidRPr="00C227A3">
          <w:rPr>
            <w:rStyle w:val="Hyperlink"/>
            <w:lang w:val="en-US"/>
          </w:rPr>
          <w:t>http://www.energy-regulators.eu/portal/page/portal/EER_HOME/EER_CONSULT/CLOSED PUBLIC CONSULTATIONS/ELECTRICITY/Smart Grids/CD</w:t>
        </w:r>
      </w:hyperlink>
      <w:hyperlink r:id="rId24" w:history="1">
        <w:r w:rsidRPr="00C227A3">
          <w:rPr>
            <w:rStyle w:val="Hyperlink"/>
            <w:lang w:val="en-US"/>
          </w:rPr>
          <w:t>http://www.energy-regulators.eu/portal/page/portal/EER_HOME/ EER_CONSULT/CLOSED</w:t>
        </w:r>
        <w:r>
          <w:rPr>
            <w:rStyle w:val="Hyperlink"/>
            <w:lang w:val="en-US"/>
          </w:rPr>
          <w:t>%</w:t>
        </w:r>
        <w:r w:rsidRPr="00C227A3">
          <w:rPr>
            <w:rStyle w:val="Hyperlink"/>
            <w:lang w:val="en-US"/>
          </w:rPr>
          <w:t>20PUBLIC</w:t>
        </w:r>
        <w:r>
          <w:rPr>
            <w:rStyle w:val="Hyperlink"/>
            <w:lang w:val="en-US"/>
          </w:rPr>
          <w:t>%</w:t>
        </w:r>
        <w:r w:rsidRPr="00C227A3">
          <w:rPr>
            <w:rStyle w:val="Hyperlink"/>
            <w:lang w:val="en-US"/>
          </w:rPr>
          <w:t>20CONSULTATIONS/ELECTRICITY/Smart%20Grids/CD</w:t>
        </w:r>
      </w:hyperlink>
      <w:r w:rsidRPr="00C227A3">
        <w:rPr>
          <w:lang w:val="en-US"/>
        </w:rPr>
        <w:t>.</w:t>
      </w:r>
    </w:p>
  </w:footnote>
  <w:footnote w:id="40">
    <w:p w:rsidR="00206CD4" w:rsidRPr="00A93AA5" w:rsidRDefault="00206CD4" w:rsidP="00206CD4">
      <w:pPr>
        <w:pStyle w:val="FootnoteText"/>
      </w:pPr>
      <w:r w:rsidRPr="00A93AA5">
        <w:rPr>
          <w:rStyle w:val="FootnoteReference"/>
        </w:rPr>
        <w:footnoteRef/>
      </w:r>
      <w:r>
        <w:tab/>
      </w:r>
      <w:r w:rsidRPr="00A93AA5">
        <w:t>Références</w:t>
      </w:r>
      <w:r>
        <w:t>:</w:t>
      </w:r>
      <w:r w:rsidRPr="00A93AA5">
        <w:t xml:space="preserve"> Commission européenne, Communication de la Commission au Conseil, au Parlement européen, au Comité économique et social européen et au Comité des régions </w:t>
      </w:r>
      <w:r>
        <w:t>«</w:t>
      </w:r>
      <w:r w:rsidRPr="00A93AA5">
        <w:t>Plan stratégique pour les technol</w:t>
      </w:r>
      <w:r>
        <w:t>ogies énergétiques (Plan SET) –</w:t>
      </w:r>
      <w:r w:rsidRPr="00A93AA5">
        <w:t xml:space="preserve"> Pour un avenir moins pollué par le carbone</w:t>
      </w:r>
      <w:r>
        <w:t>»</w:t>
      </w:r>
      <w:r w:rsidRPr="00A93AA5">
        <w:t xml:space="preserve">, COM(2007) 723 final, 22 novembre 2007, </w:t>
      </w:r>
      <w:r>
        <w:t>«</w:t>
      </w:r>
      <w:r w:rsidRPr="00A93AA5">
        <w:t>Energy for The Future of Europe</w:t>
      </w:r>
      <w:r>
        <w:t>:</w:t>
      </w:r>
      <w:r w:rsidRPr="00A93AA5">
        <w:t xml:space="preserve"> The Strategic Energy Technology (ST) Plan</w:t>
      </w:r>
      <w:r>
        <w:t>»</w:t>
      </w:r>
      <w:r w:rsidRPr="00A93AA5">
        <w:t>, MEMO/08/657, 28 octobre 2008.</w:t>
      </w:r>
    </w:p>
  </w:footnote>
  <w:footnote w:id="41">
    <w:p w:rsidR="00206CD4" w:rsidRPr="00A93AA5" w:rsidRDefault="00206CD4" w:rsidP="00206CD4">
      <w:pPr>
        <w:pStyle w:val="FootnoteText"/>
      </w:pPr>
      <w:r w:rsidRPr="00A93AA5">
        <w:rPr>
          <w:rStyle w:val="FootnoteReference"/>
        </w:rPr>
        <w:footnoteRef/>
      </w:r>
      <w:r>
        <w:tab/>
      </w:r>
      <w:r w:rsidRPr="00D708C0">
        <w:rPr>
          <w:spacing w:val="-2"/>
        </w:rPr>
        <w:t>Commission européenne, Communication de la Commission au Conseil, au Parlement européen, au Comité économique et social européen et au Comité des régions «Plan stratégique pour les technologies énergétiques (Plan SET) – Pour un avenir moins pollué par le carbone», COM(2007) 723 final, 22 novembre 2007.</w:t>
      </w:r>
    </w:p>
  </w:footnote>
  <w:footnote w:id="42">
    <w:p w:rsidR="00206CD4" w:rsidRPr="00A93AA5" w:rsidRDefault="00206CD4" w:rsidP="00206CD4">
      <w:pPr>
        <w:pStyle w:val="FootnoteText"/>
      </w:pPr>
      <w:r w:rsidRPr="00A93AA5">
        <w:rPr>
          <w:rStyle w:val="FootnoteReference"/>
        </w:rPr>
        <w:footnoteRef/>
      </w:r>
      <w:r>
        <w:tab/>
      </w:r>
      <w:r w:rsidRPr="00A93AA5">
        <w:t>La proposition de créer un Centre européen pour les réseaux d'électricité a été soumise dans le cadre du projet 6FP RELIANCE, qui rassemblait huit opérateurs européens de systèmes de transmission.</w:t>
      </w:r>
    </w:p>
  </w:footnote>
  <w:footnote w:id="43">
    <w:p w:rsidR="00206CD4" w:rsidRPr="00C227A3" w:rsidRDefault="00206CD4" w:rsidP="00206CD4">
      <w:pPr>
        <w:pStyle w:val="FootnoteText"/>
        <w:rPr>
          <w:lang w:val="en-US"/>
        </w:rPr>
      </w:pPr>
      <w:r w:rsidRPr="00A93AA5">
        <w:rPr>
          <w:rStyle w:val="FootnoteReference"/>
        </w:rPr>
        <w:footnoteRef/>
      </w:r>
      <w:r>
        <w:rPr>
          <w:lang w:val="en-US"/>
        </w:rPr>
        <w:tab/>
      </w:r>
      <w:r w:rsidRPr="00C227A3">
        <w:rPr>
          <w:lang w:val="en-US"/>
        </w:rPr>
        <w:t xml:space="preserve">Commission européenne, </w:t>
      </w:r>
      <w:r>
        <w:rPr>
          <w:lang w:val="en-US"/>
        </w:rPr>
        <w:t>«</w:t>
      </w:r>
      <w:r w:rsidRPr="00C227A3">
        <w:rPr>
          <w:lang w:val="en-US"/>
        </w:rPr>
        <w:t>Energy for The Future of Europe: The Strategic Energy Technology (ST) Plan</w:t>
      </w:r>
      <w:r>
        <w:rPr>
          <w:lang w:val="en-US"/>
        </w:rPr>
        <w:t>»</w:t>
      </w:r>
      <w:r w:rsidRPr="00C227A3">
        <w:rPr>
          <w:lang w:val="en-US"/>
        </w:rPr>
        <w:t>, MEMO/08/657, 28 octobre 2008.</w:t>
      </w:r>
    </w:p>
  </w:footnote>
  <w:footnote w:id="44">
    <w:p w:rsidR="00206CD4" w:rsidRPr="00C227A3" w:rsidRDefault="00206CD4" w:rsidP="00206CD4">
      <w:pPr>
        <w:pStyle w:val="FootnoteText"/>
        <w:rPr>
          <w:lang w:val="en-US"/>
        </w:rPr>
      </w:pPr>
      <w:r>
        <w:rPr>
          <w:rStyle w:val="FootnoteReference"/>
        </w:rPr>
        <w:footnoteRef/>
      </w:r>
      <w:r>
        <w:rPr>
          <w:lang w:val="en-US"/>
        </w:rPr>
        <w:t xml:space="preserve"> </w:t>
      </w:r>
      <w:r>
        <w:rPr>
          <w:lang w:val="en-US"/>
        </w:rPr>
        <w:tab/>
      </w:r>
      <w:r w:rsidRPr="00C227A3">
        <w:rPr>
          <w:rStyle w:val="Hyperlink"/>
          <w:lang w:val="en-US"/>
        </w:rPr>
        <w:t>http://www.e-energy.de/en/</w:t>
      </w:r>
      <w:r w:rsidRPr="00C227A3">
        <w:rPr>
          <w:lang w:val="en-US"/>
        </w:rPr>
        <w:t>.</w:t>
      </w:r>
    </w:p>
  </w:footnote>
  <w:footnote w:id="45">
    <w:p w:rsidR="00206CD4" w:rsidRPr="00C227A3" w:rsidRDefault="00206CD4" w:rsidP="00206CD4">
      <w:pPr>
        <w:pStyle w:val="FootnoteText"/>
        <w:rPr>
          <w:lang w:val="en-US"/>
        </w:rPr>
      </w:pPr>
      <w:r>
        <w:rPr>
          <w:rStyle w:val="FootnoteReference"/>
        </w:rPr>
        <w:footnoteRef/>
      </w:r>
      <w:r>
        <w:rPr>
          <w:lang w:val="en-US"/>
        </w:rPr>
        <w:tab/>
      </w:r>
      <w:hyperlink r:id="rId25" w:history="1">
        <w:r w:rsidRPr="00C227A3">
          <w:rPr>
            <w:rStyle w:val="Hyperlink"/>
            <w:lang w:val="en-US"/>
          </w:rPr>
          <w:t>http://www.ksmartgrid.org/eng/</w:t>
        </w:r>
      </w:hyperlink>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D4" w:rsidRDefault="00206CD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D4" w:rsidRPr="00132BFC" w:rsidRDefault="00206CD4" w:rsidP="00132BFC">
    <w:pPr>
      <w:pStyle w:val="Header"/>
      <w:rPr>
        <w:noProof/>
        <w:lang w:eastAsia="zh-CN"/>
      </w:rPr>
    </w:pPr>
    <w:r w:rsidRPr="00132BFC">
      <w:rPr>
        <w:noProof/>
        <w:lang w:val="en-GB" w:eastAsia="en-GB"/>
      </w:rPr>
      <w:drawing>
        <wp:anchor distT="0" distB="0" distL="114300" distR="114300" simplePos="0" relativeHeight="251657728" behindDoc="1" locked="0" layoutInCell="1" allowOverlap="1" wp14:anchorId="5A91FA13" wp14:editId="2D3383B2">
          <wp:simplePos x="0" y="0"/>
          <wp:positionH relativeFrom="page">
            <wp:posOffset>0</wp:posOffset>
          </wp:positionH>
          <wp:positionV relativeFrom="page">
            <wp:posOffset>0</wp:posOffset>
          </wp:positionV>
          <wp:extent cx="7592060" cy="10753725"/>
          <wp:effectExtent l="0" t="0" r="0" b="0"/>
          <wp:wrapNone/>
          <wp:docPr id="7" name="Picture 7"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D4" w:rsidRPr="00B86004" w:rsidRDefault="00206CD4"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E13893">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E13893" w:rsidRPr="00E13893">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13893">
      <w:rPr>
        <w:b/>
        <w:bCs/>
        <w:noProof/>
      </w:rPr>
      <w:t>UIT-R  SM.2351-1</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D4" w:rsidRDefault="00206CD4">
    <w:pPr>
      <w:pStyle w:val="Header"/>
    </w:pPr>
    <w:r>
      <w:tab/>
    </w:r>
    <w:r w:rsidR="00E13893">
      <w:fldChar w:fldCharType="begin"/>
    </w:r>
    <w:r w:rsidR="00E13893">
      <w:instrText xml:space="preserve"> DOCPROPERTY "Header" \* MERGEFORMAT </w:instrText>
    </w:r>
    <w:r w:rsidR="00E13893">
      <w:fldChar w:fldCharType="separate"/>
    </w:r>
    <w:r w:rsidR="00E13893" w:rsidRPr="00E13893">
      <w:rPr>
        <w:b/>
        <w:bCs/>
      </w:rPr>
      <w:t xml:space="preserve">Rec. </w:t>
    </w:r>
    <w:r w:rsidR="00E13893">
      <w:rPr>
        <w:b/>
        <w:bCs/>
      </w:rPr>
      <w:fldChar w:fldCharType="end"/>
    </w:r>
    <w:r>
      <w:rPr>
        <w:b/>
        <w:bCs/>
      </w:rPr>
      <w:t xml:space="preserve"> </w:t>
    </w:r>
    <w:r>
      <w:rPr>
        <w:b/>
        <w:bCs/>
      </w:rPr>
      <w:fldChar w:fldCharType="begin"/>
    </w:r>
    <w:r>
      <w:rPr>
        <w:b/>
        <w:bCs/>
      </w:rPr>
      <w:instrText>styleref href</w:instrText>
    </w:r>
    <w:r>
      <w:rPr>
        <w:b/>
        <w:bCs/>
      </w:rPr>
      <w:fldChar w:fldCharType="separate"/>
    </w:r>
    <w:r w:rsidR="00E13893">
      <w:rPr>
        <w:b/>
        <w:bCs/>
        <w:noProof/>
      </w:rPr>
      <w:t>UIT-R  SM.2351-1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D4" w:rsidRDefault="00206CD4" w:rsidP="00F316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3893">
      <w:rPr>
        <w:rStyle w:val="PageNumber"/>
        <w:b/>
        <w:bCs/>
        <w:noProof/>
        <w:lang w:val="en-US"/>
      </w:rPr>
      <w:t>56</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00E13893" w:rsidRPr="00E13893">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13893">
      <w:rPr>
        <w:b/>
        <w:bCs/>
        <w:noProof/>
      </w:rPr>
      <w:t>UIT-R  SM.2351-1</w:t>
    </w:r>
    <w:r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D4" w:rsidRPr="00B86004" w:rsidRDefault="00206CD4" w:rsidP="00F31654">
    <w:pPr>
      <w:pStyle w:val="Header"/>
      <w:jc w:val="both"/>
    </w:pPr>
    <w:r w:rsidRPr="00B86004">
      <w:tab/>
    </w:r>
    <w:r>
      <w:fldChar w:fldCharType="begin"/>
    </w:r>
    <w:r w:rsidRPr="005B69C7">
      <w:rPr>
        <w:lang w:val="en-US"/>
      </w:rPr>
      <w:instrText xml:space="preserve"> DOCPROPERTY "Header 1" \* MERGEFORMAT </w:instrText>
    </w:r>
    <w:r>
      <w:fldChar w:fldCharType="separate"/>
    </w:r>
    <w:r w:rsidR="00E13893" w:rsidRPr="00E13893">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13893">
      <w:rPr>
        <w:b/>
        <w:bCs/>
        <w:noProof/>
      </w:rPr>
      <w:t>UIT-R  SM.2351-1</w:t>
    </w:r>
    <w:r w:rsidRPr="00B86004">
      <w:rPr>
        <w:b/>
        <w:bCs/>
      </w:rPr>
      <w:fldChar w:fldCharType="end"/>
    </w:r>
    <w:r w:rsidRPr="00B86004">
      <w:tab/>
    </w:r>
    <w:r w:rsidRPr="00B86004">
      <w:rPr>
        <w:b/>
        <w:bCs/>
      </w:rPr>
      <w:fldChar w:fldCharType="begin"/>
    </w:r>
    <w:r w:rsidRPr="00B86004">
      <w:rPr>
        <w:b/>
        <w:bCs/>
      </w:rPr>
      <w:instrText xml:space="preserve"> PAGE </w:instrText>
    </w:r>
    <w:r w:rsidRPr="00B86004">
      <w:rPr>
        <w:b/>
        <w:bCs/>
      </w:rPr>
      <w:fldChar w:fldCharType="separate"/>
    </w:r>
    <w:r w:rsidR="00E13893">
      <w:rPr>
        <w:b/>
        <w:bCs/>
        <w:noProof/>
      </w:rPr>
      <w:t>57</w:t>
    </w:r>
    <w:r w:rsidRPr="00B860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879FA"/>
    <w:multiLevelType w:val="hybridMultilevel"/>
    <w:tmpl w:val="91EA6714"/>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5"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4CA4992"/>
    <w:multiLevelType w:val="hybridMultilevel"/>
    <w:tmpl w:val="72882EFE"/>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427565"/>
    <w:multiLevelType w:val="hybridMultilevel"/>
    <w:tmpl w:val="F78408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0510A3"/>
    <w:multiLevelType w:val="hybridMultilevel"/>
    <w:tmpl w:val="C8F03430"/>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15"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6"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1"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B812474"/>
    <w:multiLevelType w:val="hybridMultilevel"/>
    <w:tmpl w:val="474225C6"/>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33" w15:restartNumberingAfterBreak="0">
    <w:nsid w:val="5D542B53"/>
    <w:multiLevelType w:val="hybridMultilevel"/>
    <w:tmpl w:val="EAD45B0A"/>
    <w:lvl w:ilvl="0" w:tplc="4E4890DC">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6"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0"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1"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28"/>
  </w:num>
  <w:num w:numId="3">
    <w:abstractNumId w:val="3"/>
  </w:num>
  <w:num w:numId="4">
    <w:abstractNumId w:val="17"/>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3"/>
  </w:num>
  <w:num w:numId="8">
    <w:abstractNumId w:val="39"/>
  </w:num>
  <w:num w:numId="9">
    <w:abstractNumId w:val="10"/>
  </w:num>
  <w:num w:numId="10">
    <w:abstractNumId w:val="41"/>
  </w:num>
  <w:num w:numId="11">
    <w:abstractNumId w:val="26"/>
  </w:num>
  <w:num w:numId="12">
    <w:abstractNumId w:val="25"/>
  </w:num>
  <w:num w:numId="13">
    <w:abstractNumId w:val="42"/>
  </w:num>
  <w:num w:numId="14">
    <w:abstractNumId w:val="44"/>
  </w:num>
  <w:num w:numId="15">
    <w:abstractNumId w:val="7"/>
  </w:num>
  <w:num w:numId="16">
    <w:abstractNumId w:val="34"/>
  </w:num>
  <w:num w:numId="17">
    <w:abstractNumId w:val="5"/>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5"/>
  </w:num>
  <w:num w:numId="20">
    <w:abstractNumId w:val="13"/>
  </w:num>
  <w:num w:numId="21">
    <w:abstractNumId w:val="24"/>
  </w:num>
  <w:num w:numId="22">
    <w:abstractNumId w:val="37"/>
  </w:num>
  <w:num w:numId="23">
    <w:abstractNumId w:val="12"/>
  </w:num>
  <w:num w:numId="24">
    <w:abstractNumId w:val="1"/>
  </w:num>
  <w:num w:numId="25">
    <w:abstractNumId w:val="21"/>
  </w:num>
  <w:num w:numId="26">
    <w:abstractNumId w:val="31"/>
  </w:num>
  <w:num w:numId="27">
    <w:abstractNumId w:val="27"/>
  </w:num>
  <w:num w:numId="28">
    <w:abstractNumId w:val="16"/>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5"/>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3"/>
  </w:num>
  <w:num w:numId="38">
    <w:abstractNumId w:val="19"/>
  </w:num>
  <w:num w:numId="39">
    <w:abstractNumId w:val="38"/>
  </w:num>
  <w:num w:numId="40">
    <w:abstractNumId w:val="40"/>
  </w:num>
  <w:num w:numId="41">
    <w:abstractNumId w:val="33"/>
  </w:num>
  <w:num w:numId="42">
    <w:abstractNumId w:val="11"/>
  </w:num>
  <w:num w:numId="43">
    <w:abstractNumId w:val="8"/>
  </w:num>
  <w:num w:numId="44">
    <w:abstractNumId w:val="14"/>
  </w:num>
  <w:num w:numId="45">
    <w:abstractNumId w:val="32"/>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447F"/>
    <w:rsid w:val="000230A5"/>
    <w:rsid w:val="00023E30"/>
    <w:rsid w:val="0004250D"/>
    <w:rsid w:val="000476E5"/>
    <w:rsid w:val="00050D41"/>
    <w:rsid w:val="00060D37"/>
    <w:rsid w:val="00060D88"/>
    <w:rsid w:val="00063D07"/>
    <w:rsid w:val="00072484"/>
    <w:rsid w:val="000749F5"/>
    <w:rsid w:val="00075B5D"/>
    <w:rsid w:val="000804FD"/>
    <w:rsid w:val="00081C0B"/>
    <w:rsid w:val="0008719B"/>
    <w:rsid w:val="0009150E"/>
    <w:rsid w:val="00096612"/>
    <w:rsid w:val="000A062B"/>
    <w:rsid w:val="000B1191"/>
    <w:rsid w:val="000B15F9"/>
    <w:rsid w:val="000B26B4"/>
    <w:rsid w:val="000B7683"/>
    <w:rsid w:val="000B7B53"/>
    <w:rsid w:val="000C0413"/>
    <w:rsid w:val="000C3624"/>
    <w:rsid w:val="000C6CF7"/>
    <w:rsid w:val="000D7991"/>
    <w:rsid w:val="000E4FD1"/>
    <w:rsid w:val="000F3C25"/>
    <w:rsid w:val="000F6FC4"/>
    <w:rsid w:val="00102934"/>
    <w:rsid w:val="00103495"/>
    <w:rsid w:val="00105F57"/>
    <w:rsid w:val="00113EBA"/>
    <w:rsid w:val="0011787B"/>
    <w:rsid w:val="00117EE2"/>
    <w:rsid w:val="00126F49"/>
    <w:rsid w:val="00132BFC"/>
    <w:rsid w:val="00135C4B"/>
    <w:rsid w:val="001414DC"/>
    <w:rsid w:val="001466FF"/>
    <w:rsid w:val="00147110"/>
    <w:rsid w:val="00150D96"/>
    <w:rsid w:val="001514AB"/>
    <w:rsid w:val="00153FD2"/>
    <w:rsid w:val="001679BA"/>
    <w:rsid w:val="00167AC0"/>
    <w:rsid w:val="0017715E"/>
    <w:rsid w:val="0018305B"/>
    <w:rsid w:val="001A332F"/>
    <w:rsid w:val="001A4084"/>
    <w:rsid w:val="001A4FDC"/>
    <w:rsid w:val="001A5259"/>
    <w:rsid w:val="001B060F"/>
    <w:rsid w:val="001B724C"/>
    <w:rsid w:val="001C70F6"/>
    <w:rsid w:val="001D3930"/>
    <w:rsid w:val="001D3951"/>
    <w:rsid w:val="001E03AD"/>
    <w:rsid w:val="001F39F9"/>
    <w:rsid w:val="00200418"/>
    <w:rsid w:val="00201545"/>
    <w:rsid w:val="002058CE"/>
    <w:rsid w:val="00205C23"/>
    <w:rsid w:val="00206CD4"/>
    <w:rsid w:val="002165F1"/>
    <w:rsid w:val="002256A0"/>
    <w:rsid w:val="00230EF1"/>
    <w:rsid w:val="00230F4E"/>
    <w:rsid w:val="00233361"/>
    <w:rsid w:val="00241776"/>
    <w:rsid w:val="00246E01"/>
    <w:rsid w:val="00247681"/>
    <w:rsid w:val="00250106"/>
    <w:rsid w:val="002558DC"/>
    <w:rsid w:val="0025647E"/>
    <w:rsid w:val="002609C4"/>
    <w:rsid w:val="00270397"/>
    <w:rsid w:val="00272B57"/>
    <w:rsid w:val="00276D21"/>
    <w:rsid w:val="00280CD5"/>
    <w:rsid w:val="002833FA"/>
    <w:rsid w:val="00287DDE"/>
    <w:rsid w:val="00296D7F"/>
    <w:rsid w:val="00297D43"/>
    <w:rsid w:val="002B32C9"/>
    <w:rsid w:val="002B3CF6"/>
    <w:rsid w:val="002C0981"/>
    <w:rsid w:val="002C1A99"/>
    <w:rsid w:val="002C768A"/>
    <w:rsid w:val="002D1160"/>
    <w:rsid w:val="002D281D"/>
    <w:rsid w:val="002D2D1B"/>
    <w:rsid w:val="002D594E"/>
    <w:rsid w:val="002D76C4"/>
    <w:rsid w:val="002D7BEF"/>
    <w:rsid w:val="002E016E"/>
    <w:rsid w:val="002E2F10"/>
    <w:rsid w:val="002E6F01"/>
    <w:rsid w:val="00300B59"/>
    <w:rsid w:val="00301A23"/>
    <w:rsid w:val="00322748"/>
    <w:rsid w:val="003352DD"/>
    <w:rsid w:val="003416E3"/>
    <w:rsid w:val="00351573"/>
    <w:rsid w:val="003571CE"/>
    <w:rsid w:val="00357282"/>
    <w:rsid w:val="00362B36"/>
    <w:rsid w:val="00362ED1"/>
    <w:rsid w:val="0036756C"/>
    <w:rsid w:val="0037348B"/>
    <w:rsid w:val="00382E8A"/>
    <w:rsid w:val="003C653B"/>
    <w:rsid w:val="003D767D"/>
    <w:rsid w:val="003E079A"/>
    <w:rsid w:val="003E4DB8"/>
    <w:rsid w:val="003E5BCD"/>
    <w:rsid w:val="003E6A90"/>
    <w:rsid w:val="003F5DC2"/>
    <w:rsid w:val="003F6392"/>
    <w:rsid w:val="00405423"/>
    <w:rsid w:val="004054FC"/>
    <w:rsid w:val="0041087D"/>
    <w:rsid w:val="004146B5"/>
    <w:rsid w:val="00416ED4"/>
    <w:rsid w:val="00420DFD"/>
    <w:rsid w:val="004253E2"/>
    <w:rsid w:val="004319C1"/>
    <w:rsid w:val="004350F0"/>
    <w:rsid w:val="00446B13"/>
    <w:rsid w:val="004534D2"/>
    <w:rsid w:val="00461B39"/>
    <w:rsid w:val="004645C5"/>
    <w:rsid w:val="00464F2D"/>
    <w:rsid w:val="00467FD3"/>
    <w:rsid w:val="00470E28"/>
    <w:rsid w:val="004720FC"/>
    <w:rsid w:val="0048004D"/>
    <w:rsid w:val="00483B11"/>
    <w:rsid w:val="004934C5"/>
    <w:rsid w:val="004A22A2"/>
    <w:rsid w:val="004A2EB8"/>
    <w:rsid w:val="004A523E"/>
    <w:rsid w:val="004A5BB7"/>
    <w:rsid w:val="004A645A"/>
    <w:rsid w:val="004B10DD"/>
    <w:rsid w:val="004B229B"/>
    <w:rsid w:val="004B5536"/>
    <w:rsid w:val="004D0B82"/>
    <w:rsid w:val="004D154A"/>
    <w:rsid w:val="004D730B"/>
    <w:rsid w:val="004F67CE"/>
    <w:rsid w:val="00505FB4"/>
    <w:rsid w:val="00525840"/>
    <w:rsid w:val="00526063"/>
    <w:rsid w:val="00532499"/>
    <w:rsid w:val="00543445"/>
    <w:rsid w:val="00556548"/>
    <w:rsid w:val="005575B1"/>
    <w:rsid w:val="005600C9"/>
    <w:rsid w:val="0056078F"/>
    <w:rsid w:val="005632C0"/>
    <w:rsid w:val="005634B2"/>
    <w:rsid w:val="00576A29"/>
    <w:rsid w:val="00584B63"/>
    <w:rsid w:val="00586EF8"/>
    <w:rsid w:val="00592211"/>
    <w:rsid w:val="00592417"/>
    <w:rsid w:val="005A2989"/>
    <w:rsid w:val="005A791E"/>
    <w:rsid w:val="005A7A0F"/>
    <w:rsid w:val="005B49AB"/>
    <w:rsid w:val="005B50E7"/>
    <w:rsid w:val="005B68EF"/>
    <w:rsid w:val="005B69C7"/>
    <w:rsid w:val="005B7207"/>
    <w:rsid w:val="005C073E"/>
    <w:rsid w:val="005D449E"/>
    <w:rsid w:val="005E0502"/>
    <w:rsid w:val="005E2B1B"/>
    <w:rsid w:val="005E6EDB"/>
    <w:rsid w:val="005E7B4F"/>
    <w:rsid w:val="005F0EDB"/>
    <w:rsid w:val="006012F2"/>
    <w:rsid w:val="00604999"/>
    <w:rsid w:val="006062B7"/>
    <w:rsid w:val="00607D68"/>
    <w:rsid w:val="006149B1"/>
    <w:rsid w:val="00664299"/>
    <w:rsid w:val="00680D2B"/>
    <w:rsid w:val="00681B32"/>
    <w:rsid w:val="0068312A"/>
    <w:rsid w:val="00695051"/>
    <w:rsid w:val="006A1F02"/>
    <w:rsid w:val="006A35E0"/>
    <w:rsid w:val="006A637D"/>
    <w:rsid w:val="006A6B50"/>
    <w:rsid w:val="006A7EBC"/>
    <w:rsid w:val="006B5FC4"/>
    <w:rsid w:val="006C188F"/>
    <w:rsid w:val="006D2CCA"/>
    <w:rsid w:val="006E2037"/>
    <w:rsid w:val="006F0DF5"/>
    <w:rsid w:val="006F4045"/>
    <w:rsid w:val="006F5FBC"/>
    <w:rsid w:val="006F7522"/>
    <w:rsid w:val="00704932"/>
    <w:rsid w:val="00712870"/>
    <w:rsid w:val="00714111"/>
    <w:rsid w:val="0071504A"/>
    <w:rsid w:val="00716A08"/>
    <w:rsid w:val="00716F20"/>
    <w:rsid w:val="00730E9A"/>
    <w:rsid w:val="00735E5F"/>
    <w:rsid w:val="007421CB"/>
    <w:rsid w:val="00743D85"/>
    <w:rsid w:val="0074518F"/>
    <w:rsid w:val="00751017"/>
    <w:rsid w:val="00752FD3"/>
    <w:rsid w:val="00753CF4"/>
    <w:rsid w:val="007565CC"/>
    <w:rsid w:val="00757A44"/>
    <w:rsid w:val="00763B9A"/>
    <w:rsid w:val="00770E74"/>
    <w:rsid w:val="00773693"/>
    <w:rsid w:val="007928CD"/>
    <w:rsid w:val="00797621"/>
    <w:rsid w:val="007A0CC4"/>
    <w:rsid w:val="007A4F79"/>
    <w:rsid w:val="007A57F4"/>
    <w:rsid w:val="007A6AA8"/>
    <w:rsid w:val="007A7853"/>
    <w:rsid w:val="007A7B2E"/>
    <w:rsid w:val="007B203C"/>
    <w:rsid w:val="007B6CF9"/>
    <w:rsid w:val="007C2459"/>
    <w:rsid w:val="007C3E03"/>
    <w:rsid w:val="007D19CD"/>
    <w:rsid w:val="007E7AA5"/>
    <w:rsid w:val="007F4DFC"/>
    <w:rsid w:val="007F6326"/>
    <w:rsid w:val="00811FBD"/>
    <w:rsid w:val="00814765"/>
    <w:rsid w:val="00814CFC"/>
    <w:rsid w:val="008242F1"/>
    <w:rsid w:val="008310C9"/>
    <w:rsid w:val="00835826"/>
    <w:rsid w:val="00836298"/>
    <w:rsid w:val="008465E5"/>
    <w:rsid w:val="00854117"/>
    <w:rsid w:val="0085551A"/>
    <w:rsid w:val="00870342"/>
    <w:rsid w:val="0087251C"/>
    <w:rsid w:val="00873003"/>
    <w:rsid w:val="00876F64"/>
    <w:rsid w:val="008815AC"/>
    <w:rsid w:val="00881777"/>
    <w:rsid w:val="00885CF9"/>
    <w:rsid w:val="008953B1"/>
    <w:rsid w:val="008A15EB"/>
    <w:rsid w:val="008A299F"/>
    <w:rsid w:val="008A3A99"/>
    <w:rsid w:val="008B224F"/>
    <w:rsid w:val="008B2CC6"/>
    <w:rsid w:val="008C7848"/>
    <w:rsid w:val="008D226C"/>
    <w:rsid w:val="008D3D8D"/>
    <w:rsid w:val="008D5E65"/>
    <w:rsid w:val="008D5E77"/>
    <w:rsid w:val="008D6FBD"/>
    <w:rsid w:val="008E1A19"/>
    <w:rsid w:val="008E3AD6"/>
    <w:rsid w:val="008E5F8F"/>
    <w:rsid w:val="008F40DF"/>
    <w:rsid w:val="008F6E18"/>
    <w:rsid w:val="00901A98"/>
    <w:rsid w:val="009030CC"/>
    <w:rsid w:val="00914D5D"/>
    <w:rsid w:val="00917AF2"/>
    <w:rsid w:val="009230C7"/>
    <w:rsid w:val="0092418A"/>
    <w:rsid w:val="00933388"/>
    <w:rsid w:val="00934ED7"/>
    <w:rsid w:val="00946CD0"/>
    <w:rsid w:val="009474D9"/>
    <w:rsid w:val="00953485"/>
    <w:rsid w:val="009543C3"/>
    <w:rsid w:val="009627F4"/>
    <w:rsid w:val="00966E1B"/>
    <w:rsid w:val="009678A6"/>
    <w:rsid w:val="00967DD2"/>
    <w:rsid w:val="00974318"/>
    <w:rsid w:val="00996714"/>
    <w:rsid w:val="00996D3A"/>
    <w:rsid w:val="009A2391"/>
    <w:rsid w:val="009A2476"/>
    <w:rsid w:val="009A351D"/>
    <w:rsid w:val="009B006E"/>
    <w:rsid w:val="009B0EE5"/>
    <w:rsid w:val="009B21E1"/>
    <w:rsid w:val="009B5DA6"/>
    <w:rsid w:val="009C1C45"/>
    <w:rsid w:val="009D484A"/>
    <w:rsid w:val="009E0396"/>
    <w:rsid w:val="009E286C"/>
    <w:rsid w:val="009E34ED"/>
    <w:rsid w:val="009F2D2C"/>
    <w:rsid w:val="00A13FBD"/>
    <w:rsid w:val="00A20696"/>
    <w:rsid w:val="00A32342"/>
    <w:rsid w:val="00A33970"/>
    <w:rsid w:val="00A4787F"/>
    <w:rsid w:val="00A5450B"/>
    <w:rsid w:val="00A54559"/>
    <w:rsid w:val="00A5559A"/>
    <w:rsid w:val="00A65417"/>
    <w:rsid w:val="00A6617B"/>
    <w:rsid w:val="00A7099D"/>
    <w:rsid w:val="00A7174B"/>
    <w:rsid w:val="00A71FE5"/>
    <w:rsid w:val="00A769BC"/>
    <w:rsid w:val="00A908E1"/>
    <w:rsid w:val="00AA3AD8"/>
    <w:rsid w:val="00AB0DC8"/>
    <w:rsid w:val="00AB1945"/>
    <w:rsid w:val="00AB44A4"/>
    <w:rsid w:val="00AC3946"/>
    <w:rsid w:val="00AC4182"/>
    <w:rsid w:val="00AD26B8"/>
    <w:rsid w:val="00AD4496"/>
    <w:rsid w:val="00AE034F"/>
    <w:rsid w:val="00AE03EF"/>
    <w:rsid w:val="00AE342D"/>
    <w:rsid w:val="00AE4282"/>
    <w:rsid w:val="00AF33BC"/>
    <w:rsid w:val="00B033C8"/>
    <w:rsid w:val="00B036D9"/>
    <w:rsid w:val="00B03866"/>
    <w:rsid w:val="00B0524C"/>
    <w:rsid w:val="00B16AA8"/>
    <w:rsid w:val="00B17013"/>
    <w:rsid w:val="00B20300"/>
    <w:rsid w:val="00B25010"/>
    <w:rsid w:val="00B257C1"/>
    <w:rsid w:val="00B33425"/>
    <w:rsid w:val="00B33BAA"/>
    <w:rsid w:val="00B33DAB"/>
    <w:rsid w:val="00B43A80"/>
    <w:rsid w:val="00B44E24"/>
    <w:rsid w:val="00B4695E"/>
    <w:rsid w:val="00B47809"/>
    <w:rsid w:val="00B54ECC"/>
    <w:rsid w:val="00B567BC"/>
    <w:rsid w:val="00B57EE7"/>
    <w:rsid w:val="00B61918"/>
    <w:rsid w:val="00B65625"/>
    <w:rsid w:val="00B714F3"/>
    <w:rsid w:val="00B74FF2"/>
    <w:rsid w:val="00B75A37"/>
    <w:rsid w:val="00B75E76"/>
    <w:rsid w:val="00B824BF"/>
    <w:rsid w:val="00B86004"/>
    <w:rsid w:val="00B86DEF"/>
    <w:rsid w:val="00B9510F"/>
    <w:rsid w:val="00B9595B"/>
    <w:rsid w:val="00BA1021"/>
    <w:rsid w:val="00BA1DAA"/>
    <w:rsid w:val="00BA441A"/>
    <w:rsid w:val="00BC2B5E"/>
    <w:rsid w:val="00BC5D77"/>
    <w:rsid w:val="00BC69EE"/>
    <w:rsid w:val="00BC6FC2"/>
    <w:rsid w:val="00BD2257"/>
    <w:rsid w:val="00BD3F5C"/>
    <w:rsid w:val="00BE5597"/>
    <w:rsid w:val="00BE5B84"/>
    <w:rsid w:val="00BE66B1"/>
    <w:rsid w:val="00BE6E74"/>
    <w:rsid w:val="00BF15C3"/>
    <w:rsid w:val="00BF487A"/>
    <w:rsid w:val="00C063D9"/>
    <w:rsid w:val="00C12461"/>
    <w:rsid w:val="00C12939"/>
    <w:rsid w:val="00C15008"/>
    <w:rsid w:val="00C15995"/>
    <w:rsid w:val="00C30AC4"/>
    <w:rsid w:val="00C30F96"/>
    <w:rsid w:val="00C46BD9"/>
    <w:rsid w:val="00C5455C"/>
    <w:rsid w:val="00C55258"/>
    <w:rsid w:val="00C564FE"/>
    <w:rsid w:val="00C61EE9"/>
    <w:rsid w:val="00C70FA5"/>
    <w:rsid w:val="00C71332"/>
    <w:rsid w:val="00C728FC"/>
    <w:rsid w:val="00C73560"/>
    <w:rsid w:val="00C774C4"/>
    <w:rsid w:val="00C7761D"/>
    <w:rsid w:val="00C8240F"/>
    <w:rsid w:val="00C8387F"/>
    <w:rsid w:val="00C874C9"/>
    <w:rsid w:val="00C87B90"/>
    <w:rsid w:val="00C93B65"/>
    <w:rsid w:val="00CA3220"/>
    <w:rsid w:val="00CB0F14"/>
    <w:rsid w:val="00CB2F2D"/>
    <w:rsid w:val="00CB3963"/>
    <w:rsid w:val="00CB47A0"/>
    <w:rsid w:val="00CB60A4"/>
    <w:rsid w:val="00CC6E4D"/>
    <w:rsid w:val="00CC7E8F"/>
    <w:rsid w:val="00CD07AB"/>
    <w:rsid w:val="00CD1699"/>
    <w:rsid w:val="00CD1C97"/>
    <w:rsid w:val="00CD58B5"/>
    <w:rsid w:val="00CD659B"/>
    <w:rsid w:val="00CD7A62"/>
    <w:rsid w:val="00CE375D"/>
    <w:rsid w:val="00CF0D45"/>
    <w:rsid w:val="00CF21A2"/>
    <w:rsid w:val="00CF34B5"/>
    <w:rsid w:val="00D0034D"/>
    <w:rsid w:val="00D00CAC"/>
    <w:rsid w:val="00D10CF1"/>
    <w:rsid w:val="00D166E9"/>
    <w:rsid w:val="00D503C9"/>
    <w:rsid w:val="00D50B43"/>
    <w:rsid w:val="00D51541"/>
    <w:rsid w:val="00D57367"/>
    <w:rsid w:val="00D616BE"/>
    <w:rsid w:val="00D63148"/>
    <w:rsid w:val="00D708C0"/>
    <w:rsid w:val="00D722EF"/>
    <w:rsid w:val="00D73FBE"/>
    <w:rsid w:val="00D764B5"/>
    <w:rsid w:val="00D77A6B"/>
    <w:rsid w:val="00D8056B"/>
    <w:rsid w:val="00D8150A"/>
    <w:rsid w:val="00D83331"/>
    <w:rsid w:val="00D861C9"/>
    <w:rsid w:val="00D91F7F"/>
    <w:rsid w:val="00D95A19"/>
    <w:rsid w:val="00D97EC8"/>
    <w:rsid w:val="00DB4F6A"/>
    <w:rsid w:val="00DB75F5"/>
    <w:rsid w:val="00DC2AFC"/>
    <w:rsid w:val="00DC5B3C"/>
    <w:rsid w:val="00DC75E7"/>
    <w:rsid w:val="00DD0089"/>
    <w:rsid w:val="00DE1589"/>
    <w:rsid w:val="00DE31BE"/>
    <w:rsid w:val="00DE36BB"/>
    <w:rsid w:val="00DE6B06"/>
    <w:rsid w:val="00DF087C"/>
    <w:rsid w:val="00DF2DAF"/>
    <w:rsid w:val="00DF4176"/>
    <w:rsid w:val="00E01408"/>
    <w:rsid w:val="00E13893"/>
    <w:rsid w:val="00E17240"/>
    <w:rsid w:val="00E1785F"/>
    <w:rsid w:val="00E22321"/>
    <w:rsid w:val="00E27478"/>
    <w:rsid w:val="00E34524"/>
    <w:rsid w:val="00E5180F"/>
    <w:rsid w:val="00E66E6E"/>
    <w:rsid w:val="00E7610E"/>
    <w:rsid w:val="00E83CDE"/>
    <w:rsid w:val="00E92147"/>
    <w:rsid w:val="00E95ABB"/>
    <w:rsid w:val="00EB0625"/>
    <w:rsid w:val="00EB49C2"/>
    <w:rsid w:val="00EC254E"/>
    <w:rsid w:val="00ED683F"/>
    <w:rsid w:val="00EF75D3"/>
    <w:rsid w:val="00F103A9"/>
    <w:rsid w:val="00F14AD2"/>
    <w:rsid w:val="00F154BE"/>
    <w:rsid w:val="00F20231"/>
    <w:rsid w:val="00F25374"/>
    <w:rsid w:val="00F30C9B"/>
    <w:rsid w:val="00F31654"/>
    <w:rsid w:val="00F32C0B"/>
    <w:rsid w:val="00F354B1"/>
    <w:rsid w:val="00F35D78"/>
    <w:rsid w:val="00F545E6"/>
    <w:rsid w:val="00F54A4C"/>
    <w:rsid w:val="00F54A5E"/>
    <w:rsid w:val="00F625FD"/>
    <w:rsid w:val="00F71A39"/>
    <w:rsid w:val="00F72869"/>
    <w:rsid w:val="00F77437"/>
    <w:rsid w:val="00F82129"/>
    <w:rsid w:val="00F90896"/>
    <w:rsid w:val="00F93900"/>
    <w:rsid w:val="00FB0E4E"/>
    <w:rsid w:val="00FD2137"/>
    <w:rsid w:val="00FD2B8B"/>
    <w:rsid w:val="00FD7BEA"/>
    <w:rsid w:val="00FE2A92"/>
    <w:rsid w:val="00FE79FE"/>
    <w:rsid w:val="00FE7F35"/>
    <w:rsid w:val="00FF4F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ru v:ext="edit" colors="#d62a47"/>
      <o:colormenu v:ext="edit" strokecolor="#d62a47"/>
    </o:shapedefaults>
    <o:shapelayout v:ext="edit">
      <o:idmap v:ext="edit" data="1"/>
    </o:shapelayout>
  </w:shapeDefaults>
  <w:decimalSymbol w:val="."/>
  <w:listSeparator w:val=","/>
  <w15:docId w15:val="{D4BB56AB-862A-4342-AD65-28F79484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2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860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Heading1"/>
    <w:next w:val="Normal"/>
    <w:autoRedefine/>
    <w:rsid w:val="00D97EC8"/>
    <w:pPr>
      <w:tabs>
        <w:tab w:val="clear" w:pos="794"/>
        <w:tab w:val="left" w:pos="851"/>
      </w:tabs>
      <w:spacing w:after="80"/>
      <w:ind w:left="0" w:firstLine="0"/>
      <w:jc w:val="center"/>
    </w:pPr>
    <w:rPr>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D7A62"/>
    <w:rPr>
      <w:position w:val="6"/>
      <w:sz w:val="18"/>
    </w:rPr>
  </w:style>
  <w:style w:type="paragraph" w:styleId="Index1">
    <w:name w:val="index 1"/>
    <w:basedOn w:val="Normal"/>
    <w:next w:val="Normal"/>
    <w:rsid w:val="00CD7A62"/>
  </w:style>
  <w:style w:type="paragraph" w:styleId="Index2">
    <w:name w:val="index 2"/>
    <w:basedOn w:val="Normal"/>
    <w:next w:val="Normal"/>
    <w:rsid w:val="00CD7A62"/>
    <w:pPr>
      <w:ind w:left="283"/>
    </w:pPr>
  </w:style>
  <w:style w:type="paragraph" w:styleId="Index3">
    <w:name w:val="index 3"/>
    <w:basedOn w:val="Normal"/>
    <w:next w:val="Normal"/>
    <w:rsid w:val="00CD7A62"/>
    <w:pPr>
      <w:ind w:left="566"/>
    </w:pPr>
  </w:style>
  <w:style w:type="paragraph" w:styleId="IndexHeading">
    <w:name w:val="index heading"/>
    <w:basedOn w:val="Normal"/>
    <w:next w:val="Index1"/>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rsid w:val="00CD7A62"/>
    <w:pPr>
      <w:tabs>
        <w:tab w:val="clear" w:pos="1276"/>
        <w:tab w:val="left" w:pos="2155"/>
      </w:tabs>
      <w:ind w:left="2155" w:hanging="879"/>
    </w:pPr>
  </w:style>
  <w:style w:type="paragraph" w:styleId="TOC4">
    <w:name w:val="toc 4"/>
    <w:basedOn w:val="TOC3"/>
    <w:rsid w:val="00CD7A62"/>
    <w:pPr>
      <w:tabs>
        <w:tab w:val="left" w:pos="3261"/>
      </w:tabs>
      <w:spacing w:before="80"/>
      <w:ind w:left="3261" w:hanging="993"/>
    </w:pPr>
  </w:style>
  <w:style w:type="paragraph" w:styleId="TOC5">
    <w:name w:val="toc 5"/>
    <w:basedOn w:val="TOC4"/>
    <w:rsid w:val="00CD7A62"/>
  </w:style>
  <w:style w:type="paragraph" w:styleId="TOC6">
    <w:name w:val="toc 6"/>
    <w:basedOn w:val="TOC4"/>
    <w:rsid w:val="00CD7A62"/>
  </w:style>
  <w:style w:type="paragraph" w:styleId="TOC7">
    <w:name w:val="toc 7"/>
    <w:basedOn w:val="TOC4"/>
    <w:rsid w:val="00CD7A62"/>
  </w:style>
  <w:style w:type="paragraph" w:styleId="TOC8">
    <w:name w:val="toc 8"/>
    <w:basedOn w:val="TOC4"/>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Normal"/>
    <w:next w:val="Normal"/>
    <w:rsid w:val="005632C0"/>
    <w:pPr>
      <w:keepNext/>
      <w:keepLines/>
      <w:spacing w:before="240"/>
      <w:jc w:val="center"/>
    </w:pPr>
    <w:rPr>
      <w:b/>
      <w:sz w:val="28"/>
    </w:rPr>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E286C"/>
    <w:rPr>
      <w:b/>
      <w:sz w:val="24"/>
      <w:lang w:val="fr-FR" w:eastAsia="en-US" w:bidi="ar-SA"/>
    </w:rPr>
  </w:style>
  <w:style w:type="paragraph" w:customStyle="1" w:styleId="Artheading">
    <w:name w:val="Art_heading"/>
    <w:basedOn w:val="Normal"/>
    <w:next w:val="Normal"/>
    <w:rsid w:val="00DE31B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DE31BE"/>
    <w:rPr>
      <w:vertAlign w:val="superscript"/>
    </w:rPr>
  </w:style>
  <w:style w:type="paragraph" w:customStyle="1" w:styleId="Figurewithouttitle">
    <w:name w:val="Figure_without_title"/>
    <w:basedOn w:val="FigureNo"/>
    <w:next w:val="Normal"/>
    <w:rsid w:val="00DE31BE"/>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DE31BE"/>
    <w:pPr>
      <w:tabs>
        <w:tab w:val="clear" w:pos="4320"/>
        <w:tab w:val="clear" w:pos="8640"/>
      </w:tabs>
      <w:overflowPunct/>
      <w:autoSpaceDE/>
      <w:autoSpaceDN/>
      <w:adjustRightInd/>
      <w:spacing w:before="40"/>
      <w:jc w:val="left"/>
      <w:textAlignment w:val="auto"/>
    </w:pPr>
    <w:rPr>
      <w:sz w:val="16"/>
    </w:rPr>
  </w:style>
  <w:style w:type="paragraph" w:customStyle="1" w:styleId="Source">
    <w:name w:val="Source"/>
    <w:basedOn w:val="Normal"/>
    <w:next w:val="Normal"/>
    <w:rsid w:val="00DE31B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E31BE"/>
    <w:pPr>
      <w:tabs>
        <w:tab w:val="clear" w:pos="4320"/>
        <w:tab w:val="clear" w:pos="8640"/>
        <w:tab w:val="left" w:pos="567"/>
        <w:tab w:val="left" w:pos="1134"/>
        <w:tab w:val="left" w:pos="1701"/>
        <w:tab w:val="left" w:pos="2268"/>
        <w:tab w:val="left" w:pos="2835"/>
        <w:tab w:val="left" w:pos="5954"/>
        <w:tab w:val="right" w:pos="9639"/>
      </w:tabs>
      <w:spacing w:before="0"/>
    </w:pPr>
    <w:rPr>
      <w:sz w:val="16"/>
    </w:rPr>
  </w:style>
  <w:style w:type="paragraph" w:customStyle="1" w:styleId="Tableref">
    <w:name w:val="Table_ref"/>
    <w:basedOn w:val="Normal"/>
    <w:next w:val="Tabletitle"/>
    <w:rsid w:val="00DE31B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DE31B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DE31BE"/>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DE31BE"/>
    <w:pPr>
      <w:spacing w:before="240"/>
    </w:pPr>
    <w:rPr>
      <w:caps w:val="0"/>
    </w:rPr>
  </w:style>
  <w:style w:type="paragraph" w:customStyle="1" w:styleId="Title4">
    <w:name w:val="Title 4"/>
    <w:basedOn w:val="Title3"/>
    <w:next w:val="Heading1"/>
    <w:rsid w:val="00DE31BE"/>
    <w:rPr>
      <w:b/>
    </w:rPr>
  </w:style>
  <w:style w:type="character" w:customStyle="1" w:styleId="Appdef">
    <w:name w:val="App_def"/>
    <w:rsid w:val="00DE31BE"/>
    <w:rPr>
      <w:rFonts w:ascii="Times New Roman" w:hAnsi="Times New Roman"/>
      <w:b/>
    </w:rPr>
  </w:style>
  <w:style w:type="character" w:customStyle="1" w:styleId="Appref">
    <w:name w:val="App_ref"/>
    <w:basedOn w:val="DefaultParagraphFont"/>
    <w:rsid w:val="00DE31BE"/>
  </w:style>
  <w:style w:type="character" w:customStyle="1" w:styleId="Artdef">
    <w:name w:val="Art_def"/>
    <w:rsid w:val="00DE31BE"/>
    <w:rPr>
      <w:rFonts w:ascii="Times New Roman" w:hAnsi="Times New Roman"/>
      <w:b/>
    </w:rPr>
  </w:style>
  <w:style w:type="character" w:customStyle="1" w:styleId="Artref">
    <w:name w:val="Art_ref"/>
    <w:basedOn w:val="DefaultParagraphFont"/>
    <w:rsid w:val="00DE31BE"/>
  </w:style>
  <w:style w:type="character" w:customStyle="1" w:styleId="Recdef">
    <w:name w:val="Rec_def"/>
    <w:rsid w:val="00DE31BE"/>
    <w:rPr>
      <w:b/>
    </w:rPr>
  </w:style>
  <w:style w:type="character" w:customStyle="1" w:styleId="Resdef">
    <w:name w:val="Res_def"/>
    <w:rsid w:val="00DE31BE"/>
    <w:rPr>
      <w:rFonts w:ascii="Times New Roman" w:hAnsi="Times New Roman"/>
      <w:b/>
    </w:rPr>
  </w:style>
  <w:style w:type="character" w:customStyle="1" w:styleId="Tablefreq">
    <w:name w:val="Table_freq"/>
    <w:rsid w:val="00DE31BE"/>
    <w:rPr>
      <w:b/>
      <w:color w:val="auto"/>
      <w:sz w:val="20"/>
    </w:rPr>
  </w:style>
  <w:style w:type="paragraph" w:customStyle="1" w:styleId="Formal">
    <w:name w:val="Formal"/>
    <w:basedOn w:val="ASN1"/>
    <w:rsid w:val="00DE31BE"/>
    <w:pPr>
      <w:tabs>
        <w:tab w:val="left" w:pos="1871"/>
      </w:tabs>
      <w:jc w:val="left"/>
    </w:pPr>
    <w:rPr>
      <w:rFonts w:ascii="Times New Roman Bold" w:hAnsi="Times New Roman Bold"/>
      <w:b w:val="0"/>
    </w:rPr>
  </w:style>
  <w:style w:type="paragraph" w:customStyle="1" w:styleId="Section1">
    <w:name w:val="Section_1"/>
    <w:basedOn w:val="Normal"/>
    <w:rsid w:val="00DE31B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E31BE"/>
    <w:rPr>
      <w:b w:val="0"/>
      <w:i/>
    </w:rPr>
  </w:style>
  <w:style w:type="paragraph" w:customStyle="1" w:styleId="Agendaitem">
    <w:name w:val="Agenda_item"/>
    <w:basedOn w:val="Normal"/>
    <w:next w:val="Normal"/>
    <w:qFormat/>
    <w:rsid w:val="00DE31B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DE31B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E31B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DE31B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DE31BE"/>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DE31BE"/>
  </w:style>
  <w:style w:type="paragraph" w:customStyle="1" w:styleId="ApptoAnnex">
    <w:name w:val="App_to_Annex"/>
    <w:basedOn w:val="AppendixNo"/>
    <w:qFormat/>
    <w:rsid w:val="00DE31BE"/>
  </w:style>
  <w:style w:type="paragraph" w:customStyle="1" w:styleId="Appendixtitle">
    <w:name w:val="Appendix_title"/>
    <w:basedOn w:val="Annextitle"/>
    <w:next w:val="Normal"/>
    <w:rsid w:val="00DE31BE"/>
  </w:style>
  <w:style w:type="paragraph" w:styleId="BalloonText">
    <w:name w:val="Balloon Text"/>
    <w:basedOn w:val="Normal"/>
    <w:link w:val="BalloonTextChar"/>
    <w:rsid w:val="00DE31B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DE31BE"/>
    <w:rPr>
      <w:rFonts w:ascii="Tahoma" w:hAnsi="Tahoma" w:cs="Tahoma"/>
      <w:sz w:val="16"/>
      <w:szCs w:val="16"/>
      <w:lang w:val="fr-FR" w:eastAsia="en-US"/>
    </w:rPr>
  </w:style>
  <w:style w:type="paragraph" w:styleId="BodyText">
    <w:name w:val="Body Text"/>
    <w:basedOn w:val="Normal"/>
    <w:link w:val="BodyTextChar"/>
    <w:rsid w:val="00DE31BE"/>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DE31BE"/>
    <w:rPr>
      <w:b/>
      <w:smallCaps/>
      <w:sz w:val="24"/>
      <w:lang w:val="fr-FR" w:eastAsia="en-US"/>
    </w:rPr>
  </w:style>
  <w:style w:type="paragraph" w:customStyle="1" w:styleId="Border">
    <w:name w:val="Border"/>
    <w:basedOn w:val="Normal"/>
    <w:rsid w:val="00DE31BE"/>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DE31B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DE31BE"/>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character" w:customStyle="1" w:styleId="HeaderChar">
    <w:name w:val="Header Char"/>
    <w:basedOn w:val="DefaultParagraphFont"/>
    <w:link w:val="Header"/>
    <w:rsid w:val="00DE31BE"/>
    <w:rPr>
      <w:sz w:val="24"/>
      <w:lang w:val="fr-FR" w:eastAsia="en-US"/>
    </w:rPr>
  </w:style>
  <w:style w:type="paragraph" w:styleId="Index4">
    <w:name w:val="index 4"/>
    <w:basedOn w:val="Normal"/>
    <w:next w:val="Normal"/>
    <w:rsid w:val="00DE31B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E31B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E31B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E31B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E31BE"/>
  </w:style>
  <w:style w:type="paragraph" w:customStyle="1" w:styleId="Normalaftertitle0">
    <w:name w:val="Normal after title"/>
    <w:basedOn w:val="Normal"/>
    <w:next w:val="Normal"/>
    <w:rsid w:val="00DE31BE"/>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DE31BE"/>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DE31BE"/>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DE31B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DE31BE"/>
    <w:pPr>
      <w:tabs>
        <w:tab w:val="clear" w:pos="794"/>
        <w:tab w:val="clear" w:pos="1191"/>
        <w:tab w:val="left" w:pos="1134"/>
      </w:tabs>
      <w:jc w:val="left"/>
    </w:pPr>
  </w:style>
  <w:style w:type="paragraph" w:customStyle="1" w:styleId="Section3">
    <w:name w:val="Section_3"/>
    <w:basedOn w:val="Section1"/>
    <w:rsid w:val="00DE31BE"/>
    <w:rPr>
      <w:b w:val="0"/>
    </w:rPr>
  </w:style>
  <w:style w:type="paragraph" w:customStyle="1" w:styleId="Subsection1">
    <w:name w:val="Subsection_1"/>
    <w:basedOn w:val="Section1"/>
    <w:next w:val="Normalaftertitle0"/>
    <w:qFormat/>
    <w:rsid w:val="00DE31BE"/>
  </w:style>
  <w:style w:type="paragraph" w:customStyle="1" w:styleId="TableTextS5">
    <w:name w:val="Table_TextS5"/>
    <w:basedOn w:val="Normal"/>
    <w:rsid w:val="00DE31B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DE31BE"/>
    <w:pPr>
      <w:tabs>
        <w:tab w:val="clear" w:pos="794"/>
        <w:tab w:val="clear" w:pos="1191"/>
        <w:tab w:val="clear" w:pos="1588"/>
        <w:tab w:val="clear" w:pos="1985"/>
        <w:tab w:val="left" w:pos="1134"/>
        <w:tab w:val="left" w:pos="1871"/>
        <w:tab w:val="left" w:pos="2268"/>
      </w:tabs>
    </w:pPr>
    <w:rPr>
      <w:caps/>
      <w:lang w:val="fr-CH"/>
    </w:rPr>
  </w:style>
  <w:style w:type="character" w:customStyle="1" w:styleId="Heading2Char">
    <w:name w:val="Heading 2 Char"/>
    <w:basedOn w:val="DefaultParagraphFont"/>
    <w:link w:val="Heading2"/>
    <w:rsid w:val="00DE31BE"/>
    <w:rPr>
      <w:b/>
      <w:sz w:val="24"/>
      <w:lang w:val="fr-FR" w:eastAsia="en-US"/>
    </w:rPr>
  </w:style>
  <w:style w:type="character" w:customStyle="1" w:styleId="Heading3Char">
    <w:name w:val="Heading 3 Char"/>
    <w:basedOn w:val="DefaultParagraphFont"/>
    <w:link w:val="Heading3"/>
    <w:rsid w:val="00DE31BE"/>
    <w:rPr>
      <w:b/>
      <w:sz w:val="24"/>
      <w:lang w:val="fr-FR" w:eastAsia="en-US"/>
    </w:rPr>
  </w:style>
  <w:style w:type="character" w:customStyle="1" w:styleId="Heading4Char">
    <w:name w:val="Heading 4 Char"/>
    <w:basedOn w:val="DefaultParagraphFont"/>
    <w:link w:val="Heading4"/>
    <w:rsid w:val="00DE31BE"/>
    <w:rPr>
      <w:b/>
      <w:sz w:val="24"/>
      <w:lang w:val="fr-FR" w:eastAsia="en-US"/>
    </w:rPr>
  </w:style>
  <w:style w:type="character" w:customStyle="1" w:styleId="Heading5Char">
    <w:name w:val="Heading 5 Char"/>
    <w:basedOn w:val="DefaultParagraphFont"/>
    <w:link w:val="Heading5"/>
    <w:rsid w:val="00DE31BE"/>
    <w:rPr>
      <w:b/>
      <w:sz w:val="24"/>
      <w:lang w:val="fr-FR" w:eastAsia="en-US"/>
    </w:rPr>
  </w:style>
  <w:style w:type="character" w:customStyle="1" w:styleId="Heading6Char">
    <w:name w:val="Heading 6 Char"/>
    <w:basedOn w:val="DefaultParagraphFont"/>
    <w:link w:val="Heading6"/>
    <w:rsid w:val="00DE31BE"/>
    <w:rPr>
      <w:b/>
      <w:sz w:val="24"/>
      <w:lang w:val="fr-FR" w:eastAsia="en-US"/>
    </w:rPr>
  </w:style>
  <w:style w:type="character" w:customStyle="1" w:styleId="Heading7Char">
    <w:name w:val="Heading 7 Char"/>
    <w:basedOn w:val="DefaultParagraphFont"/>
    <w:link w:val="Heading7"/>
    <w:rsid w:val="00DE31BE"/>
    <w:rPr>
      <w:b/>
      <w:sz w:val="24"/>
      <w:lang w:val="fr-FR" w:eastAsia="en-US"/>
    </w:rPr>
  </w:style>
  <w:style w:type="character" w:customStyle="1" w:styleId="Heading8Char">
    <w:name w:val="Heading 8 Char"/>
    <w:basedOn w:val="DefaultParagraphFont"/>
    <w:link w:val="Heading8"/>
    <w:rsid w:val="00DE31BE"/>
    <w:rPr>
      <w:b/>
      <w:sz w:val="24"/>
      <w:lang w:val="fr-FR" w:eastAsia="en-US"/>
    </w:rPr>
  </w:style>
  <w:style w:type="character" w:customStyle="1" w:styleId="Heading9Char">
    <w:name w:val="Heading 9 Char"/>
    <w:basedOn w:val="DefaultParagraphFont"/>
    <w:link w:val="Heading9"/>
    <w:rsid w:val="00DE31BE"/>
    <w:rPr>
      <w:b/>
      <w:sz w:val="24"/>
      <w:lang w:val="fr-FR" w:eastAsia="en-US"/>
    </w:rPr>
  </w:style>
  <w:style w:type="character" w:customStyle="1" w:styleId="FooterChar">
    <w:name w:val="Footer Char"/>
    <w:basedOn w:val="DefaultParagraphFont"/>
    <w:link w:val="Footer"/>
    <w:rsid w:val="00DE31BE"/>
    <w:rPr>
      <w:sz w:val="24"/>
      <w:lang w:val="fr-FR" w:eastAsia="en-US"/>
    </w:rPr>
  </w:style>
  <w:style w:type="paragraph" w:styleId="ListParagraph">
    <w:name w:val="List Paragraph"/>
    <w:basedOn w:val="Normal"/>
    <w:uiPriority w:val="34"/>
    <w:qFormat/>
    <w:rsid w:val="00DE31BE"/>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FootnoteTextChar">
    <w:name w:val="Footnote Text Char"/>
    <w:basedOn w:val="DefaultParagraphFont"/>
    <w:link w:val="FootnoteText"/>
    <w:rsid w:val="00DE31BE"/>
    <w:rPr>
      <w:sz w:val="22"/>
      <w:lang w:val="fr-FR" w:eastAsia="en-US"/>
    </w:rPr>
  </w:style>
  <w:style w:type="character" w:styleId="FollowedHyperlink">
    <w:name w:val="FollowedHyperlink"/>
    <w:basedOn w:val="DefaultParagraphFont"/>
    <w:uiPriority w:val="99"/>
    <w:semiHidden/>
    <w:unhideWhenUsed/>
    <w:rsid w:val="00DE31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556550">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12859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hyperlink" Target="http://www.itu.int/fr/ITU-T/focusgroups/m2m/Pages/default.aspx" TargetMode="External"/><Relationship Id="rId26" Type="http://schemas.openxmlformats.org/officeDocument/2006/relationships/hyperlink" Target="http://www.itu.int/ITU-T/workprog/wp_item.aspx?isn=9739"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4.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yperlink" Target="https://www.itu.int/fr/ITU-T/jca/ictcc/Pages/default.aspx" TargetMode="External"/><Relationship Id="rId25" Type="http://schemas.openxmlformats.org/officeDocument/2006/relationships/hyperlink" Target="http://www.itu.int/rec/T-REC-G.9902/en" TargetMode="External"/><Relationship Id="rId33" Type="http://schemas.openxmlformats.org/officeDocument/2006/relationships/hyperlink" Target="http://www.itu.int/rec/T-REC-G.9959/en" TargetMode="External"/><Relationship Id="rId38"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www.itu.int/fr/ITU-T/jca/iot/Pages/default.aspx" TargetMode="External"/><Relationship Id="rId20" Type="http://schemas.openxmlformats.org/officeDocument/2006/relationships/image" Target="media/image3.emf"/><Relationship Id="rId29" Type="http://schemas.openxmlformats.org/officeDocument/2006/relationships/hyperlink" Target="http://www.itu.int/rec/T-REC-G.9904/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tu.int/ITU-T/workprog/wp_item.aspx?isn=8526" TargetMode="External"/><Relationship Id="rId32" Type="http://schemas.openxmlformats.org/officeDocument/2006/relationships/hyperlink" Target="http://www.itu.int/ITU-T/workprog/wp_item.aspx?isn=8005" TargetMode="External"/><Relationship Id="rId37" Type="http://schemas.openxmlformats.org/officeDocument/2006/relationships/image" Target="media/image6.em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tu.int/rec/T-REC-G.9901/en" TargetMode="External"/><Relationship Id="rId28" Type="http://schemas.openxmlformats.org/officeDocument/2006/relationships/hyperlink" Target="http://www.itu.int/ITU-T/workprog/wp_item.aspx?isn=8528" TargetMode="External"/><Relationship Id="rId36"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hyperlink" Target="http://www.itu.int/en/ITU-T/extcoop/cits/Pages/default.aspx" TargetMode="External"/><Relationship Id="rId31" Type="http://schemas.openxmlformats.org/officeDocument/2006/relationships/hyperlink" Target="http://www.itu.int/rec/T-REC-G.9905/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itu.int/rec/T-REC-G.9901/en" TargetMode="External"/><Relationship Id="rId27" Type="http://schemas.openxmlformats.org/officeDocument/2006/relationships/hyperlink" Target="http://www.itu.int/rec/T-REC-G.9903/en" TargetMode="External"/><Relationship Id="rId30" Type="http://schemas.openxmlformats.org/officeDocument/2006/relationships/hyperlink" Target="http://www.itu.int/ITU-T/workprog/wp_item.aspx?isn=9741" TargetMode="External"/><Relationship Id="rId35"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decc.gov.uk/en/content/cms/consultations/smart_mtr_imp/smart_mtr_imp.aspx" TargetMode="External"/><Relationship Id="rId18" Type="http://schemas.openxmlformats.org/officeDocument/2006/relationships/hyperlink" Target="http://www.energy.ca.gov/2007publications/CEC-100-2007-008/CEC-100-2007-008-CTF.PDF."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smartgrids.eu/"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collaborate.nist.gov/twiki-sggrid/pub/SmartGrid/PAP02Wireless/NISTIR7761.pdf" TargetMode="External"/><Relationship Id="rId17" Type="http://schemas.openxmlformats.org/officeDocument/2006/relationships/hyperlink" Target="http://www.z-wave.com/what_is_z-wave" TargetMode="External"/><Relationship Id="rId25" Type="http://schemas.openxmlformats.org/officeDocument/2006/relationships/hyperlink" Target="http://www.ksmartgrid.org/eng/" TargetMode="External"/><Relationship Id="rId2" Type="http://schemas.openxmlformats.org/officeDocument/2006/relationships/hyperlink" Target="http://www.itu.int/pub/T-TUT-HOME-2010/en" TargetMode="External"/><Relationship Id="rId16" Type="http://schemas.openxmlformats.org/officeDocument/2006/relationships/hyperlink" Target="http://www.cept.org/cept" TargetMode="External"/><Relationship Id="rId20" Type="http://schemas.openxmlformats.org/officeDocument/2006/relationships/hyperlink" Target="http://www.europarl.europa.eu/sides/getDoc.do?type=TA&amp;language=EN&amp;reference=P6-TA-2008-0294"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www.energy-regulators.eu/portal/page/portal/EER_HOME/%20EER_CONSULT/CLOSED%20%20PUBLIC%20%20CONSULTATIONS/ELECTRICITY/Smart%20Grids/CD"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cenelec.eu/" TargetMode="External"/><Relationship Id="rId23" Type="http://schemas.openxmlformats.org/officeDocument/2006/relationships/hyperlink" Target="http://www.energy-regulators.eu/portal/page/portal/EER_HOME/EER_CONSULT/CLOSED%20PUBLIC%20CONSULTATIONS/ELECTRICITY/Smart%20Grids/CD"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www.europarl.europa.eu/sides/getDoc.do?pubRef=-//EP//NONSGML+REPORT+A6-2008-0003+0+DOC+PDF+V0//EN&amp;language=EN" TargetMode="External"/><Relationship Id="rId4" Type="http://schemas.openxmlformats.org/officeDocument/2006/relationships/hyperlink" Target="http://my.epri.com/portal/server.pt" TargetMode="External"/><Relationship Id="rId9" Type="http://schemas.openxmlformats.org/officeDocument/2006/relationships/hyperlink" Target="http://www.iec.ch/smartgrid" TargetMode="External"/><Relationship Id="rId14" Type="http://schemas.openxmlformats.org/officeDocument/2006/relationships/hyperlink" Target="http://www.itu.int/pub/T-TUT-HOME-2010/en" TargetMode="External"/><Relationship Id="rId22" Type="http://schemas.openxmlformats.org/officeDocument/2006/relationships/hyperlink" Target="http://cordis.europa.eu/fetch?CALLER=ENERGY_NEWS&amp;ACTION=D&amp;DOC=1&amp;CAT=NEWS&amp;QUERY=011bae3744bf:2435:2d5957f8&amp;RCN=2975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4364A-9CAA-4838-84BA-8BC0018C9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262</TotalTime>
  <Pages>1</Pages>
  <Words>18808</Words>
  <Characters>118496</Characters>
  <Application>Microsoft Office Word</Application>
  <DocSecurity>0</DocSecurity>
  <Lines>2962</Lines>
  <Paragraphs>101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137203</CharactersWithSpaces>
  <SharedDoc>false</SharedDoc>
  <HLinks>
    <vt:vector size="12" baseType="variant">
      <vt:variant>
        <vt:i4>131140</vt:i4>
      </vt:variant>
      <vt:variant>
        <vt:i4>6</vt:i4>
      </vt:variant>
      <vt:variant>
        <vt:i4>0</vt:i4>
      </vt:variant>
      <vt:variant>
        <vt:i4>5</vt:i4>
      </vt:variant>
      <vt:variant>
        <vt:lpwstr>http://www.itu.int/publ/R-REP/fr</vt:lpwstr>
      </vt:variant>
      <vt:variant>
        <vt:lpwstr/>
      </vt:variant>
      <vt:variant>
        <vt:i4>2162733</vt:i4>
      </vt:variant>
      <vt:variant>
        <vt:i4>3</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49</cp:revision>
  <cp:lastPrinted>2017-11-15T13:13:00Z</cp:lastPrinted>
  <dcterms:created xsi:type="dcterms:W3CDTF">2017-11-14T15:27:00Z</dcterms:created>
  <dcterms:modified xsi:type="dcterms:W3CDTF">2017-11-15T13:16:00Z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