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C0" w:rsidRDefault="005632C0" w:rsidP="005632C0">
      <w:bookmarkStart w:id="0" w:name="irecnoe"/>
      <w:bookmarkEnd w:id="0"/>
    </w:p>
    <w:p w:rsidR="005632C0" w:rsidRDefault="005632C0" w:rsidP="005632C0"/>
    <w:p w:rsidR="005632C0" w:rsidRDefault="005632C0" w:rsidP="005632C0"/>
    <w:p w:rsidR="005632C0" w:rsidRDefault="005632C0" w:rsidP="005632C0"/>
    <w:p w:rsidR="005632C0" w:rsidRDefault="005632C0" w:rsidP="005632C0"/>
    <w:p w:rsidR="005632C0" w:rsidRDefault="005632C0" w:rsidP="005632C0"/>
    <w:p w:rsidR="005632C0" w:rsidRDefault="005632C0" w:rsidP="005632C0"/>
    <w:p w:rsidR="005632C0" w:rsidRDefault="005632C0" w:rsidP="005632C0"/>
    <w:p w:rsidR="005632C0" w:rsidRDefault="005632C0" w:rsidP="005632C0"/>
    <w:p w:rsidR="005632C0" w:rsidRDefault="005632C0" w:rsidP="005632C0"/>
    <w:tbl>
      <w:tblPr>
        <w:tblW w:w="10089" w:type="dxa"/>
        <w:tblLook w:val="01E0" w:firstRow="1" w:lastRow="1" w:firstColumn="1" w:lastColumn="1" w:noHBand="0" w:noVBand="0"/>
      </w:tblPr>
      <w:tblGrid>
        <w:gridCol w:w="10089"/>
      </w:tblGrid>
      <w:tr w:rsidR="005632C0" w:rsidRPr="00CA109F" w:rsidTr="00CA109F">
        <w:tc>
          <w:tcPr>
            <w:tcW w:w="10089" w:type="dxa"/>
          </w:tcPr>
          <w:p w:rsidR="005632C0" w:rsidRPr="00CA109F" w:rsidRDefault="005632C0" w:rsidP="00CA109F">
            <w:pPr>
              <w:spacing w:before="380" w:line="280" w:lineRule="exact"/>
              <w:jc w:val="right"/>
              <w:rPr>
                <w:rFonts w:ascii="Tahoma" w:hAnsi="Tahoma" w:cs="Tahoma"/>
                <w:b/>
                <w:bCs/>
                <w:iCs/>
                <w:color w:val="509141"/>
                <w:sz w:val="32"/>
                <w:szCs w:val="32"/>
                <w:lang w:val="en-US"/>
              </w:rPr>
            </w:pPr>
          </w:p>
          <w:p w:rsidR="005632C0" w:rsidRPr="005D41C4" w:rsidRDefault="005632C0" w:rsidP="000C1ED5">
            <w:pPr>
              <w:spacing w:before="380" w:line="280" w:lineRule="exact"/>
              <w:jc w:val="right"/>
              <w:rPr>
                <w:rFonts w:ascii="Tahoma" w:hAnsi="Tahoma" w:cs="Tahoma"/>
                <w:b/>
                <w:bCs/>
                <w:iCs/>
                <w:color w:val="509141"/>
                <w:sz w:val="36"/>
                <w:szCs w:val="36"/>
                <w:lang w:val="fr-CH"/>
              </w:rPr>
            </w:pPr>
            <w:r w:rsidRPr="005D41C4">
              <w:rPr>
                <w:rFonts w:ascii="Tahoma" w:hAnsi="Tahoma" w:cs="Tahoma"/>
                <w:b/>
                <w:bCs/>
                <w:iCs/>
                <w:color w:val="509141"/>
                <w:sz w:val="36"/>
                <w:szCs w:val="36"/>
                <w:lang w:val="fr-CH"/>
              </w:rPr>
              <w:t xml:space="preserve">Informe  UIT-R  </w:t>
            </w:r>
            <w:r w:rsidR="00A10F3A" w:rsidRPr="005D41C4">
              <w:rPr>
                <w:rFonts w:ascii="Tahoma" w:hAnsi="Tahoma" w:cs="Tahoma"/>
                <w:b/>
                <w:bCs/>
                <w:iCs/>
                <w:color w:val="509141"/>
                <w:sz w:val="36"/>
                <w:szCs w:val="36"/>
                <w:lang w:val="fr-CH"/>
              </w:rPr>
              <w:t>S</w:t>
            </w:r>
            <w:r w:rsidR="003A6B2B" w:rsidRPr="005D41C4">
              <w:rPr>
                <w:rFonts w:ascii="Tahoma" w:hAnsi="Tahoma" w:cs="Tahoma"/>
                <w:b/>
                <w:bCs/>
                <w:iCs/>
                <w:color w:val="509141"/>
                <w:sz w:val="36"/>
                <w:szCs w:val="36"/>
                <w:lang w:val="fr-CH"/>
              </w:rPr>
              <w:t>M</w:t>
            </w:r>
            <w:r w:rsidRPr="005D41C4">
              <w:rPr>
                <w:rFonts w:ascii="Tahoma" w:hAnsi="Tahoma" w:cs="Tahoma"/>
                <w:b/>
                <w:bCs/>
                <w:iCs/>
                <w:color w:val="509141"/>
                <w:sz w:val="36"/>
                <w:szCs w:val="36"/>
                <w:lang w:val="fr-CH"/>
              </w:rPr>
              <w:t>.</w:t>
            </w:r>
            <w:r w:rsidR="000C1ED5">
              <w:rPr>
                <w:rFonts w:ascii="Tahoma" w:hAnsi="Tahoma" w:cs="Tahoma"/>
                <w:b/>
                <w:bCs/>
                <w:iCs/>
                <w:color w:val="509141"/>
                <w:sz w:val="36"/>
                <w:szCs w:val="36"/>
                <w:lang w:val="fr-CH"/>
              </w:rPr>
              <w:t>2423-0</w:t>
            </w:r>
            <w:r w:rsidRPr="005D41C4">
              <w:rPr>
                <w:rFonts w:ascii="Tahoma" w:hAnsi="Tahoma" w:cs="Tahoma"/>
                <w:b/>
                <w:bCs/>
                <w:iCs/>
                <w:color w:val="509141"/>
                <w:sz w:val="36"/>
                <w:szCs w:val="36"/>
                <w:lang w:val="fr-CH"/>
              </w:rPr>
              <w:t xml:space="preserve">  </w:t>
            </w:r>
          </w:p>
          <w:p w:rsidR="005632C0" w:rsidRPr="005D41C4" w:rsidRDefault="005632C0" w:rsidP="000C1ED5">
            <w:pPr>
              <w:spacing w:before="80" w:line="280" w:lineRule="exact"/>
              <w:jc w:val="right"/>
              <w:rPr>
                <w:rFonts w:ascii="Tahoma" w:hAnsi="Tahoma" w:cs="Tahoma"/>
                <w:b/>
                <w:bCs/>
                <w:iCs/>
                <w:color w:val="509141"/>
                <w:szCs w:val="24"/>
                <w:lang w:val="fr-CH"/>
              </w:rPr>
            </w:pPr>
            <w:r w:rsidRPr="005D41C4">
              <w:rPr>
                <w:rFonts w:ascii="Tahoma" w:hAnsi="Tahoma" w:cs="Tahoma"/>
                <w:b/>
                <w:bCs/>
                <w:iCs/>
                <w:color w:val="509141"/>
                <w:szCs w:val="24"/>
                <w:lang w:val="fr-CH"/>
              </w:rPr>
              <w:t>(</w:t>
            </w:r>
            <w:r w:rsidR="000C1ED5">
              <w:rPr>
                <w:rFonts w:ascii="Tahoma" w:hAnsi="Tahoma" w:cs="Tahoma"/>
                <w:b/>
                <w:bCs/>
                <w:iCs/>
                <w:color w:val="509141"/>
                <w:szCs w:val="24"/>
                <w:lang w:val="fr-CH"/>
              </w:rPr>
              <w:t>06</w:t>
            </w:r>
            <w:r w:rsidRPr="005D41C4">
              <w:rPr>
                <w:rFonts w:ascii="Tahoma" w:hAnsi="Tahoma" w:cs="Tahoma"/>
                <w:b/>
                <w:bCs/>
                <w:iCs/>
                <w:color w:val="509141"/>
                <w:szCs w:val="24"/>
                <w:lang w:val="fr-CH"/>
              </w:rPr>
              <w:t>/</w:t>
            </w:r>
            <w:r w:rsidR="000C1ED5">
              <w:rPr>
                <w:rFonts w:ascii="Tahoma" w:hAnsi="Tahoma" w:cs="Tahoma"/>
                <w:b/>
                <w:bCs/>
                <w:iCs/>
                <w:color w:val="509141"/>
                <w:szCs w:val="24"/>
                <w:lang w:val="fr-CH"/>
              </w:rPr>
              <w:t>2018</w:t>
            </w:r>
            <w:r w:rsidRPr="005D41C4">
              <w:rPr>
                <w:rFonts w:ascii="Tahoma" w:hAnsi="Tahoma" w:cs="Tahoma"/>
                <w:b/>
                <w:bCs/>
                <w:iCs/>
                <w:color w:val="509141"/>
                <w:szCs w:val="24"/>
                <w:lang w:val="fr-CH"/>
              </w:rPr>
              <w:t>)</w:t>
            </w:r>
          </w:p>
        </w:tc>
      </w:tr>
      <w:tr w:rsidR="005632C0" w:rsidRPr="005C30C8" w:rsidTr="00CA109F">
        <w:tc>
          <w:tcPr>
            <w:tcW w:w="10089" w:type="dxa"/>
          </w:tcPr>
          <w:p w:rsidR="005632C0" w:rsidRPr="005C30C8" w:rsidRDefault="005632C0" w:rsidP="00CA109F">
            <w:pPr>
              <w:spacing w:before="80" w:line="500" w:lineRule="exact"/>
              <w:jc w:val="right"/>
              <w:rPr>
                <w:rFonts w:ascii="Tahoma" w:hAnsi="Tahoma" w:cs="Tahoma"/>
                <w:b/>
                <w:bCs/>
                <w:iCs/>
                <w:color w:val="509141"/>
                <w:sz w:val="44"/>
                <w:szCs w:val="44"/>
                <w:lang w:val="es-ES_tradnl"/>
              </w:rPr>
            </w:pPr>
          </w:p>
          <w:p w:rsidR="00F261A0" w:rsidRPr="005C30C8" w:rsidRDefault="00F261A0" w:rsidP="00CA109F">
            <w:pPr>
              <w:spacing w:before="80" w:line="500" w:lineRule="exact"/>
              <w:jc w:val="right"/>
              <w:rPr>
                <w:rFonts w:ascii="Tahoma" w:hAnsi="Tahoma" w:cs="Tahoma"/>
                <w:b/>
                <w:bCs/>
                <w:iCs/>
                <w:color w:val="509141"/>
                <w:sz w:val="44"/>
                <w:szCs w:val="44"/>
                <w:lang w:val="es-ES_tradnl"/>
              </w:rPr>
            </w:pPr>
          </w:p>
          <w:p w:rsidR="005632C0" w:rsidRPr="00CA109F" w:rsidRDefault="005C30C8" w:rsidP="005C30C8">
            <w:pPr>
              <w:spacing w:before="80" w:line="500" w:lineRule="exact"/>
              <w:jc w:val="right"/>
              <w:rPr>
                <w:rFonts w:ascii="Tahoma" w:hAnsi="Tahoma" w:cs="Tahoma"/>
                <w:b/>
                <w:bCs/>
                <w:iCs/>
                <w:color w:val="509141"/>
                <w:sz w:val="44"/>
                <w:szCs w:val="44"/>
                <w:lang w:val="es-ES_tradnl"/>
              </w:rPr>
            </w:pPr>
            <w:r w:rsidRPr="005C30C8">
              <w:rPr>
                <w:rFonts w:ascii="Tahoma" w:hAnsi="Tahoma" w:cs="Tahoma"/>
                <w:b/>
                <w:bCs/>
                <w:iCs/>
                <w:color w:val="509141"/>
                <w:sz w:val="44"/>
                <w:szCs w:val="44"/>
                <w:lang w:val="es-ES_tradnl"/>
              </w:rPr>
              <w:t xml:space="preserve">Aspectos técnicos y operativos de las redes de área extensa y baja potencia para las comunicaciones entre máquinas y </w:t>
            </w:r>
            <w:r>
              <w:rPr>
                <w:rFonts w:ascii="Tahoma" w:hAnsi="Tahoma" w:cs="Tahoma"/>
                <w:b/>
                <w:bCs/>
                <w:iCs/>
                <w:color w:val="509141"/>
                <w:sz w:val="44"/>
                <w:szCs w:val="44"/>
                <w:lang w:val="es-ES_tradnl"/>
              </w:rPr>
              <w:br/>
            </w:r>
            <w:r w:rsidRPr="005C30C8">
              <w:rPr>
                <w:rFonts w:ascii="Tahoma" w:hAnsi="Tahoma" w:cs="Tahoma"/>
                <w:b/>
                <w:bCs/>
                <w:iCs/>
                <w:color w:val="509141"/>
                <w:sz w:val="44"/>
                <w:szCs w:val="44"/>
                <w:lang w:val="es-ES_tradnl"/>
              </w:rPr>
              <w:t xml:space="preserve">la Internet de las cosas en gamas </w:t>
            </w:r>
            <w:r>
              <w:rPr>
                <w:rFonts w:ascii="Tahoma" w:hAnsi="Tahoma" w:cs="Tahoma"/>
                <w:b/>
                <w:bCs/>
                <w:iCs/>
                <w:color w:val="509141"/>
                <w:sz w:val="44"/>
                <w:szCs w:val="44"/>
                <w:lang w:val="es-ES_tradnl"/>
              </w:rPr>
              <w:br/>
            </w:r>
            <w:r w:rsidRPr="005C30C8">
              <w:rPr>
                <w:rFonts w:ascii="Tahoma" w:hAnsi="Tahoma" w:cs="Tahoma"/>
                <w:b/>
                <w:bCs/>
                <w:iCs/>
                <w:color w:val="509141"/>
                <w:sz w:val="44"/>
                <w:szCs w:val="44"/>
                <w:lang w:val="es-ES_tradnl"/>
              </w:rPr>
              <w:t xml:space="preserve">de frecuencias armonizadas para </w:t>
            </w:r>
            <w:r>
              <w:rPr>
                <w:rFonts w:ascii="Tahoma" w:hAnsi="Tahoma" w:cs="Tahoma"/>
                <w:b/>
                <w:bCs/>
                <w:iCs/>
                <w:color w:val="509141"/>
                <w:sz w:val="44"/>
                <w:szCs w:val="44"/>
                <w:lang w:val="es-ES_tradnl"/>
              </w:rPr>
              <w:br/>
            </w:r>
            <w:r w:rsidRPr="005C30C8">
              <w:rPr>
                <w:rFonts w:ascii="Tahoma" w:hAnsi="Tahoma" w:cs="Tahoma"/>
                <w:b/>
                <w:bCs/>
                <w:iCs/>
                <w:color w:val="509141"/>
                <w:sz w:val="44"/>
                <w:szCs w:val="44"/>
                <w:lang w:val="es-ES_tradnl"/>
              </w:rPr>
              <w:t xml:space="preserve">el funcionamiento de dispositivos </w:t>
            </w:r>
            <w:r>
              <w:rPr>
                <w:rFonts w:ascii="Tahoma" w:hAnsi="Tahoma" w:cs="Tahoma"/>
                <w:b/>
                <w:bCs/>
                <w:iCs/>
                <w:color w:val="509141"/>
                <w:sz w:val="44"/>
                <w:szCs w:val="44"/>
                <w:lang w:val="es-ES_tradnl"/>
              </w:rPr>
              <w:br/>
            </w:r>
            <w:r w:rsidRPr="005C30C8">
              <w:rPr>
                <w:rFonts w:ascii="Tahoma" w:hAnsi="Tahoma" w:cs="Tahoma"/>
                <w:b/>
                <w:bCs/>
                <w:iCs/>
                <w:color w:val="509141"/>
                <w:sz w:val="44"/>
                <w:szCs w:val="44"/>
                <w:lang w:val="es-ES_tradnl"/>
              </w:rPr>
              <w:t>de corto alcance</w:t>
            </w:r>
            <w:r w:rsidR="00BE46FB" w:rsidRPr="00CA109F">
              <w:rPr>
                <w:rFonts w:ascii="Tahoma" w:hAnsi="Tahoma" w:cs="Tahoma"/>
                <w:b/>
                <w:bCs/>
                <w:iCs/>
                <w:color w:val="509141"/>
                <w:sz w:val="44"/>
                <w:szCs w:val="44"/>
                <w:lang w:val="es-ES_tradnl"/>
              </w:rPr>
              <w:t xml:space="preserve"> </w:t>
            </w:r>
          </w:p>
        </w:tc>
      </w:tr>
      <w:tr w:rsidR="005632C0" w:rsidRPr="004F53E1" w:rsidTr="00CA109F">
        <w:tc>
          <w:tcPr>
            <w:tcW w:w="10089" w:type="dxa"/>
          </w:tcPr>
          <w:p w:rsidR="00F261A0" w:rsidRPr="003353FE" w:rsidRDefault="00F261A0" w:rsidP="00F261A0">
            <w:pPr>
              <w:spacing w:before="80" w:line="280" w:lineRule="exact"/>
              <w:ind w:right="640"/>
              <w:rPr>
                <w:rFonts w:ascii="Tahoma" w:hAnsi="Tahoma" w:cs="Tahoma"/>
                <w:b/>
                <w:bCs/>
                <w:iCs/>
                <w:color w:val="509141"/>
                <w:sz w:val="32"/>
                <w:szCs w:val="32"/>
                <w:lang w:val="es-ES_tradnl"/>
              </w:rPr>
            </w:pPr>
          </w:p>
          <w:p w:rsidR="00F261A0" w:rsidRPr="003353FE" w:rsidRDefault="00F261A0" w:rsidP="00F261A0">
            <w:pPr>
              <w:spacing w:before="80" w:line="280" w:lineRule="exact"/>
              <w:ind w:right="640"/>
              <w:rPr>
                <w:rFonts w:ascii="Tahoma" w:hAnsi="Tahoma" w:cs="Tahoma"/>
                <w:b/>
                <w:bCs/>
                <w:iCs/>
                <w:color w:val="509141"/>
                <w:sz w:val="32"/>
                <w:szCs w:val="32"/>
                <w:lang w:val="es-ES_tradnl"/>
              </w:rPr>
            </w:pPr>
          </w:p>
          <w:p w:rsidR="00F261A0" w:rsidRPr="003353FE" w:rsidRDefault="00F261A0" w:rsidP="00F261A0">
            <w:pPr>
              <w:spacing w:before="80" w:after="180" w:line="360" w:lineRule="exact"/>
              <w:jc w:val="right"/>
              <w:rPr>
                <w:rFonts w:ascii="Tahoma" w:hAnsi="Tahoma" w:cs="Tahoma"/>
                <w:b/>
                <w:bCs/>
                <w:iCs/>
                <w:color w:val="509141"/>
                <w:sz w:val="36"/>
                <w:szCs w:val="36"/>
                <w:lang w:val="es-ES_tradnl"/>
              </w:rPr>
            </w:pPr>
          </w:p>
          <w:p w:rsidR="005632C0" w:rsidRPr="00CA109F" w:rsidRDefault="005632C0" w:rsidP="00CA109F">
            <w:pPr>
              <w:spacing w:before="80" w:after="180" w:line="360" w:lineRule="exact"/>
              <w:jc w:val="right"/>
              <w:rPr>
                <w:rFonts w:ascii="Tahoma" w:hAnsi="Tahoma" w:cs="Tahoma"/>
                <w:b/>
                <w:bCs/>
                <w:iCs/>
                <w:color w:val="509141"/>
                <w:sz w:val="36"/>
                <w:szCs w:val="36"/>
                <w:lang w:val="es-ES_tradnl"/>
              </w:rPr>
            </w:pPr>
            <w:r w:rsidRPr="00CA109F">
              <w:rPr>
                <w:rFonts w:ascii="Tahoma" w:hAnsi="Tahoma" w:cs="Tahoma"/>
                <w:b/>
                <w:bCs/>
                <w:iCs/>
                <w:color w:val="509141"/>
                <w:sz w:val="36"/>
                <w:szCs w:val="36"/>
                <w:lang w:val="es-ES_tradnl"/>
              </w:rPr>
              <w:t xml:space="preserve">Serie </w:t>
            </w:r>
            <w:r w:rsidR="00A10F3A" w:rsidRPr="00CA109F">
              <w:rPr>
                <w:rFonts w:ascii="Tahoma" w:hAnsi="Tahoma" w:cs="Tahoma"/>
                <w:b/>
                <w:bCs/>
                <w:iCs/>
                <w:color w:val="509141"/>
                <w:sz w:val="36"/>
                <w:szCs w:val="36"/>
                <w:lang w:val="es-ES_tradnl"/>
              </w:rPr>
              <w:t>S</w:t>
            </w:r>
            <w:r w:rsidR="003A6B2B" w:rsidRPr="00CA109F">
              <w:rPr>
                <w:rFonts w:ascii="Tahoma" w:hAnsi="Tahoma" w:cs="Tahoma"/>
                <w:b/>
                <w:bCs/>
                <w:iCs/>
                <w:color w:val="509141"/>
                <w:sz w:val="36"/>
                <w:szCs w:val="36"/>
                <w:lang w:val="es-ES_tradnl"/>
              </w:rPr>
              <w:t>M</w:t>
            </w:r>
          </w:p>
          <w:p w:rsidR="005632C0" w:rsidRPr="00CA109F" w:rsidRDefault="003A6B2B" w:rsidP="00CA109F">
            <w:pPr>
              <w:spacing w:before="80" w:line="420" w:lineRule="exact"/>
              <w:jc w:val="right"/>
              <w:rPr>
                <w:rFonts w:ascii="Tahoma" w:hAnsi="Tahoma" w:cs="Tahoma"/>
                <w:b/>
                <w:bCs/>
                <w:iCs/>
                <w:color w:val="509141"/>
                <w:sz w:val="36"/>
                <w:szCs w:val="36"/>
                <w:lang w:val="es-ES_tradnl"/>
              </w:rPr>
            </w:pPr>
            <w:r w:rsidRPr="00CA109F">
              <w:rPr>
                <w:rFonts w:ascii="Tahoma" w:hAnsi="Tahoma" w:cs="Tahoma"/>
                <w:b/>
                <w:bCs/>
                <w:iCs/>
                <w:color w:val="509141"/>
                <w:sz w:val="36"/>
                <w:szCs w:val="36"/>
                <w:lang w:val="es-ES_tradnl"/>
              </w:rPr>
              <w:t>Gestión del espectro</w:t>
            </w:r>
          </w:p>
        </w:tc>
      </w:tr>
    </w:tbl>
    <w:p w:rsidR="005632C0" w:rsidRPr="00AF1597" w:rsidRDefault="005632C0" w:rsidP="005632C0">
      <w:pPr>
        <w:spacing w:before="80"/>
        <w:rPr>
          <w:i/>
          <w:sz w:val="22"/>
          <w:lang w:val="es-ES_tradnl"/>
        </w:rPr>
      </w:pPr>
    </w:p>
    <w:p w:rsidR="005632C0" w:rsidRPr="00AF1597" w:rsidRDefault="005632C0" w:rsidP="005632C0">
      <w:pPr>
        <w:spacing w:before="80"/>
        <w:rPr>
          <w:i/>
          <w:sz w:val="22"/>
          <w:lang w:val="es-ES_tradnl"/>
        </w:rPr>
      </w:pPr>
    </w:p>
    <w:p w:rsidR="005632C0" w:rsidRPr="00AF1597" w:rsidRDefault="005632C0" w:rsidP="005632C0">
      <w:pPr>
        <w:spacing w:before="80"/>
        <w:rPr>
          <w:i/>
          <w:sz w:val="22"/>
          <w:lang w:val="es-ES_tradnl"/>
        </w:rPr>
      </w:pPr>
    </w:p>
    <w:p w:rsidR="005632C0" w:rsidRPr="00AF1597" w:rsidRDefault="005632C0" w:rsidP="005632C0">
      <w:pPr>
        <w:spacing w:before="80"/>
        <w:rPr>
          <w:i/>
          <w:sz w:val="22"/>
          <w:lang w:val="es-ES_tradnl"/>
        </w:rPr>
      </w:pPr>
    </w:p>
    <w:p w:rsidR="005632C0" w:rsidRPr="00AF1597" w:rsidRDefault="005632C0" w:rsidP="005632C0">
      <w:pPr>
        <w:pStyle w:val="Equation"/>
        <w:tabs>
          <w:tab w:val="clear" w:pos="4820"/>
          <w:tab w:val="clear" w:pos="9639"/>
          <w:tab w:val="left" w:pos="1191"/>
          <w:tab w:val="left" w:pos="1588"/>
          <w:tab w:val="left" w:pos="1985"/>
        </w:tabs>
        <w:rPr>
          <w:rFonts w:ascii="Palatino Linotype" w:hAnsi="Palatino Linotype"/>
          <w:lang w:val="es-ES_tradnl"/>
        </w:rPr>
        <w:sectPr w:rsidR="005632C0" w:rsidRPr="00AF1597" w:rsidSect="00A128DE">
          <w:headerReference w:type="even" r:id="rId6"/>
          <w:headerReference w:type="default" r:id="rId7"/>
          <w:pgSz w:w="11907" w:h="16840" w:code="9"/>
          <w:pgMar w:top="1418" w:right="1134" w:bottom="1134" w:left="1134" w:header="720" w:footer="482" w:gutter="0"/>
          <w:pgNumType w:start="1"/>
          <w:cols w:space="720"/>
        </w:sectPr>
      </w:pPr>
    </w:p>
    <w:p w:rsidR="005632C0" w:rsidRPr="006C718C" w:rsidRDefault="005632C0" w:rsidP="00B2659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rsidR="005632C0" w:rsidRPr="006C718C" w:rsidRDefault="005632C0" w:rsidP="005632C0">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rsidR="005632C0" w:rsidRDefault="005632C0" w:rsidP="005632C0">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rsidR="005632C0" w:rsidRDefault="005632C0" w:rsidP="005632C0">
      <w:pPr>
        <w:spacing w:before="0"/>
        <w:rPr>
          <w:sz w:val="20"/>
          <w:lang w:val="es-ES_tradnl"/>
        </w:rPr>
      </w:pPr>
    </w:p>
    <w:p w:rsidR="005632C0" w:rsidRPr="006C718C" w:rsidRDefault="005632C0" w:rsidP="005632C0">
      <w:pPr>
        <w:spacing w:before="0"/>
        <w:rPr>
          <w:sz w:val="20"/>
          <w:lang w:val="es-ES_tradnl"/>
        </w:rPr>
      </w:pPr>
    </w:p>
    <w:p w:rsidR="005632C0" w:rsidRPr="00021E8A" w:rsidRDefault="005632C0" w:rsidP="005632C0">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rsidR="005632C0" w:rsidRPr="00021E8A" w:rsidRDefault="005632C0" w:rsidP="005632C0">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el Anexo 1 a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8"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rsidR="005632C0" w:rsidRDefault="005632C0" w:rsidP="005632C0">
      <w:pPr>
        <w:spacing w:before="0"/>
        <w:jc w:val="center"/>
        <w:rPr>
          <w:sz w:val="22"/>
          <w:lang w:val="es-ES_tradnl"/>
        </w:rPr>
      </w:pPr>
    </w:p>
    <w:p w:rsidR="005632C0" w:rsidRPr="007C36CA" w:rsidRDefault="005632C0" w:rsidP="005632C0">
      <w:pPr>
        <w:spacing w:before="0"/>
        <w:jc w:val="center"/>
        <w:rPr>
          <w:sz w:val="22"/>
          <w:lang w:val="es-ES_tradnl"/>
        </w:rPr>
      </w:pPr>
    </w:p>
    <w:p w:rsidR="005632C0" w:rsidRPr="007C36CA" w:rsidRDefault="005632C0" w:rsidP="005632C0">
      <w:pPr>
        <w:spacing w:before="0"/>
        <w:jc w:val="center"/>
        <w:rPr>
          <w:sz w:val="22"/>
          <w:lang w:val="es-ES_tradnl"/>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5632C0" w:rsidRPr="004F53E1" w:rsidTr="00474D58">
        <w:tc>
          <w:tcPr>
            <w:tcW w:w="9360" w:type="dxa"/>
            <w:gridSpan w:val="2"/>
          </w:tcPr>
          <w:p w:rsidR="005632C0" w:rsidRPr="00021E8A" w:rsidRDefault="005632C0" w:rsidP="00474D58">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w:t>
            </w:r>
            <w:r>
              <w:rPr>
                <w:sz w:val="22"/>
                <w:szCs w:val="22"/>
                <w:lang w:val="es-ES_tradnl"/>
              </w:rPr>
              <w:t xml:space="preserve"> lo</w:t>
            </w:r>
            <w:r w:rsidRPr="00021E8A">
              <w:rPr>
                <w:sz w:val="22"/>
                <w:szCs w:val="22"/>
                <w:lang w:val="es-ES_tradnl"/>
              </w:rPr>
              <w:t xml:space="preserve">s </w:t>
            </w:r>
            <w:r>
              <w:rPr>
                <w:sz w:val="22"/>
                <w:szCs w:val="22"/>
                <w:lang w:val="es-ES_tradnl"/>
              </w:rPr>
              <w:t>Informes</w:t>
            </w:r>
            <w:r w:rsidRPr="00021E8A">
              <w:rPr>
                <w:sz w:val="22"/>
                <w:szCs w:val="22"/>
                <w:lang w:val="es-ES_tradnl"/>
              </w:rPr>
              <w:t xml:space="preserve"> UIT-R </w:t>
            </w:r>
          </w:p>
          <w:p w:rsidR="005632C0" w:rsidRPr="00763D08"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9" w:history="1">
              <w:r w:rsidRPr="0064346B">
                <w:rPr>
                  <w:rStyle w:val="Hyperlink"/>
                  <w:b w:val="0"/>
                  <w:sz w:val="18"/>
                  <w:szCs w:val="18"/>
                  <w:lang w:val="es-ES_tradnl"/>
                </w:rPr>
                <w:t>http://www.itu.int/publ/R-REP/es</w:t>
              </w:r>
            </w:hyperlink>
            <w:r w:rsidRPr="00763D08">
              <w:rPr>
                <w:b w:val="0"/>
                <w:bCs/>
                <w:sz w:val="18"/>
                <w:szCs w:val="18"/>
                <w:lang w:val="es-ES_tradnl"/>
              </w:rPr>
              <w:t>)</w:t>
            </w:r>
          </w:p>
        </w:tc>
      </w:tr>
      <w:tr w:rsidR="005632C0" w:rsidRPr="00036EE3" w:rsidTr="00EC62B0">
        <w:tc>
          <w:tcPr>
            <w:tcW w:w="1140" w:type="dxa"/>
            <w:tcBorders>
              <w:bottom w:val="nil"/>
            </w:tcBorders>
          </w:tcPr>
          <w:p w:rsidR="005632C0" w:rsidRPr="00036EE3" w:rsidRDefault="005632C0" w:rsidP="00474D58">
            <w:pPr>
              <w:spacing w:before="180" w:after="100"/>
              <w:ind w:left="57"/>
              <w:rPr>
                <w:b/>
                <w:bCs/>
                <w:sz w:val="20"/>
                <w:lang w:val="en-US"/>
              </w:rPr>
            </w:pPr>
            <w:r w:rsidRPr="00036EE3">
              <w:rPr>
                <w:b/>
                <w:bCs/>
                <w:sz w:val="20"/>
                <w:lang w:val="en-US"/>
              </w:rPr>
              <w:t>Series</w:t>
            </w:r>
          </w:p>
        </w:tc>
        <w:tc>
          <w:tcPr>
            <w:tcW w:w="8220" w:type="dxa"/>
            <w:tcBorders>
              <w:bottom w:val="nil"/>
            </w:tcBorders>
          </w:tcPr>
          <w:p w:rsidR="005632C0" w:rsidRPr="00036EE3"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5632C0" w:rsidRPr="00EC62B0" w:rsidTr="00F12544">
        <w:tc>
          <w:tcPr>
            <w:tcW w:w="1140" w:type="dxa"/>
            <w:tcBorders>
              <w:top w:val="nil"/>
              <w:bottom w:val="nil"/>
            </w:tcBorders>
            <w:shd w:val="clear" w:color="auto" w:fill="auto"/>
          </w:tcPr>
          <w:p w:rsidR="005632C0" w:rsidRPr="00EC62B0" w:rsidRDefault="005632C0" w:rsidP="00474D58">
            <w:pPr>
              <w:spacing w:before="30" w:after="30"/>
              <w:ind w:left="57"/>
              <w:jc w:val="left"/>
              <w:rPr>
                <w:b/>
                <w:bCs/>
                <w:sz w:val="20"/>
                <w:lang w:val="en-US"/>
              </w:rPr>
            </w:pPr>
            <w:r w:rsidRPr="00EC62B0">
              <w:rPr>
                <w:b/>
                <w:bCs/>
                <w:sz w:val="20"/>
                <w:lang w:val="en-US"/>
              </w:rPr>
              <w:t>BO</w:t>
            </w:r>
          </w:p>
        </w:tc>
        <w:tc>
          <w:tcPr>
            <w:tcW w:w="8220" w:type="dxa"/>
            <w:tcBorders>
              <w:top w:val="nil"/>
              <w:bottom w:val="nil"/>
            </w:tcBorders>
            <w:shd w:val="clear" w:color="auto" w:fill="auto"/>
          </w:tcPr>
          <w:p w:rsidR="005632C0" w:rsidRPr="00EC62B0"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C62B0">
              <w:rPr>
                <w:b w:val="0"/>
                <w:sz w:val="20"/>
              </w:rPr>
              <w:t>Distribución por satélite</w:t>
            </w:r>
          </w:p>
        </w:tc>
      </w:tr>
      <w:tr w:rsidR="005632C0" w:rsidRPr="004F53E1" w:rsidTr="00B11D5D">
        <w:tc>
          <w:tcPr>
            <w:tcW w:w="1140" w:type="dxa"/>
            <w:tcBorders>
              <w:top w:val="nil"/>
              <w:bottom w:val="nil"/>
            </w:tcBorders>
            <w:shd w:val="clear" w:color="auto" w:fill="auto"/>
          </w:tcPr>
          <w:p w:rsidR="005632C0" w:rsidRPr="00F12544" w:rsidRDefault="005632C0" w:rsidP="00474D58">
            <w:pPr>
              <w:spacing w:before="30" w:after="30"/>
              <w:ind w:left="57"/>
              <w:jc w:val="left"/>
              <w:rPr>
                <w:b/>
                <w:bCs/>
                <w:sz w:val="20"/>
                <w:lang w:val="en-US"/>
              </w:rPr>
            </w:pPr>
            <w:r w:rsidRPr="00F12544">
              <w:rPr>
                <w:b/>
                <w:bCs/>
                <w:sz w:val="20"/>
                <w:lang w:val="en-US"/>
              </w:rPr>
              <w:t>BR</w:t>
            </w:r>
          </w:p>
        </w:tc>
        <w:tc>
          <w:tcPr>
            <w:tcW w:w="8220" w:type="dxa"/>
            <w:tcBorders>
              <w:top w:val="nil"/>
              <w:bottom w:val="nil"/>
            </w:tcBorders>
            <w:shd w:val="clear" w:color="auto" w:fill="auto"/>
          </w:tcPr>
          <w:p w:rsidR="005632C0" w:rsidRPr="00F12544"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F12544">
              <w:rPr>
                <w:b w:val="0"/>
                <w:bCs/>
                <w:sz w:val="20"/>
                <w:lang w:val="es-ES_tradnl"/>
              </w:rPr>
              <w:t>Registro para producción, archivo y reproducción; películas en televisión</w:t>
            </w:r>
          </w:p>
        </w:tc>
      </w:tr>
      <w:tr w:rsidR="005632C0" w:rsidRPr="00B11D5D" w:rsidTr="00D73486">
        <w:tc>
          <w:tcPr>
            <w:tcW w:w="1140" w:type="dxa"/>
            <w:tcBorders>
              <w:top w:val="nil"/>
              <w:bottom w:val="nil"/>
            </w:tcBorders>
            <w:shd w:val="clear" w:color="auto" w:fill="auto"/>
          </w:tcPr>
          <w:p w:rsidR="005632C0" w:rsidRPr="00B11D5D" w:rsidRDefault="005632C0" w:rsidP="00474D58">
            <w:pPr>
              <w:spacing w:before="30" w:after="30"/>
              <w:ind w:left="57"/>
              <w:jc w:val="left"/>
              <w:rPr>
                <w:b/>
                <w:bCs/>
                <w:sz w:val="20"/>
                <w:lang w:val="en-US"/>
              </w:rPr>
            </w:pPr>
            <w:r w:rsidRPr="00B11D5D">
              <w:rPr>
                <w:b/>
                <w:bCs/>
                <w:sz w:val="20"/>
                <w:lang w:val="en-US"/>
              </w:rPr>
              <w:t>BS</w:t>
            </w:r>
          </w:p>
        </w:tc>
        <w:tc>
          <w:tcPr>
            <w:tcW w:w="8220" w:type="dxa"/>
            <w:tcBorders>
              <w:top w:val="nil"/>
              <w:bottom w:val="nil"/>
            </w:tcBorders>
            <w:shd w:val="clear" w:color="auto" w:fill="auto"/>
          </w:tcPr>
          <w:p w:rsidR="005632C0" w:rsidRPr="00B11D5D"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11D5D">
              <w:rPr>
                <w:b w:val="0"/>
                <w:sz w:val="20"/>
              </w:rPr>
              <w:t>Servicio de radiodifusión sonora</w:t>
            </w:r>
          </w:p>
        </w:tc>
      </w:tr>
      <w:tr w:rsidR="005632C0" w:rsidRPr="00D73486" w:rsidTr="0064346B">
        <w:tc>
          <w:tcPr>
            <w:tcW w:w="1140" w:type="dxa"/>
            <w:tcBorders>
              <w:top w:val="nil"/>
              <w:bottom w:val="nil"/>
            </w:tcBorders>
            <w:shd w:val="clear" w:color="auto" w:fill="auto"/>
          </w:tcPr>
          <w:p w:rsidR="005632C0" w:rsidRPr="00D73486" w:rsidRDefault="005632C0" w:rsidP="00474D58">
            <w:pPr>
              <w:spacing w:before="30" w:after="30"/>
              <w:ind w:left="57"/>
              <w:jc w:val="left"/>
              <w:rPr>
                <w:b/>
                <w:bCs/>
                <w:sz w:val="20"/>
                <w:lang w:val="en-US"/>
              </w:rPr>
            </w:pPr>
            <w:r w:rsidRPr="00D73486">
              <w:rPr>
                <w:b/>
                <w:bCs/>
                <w:sz w:val="20"/>
                <w:lang w:val="en-US"/>
              </w:rPr>
              <w:t>BT</w:t>
            </w:r>
          </w:p>
        </w:tc>
        <w:tc>
          <w:tcPr>
            <w:tcW w:w="8220" w:type="dxa"/>
            <w:tcBorders>
              <w:top w:val="nil"/>
              <w:bottom w:val="nil"/>
            </w:tcBorders>
            <w:shd w:val="clear" w:color="auto" w:fill="auto"/>
          </w:tcPr>
          <w:p w:rsidR="005632C0" w:rsidRPr="00D73486"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D73486">
              <w:rPr>
                <w:b w:val="0"/>
                <w:sz w:val="20"/>
              </w:rPr>
              <w:t>Servicio de radiodifusión (televisión)</w:t>
            </w:r>
          </w:p>
        </w:tc>
      </w:tr>
      <w:tr w:rsidR="005632C0" w:rsidRPr="0064346B" w:rsidTr="00297C87">
        <w:tc>
          <w:tcPr>
            <w:tcW w:w="1140" w:type="dxa"/>
            <w:tcBorders>
              <w:top w:val="nil"/>
              <w:bottom w:val="nil"/>
            </w:tcBorders>
            <w:shd w:val="clear" w:color="auto" w:fill="auto"/>
          </w:tcPr>
          <w:p w:rsidR="005632C0" w:rsidRPr="0064346B" w:rsidRDefault="005632C0" w:rsidP="00474D58">
            <w:pPr>
              <w:spacing w:before="30" w:after="30"/>
              <w:ind w:left="57"/>
              <w:jc w:val="left"/>
              <w:rPr>
                <w:b/>
                <w:bCs/>
                <w:sz w:val="20"/>
                <w:lang w:val="fr-CH"/>
              </w:rPr>
            </w:pPr>
            <w:r w:rsidRPr="0064346B">
              <w:rPr>
                <w:b/>
                <w:bCs/>
                <w:sz w:val="20"/>
                <w:lang w:val="fr-CH"/>
              </w:rPr>
              <w:t>F</w:t>
            </w:r>
          </w:p>
        </w:tc>
        <w:tc>
          <w:tcPr>
            <w:tcW w:w="8220" w:type="dxa"/>
            <w:tcBorders>
              <w:top w:val="nil"/>
              <w:bottom w:val="nil"/>
            </w:tcBorders>
            <w:shd w:val="clear" w:color="auto" w:fill="auto"/>
          </w:tcPr>
          <w:p w:rsidR="005632C0" w:rsidRPr="0064346B" w:rsidRDefault="005632C0" w:rsidP="00474D5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64346B">
              <w:rPr>
                <w:sz w:val="20"/>
              </w:rPr>
              <w:t>Servicio fijo</w:t>
            </w:r>
          </w:p>
        </w:tc>
      </w:tr>
      <w:tr w:rsidR="005632C0" w:rsidRPr="004F53E1" w:rsidTr="00F84F54">
        <w:tc>
          <w:tcPr>
            <w:tcW w:w="1140" w:type="dxa"/>
            <w:tcBorders>
              <w:top w:val="nil"/>
              <w:bottom w:val="nil"/>
            </w:tcBorders>
            <w:shd w:val="clear" w:color="auto" w:fill="auto"/>
          </w:tcPr>
          <w:p w:rsidR="005632C0" w:rsidRPr="00297C87" w:rsidRDefault="005632C0" w:rsidP="00474D58">
            <w:pPr>
              <w:spacing w:before="30" w:after="30"/>
              <w:ind w:left="57"/>
              <w:jc w:val="left"/>
              <w:rPr>
                <w:b/>
                <w:bCs/>
                <w:sz w:val="20"/>
                <w:lang w:val="en-US"/>
              </w:rPr>
            </w:pPr>
            <w:r w:rsidRPr="00297C87">
              <w:rPr>
                <w:b/>
                <w:bCs/>
                <w:sz w:val="20"/>
                <w:lang w:val="en-US"/>
              </w:rPr>
              <w:t>M</w:t>
            </w:r>
          </w:p>
        </w:tc>
        <w:tc>
          <w:tcPr>
            <w:tcW w:w="8220" w:type="dxa"/>
            <w:tcBorders>
              <w:top w:val="nil"/>
              <w:bottom w:val="nil"/>
            </w:tcBorders>
            <w:shd w:val="clear" w:color="auto" w:fill="auto"/>
          </w:tcPr>
          <w:p w:rsidR="005632C0" w:rsidRPr="00297C87" w:rsidRDefault="005632C0" w:rsidP="00474D5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297C87">
              <w:rPr>
                <w:b w:val="0"/>
                <w:sz w:val="20"/>
                <w:lang w:val="es-ES_tradnl"/>
              </w:rPr>
              <w:t>Servicios móviles, de radiodeterminación, de aficionados y otros servicios por satélite conexos</w:t>
            </w:r>
          </w:p>
        </w:tc>
      </w:tr>
      <w:tr w:rsidR="005632C0" w:rsidRPr="004F53E1" w:rsidTr="00A10F3A">
        <w:tc>
          <w:tcPr>
            <w:tcW w:w="1140" w:type="dxa"/>
            <w:tcBorders>
              <w:top w:val="nil"/>
              <w:bottom w:val="nil"/>
            </w:tcBorders>
            <w:shd w:val="clear" w:color="auto" w:fill="auto"/>
          </w:tcPr>
          <w:p w:rsidR="005632C0" w:rsidRPr="00F84F54" w:rsidRDefault="005632C0" w:rsidP="00474D58">
            <w:pPr>
              <w:spacing w:before="30" w:after="30"/>
              <w:ind w:left="57"/>
              <w:jc w:val="left"/>
              <w:rPr>
                <w:b/>
                <w:bCs/>
                <w:sz w:val="20"/>
                <w:lang w:val="fr-CH"/>
              </w:rPr>
            </w:pPr>
            <w:r w:rsidRPr="00F84F54">
              <w:rPr>
                <w:b/>
                <w:bCs/>
                <w:sz w:val="20"/>
                <w:lang w:val="fr-CH"/>
              </w:rPr>
              <w:t>P</w:t>
            </w:r>
          </w:p>
        </w:tc>
        <w:tc>
          <w:tcPr>
            <w:tcW w:w="8220" w:type="dxa"/>
            <w:tcBorders>
              <w:top w:val="nil"/>
              <w:bottom w:val="nil"/>
            </w:tcBorders>
            <w:shd w:val="clear" w:color="auto" w:fill="auto"/>
          </w:tcPr>
          <w:p w:rsidR="005632C0" w:rsidRPr="00F84F54" w:rsidRDefault="005632C0" w:rsidP="00474D58">
            <w:pPr>
              <w:spacing w:before="30" w:after="30"/>
              <w:jc w:val="left"/>
              <w:rPr>
                <w:sz w:val="20"/>
                <w:lang w:val="es-ES_tradnl"/>
              </w:rPr>
            </w:pPr>
            <w:r w:rsidRPr="00F84F54">
              <w:rPr>
                <w:sz w:val="20"/>
                <w:lang w:val="es-ES_tradnl"/>
              </w:rPr>
              <w:t>Propagación de las ondas radioeléctricas</w:t>
            </w:r>
          </w:p>
        </w:tc>
      </w:tr>
      <w:tr w:rsidR="005632C0" w:rsidRPr="00A10F3A" w:rsidTr="007C5CE9">
        <w:tc>
          <w:tcPr>
            <w:tcW w:w="1140" w:type="dxa"/>
            <w:tcBorders>
              <w:top w:val="nil"/>
              <w:bottom w:val="nil"/>
            </w:tcBorders>
            <w:shd w:val="clear" w:color="auto" w:fill="auto"/>
          </w:tcPr>
          <w:p w:rsidR="005632C0" w:rsidRPr="00A10F3A" w:rsidRDefault="005632C0" w:rsidP="00474D58">
            <w:pPr>
              <w:spacing w:before="30" w:after="30"/>
              <w:ind w:left="57"/>
              <w:jc w:val="left"/>
              <w:rPr>
                <w:b/>
                <w:bCs/>
                <w:sz w:val="20"/>
                <w:lang w:val="en-US"/>
              </w:rPr>
            </w:pPr>
            <w:r w:rsidRPr="00A10F3A">
              <w:rPr>
                <w:b/>
                <w:bCs/>
                <w:sz w:val="20"/>
                <w:lang w:val="en-US"/>
              </w:rPr>
              <w:t>RA</w:t>
            </w:r>
          </w:p>
        </w:tc>
        <w:tc>
          <w:tcPr>
            <w:tcW w:w="8220" w:type="dxa"/>
            <w:tcBorders>
              <w:top w:val="nil"/>
              <w:bottom w:val="nil"/>
            </w:tcBorders>
            <w:shd w:val="clear" w:color="auto" w:fill="auto"/>
          </w:tcPr>
          <w:p w:rsidR="005632C0" w:rsidRPr="00A10F3A" w:rsidRDefault="005632C0" w:rsidP="00474D5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A10F3A">
              <w:rPr>
                <w:sz w:val="20"/>
              </w:rPr>
              <w:t>Radio astronomía</w:t>
            </w:r>
          </w:p>
        </w:tc>
      </w:tr>
      <w:tr w:rsidR="005632C0" w:rsidRPr="004F53E1" w:rsidTr="00AC1323">
        <w:tc>
          <w:tcPr>
            <w:tcW w:w="1140" w:type="dxa"/>
            <w:tcBorders>
              <w:top w:val="nil"/>
              <w:bottom w:val="nil"/>
            </w:tcBorders>
            <w:shd w:val="clear" w:color="auto" w:fill="auto"/>
          </w:tcPr>
          <w:p w:rsidR="005632C0" w:rsidRPr="007C5CE9" w:rsidRDefault="005632C0" w:rsidP="00474D58">
            <w:pPr>
              <w:spacing w:before="30" w:after="30"/>
              <w:ind w:left="57"/>
              <w:jc w:val="left"/>
              <w:rPr>
                <w:b/>
                <w:bCs/>
                <w:sz w:val="20"/>
                <w:lang w:val="en-US"/>
              </w:rPr>
            </w:pPr>
            <w:r w:rsidRPr="007C5CE9">
              <w:rPr>
                <w:b/>
                <w:bCs/>
                <w:sz w:val="20"/>
                <w:lang w:val="en-US"/>
              </w:rPr>
              <w:t>RS</w:t>
            </w:r>
          </w:p>
        </w:tc>
        <w:tc>
          <w:tcPr>
            <w:tcW w:w="8220" w:type="dxa"/>
            <w:tcBorders>
              <w:top w:val="nil"/>
              <w:bottom w:val="nil"/>
            </w:tcBorders>
            <w:shd w:val="clear" w:color="auto" w:fill="auto"/>
          </w:tcPr>
          <w:p w:rsidR="005632C0" w:rsidRPr="007C5CE9" w:rsidRDefault="005632C0" w:rsidP="00474D5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7C5CE9">
              <w:rPr>
                <w:sz w:val="20"/>
                <w:lang w:val="es-ES_tradnl"/>
              </w:rPr>
              <w:t>Sistemas de detección a distancia</w:t>
            </w:r>
          </w:p>
        </w:tc>
      </w:tr>
      <w:tr w:rsidR="005632C0" w:rsidRPr="00AC1323" w:rsidTr="00BA28E1">
        <w:tc>
          <w:tcPr>
            <w:tcW w:w="1140" w:type="dxa"/>
            <w:tcBorders>
              <w:top w:val="nil"/>
              <w:bottom w:val="nil"/>
            </w:tcBorders>
            <w:shd w:val="clear" w:color="auto" w:fill="auto"/>
          </w:tcPr>
          <w:p w:rsidR="005632C0" w:rsidRPr="00AC1323" w:rsidRDefault="005632C0" w:rsidP="00474D58">
            <w:pPr>
              <w:spacing w:before="30" w:after="30"/>
              <w:ind w:left="57"/>
              <w:jc w:val="left"/>
              <w:rPr>
                <w:b/>
                <w:bCs/>
                <w:sz w:val="20"/>
                <w:lang w:val="en-US"/>
              </w:rPr>
            </w:pPr>
            <w:r w:rsidRPr="00AC1323">
              <w:rPr>
                <w:b/>
                <w:bCs/>
                <w:sz w:val="20"/>
                <w:lang w:val="en-US"/>
              </w:rPr>
              <w:t>S</w:t>
            </w:r>
          </w:p>
        </w:tc>
        <w:tc>
          <w:tcPr>
            <w:tcW w:w="8220" w:type="dxa"/>
            <w:tcBorders>
              <w:top w:val="nil"/>
              <w:bottom w:val="nil"/>
            </w:tcBorders>
            <w:shd w:val="clear" w:color="auto" w:fill="auto"/>
          </w:tcPr>
          <w:p w:rsidR="005632C0" w:rsidRPr="00AC1323" w:rsidRDefault="005632C0" w:rsidP="00474D58">
            <w:pPr>
              <w:spacing w:before="30" w:after="30"/>
              <w:jc w:val="left"/>
              <w:rPr>
                <w:sz w:val="20"/>
              </w:rPr>
            </w:pPr>
            <w:r w:rsidRPr="00AC1323">
              <w:rPr>
                <w:sz w:val="20"/>
              </w:rPr>
              <w:t>Servicio</w:t>
            </w:r>
            <w:r w:rsidR="00936035">
              <w:rPr>
                <w:sz w:val="20"/>
              </w:rPr>
              <w:t xml:space="preserve"> fijo</w:t>
            </w:r>
            <w:r w:rsidRPr="00AC1323">
              <w:rPr>
                <w:sz w:val="20"/>
              </w:rPr>
              <w:t xml:space="preserve"> por satélite</w:t>
            </w:r>
          </w:p>
        </w:tc>
      </w:tr>
      <w:tr w:rsidR="005632C0" w:rsidRPr="00BA28E1" w:rsidTr="003A6B2B">
        <w:tc>
          <w:tcPr>
            <w:tcW w:w="1140" w:type="dxa"/>
            <w:tcBorders>
              <w:top w:val="nil"/>
              <w:bottom w:val="nil"/>
            </w:tcBorders>
            <w:shd w:val="clear" w:color="auto" w:fill="auto"/>
          </w:tcPr>
          <w:p w:rsidR="005632C0" w:rsidRPr="00BA28E1" w:rsidRDefault="005632C0" w:rsidP="00474D58">
            <w:pPr>
              <w:spacing w:before="30" w:after="30"/>
              <w:ind w:left="57"/>
              <w:jc w:val="left"/>
              <w:rPr>
                <w:b/>
                <w:bCs/>
                <w:sz w:val="20"/>
                <w:lang w:val="en-US"/>
              </w:rPr>
            </w:pPr>
            <w:r w:rsidRPr="00BA28E1">
              <w:rPr>
                <w:b/>
                <w:bCs/>
                <w:sz w:val="20"/>
                <w:lang w:val="en-US"/>
              </w:rPr>
              <w:t>SA</w:t>
            </w:r>
          </w:p>
        </w:tc>
        <w:tc>
          <w:tcPr>
            <w:tcW w:w="8220" w:type="dxa"/>
            <w:tcBorders>
              <w:top w:val="nil"/>
              <w:bottom w:val="nil"/>
            </w:tcBorders>
            <w:shd w:val="clear" w:color="auto" w:fill="auto"/>
          </w:tcPr>
          <w:p w:rsidR="005632C0" w:rsidRPr="00BA28E1" w:rsidRDefault="005632C0" w:rsidP="00474D58">
            <w:pPr>
              <w:spacing w:before="30" w:after="30"/>
              <w:jc w:val="left"/>
              <w:rPr>
                <w:sz w:val="20"/>
                <w:lang w:val="en-US"/>
              </w:rPr>
            </w:pPr>
            <w:r w:rsidRPr="00BA28E1">
              <w:rPr>
                <w:sz w:val="20"/>
              </w:rPr>
              <w:t>Aplicaciones espaciales y meteorología</w:t>
            </w:r>
          </w:p>
        </w:tc>
      </w:tr>
      <w:tr w:rsidR="005632C0" w:rsidRPr="004F53E1" w:rsidTr="003A6B2B">
        <w:tc>
          <w:tcPr>
            <w:tcW w:w="1140" w:type="dxa"/>
            <w:tcBorders>
              <w:top w:val="nil"/>
              <w:bottom w:val="nil"/>
            </w:tcBorders>
            <w:shd w:val="clear" w:color="auto" w:fill="auto"/>
          </w:tcPr>
          <w:p w:rsidR="005632C0" w:rsidRPr="003A6B2B" w:rsidRDefault="005632C0" w:rsidP="00474D58">
            <w:pPr>
              <w:spacing w:before="30" w:after="30"/>
              <w:ind w:left="57"/>
              <w:jc w:val="left"/>
              <w:rPr>
                <w:b/>
                <w:bCs/>
                <w:sz w:val="20"/>
                <w:lang w:val="en-US"/>
              </w:rPr>
            </w:pPr>
            <w:r w:rsidRPr="003A6B2B">
              <w:rPr>
                <w:b/>
                <w:bCs/>
                <w:sz w:val="20"/>
                <w:lang w:val="en-US"/>
              </w:rPr>
              <w:t>SF</w:t>
            </w:r>
          </w:p>
        </w:tc>
        <w:tc>
          <w:tcPr>
            <w:tcW w:w="8220" w:type="dxa"/>
            <w:tcBorders>
              <w:top w:val="nil"/>
              <w:bottom w:val="nil"/>
            </w:tcBorders>
            <w:shd w:val="clear" w:color="auto" w:fill="auto"/>
          </w:tcPr>
          <w:p w:rsidR="005632C0" w:rsidRPr="003A6B2B" w:rsidRDefault="005632C0" w:rsidP="00474D58">
            <w:pPr>
              <w:spacing w:before="30" w:after="30"/>
              <w:jc w:val="left"/>
              <w:rPr>
                <w:sz w:val="20"/>
                <w:lang w:val="es-ES_tradnl"/>
              </w:rPr>
            </w:pPr>
            <w:r w:rsidRPr="003A6B2B">
              <w:rPr>
                <w:sz w:val="20"/>
                <w:lang w:val="es-ES_tradnl"/>
              </w:rPr>
              <w:t>Compartición de frecuencias y coordinación entre los sistemas del servicio fijo por satélite</w:t>
            </w:r>
            <w:r w:rsidR="00BA28E1" w:rsidRPr="003A6B2B">
              <w:rPr>
                <w:sz w:val="20"/>
                <w:lang w:val="es-ES_tradnl"/>
              </w:rPr>
              <w:br/>
            </w:r>
            <w:r w:rsidRPr="003A6B2B">
              <w:rPr>
                <w:sz w:val="20"/>
                <w:lang w:val="es-ES_tradnl"/>
              </w:rPr>
              <w:t>y del servicio fijo</w:t>
            </w:r>
          </w:p>
        </w:tc>
      </w:tr>
      <w:tr w:rsidR="005632C0" w:rsidRPr="003A6B2B" w:rsidTr="003A6B2B">
        <w:tc>
          <w:tcPr>
            <w:tcW w:w="1140" w:type="dxa"/>
            <w:tcBorders>
              <w:top w:val="nil"/>
              <w:bottom w:val="nil"/>
            </w:tcBorders>
            <w:shd w:val="clear" w:color="auto" w:fill="F3F3F3"/>
          </w:tcPr>
          <w:p w:rsidR="005632C0" w:rsidRPr="003A6B2B" w:rsidRDefault="005632C0" w:rsidP="00474D58">
            <w:pPr>
              <w:spacing w:before="30" w:after="30"/>
              <w:ind w:left="57"/>
              <w:jc w:val="left"/>
              <w:rPr>
                <w:b/>
                <w:bCs/>
                <w:color w:val="000080"/>
                <w:sz w:val="20"/>
                <w:lang w:val="en-US"/>
              </w:rPr>
            </w:pPr>
            <w:r w:rsidRPr="003A6B2B">
              <w:rPr>
                <w:b/>
                <w:bCs/>
                <w:color w:val="000080"/>
                <w:sz w:val="20"/>
                <w:lang w:val="en-US"/>
              </w:rPr>
              <w:t>SM</w:t>
            </w:r>
          </w:p>
        </w:tc>
        <w:tc>
          <w:tcPr>
            <w:tcW w:w="8220" w:type="dxa"/>
            <w:tcBorders>
              <w:top w:val="nil"/>
              <w:bottom w:val="nil"/>
            </w:tcBorders>
            <w:shd w:val="clear" w:color="auto" w:fill="F3F3F3"/>
          </w:tcPr>
          <w:p w:rsidR="005632C0" w:rsidRPr="003A6B2B" w:rsidRDefault="005632C0" w:rsidP="00474D58">
            <w:pPr>
              <w:spacing w:before="30"/>
              <w:jc w:val="left"/>
              <w:rPr>
                <w:b/>
                <w:bCs/>
                <w:color w:val="000080"/>
                <w:sz w:val="20"/>
                <w:lang w:val="en-US"/>
              </w:rPr>
            </w:pPr>
            <w:r w:rsidRPr="003A6B2B">
              <w:rPr>
                <w:b/>
                <w:bCs/>
                <w:color w:val="000080"/>
                <w:sz w:val="20"/>
              </w:rPr>
              <w:t>Gestión del espectro</w:t>
            </w:r>
          </w:p>
        </w:tc>
      </w:tr>
      <w:tr w:rsidR="005632C0" w:rsidRPr="00036EE3" w:rsidTr="003A6B2B">
        <w:tc>
          <w:tcPr>
            <w:tcW w:w="1140" w:type="dxa"/>
            <w:tcBorders>
              <w:top w:val="nil"/>
            </w:tcBorders>
            <w:shd w:val="clear" w:color="auto" w:fill="auto"/>
          </w:tcPr>
          <w:p w:rsidR="005632C0" w:rsidRPr="0041026E" w:rsidRDefault="005632C0" w:rsidP="00474D58">
            <w:pPr>
              <w:spacing w:before="0" w:after="30"/>
              <w:ind w:left="57"/>
              <w:jc w:val="left"/>
              <w:rPr>
                <w:b/>
                <w:bCs/>
                <w:color w:val="000080"/>
                <w:sz w:val="20"/>
                <w:lang w:val="en-US"/>
              </w:rPr>
            </w:pPr>
          </w:p>
        </w:tc>
        <w:tc>
          <w:tcPr>
            <w:tcW w:w="8220" w:type="dxa"/>
            <w:tcBorders>
              <w:top w:val="nil"/>
            </w:tcBorders>
            <w:shd w:val="clear" w:color="auto" w:fill="auto"/>
          </w:tcPr>
          <w:p w:rsidR="005632C0" w:rsidRPr="0041026E" w:rsidRDefault="005632C0" w:rsidP="00474D58">
            <w:pPr>
              <w:spacing w:before="0"/>
              <w:jc w:val="left"/>
              <w:rPr>
                <w:b/>
                <w:bCs/>
                <w:color w:val="000080"/>
                <w:sz w:val="20"/>
              </w:rPr>
            </w:pPr>
          </w:p>
        </w:tc>
      </w:tr>
    </w:tbl>
    <w:p w:rsidR="005632C0" w:rsidRPr="00036EE3" w:rsidRDefault="005632C0" w:rsidP="005632C0">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5632C0" w:rsidTr="00474D58">
        <w:tc>
          <w:tcPr>
            <w:tcW w:w="720" w:type="dxa"/>
          </w:tcPr>
          <w:p w:rsidR="005632C0" w:rsidRDefault="005632C0" w:rsidP="00474D58">
            <w:pPr>
              <w:spacing w:before="0"/>
              <w:jc w:val="center"/>
              <w:rPr>
                <w:sz w:val="22"/>
                <w:lang w:val="en-US"/>
              </w:rPr>
            </w:pPr>
          </w:p>
        </w:tc>
      </w:tr>
    </w:tbl>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5632C0" w:rsidRPr="004F53E1" w:rsidTr="00CA109F">
        <w:tc>
          <w:tcPr>
            <w:tcW w:w="9360" w:type="dxa"/>
          </w:tcPr>
          <w:p w:rsidR="005632C0" w:rsidRPr="00CA109F" w:rsidRDefault="005632C0" w:rsidP="003A4A65">
            <w:pPr>
              <w:spacing w:before="92" w:after="92"/>
              <w:jc w:val="left"/>
              <w:rPr>
                <w:i/>
                <w:iCs/>
                <w:sz w:val="20"/>
                <w:lang w:val="es-ES_tradnl"/>
              </w:rPr>
            </w:pPr>
            <w:r w:rsidRPr="00CA109F">
              <w:rPr>
                <w:b/>
                <w:bCs/>
                <w:i/>
                <w:iCs/>
                <w:sz w:val="20"/>
                <w:lang w:val="es-ES_tradnl"/>
              </w:rPr>
              <w:t>Nota</w:t>
            </w:r>
            <w:r w:rsidRPr="00CA109F">
              <w:rPr>
                <w:i/>
                <w:iCs/>
                <w:sz w:val="20"/>
                <w:lang w:val="es-ES_tradnl"/>
              </w:rPr>
              <w:t>: Este Informe UIT-R fue aprobado en inglés por la Comisión de Estudio conforme al</w:t>
            </w:r>
            <w:r w:rsidR="003A4A65">
              <w:rPr>
                <w:i/>
                <w:iCs/>
                <w:sz w:val="20"/>
                <w:lang w:val="es-ES_tradnl"/>
              </w:rPr>
              <w:t xml:space="preserve"> procedimiento detallado en la </w:t>
            </w:r>
            <w:r w:rsidRPr="00CA109F">
              <w:rPr>
                <w:i/>
                <w:iCs/>
                <w:sz w:val="20"/>
                <w:lang w:val="es-ES_tradnl"/>
              </w:rPr>
              <w:t>Resolución UIT-R 1.</w:t>
            </w:r>
          </w:p>
        </w:tc>
      </w:tr>
    </w:tbl>
    <w:p w:rsidR="005632C0" w:rsidRPr="00763D08" w:rsidRDefault="005632C0" w:rsidP="005632C0">
      <w:pPr>
        <w:spacing w:before="0"/>
        <w:jc w:val="center"/>
        <w:rPr>
          <w:sz w:val="22"/>
          <w:lang w:val="es-ES_tradnl"/>
        </w:rPr>
      </w:pPr>
    </w:p>
    <w:p w:rsidR="005632C0" w:rsidRPr="00763D08" w:rsidRDefault="005632C0" w:rsidP="005632C0">
      <w:pPr>
        <w:spacing w:before="60"/>
        <w:jc w:val="right"/>
        <w:rPr>
          <w:i/>
          <w:iCs/>
          <w:sz w:val="20"/>
          <w:lang w:val="es-ES_tradnl"/>
        </w:rPr>
      </w:pPr>
      <w:r w:rsidRPr="00763D08">
        <w:rPr>
          <w:i/>
          <w:iCs/>
          <w:sz w:val="20"/>
          <w:lang w:val="es-ES_tradnl"/>
        </w:rPr>
        <w:t>Publicación electrónica</w:t>
      </w:r>
    </w:p>
    <w:p w:rsidR="005632C0" w:rsidRPr="00763D08" w:rsidRDefault="005632C0" w:rsidP="00B26591">
      <w:pPr>
        <w:spacing w:before="0" w:after="40"/>
        <w:jc w:val="right"/>
        <w:rPr>
          <w:sz w:val="20"/>
          <w:lang w:val="es-ES_tradnl"/>
        </w:rPr>
      </w:pPr>
      <w:r w:rsidRPr="00763D08">
        <w:rPr>
          <w:sz w:val="20"/>
          <w:lang w:val="es-ES_tradnl"/>
        </w:rPr>
        <w:t>Ginebra, 20</w:t>
      </w:r>
      <w:r w:rsidR="00CD33AF">
        <w:rPr>
          <w:sz w:val="20"/>
          <w:lang w:val="es-ES_tradnl"/>
        </w:rPr>
        <w:t>1</w:t>
      </w:r>
      <w:r w:rsidR="00B26591">
        <w:rPr>
          <w:sz w:val="20"/>
          <w:lang w:val="es-ES_tradnl"/>
        </w:rPr>
        <w:t>8</w:t>
      </w:r>
    </w:p>
    <w:p w:rsidR="005632C0" w:rsidRPr="00763D08" w:rsidRDefault="005632C0" w:rsidP="00B26591">
      <w:pPr>
        <w:spacing w:after="120"/>
        <w:jc w:val="center"/>
        <w:rPr>
          <w:sz w:val="22"/>
          <w:lang w:val="es-ES_tradnl"/>
        </w:rPr>
      </w:pPr>
    </w:p>
    <w:p w:rsidR="005632C0" w:rsidRPr="00763D08" w:rsidRDefault="005632C0" w:rsidP="001F136C">
      <w:pPr>
        <w:spacing w:before="0"/>
        <w:jc w:val="center"/>
        <w:rPr>
          <w:sz w:val="20"/>
          <w:lang w:val="es-ES_tradnl"/>
        </w:rPr>
      </w:pPr>
      <w:r w:rsidRPr="00470E28">
        <w:rPr>
          <w:sz w:val="20"/>
          <w:lang w:val="en-US"/>
        </w:rPr>
        <w:sym w:font="Symbol" w:char="F0E3"/>
      </w:r>
      <w:r w:rsidRPr="00763D08">
        <w:rPr>
          <w:sz w:val="20"/>
          <w:lang w:val="es-ES_tradnl"/>
        </w:rPr>
        <w:t xml:space="preserve"> UIT 20</w:t>
      </w:r>
      <w:r w:rsidR="00CD33AF">
        <w:rPr>
          <w:sz w:val="20"/>
          <w:lang w:val="es-ES_tradnl"/>
        </w:rPr>
        <w:t>1</w:t>
      </w:r>
      <w:r w:rsidR="00B26591">
        <w:rPr>
          <w:sz w:val="20"/>
          <w:lang w:val="es-ES_tradnl"/>
        </w:rPr>
        <w:t>8</w:t>
      </w:r>
    </w:p>
    <w:p w:rsidR="005632C0" w:rsidRPr="006C718C" w:rsidRDefault="005632C0" w:rsidP="005632C0">
      <w:pPr>
        <w:spacing w:before="80"/>
        <w:rPr>
          <w:sz w:val="18"/>
          <w:szCs w:val="18"/>
          <w:lang w:val="es-ES_tradnl"/>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rsidR="005632C0" w:rsidRPr="006C718C" w:rsidRDefault="005632C0" w:rsidP="005632C0">
      <w:pPr>
        <w:spacing w:before="160"/>
        <w:rPr>
          <w:i/>
          <w:sz w:val="20"/>
          <w:highlight w:val="yellow"/>
          <w:lang w:val="es-ES_tradnl"/>
        </w:rPr>
        <w:sectPr w:rsidR="005632C0" w:rsidRPr="006C718C" w:rsidSect="007565CC">
          <w:headerReference w:type="even" r:id="rId10"/>
          <w:headerReference w:type="default" r:id="rId11"/>
          <w:pgSz w:w="11907" w:h="16834" w:code="9"/>
          <w:pgMar w:top="1418" w:right="1134" w:bottom="1134" w:left="1134" w:header="720" w:footer="482" w:gutter="0"/>
          <w:pgNumType w:fmt="lowerRoman" w:start="2"/>
          <w:cols w:space="720"/>
        </w:sectPr>
      </w:pPr>
    </w:p>
    <w:p w:rsidR="000C1ED5" w:rsidRDefault="000C1ED5" w:rsidP="005C30C8">
      <w:pPr>
        <w:pStyle w:val="RepNo"/>
        <w:spacing w:before="0"/>
        <w:rPr>
          <w:lang w:val="es-ES_tradnl"/>
        </w:rPr>
      </w:pPr>
      <w:r w:rsidRPr="00BE46FB">
        <w:rPr>
          <w:lang w:val="es-ES_tradnl"/>
        </w:rPr>
        <w:lastRenderedPageBreak/>
        <w:t xml:space="preserve">INFORME  </w:t>
      </w:r>
      <w:r w:rsidRPr="00BE46FB">
        <w:rPr>
          <w:rStyle w:val="href"/>
          <w:lang w:val="es-ES_tradnl"/>
        </w:rPr>
        <w:t>UIT-R  SM.</w:t>
      </w:r>
      <w:r w:rsidR="005C30C8">
        <w:rPr>
          <w:rStyle w:val="href"/>
          <w:lang w:val="es-ES_tradnl"/>
        </w:rPr>
        <w:t>2423-0</w:t>
      </w:r>
    </w:p>
    <w:p w:rsidR="000C1ED5" w:rsidRPr="004E6FA5" w:rsidRDefault="000C1ED5" w:rsidP="003F538B">
      <w:pPr>
        <w:pStyle w:val="Reptitle"/>
        <w:rPr>
          <w:lang w:val="es-ES_tradnl" w:eastAsia="zh-CN"/>
        </w:rPr>
      </w:pPr>
      <w:r w:rsidRPr="004E6FA5">
        <w:rPr>
          <w:lang w:val="es-ES_tradnl" w:eastAsia="zh-CN"/>
        </w:rPr>
        <w:t xml:space="preserve">Aspectos técnicos y operativos de las redes de área extensa y baja potencia para las comunicaciones entre máquinas y la Internet de las cosas en gamas de frecuencias armonizadas para el funcionamiento </w:t>
      </w:r>
      <w:r w:rsidRPr="004E6FA5">
        <w:rPr>
          <w:lang w:val="es-ES_tradnl" w:eastAsia="zh-CN"/>
        </w:rPr>
        <w:br/>
        <w:t>de dispositivos de corto alcance</w:t>
      </w:r>
    </w:p>
    <w:p w:rsidR="000C1ED5" w:rsidRPr="004E6FA5" w:rsidRDefault="000C1ED5" w:rsidP="000C1ED5">
      <w:pPr>
        <w:pStyle w:val="Repdate"/>
        <w:rPr>
          <w:lang w:val="es-ES_tradnl"/>
        </w:rPr>
      </w:pPr>
      <w:r w:rsidRPr="004E6FA5">
        <w:rPr>
          <w:lang w:val="es-ES_tradnl"/>
        </w:rPr>
        <w:t>(2018)</w:t>
      </w:r>
    </w:p>
    <w:p w:rsidR="000C1ED5" w:rsidRPr="004E6FA5" w:rsidRDefault="000C1ED5" w:rsidP="000C1ED5">
      <w:pPr>
        <w:pStyle w:val="Heading1"/>
        <w:rPr>
          <w:lang w:val="es-ES_tradnl"/>
        </w:rPr>
      </w:pPr>
      <w:r w:rsidRPr="004E6FA5">
        <w:rPr>
          <w:lang w:val="es-ES_tradnl"/>
        </w:rPr>
        <w:t>1</w:t>
      </w:r>
      <w:r w:rsidRPr="004E6FA5">
        <w:rPr>
          <w:lang w:val="es-ES_tradnl"/>
        </w:rPr>
        <w:tab/>
        <w:t>Introducción</w:t>
      </w:r>
    </w:p>
    <w:p w:rsidR="000C1ED5" w:rsidRPr="004E6FA5" w:rsidRDefault="000C1ED5" w:rsidP="000C1ED5">
      <w:pPr>
        <w:rPr>
          <w:lang w:val="es-ES_tradnl"/>
        </w:rPr>
      </w:pPr>
      <w:r w:rsidRPr="004E6FA5">
        <w:rPr>
          <w:lang w:val="es-ES_tradnl"/>
        </w:rPr>
        <w:t>Se ha desarrollado un nuevo tipo de sistema inalámbrico con el nombre genérico de red de área extensa y baja potencia (</w:t>
      </w:r>
      <w:r w:rsidRPr="004E6FA5">
        <w:rPr>
          <w:i/>
          <w:iCs/>
          <w:lang w:val="es-ES_tradnl"/>
        </w:rPr>
        <w:t>Low-Power Wide</w:t>
      </w:r>
      <w:r w:rsidRPr="004E6FA5">
        <w:rPr>
          <w:i/>
          <w:iCs/>
          <w:lang w:val="es-ES_tradnl"/>
        </w:rPr>
        <w:noBreakHyphen/>
        <w:t>Area Network</w:t>
      </w:r>
      <w:r w:rsidRPr="004E6FA5">
        <w:rPr>
          <w:lang w:val="es-ES_tradnl"/>
        </w:rPr>
        <w:t xml:space="preserve"> o LPWAN), capaz de funcionar con arreglo a las normas aplicables a los dispositivos de corto alcance. Esta innovación complementa la gama de soluciones inalámbricas disponible. Los sistemas LPWAN no dependen de una única tecnología, sino de un grupo de tecnologías de red de área extensa y baja potencia que pueden ser privadas o de estándar abierto.</w:t>
      </w:r>
    </w:p>
    <w:p w:rsidR="000C1ED5" w:rsidRPr="004E6FA5" w:rsidRDefault="000C1ED5" w:rsidP="000C1ED5">
      <w:pPr>
        <w:rPr>
          <w:lang w:val="es-ES_tradnl"/>
        </w:rPr>
      </w:pPr>
      <w:r w:rsidRPr="004E6FA5">
        <w:rPr>
          <w:lang w:val="es-ES_tradnl"/>
        </w:rPr>
        <w:t>Estos nuevos sistemas facilitan la superación de los desafíos planteados por la amplia gama de aplicaciones en fase de desarrollo, en cuyo marco numerosos dispositivos solo necesitan transmitir un número reducido de mensajes al día. En el apartado 4 del presente Informe se proporcionan detalles sobre las aplicaciones a las que se dirigen las LPWAN, entre ellas, las relacionadas con las ciudades inteligentes, la fabricación, la domótica, el medioambiente y la agricultura, el transporte y la logística, la energía y los servicios públicos.</w:t>
      </w:r>
    </w:p>
    <w:p w:rsidR="000C1ED5" w:rsidRPr="004E6FA5" w:rsidRDefault="000C1ED5" w:rsidP="000C1ED5">
      <w:pPr>
        <w:rPr>
          <w:lang w:val="es-ES_tradnl"/>
        </w:rPr>
      </w:pPr>
      <w:r w:rsidRPr="004E6FA5">
        <w:rPr>
          <w:lang w:val="es-ES_tradnl"/>
        </w:rPr>
        <w:t>Estas soluciones presentan diversas características técnicas y operativas comunes que las hacen aptas para la provisión de comunicaciones masivas entre máquinas (mMTC) y aplicaciones de Internet de las cosas (IoT).</w:t>
      </w:r>
    </w:p>
    <w:p w:rsidR="000C1ED5" w:rsidRPr="004E6FA5" w:rsidRDefault="000C1ED5" w:rsidP="000C1ED5">
      <w:pPr>
        <w:rPr>
          <w:lang w:val="es-ES_tradnl"/>
        </w:rPr>
      </w:pPr>
      <w:r w:rsidRPr="004E6FA5">
        <w:rPr>
          <w:lang w:val="es-ES_tradnl"/>
        </w:rPr>
        <w:t>En el subapartado 5.1 del presente Informe se proporcionan detalles sobre los aspectos técnicos, incluidas técnicas comunes de acceso al espectro, una arquitectura de red plana y dimensiones de trama del orden de decenas de bytes transmitidos varias veces al día a velocidades ultrabajas.</w:t>
      </w:r>
    </w:p>
    <w:p w:rsidR="000C1ED5" w:rsidRPr="004E6FA5" w:rsidRDefault="000C1ED5" w:rsidP="000C1ED5">
      <w:pPr>
        <w:rPr>
          <w:lang w:val="es-ES_tradnl"/>
        </w:rPr>
      </w:pPr>
      <w:r w:rsidRPr="004E6FA5">
        <w:rPr>
          <w:lang w:val="es-ES_tradnl"/>
        </w:rPr>
        <w:t>En el subapartado 5.2 del presente Informe se proporcionan detalles sobre las capacidades operativas de las LPWAN, que permiten un número masivo de conexiones de equipos radioeléctricos rentables con niveles de potencia de salida relativamente bajos, a fin de proporcionar conectividad a varios kilómetros a la redonda, así como un aumento de la duración de las baterías.</w:t>
      </w:r>
    </w:p>
    <w:p w:rsidR="000C1ED5" w:rsidRPr="004E6FA5" w:rsidRDefault="000C1ED5" w:rsidP="000C1ED5">
      <w:pPr>
        <w:rPr>
          <w:lang w:val="es-ES_tradnl"/>
        </w:rPr>
      </w:pPr>
      <w:r w:rsidRPr="004E6FA5">
        <w:rPr>
          <w:lang w:val="es-ES_tradnl"/>
        </w:rPr>
        <w:t>En respuesta a la Resolución UIT-R 66 «Estudios relativos a sistemas y aplicaciones inalámbricos para el desarrollo de la Internet de las cosas», en el presente Informe se describen los aspectos técnicos y operativos de las LPWAN para las comunicaciones entre máquinas y la IoT en gamas de frecuencias armonizadas para el funcionamiento de dispositivos de corto alcance.</w:t>
      </w:r>
    </w:p>
    <w:p w:rsidR="000C1ED5" w:rsidRPr="004E6FA5" w:rsidRDefault="000C1ED5" w:rsidP="005427B4">
      <w:pPr>
        <w:pStyle w:val="Heading1"/>
        <w:rPr>
          <w:lang w:val="es-ES_tradnl"/>
        </w:rPr>
      </w:pPr>
      <w:r w:rsidRPr="004E6FA5">
        <w:rPr>
          <w:lang w:val="es-ES_tradnl"/>
        </w:rPr>
        <w:t>2</w:t>
      </w:r>
      <w:r w:rsidRPr="004E6FA5">
        <w:rPr>
          <w:lang w:val="es-ES_tradnl"/>
        </w:rPr>
        <w:tab/>
      </w:r>
      <w:r w:rsidRPr="005427B4">
        <w:t>Resoluciones</w:t>
      </w:r>
      <w:r w:rsidRPr="004E6FA5">
        <w:rPr>
          <w:lang w:val="es-ES_tradnl"/>
        </w:rPr>
        <w:t>, Recomendaciones e Informes pertinentes del UIT-R</w:t>
      </w:r>
    </w:p>
    <w:p w:rsidR="000C1ED5" w:rsidRPr="004E6FA5" w:rsidRDefault="000C1ED5" w:rsidP="000C1ED5">
      <w:pPr>
        <w:pStyle w:val="enumlev1"/>
        <w:rPr>
          <w:lang w:val="es-ES_tradnl"/>
        </w:rPr>
      </w:pPr>
      <w:r w:rsidRPr="004E6FA5">
        <w:rPr>
          <w:lang w:val="es-ES_tradnl"/>
        </w:rPr>
        <w:t>–</w:t>
      </w:r>
      <w:r w:rsidRPr="004E6FA5">
        <w:rPr>
          <w:lang w:val="es-ES_tradnl"/>
        </w:rPr>
        <w:tab/>
        <w:t>Resolución UIT-R 54 «Estudios para lograr la armonización de los dispositivos de corto alcance»</w:t>
      </w:r>
    </w:p>
    <w:p w:rsidR="000C1ED5" w:rsidRPr="004E6FA5" w:rsidRDefault="000C1ED5" w:rsidP="000C1ED5">
      <w:pPr>
        <w:pStyle w:val="enumlev1"/>
        <w:rPr>
          <w:lang w:val="es-ES_tradnl"/>
        </w:rPr>
      </w:pPr>
      <w:r w:rsidRPr="004E6FA5">
        <w:rPr>
          <w:lang w:val="es-ES_tradnl"/>
        </w:rPr>
        <w:t>–</w:t>
      </w:r>
      <w:r w:rsidRPr="004E6FA5">
        <w:rPr>
          <w:lang w:val="es-ES_tradnl"/>
        </w:rPr>
        <w:tab/>
        <w:t>Resolución UIT-R 66 «Estudios relativos a sistemas y aplicaciones inalámbricos para el desarrollo de la Internet de las cosas»</w:t>
      </w:r>
    </w:p>
    <w:p w:rsidR="000C1ED5" w:rsidRPr="004E6FA5" w:rsidRDefault="000C1ED5" w:rsidP="000C1ED5">
      <w:pPr>
        <w:pStyle w:val="enumlev1"/>
        <w:rPr>
          <w:lang w:val="es-ES_tradnl"/>
        </w:rPr>
      </w:pPr>
      <w:r w:rsidRPr="004E6FA5">
        <w:rPr>
          <w:lang w:val="es-ES_tradnl"/>
        </w:rPr>
        <w:t>–</w:t>
      </w:r>
      <w:r w:rsidRPr="004E6FA5">
        <w:rPr>
          <w:lang w:val="es-ES_tradnl"/>
        </w:rPr>
        <w:tab/>
        <w:t>Recomendación UIT-R SM.1896 – Gamas de frecuencia para la armonización de los dispositivos de corto alcance</w:t>
      </w:r>
    </w:p>
    <w:p w:rsidR="000C1ED5" w:rsidRPr="004E6FA5" w:rsidRDefault="000C1ED5" w:rsidP="000C1ED5">
      <w:pPr>
        <w:pStyle w:val="enumlev1"/>
        <w:rPr>
          <w:lang w:val="es-ES_tradnl"/>
        </w:rPr>
      </w:pPr>
      <w:bookmarkStart w:id="2" w:name="_Toc389049904"/>
      <w:bookmarkStart w:id="3" w:name="_Toc389049635"/>
      <w:bookmarkStart w:id="4" w:name="_Toc373754076"/>
      <w:r w:rsidRPr="004E6FA5">
        <w:rPr>
          <w:lang w:val="es-ES_tradnl"/>
        </w:rPr>
        <w:t>–</w:t>
      </w:r>
      <w:r w:rsidRPr="004E6FA5">
        <w:rPr>
          <w:lang w:val="es-ES_tradnl"/>
        </w:rPr>
        <w:tab/>
        <w:t>Informe UIT-R SM.2153 – Parámetros técnicos y de funcionamiento de los dispositivos de radiocomunicaciones de corto alcance y utilización del espectro por los mismos</w:t>
      </w:r>
    </w:p>
    <w:p w:rsidR="000C1ED5" w:rsidRPr="004E6FA5" w:rsidRDefault="000C1ED5" w:rsidP="000C1ED5">
      <w:pPr>
        <w:pStyle w:val="Heading1"/>
        <w:rPr>
          <w:lang w:val="es-ES_tradnl"/>
        </w:rPr>
      </w:pPr>
      <w:r w:rsidRPr="004E6FA5">
        <w:rPr>
          <w:lang w:val="es-ES_tradnl"/>
        </w:rPr>
        <w:lastRenderedPageBreak/>
        <w:t>3</w:t>
      </w:r>
      <w:r w:rsidRPr="004E6FA5">
        <w:rPr>
          <w:lang w:val="es-ES_tradnl"/>
        </w:rPr>
        <w:tab/>
      </w:r>
      <w:bookmarkEnd w:id="2"/>
      <w:bookmarkEnd w:id="3"/>
      <w:bookmarkEnd w:id="4"/>
      <w:r w:rsidRPr="004E6FA5">
        <w:rPr>
          <w:lang w:val="es-ES_tradnl"/>
        </w:rPr>
        <w:t>Abreviaturas</w:t>
      </w:r>
    </w:p>
    <w:p w:rsidR="000C1ED5" w:rsidRPr="004E6FA5" w:rsidRDefault="000C1ED5" w:rsidP="005427B4">
      <w:pPr>
        <w:tabs>
          <w:tab w:val="clear" w:pos="794"/>
        </w:tabs>
        <w:rPr>
          <w:lang w:val="es-ES_tradnl" w:eastAsia="ja-JP"/>
        </w:rPr>
      </w:pPr>
      <w:r w:rsidRPr="004E6FA5">
        <w:rPr>
          <w:lang w:val="es-ES_tradnl" w:eastAsia="ja-JP"/>
        </w:rPr>
        <w:t>AFA</w:t>
      </w:r>
      <w:r w:rsidRPr="004E6FA5">
        <w:rPr>
          <w:lang w:val="es-ES_tradnl" w:eastAsia="ja-JP"/>
        </w:rPr>
        <w:tab/>
      </w:r>
      <w:r w:rsidRPr="004E6FA5">
        <w:rPr>
          <w:lang w:val="es-ES_tradnl"/>
        </w:rPr>
        <w:t>Agilidad adaptable de la frecuencia</w:t>
      </w:r>
      <w:r w:rsidRPr="004E6FA5">
        <w:rPr>
          <w:lang w:val="es-ES_tradnl" w:eastAsia="ja-JP"/>
        </w:rPr>
        <w:t xml:space="preserve"> (</w:t>
      </w:r>
      <w:r w:rsidRPr="004E6FA5">
        <w:rPr>
          <w:i/>
          <w:iCs/>
          <w:lang w:val="es-ES_tradnl"/>
        </w:rPr>
        <w:t>adaptive frequency agility</w:t>
      </w:r>
      <w:r w:rsidRPr="004E6FA5">
        <w:rPr>
          <w:lang w:val="es-ES_tradnl"/>
        </w:rPr>
        <w:t>)</w:t>
      </w:r>
    </w:p>
    <w:p w:rsidR="000C1ED5" w:rsidRPr="004E6FA5" w:rsidRDefault="000C1ED5" w:rsidP="005427B4">
      <w:pPr>
        <w:tabs>
          <w:tab w:val="clear" w:pos="794"/>
        </w:tabs>
        <w:rPr>
          <w:lang w:val="es-ES_tradnl" w:eastAsia="ja-JP"/>
        </w:rPr>
      </w:pPr>
      <w:r w:rsidRPr="004E6FA5">
        <w:rPr>
          <w:lang w:val="es-ES_tradnl" w:eastAsia="ja-JP"/>
        </w:rPr>
        <w:t>APC</w:t>
      </w:r>
      <w:r w:rsidRPr="004E6FA5">
        <w:rPr>
          <w:lang w:val="es-ES_tradnl" w:eastAsia="ja-JP"/>
        </w:rPr>
        <w:tab/>
      </w:r>
      <w:r w:rsidRPr="004E6FA5">
        <w:rPr>
          <w:lang w:val="es-ES_tradnl"/>
        </w:rPr>
        <w:t>Control adaptable de la potencia</w:t>
      </w:r>
      <w:r w:rsidRPr="004E6FA5">
        <w:rPr>
          <w:lang w:val="es-ES_tradnl" w:eastAsia="ja-JP"/>
        </w:rPr>
        <w:t xml:space="preserve"> (</w:t>
      </w:r>
      <w:r w:rsidRPr="004E6FA5">
        <w:rPr>
          <w:i/>
          <w:iCs/>
          <w:lang w:val="es-ES_tradnl"/>
        </w:rPr>
        <w:t>adaptive power control</w:t>
      </w:r>
      <w:r w:rsidRPr="004E6FA5">
        <w:rPr>
          <w:lang w:val="es-ES_tradnl"/>
        </w:rPr>
        <w:t>)</w:t>
      </w:r>
    </w:p>
    <w:p w:rsidR="000C1ED5" w:rsidRPr="004E6FA5" w:rsidRDefault="000C1ED5" w:rsidP="005427B4">
      <w:pPr>
        <w:tabs>
          <w:tab w:val="clear" w:pos="794"/>
        </w:tabs>
        <w:rPr>
          <w:lang w:val="es-ES_tradnl" w:eastAsia="ja-JP"/>
        </w:rPr>
      </w:pPr>
      <w:r w:rsidRPr="004E6FA5">
        <w:rPr>
          <w:lang w:val="es-ES_tradnl" w:eastAsia="ja-JP"/>
        </w:rPr>
        <w:t>APT</w:t>
      </w:r>
      <w:r w:rsidRPr="004E6FA5">
        <w:rPr>
          <w:szCs w:val="24"/>
          <w:lang w:val="es-ES_tradnl" w:eastAsia="ja-JP"/>
        </w:rPr>
        <w:tab/>
      </w:r>
      <w:r w:rsidRPr="004E6FA5">
        <w:rPr>
          <w:lang w:val="es-ES_tradnl" w:eastAsia="ja-JP"/>
        </w:rPr>
        <w:t xml:space="preserve">Telecomunidad de Asia y el Pacífico </w:t>
      </w:r>
      <w:r w:rsidRPr="004E6FA5">
        <w:rPr>
          <w:szCs w:val="24"/>
          <w:lang w:val="es-ES_tradnl" w:eastAsia="ja-JP"/>
        </w:rPr>
        <w:t>(</w:t>
      </w:r>
      <w:r w:rsidRPr="004E6FA5">
        <w:rPr>
          <w:i/>
          <w:iCs/>
          <w:szCs w:val="24"/>
          <w:lang w:val="es-ES_tradnl" w:eastAsia="ja-JP"/>
        </w:rPr>
        <w:t>A</w:t>
      </w:r>
      <w:r w:rsidRPr="004E6FA5">
        <w:rPr>
          <w:i/>
          <w:iCs/>
          <w:lang w:val="es-ES_tradnl" w:eastAsia="ja-JP"/>
        </w:rPr>
        <w:t>sia-Pacific Telecommunity</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CEPT</w:t>
      </w:r>
      <w:r w:rsidRPr="004E6FA5">
        <w:rPr>
          <w:szCs w:val="24"/>
          <w:lang w:val="es-ES_tradnl" w:eastAsia="ja-JP"/>
        </w:rPr>
        <w:tab/>
      </w:r>
      <w:r w:rsidRPr="004E6FA5">
        <w:rPr>
          <w:lang w:val="es-ES_tradnl" w:eastAsia="ja-JP"/>
        </w:rPr>
        <w:t>Conferencia Europea de Administraciones de Correos y Telecomunicaciones</w:t>
      </w:r>
    </w:p>
    <w:p w:rsidR="000C1ED5" w:rsidRPr="004E6FA5" w:rsidRDefault="000C1ED5" w:rsidP="005427B4">
      <w:pPr>
        <w:tabs>
          <w:tab w:val="clear" w:pos="794"/>
        </w:tabs>
        <w:rPr>
          <w:lang w:val="es-ES_tradnl" w:eastAsia="ja-JP"/>
        </w:rPr>
      </w:pPr>
      <w:r w:rsidRPr="004E6FA5">
        <w:rPr>
          <w:lang w:val="es-ES_tradnl" w:eastAsia="ja-JP"/>
        </w:rPr>
        <w:t>CFR</w:t>
      </w:r>
      <w:r w:rsidRPr="004E6FA5">
        <w:rPr>
          <w:lang w:val="es-ES_tradnl" w:eastAsia="ja-JP"/>
        </w:rPr>
        <w:tab/>
        <w:t>Código de reglamentos federales (Estados Unidos de América)</w:t>
      </w:r>
    </w:p>
    <w:p w:rsidR="000C1ED5" w:rsidRPr="004E6FA5" w:rsidRDefault="000C1ED5" w:rsidP="005427B4">
      <w:pPr>
        <w:tabs>
          <w:tab w:val="clear" w:pos="794"/>
        </w:tabs>
        <w:rPr>
          <w:lang w:val="es-ES_tradnl" w:eastAsia="ja-JP"/>
        </w:rPr>
      </w:pPr>
      <w:r w:rsidRPr="004E6FA5">
        <w:rPr>
          <w:lang w:val="es-ES_tradnl" w:eastAsia="ja-JP"/>
        </w:rPr>
        <w:t>CSS</w:t>
      </w:r>
      <w:r w:rsidRPr="004E6FA5">
        <w:rPr>
          <w:lang w:val="es-ES_tradnl" w:eastAsia="ja-JP"/>
        </w:rPr>
        <w:tab/>
        <w:t>Espectro ensanchado de impulso modulado (</w:t>
      </w:r>
      <w:r w:rsidRPr="004E6FA5">
        <w:rPr>
          <w:i/>
          <w:iCs/>
          <w:lang w:val="es-ES_tradnl" w:eastAsia="ja-JP"/>
        </w:rPr>
        <w:t>chirp spread spectrum</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DL</w:t>
      </w:r>
      <w:r w:rsidRPr="004E6FA5">
        <w:rPr>
          <w:lang w:val="es-ES_tradnl" w:eastAsia="ja-JP"/>
        </w:rPr>
        <w:tab/>
        <w:t>Comunicación de enlace descendente (</w:t>
      </w:r>
      <w:r w:rsidRPr="004E6FA5">
        <w:rPr>
          <w:i/>
          <w:iCs/>
          <w:lang w:val="es-ES_tradnl" w:eastAsia="ja-JP"/>
        </w:rPr>
        <w:t>down-link</w:t>
      </w:r>
      <w:r w:rsidRPr="004E6FA5">
        <w:rPr>
          <w:lang w:val="es-ES_tradnl" w:eastAsia="ja-JP"/>
        </w:rPr>
        <w:t>) de la estación de acceso al dispositivo</w:t>
      </w:r>
    </w:p>
    <w:p w:rsidR="000C1ED5" w:rsidRPr="004E6FA5" w:rsidRDefault="000C1ED5" w:rsidP="005427B4">
      <w:pPr>
        <w:tabs>
          <w:tab w:val="clear" w:pos="794"/>
        </w:tabs>
        <w:ind w:left="1191" w:hanging="1191"/>
        <w:rPr>
          <w:lang w:val="es-ES_tradnl" w:eastAsia="ja-JP"/>
        </w:rPr>
      </w:pPr>
      <w:r w:rsidRPr="004E6FA5">
        <w:rPr>
          <w:lang w:val="es-ES_tradnl" w:eastAsia="ja-JP"/>
        </w:rPr>
        <w:t>ETSI</w:t>
      </w:r>
      <w:r w:rsidRPr="004E6FA5">
        <w:rPr>
          <w:lang w:val="es-ES_tradnl" w:eastAsia="ja-JP"/>
        </w:rPr>
        <w:tab/>
        <w:t>Instituto Europeo de Normas de Telecomunicaciones (</w:t>
      </w:r>
      <w:r w:rsidRPr="004E6FA5">
        <w:rPr>
          <w:i/>
          <w:iCs/>
          <w:lang w:val="es-ES_tradnl" w:eastAsia="ja-JP"/>
        </w:rPr>
        <w:t>European Telecommunications Standards Institute</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IETF</w:t>
      </w:r>
      <w:r w:rsidRPr="004E6FA5">
        <w:rPr>
          <w:lang w:val="es-ES_tradnl" w:eastAsia="ja-JP"/>
        </w:rPr>
        <w:tab/>
        <w:t>Grupo de Tareas sobre Ingeniería de Internet (</w:t>
      </w:r>
      <w:r w:rsidRPr="004E6FA5">
        <w:rPr>
          <w:i/>
          <w:iCs/>
          <w:lang w:val="es-ES_tradnl" w:eastAsia="ja-JP"/>
        </w:rPr>
        <w:t>Internet Engineering Task Force</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ICM</w:t>
      </w:r>
      <w:r w:rsidRPr="004E6FA5">
        <w:rPr>
          <w:lang w:val="es-ES_tradnl" w:eastAsia="ja-JP"/>
        </w:rPr>
        <w:tab/>
        <w:t>Industrial, científico y médico</w:t>
      </w:r>
    </w:p>
    <w:p w:rsidR="000C1ED5" w:rsidRPr="004E6FA5" w:rsidRDefault="000C1ED5" w:rsidP="005427B4">
      <w:pPr>
        <w:tabs>
          <w:tab w:val="clear" w:pos="794"/>
        </w:tabs>
        <w:rPr>
          <w:lang w:val="es-ES_tradnl" w:eastAsia="ja-JP"/>
        </w:rPr>
      </w:pPr>
      <w:r w:rsidRPr="004E6FA5">
        <w:rPr>
          <w:lang w:val="es-ES_tradnl" w:eastAsia="ja-JP"/>
        </w:rPr>
        <w:t>IoT</w:t>
      </w:r>
      <w:r w:rsidRPr="004E6FA5">
        <w:rPr>
          <w:lang w:val="es-ES_tradnl" w:eastAsia="ja-JP"/>
        </w:rPr>
        <w:tab/>
        <w:t>Internet de las cosas (</w:t>
      </w:r>
      <w:r w:rsidRPr="004E6FA5">
        <w:rPr>
          <w:i/>
          <w:iCs/>
          <w:lang w:val="es-ES_tradnl" w:eastAsia="ja-JP"/>
        </w:rPr>
        <w:t>internet of things</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LPD</w:t>
      </w:r>
      <w:r w:rsidRPr="004E6FA5">
        <w:rPr>
          <w:szCs w:val="24"/>
          <w:lang w:val="es-ES_tradnl" w:eastAsia="ja-JP"/>
        </w:rPr>
        <w:tab/>
      </w:r>
      <w:r w:rsidRPr="004E6FA5">
        <w:rPr>
          <w:lang w:val="es-ES_tradnl" w:eastAsia="ja-JP"/>
        </w:rPr>
        <w:t>Dispositivo de baja potencia</w:t>
      </w:r>
      <w:r w:rsidRPr="004E6FA5">
        <w:rPr>
          <w:szCs w:val="24"/>
          <w:lang w:val="es-ES_tradnl" w:eastAsia="ja-JP"/>
        </w:rPr>
        <w:t xml:space="preserve"> (</w:t>
      </w:r>
      <w:r w:rsidRPr="004E6FA5">
        <w:rPr>
          <w:i/>
          <w:iCs/>
          <w:lang w:val="es-ES_tradnl" w:eastAsia="ja-JP"/>
        </w:rPr>
        <w:t>low power device</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LIPD</w:t>
      </w:r>
      <w:r w:rsidRPr="004E6FA5">
        <w:rPr>
          <w:szCs w:val="24"/>
          <w:lang w:val="es-ES_tradnl" w:eastAsia="ja-JP"/>
        </w:rPr>
        <w:tab/>
      </w:r>
      <w:r w:rsidRPr="004E6FA5">
        <w:rPr>
          <w:lang w:val="es-ES_tradnl" w:eastAsia="ja-JP"/>
        </w:rPr>
        <w:t>Dispositivo con escasa probabilidad de interferencia</w:t>
      </w:r>
      <w:r w:rsidRPr="004E6FA5">
        <w:rPr>
          <w:szCs w:val="24"/>
          <w:lang w:val="es-ES_tradnl" w:eastAsia="ja-JP"/>
        </w:rPr>
        <w:t xml:space="preserve"> (</w:t>
      </w:r>
      <w:r w:rsidRPr="004E6FA5">
        <w:rPr>
          <w:i/>
          <w:iCs/>
          <w:lang w:val="es-ES_tradnl" w:eastAsia="ja-JP"/>
        </w:rPr>
        <w:t>low interference potential device</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LPWAN</w:t>
      </w:r>
      <w:r w:rsidRPr="004E6FA5">
        <w:rPr>
          <w:szCs w:val="24"/>
          <w:lang w:val="es-ES_tradnl" w:eastAsia="ja-JP"/>
        </w:rPr>
        <w:tab/>
      </w:r>
      <w:r w:rsidRPr="004E6FA5">
        <w:rPr>
          <w:lang w:val="es-ES_tradnl"/>
        </w:rPr>
        <w:t>Red de área extensa y baja potencia</w:t>
      </w:r>
      <w:r w:rsidRPr="004E6FA5">
        <w:rPr>
          <w:szCs w:val="24"/>
          <w:lang w:val="es-ES_tradnl" w:eastAsia="ja-JP"/>
        </w:rPr>
        <w:t xml:space="preserve"> (</w:t>
      </w:r>
      <w:r w:rsidRPr="004E6FA5">
        <w:rPr>
          <w:i/>
          <w:iCs/>
          <w:lang w:val="es-ES_tradnl" w:eastAsia="ja-JP"/>
        </w:rPr>
        <w:t>low power wide area network</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LTN</w:t>
      </w:r>
      <w:r w:rsidRPr="004E6FA5">
        <w:rPr>
          <w:szCs w:val="24"/>
          <w:lang w:val="es-ES_tradnl" w:eastAsia="ja-JP"/>
        </w:rPr>
        <w:tab/>
      </w:r>
      <w:r w:rsidRPr="004E6FA5">
        <w:rPr>
          <w:lang w:val="es-ES_tradnl" w:eastAsia="ja-JP"/>
        </w:rPr>
        <w:t>Red de bajo rendimiento</w:t>
      </w:r>
      <w:r w:rsidRPr="004E6FA5">
        <w:rPr>
          <w:szCs w:val="24"/>
          <w:lang w:val="es-ES_tradnl" w:eastAsia="ja-JP"/>
        </w:rPr>
        <w:t xml:space="preserve"> (</w:t>
      </w:r>
      <w:r w:rsidRPr="004E6FA5">
        <w:rPr>
          <w:i/>
          <w:iCs/>
          <w:lang w:val="es-ES_tradnl" w:eastAsia="ja-JP"/>
        </w:rPr>
        <w:t>low throughput network</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M2M</w:t>
      </w:r>
      <w:r w:rsidRPr="004E6FA5">
        <w:rPr>
          <w:szCs w:val="24"/>
          <w:lang w:val="es-ES_tradnl" w:eastAsia="ja-JP"/>
        </w:rPr>
        <w:tab/>
      </w:r>
      <w:r w:rsidRPr="004E6FA5">
        <w:rPr>
          <w:lang w:val="es-ES_tradnl" w:eastAsia="ja-JP"/>
        </w:rPr>
        <w:t>Máquina a máquina</w:t>
      </w:r>
      <w:r w:rsidRPr="004E6FA5">
        <w:rPr>
          <w:szCs w:val="24"/>
          <w:lang w:val="es-ES_tradnl" w:eastAsia="ja-JP"/>
        </w:rPr>
        <w:t xml:space="preserve"> (</w:t>
      </w:r>
      <w:r w:rsidRPr="004E6FA5">
        <w:rPr>
          <w:i/>
          <w:iCs/>
          <w:lang w:val="es-ES_tradnl" w:eastAsia="ja-JP"/>
        </w:rPr>
        <w:t>machine-to-machine</w:t>
      </w:r>
      <w:r w:rsidRPr="004E6FA5">
        <w:rPr>
          <w:lang w:val="es-ES_tradnl" w:eastAsia="ja-JP"/>
        </w:rPr>
        <w:t>)</w:t>
      </w:r>
    </w:p>
    <w:p w:rsidR="000C1ED5" w:rsidRPr="004E6FA5" w:rsidRDefault="000C1ED5" w:rsidP="005427B4">
      <w:pPr>
        <w:tabs>
          <w:tab w:val="clear" w:pos="794"/>
        </w:tabs>
        <w:rPr>
          <w:lang w:val="es-ES_tradnl"/>
        </w:rPr>
      </w:pPr>
      <w:r w:rsidRPr="004E6FA5">
        <w:rPr>
          <w:lang w:val="es-ES_tradnl"/>
        </w:rPr>
        <w:t>MTC</w:t>
      </w:r>
      <w:r w:rsidRPr="004E6FA5">
        <w:rPr>
          <w:lang w:val="es-ES_tradnl"/>
        </w:rPr>
        <w:tab/>
        <w:t>Comunicación entre máquinas (</w:t>
      </w:r>
      <w:r w:rsidRPr="004E6FA5">
        <w:rPr>
          <w:i/>
          <w:iCs/>
          <w:lang w:val="es-ES_tradnl"/>
        </w:rPr>
        <w:t>machine type communications</w:t>
      </w:r>
      <w:r w:rsidRPr="004E6FA5">
        <w:rPr>
          <w:lang w:val="es-ES_tradnl"/>
        </w:rPr>
        <w:t>)</w:t>
      </w:r>
    </w:p>
    <w:p w:rsidR="000C1ED5" w:rsidRPr="004E6FA5" w:rsidRDefault="000C1ED5" w:rsidP="005427B4">
      <w:pPr>
        <w:tabs>
          <w:tab w:val="clear" w:pos="794"/>
        </w:tabs>
        <w:rPr>
          <w:lang w:val="es-ES_tradnl"/>
        </w:rPr>
      </w:pPr>
      <w:proofErr w:type="gramStart"/>
      <w:r w:rsidRPr="004E6FA5">
        <w:rPr>
          <w:lang w:val="es-ES_tradnl"/>
        </w:rPr>
        <w:t>mMTC</w:t>
      </w:r>
      <w:proofErr w:type="gramEnd"/>
      <w:r w:rsidRPr="004E6FA5">
        <w:rPr>
          <w:lang w:val="es-ES_tradnl"/>
        </w:rPr>
        <w:tab/>
        <w:t>Comunicación masiva entre máquinas (</w:t>
      </w:r>
      <w:r w:rsidRPr="004E6FA5">
        <w:rPr>
          <w:i/>
          <w:iCs/>
          <w:lang w:val="es-ES_tradnl"/>
        </w:rPr>
        <w:t xml:space="preserve">massive </w:t>
      </w:r>
      <w:r w:rsidRPr="004E6FA5">
        <w:rPr>
          <w:i/>
          <w:iCs/>
          <w:lang w:val="es-ES_tradnl" w:eastAsia="ja-JP"/>
        </w:rPr>
        <w:t>machine type communications</w:t>
      </w:r>
      <w:r w:rsidRPr="004E6FA5">
        <w:rPr>
          <w:lang w:val="es-ES_tradnl" w:eastAsia="ja-JP"/>
        </w:rPr>
        <w:t>)</w:t>
      </w:r>
    </w:p>
    <w:p w:rsidR="000C1ED5" w:rsidRPr="004E6FA5" w:rsidRDefault="000C1ED5" w:rsidP="005427B4">
      <w:pPr>
        <w:tabs>
          <w:tab w:val="clear" w:pos="794"/>
        </w:tabs>
        <w:rPr>
          <w:lang w:val="es-ES_tradnl"/>
        </w:rPr>
      </w:pPr>
      <w:r w:rsidRPr="004E6FA5">
        <w:rPr>
          <w:lang w:val="es-ES_tradnl"/>
        </w:rPr>
        <w:t>RFID</w:t>
      </w:r>
      <w:r w:rsidRPr="004E6FA5">
        <w:rPr>
          <w:lang w:val="es-ES_tradnl"/>
        </w:rPr>
        <w:tab/>
      </w:r>
      <w:r w:rsidRPr="004E6FA5">
        <w:rPr>
          <w:lang w:val="es-ES_tradnl" w:eastAsia="ja-JP"/>
        </w:rPr>
        <w:t>Identificación de radiofrecuencias</w:t>
      </w:r>
      <w:r w:rsidRPr="004E6FA5">
        <w:rPr>
          <w:lang w:val="es-ES_tradnl"/>
        </w:rPr>
        <w:t xml:space="preserve"> (</w:t>
      </w:r>
      <w:r w:rsidRPr="004E6FA5">
        <w:rPr>
          <w:i/>
          <w:iCs/>
          <w:lang w:val="es-ES_tradnl" w:eastAsia="ja-JP"/>
        </w:rPr>
        <w:t>radio frequency identification</w:t>
      </w:r>
      <w:r w:rsidRPr="004E6FA5">
        <w:rPr>
          <w:lang w:val="es-ES_tradnl" w:eastAsia="ja-JP"/>
        </w:rPr>
        <w:t>)</w:t>
      </w:r>
    </w:p>
    <w:p w:rsidR="000C1ED5" w:rsidRPr="004E6FA5" w:rsidRDefault="000C1ED5" w:rsidP="005427B4">
      <w:pPr>
        <w:tabs>
          <w:tab w:val="clear" w:pos="794"/>
        </w:tabs>
        <w:rPr>
          <w:lang w:val="es-ES_tradnl"/>
        </w:rPr>
      </w:pPr>
      <w:r w:rsidRPr="004E6FA5">
        <w:rPr>
          <w:lang w:val="es-ES_tradnl"/>
        </w:rPr>
        <w:t>SDR</w:t>
      </w:r>
      <w:r w:rsidRPr="004E6FA5">
        <w:rPr>
          <w:lang w:val="es-ES_tradnl"/>
        </w:rPr>
        <w:tab/>
        <w:t>Radio definida por software (</w:t>
      </w:r>
      <w:r w:rsidRPr="004E6FA5">
        <w:rPr>
          <w:i/>
          <w:iCs/>
          <w:lang w:val="es-ES_tradnl"/>
        </w:rPr>
        <w:t>software defined radio</w:t>
      </w:r>
      <w:r w:rsidRPr="004E6FA5">
        <w:rPr>
          <w:lang w:val="es-ES_tradnl"/>
        </w:rPr>
        <w:t>)</w:t>
      </w:r>
    </w:p>
    <w:p w:rsidR="000C1ED5" w:rsidRPr="004E6FA5" w:rsidRDefault="000C1ED5" w:rsidP="005427B4">
      <w:pPr>
        <w:tabs>
          <w:tab w:val="clear" w:pos="794"/>
        </w:tabs>
        <w:rPr>
          <w:lang w:val="es-ES_tradnl" w:eastAsia="ja-JP"/>
        </w:rPr>
      </w:pPr>
      <w:r w:rsidRPr="004E6FA5">
        <w:rPr>
          <w:lang w:val="es-ES_tradnl"/>
        </w:rPr>
        <w:t>SDO</w:t>
      </w:r>
      <w:r w:rsidRPr="004E6FA5">
        <w:rPr>
          <w:lang w:val="es-ES_tradnl"/>
        </w:rPr>
        <w:tab/>
        <w:t>Organización de normalización (</w:t>
      </w:r>
      <w:r w:rsidRPr="004E6FA5">
        <w:rPr>
          <w:i/>
          <w:iCs/>
          <w:lang w:val="es-ES_tradnl"/>
        </w:rPr>
        <w:t>standardization development organization</w:t>
      </w:r>
      <w:r w:rsidRPr="004E6FA5">
        <w:rPr>
          <w:lang w:val="es-ES_tradnl"/>
        </w:rPr>
        <w:t>)</w:t>
      </w:r>
    </w:p>
    <w:p w:rsidR="000C1ED5" w:rsidRPr="004E6FA5" w:rsidRDefault="000C1ED5" w:rsidP="005427B4">
      <w:pPr>
        <w:tabs>
          <w:tab w:val="clear" w:pos="794"/>
        </w:tabs>
        <w:rPr>
          <w:lang w:val="es-ES_tradnl" w:eastAsia="ja-JP"/>
        </w:rPr>
      </w:pPr>
      <w:r w:rsidRPr="004E6FA5">
        <w:rPr>
          <w:lang w:val="es-ES_tradnl" w:eastAsia="ja-JP"/>
        </w:rPr>
        <w:t>SRD</w:t>
      </w:r>
      <w:r w:rsidRPr="004E6FA5">
        <w:rPr>
          <w:szCs w:val="24"/>
          <w:lang w:val="es-ES_tradnl" w:eastAsia="ja-JP"/>
        </w:rPr>
        <w:tab/>
      </w:r>
      <w:r w:rsidRPr="004E6FA5">
        <w:rPr>
          <w:lang w:val="es-ES_tradnl" w:eastAsia="ja-JP"/>
        </w:rPr>
        <w:t>Dispositivo de corto alcance</w:t>
      </w:r>
      <w:r w:rsidRPr="004E6FA5">
        <w:rPr>
          <w:szCs w:val="24"/>
          <w:lang w:val="es-ES_tradnl" w:eastAsia="ja-JP"/>
        </w:rPr>
        <w:t xml:space="preserve"> (</w:t>
      </w:r>
      <w:r w:rsidRPr="004E6FA5">
        <w:rPr>
          <w:i/>
          <w:iCs/>
          <w:lang w:val="es-ES_tradnl" w:eastAsia="ja-JP"/>
        </w:rPr>
        <w:t>short range device</w:t>
      </w:r>
      <w:r w:rsidRPr="004E6FA5">
        <w:rPr>
          <w:lang w:val="es-ES_tradnl" w:eastAsia="ja-JP"/>
        </w:rPr>
        <w:t>)</w:t>
      </w:r>
    </w:p>
    <w:p w:rsidR="000C1ED5" w:rsidRPr="004E6FA5" w:rsidRDefault="000C1ED5" w:rsidP="005427B4">
      <w:pPr>
        <w:tabs>
          <w:tab w:val="clear" w:pos="794"/>
        </w:tabs>
        <w:rPr>
          <w:lang w:val="es-ES_tradnl" w:eastAsia="ja-JP"/>
        </w:rPr>
      </w:pPr>
      <w:r w:rsidRPr="004E6FA5">
        <w:rPr>
          <w:lang w:val="es-ES_tradnl" w:eastAsia="ja-JP"/>
        </w:rPr>
        <w:t>UL</w:t>
      </w:r>
      <w:r w:rsidRPr="004E6FA5">
        <w:rPr>
          <w:lang w:val="es-ES_tradnl" w:eastAsia="ja-JP"/>
        </w:rPr>
        <w:tab/>
        <w:t>Comunicación de enlace ascendente (</w:t>
      </w:r>
      <w:r w:rsidRPr="004E6FA5">
        <w:rPr>
          <w:i/>
          <w:lang w:val="es-ES_tradnl" w:eastAsia="ja-JP"/>
        </w:rPr>
        <w:t>up-link</w:t>
      </w:r>
      <w:r w:rsidRPr="004E6FA5">
        <w:rPr>
          <w:lang w:val="es-ES_tradnl" w:eastAsia="ja-JP"/>
        </w:rPr>
        <w:t>) del dispositivo a la estación de acceso</w:t>
      </w:r>
    </w:p>
    <w:p w:rsidR="000C1ED5" w:rsidRPr="004E6FA5" w:rsidRDefault="000C1ED5" w:rsidP="005427B4">
      <w:pPr>
        <w:tabs>
          <w:tab w:val="clear" w:pos="794"/>
        </w:tabs>
        <w:rPr>
          <w:lang w:val="es-ES_tradnl" w:eastAsia="ja-JP"/>
        </w:rPr>
      </w:pPr>
      <w:r w:rsidRPr="004E6FA5">
        <w:rPr>
          <w:lang w:val="es-ES_tradnl" w:eastAsia="ja-JP"/>
        </w:rPr>
        <w:t>UNB</w:t>
      </w:r>
      <w:r w:rsidRPr="004E6FA5">
        <w:rPr>
          <w:lang w:val="es-ES_tradnl" w:eastAsia="ja-JP"/>
        </w:rPr>
        <w:tab/>
        <w:t>Banda ultraestrecha (</w:t>
      </w:r>
      <w:r w:rsidRPr="004E6FA5">
        <w:rPr>
          <w:i/>
          <w:iCs/>
          <w:lang w:val="es-ES_tradnl" w:eastAsia="ja-JP"/>
        </w:rPr>
        <w:t>ultra-narrow band</w:t>
      </w:r>
      <w:r w:rsidRPr="004E6FA5">
        <w:rPr>
          <w:lang w:val="es-ES_tradnl" w:eastAsia="ja-JP"/>
        </w:rPr>
        <w:t>)</w:t>
      </w:r>
    </w:p>
    <w:p w:rsidR="000C1ED5" w:rsidRPr="004E6FA5" w:rsidRDefault="000C1ED5" w:rsidP="005427B4">
      <w:pPr>
        <w:tabs>
          <w:tab w:val="clear" w:pos="794"/>
        </w:tabs>
        <w:rPr>
          <w:lang w:val="es-ES_tradnl" w:eastAsia="ja-JP"/>
        </w:rPr>
      </w:pPr>
      <w:proofErr w:type="gramStart"/>
      <w:r w:rsidRPr="004E6FA5">
        <w:rPr>
          <w:lang w:val="es-ES_tradnl" w:eastAsia="ja-JP"/>
        </w:rPr>
        <w:t>xPON</w:t>
      </w:r>
      <w:proofErr w:type="gramEnd"/>
      <w:r w:rsidRPr="004E6FA5">
        <w:rPr>
          <w:lang w:val="es-ES_tradnl" w:eastAsia="ja-JP"/>
        </w:rPr>
        <w:tab/>
        <w:t>Conexión de red óptica pasiva (</w:t>
      </w:r>
      <w:r w:rsidRPr="004E6FA5">
        <w:rPr>
          <w:i/>
          <w:iCs/>
          <w:lang w:val="es-ES_tradnl" w:eastAsia="ja-JP"/>
        </w:rPr>
        <w:t>passive optical networking</w:t>
      </w:r>
      <w:r w:rsidRPr="004E6FA5">
        <w:rPr>
          <w:lang w:val="es-ES_tradnl" w:eastAsia="ja-JP"/>
        </w:rPr>
        <w:t>)</w:t>
      </w:r>
    </w:p>
    <w:p w:rsidR="000C1ED5" w:rsidRPr="004E6FA5" w:rsidRDefault="000C1ED5" w:rsidP="000C1ED5">
      <w:pPr>
        <w:pStyle w:val="Heading1"/>
        <w:rPr>
          <w:lang w:val="es-ES_tradnl"/>
        </w:rPr>
      </w:pPr>
      <w:r w:rsidRPr="004E6FA5">
        <w:rPr>
          <w:lang w:val="es-ES_tradnl"/>
        </w:rPr>
        <w:t>4</w:t>
      </w:r>
      <w:r w:rsidRPr="004E6FA5">
        <w:rPr>
          <w:lang w:val="es-ES_tradnl"/>
        </w:rPr>
        <w:tab/>
        <w:t>Aplicaciones IoT basadas en sistemas LPWAN</w:t>
      </w:r>
    </w:p>
    <w:p w:rsidR="000C1ED5" w:rsidRPr="004E6FA5" w:rsidRDefault="000C1ED5" w:rsidP="000C1ED5">
      <w:pPr>
        <w:rPr>
          <w:lang w:val="es-ES_tradnl" w:eastAsia="zh-CN"/>
        </w:rPr>
      </w:pPr>
      <w:r w:rsidRPr="004E6FA5">
        <w:rPr>
          <w:lang w:val="es-ES_tradnl" w:eastAsia="zh-CN"/>
        </w:rPr>
        <w:t>Las LPWAN pueden dar soporte a los diversos dispositivos físicos conectados a la red IoT, con objeto de optimizar la eficacia de las operaciones y los servicios urbanos y establecer conexiones con los ciudadanos. En cuanto a las aplicaciones sectoriales previstas, se han descrito diversos casos de uso típicos cubiertos por sistemas LPWAN en la norma ETSI TR 103 249 V1.1.1 (2017-10) sobre redes de bajo rendimiento, un subconjunto de sensores LPWAN y redes de control.</w:t>
      </w:r>
    </w:p>
    <w:p w:rsidR="000C1ED5" w:rsidRPr="004E6FA5" w:rsidRDefault="000C1ED5" w:rsidP="00F71A3D">
      <w:pPr>
        <w:keepNext/>
        <w:keepLines/>
        <w:rPr>
          <w:lang w:val="es-ES_tradnl"/>
        </w:rPr>
      </w:pPr>
      <w:r w:rsidRPr="004E6FA5">
        <w:rPr>
          <w:lang w:val="es-ES_tradnl"/>
        </w:rPr>
        <w:lastRenderedPageBreak/>
        <w:t>A continuación se enumeran varios ejemplos de casos de uso basados en soluciones LPWAN existentes:</w:t>
      </w:r>
    </w:p>
    <w:p w:rsidR="000C1ED5" w:rsidRPr="004E6FA5" w:rsidRDefault="000C1ED5" w:rsidP="00F71A3D">
      <w:pPr>
        <w:keepNext/>
        <w:keepLines/>
        <w:rPr>
          <w:lang w:val="es-ES_tradnl"/>
        </w:rPr>
      </w:pPr>
      <w:r w:rsidRPr="004E6FA5">
        <w:rPr>
          <w:lang w:val="es-ES_tradnl"/>
        </w:rPr>
        <w:t>–</w:t>
      </w:r>
      <w:r w:rsidRPr="004E6FA5">
        <w:rPr>
          <w:lang w:val="es-ES_tradnl"/>
        </w:rPr>
        <w:tab/>
      </w:r>
      <w:r w:rsidRPr="004E6FA5">
        <w:rPr>
          <w:b/>
          <w:bCs/>
          <w:lang w:val="es-ES_tradnl"/>
        </w:rPr>
        <w:t>Gestión del sistema de tráfico y transporte</w:t>
      </w:r>
    </w:p>
    <w:p w:rsidR="000C1ED5" w:rsidRPr="004E6FA5" w:rsidRDefault="000C1ED5" w:rsidP="000C1ED5">
      <w:pPr>
        <w:pStyle w:val="enumlev1"/>
        <w:rPr>
          <w:lang w:val="es-ES_tradnl" w:eastAsia="zh-CN"/>
        </w:rPr>
      </w:pPr>
      <w:r w:rsidRPr="004E6FA5">
        <w:rPr>
          <w:lang w:val="es-ES_tradnl" w:eastAsia="zh-CN"/>
        </w:rPr>
        <w:tab/>
        <w:t>Las LPWAN pueden dar soporte a dispositivos estratégicamente ubicados con sensores para detectar el estado operativo de los semáforos 24 horas al día, 7 días a la semana, y reducir al mínimo los atascos o accidentes.</w:t>
      </w:r>
    </w:p>
    <w:p w:rsidR="000C1ED5" w:rsidRPr="004E6FA5" w:rsidRDefault="000C1ED5" w:rsidP="000C1ED5">
      <w:pPr>
        <w:rPr>
          <w:lang w:val="es-ES_tradnl" w:eastAsia="zh-CN"/>
        </w:rPr>
      </w:pPr>
      <w:r w:rsidRPr="004E6FA5">
        <w:rPr>
          <w:lang w:val="es-ES_tradnl"/>
        </w:rPr>
        <w:t>–</w:t>
      </w:r>
      <w:r w:rsidRPr="004E6FA5">
        <w:rPr>
          <w:lang w:val="es-ES_tradnl"/>
        </w:rPr>
        <w:tab/>
      </w:r>
      <w:r w:rsidRPr="004E6FA5">
        <w:rPr>
          <w:b/>
          <w:bCs/>
          <w:lang w:val="es-ES_tradnl"/>
        </w:rPr>
        <w:t>Sistema de abastecimiento de agua</w:t>
      </w:r>
    </w:p>
    <w:p w:rsidR="000C1ED5" w:rsidRPr="004E6FA5" w:rsidRDefault="000C1ED5" w:rsidP="000C1ED5">
      <w:pPr>
        <w:pStyle w:val="enumlev1"/>
        <w:rPr>
          <w:lang w:val="es-ES_tradnl" w:eastAsia="zh-CN"/>
        </w:rPr>
      </w:pPr>
      <w:r w:rsidRPr="004E6FA5">
        <w:rPr>
          <w:lang w:val="es-ES_tradnl" w:eastAsia="zh-CN"/>
        </w:rPr>
        <w:tab/>
        <w:t>Las LPWAN pueden dar soporte a sensores y/o dispositivos para la resolución de problemas relacionados con infraestructuras defectuosas u obsoletas en entornos urbanos, mediante la detección de fugas y desbordamientos y la notificación a las autoridades.</w:t>
      </w:r>
    </w:p>
    <w:p w:rsidR="000C1ED5" w:rsidRPr="004E6FA5" w:rsidRDefault="000C1ED5" w:rsidP="000C1ED5">
      <w:pPr>
        <w:keepNext/>
        <w:keepLines/>
        <w:rPr>
          <w:lang w:val="es-ES_tradnl" w:eastAsia="zh-CN"/>
        </w:rPr>
      </w:pPr>
      <w:r w:rsidRPr="004E6FA5">
        <w:rPr>
          <w:lang w:val="es-ES_tradnl"/>
        </w:rPr>
        <w:t>–</w:t>
      </w:r>
      <w:r w:rsidRPr="004E6FA5">
        <w:rPr>
          <w:lang w:val="es-ES_tradnl"/>
        </w:rPr>
        <w:tab/>
      </w:r>
      <w:r w:rsidRPr="004E6FA5">
        <w:rPr>
          <w:b/>
          <w:bCs/>
          <w:lang w:val="es-ES_tradnl"/>
        </w:rPr>
        <w:t>Alumbrado público</w:t>
      </w:r>
    </w:p>
    <w:p w:rsidR="000C1ED5" w:rsidRPr="004E6FA5" w:rsidRDefault="000C1ED5" w:rsidP="000C1ED5">
      <w:pPr>
        <w:pStyle w:val="enumlev1"/>
        <w:rPr>
          <w:lang w:val="es-ES_tradnl" w:eastAsia="zh-CN"/>
        </w:rPr>
      </w:pPr>
      <w:r w:rsidRPr="004E6FA5">
        <w:rPr>
          <w:lang w:val="es-ES_tradnl"/>
        </w:rPr>
        <w:tab/>
        <w:t>La tecnología LPWAN puede utilizarse tanto para gestionar redes de alumbrado público inteligentes, como para mejorar aspectos relativos a la seguridad, por ejemplo, comunicando información o circunstancias relacionas con accidentes de tráfico o cortes de carretera a ubicaciones cercanas.</w:t>
      </w:r>
    </w:p>
    <w:p w:rsidR="000C1ED5" w:rsidRPr="004E6FA5" w:rsidRDefault="000C1ED5" w:rsidP="000C1ED5">
      <w:pPr>
        <w:rPr>
          <w:lang w:val="es-ES_tradnl" w:eastAsia="zh-CN"/>
        </w:rPr>
      </w:pPr>
      <w:r w:rsidRPr="004E6FA5">
        <w:rPr>
          <w:lang w:val="es-ES_tradnl"/>
        </w:rPr>
        <w:t>–</w:t>
      </w:r>
      <w:r w:rsidRPr="004E6FA5">
        <w:rPr>
          <w:lang w:val="es-ES_tradnl"/>
        </w:rPr>
        <w:tab/>
      </w:r>
      <w:r w:rsidRPr="004E6FA5">
        <w:rPr>
          <w:b/>
          <w:bCs/>
          <w:lang w:val="es-ES_tradnl"/>
        </w:rPr>
        <w:t>Sistema de estacionamiento inteligente</w:t>
      </w:r>
    </w:p>
    <w:p w:rsidR="000C1ED5" w:rsidRPr="004E6FA5" w:rsidRDefault="000C1ED5" w:rsidP="000C1ED5">
      <w:pPr>
        <w:pStyle w:val="enumlev1"/>
        <w:rPr>
          <w:lang w:val="es-ES_tradnl" w:eastAsia="zh-CN"/>
        </w:rPr>
      </w:pPr>
      <w:r w:rsidRPr="004E6FA5">
        <w:rPr>
          <w:lang w:val="es-ES_tradnl" w:eastAsia="zh-CN"/>
        </w:rPr>
        <w:tab/>
        <w:t>Las LPWAN pueden utilizarse para optimizar el uso de los aparcamientos y zonas de estacionamiento municipales, informando a los usuarios sobre las plazas disponibles en las inmediaciones.</w:t>
      </w:r>
    </w:p>
    <w:p w:rsidR="000C1ED5" w:rsidRPr="004E6FA5" w:rsidRDefault="000C1ED5" w:rsidP="000C1ED5">
      <w:pPr>
        <w:rPr>
          <w:lang w:val="es-ES_tradnl" w:eastAsia="zh-CN"/>
        </w:rPr>
      </w:pPr>
      <w:r w:rsidRPr="004E6FA5">
        <w:rPr>
          <w:lang w:val="es-ES_tradnl"/>
        </w:rPr>
        <w:t>–</w:t>
      </w:r>
      <w:r w:rsidRPr="004E6FA5">
        <w:rPr>
          <w:lang w:val="es-ES_tradnl"/>
        </w:rPr>
        <w:tab/>
      </w:r>
      <w:r w:rsidRPr="004E6FA5">
        <w:rPr>
          <w:b/>
          <w:bCs/>
          <w:lang w:val="es-ES_tradnl" w:eastAsia="zh-CN"/>
        </w:rPr>
        <w:t>Control de la contaminación</w:t>
      </w:r>
    </w:p>
    <w:p w:rsidR="000C1ED5" w:rsidRPr="004E6FA5" w:rsidRDefault="000C1ED5" w:rsidP="000C1ED5">
      <w:pPr>
        <w:pStyle w:val="enumlev1"/>
        <w:rPr>
          <w:lang w:val="es-ES_tradnl" w:eastAsia="zh-CN"/>
        </w:rPr>
      </w:pPr>
      <w:r w:rsidRPr="004E6FA5">
        <w:rPr>
          <w:lang w:val="es-ES_tradnl" w:eastAsia="zh-CN"/>
        </w:rPr>
        <w:tab/>
        <w:t xml:space="preserve">Frente a una contaminación ambiental en rápido aumento, la tecnología LPWAN puede desempeñar una función particular en el mantenimiento del equilibrio ecológico por medio de sensores ubicados de </w:t>
      </w:r>
      <w:proofErr w:type="gramStart"/>
      <w:r w:rsidRPr="004E6FA5">
        <w:rPr>
          <w:lang w:val="es-ES_tradnl" w:eastAsia="zh-CN"/>
        </w:rPr>
        <w:t>manera inteligente y capaces</w:t>
      </w:r>
      <w:proofErr w:type="gramEnd"/>
      <w:r w:rsidRPr="004E6FA5">
        <w:rPr>
          <w:lang w:val="es-ES_tradnl" w:eastAsia="zh-CN"/>
        </w:rPr>
        <w:t xml:space="preserve"> de informar a los funcionarios competentes sobre los niveles de contaminación de la localidad. Estos dispositivos también permiten realizar un seguimiento del consumo y/o desperdicio general de energía ambiental en los alrededores de las plantas energéticas y las industrias pesadas.</w:t>
      </w:r>
    </w:p>
    <w:p w:rsidR="000C1ED5" w:rsidRPr="004E6FA5" w:rsidRDefault="000C1ED5" w:rsidP="000C1ED5">
      <w:pPr>
        <w:rPr>
          <w:b/>
          <w:bCs/>
          <w:lang w:val="es-ES_tradnl" w:eastAsia="zh-CN"/>
        </w:rPr>
      </w:pPr>
      <w:r w:rsidRPr="004E6FA5">
        <w:rPr>
          <w:lang w:val="es-ES_tradnl"/>
        </w:rPr>
        <w:t>–</w:t>
      </w:r>
      <w:r w:rsidRPr="004E6FA5">
        <w:rPr>
          <w:lang w:val="es-ES_tradnl"/>
        </w:rPr>
        <w:tab/>
      </w:r>
      <w:r w:rsidRPr="004E6FA5">
        <w:rPr>
          <w:b/>
          <w:bCs/>
          <w:lang w:val="es-ES_tradnl"/>
        </w:rPr>
        <w:t>Gestión de contenedores</w:t>
      </w:r>
      <w:r w:rsidRPr="004E6FA5">
        <w:rPr>
          <w:b/>
          <w:bCs/>
          <w:lang w:val="es-ES_tradnl" w:eastAsia="zh-CN"/>
        </w:rPr>
        <w:t xml:space="preserve"> de residuos</w:t>
      </w:r>
    </w:p>
    <w:p w:rsidR="000C1ED5" w:rsidRPr="004E6FA5" w:rsidRDefault="000C1ED5" w:rsidP="000C1ED5">
      <w:pPr>
        <w:pStyle w:val="enumlev1"/>
        <w:rPr>
          <w:lang w:val="es-ES_tradnl" w:eastAsia="zh-CN"/>
        </w:rPr>
      </w:pPr>
      <w:r w:rsidRPr="004E6FA5">
        <w:rPr>
          <w:lang w:val="es-ES_tradnl" w:eastAsia="zh-CN"/>
        </w:rPr>
        <w:tab/>
        <w:t>Las LPWAN pueden contribuir a una gestión adecuada de los residuos por medio de sensores inteligentes que permiten detectar si los contenedores están llenos y deben vaciarse. También cabe esperar que estos sensores recopilen datos sobre el tipo de residuos que los ciudadanos eliminan.</w:t>
      </w:r>
    </w:p>
    <w:p w:rsidR="000C1ED5" w:rsidRPr="004E6FA5" w:rsidRDefault="000C1ED5" w:rsidP="000C1ED5">
      <w:pPr>
        <w:rPr>
          <w:lang w:val="es-ES_tradnl" w:eastAsia="zh-CN"/>
        </w:rPr>
      </w:pPr>
      <w:r w:rsidRPr="004E6FA5">
        <w:rPr>
          <w:lang w:val="es-ES_tradnl"/>
        </w:rPr>
        <w:t>–</w:t>
      </w:r>
      <w:r w:rsidRPr="004E6FA5">
        <w:rPr>
          <w:lang w:val="es-ES_tradnl"/>
        </w:rPr>
        <w:tab/>
      </w:r>
      <w:r w:rsidRPr="004E6FA5">
        <w:rPr>
          <w:b/>
          <w:bCs/>
          <w:lang w:val="es-ES_tradnl"/>
        </w:rPr>
        <w:t>Gestión de carga e inventario inteligente</w:t>
      </w:r>
    </w:p>
    <w:p w:rsidR="000C1ED5" w:rsidRPr="004E6FA5" w:rsidRDefault="000C1ED5" w:rsidP="000C1ED5">
      <w:pPr>
        <w:pStyle w:val="enumlev1"/>
        <w:rPr>
          <w:lang w:val="es-ES_tradnl" w:eastAsia="zh-CN"/>
        </w:rPr>
      </w:pPr>
      <w:r w:rsidRPr="004E6FA5">
        <w:rPr>
          <w:lang w:val="es-ES_tradnl"/>
        </w:rPr>
        <w:tab/>
        <w:t>Los sensores habilitados por las LPWAN pueden constituir una herramienta útil en el marco de los sistemas de inventario inteligentes (es decir, en los camiones de carga y los puertos entre los que llevan los inventarios). Los sensores transmitirían periódicamente información actualizada sobre la ubicación de los vehículos de carga y el estado de los inventarios. Además, las LPWAN pueden notificar a los operadores si es necesarios efectuar reparaciones y otros trabajos de mantenimiento en los vehículos de carga y, en caso afirmativo, cuándo.</w:t>
      </w:r>
    </w:p>
    <w:p w:rsidR="000C1ED5" w:rsidRPr="004E6FA5" w:rsidRDefault="000C1ED5" w:rsidP="000C1ED5">
      <w:pPr>
        <w:rPr>
          <w:lang w:val="es-ES_tradnl" w:eastAsia="zh-CN"/>
        </w:rPr>
      </w:pPr>
      <w:r w:rsidRPr="004E6FA5">
        <w:rPr>
          <w:lang w:val="es-ES_tradnl"/>
        </w:rPr>
        <w:t>–</w:t>
      </w:r>
      <w:r w:rsidRPr="004E6FA5">
        <w:rPr>
          <w:lang w:val="es-ES_tradnl"/>
        </w:rPr>
        <w:tab/>
      </w:r>
      <w:r w:rsidRPr="004E6FA5">
        <w:rPr>
          <w:b/>
          <w:bCs/>
          <w:lang w:val="es-ES_tradnl"/>
        </w:rPr>
        <w:t>Sistemas de detección de incendios</w:t>
      </w:r>
    </w:p>
    <w:p w:rsidR="000C1ED5" w:rsidRPr="004E6FA5" w:rsidRDefault="000C1ED5" w:rsidP="000C1ED5">
      <w:pPr>
        <w:pStyle w:val="enumlev1"/>
        <w:rPr>
          <w:lang w:val="es-ES_tradnl" w:eastAsia="zh-CN"/>
        </w:rPr>
      </w:pPr>
      <w:r w:rsidRPr="004E6FA5">
        <w:rPr>
          <w:lang w:val="es-ES_tradnl" w:eastAsia="zh-CN"/>
        </w:rPr>
        <w:tab/>
        <w:t>Los sensores y alarmas contra incendios dotados de tecnología LPWAN pueden utilizarse para enviar rápidamente notificaciones de emergencia a los cuerpos de bomberos locales, con miras a la prestación de socorro y la limitación de los daños.</w:t>
      </w:r>
    </w:p>
    <w:p w:rsidR="000C1ED5" w:rsidRPr="004E6FA5" w:rsidRDefault="000C1ED5" w:rsidP="000C1ED5">
      <w:pPr>
        <w:ind w:left="1134" w:hanging="1134"/>
        <w:rPr>
          <w:lang w:val="es-ES_tradnl"/>
        </w:rPr>
      </w:pPr>
      <w:r w:rsidRPr="004E6FA5">
        <w:rPr>
          <w:lang w:val="es-ES_tradnl"/>
        </w:rPr>
        <w:t>–</w:t>
      </w:r>
      <w:r w:rsidRPr="004E6FA5">
        <w:rPr>
          <w:lang w:val="es-ES_tradnl"/>
        </w:rPr>
        <w:tab/>
      </w:r>
      <w:r w:rsidRPr="004E6FA5">
        <w:rPr>
          <w:b/>
          <w:bCs/>
          <w:lang w:val="es-ES_tradnl"/>
        </w:rPr>
        <w:t>Bocas de incendio conectadas</w:t>
      </w:r>
    </w:p>
    <w:p w:rsidR="000C1ED5" w:rsidRPr="004E6FA5" w:rsidRDefault="000C1ED5" w:rsidP="000C1ED5">
      <w:pPr>
        <w:pStyle w:val="enumlev1"/>
        <w:rPr>
          <w:szCs w:val="24"/>
          <w:lang w:val="es-ES_tradnl"/>
        </w:rPr>
      </w:pPr>
      <w:r w:rsidRPr="004E6FA5">
        <w:rPr>
          <w:lang w:val="es-ES_tradnl"/>
        </w:rPr>
        <w:tab/>
        <w:t>Estos dispositivos ayudan a detectar bocas defectuosas y dolos. Además, podrían realizar un seguimiento del modo en que las bocas de incendio utilizan el agua.</w:t>
      </w:r>
    </w:p>
    <w:p w:rsidR="000C1ED5" w:rsidRPr="004E6FA5" w:rsidRDefault="000C1ED5" w:rsidP="000C1ED5">
      <w:pPr>
        <w:rPr>
          <w:lang w:val="es-ES_tradnl"/>
        </w:rPr>
      </w:pPr>
      <w:r w:rsidRPr="004E6FA5">
        <w:rPr>
          <w:lang w:val="es-ES_tradnl"/>
        </w:rPr>
        <w:lastRenderedPageBreak/>
        <w:t>–</w:t>
      </w:r>
      <w:r w:rsidRPr="004E6FA5">
        <w:rPr>
          <w:lang w:val="es-ES_tradnl"/>
        </w:rPr>
        <w:tab/>
      </w:r>
      <w:r w:rsidRPr="004E6FA5">
        <w:rPr>
          <w:b/>
          <w:lang w:val="es-ES_tradnl"/>
        </w:rPr>
        <w:t>Gestión de espacios verdes urbanos</w:t>
      </w:r>
    </w:p>
    <w:p w:rsidR="000C1ED5" w:rsidRPr="004E6FA5" w:rsidRDefault="000C1ED5" w:rsidP="000C1ED5">
      <w:pPr>
        <w:pStyle w:val="enumlev1"/>
        <w:rPr>
          <w:lang w:val="es-ES_tradnl"/>
        </w:rPr>
      </w:pPr>
      <w:r w:rsidRPr="004E6FA5">
        <w:rPr>
          <w:lang w:val="es-ES_tradnl"/>
        </w:rPr>
        <w:tab/>
        <w:t>Los sensores de humedad del suelo, temperatura del suelo y temperatura exterior optimizan la gestión de los espacios verdes públicos y reducen el consumo hídrico.</w:t>
      </w:r>
    </w:p>
    <w:p w:rsidR="000C1ED5" w:rsidRPr="004E6FA5" w:rsidRDefault="000C1ED5" w:rsidP="000C1ED5">
      <w:pPr>
        <w:rPr>
          <w:b/>
          <w:lang w:val="es-ES_tradnl"/>
        </w:rPr>
      </w:pPr>
      <w:r w:rsidRPr="004E6FA5">
        <w:rPr>
          <w:lang w:val="es-ES_tradnl"/>
        </w:rPr>
        <w:t>–</w:t>
      </w:r>
      <w:r w:rsidRPr="004E6FA5">
        <w:rPr>
          <w:lang w:val="es-ES_tradnl"/>
        </w:rPr>
        <w:tab/>
      </w:r>
      <w:r w:rsidRPr="004E6FA5">
        <w:rPr>
          <w:b/>
          <w:lang w:val="es-ES_tradnl"/>
        </w:rPr>
        <w:t>Consumo de energía</w:t>
      </w:r>
    </w:p>
    <w:p w:rsidR="000C1ED5" w:rsidRPr="004E6FA5" w:rsidRDefault="000C1ED5" w:rsidP="000C1ED5">
      <w:pPr>
        <w:pStyle w:val="enumlev1"/>
        <w:rPr>
          <w:lang w:val="es-ES_tradnl"/>
        </w:rPr>
      </w:pPr>
      <w:r w:rsidRPr="004E6FA5">
        <w:rPr>
          <w:lang w:val="es-ES_tradnl"/>
        </w:rPr>
        <w:tab/>
        <w:t>Los sistemas de control propician una facturación más precisa y frecuente.</w:t>
      </w:r>
    </w:p>
    <w:p w:rsidR="000C1ED5" w:rsidRPr="004E6FA5" w:rsidRDefault="000C1ED5" w:rsidP="000C1ED5">
      <w:pPr>
        <w:keepNext/>
        <w:keepLines/>
        <w:rPr>
          <w:b/>
          <w:lang w:val="es-ES_tradnl"/>
        </w:rPr>
      </w:pPr>
      <w:r w:rsidRPr="004E6FA5">
        <w:rPr>
          <w:lang w:val="es-ES_tradnl"/>
        </w:rPr>
        <w:t>–</w:t>
      </w:r>
      <w:r w:rsidRPr="004E6FA5">
        <w:rPr>
          <w:lang w:val="es-ES_tradnl"/>
        </w:rPr>
        <w:tab/>
      </w:r>
      <w:r w:rsidRPr="004E6FA5">
        <w:rPr>
          <w:b/>
          <w:lang w:val="es-ES_tradnl"/>
        </w:rPr>
        <w:t>Gestión ganadera</w:t>
      </w:r>
    </w:p>
    <w:p w:rsidR="000C1ED5" w:rsidRPr="004E6FA5" w:rsidRDefault="000C1ED5" w:rsidP="000C1ED5">
      <w:pPr>
        <w:pStyle w:val="enumlev1"/>
        <w:keepNext/>
        <w:keepLines/>
        <w:rPr>
          <w:szCs w:val="24"/>
          <w:lang w:val="es-ES_tradnl"/>
        </w:rPr>
      </w:pPr>
      <w:r w:rsidRPr="004E6FA5">
        <w:rPr>
          <w:lang w:val="es-ES_tradnl"/>
        </w:rPr>
        <w:tab/>
        <w:t>El sistema de localización para explotaciones ganaderas ofrece capacidades de control y rastreabilidad, pues permite detectar anomalías debidas a cambios de temperatura, actividad, comportamiento y parición del ganado, entre otros factores.</w:t>
      </w:r>
    </w:p>
    <w:p w:rsidR="000C1ED5" w:rsidRPr="004E6FA5" w:rsidRDefault="000C1ED5" w:rsidP="000C1ED5">
      <w:pPr>
        <w:rPr>
          <w:b/>
          <w:lang w:val="es-ES_tradnl"/>
        </w:rPr>
      </w:pPr>
      <w:r w:rsidRPr="004E6FA5">
        <w:rPr>
          <w:lang w:val="es-ES_tradnl"/>
        </w:rPr>
        <w:t>–</w:t>
      </w:r>
      <w:r w:rsidRPr="004E6FA5">
        <w:rPr>
          <w:lang w:val="es-ES_tradnl"/>
        </w:rPr>
        <w:tab/>
      </w:r>
      <w:r w:rsidRPr="004E6FA5">
        <w:rPr>
          <w:b/>
          <w:lang w:val="es-ES_tradnl"/>
        </w:rPr>
        <w:t>Irrigación inteligente</w:t>
      </w:r>
    </w:p>
    <w:p w:rsidR="000C1ED5" w:rsidRPr="004E6FA5" w:rsidRDefault="000C1ED5" w:rsidP="000C1ED5">
      <w:pPr>
        <w:pStyle w:val="enumlev1"/>
        <w:rPr>
          <w:szCs w:val="24"/>
          <w:lang w:val="es-ES_tradnl"/>
        </w:rPr>
      </w:pPr>
      <w:r w:rsidRPr="004E6FA5">
        <w:rPr>
          <w:lang w:val="es-ES_tradnl"/>
        </w:rPr>
        <w:tab/>
        <w:t>Esta tecnología permite reducir el consumo de recursos hídricos y elaborar estrategias de irrigación para obtener productos comercializables y aminorar las pérdidas materiales.</w:t>
      </w:r>
    </w:p>
    <w:p w:rsidR="000C1ED5" w:rsidRPr="004E6FA5" w:rsidRDefault="000C1ED5" w:rsidP="000C1ED5">
      <w:pPr>
        <w:keepNext/>
        <w:keepLines/>
        <w:rPr>
          <w:b/>
          <w:lang w:val="es-ES_tradnl"/>
        </w:rPr>
      </w:pPr>
      <w:r w:rsidRPr="004E6FA5">
        <w:rPr>
          <w:lang w:val="es-ES_tradnl"/>
        </w:rPr>
        <w:t>–</w:t>
      </w:r>
      <w:r w:rsidRPr="004E6FA5">
        <w:rPr>
          <w:lang w:val="es-ES_tradnl"/>
        </w:rPr>
        <w:tab/>
      </w:r>
      <w:r w:rsidRPr="004E6FA5">
        <w:rPr>
          <w:b/>
          <w:lang w:val="es-ES_tradnl"/>
        </w:rPr>
        <w:t>Servicio de recogida de paquetes</w:t>
      </w:r>
    </w:p>
    <w:p w:rsidR="000C1ED5" w:rsidRPr="004E6FA5" w:rsidRDefault="000C1ED5" w:rsidP="000C1ED5">
      <w:pPr>
        <w:pStyle w:val="enumlev1"/>
        <w:rPr>
          <w:szCs w:val="24"/>
          <w:lang w:val="es-ES_tradnl"/>
        </w:rPr>
      </w:pPr>
      <w:r w:rsidRPr="004E6FA5">
        <w:rPr>
          <w:lang w:val="es-ES_tradnl"/>
        </w:rPr>
        <w:tab/>
        <w:t>Un botón inteligente situado dentro del buzón puede notificar al cartero que se ha depositado un paquete en su interior y permitir que los clientes envíen paquetes desde casa.</w:t>
      </w:r>
    </w:p>
    <w:p w:rsidR="000C1ED5" w:rsidRPr="004E6FA5" w:rsidRDefault="000C1ED5" w:rsidP="000C1ED5">
      <w:pPr>
        <w:rPr>
          <w:b/>
          <w:lang w:val="es-ES_tradnl"/>
        </w:rPr>
      </w:pPr>
      <w:r w:rsidRPr="004E6FA5">
        <w:rPr>
          <w:lang w:val="es-ES_tradnl"/>
        </w:rPr>
        <w:t>–</w:t>
      </w:r>
      <w:r w:rsidRPr="004E6FA5">
        <w:rPr>
          <w:lang w:val="es-ES_tradnl"/>
        </w:rPr>
        <w:tab/>
      </w:r>
      <w:r w:rsidRPr="004E6FA5">
        <w:rPr>
          <w:b/>
          <w:lang w:val="es-ES_tradnl"/>
        </w:rPr>
        <w:t>Sistema de gestión de activos industriales</w:t>
      </w:r>
    </w:p>
    <w:p w:rsidR="000C1ED5" w:rsidRPr="004E6FA5" w:rsidRDefault="000C1ED5" w:rsidP="000C1ED5">
      <w:pPr>
        <w:pStyle w:val="enumlev1"/>
        <w:rPr>
          <w:lang w:val="es-ES_tradnl"/>
        </w:rPr>
      </w:pPr>
      <w:r w:rsidRPr="004E6FA5">
        <w:rPr>
          <w:lang w:val="es-ES_tradnl"/>
        </w:rPr>
        <w:tab/>
        <w:t>Esta tecnología permite realizar un seguimiento de las piezas de recambio entre las fábricas y los locales de los proveedores.</w:t>
      </w:r>
    </w:p>
    <w:p w:rsidR="000C1ED5" w:rsidRPr="004E6FA5" w:rsidRDefault="000C1ED5" w:rsidP="000C1ED5">
      <w:pPr>
        <w:rPr>
          <w:b/>
          <w:lang w:val="es-ES_tradnl"/>
        </w:rPr>
      </w:pPr>
      <w:r w:rsidRPr="004E6FA5">
        <w:rPr>
          <w:lang w:val="es-ES_tradnl"/>
        </w:rPr>
        <w:t>–</w:t>
      </w:r>
      <w:r w:rsidRPr="004E6FA5">
        <w:rPr>
          <w:lang w:val="es-ES_tradnl"/>
        </w:rPr>
        <w:tab/>
      </w:r>
      <w:r w:rsidRPr="004E6FA5">
        <w:rPr>
          <w:b/>
          <w:bCs/>
          <w:lang w:val="es-ES_tradnl"/>
        </w:rPr>
        <w:t>Gestión de las baterías de las barreras de los pasos a nivel</w:t>
      </w:r>
    </w:p>
    <w:p w:rsidR="000C1ED5" w:rsidRPr="004E6FA5" w:rsidRDefault="000C1ED5" w:rsidP="000C1ED5">
      <w:pPr>
        <w:pStyle w:val="enumlev1"/>
        <w:rPr>
          <w:lang w:val="es-ES_tradnl"/>
        </w:rPr>
      </w:pPr>
      <w:r w:rsidRPr="004E6FA5">
        <w:rPr>
          <w:lang w:val="es-ES_tradnl"/>
        </w:rPr>
        <w:tab/>
        <w:t>Esta solución limita los fallos de servicio de activos críticos, notificando instantáneamente al operador de mantenimiento cualquier evento detectado en la fuente de alimentación de reserva.</w:t>
      </w:r>
    </w:p>
    <w:p w:rsidR="000C1ED5" w:rsidRPr="004E6FA5" w:rsidRDefault="000C1ED5" w:rsidP="000C1ED5">
      <w:pPr>
        <w:rPr>
          <w:b/>
          <w:lang w:val="es-ES_tradnl"/>
        </w:rPr>
      </w:pPr>
      <w:r w:rsidRPr="004E6FA5">
        <w:rPr>
          <w:lang w:val="es-ES_tradnl"/>
        </w:rPr>
        <w:t>–</w:t>
      </w:r>
      <w:r w:rsidRPr="004E6FA5">
        <w:rPr>
          <w:lang w:val="es-ES_tradnl"/>
        </w:rPr>
        <w:tab/>
      </w:r>
      <w:r w:rsidRPr="004E6FA5">
        <w:rPr>
          <w:b/>
          <w:lang w:val="es-ES_tradnl"/>
        </w:rPr>
        <w:t>Recuperación de vehículos robados</w:t>
      </w:r>
    </w:p>
    <w:p w:rsidR="000C1ED5" w:rsidRPr="004E6FA5" w:rsidRDefault="000C1ED5" w:rsidP="000C1ED5">
      <w:pPr>
        <w:pStyle w:val="enumlev1"/>
        <w:rPr>
          <w:b/>
          <w:lang w:val="es-ES_tradnl"/>
        </w:rPr>
      </w:pPr>
      <w:r w:rsidRPr="004E6FA5">
        <w:rPr>
          <w:lang w:val="es-ES_tradnl"/>
        </w:rPr>
        <w:tab/>
        <w:t>Esta tecnología permite localizar y recuperar activos robados a través de un pequeño dispositivo de seguimiento GPS oculto.</w:t>
      </w:r>
    </w:p>
    <w:p w:rsidR="000C1ED5" w:rsidRPr="004E6FA5" w:rsidRDefault="000C1ED5" w:rsidP="000C1ED5">
      <w:pPr>
        <w:pStyle w:val="Heading1"/>
        <w:rPr>
          <w:lang w:val="es-ES_tradnl"/>
        </w:rPr>
      </w:pPr>
      <w:r w:rsidRPr="004E6FA5">
        <w:rPr>
          <w:lang w:val="es-ES_tradnl"/>
        </w:rPr>
        <w:t>5</w:t>
      </w:r>
      <w:r w:rsidRPr="004E6FA5">
        <w:rPr>
          <w:lang w:val="es-ES_tradnl"/>
        </w:rPr>
        <w:tab/>
        <w:t>Aspectos técnicos y operativos de las LPWAN</w:t>
      </w:r>
    </w:p>
    <w:p w:rsidR="000C1ED5" w:rsidRPr="004E6FA5" w:rsidRDefault="000C1ED5" w:rsidP="000C1ED5">
      <w:pPr>
        <w:pStyle w:val="Heading2"/>
        <w:rPr>
          <w:lang w:val="es-ES_tradnl"/>
        </w:rPr>
      </w:pPr>
      <w:r w:rsidRPr="004E6FA5">
        <w:rPr>
          <w:lang w:val="es-ES_tradnl"/>
        </w:rPr>
        <w:t>5.1</w:t>
      </w:r>
      <w:r w:rsidRPr="004E6FA5">
        <w:rPr>
          <w:lang w:val="es-ES_tradnl"/>
        </w:rPr>
        <w:tab/>
        <w:t>Aspectos técnicos</w:t>
      </w:r>
    </w:p>
    <w:p w:rsidR="000C1ED5" w:rsidRPr="004E6FA5" w:rsidRDefault="000C1ED5" w:rsidP="000C1ED5">
      <w:pPr>
        <w:rPr>
          <w:lang w:val="es-ES_tradnl"/>
        </w:rPr>
      </w:pPr>
      <w:r w:rsidRPr="004E6FA5">
        <w:rPr>
          <w:lang w:val="es-ES_tradnl"/>
        </w:rPr>
        <w:t xml:space="preserve">En las secciones que figuran a continuación se enumeran los principales aspectos técnicos comunes de las LPWAN, a fin de abordar casos de uso de IoT masivos. Los siguientes valores típicos dimanan de normas y reglamentos por los que se rige el funcionamiento de los sistemas LPWAN a escala mundial (entre ellos, </w:t>
      </w:r>
      <w:r w:rsidRPr="004E6FA5">
        <w:rPr>
          <w:bCs/>
          <w:lang w:val="es-ES_tradnl"/>
        </w:rPr>
        <w:t>ETSI EN 300 220, 47 CFR 15.247, etc.).</w:t>
      </w:r>
    </w:p>
    <w:p w:rsidR="000C1ED5" w:rsidRPr="004E6FA5" w:rsidRDefault="000C1ED5" w:rsidP="000C1ED5">
      <w:pPr>
        <w:pStyle w:val="Heading3"/>
        <w:rPr>
          <w:lang w:val="es-ES_tradnl"/>
        </w:rPr>
      </w:pPr>
      <w:r w:rsidRPr="004E6FA5">
        <w:rPr>
          <w:lang w:val="es-ES_tradnl"/>
        </w:rPr>
        <w:t>5.1.1</w:t>
      </w:r>
      <w:r w:rsidRPr="004E6FA5">
        <w:rPr>
          <w:lang w:val="es-ES_tradnl"/>
        </w:rPr>
        <w:tab/>
        <w:t>Parámetros de los transceptores</w:t>
      </w:r>
    </w:p>
    <w:p w:rsidR="000C1ED5" w:rsidRPr="004E6FA5" w:rsidRDefault="000C1ED5" w:rsidP="000C1ED5">
      <w:pPr>
        <w:pStyle w:val="enumlev1"/>
        <w:rPr>
          <w:b/>
          <w:bCs/>
          <w:lang w:val="es-ES_tradnl"/>
        </w:rPr>
      </w:pPr>
      <w:r w:rsidRPr="004E6FA5">
        <w:rPr>
          <w:lang w:val="es-ES_tradnl"/>
        </w:rPr>
        <w:t>–</w:t>
      </w:r>
      <w:r w:rsidRPr="004E6FA5">
        <w:rPr>
          <w:lang w:val="es-ES_tradnl"/>
        </w:rPr>
        <w:tab/>
      </w:r>
      <w:r w:rsidRPr="004E6FA5">
        <w:rPr>
          <w:b/>
          <w:bCs/>
          <w:lang w:val="es-ES_tradnl"/>
        </w:rPr>
        <w:t>Potencia de salida/potencia radiada de los transmisores</w:t>
      </w:r>
    </w:p>
    <w:p w:rsidR="000C1ED5" w:rsidRPr="004E6FA5" w:rsidRDefault="000C1ED5" w:rsidP="000C1ED5">
      <w:pPr>
        <w:pStyle w:val="enumlev1"/>
        <w:rPr>
          <w:lang w:val="es-ES_tradnl"/>
        </w:rPr>
      </w:pPr>
      <w:r w:rsidRPr="004E6FA5">
        <w:rPr>
          <w:lang w:val="es-ES_tradnl"/>
        </w:rPr>
        <w:tab/>
        <w:t>Los sistemas LPWAN conectan objetos y dispositivos a través de pasarelas y estaciones de acceso. Los sistemas no siempre gozan de equilibrio y las potencias radiadas isotrópicas equivalentes varían en función de la tecnología y el papel de cada transmisor en los sistemas.</w:t>
      </w:r>
    </w:p>
    <w:p w:rsidR="000C1ED5" w:rsidRPr="004E6FA5" w:rsidRDefault="000C1ED5" w:rsidP="000C1ED5">
      <w:pPr>
        <w:pStyle w:val="enumlev1"/>
        <w:rPr>
          <w:lang w:val="es-ES_tradnl"/>
        </w:rPr>
      </w:pPr>
      <w:r w:rsidRPr="004E6FA5">
        <w:rPr>
          <w:lang w:val="es-ES_tradnl"/>
        </w:rPr>
        <w:tab/>
        <w:t>Los valores típicos (p.i.r.e.) oscilan entre 200 mW y 4 W en las estaciones de acceso y 5 mW y 500 mW en los puntos extremos.</w:t>
      </w:r>
    </w:p>
    <w:p w:rsidR="000C1ED5" w:rsidRPr="004E6FA5" w:rsidRDefault="000C1ED5" w:rsidP="00F71A3D">
      <w:pPr>
        <w:pStyle w:val="enumlev1"/>
        <w:keepNext/>
        <w:keepLines/>
        <w:rPr>
          <w:bCs/>
          <w:lang w:val="es-ES_tradnl"/>
        </w:rPr>
      </w:pPr>
      <w:r w:rsidRPr="004E6FA5">
        <w:rPr>
          <w:lang w:val="es-ES_tradnl"/>
        </w:rPr>
        <w:lastRenderedPageBreak/>
        <w:t>–</w:t>
      </w:r>
      <w:r w:rsidRPr="004E6FA5">
        <w:rPr>
          <w:lang w:val="es-ES_tradnl"/>
        </w:rPr>
        <w:tab/>
      </w:r>
      <w:r w:rsidRPr="004E6FA5">
        <w:rPr>
          <w:b/>
          <w:bCs/>
          <w:lang w:val="es-ES_tradnl"/>
        </w:rPr>
        <w:t>Características de las antenas</w:t>
      </w:r>
    </w:p>
    <w:p w:rsidR="000C1ED5" w:rsidRPr="004E6FA5" w:rsidRDefault="000C1ED5" w:rsidP="000C1ED5">
      <w:pPr>
        <w:pStyle w:val="enumlev1"/>
        <w:rPr>
          <w:lang w:val="es-ES_tradnl"/>
        </w:rPr>
      </w:pPr>
      <w:r w:rsidRPr="004E6FA5">
        <w:rPr>
          <w:lang w:val="es-ES_tradnl"/>
        </w:rPr>
        <w:tab/>
        <w:t>La mayoría de los transmisores utiliza una antena omnidireccional. En este caso, el valor típico oscila entre 0 dBi y 6 dBi.</w:t>
      </w:r>
    </w:p>
    <w:p w:rsidR="000C1ED5" w:rsidRPr="004E6FA5" w:rsidRDefault="000C1ED5" w:rsidP="000C1ED5">
      <w:pPr>
        <w:pStyle w:val="enumlev1"/>
        <w:rPr>
          <w:bCs/>
          <w:lang w:val="es-ES_tradnl"/>
        </w:rPr>
      </w:pPr>
      <w:r w:rsidRPr="004E6FA5">
        <w:rPr>
          <w:lang w:val="es-ES_tradnl"/>
        </w:rPr>
        <w:t>–</w:t>
      </w:r>
      <w:r w:rsidRPr="004E6FA5">
        <w:rPr>
          <w:lang w:val="es-ES_tradnl"/>
        </w:rPr>
        <w:tab/>
      </w:r>
      <w:r w:rsidRPr="004E6FA5">
        <w:rPr>
          <w:b/>
          <w:bCs/>
          <w:lang w:val="es-ES_tradnl"/>
        </w:rPr>
        <w:t>Clases de emisión</w:t>
      </w:r>
    </w:p>
    <w:p w:rsidR="000C1ED5" w:rsidRPr="004E6FA5" w:rsidRDefault="000C1ED5" w:rsidP="000C1ED5">
      <w:pPr>
        <w:pStyle w:val="enumlev1"/>
        <w:rPr>
          <w:lang w:val="es-ES_tradnl"/>
        </w:rPr>
      </w:pPr>
      <w:r w:rsidRPr="004E6FA5">
        <w:rPr>
          <w:lang w:val="es-ES_tradnl"/>
        </w:rPr>
        <w:tab/>
        <w:t>No se utiliza ninguna clase de emisión específica para los sistemas LPWAN. La mayoría de los sistemas emplean modulaciones digitales complejas o combinadas.</w:t>
      </w:r>
    </w:p>
    <w:p w:rsidR="000C1ED5" w:rsidRPr="004E6FA5" w:rsidRDefault="000C1ED5" w:rsidP="000C1ED5">
      <w:pPr>
        <w:pStyle w:val="enumlev1"/>
        <w:keepNext/>
        <w:keepLines/>
        <w:rPr>
          <w:bCs/>
          <w:lang w:val="es-ES_tradnl"/>
        </w:rPr>
      </w:pPr>
      <w:r w:rsidRPr="004E6FA5">
        <w:rPr>
          <w:lang w:val="es-ES_tradnl"/>
        </w:rPr>
        <w:t>–</w:t>
      </w:r>
      <w:r w:rsidRPr="004E6FA5">
        <w:rPr>
          <w:lang w:val="es-ES_tradnl"/>
        </w:rPr>
        <w:tab/>
      </w:r>
      <w:r w:rsidRPr="004E6FA5">
        <w:rPr>
          <w:b/>
          <w:bCs/>
          <w:lang w:val="es-ES_tradnl"/>
        </w:rPr>
        <w:t>Ancho de banda de modulación</w:t>
      </w:r>
    </w:p>
    <w:p w:rsidR="000C1ED5" w:rsidRPr="004E6FA5" w:rsidRDefault="000C1ED5" w:rsidP="000C1ED5">
      <w:pPr>
        <w:pStyle w:val="enumlev1"/>
        <w:keepNext/>
        <w:keepLines/>
        <w:rPr>
          <w:lang w:val="es-ES_tradnl"/>
        </w:rPr>
      </w:pPr>
      <w:r w:rsidRPr="004E6FA5">
        <w:rPr>
          <w:lang w:val="es-ES_tradnl"/>
        </w:rPr>
        <w:tab/>
        <w:t>Este parámetro depende de la tecnología utilizada. Los anchos de banda de modulación típicos oscilan entre 100 Hz y 500 kHz.</w:t>
      </w:r>
    </w:p>
    <w:p w:rsidR="000C1ED5" w:rsidRPr="004E6FA5" w:rsidRDefault="000C1ED5" w:rsidP="000C1ED5">
      <w:pPr>
        <w:pStyle w:val="enumlev1"/>
        <w:rPr>
          <w:bCs/>
          <w:lang w:val="es-ES_tradnl"/>
        </w:rPr>
      </w:pPr>
      <w:r w:rsidRPr="004E6FA5">
        <w:rPr>
          <w:lang w:val="es-ES_tradnl"/>
        </w:rPr>
        <w:t>–</w:t>
      </w:r>
      <w:r w:rsidRPr="004E6FA5">
        <w:rPr>
          <w:lang w:val="es-ES_tradnl"/>
        </w:rPr>
        <w:tab/>
      </w:r>
      <w:r w:rsidRPr="004E6FA5">
        <w:rPr>
          <w:b/>
          <w:bCs/>
          <w:lang w:val="es-ES_tradnl"/>
        </w:rPr>
        <w:t>Emisiones no deseadas</w:t>
      </w:r>
    </w:p>
    <w:p w:rsidR="000C1ED5" w:rsidRPr="004E6FA5" w:rsidRDefault="000C1ED5" w:rsidP="000C1ED5">
      <w:pPr>
        <w:pStyle w:val="enumlev1"/>
        <w:rPr>
          <w:lang w:val="es-ES_tradnl"/>
        </w:rPr>
      </w:pPr>
      <w:r w:rsidRPr="004E6FA5">
        <w:rPr>
          <w:lang w:val="es-ES_tradnl"/>
        </w:rPr>
        <w:tab/>
        <w:t>Los dispositivos de baja potencia (LPD) deben cumplir los límites de emisiones no deseadas estipulados en los reglamentos y normas pertinentes. En las Regiones de la UIT, los límites típicos se basan en la Recomendación UIT-R SM.329 y se describen con más detalle en el Informe UIT-R SM.2153 sobre parámetros técnicos y de funcionamiento de los dispositivos de radiocomunicaciones de corto alcance. Estos límites deberían definirse de acuerdo con las atribuciones a servicios y sistemas en las bandas adyacentes.</w:t>
      </w:r>
    </w:p>
    <w:p w:rsidR="000C1ED5" w:rsidRPr="004E6FA5" w:rsidRDefault="000C1ED5" w:rsidP="000C1ED5">
      <w:pPr>
        <w:pStyle w:val="enumlev1"/>
        <w:keepNext/>
        <w:rPr>
          <w:bCs/>
          <w:lang w:val="es-ES_tradnl"/>
        </w:rPr>
      </w:pPr>
      <w:r w:rsidRPr="004E6FA5">
        <w:rPr>
          <w:lang w:val="es-ES_tradnl"/>
        </w:rPr>
        <w:t>–</w:t>
      </w:r>
      <w:r w:rsidRPr="004E6FA5">
        <w:rPr>
          <w:lang w:val="es-ES_tradnl"/>
        </w:rPr>
        <w:tab/>
      </w:r>
      <w:r w:rsidRPr="004E6FA5">
        <w:rPr>
          <w:b/>
          <w:bCs/>
          <w:lang w:val="es-ES_tradnl"/>
        </w:rPr>
        <w:t>Sensibilidad de los receptores</w:t>
      </w:r>
    </w:p>
    <w:p w:rsidR="000C1ED5" w:rsidRPr="004E6FA5" w:rsidRDefault="000C1ED5" w:rsidP="000C1ED5">
      <w:pPr>
        <w:pStyle w:val="enumlev1"/>
        <w:rPr>
          <w:lang w:val="es-ES_tradnl"/>
        </w:rPr>
      </w:pPr>
      <w:r w:rsidRPr="004E6FA5">
        <w:rPr>
          <w:lang w:val="es-ES_tradnl"/>
        </w:rPr>
        <w:tab/>
        <w:t>Los sistemas LPWAN son extremadamente sensibles (en concreto, –140 dBm en 100 Hz), lo que permite a los dispositivos y equipos de baja potencia proporcionar comunicaciones de larga distancia. Esta característica fundamental de los sistemas LPWAN se basa en técnicas tales como:</w:t>
      </w:r>
    </w:p>
    <w:p w:rsidR="000C1ED5" w:rsidRPr="004E6FA5" w:rsidRDefault="000C1ED5" w:rsidP="000C1ED5">
      <w:pPr>
        <w:pStyle w:val="enumlev2"/>
        <w:rPr>
          <w:lang w:val="es-ES_tradnl"/>
        </w:rPr>
      </w:pPr>
      <w:r w:rsidRPr="004E6FA5">
        <w:rPr>
          <w:lang w:val="es-ES_tradnl"/>
        </w:rPr>
        <w:t>•</w:t>
      </w:r>
      <w:r w:rsidRPr="004E6FA5">
        <w:rPr>
          <w:lang w:val="es-ES_tradnl"/>
        </w:rPr>
        <w:tab/>
      </w:r>
      <w:proofErr w:type="gramStart"/>
      <w:r w:rsidRPr="004E6FA5">
        <w:rPr>
          <w:lang w:val="es-ES_tradnl"/>
        </w:rPr>
        <w:t>las</w:t>
      </w:r>
      <w:proofErr w:type="gramEnd"/>
      <w:r w:rsidRPr="004E6FA5">
        <w:rPr>
          <w:lang w:val="es-ES_tradnl"/>
        </w:rPr>
        <w:t xml:space="preserve"> soluciones de banda ultra estrecha (UNB), en cuyo marco el filtrado de alta selectividad combinado con un ancho de banda de señal más estrecho mejora el umbral de sensibilidad (véase la norma ETSI TR 103 435 V1.1.1); y</w:t>
      </w:r>
    </w:p>
    <w:p w:rsidR="000C1ED5" w:rsidRPr="004E6FA5" w:rsidRDefault="000C1ED5" w:rsidP="000C1ED5">
      <w:pPr>
        <w:pStyle w:val="enumlev2"/>
        <w:rPr>
          <w:lang w:val="es-ES_tradnl"/>
        </w:rPr>
      </w:pPr>
      <w:r w:rsidRPr="004E6FA5">
        <w:rPr>
          <w:lang w:val="es-ES_tradnl"/>
        </w:rPr>
        <w:t>•</w:t>
      </w:r>
      <w:r w:rsidRPr="004E6FA5">
        <w:rPr>
          <w:lang w:val="es-ES_tradnl"/>
        </w:rPr>
        <w:tab/>
      </w:r>
      <w:proofErr w:type="gramStart"/>
      <w:r w:rsidRPr="004E6FA5">
        <w:rPr>
          <w:lang w:val="es-ES_tradnl"/>
        </w:rPr>
        <w:t>las</w:t>
      </w:r>
      <w:proofErr w:type="gramEnd"/>
      <w:r w:rsidRPr="004E6FA5">
        <w:rPr>
          <w:lang w:val="es-ES_tradnl"/>
        </w:rPr>
        <w:t xml:space="preserve"> técnicas de </w:t>
      </w:r>
      <w:r w:rsidRPr="004E6FA5">
        <w:rPr>
          <w:lang w:val="es-ES_tradnl" w:eastAsia="ja-JP"/>
        </w:rPr>
        <w:t>espectro ensanchado de directo o</w:t>
      </w:r>
      <w:r w:rsidRPr="004E6FA5">
        <w:rPr>
          <w:lang w:val="es-ES_tradnl"/>
        </w:rPr>
        <w:t xml:space="preserve"> e</w:t>
      </w:r>
      <w:r w:rsidRPr="004E6FA5">
        <w:rPr>
          <w:lang w:val="es-ES_tradnl" w:eastAsia="ja-JP"/>
        </w:rPr>
        <w:t>spectro ensanchado de impulso modulado</w:t>
      </w:r>
      <w:r w:rsidRPr="004E6FA5">
        <w:rPr>
          <w:lang w:val="es-ES_tradnl"/>
        </w:rPr>
        <w:t xml:space="preserve"> (CSS), que reducen el nivel de sensibilidad por debajo del umbral de ruido gracias a la ganancia de codificación en función del factor de dispersión (véase la norma ETSI TR 103 526 V1.1.1).</w:t>
      </w:r>
    </w:p>
    <w:p w:rsidR="000C1ED5" w:rsidRPr="004E6FA5" w:rsidRDefault="000C1ED5" w:rsidP="000C1ED5">
      <w:pPr>
        <w:pStyle w:val="Heading3"/>
        <w:rPr>
          <w:lang w:val="es-ES_tradnl"/>
        </w:rPr>
      </w:pPr>
      <w:r w:rsidRPr="004E6FA5">
        <w:rPr>
          <w:lang w:val="es-ES_tradnl"/>
        </w:rPr>
        <w:t>5.1.2</w:t>
      </w:r>
      <w:r w:rsidRPr="004E6FA5">
        <w:rPr>
          <w:lang w:val="es-ES_tradnl"/>
        </w:rPr>
        <w:tab/>
        <w:t>Técnicas de acceso al espectro</w:t>
      </w:r>
    </w:p>
    <w:p w:rsidR="000C1ED5" w:rsidRPr="004E6FA5" w:rsidRDefault="000C1ED5" w:rsidP="000C1ED5">
      <w:pPr>
        <w:rPr>
          <w:lang w:val="es-ES_tradnl"/>
        </w:rPr>
      </w:pPr>
      <w:r w:rsidRPr="004E6FA5">
        <w:rPr>
          <w:lang w:val="es-ES_tradnl"/>
        </w:rPr>
        <w:t>El objetivo principal de los sistemas LPWAN es dar soporte a casos de uso de IoT masivos con requisitos de bajo rendimiento. El acceso de estos sistemas al espectro puede considerarse en virtud de la normativa aplicable a los dispositivos de corto alcance, que suelen estar exentos de licencia y sujetos a condiciones de acceso específicas en función de la aplicación.</w:t>
      </w:r>
    </w:p>
    <w:p w:rsidR="000C1ED5" w:rsidRPr="004E6FA5" w:rsidRDefault="000C1ED5" w:rsidP="000C1ED5">
      <w:pPr>
        <w:rPr>
          <w:lang w:val="es-ES_tradnl"/>
        </w:rPr>
      </w:pPr>
      <w:r w:rsidRPr="004E6FA5">
        <w:rPr>
          <w:lang w:val="es-ES_tradnl"/>
        </w:rPr>
        <w:t>Además de las técnicas de gestión del espectro generalmente aplicadas a los dispositivos de corto alcance, los sistemas LPWAN pueden utilizar técnicas de acceso aleatorio con mecanismos de diseño de sistemas para maximizar el intercambio entre sistemas y optimizar la capacidad de tráfico y la calidad de servicio.</w:t>
      </w:r>
    </w:p>
    <w:p w:rsidR="000C1ED5" w:rsidRPr="004E6FA5" w:rsidRDefault="000C1ED5" w:rsidP="000C1ED5">
      <w:pPr>
        <w:rPr>
          <w:lang w:val="es-ES_tradnl"/>
        </w:rPr>
      </w:pPr>
      <w:r w:rsidRPr="004E6FA5">
        <w:rPr>
          <w:lang w:val="es-ES_tradnl"/>
        </w:rPr>
        <w:t>Entre los mecanismos o restricciones encaminados a garantizar un intercambio adecuado entre todos los usuarios de LPWAN suelen figurar un límite de «ciclo de trabajo» que oscila entre un 1% y un 10%, sistemas de «agilidad adaptable de la frecuencia» que dependen de la detección de espectro o el principio de «escuchar antes de hablar» y funcionalidades de «salto de frecuencia».</w:t>
      </w:r>
    </w:p>
    <w:p w:rsidR="000C1ED5" w:rsidRPr="004E6FA5" w:rsidRDefault="000C1ED5" w:rsidP="000C1ED5">
      <w:pPr>
        <w:rPr>
          <w:lang w:val="es-ES_tradnl"/>
        </w:rPr>
      </w:pPr>
      <w:r w:rsidRPr="004E6FA5">
        <w:rPr>
          <w:lang w:val="es-ES_tradnl"/>
        </w:rPr>
        <w:t>Las capacidades de radio definida por software (SDR) combinadas con la diversidad de tiempo y frecuencia también se utilizan con frecuencia en las estaciones de acceso para mejorar la gestión de la capacidad de tráfico y la calidad de servicio.</w:t>
      </w:r>
    </w:p>
    <w:p w:rsidR="000C1ED5" w:rsidRPr="004E6FA5" w:rsidRDefault="000C1ED5" w:rsidP="000C1ED5">
      <w:pPr>
        <w:pStyle w:val="Heading3"/>
        <w:rPr>
          <w:lang w:val="es-ES_tradnl"/>
        </w:rPr>
      </w:pPr>
      <w:r w:rsidRPr="004E6FA5">
        <w:rPr>
          <w:lang w:val="es-ES_tradnl"/>
        </w:rPr>
        <w:lastRenderedPageBreak/>
        <w:t>5.1.3</w:t>
      </w:r>
      <w:r w:rsidRPr="004E6FA5">
        <w:rPr>
          <w:lang w:val="es-ES_tradnl"/>
        </w:rPr>
        <w:tab/>
        <w:t>Funcionalidades de las estaciones de acceso</w:t>
      </w:r>
    </w:p>
    <w:p w:rsidR="000C1ED5" w:rsidRPr="004E6FA5" w:rsidRDefault="000C1ED5" w:rsidP="000C1ED5">
      <w:pPr>
        <w:rPr>
          <w:lang w:val="es-ES_tradnl" w:eastAsia="zh-CN"/>
        </w:rPr>
      </w:pPr>
      <w:r w:rsidRPr="004E6FA5">
        <w:rPr>
          <w:lang w:val="es-ES_tradnl" w:eastAsia="zh-CN"/>
        </w:rPr>
        <w:t>Las funcionalidades relacionadas con las pasarelas suelen dividirse entre las estaciones de acceso y las infraestructuras centrales.</w:t>
      </w:r>
    </w:p>
    <w:p w:rsidR="000C1ED5" w:rsidRPr="004E6FA5" w:rsidRDefault="000C1ED5" w:rsidP="000C1ED5">
      <w:pPr>
        <w:rPr>
          <w:lang w:val="es-ES_tradnl" w:eastAsia="zh-CN"/>
        </w:rPr>
      </w:pPr>
      <w:r w:rsidRPr="004E6FA5">
        <w:rPr>
          <w:lang w:val="es-ES_tradnl" w:eastAsia="zh-CN"/>
        </w:rPr>
        <w:t>Las estaciones de acceso se despliegan entre los dispositivos y las redes de comunicación y pueden utilizar diferentes tecnologías de comunicación (por ejemplo, 3G, 4G, xPON, Wi-Fi y Ethernet) para transferir datos a la red central LPWAN. Dichas estaciones dan soporte a las conexiones en puente de comunicación entre dispositivos y redes de comunicación, así como a múltiples tecnologías de comunicación que permiten la interacción con las redes de comunicación y los SRD.</w:t>
      </w:r>
    </w:p>
    <w:p w:rsidR="000C1ED5" w:rsidRPr="004E6FA5" w:rsidRDefault="000C1ED5" w:rsidP="000C1ED5">
      <w:pPr>
        <w:rPr>
          <w:lang w:val="es-ES_tradnl" w:eastAsia="zh-CN"/>
        </w:rPr>
      </w:pPr>
      <w:r w:rsidRPr="004E6FA5">
        <w:rPr>
          <w:lang w:val="es-ES_tradnl" w:eastAsia="zh-CN"/>
        </w:rPr>
        <w:t>Esta función principal se complementa con una serie de capacidades adicionales que contribuyen a las características de seguridad e identificación de extremo a extremo del sistema.</w:t>
      </w:r>
    </w:p>
    <w:p w:rsidR="000C1ED5" w:rsidRPr="004E6FA5" w:rsidRDefault="000C1ED5" w:rsidP="000C1ED5">
      <w:pPr>
        <w:pStyle w:val="Heading2"/>
        <w:rPr>
          <w:lang w:val="es-ES_tradnl"/>
        </w:rPr>
      </w:pPr>
      <w:r w:rsidRPr="004E6FA5">
        <w:rPr>
          <w:lang w:val="es-ES_tradnl"/>
        </w:rPr>
        <w:t>5.2</w:t>
      </w:r>
      <w:r w:rsidRPr="004E6FA5">
        <w:rPr>
          <w:lang w:val="es-ES_tradnl"/>
        </w:rPr>
        <w:tab/>
        <w:t>Aspectos operativos</w:t>
      </w:r>
    </w:p>
    <w:p w:rsidR="000C1ED5" w:rsidRPr="004E6FA5" w:rsidRDefault="000C1ED5" w:rsidP="000C1ED5">
      <w:pPr>
        <w:pStyle w:val="Heading3"/>
        <w:rPr>
          <w:lang w:val="es-ES_tradnl"/>
        </w:rPr>
      </w:pPr>
      <w:r w:rsidRPr="004E6FA5">
        <w:rPr>
          <w:lang w:val="es-ES_tradnl"/>
        </w:rPr>
        <w:t>5.2.1</w:t>
      </w:r>
      <w:r w:rsidRPr="004E6FA5">
        <w:rPr>
          <w:lang w:val="es-ES_tradnl"/>
        </w:rPr>
        <w:tab/>
        <w:t>Número masivo de conexiones</w:t>
      </w:r>
    </w:p>
    <w:p w:rsidR="000C1ED5" w:rsidRPr="004E6FA5" w:rsidRDefault="000C1ED5" w:rsidP="000C1ED5">
      <w:pPr>
        <w:rPr>
          <w:lang w:val="es-ES_tradnl"/>
        </w:rPr>
      </w:pPr>
      <w:r w:rsidRPr="004E6FA5">
        <w:rPr>
          <w:lang w:val="es-ES_tradnl"/>
        </w:rPr>
        <w:t>La topología característica de los sistemas LPWAN es una topología de estrella, en cuyo marco una cantidad que oscila entre decenas y cientos de miles de dispositivos están conectados a una estación de acceso en una zona de servicio concreta. La densidad de nodo prevista de los sistemas LPWAN es la siguiente:</w:t>
      </w:r>
    </w:p>
    <w:p w:rsidR="000C1ED5" w:rsidRPr="004E6FA5" w:rsidRDefault="000C1ED5" w:rsidP="000C1ED5">
      <w:pPr>
        <w:pStyle w:val="enumlev1"/>
        <w:rPr>
          <w:lang w:val="es-ES_tradnl"/>
        </w:rPr>
      </w:pPr>
      <w:r w:rsidRPr="004E6FA5">
        <w:rPr>
          <w:lang w:val="es-ES_tradnl"/>
        </w:rPr>
        <w:t>–</w:t>
      </w:r>
      <w:r w:rsidRPr="004E6FA5">
        <w:rPr>
          <w:lang w:val="es-ES_tradnl"/>
        </w:rPr>
        <w:tab/>
        <w:t>dispositivos: hasta 100 000 puntos extremos por kilómetro cuadrado;</w:t>
      </w:r>
    </w:p>
    <w:p w:rsidR="000C1ED5" w:rsidRPr="004E6FA5" w:rsidRDefault="000C1ED5" w:rsidP="000C1ED5">
      <w:pPr>
        <w:pStyle w:val="enumlev1"/>
        <w:rPr>
          <w:lang w:val="es-ES_tradnl"/>
        </w:rPr>
      </w:pPr>
      <w:r w:rsidRPr="004E6FA5">
        <w:rPr>
          <w:lang w:val="es-ES_tradnl"/>
        </w:rPr>
        <w:t>–</w:t>
      </w:r>
      <w:r w:rsidRPr="004E6FA5">
        <w:rPr>
          <w:lang w:val="es-ES_tradnl"/>
        </w:rPr>
        <w:tab/>
        <w:t>estaciones de acceso: generalmente, 1 por 10 kilómetros cuadrados (o 0,1 por km</w:t>
      </w:r>
      <w:r w:rsidRPr="004E6FA5">
        <w:rPr>
          <w:vertAlign w:val="superscript"/>
          <w:lang w:val="es-ES_tradnl"/>
        </w:rPr>
        <w:t>2</w:t>
      </w:r>
      <w:r w:rsidRPr="004E6FA5">
        <w:rPr>
          <w:lang w:val="es-ES_tradnl"/>
        </w:rPr>
        <w:t>).</w:t>
      </w:r>
    </w:p>
    <w:p w:rsidR="000C1ED5" w:rsidRPr="004E6FA5" w:rsidRDefault="000C1ED5" w:rsidP="000C1ED5">
      <w:pPr>
        <w:rPr>
          <w:lang w:val="es-ES_tradnl"/>
        </w:rPr>
      </w:pPr>
      <w:r w:rsidRPr="004E6FA5">
        <w:rPr>
          <w:lang w:val="es-ES_tradnl"/>
        </w:rPr>
        <w:t>El objetivo de los sistemas LPWAN es transportar un bajo volumen de tráfico por dispositivo, que suele ascender a un máximo de 1 kbyte de datos de usuario al día en cada sentido: de enlace ascendente desde un dispositivo hasta una estación de acceso y de enlace descendente desde una estación de acceso hasta un dispositivo.</w:t>
      </w:r>
    </w:p>
    <w:p w:rsidR="000C1ED5" w:rsidRPr="004E6FA5" w:rsidRDefault="000C1ED5" w:rsidP="000C1ED5">
      <w:pPr>
        <w:rPr>
          <w:lang w:val="es-ES_tradnl"/>
        </w:rPr>
      </w:pPr>
      <w:r w:rsidRPr="004E6FA5">
        <w:rPr>
          <w:lang w:val="es-ES_tradnl"/>
        </w:rPr>
        <w:t>El patrón de flujo de datos depende de la aplicación. En el Cuadro 1 figuran ejemplos extraídos de la norma ETSI TR 103 249 V1.1.1 (2017-10) sobre casos de uso y características de sistema de LTN.</w:t>
      </w:r>
    </w:p>
    <w:p w:rsidR="000C1ED5" w:rsidRPr="004E6FA5" w:rsidRDefault="000C1ED5" w:rsidP="000C1ED5">
      <w:pPr>
        <w:pStyle w:val="TableNo"/>
        <w:rPr>
          <w:lang w:val="es-ES_tradnl"/>
        </w:rPr>
      </w:pPr>
      <w:r w:rsidRPr="004E6FA5">
        <w:rPr>
          <w:lang w:val="es-ES_tradnl"/>
        </w:rPr>
        <w:t>CUADRO 1</w:t>
      </w:r>
    </w:p>
    <w:p w:rsidR="000C1ED5" w:rsidRPr="004E6FA5" w:rsidRDefault="000C1ED5" w:rsidP="000C1ED5">
      <w:pPr>
        <w:pStyle w:val="Tabletitle"/>
        <w:rPr>
          <w:lang w:val="es-ES_tradnl"/>
        </w:rPr>
      </w:pPr>
      <w:r w:rsidRPr="004E6FA5">
        <w:rPr>
          <w:lang w:val="es-ES_tradnl"/>
        </w:rPr>
        <w:t>Ejemplos de características de tráfico de los sistemas LPWAN</w:t>
      </w:r>
    </w:p>
    <w:tbl>
      <w:tblPr>
        <w:tblStyle w:val="TableGrid1"/>
        <w:tblW w:w="9639" w:type="dxa"/>
        <w:jc w:val="center"/>
        <w:tblLook w:val="04A0" w:firstRow="1" w:lastRow="0" w:firstColumn="1" w:lastColumn="0" w:noHBand="0" w:noVBand="1"/>
      </w:tblPr>
      <w:tblGrid>
        <w:gridCol w:w="1927"/>
        <w:gridCol w:w="2037"/>
        <w:gridCol w:w="1819"/>
        <w:gridCol w:w="1928"/>
        <w:gridCol w:w="1928"/>
      </w:tblGrid>
      <w:tr w:rsidR="000C1ED5" w:rsidRPr="004E6FA5" w:rsidTr="00F71A3D">
        <w:trPr>
          <w:tblHeader/>
          <w:jc w:val="center"/>
        </w:trPr>
        <w:tc>
          <w:tcPr>
            <w:tcW w:w="1927" w:type="dxa"/>
            <w:vAlign w:val="center"/>
          </w:tcPr>
          <w:p w:rsidR="000C1ED5" w:rsidRPr="004E6FA5" w:rsidRDefault="000C1ED5" w:rsidP="008376DE">
            <w:pPr>
              <w:pStyle w:val="Tablehead"/>
              <w:rPr>
                <w:lang w:val="es-ES_tradnl"/>
              </w:rPr>
            </w:pPr>
            <w:r w:rsidRPr="004E6FA5">
              <w:rPr>
                <w:lang w:val="es-ES_tradnl"/>
              </w:rPr>
              <w:t>Ámbito comercial</w:t>
            </w:r>
          </w:p>
        </w:tc>
        <w:tc>
          <w:tcPr>
            <w:tcW w:w="2037" w:type="dxa"/>
            <w:vAlign w:val="center"/>
          </w:tcPr>
          <w:p w:rsidR="000C1ED5" w:rsidRPr="004E6FA5" w:rsidRDefault="000C1ED5" w:rsidP="008376DE">
            <w:pPr>
              <w:pStyle w:val="Tablehead"/>
              <w:rPr>
                <w:lang w:val="es-ES_tradnl"/>
              </w:rPr>
            </w:pPr>
            <w:r w:rsidRPr="004E6FA5">
              <w:rPr>
                <w:lang w:val="es-ES_tradnl"/>
              </w:rPr>
              <w:t>Necesidad específica</w:t>
            </w:r>
          </w:p>
        </w:tc>
        <w:tc>
          <w:tcPr>
            <w:tcW w:w="1819" w:type="dxa"/>
            <w:vAlign w:val="center"/>
          </w:tcPr>
          <w:p w:rsidR="000C1ED5" w:rsidRPr="004E6FA5" w:rsidRDefault="000C1ED5" w:rsidP="008376DE">
            <w:pPr>
              <w:pStyle w:val="Tablehead"/>
              <w:rPr>
                <w:lang w:val="es-ES_tradnl"/>
              </w:rPr>
            </w:pPr>
            <w:r w:rsidRPr="004E6FA5">
              <w:rPr>
                <w:lang w:val="es-ES_tradnl"/>
              </w:rPr>
              <w:t>Periodo de transmisión</w:t>
            </w:r>
          </w:p>
        </w:tc>
        <w:tc>
          <w:tcPr>
            <w:tcW w:w="1928" w:type="dxa"/>
            <w:vAlign w:val="center"/>
          </w:tcPr>
          <w:p w:rsidR="000C1ED5" w:rsidRPr="004E6FA5" w:rsidRDefault="000C1ED5" w:rsidP="008376DE">
            <w:pPr>
              <w:pStyle w:val="Tablehead"/>
              <w:rPr>
                <w:lang w:val="es-ES_tradnl"/>
              </w:rPr>
            </w:pPr>
            <w:r w:rsidRPr="004E6FA5">
              <w:rPr>
                <w:lang w:val="es-ES_tradnl"/>
              </w:rPr>
              <w:t>Tamaño de cabida útil</w:t>
            </w:r>
          </w:p>
        </w:tc>
        <w:tc>
          <w:tcPr>
            <w:tcW w:w="1928" w:type="dxa"/>
            <w:vAlign w:val="center"/>
          </w:tcPr>
          <w:p w:rsidR="000C1ED5" w:rsidRPr="004E6FA5" w:rsidRDefault="000C1ED5" w:rsidP="008376DE">
            <w:pPr>
              <w:pStyle w:val="Tablehead"/>
              <w:rPr>
                <w:lang w:val="es-ES_tradnl"/>
              </w:rPr>
            </w:pPr>
            <w:r w:rsidRPr="004E6FA5">
              <w:rPr>
                <w:lang w:val="es-ES_tradnl"/>
              </w:rPr>
              <w:t>Comunicación</w:t>
            </w:r>
          </w:p>
        </w:tc>
      </w:tr>
      <w:tr w:rsidR="000C1ED5" w:rsidRPr="004E6FA5" w:rsidTr="008376DE">
        <w:trPr>
          <w:jc w:val="center"/>
        </w:trPr>
        <w:tc>
          <w:tcPr>
            <w:tcW w:w="1927" w:type="dxa"/>
          </w:tcPr>
          <w:p w:rsidR="000C1ED5" w:rsidRPr="004E6FA5" w:rsidRDefault="000C1ED5" w:rsidP="008376DE">
            <w:pPr>
              <w:pStyle w:val="Tabletext"/>
              <w:jc w:val="left"/>
              <w:rPr>
                <w:lang w:val="es-ES_tradnl"/>
              </w:rPr>
            </w:pPr>
            <w:r w:rsidRPr="004E6FA5">
              <w:rPr>
                <w:lang w:val="es-ES_tradnl"/>
              </w:rPr>
              <w:t>Medición hídrica</w:t>
            </w:r>
          </w:p>
        </w:tc>
        <w:tc>
          <w:tcPr>
            <w:tcW w:w="2037" w:type="dxa"/>
          </w:tcPr>
          <w:p w:rsidR="000C1ED5" w:rsidRPr="004E6FA5" w:rsidRDefault="000C1ED5" w:rsidP="008376DE">
            <w:pPr>
              <w:pStyle w:val="Tabletext"/>
              <w:jc w:val="left"/>
              <w:rPr>
                <w:lang w:val="es-ES_tradnl"/>
              </w:rPr>
            </w:pPr>
            <w:r w:rsidRPr="004E6FA5">
              <w:rPr>
                <w:lang w:val="es-ES_tradnl"/>
              </w:rPr>
              <w:t>Transmisión de índice</w:t>
            </w:r>
          </w:p>
        </w:tc>
        <w:tc>
          <w:tcPr>
            <w:tcW w:w="1819" w:type="dxa"/>
          </w:tcPr>
          <w:p w:rsidR="000C1ED5" w:rsidRPr="004E6FA5" w:rsidRDefault="000C1ED5" w:rsidP="008376DE">
            <w:pPr>
              <w:pStyle w:val="Tabletext"/>
              <w:jc w:val="left"/>
              <w:rPr>
                <w:lang w:val="es-ES_tradnl"/>
              </w:rPr>
            </w:pPr>
            <w:r w:rsidRPr="004E6FA5">
              <w:rPr>
                <w:lang w:val="es-ES_tradnl"/>
              </w:rPr>
              <w:t>4/día</w:t>
            </w:r>
          </w:p>
          <w:p w:rsidR="000C1ED5" w:rsidRPr="004E6FA5" w:rsidRDefault="000C1ED5" w:rsidP="008376DE">
            <w:pPr>
              <w:pStyle w:val="Tabletext"/>
              <w:jc w:val="left"/>
              <w:rPr>
                <w:lang w:val="es-ES_tradnl"/>
              </w:rPr>
            </w:pPr>
            <w:r w:rsidRPr="004E6FA5">
              <w:rPr>
                <w:lang w:val="es-ES_tradnl"/>
              </w:rPr>
              <w:t>1/día</w:t>
            </w:r>
          </w:p>
        </w:tc>
        <w:tc>
          <w:tcPr>
            <w:tcW w:w="1928" w:type="dxa"/>
          </w:tcPr>
          <w:p w:rsidR="000C1ED5" w:rsidRPr="004E6FA5" w:rsidRDefault="000C1ED5" w:rsidP="008376DE">
            <w:pPr>
              <w:pStyle w:val="Tabletext"/>
              <w:jc w:val="left"/>
              <w:rPr>
                <w:lang w:val="es-ES_tradnl"/>
              </w:rPr>
            </w:pPr>
            <w:r w:rsidRPr="004E6FA5">
              <w:rPr>
                <w:lang w:val="es-ES_tradnl"/>
              </w:rPr>
              <w:t>10</w:t>
            </w:r>
          </w:p>
          <w:p w:rsidR="000C1ED5" w:rsidRPr="004E6FA5" w:rsidRDefault="000C1ED5" w:rsidP="008376DE">
            <w:pPr>
              <w:pStyle w:val="Tabletext"/>
              <w:jc w:val="left"/>
              <w:rPr>
                <w:lang w:val="es-ES_tradnl"/>
              </w:rPr>
            </w:pPr>
            <w:r w:rsidRPr="004E6FA5">
              <w:rPr>
                <w:lang w:val="es-ES_tradnl"/>
              </w:rPr>
              <w:t>200</w:t>
            </w:r>
          </w:p>
        </w:tc>
        <w:tc>
          <w:tcPr>
            <w:tcW w:w="1928" w:type="dxa"/>
          </w:tcPr>
          <w:p w:rsidR="000C1ED5" w:rsidRPr="004E6FA5" w:rsidRDefault="000C1ED5" w:rsidP="008376DE">
            <w:pPr>
              <w:pStyle w:val="Tabletext"/>
              <w:rPr>
                <w:lang w:val="es-ES_tradnl"/>
              </w:rPr>
            </w:pPr>
            <w:r w:rsidRPr="004E6FA5">
              <w:rPr>
                <w:lang w:val="es-ES_tradnl"/>
              </w:rPr>
              <w:t>Principalmente UL</w:t>
            </w:r>
          </w:p>
        </w:tc>
      </w:tr>
      <w:tr w:rsidR="000C1ED5" w:rsidRPr="004E6FA5" w:rsidTr="008376DE">
        <w:trPr>
          <w:jc w:val="center"/>
        </w:trPr>
        <w:tc>
          <w:tcPr>
            <w:tcW w:w="1927" w:type="dxa"/>
            <w:vMerge w:val="restart"/>
          </w:tcPr>
          <w:p w:rsidR="000C1ED5" w:rsidRPr="004E6FA5" w:rsidRDefault="000C1ED5" w:rsidP="008376DE">
            <w:pPr>
              <w:pStyle w:val="Tabletext"/>
              <w:jc w:val="left"/>
              <w:rPr>
                <w:lang w:val="es-ES_tradnl"/>
              </w:rPr>
            </w:pPr>
            <w:r w:rsidRPr="004E6FA5">
              <w:rPr>
                <w:lang w:val="es-ES_tradnl"/>
              </w:rPr>
              <w:t>Ciudades inteligentes</w:t>
            </w:r>
          </w:p>
        </w:tc>
        <w:tc>
          <w:tcPr>
            <w:tcW w:w="2037" w:type="dxa"/>
          </w:tcPr>
          <w:p w:rsidR="000C1ED5" w:rsidRPr="004E6FA5" w:rsidRDefault="000C1ED5" w:rsidP="008376DE">
            <w:pPr>
              <w:pStyle w:val="Tabletext"/>
              <w:jc w:val="left"/>
              <w:rPr>
                <w:lang w:val="es-ES_tradnl"/>
              </w:rPr>
            </w:pPr>
            <w:r w:rsidRPr="004E6FA5">
              <w:rPr>
                <w:lang w:val="es-ES_tradnl"/>
              </w:rPr>
              <w:t>Estacionamiento inteligente</w:t>
            </w:r>
          </w:p>
        </w:tc>
        <w:tc>
          <w:tcPr>
            <w:tcW w:w="1819" w:type="dxa"/>
          </w:tcPr>
          <w:p w:rsidR="000C1ED5" w:rsidRPr="004E6FA5" w:rsidRDefault="000C1ED5" w:rsidP="008376DE">
            <w:pPr>
              <w:pStyle w:val="Tabletext"/>
              <w:jc w:val="left"/>
              <w:rPr>
                <w:lang w:val="es-ES_tradnl"/>
              </w:rPr>
            </w:pPr>
            <w:r w:rsidRPr="004E6FA5">
              <w:rPr>
                <w:lang w:val="es-ES_tradnl"/>
              </w:rPr>
              <w:t>entre minutos y horas</w:t>
            </w:r>
          </w:p>
        </w:tc>
        <w:tc>
          <w:tcPr>
            <w:tcW w:w="1928" w:type="dxa"/>
          </w:tcPr>
          <w:p w:rsidR="000C1ED5" w:rsidRPr="004E6FA5" w:rsidRDefault="000C1ED5" w:rsidP="008376DE">
            <w:pPr>
              <w:pStyle w:val="Tabletext"/>
              <w:jc w:val="left"/>
              <w:rPr>
                <w:lang w:val="es-ES_tradnl"/>
              </w:rPr>
            </w:pPr>
            <w:r w:rsidRPr="004E6FA5">
              <w:rPr>
                <w:lang w:val="es-ES_tradnl"/>
              </w:rPr>
              <w:t>Pocos bytes</w:t>
            </w:r>
          </w:p>
        </w:tc>
        <w:tc>
          <w:tcPr>
            <w:tcW w:w="1928" w:type="dxa"/>
          </w:tcPr>
          <w:p w:rsidR="000C1ED5" w:rsidRPr="004E6FA5" w:rsidRDefault="000C1ED5" w:rsidP="008376DE">
            <w:pPr>
              <w:pStyle w:val="Tabletext"/>
              <w:rPr>
                <w:lang w:val="es-ES_tradnl"/>
              </w:rPr>
            </w:pPr>
            <w:r w:rsidRPr="004E6FA5">
              <w:rPr>
                <w:lang w:val="es-ES_tradnl"/>
              </w:rPr>
              <w:t>UL y DL</w:t>
            </w:r>
          </w:p>
        </w:tc>
      </w:tr>
      <w:tr w:rsidR="000C1ED5" w:rsidRPr="004E6FA5" w:rsidTr="008376DE">
        <w:trPr>
          <w:jc w:val="center"/>
        </w:trPr>
        <w:tc>
          <w:tcPr>
            <w:tcW w:w="1927" w:type="dxa"/>
            <w:vMerge/>
          </w:tcPr>
          <w:p w:rsidR="000C1ED5" w:rsidRPr="004E6FA5" w:rsidRDefault="000C1ED5" w:rsidP="008376DE">
            <w:pPr>
              <w:pStyle w:val="Tabletext"/>
              <w:jc w:val="left"/>
              <w:rPr>
                <w:lang w:val="es-ES_tradnl"/>
              </w:rPr>
            </w:pPr>
          </w:p>
        </w:tc>
        <w:tc>
          <w:tcPr>
            <w:tcW w:w="2037" w:type="dxa"/>
          </w:tcPr>
          <w:p w:rsidR="000C1ED5" w:rsidRPr="004E6FA5" w:rsidRDefault="000C1ED5" w:rsidP="008376DE">
            <w:pPr>
              <w:pStyle w:val="Tabletext"/>
              <w:jc w:val="left"/>
              <w:rPr>
                <w:lang w:val="es-ES_tradnl"/>
              </w:rPr>
            </w:pPr>
            <w:r w:rsidRPr="004E6FA5">
              <w:rPr>
                <w:lang w:val="es-ES_tradnl"/>
              </w:rPr>
              <w:t>Gestión de aguas residuales</w:t>
            </w:r>
          </w:p>
        </w:tc>
        <w:tc>
          <w:tcPr>
            <w:tcW w:w="1819" w:type="dxa"/>
          </w:tcPr>
          <w:p w:rsidR="000C1ED5" w:rsidRPr="004E6FA5" w:rsidRDefault="000C1ED5" w:rsidP="008376DE">
            <w:pPr>
              <w:pStyle w:val="Tabletext"/>
              <w:jc w:val="left"/>
              <w:rPr>
                <w:lang w:val="es-ES_tradnl"/>
              </w:rPr>
            </w:pPr>
            <w:r w:rsidRPr="004E6FA5">
              <w:rPr>
                <w:lang w:val="es-ES_tradnl"/>
              </w:rPr>
              <w:t>entre 1 y 5 al día</w:t>
            </w:r>
          </w:p>
        </w:tc>
        <w:tc>
          <w:tcPr>
            <w:tcW w:w="1928" w:type="dxa"/>
          </w:tcPr>
          <w:p w:rsidR="000C1ED5" w:rsidRPr="004E6FA5" w:rsidRDefault="000C1ED5" w:rsidP="008376DE">
            <w:pPr>
              <w:pStyle w:val="Tabletext"/>
              <w:jc w:val="left"/>
              <w:rPr>
                <w:lang w:val="es-ES_tradnl"/>
              </w:rPr>
            </w:pPr>
            <w:r w:rsidRPr="004E6FA5">
              <w:rPr>
                <w:lang w:val="es-ES_tradnl"/>
              </w:rPr>
              <w:t>1-15 bytes</w:t>
            </w:r>
          </w:p>
        </w:tc>
        <w:tc>
          <w:tcPr>
            <w:tcW w:w="1928" w:type="dxa"/>
          </w:tcPr>
          <w:p w:rsidR="000C1ED5" w:rsidRPr="004E6FA5" w:rsidRDefault="000C1ED5" w:rsidP="008376DE">
            <w:pPr>
              <w:pStyle w:val="Tabletext"/>
              <w:rPr>
                <w:lang w:val="es-ES_tradnl"/>
              </w:rPr>
            </w:pPr>
            <w:r w:rsidRPr="004E6FA5">
              <w:rPr>
                <w:lang w:val="es-ES_tradnl"/>
              </w:rPr>
              <w:t>Principalmente UL</w:t>
            </w:r>
          </w:p>
        </w:tc>
      </w:tr>
      <w:tr w:rsidR="000C1ED5" w:rsidRPr="004E6FA5" w:rsidTr="008376DE">
        <w:trPr>
          <w:jc w:val="center"/>
        </w:trPr>
        <w:tc>
          <w:tcPr>
            <w:tcW w:w="1927" w:type="dxa"/>
            <w:vMerge/>
          </w:tcPr>
          <w:p w:rsidR="000C1ED5" w:rsidRPr="004E6FA5" w:rsidRDefault="000C1ED5" w:rsidP="008376DE">
            <w:pPr>
              <w:pStyle w:val="Tabletext"/>
              <w:jc w:val="left"/>
              <w:rPr>
                <w:lang w:val="es-ES_tradnl"/>
              </w:rPr>
            </w:pPr>
          </w:p>
        </w:tc>
        <w:tc>
          <w:tcPr>
            <w:tcW w:w="2037" w:type="dxa"/>
          </w:tcPr>
          <w:p w:rsidR="000C1ED5" w:rsidRPr="004E6FA5" w:rsidRDefault="000C1ED5" w:rsidP="008376DE">
            <w:pPr>
              <w:pStyle w:val="Tabletext"/>
              <w:jc w:val="left"/>
              <w:rPr>
                <w:lang w:val="es-ES_tradnl"/>
              </w:rPr>
            </w:pPr>
            <w:r w:rsidRPr="004E6FA5">
              <w:rPr>
                <w:lang w:val="es-ES_tradnl"/>
              </w:rPr>
              <w:t>Detección de disparos</w:t>
            </w:r>
          </w:p>
        </w:tc>
        <w:tc>
          <w:tcPr>
            <w:tcW w:w="1819" w:type="dxa"/>
          </w:tcPr>
          <w:p w:rsidR="000C1ED5" w:rsidRPr="004E6FA5" w:rsidRDefault="000C1ED5" w:rsidP="008376DE">
            <w:pPr>
              <w:pStyle w:val="Tabletext"/>
              <w:jc w:val="left"/>
              <w:rPr>
                <w:lang w:val="es-ES_tradnl"/>
              </w:rPr>
            </w:pPr>
            <w:r w:rsidRPr="004E6FA5">
              <w:rPr>
                <w:lang w:val="es-ES_tradnl"/>
              </w:rPr>
              <w:t>Ocasionalmente</w:t>
            </w:r>
          </w:p>
        </w:tc>
        <w:tc>
          <w:tcPr>
            <w:tcW w:w="1928" w:type="dxa"/>
          </w:tcPr>
          <w:p w:rsidR="000C1ED5" w:rsidRPr="004E6FA5" w:rsidRDefault="000C1ED5" w:rsidP="008376DE">
            <w:pPr>
              <w:pStyle w:val="Tabletext"/>
              <w:jc w:val="left"/>
              <w:rPr>
                <w:lang w:val="es-ES_tradnl"/>
              </w:rPr>
            </w:pPr>
            <w:r w:rsidRPr="004E6FA5">
              <w:rPr>
                <w:lang w:val="es-ES_tradnl"/>
              </w:rPr>
              <w:t>10-100 bytes</w:t>
            </w:r>
          </w:p>
        </w:tc>
        <w:tc>
          <w:tcPr>
            <w:tcW w:w="1928" w:type="dxa"/>
          </w:tcPr>
          <w:p w:rsidR="000C1ED5" w:rsidRPr="004E6FA5" w:rsidRDefault="000C1ED5" w:rsidP="008376DE">
            <w:pPr>
              <w:pStyle w:val="Tabletext"/>
              <w:rPr>
                <w:lang w:val="es-ES_tradnl"/>
              </w:rPr>
            </w:pPr>
            <w:r w:rsidRPr="004E6FA5">
              <w:rPr>
                <w:lang w:val="es-ES_tradnl"/>
              </w:rPr>
              <w:t>UL</w:t>
            </w:r>
          </w:p>
        </w:tc>
      </w:tr>
      <w:tr w:rsidR="000C1ED5" w:rsidRPr="004E6FA5" w:rsidTr="008376DE">
        <w:trPr>
          <w:jc w:val="center"/>
        </w:trPr>
        <w:tc>
          <w:tcPr>
            <w:tcW w:w="1927" w:type="dxa"/>
            <w:vMerge w:val="restart"/>
          </w:tcPr>
          <w:p w:rsidR="000C1ED5" w:rsidRPr="004E6FA5" w:rsidRDefault="000C1ED5" w:rsidP="008376DE">
            <w:pPr>
              <w:pStyle w:val="Tabletext"/>
              <w:jc w:val="left"/>
              <w:rPr>
                <w:lang w:val="es-ES_tradnl"/>
              </w:rPr>
            </w:pPr>
            <w:r w:rsidRPr="004E6FA5">
              <w:rPr>
                <w:lang w:val="es-ES_tradnl"/>
              </w:rPr>
              <w:t>Sector del automóvil</w:t>
            </w:r>
          </w:p>
        </w:tc>
        <w:tc>
          <w:tcPr>
            <w:tcW w:w="2037" w:type="dxa"/>
          </w:tcPr>
          <w:p w:rsidR="000C1ED5" w:rsidRPr="004E6FA5" w:rsidRDefault="000C1ED5" w:rsidP="008376DE">
            <w:pPr>
              <w:pStyle w:val="Tabletext"/>
              <w:jc w:val="left"/>
              <w:rPr>
                <w:lang w:val="es-ES_tradnl"/>
              </w:rPr>
            </w:pPr>
            <w:r w:rsidRPr="004E6FA5">
              <w:rPr>
                <w:lang w:val="es-ES_tradnl"/>
              </w:rPr>
              <w:t>Ayuda a la geolocalización</w:t>
            </w:r>
          </w:p>
        </w:tc>
        <w:tc>
          <w:tcPr>
            <w:tcW w:w="1819" w:type="dxa"/>
          </w:tcPr>
          <w:p w:rsidR="000C1ED5" w:rsidRPr="004E6FA5" w:rsidRDefault="000C1ED5" w:rsidP="008376DE">
            <w:pPr>
              <w:pStyle w:val="Tabletext"/>
              <w:jc w:val="left"/>
              <w:rPr>
                <w:lang w:val="es-ES_tradnl"/>
              </w:rPr>
            </w:pPr>
            <w:r w:rsidRPr="004E6FA5">
              <w:rPr>
                <w:lang w:val="es-ES_tradnl"/>
              </w:rPr>
              <w:t>Ocasionalmente</w:t>
            </w:r>
          </w:p>
        </w:tc>
        <w:tc>
          <w:tcPr>
            <w:tcW w:w="1928" w:type="dxa"/>
          </w:tcPr>
          <w:p w:rsidR="000C1ED5" w:rsidRPr="004E6FA5" w:rsidRDefault="000C1ED5" w:rsidP="008376DE">
            <w:pPr>
              <w:pStyle w:val="Tabletext"/>
              <w:jc w:val="left"/>
              <w:rPr>
                <w:lang w:val="es-ES_tradnl"/>
              </w:rPr>
            </w:pPr>
            <w:r w:rsidRPr="004E6FA5">
              <w:rPr>
                <w:lang w:val="es-ES_tradnl"/>
              </w:rPr>
              <w:t>250-1 000 bytes</w:t>
            </w:r>
          </w:p>
        </w:tc>
        <w:tc>
          <w:tcPr>
            <w:tcW w:w="1928" w:type="dxa"/>
          </w:tcPr>
          <w:p w:rsidR="000C1ED5" w:rsidRPr="004E6FA5" w:rsidRDefault="000C1ED5" w:rsidP="008376DE">
            <w:pPr>
              <w:pStyle w:val="Tabletext"/>
              <w:rPr>
                <w:lang w:val="es-ES_tradnl"/>
              </w:rPr>
            </w:pPr>
            <w:r w:rsidRPr="004E6FA5">
              <w:rPr>
                <w:lang w:val="es-ES_tradnl"/>
              </w:rPr>
              <w:t>UL y DL</w:t>
            </w:r>
          </w:p>
        </w:tc>
      </w:tr>
      <w:tr w:rsidR="000C1ED5" w:rsidRPr="004E6FA5" w:rsidTr="008376DE">
        <w:trPr>
          <w:jc w:val="center"/>
        </w:trPr>
        <w:tc>
          <w:tcPr>
            <w:tcW w:w="1927" w:type="dxa"/>
            <w:vMerge/>
          </w:tcPr>
          <w:p w:rsidR="000C1ED5" w:rsidRPr="004E6FA5" w:rsidRDefault="000C1ED5" w:rsidP="008376DE">
            <w:pPr>
              <w:pStyle w:val="Tabletext"/>
              <w:jc w:val="left"/>
              <w:rPr>
                <w:lang w:val="es-ES_tradnl"/>
              </w:rPr>
            </w:pPr>
          </w:p>
        </w:tc>
        <w:tc>
          <w:tcPr>
            <w:tcW w:w="2037" w:type="dxa"/>
          </w:tcPr>
          <w:p w:rsidR="000C1ED5" w:rsidRPr="004E6FA5" w:rsidRDefault="000C1ED5" w:rsidP="008376DE">
            <w:pPr>
              <w:pStyle w:val="Tabletext"/>
              <w:jc w:val="left"/>
              <w:rPr>
                <w:lang w:val="es-ES_tradnl"/>
              </w:rPr>
            </w:pPr>
            <w:r w:rsidRPr="004E6FA5">
              <w:rPr>
                <w:lang w:val="es-ES_tradnl"/>
              </w:rPr>
              <w:t>Conducción fuera de horario</w:t>
            </w:r>
          </w:p>
        </w:tc>
        <w:tc>
          <w:tcPr>
            <w:tcW w:w="1819" w:type="dxa"/>
          </w:tcPr>
          <w:p w:rsidR="000C1ED5" w:rsidRPr="004E6FA5" w:rsidRDefault="000C1ED5" w:rsidP="008376DE">
            <w:pPr>
              <w:pStyle w:val="Tabletext"/>
              <w:jc w:val="left"/>
              <w:rPr>
                <w:lang w:val="es-ES_tradnl"/>
              </w:rPr>
            </w:pPr>
            <w:r w:rsidRPr="004E6FA5">
              <w:rPr>
                <w:lang w:val="es-ES_tradnl"/>
              </w:rPr>
              <w:t>Ocasionalmente</w:t>
            </w:r>
          </w:p>
        </w:tc>
        <w:tc>
          <w:tcPr>
            <w:tcW w:w="1928" w:type="dxa"/>
          </w:tcPr>
          <w:p w:rsidR="000C1ED5" w:rsidRPr="004E6FA5" w:rsidRDefault="000C1ED5" w:rsidP="008376DE">
            <w:pPr>
              <w:pStyle w:val="Tabletext"/>
              <w:jc w:val="left"/>
              <w:rPr>
                <w:lang w:val="es-ES_tradnl"/>
              </w:rPr>
            </w:pPr>
            <w:r w:rsidRPr="004E6FA5">
              <w:rPr>
                <w:lang w:val="es-ES_tradnl"/>
              </w:rPr>
              <w:t>100-200 bytes</w:t>
            </w:r>
          </w:p>
        </w:tc>
        <w:tc>
          <w:tcPr>
            <w:tcW w:w="1928" w:type="dxa"/>
          </w:tcPr>
          <w:p w:rsidR="000C1ED5" w:rsidRPr="004E6FA5" w:rsidRDefault="000C1ED5" w:rsidP="008376DE">
            <w:pPr>
              <w:pStyle w:val="Tabletext"/>
              <w:rPr>
                <w:lang w:val="es-ES_tradnl"/>
              </w:rPr>
            </w:pPr>
            <w:r w:rsidRPr="004E6FA5">
              <w:rPr>
                <w:lang w:val="es-ES_tradnl"/>
              </w:rPr>
              <w:t>UL o UL+DL</w:t>
            </w:r>
          </w:p>
        </w:tc>
      </w:tr>
      <w:tr w:rsidR="000C1ED5" w:rsidRPr="004E6FA5" w:rsidTr="008376DE">
        <w:trPr>
          <w:jc w:val="center"/>
        </w:trPr>
        <w:tc>
          <w:tcPr>
            <w:tcW w:w="1927" w:type="dxa"/>
            <w:vMerge/>
          </w:tcPr>
          <w:p w:rsidR="000C1ED5" w:rsidRPr="004E6FA5" w:rsidRDefault="000C1ED5" w:rsidP="008376DE">
            <w:pPr>
              <w:pStyle w:val="Tabletext"/>
              <w:jc w:val="left"/>
              <w:rPr>
                <w:lang w:val="es-ES_tradnl"/>
              </w:rPr>
            </w:pPr>
          </w:p>
        </w:tc>
        <w:tc>
          <w:tcPr>
            <w:tcW w:w="2037" w:type="dxa"/>
          </w:tcPr>
          <w:p w:rsidR="000C1ED5" w:rsidRPr="004E6FA5" w:rsidRDefault="000C1ED5" w:rsidP="008376DE">
            <w:pPr>
              <w:pStyle w:val="Tabletext"/>
              <w:jc w:val="left"/>
              <w:rPr>
                <w:lang w:val="es-ES_tradnl"/>
              </w:rPr>
            </w:pPr>
            <w:r w:rsidRPr="004E6FA5">
              <w:rPr>
                <w:lang w:val="es-ES_tradnl"/>
              </w:rPr>
              <w:t>Seguimiento de vehículos robados</w:t>
            </w:r>
          </w:p>
        </w:tc>
        <w:tc>
          <w:tcPr>
            <w:tcW w:w="1819" w:type="dxa"/>
          </w:tcPr>
          <w:p w:rsidR="000C1ED5" w:rsidRPr="004E6FA5" w:rsidRDefault="000C1ED5" w:rsidP="008376DE">
            <w:pPr>
              <w:pStyle w:val="Tabletext"/>
              <w:jc w:val="left"/>
              <w:rPr>
                <w:lang w:val="es-ES_tradnl"/>
              </w:rPr>
            </w:pPr>
            <w:r w:rsidRPr="004E6FA5">
              <w:rPr>
                <w:lang w:val="es-ES_tradnl"/>
              </w:rPr>
              <w:t>1/minuto</w:t>
            </w:r>
          </w:p>
        </w:tc>
        <w:tc>
          <w:tcPr>
            <w:tcW w:w="1928" w:type="dxa"/>
          </w:tcPr>
          <w:p w:rsidR="000C1ED5" w:rsidRPr="004E6FA5" w:rsidRDefault="000C1ED5" w:rsidP="008376DE">
            <w:pPr>
              <w:pStyle w:val="Tabletext"/>
              <w:jc w:val="left"/>
              <w:rPr>
                <w:lang w:val="es-ES_tradnl"/>
              </w:rPr>
            </w:pPr>
            <w:r w:rsidRPr="004E6FA5">
              <w:rPr>
                <w:lang w:val="es-ES_tradnl"/>
              </w:rPr>
              <w:t>10-20 bytes</w:t>
            </w:r>
          </w:p>
        </w:tc>
        <w:tc>
          <w:tcPr>
            <w:tcW w:w="1928" w:type="dxa"/>
          </w:tcPr>
          <w:p w:rsidR="000C1ED5" w:rsidRPr="004E6FA5" w:rsidRDefault="000C1ED5" w:rsidP="008376DE">
            <w:pPr>
              <w:pStyle w:val="Tabletext"/>
              <w:rPr>
                <w:lang w:val="es-ES_tradnl"/>
              </w:rPr>
            </w:pPr>
            <w:r w:rsidRPr="004E6FA5">
              <w:rPr>
                <w:lang w:val="es-ES_tradnl"/>
              </w:rPr>
              <w:t>Principalmente UL</w:t>
            </w:r>
          </w:p>
        </w:tc>
      </w:tr>
    </w:tbl>
    <w:p w:rsidR="00D935A7" w:rsidRPr="00D935A7" w:rsidRDefault="00D935A7" w:rsidP="00D935A7">
      <w:pPr>
        <w:pStyle w:val="TableNo"/>
        <w:rPr>
          <w:lang w:val="es-ES_tradnl"/>
        </w:rPr>
      </w:pPr>
      <w:r w:rsidRPr="004E6FA5">
        <w:rPr>
          <w:lang w:val="es-ES_tradnl"/>
        </w:rPr>
        <w:lastRenderedPageBreak/>
        <w:t>CUADRO 1</w:t>
      </w:r>
      <w:r>
        <w:rPr>
          <w:lang w:val="es-ES_tradnl"/>
        </w:rPr>
        <w:t xml:space="preserve"> (</w:t>
      </w:r>
      <w:r>
        <w:rPr>
          <w:i/>
          <w:iCs/>
          <w:lang w:val="es-ES_tradnl"/>
        </w:rPr>
        <w:t>fin</w:t>
      </w:r>
      <w:r>
        <w:rPr>
          <w:lang w:val="es-ES_tradnl"/>
        </w:rPr>
        <w:t>)</w:t>
      </w:r>
    </w:p>
    <w:tbl>
      <w:tblPr>
        <w:tblStyle w:val="TableGrid1"/>
        <w:tblW w:w="9639" w:type="dxa"/>
        <w:jc w:val="center"/>
        <w:tblLook w:val="04A0" w:firstRow="1" w:lastRow="0" w:firstColumn="1" w:lastColumn="0" w:noHBand="0" w:noVBand="1"/>
      </w:tblPr>
      <w:tblGrid>
        <w:gridCol w:w="1927"/>
        <w:gridCol w:w="2037"/>
        <w:gridCol w:w="1819"/>
        <w:gridCol w:w="1928"/>
        <w:gridCol w:w="1928"/>
      </w:tblGrid>
      <w:tr w:rsidR="00D935A7" w:rsidRPr="004E6FA5" w:rsidTr="008376DE">
        <w:trPr>
          <w:tblHeader/>
          <w:jc w:val="center"/>
        </w:trPr>
        <w:tc>
          <w:tcPr>
            <w:tcW w:w="1927" w:type="dxa"/>
            <w:vAlign w:val="center"/>
          </w:tcPr>
          <w:p w:rsidR="00D935A7" w:rsidRPr="004E6FA5" w:rsidRDefault="00D935A7" w:rsidP="008376DE">
            <w:pPr>
              <w:pStyle w:val="Tablehead"/>
              <w:rPr>
                <w:lang w:val="es-ES_tradnl"/>
              </w:rPr>
            </w:pPr>
            <w:r w:rsidRPr="004E6FA5">
              <w:rPr>
                <w:lang w:val="es-ES_tradnl"/>
              </w:rPr>
              <w:t>Ámbito comercial</w:t>
            </w:r>
          </w:p>
        </w:tc>
        <w:tc>
          <w:tcPr>
            <w:tcW w:w="2037" w:type="dxa"/>
            <w:vAlign w:val="center"/>
          </w:tcPr>
          <w:p w:rsidR="00D935A7" w:rsidRPr="004E6FA5" w:rsidRDefault="00D935A7" w:rsidP="008376DE">
            <w:pPr>
              <w:pStyle w:val="Tablehead"/>
              <w:rPr>
                <w:lang w:val="es-ES_tradnl"/>
              </w:rPr>
            </w:pPr>
            <w:r w:rsidRPr="004E6FA5">
              <w:rPr>
                <w:lang w:val="es-ES_tradnl"/>
              </w:rPr>
              <w:t>Necesidad específica</w:t>
            </w:r>
          </w:p>
        </w:tc>
        <w:tc>
          <w:tcPr>
            <w:tcW w:w="1819" w:type="dxa"/>
            <w:vAlign w:val="center"/>
          </w:tcPr>
          <w:p w:rsidR="00D935A7" w:rsidRPr="004E6FA5" w:rsidRDefault="00D935A7" w:rsidP="008376DE">
            <w:pPr>
              <w:pStyle w:val="Tablehead"/>
              <w:rPr>
                <w:lang w:val="es-ES_tradnl"/>
              </w:rPr>
            </w:pPr>
            <w:r w:rsidRPr="004E6FA5">
              <w:rPr>
                <w:lang w:val="es-ES_tradnl"/>
              </w:rPr>
              <w:t>Periodo de transmisión</w:t>
            </w:r>
          </w:p>
        </w:tc>
        <w:tc>
          <w:tcPr>
            <w:tcW w:w="1928" w:type="dxa"/>
            <w:vAlign w:val="center"/>
          </w:tcPr>
          <w:p w:rsidR="00D935A7" w:rsidRPr="004E6FA5" w:rsidRDefault="00D935A7" w:rsidP="008376DE">
            <w:pPr>
              <w:pStyle w:val="Tablehead"/>
              <w:rPr>
                <w:lang w:val="es-ES_tradnl"/>
              </w:rPr>
            </w:pPr>
            <w:r w:rsidRPr="004E6FA5">
              <w:rPr>
                <w:lang w:val="es-ES_tradnl"/>
              </w:rPr>
              <w:t>Tamaño de cabida útil</w:t>
            </w:r>
          </w:p>
        </w:tc>
        <w:tc>
          <w:tcPr>
            <w:tcW w:w="1928" w:type="dxa"/>
            <w:vAlign w:val="center"/>
          </w:tcPr>
          <w:p w:rsidR="00D935A7" w:rsidRPr="004E6FA5" w:rsidRDefault="00D935A7" w:rsidP="008376DE">
            <w:pPr>
              <w:pStyle w:val="Tablehead"/>
              <w:rPr>
                <w:lang w:val="es-ES_tradnl"/>
              </w:rPr>
            </w:pPr>
            <w:r w:rsidRPr="004E6FA5">
              <w:rPr>
                <w:lang w:val="es-ES_tradnl"/>
              </w:rPr>
              <w:t>Comunicación</w:t>
            </w:r>
          </w:p>
        </w:tc>
      </w:tr>
      <w:tr w:rsidR="000C1ED5" w:rsidRPr="004E6FA5" w:rsidTr="008376DE">
        <w:trPr>
          <w:jc w:val="center"/>
        </w:trPr>
        <w:tc>
          <w:tcPr>
            <w:tcW w:w="1927" w:type="dxa"/>
            <w:vMerge w:val="restart"/>
          </w:tcPr>
          <w:p w:rsidR="000C1ED5" w:rsidRPr="004E6FA5" w:rsidRDefault="000C1ED5" w:rsidP="008376DE">
            <w:pPr>
              <w:pStyle w:val="Tabletext"/>
              <w:jc w:val="left"/>
              <w:rPr>
                <w:lang w:val="es-ES_tradnl"/>
              </w:rPr>
            </w:pPr>
            <w:r w:rsidRPr="004E6FA5">
              <w:rPr>
                <w:lang w:val="es-ES_tradnl"/>
              </w:rPr>
              <w:t>Supervisión de la red eléctrica</w:t>
            </w:r>
          </w:p>
        </w:tc>
        <w:tc>
          <w:tcPr>
            <w:tcW w:w="2037" w:type="dxa"/>
          </w:tcPr>
          <w:p w:rsidR="000C1ED5" w:rsidRPr="004E6FA5" w:rsidRDefault="000C1ED5" w:rsidP="008376DE">
            <w:pPr>
              <w:pStyle w:val="Tabletext"/>
              <w:jc w:val="left"/>
              <w:rPr>
                <w:lang w:val="es-ES_tradnl"/>
              </w:rPr>
            </w:pPr>
            <w:r w:rsidRPr="004E6FA5">
              <w:rPr>
                <w:lang w:val="es-ES_tradnl"/>
              </w:rPr>
              <w:t>Supervisión de transformadores</w:t>
            </w:r>
          </w:p>
        </w:tc>
        <w:tc>
          <w:tcPr>
            <w:tcW w:w="1819" w:type="dxa"/>
          </w:tcPr>
          <w:p w:rsidR="000C1ED5" w:rsidRPr="004E6FA5" w:rsidRDefault="000C1ED5" w:rsidP="008376DE">
            <w:pPr>
              <w:pStyle w:val="Tabletext"/>
              <w:jc w:val="left"/>
              <w:rPr>
                <w:lang w:val="es-ES_tradnl"/>
              </w:rPr>
            </w:pPr>
            <w:r w:rsidRPr="004E6FA5">
              <w:rPr>
                <w:lang w:val="es-ES_tradnl"/>
              </w:rPr>
              <w:t>1/hora</w:t>
            </w:r>
          </w:p>
        </w:tc>
        <w:tc>
          <w:tcPr>
            <w:tcW w:w="1928" w:type="dxa"/>
          </w:tcPr>
          <w:p w:rsidR="000C1ED5" w:rsidRPr="004E6FA5" w:rsidRDefault="000C1ED5" w:rsidP="008376DE">
            <w:pPr>
              <w:pStyle w:val="Tabletext"/>
              <w:jc w:val="left"/>
              <w:rPr>
                <w:lang w:val="es-ES_tradnl"/>
              </w:rPr>
            </w:pPr>
            <w:r w:rsidRPr="004E6FA5">
              <w:rPr>
                <w:lang w:val="es-ES_tradnl"/>
              </w:rPr>
              <w:t>10-20 bytes</w:t>
            </w:r>
          </w:p>
        </w:tc>
        <w:tc>
          <w:tcPr>
            <w:tcW w:w="1928" w:type="dxa"/>
          </w:tcPr>
          <w:p w:rsidR="000C1ED5" w:rsidRPr="004E6FA5" w:rsidRDefault="000C1ED5" w:rsidP="008376DE">
            <w:pPr>
              <w:pStyle w:val="Tabletext"/>
              <w:rPr>
                <w:lang w:val="es-ES_tradnl"/>
              </w:rPr>
            </w:pPr>
            <w:r w:rsidRPr="004E6FA5">
              <w:rPr>
                <w:lang w:val="es-ES_tradnl"/>
              </w:rPr>
              <w:t>UL</w:t>
            </w:r>
          </w:p>
        </w:tc>
      </w:tr>
      <w:tr w:rsidR="000C1ED5" w:rsidRPr="004E6FA5" w:rsidTr="008376DE">
        <w:trPr>
          <w:jc w:val="center"/>
        </w:trPr>
        <w:tc>
          <w:tcPr>
            <w:tcW w:w="1927" w:type="dxa"/>
            <w:vMerge/>
          </w:tcPr>
          <w:p w:rsidR="000C1ED5" w:rsidRPr="004E6FA5" w:rsidRDefault="000C1ED5" w:rsidP="008376DE">
            <w:pPr>
              <w:pStyle w:val="Tabletext"/>
              <w:jc w:val="left"/>
              <w:rPr>
                <w:lang w:val="es-ES_tradnl"/>
              </w:rPr>
            </w:pPr>
          </w:p>
        </w:tc>
        <w:tc>
          <w:tcPr>
            <w:tcW w:w="2037" w:type="dxa"/>
          </w:tcPr>
          <w:p w:rsidR="000C1ED5" w:rsidRPr="004E6FA5" w:rsidRDefault="000C1ED5" w:rsidP="008376DE">
            <w:pPr>
              <w:pStyle w:val="Tabletext"/>
              <w:jc w:val="left"/>
              <w:rPr>
                <w:lang w:val="es-ES_tradnl"/>
              </w:rPr>
            </w:pPr>
            <w:r w:rsidRPr="004E6FA5">
              <w:rPr>
                <w:lang w:val="es-ES_tradnl"/>
              </w:rPr>
              <w:t>Detección de trayecto defectuoso</w:t>
            </w:r>
          </w:p>
        </w:tc>
        <w:tc>
          <w:tcPr>
            <w:tcW w:w="1819" w:type="dxa"/>
          </w:tcPr>
          <w:p w:rsidR="000C1ED5" w:rsidRPr="004E6FA5" w:rsidRDefault="000C1ED5" w:rsidP="008376DE">
            <w:pPr>
              <w:pStyle w:val="Tabletext"/>
              <w:jc w:val="left"/>
              <w:rPr>
                <w:lang w:val="es-ES_tradnl"/>
              </w:rPr>
            </w:pPr>
            <w:r w:rsidRPr="004E6FA5">
              <w:rPr>
                <w:lang w:val="es-ES_tradnl"/>
              </w:rPr>
              <w:t>Una vez al año</w:t>
            </w:r>
          </w:p>
        </w:tc>
        <w:tc>
          <w:tcPr>
            <w:tcW w:w="1928" w:type="dxa"/>
          </w:tcPr>
          <w:p w:rsidR="000C1ED5" w:rsidRPr="004E6FA5" w:rsidRDefault="000C1ED5" w:rsidP="008376DE">
            <w:pPr>
              <w:pStyle w:val="Tabletext"/>
              <w:jc w:val="left"/>
              <w:rPr>
                <w:lang w:val="es-ES_tradnl"/>
              </w:rPr>
            </w:pPr>
            <w:r w:rsidRPr="004E6FA5">
              <w:rPr>
                <w:lang w:val="es-ES_tradnl"/>
              </w:rPr>
              <w:t>3 bytes</w:t>
            </w:r>
          </w:p>
        </w:tc>
        <w:tc>
          <w:tcPr>
            <w:tcW w:w="1928" w:type="dxa"/>
          </w:tcPr>
          <w:p w:rsidR="000C1ED5" w:rsidRPr="004E6FA5" w:rsidRDefault="000C1ED5" w:rsidP="008376DE">
            <w:pPr>
              <w:pStyle w:val="Tabletext"/>
              <w:rPr>
                <w:lang w:val="es-ES_tradnl"/>
              </w:rPr>
            </w:pPr>
            <w:r w:rsidRPr="004E6FA5">
              <w:rPr>
                <w:lang w:val="es-ES_tradnl"/>
              </w:rPr>
              <w:t>Principalmente UL</w:t>
            </w:r>
          </w:p>
        </w:tc>
      </w:tr>
      <w:tr w:rsidR="000C1ED5" w:rsidRPr="004E6FA5" w:rsidTr="008376DE">
        <w:trPr>
          <w:jc w:val="center"/>
        </w:trPr>
        <w:tc>
          <w:tcPr>
            <w:tcW w:w="1927" w:type="dxa"/>
          </w:tcPr>
          <w:p w:rsidR="000C1ED5" w:rsidRPr="004E6FA5" w:rsidRDefault="000C1ED5" w:rsidP="008376DE">
            <w:pPr>
              <w:pStyle w:val="Tabletext"/>
              <w:jc w:val="left"/>
              <w:rPr>
                <w:lang w:val="es-ES_tradnl"/>
              </w:rPr>
            </w:pPr>
            <w:r w:rsidRPr="004E6FA5">
              <w:rPr>
                <w:lang w:val="es-ES_tradnl"/>
              </w:rPr>
              <w:t>Sector de la agricultura</w:t>
            </w:r>
          </w:p>
        </w:tc>
        <w:tc>
          <w:tcPr>
            <w:tcW w:w="2037" w:type="dxa"/>
          </w:tcPr>
          <w:p w:rsidR="000C1ED5" w:rsidRPr="004E6FA5" w:rsidRDefault="000C1ED5" w:rsidP="008376DE">
            <w:pPr>
              <w:pStyle w:val="Tabletext"/>
              <w:jc w:val="left"/>
              <w:rPr>
                <w:lang w:val="es-ES_tradnl"/>
              </w:rPr>
            </w:pPr>
            <w:r w:rsidRPr="004E6FA5">
              <w:rPr>
                <w:lang w:val="es-ES_tradnl"/>
              </w:rPr>
              <w:t>Calidad del suelo</w:t>
            </w:r>
          </w:p>
        </w:tc>
        <w:tc>
          <w:tcPr>
            <w:tcW w:w="1819" w:type="dxa"/>
          </w:tcPr>
          <w:p w:rsidR="000C1ED5" w:rsidRPr="004E6FA5" w:rsidRDefault="000C1ED5" w:rsidP="008376DE">
            <w:pPr>
              <w:pStyle w:val="Tabletext"/>
              <w:jc w:val="left"/>
              <w:rPr>
                <w:lang w:val="es-ES_tradnl"/>
              </w:rPr>
            </w:pPr>
            <w:r w:rsidRPr="004E6FA5">
              <w:rPr>
                <w:lang w:val="es-ES_tradnl"/>
              </w:rPr>
              <w:t>Entre 1 y 4 al día</w:t>
            </w:r>
          </w:p>
        </w:tc>
        <w:tc>
          <w:tcPr>
            <w:tcW w:w="1928" w:type="dxa"/>
          </w:tcPr>
          <w:p w:rsidR="000C1ED5" w:rsidRPr="004E6FA5" w:rsidRDefault="000C1ED5" w:rsidP="008376DE">
            <w:pPr>
              <w:pStyle w:val="Tabletext"/>
              <w:jc w:val="left"/>
              <w:rPr>
                <w:lang w:val="es-ES_tradnl"/>
              </w:rPr>
            </w:pPr>
            <w:r w:rsidRPr="004E6FA5">
              <w:rPr>
                <w:lang w:val="es-ES_tradnl"/>
              </w:rPr>
              <w:t>Pocos bytes por sensor</w:t>
            </w:r>
          </w:p>
        </w:tc>
        <w:tc>
          <w:tcPr>
            <w:tcW w:w="1928" w:type="dxa"/>
          </w:tcPr>
          <w:p w:rsidR="000C1ED5" w:rsidRPr="004E6FA5" w:rsidRDefault="000C1ED5" w:rsidP="008376DE">
            <w:pPr>
              <w:pStyle w:val="Tabletext"/>
              <w:rPr>
                <w:lang w:val="es-ES_tradnl"/>
              </w:rPr>
            </w:pPr>
            <w:r w:rsidRPr="004E6FA5">
              <w:rPr>
                <w:lang w:val="es-ES_tradnl"/>
              </w:rPr>
              <w:t>UL</w:t>
            </w:r>
          </w:p>
        </w:tc>
      </w:tr>
    </w:tbl>
    <w:p w:rsidR="000C1ED5" w:rsidRPr="004E6FA5" w:rsidRDefault="000C1ED5" w:rsidP="000C1ED5">
      <w:pPr>
        <w:pStyle w:val="Tablefin"/>
        <w:rPr>
          <w:lang w:val="es-ES_tradnl"/>
        </w:rPr>
      </w:pPr>
    </w:p>
    <w:p w:rsidR="000C1ED5" w:rsidRPr="004E6FA5" w:rsidRDefault="000C1ED5" w:rsidP="000C1ED5">
      <w:pPr>
        <w:rPr>
          <w:lang w:val="es-ES_tradnl"/>
        </w:rPr>
      </w:pPr>
      <w:r w:rsidRPr="004E6FA5">
        <w:rPr>
          <w:lang w:val="es-ES_tradnl"/>
        </w:rPr>
        <w:t>A fin de mitigar los riesgos relacionados con la congestión del espectro o la sobrecarga del tráfico, algunos sistemas LPWAN pueden utilizar estrategias de gestión del espectro para mejorar sus funcionalidades de comunicación.</w:t>
      </w:r>
    </w:p>
    <w:p w:rsidR="000C1ED5" w:rsidRPr="004E6FA5" w:rsidRDefault="000C1ED5" w:rsidP="000C1ED5">
      <w:pPr>
        <w:rPr>
          <w:lang w:val="es-ES_tradnl"/>
        </w:rPr>
      </w:pPr>
      <w:r w:rsidRPr="004E6FA5">
        <w:rPr>
          <w:lang w:val="es-ES_tradnl"/>
        </w:rPr>
        <w:t>Las funciones de adaptación del espectro pueden comprender características tales como la programación de la transmisión, el control adaptable de la potencia (APC), la adaptación de la velocidad binaria, la detección de ocupación del espectro o de interferencias y la agilidad adaptable de la frecuencia.</w:t>
      </w:r>
    </w:p>
    <w:p w:rsidR="000C1ED5" w:rsidRPr="004E6FA5" w:rsidRDefault="000C1ED5" w:rsidP="000C1ED5">
      <w:pPr>
        <w:pStyle w:val="Heading3"/>
        <w:rPr>
          <w:lang w:val="es-ES_tradnl"/>
        </w:rPr>
      </w:pPr>
      <w:r w:rsidRPr="004E6FA5">
        <w:rPr>
          <w:lang w:val="es-ES_tradnl"/>
        </w:rPr>
        <w:t>5.2.2</w:t>
      </w:r>
      <w:r w:rsidRPr="004E6FA5">
        <w:rPr>
          <w:lang w:val="es-ES_tradnl"/>
        </w:rPr>
        <w:tab/>
        <w:t>Capacidad de amplia cobertura</w:t>
      </w:r>
    </w:p>
    <w:p w:rsidR="000C1ED5" w:rsidRPr="004E6FA5" w:rsidRDefault="000C1ED5" w:rsidP="000C1ED5">
      <w:pPr>
        <w:rPr>
          <w:lang w:val="es-ES_tradnl"/>
        </w:rPr>
      </w:pPr>
      <w:r w:rsidRPr="004E6FA5">
        <w:rPr>
          <w:lang w:val="es-ES_tradnl"/>
        </w:rPr>
        <w:t>La IoT se dirige a una amplia gama de sectores industriales; en consecuencia, cabe prever la posibilidad de que las LPWAN proporcionen cobertura a zonas tanto urbanas como rurales donde los dispositivos requieren conexión a Internet. La tecnología LPWAN utiliza radiocomunicaciones digitales que brindan un balance de enlace elevado, incluso aunque los dispositivos cuenten con un transmisor de baja potencia. Esta característica puede proporcionarse con un nivel de sensibilidad mejorado mediante técnicas de modulación (véanse las técnicas de UNB y CSS) y reforzarse a través de implementaciones de SDR.</w:t>
      </w:r>
    </w:p>
    <w:p w:rsidR="000C1ED5" w:rsidRPr="004E6FA5" w:rsidRDefault="000C1ED5" w:rsidP="000C1ED5">
      <w:pPr>
        <w:pStyle w:val="Heading3"/>
        <w:rPr>
          <w:lang w:val="es-ES_tradnl"/>
        </w:rPr>
      </w:pPr>
      <w:r w:rsidRPr="004E6FA5">
        <w:rPr>
          <w:lang w:val="es-ES_tradnl"/>
        </w:rPr>
        <w:t>5.2.3</w:t>
      </w:r>
      <w:r w:rsidRPr="004E6FA5">
        <w:rPr>
          <w:lang w:val="es-ES_tradnl"/>
        </w:rPr>
        <w:tab/>
        <w:t>Eficiencia energética y duración de la batería</w:t>
      </w:r>
    </w:p>
    <w:p w:rsidR="000C1ED5" w:rsidRPr="004E6FA5" w:rsidRDefault="000C1ED5" w:rsidP="000C1ED5">
      <w:pPr>
        <w:rPr>
          <w:lang w:val="es-ES_tradnl"/>
        </w:rPr>
      </w:pPr>
      <w:r w:rsidRPr="004E6FA5">
        <w:rPr>
          <w:lang w:val="es-ES_tradnl"/>
        </w:rPr>
        <w:t>Las grandes flotas de dispositivos dispersos requieren baterías de larga duración, con objeto de reducir el costo operativo y garantizar la prestación de servicios a largo plazo. En origen, la tecnología LPWAN está diseñada para optimizar el consumo de las baterías en términos de conexión de dispositivos alimentados por baterías cuyo ciclo vital asciende a un máximo de 15 años. La optimización del consumo energético de los dispositivos se logra utilizando una potencia de transmisión baja y reduciendo la tara de protocolo en modo de reposo. La reducción de la tara de protocolo en modo de reposo puede obtenerse gracias al protocolo «sin conexión», que permite a los dispositivos transmitir sin necesidad de sincronizarse ni conectarse previamente a la red. Las estaciones de acceso utilizan radios definidas por software para escuchar el espectro operativo de manera continua.</w:t>
      </w:r>
    </w:p>
    <w:p w:rsidR="000C1ED5" w:rsidRPr="004E6FA5" w:rsidRDefault="000C1ED5" w:rsidP="000C1ED5">
      <w:pPr>
        <w:pStyle w:val="Heading3"/>
        <w:rPr>
          <w:lang w:val="es-ES_tradnl"/>
        </w:rPr>
      </w:pPr>
      <w:r w:rsidRPr="004E6FA5">
        <w:rPr>
          <w:lang w:val="es-ES_tradnl"/>
        </w:rPr>
        <w:t>5.2.4</w:t>
      </w:r>
      <w:r w:rsidRPr="004E6FA5">
        <w:rPr>
          <w:lang w:val="es-ES_tradnl"/>
        </w:rPr>
        <w:tab/>
        <w:t>Reducción de la complejidad y rentabilidad</w:t>
      </w:r>
    </w:p>
    <w:p w:rsidR="000C1ED5" w:rsidRPr="004E6FA5" w:rsidRDefault="000C1ED5" w:rsidP="000C1ED5">
      <w:pPr>
        <w:rPr>
          <w:lang w:val="es-ES_tradnl"/>
        </w:rPr>
      </w:pPr>
      <w:r w:rsidRPr="004E6FA5">
        <w:rPr>
          <w:lang w:val="es-ES_tradnl"/>
        </w:rPr>
        <w:t xml:space="preserve">Las LPWAN abordan la conexión masiva de dispositivos IoT. Este tipo de aplicación requiere simplicidad y rentabilidad. La conectividad inmediata, libre de la carga que supone la provisión de dispositivos en el terreno, es un vector fundamental para la adopción de las LPWAN. La gestión de los dispositivos y el registro de conectividad a lo largo del ciclo vital también </w:t>
      </w:r>
      <w:proofErr w:type="gramStart"/>
      <w:r w:rsidRPr="004E6FA5">
        <w:rPr>
          <w:lang w:val="es-ES_tradnl"/>
        </w:rPr>
        <w:t>es</w:t>
      </w:r>
      <w:proofErr w:type="gramEnd"/>
      <w:r w:rsidRPr="004E6FA5">
        <w:rPr>
          <w:lang w:val="es-ES_tradnl"/>
        </w:rPr>
        <w:t xml:space="preserve"> obligatoria para las aplicaciones en que el equilibrio económico solo se logra mediante un número elevado de nodos y/o sensores.</w:t>
      </w:r>
    </w:p>
    <w:p w:rsidR="000C1ED5" w:rsidRPr="004E6FA5" w:rsidRDefault="000C1ED5" w:rsidP="000C1ED5">
      <w:pPr>
        <w:pStyle w:val="Heading1"/>
        <w:rPr>
          <w:lang w:val="es-ES_tradnl"/>
        </w:rPr>
      </w:pPr>
      <w:r w:rsidRPr="004E6FA5">
        <w:rPr>
          <w:lang w:val="es-ES_tradnl"/>
        </w:rPr>
        <w:lastRenderedPageBreak/>
        <w:t>6</w:t>
      </w:r>
      <w:r w:rsidRPr="004E6FA5">
        <w:rPr>
          <w:lang w:val="es-ES_tradnl"/>
        </w:rPr>
        <w:tab/>
        <w:t>Consideraciones relativas a los regímenes de autorización de las LPWAN</w:t>
      </w:r>
    </w:p>
    <w:p w:rsidR="000C1ED5" w:rsidRPr="004E6FA5" w:rsidRDefault="000C1ED5" w:rsidP="000C1ED5">
      <w:pPr>
        <w:rPr>
          <w:lang w:val="es-ES_tradnl"/>
        </w:rPr>
      </w:pPr>
      <w:r w:rsidRPr="004E6FA5">
        <w:rPr>
          <w:lang w:val="es-ES_tradnl"/>
        </w:rPr>
        <w:t>Las LPWAN están diseñadas para funcionar en un entorno radioeléctrico con múltiples partes interesadas que utilizan las mismas bandas (otras LPWAN, alarmas, RFID, etc.) con escasa probabilidad de interferencia. A ese respecto, los sistemas LPWAN se ajustan a la definición de SRD que figura en el Informe UIT-R SM.2153, ya que proporcionan comunicaciones unidireccionales o bidireccionales y tienen baja capacidad de producir interferencia a otros equipos radioeléctricos.</w:t>
      </w:r>
    </w:p>
    <w:p w:rsidR="000C1ED5" w:rsidRPr="004E6FA5" w:rsidRDefault="000C1ED5" w:rsidP="000C1ED5">
      <w:pPr>
        <w:rPr>
          <w:lang w:val="es-ES_tradnl"/>
        </w:rPr>
      </w:pPr>
      <w:r w:rsidRPr="004E6FA5">
        <w:rPr>
          <w:lang w:val="es-ES_tradnl"/>
        </w:rPr>
        <w:t>Las LPWAN no requieren un acceso exclusivo al espectro y funcionan en un entorno espectral compartido a condición de no causar interferencia ni reclamar protección.</w:t>
      </w:r>
    </w:p>
    <w:p w:rsidR="000C1ED5" w:rsidRPr="004E6FA5" w:rsidRDefault="000C1ED5" w:rsidP="000C1ED5">
      <w:pPr>
        <w:rPr>
          <w:lang w:val="es-ES_tradnl"/>
        </w:rPr>
      </w:pPr>
      <w:r w:rsidRPr="004E6FA5">
        <w:rPr>
          <w:lang w:val="es-ES_tradnl"/>
        </w:rPr>
        <w:t>El régimen de autorización general, o exención de licencia, suele aplicarse cuando no es necesario proceder a la coordinación geográfica para garantizar la coexistencia de los servicios y sistemas radioeléctricos. En virtud de este régimen, las partes interesadas pueden acceder al espectro siempre que el equipo radioeléctrico cumpla los requisitos de acceso al mismo y las condiciones operativas. El régimen de autorización general permitiría que las aplicaciones LPWAN en el terreno utilizasen el espectro sin necesidad de obtener una licencia individual. En algunos casos, cuando se requiere un proceso de coordinación adicional, puede aplicarse un régimen de licencias ligero.</w:t>
      </w:r>
    </w:p>
    <w:p w:rsidR="000C1ED5" w:rsidRPr="004E6FA5" w:rsidRDefault="000C1ED5" w:rsidP="00F71A3D">
      <w:pPr>
        <w:pStyle w:val="Heading1"/>
        <w:rPr>
          <w:lang w:val="es-ES_tradnl"/>
        </w:rPr>
      </w:pPr>
      <w:r w:rsidRPr="004E6FA5">
        <w:rPr>
          <w:lang w:val="es-ES_tradnl"/>
        </w:rPr>
        <w:t>7</w:t>
      </w:r>
      <w:r w:rsidRPr="004E6FA5">
        <w:rPr>
          <w:lang w:val="es-ES_tradnl"/>
        </w:rPr>
        <w:tab/>
      </w:r>
      <w:r w:rsidRPr="00F71A3D">
        <w:t>Consideraciones</w:t>
      </w:r>
      <w:r w:rsidRPr="004E6FA5">
        <w:rPr>
          <w:lang w:val="es-ES_tradnl"/>
        </w:rPr>
        <w:t xml:space="preserve"> relativas al espectro para permitir el funcionamiento de las LPWAN</w:t>
      </w:r>
    </w:p>
    <w:p w:rsidR="000C1ED5" w:rsidRPr="004E6FA5" w:rsidRDefault="000C1ED5" w:rsidP="000C1ED5">
      <w:pPr>
        <w:pStyle w:val="Heading2"/>
        <w:rPr>
          <w:lang w:val="es-ES_tradnl"/>
        </w:rPr>
      </w:pPr>
      <w:r w:rsidRPr="004E6FA5">
        <w:rPr>
          <w:lang w:val="es-ES_tradnl"/>
        </w:rPr>
        <w:t>7.1</w:t>
      </w:r>
      <w:r w:rsidRPr="004E6FA5">
        <w:rPr>
          <w:lang w:val="es-ES_tradnl"/>
        </w:rPr>
        <w:tab/>
        <w:t>Tipos de espectro necesarios</w:t>
      </w:r>
    </w:p>
    <w:p w:rsidR="000C1ED5" w:rsidRPr="004E6FA5" w:rsidRDefault="000C1ED5" w:rsidP="000C1ED5">
      <w:pPr>
        <w:rPr>
          <w:lang w:val="es-ES_tradnl"/>
        </w:rPr>
      </w:pPr>
      <w:r w:rsidRPr="004E6FA5">
        <w:rPr>
          <w:lang w:val="es-ES_tradnl"/>
        </w:rPr>
        <w:t>Los requisitos de espectro de las LPWAN varían en función de la tecnología utilizada y los supuestos de tráfico. En el caso de las LPWAN basadas en sistemas UNB, la norma ETSI TR 103 435 reveló que, en zonas urbanas muy densas, un ancho de banda de unos 600 kHz para comunicaciones de enlace ascendente puede soportar 55 000 mensajes al día por kilómetro cuadrado de aquí a 2023. En este caso, se necesita una segunda banda de 600 kHz para el enlace descendente.</w:t>
      </w:r>
    </w:p>
    <w:p w:rsidR="000C1ED5" w:rsidRPr="004E6FA5" w:rsidRDefault="000C1ED5" w:rsidP="000C1ED5">
      <w:pPr>
        <w:rPr>
          <w:lang w:val="es-ES_tradnl"/>
        </w:rPr>
      </w:pPr>
      <w:r w:rsidRPr="004E6FA5">
        <w:rPr>
          <w:lang w:val="es-ES_tradnl"/>
        </w:rPr>
        <w:t>En el sector industrial, los avances comerciales y técnicos han suscitado un apoyo generalizado a la implantación y el funcionamiento de las LPWAN en bandas por debajo de 1 GHz. Estas bandas ofrecen características de propagación que brindan mejores zonas de cobertura y tasas de penetración en edificios que las bandas de frecuencias más altas. Estas características permiten prestar servicios mMTC en zonas con menos densidad de población y dentro de los edificios.</w:t>
      </w:r>
    </w:p>
    <w:p w:rsidR="000C1ED5" w:rsidRPr="004E6FA5" w:rsidRDefault="000C1ED5" w:rsidP="000C1ED5">
      <w:pPr>
        <w:rPr>
          <w:lang w:val="es-ES_tradnl"/>
        </w:rPr>
      </w:pPr>
      <w:r w:rsidRPr="004E6FA5">
        <w:rPr>
          <w:lang w:val="es-ES_tradnl"/>
        </w:rPr>
        <w:t>Más concretamente, las soluciones LPWAN, que están diseñadas para funcionar en un entorno espectral compartido en gamas de frecuencias sub-GHz, anticipan su implantación en las bandas destinadas a los SRD. La aplicación de las mismas técnicas de acceso al espectro y los mismos requisitos mínimos que los estipulados para los SRD reviste una importancia particular para dar soporte a un número elevado de dispositivos de baja potencia y bajo rendimiento. De esta forma, las nuevas tecnologías digitales, capaces de proporcionar servicios innovadores y coexistir con otras tecnologías, pueden implantarse en las mismas bandas de frecuencias.</w:t>
      </w:r>
    </w:p>
    <w:p w:rsidR="000C1ED5" w:rsidRPr="004E6FA5" w:rsidRDefault="000C1ED5" w:rsidP="000C1ED5">
      <w:pPr>
        <w:rPr>
          <w:lang w:val="es-ES_tradnl"/>
        </w:rPr>
      </w:pPr>
      <w:r w:rsidRPr="004E6FA5">
        <w:rPr>
          <w:lang w:val="es-ES_tradnl"/>
        </w:rPr>
        <w:t>La mayoría de los dispositivos que se conectan a las LPWAN utilizan el mismo ecosistema de microplaquetas y módulos que los SRD existentes en el mercado. Esta característica común, combinada con la armonización regional de las bandas destinadas a los SRD, hace de las LPWAN una herramienta para el desarrollo de economías manufactureras de escala.</w:t>
      </w:r>
    </w:p>
    <w:p w:rsidR="000C1ED5" w:rsidRPr="004E6FA5" w:rsidRDefault="000C1ED5" w:rsidP="000C1ED5">
      <w:pPr>
        <w:pStyle w:val="Heading2"/>
        <w:rPr>
          <w:lang w:val="es-ES_tradnl"/>
        </w:rPr>
      </w:pPr>
      <w:r w:rsidRPr="004E6FA5">
        <w:rPr>
          <w:lang w:val="es-ES_tradnl"/>
        </w:rPr>
        <w:t>7.2</w:t>
      </w:r>
      <w:r w:rsidRPr="004E6FA5">
        <w:rPr>
          <w:lang w:val="es-ES_tradnl"/>
        </w:rPr>
        <w:tab/>
        <w:t>Ejemplos de frecuencias utilizadas para soportar la implantación de las LPWAN</w:t>
      </w:r>
    </w:p>
    <w:p w:rsidR="000C1ED5" w:rsidRPr="004E6FA5" w:rsidRDefault="000C1ED5" w:rsidP="000C1ED5">
      <w:pPr>
        <w:rPr>
          <w:lang w:val="es-ES_tradnl"/>
        </w:rPr>
      </w:pPr>
      <w:r w:rsidRPr="004E6FA5">
        <w:rPr>
          <w:lang w:val="es-ES_tradnl"/>
        </w:rPr>
        <w:t>La armonización del espectro puede conllevar numerosas ventajas socioeconómicas, entre ellas:</w:t>
      </w:r>
    </w:p>
    <w:p w:rsidR="000C1ED5" w:rsidRPr="004E6FA5" w:rsidRDefault="000C1ED5" w:rsidP="000C1ED5">
      <w:pPr>
        <w:pStyle w:val="enumlev1"/>
        <w:rPr>
          <w:lang w:val="es-ES_tradnl"/>
        </w:rPr>
      </w:pPr>
      <w:r w:rsidRPr="004E6FA5">
        <w:rPr>
          <w:lang w:val="es-ES_tradnl"/>
        </w:rPr>
        <w:t>–</w:t>
      </w:r>
      <w:r w:rsidRPr="004E6FA5">
        <w:rPr>
          <w:lang w:val="es-ES_tradnl"/>
        </w:rPr>
        <w:tab/>
        <w:t>un aumento de la fiabilidad y la eficiencia energética de los dispositivos cuando se viaja al extranjero;</w:t>
      </w:r>
    </w:p>
    <w:p w:rsidR="000C1ED5" w:rsidRPr="004E6FA5" w:rsidRDefault="000C1ED5" w:rsidP="000C1ED5">
      <w:pPr>
        <w:pStyle w:val="enumlev1"/>
        <w:rPr>
          <w:lang w:val="es-ES_tradnl"/>
        </w:rPr>
      </w:pPr>
      <w:r w:rsidRPr="004E6FA5">
        <w:rPr>
          <w:lang w:val="es-ES_tradnl"/>
        </w:rPr>
        <w:lastRenderedPageBreak/>
        <w:t>–</w:t>
      </w:r>
      <w:r w:rsidRPr="004E6FA5">
        <w:rPr>
          <w:lang w:val="es-ES_tradnl"/>
        </w:rPr>
        <w:tab/>
        <w:t>una ampliación de la base de producción y el volumen de equipos (globalización de los mercados), que resultaría en la creación de economías de escala y la mejora de la disponibilidad de los equipos;</w:t>
      </w:r>
    </w:p>
    <w:p w:rsidR="000C1ED5" w:rsidRPr="004E6FA5" w:rsidRDefault="000C1ED5" w:rsidP="000C1ED5">
      <w:pPr>
        <w:pStyle w:val="enumlev1"/>
        <w:rPr>
          <w:lang w:val="es-ES_tradnl"/>
        </w:rPr>
      </w:pPr>
      <w:r w:rsidRPr="004E6FA5">
        <w:rPr>
          <w:lang w:val="es-ES_tradnl"/>
        </w:rPr>
        <w:t>–</w:t>
      </w:r>
      <w:r w:rsidRPr="004E6FA5">
        <w:rPr>
          <w:lang w:val="es-ES_tradnl"/>
        </w:rPr>
        <w:tab/>
        <w:t>una reducción del coste de los dispositivos para los clientes y proveedores de soluciones; y</w:t>
      </w:r>
    </w:p>
    <w:p w:rsidR="000C1ED5" w:rsidRPr="004E6FA5" w:rsidRDefault="000C1ED5" w:rsidP="000C1ED5">
      <w:pPr>
        <w:pStyle w:val="enumlev1"/>
        <w:rPr>
          <w:lang w:val="es-ES_tradnl"/>
        </w:rPr>
      </w:pPr>
      <w:r w:rsidRPr="004E6FA5">
        <w:rPr>
          <w:lang w:val="es-ES_tradnl"/>
        </w:rPr>
        <w:t>–</w:t>
      </w:r>
      <w:r w:rsidRPr="004E6FA5">
        <w:rPr>
          <w:lang w:val="es-ES_tradnl"/>
        </w:rPr>
        <w:tab/>
        <w:t>una disminución del riesgo de interferencia perjudicial entre sistemas.</w:t>
      </w:r>
    </w:p>
    <w:p w:rsidR="000C1ED5" w:rsidRPr="004E6FA5" w:rsidRDefault="000C1ED5" w:rsidP="000C1ED5">
      <w:pPr>
        <w:rPr>
          <w:lang w:val="es-ES_tradnl"/>
        </w:rPr>
      </w:pPr>
      <w:r w:rsidRPr="004E6FA5">
        <w:rPr>
          <w:lang w:val="es-ES_tradnl"/>
        </w:rPr>
        <w:t>La Recomendación UIT-R SM.1896 contiene gamas de frecuencias para la armonización de los dispositivos de corto alcance.</w:t>
      </w:r>
    </w:p>
    <w:p w:rsidR="000C1ED5" w:rsidRPr="004E6FA5" w:rsidRDefault="000C1ED5" w:rsidP="000C1ED5">
      <w:pPr>
        <w:rPr>
          <w:lang w:val="es-ES_tradnl"/>
        </w:rPr>
      </w:pPr>
      <w:r w:rsidRPr="004E6FA5">
        <w:rPr>
          <w:lang w:val="es-ES_tradnl"/>
        </w:rPr>
        <w:t>El Informe UIT-R SM.2153 contiene parámetros técnicos y de funcionamiento de los dispositivos de radiocomunicaciones de corto alcance y utilización del espectro por los mismos.</w:t>
      </w:r>
    </w:p>
    <w:p w:rsidR="000C1ED5" w:rsidRPr="004E6FA5" w:rsidRDefault="000C1ED5" w:rsidP="000C1ED5">
      <w:pPr>
        <w:rPr>
          <w:lang w:val="es-ES_tradnl"/>
        </w:rPr>
      </w:pPr>
      <w:r w:rsidRPr="004E6FA5">
        <w:rPr>
          <w:lang w:val="es-ES_tradnl"/>
        </w:rPr>
        <w:t>Actualmente, los sistemas LPWAN están implantados en bandas de espectro armonizadas a escala regional para los SRD como sigue:</w:t>
      </w:r>
    </w:p>
    <w:p w:rsidR="000C1ED5" w:rsidRPr="00F71A3D" w:rsidRDefault="000C1ED5" w:rsidP="00F71A3D">
      <w:pPr>
        <w:rPr>
          <w:b/>
          <w:bCs/>
          <w:lang w:val="es-ES_tradnl"/>
        </w:rPr>
      </w:pPr>
      <w:r w:rsidRPr="00F71A3D">
        <w:rPr>
          <w:b/>
          <w:bCs/>
          <w:lang w:val="es-ES_tradnl"/>
        </w:rPr>
        <w:t>–</w:t>
      </w:r>
      <w:r w:rsidRPr="00F71A3D">
        <w:rPr>
          <w:b/>
          <w:bCs/>
          <w:lang w:val="es-ES_tradnl"/>
        </w:rPr>
        <w:tab/>
        <w:t>Región 1 de la UIT</w:t>
      </w:r>
    </w:p>
    <w:p w:rsidR="000C1ED5" w:rsidRPr="004E6FA5" w:rsidRDefault="000C1ED5" w:rsidP="000C1ED5">
      <w:pPr>
        <w:pStyle w:val="enumlev1"/>
        <w:keepNext/>
        <w:keepLines/>
        <w:rPr>
          <w:rFonts w:eastAsiaTheme="minorEastAsia"/>
          <w:lang w:val="es-ES_tradnl"/>
        </w:rPr>
      </w:pPr>
      <w:r w:rsidRPr="004E6FA5">
        <w:rPr>
          <w:lang w:val="es-ES_tradnl"/>
        </w:rPr>
        <w:tab/>
        <w:t>En los países de la CEPT, la mayoría de las infraestructuras LPWAN se explotan en la banda 865-870 MHz, destinada a los SRD. En particular, dependen de las bandas 865-868,6 MHz a 25 mW de potencia radiada aparente (p.r.a.) y 869,4-869,65 MHz a 500 mW de p.r.a., a las que se aplican técnicas de mitigación tales como la restricción del ciclo de trabajo. Los equipos deben ajustarse a la norma ETSI EN 300 220.</w:t>
      </w:r>
    </w:p>
    <w:p w:rsidR="000C1ED5" w:rsidRPr="004E6FA5" w:rsidRDefault="000C1ED5" w:rsidP="000C1ED5">
      <w:pPr>
        <w:pStyle w:val="enumlev1"/>
        <w:keepNext/>
        <w:keepLines/>
        <w:rPr>
          <w:lang w:val="es-ES_tradnl"/>
        </w:rPr>
      </w:pPr>
      <w:r w:rsidRPr="004E6FA5">
        <w:rPr>
          <w:lang w:val="es-ES_tradnl"/>
        </w:rPr>
        <w:tab/>
        <w:t>Los sistemas LPWAN se explotan con arreglo a las mismas condiciones en algunos países de África y Oriente Medio que han adoptado normativas en materia de SRD en la gama 865</w:t>
      </w:r>
      <w:r w:rsidRPr="004E6FA5">
        <w:rPr>
          <w:lang w:val="es-ES_tradnl"/>
        </w:rPr>
        <w:noBreakHyphen/>
        <w:t>870 MHz.</w:t>
      </w:r>
    </w:p>
    <w:p w:rsidR="000C1ED5" w:rsidRPr="004E6FA5" w:rsidRDefault="000C1ED5" w:rsidP="000C1ED5">
      <w:pPr>
        <w:rPr>
          <w:b/>
          <w:lang w:val="es-ES_tradnl"/>
        </w:rPr>
      </w:pPr>
      <w:r w:rsidRPr="004E6FA5">
        <w:rPr>
          <w:lang w:val="es-ES_tradnl"/>
        </w:rPr>
        <w:t>–</w:t>
      </w:r>
      <w:r w:rsidRPr="004E6FA5">
        <w:rPr>
          <w:lang w:val="es-ES_tradnl"/>
        </w:rPr>
        <w:tab/>
      </w:r>
      <w:r w:rsidRPr="004E6FA5">
        <w:rPr>
          <w:b/>
          <w:lang w:val="es-ES_tradnl"/>
        </w:rPr>
        <w:t>Región 2 de la UIT</w:t>
      </w:r>
    </w:p>
    <w:p w:rsidR="000C1ED5" w:rsidRPr="004E6FA5" w:rsidRDefault="000C1ED5" w:rsidP="000C1ED5">
      <w:pPr>
        <w:pStyle w:val="enumlev1"/>
        <w:keepNext/>
        <w:keepLines/>
        <w:rPr>
          <w:lang w:val="es-ES_tradnl"/>
        </w:rPr>
      </w:pPr>
      <w:r w:rsidRPr="004E6FA5">
        <w:rPr>
          <w:lang w:val="es-ES_tradnl"/>
        </w:rPr>
        <w:tab/>
        <w:t>En la gama 902-928 MHz, suele permitirse la utilización sin licencia con una potencia de transmisión de hasta 4 W de p.i.r.e. La norma 47 CFR 15.247 contiene un ejemplo en la materia.</w:t>
      </w:r>
    </w:p>
    <w:p w:rsidR="000C1ED5" w:rsidRPr="004E6FA5" w:rsidRDefault="000C1ED5" w:rsidP="000C1ED5">
      <w:pPr>
        <w:rPr>
          <w:lang w:val="es-ES_tradnl"/>
        </w:rPr>
      </w:pPr>
      <w:r w:rsidRPr="004E6FA5">
        <w:rPr>
          <w:lang w:val="es-ES_tradnl"/>
        </w:rPr>
        <w:t>–</w:t>
      </w:r>
      <w:r w:rsidRPr="004E6FA5">
        <w:rPr>
          <w:lang w:val="es-ES_tradnl"/>
        </w:rPr>
        <w:tab/>
      </w:r>
      <w:r w:rsidRPr="004E6FA5">
        <w:rPr>
          <w:b/>
          <w:lang w:val="es-ES_tradnl"/>
        </w:rPr>
        <w:t>Región 3 de la UIT</w:t>
      </w:r>
    </w:p>
    <w:p w:rsidR="000C1ED5" w:rsidRPr="004E6FA5" w:rsidRDefault="000C1ED5" w:rsidP="000C1ED5">
      <w:pPr>
        <w:pStyle w:val="enumlev1"/>
        <w:keepNext/>
        <w:keepLines/>
        <w:rPr>
          <w:lang w:val="es-ES_tradnl"/>
        </w:rPr>
      </w:pPr>
      <w:r w:rsidRPr="004E6FA5">
        <w:rPr>
          <w:lang w:val="es-ES_tradnl"/>
        </w:rPr>
        <w:tab/>
        <w:t>Las LPWAN se implantan atendiendo a las condiciones específicas de cada país. Recientemente, varias administraciones de Asia y el Pacífico han autorizado servicios LPWAN en la gama 915-925 MHz utilizando distintas técnicas y normas de acceso al espectro (véase la norma ARIB STD</w:t>
      </w:r>
      <w:r w:rsidRPr="004E6FA5">
        <w:rPr>
          <w:lang w:val="es-ES_tradnl"/>
        </w:rPr>
        <w:noBreakHyphen/>
        <w:t>T</w:t>
      </w:r>
      <w:r w:rsidRPr="004E6FA5">
        <w:rPr>
          <w:lang w:val="es-ES_tradnl"/>
        </w:rPr>
        <w:noBreakHyphen/>
        <w:t>108 en Japón).</w:t>
      </w:r>
    </w:p>
    <w:p w:rsidR="000C1ED5" w:rsidRPr="004E6FA5" w:rsidRDefault="000C1ED5" w:rsidP="000C1ED5">
      <w:pPr>
        <w:rPr>
          <w:rFonts w:eastAsia="Batang"/>
          <w:lang w:val="es-ES_tradnl"/>
        </w:rPr>
      </w:pPr>
      <w:r w:rsidRPr="004E6FA5">
        <w:rPr>
          <w:lang w:val="es-ES_tradnl"/>
        </w:rPr>
        <w:t>La CEPT/Europa ha estudiado el funcionamiento de los SRD en la gama de 900 MHz (917,3</w:t>
      </w:r>
      <w:r w:rsidRPr="004E6FA5">
        <w:rPr>
          <w:lang w:val="es-ES_tradnl"/>
        </w:rPr>
        <w:noBreakHyphen/>
        <w:t>919,</w:t>
      </w:r>
      <w:r w:rsidRPr="004E6FA5">
        <w:rPr>
          <w:sz w:val="22"/>
          <w:szCs w:val="18"/>
          <w:lang w:val="es-ES_tradnl"/>
        </w:rPr>
        <w:t>4 MHz</w:t>
      </w:r>
      <w:r w:rsidRPr="004E6FA5">
        <w:rPr>
          <w:lang w:val="es-ES_tradnl"/>
        </w:rPr>
        <w:t>) y planea concluir una serie de normas al respecto en 2018, a fin de habilitar una banda para los SRD que los sistemas LPWAN también puedan utilizar en países de las tres Regiones de la UIT.</w:t>
      </w:r>
    </w:p>
    <w:p w:rsidR="000C1ED5" w:rsidRPr="004E6FA5" w:rsidRDefault="000C1ED5" w:rsidP="000C1ED5">
      <w:pPr>
        <w:pStyle w:val="TableNo"/>
        <w:rPr>
          <w:lang w:val="es-ES_tradnl"/>
        </w:rPr>
      </w:pPr>
      <w:r w:rsidRPr="004E6FA5">
        <w:rPr>
          <w:lang w:val="es-ES_tradnl"/>
        </w:rPr>
        <w:lastRenderedPageBreak/>
        <w:t>CUADRO 2</w:t>
      </w:r>
    </w:p>
    <w:p w:rsidR="000C1ED5" w:rsidRPr="004E6FA5" w:rsidRDefault="000C1ED5" w:rsidP="000C1ED5">
      <w:pPr>
        <w:pStyle w:val="Tabletitle"/>
        <w:rPr>
          <w:lang w:val="es-ES_tradnl"/>
        </w:rPr>
      </w:pPr>
      <w:r w:rsidRPr="004E6FA5">
        <w:rPr>
          <w:lang w:val="es-ES_tradnl"/>
        </w:rPr>
        <w:t>Ejemplos de utilización de frecuencias para las LPWAN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949"/>
        <w:gridCol w:w="2368"/>
        <w:gridCol w:w="1182"/>
        <w:gridCol w:w="1182"/>
        <w:gridCol w:w="1182"/>
      </w:tblGrid>
      <w:tr w:rsidR="000C1ED5" w:rsidRPr="004E6FA5" w:rsidTr="008376DE">
        <w:trPr>
          <w:cantSplit/>
          <w:tblHeader/>
          <w:jc w:val="center"/>
        </w:trPr>
        <w:tc>
          <w:tcPr>
            <w:tcW w:w="1776" w:type="dxa"/>
            <w:shd w:val="clear" w:color="auto" w:fill="auto"/>
            <w:vAlign w:val="center"/>
          </w:tcPr>
          <w:p w:rsidR="000C1ED5" w:rsidRPr="004E6FA5" w:rsidRDefault="000C1ED5" w:rsidP="008376DE">
            <w:pPr>
              <w:pStyle w:val="Tablehead"/>
              <w:rPr>
                <w:lang w:val="es-ES_tradnl"/>
              </w:rPr>
            </w:pPr>
            <w:r w:rsidRPr="004E6FA5">
              <w:rPr>
                <w:lang w:val="es-ES_tradnl"/>
              </w:rPr>
              <w:t>Gama de frecuencias</w:t>
            </w:r>
          </w:p>
        </w:tc>
        <w:tc>
          <w:tcPr>
            <w:tcW w:w="1949" w:type="dxa"/>
            <w:shd w:val="clear" w:color="auto" w:fill="auto"/>
            <w:vAlign w:val="center"/>
          </w:tcPr>
          <w:p w:rsidR="000C1ED5" w:rsidRPr="004E6FA5" w:rsidRDefault="000C1ED5" w:rsidP="008376DE">
            <w:pPr>
              <w:pStyle w:val="Tablehead"/>
              <w:rPr>
                <w:lang w:val="es-ES_tradnl"/>
              </w:rPr>
            </w:pPr>
            <w:r w:rsidRPr="004E6FA5">
              <w:rPr>
                <w:lang w:val="es-ES_tradnl"/>
              </w:rPr>
              <w:t>Recomendación e Informe pertinentes</w:t>
            </w:r>
          </w:p>
        </w:tc>
        <w:tc>
          <w:tcPr>
            <w:tcW w:w="2368" w:type="dxa"/>
            <w:shd w:val="clear" w:color="auto" w:fill="auto"/>
            <w:vAlign w:val="center"/>
          </w:tcPr>
          <w:p w:rsidR="000C1ED5" w:rsidRPr="004E6FA5" w:rsidRDefault="000C1ED5" w:rsidP="008376DE">
            <w:pPr>
              <w:pStyle w:val="Tablehead"/>
              <w:rPr>
                <w:lang w:val="es-ES_tradnl"/>
              </w:rPr>
            </w:pPr>
            <w:r w:rsidRPr="004E6FA5">
              <w:rPr>
                <w:szCs w:val="22"/>
                <w:lang w:val="es-ES_tradnl"/>
              </w:rPr>
              <w:t>Observaciones</w:t>
            </w:r>
          </w:p>
        </w:tc>
        <w:tc>
          <w:tcPr>
            <w:tcW w:w="1182" w:type="dxa"/>
            <w:shd w:val="clear" w:color="auto" w:fill="auto"/>
            <w:vAlign w:val="center"/>
          </w:tcPr>
          <w:p w:rsidR="000C1ED5" w:rsidRPr="004E6FA5" w:rsidRDefault="000C1ED5" w:rsidP="008376DE">
            <w:pPr>
              <w:pStyle w:val="Tablehead"/>
              <w:rPr>
                <w:lang w:val="es-ES_tradnl"/>
              </w:rPr>
            </w:pPr>
            <w:r w:rsidRPr="004E6FA5">
              <w:rPr>
                <w:lang w:val="es-ES_tradnl"/>
              </w:rPr>
              <w:t>Región 1</w:t>
            </w:r>
          </w:p>
        </w:tc>
        <w:tc>
          <w:tcPr>
            <w:tcW w:w="1182" w:type="dxa"/>
            <w:shd w:val="clear" w:color="auto" w:fill="auto"/>
            <w:vAlign w:val="center"/>
          </w:tcPr>
          <w:p w:rsidR="000C1ED5" w:rsidRPr="004E6FA5" w:rsidRDefault="000C1ED5" w:rsidP="008376DE">
            <w:pPr>
              <w:pStyle w:val="Tablehead"/>
              <w:rPr>
                <w:lang w:val="es-ES_tradnl"/>
              </w:rPr>
            </w:pPr>
            <w:r w:rsidRPr="004E6FA5">
              <w:rPr>
                <w:lang w:val="es-ES_tradnl"/>
              </w:rPr>
              <w:t>Región 2</w:t>
            </w:r>
          </w:p>
        </w:tc>
        <w:tc>
          <w:tcPr>
            <w:tcW w:w="1182" w:type="dxa"/>
            <w:shd w:val="clear" w:color="auto" w:fill="auto"/>
            <w:vAlign w:val="center"/>
          </w:tcPr>
          <w:p w:rsidR="000C1ED5" w:rsidRPr="004E6FA5" w:rsidRDefault="000C1ED5" w:rsidP="008376DE">
            <w:pPr>
              <w:pStyle w:val="Tablehead"/>
              <w:rPr>
                <w:lang w:val="es-ES_tradnl"/>
              </w:rPr>
            </w:pPr>
            <w:r w:rsidRPr="004E6FA5">
              <w:rPr>
                <w:lang w:val="es-ES_tradnl"/>
              </w:rPr>
              <w:t>Región 3</w:t>
            </w:r>
          </w:p>
        </w:tc>
      </w:tr>
      <w:tr w:rsidR="000C1ED5" w:rsidRPr="004E6FA5" w:rsidTr="008376DE">
        <w:trPr>
          <w:cantSplit/>
          <w:jc w:val="center"/>
        </w:trPr>
        <w:tc>
          <w:tcPr>
            <w:tcW w:w="1776" w:type="dxa"/>
          </w:tcPr>
          <w:p w:rsidR="000C1ED5" w:rsidRPr="004E6FA5" w:rsidRDefault="000C1ED5" w:rsidP="008376DE">
            <w:pPr>
              <w:pStyle w:val="Tabletext"/>
              <w:rPr>
                <w:lang w:val="es-ES_tradnl"/>
              </w:rPr>
            </w:pPr>
            <w:r w:rsidRPr="004E6FA5">
              <w:rPr>
                <w:lang w:val="es-ES_tradnl"/>
              </w:rPr>
              <w:t>865-870 MHz</w:t>
            </w:r>
          </w:p>
        </w:tc>
        <w:tc>
          <w:tcPr>
            <w:tcW w:w="1949" w:type="dxa"/>
          </w:tcPr>
          <w:p w:rsidR="000C1ED5" w:rsidRPr="004E6FA5" w:rsidRDefault="000C1ED5" w:rsidP="008376DE">
            <w:pPr>
              <w:pStyle w:val="Tabletext"/>
              <w:jc w:val="left"/>
              <w:rPr>
                <w:lang w:val="es-ES_tradnl"/>
              </w:rPr>
            </w:pPr>
            <w:r w:rsidRPr="004E6FA5">
              <w:rPr>
                <w:lang w:val="es-ES_tradnl"/>
              </w:rPr>
              <w:t>Rec. UIT-R SM.1896</w:t>
            </w:r>
          </w:p>
          <w:p w:rsidR="000C1ED5" w:rsidRPr="004E6FA5" w:rsidRDefault="000C1ED5" w:rsidP="008376DE">
            <w:pPr>
              <w:pStyle w:val="Tabletext"/>
              <w:jc w:val="left"/>
              <w:rPr>
                <w:lang w:val="es-ES_tradnl"/>
              </w:rPr>
            </w:pPr>
            <w:r w:rsidRPr="004E6FA5">
              <w:rPr>
                <w:lang w:val="es-ES_tradnl"/>
              </w:rPr>
              <w:t>Informe UIT</w:t>
            </w:r>
            <w:r w:rsidRPr="004E6FA5">
              <w:rPr>
                <w:lang w:val="es-ES_tradnl"/>
              </w:rPr>
              <w:noBreakHyphen/>
              <w:t>R SM.2153</w:t>
            </w:r>
          </w:p>
        </w:tc>
        <w:tc>
          <w:tcPr>
            <w:tcW w:w="2368" w:type="dxa"/>
          </w:tcPr>
          <w:p w:rsidR="000C1ED5" w:rsidRPr="004E6FA5" w:rsidRDefault="000C1ED5" w:rsidP="008376DE">
            <w:pPr>
              <w:pStyle w:val="Tabletext"/>
              <w:jc w:val="left"/>
              <w:rPr>
                <w:lang w:val="es-ES_tradnl"/>
              </w:rPr>
            </w:pPr>
            <w:r w:rsidRPr="004E6FA5">
              <w:rPr>
                <w:szCs w:val="22"/>
                <w:lang w:val="es-ES_tradnl"/>
              </w:rPr>
              <w:t xml:space="preserve">Toda esta banda puede considerarse una gama de sintonía. Sólo algunas partes de esta gama de sintonía están disponibles para las </w:t>
            </w:r>
            <w:r w:rsidRPr="004E6FA5">
              <w:rPr>
                <w:lang w:val="es-ES_tradnl"/>
              </w:rPr>
              <w:t>LPWAN</w:t>
            </w:r>
            <w:r w:rsidRPr="004E6FA5">
              <w:rPr>
                <w:szCs w:val="22"/>
                <w:lang w:val="es-ES_tradnl"/>
              </w:rPr>
              <w:t xml:space="preserve"> en varios países</w:t>
            </w:r>
            <w:r w:rsidRPr="004E6FA5">
              <w:rPr>
                <w:lang w:val="es-ES_tradnl"/>
              </w:rPr>
              <w:t>, debido a su utilización por sistemas móviles comerciales o a restricciones al alcance de las aplicaciones de los SRD. Consúltense los reglamentos nacionales.</w:t>
            </w:r>
          </w:p>
        </w:tc>
        <w:tc>
          <w:tcPr>
            <w:tcW w:w="1182" w:type="dxa"/>
          </w:tcPr>
          <w:p w:rsidR="000C1ED5" w:rsidRPr="004E6FA5" w:rsidRDefault="000C1ED5" w:rsidP="008376DE">
            <w:pPr>
              <w:pStyle w:val="Tabletext"/>
              <w:jc w:val="left"/>
              <w:rPr>
                <w:szCs w:val="22"/>
                <w:lang w:val="es-ES_tradnl"/>
              </w:rPr>
            </w:pPr>
            <w:r w:rsidRPr="004E6FA5">
              <w:rPr>
                <w:szCs w:val="22"/>
                <w:lang w:val="es-ES_tradnl"/>
              </w:rPr>
              <w:t>Disponible</w:t>
            </w:r>
          </w:p>
        </w:tc>
        <w:tc>
          <w:tcPr>
            <w:tcW w:w="1182" w:type="dxa"/>
          </w:tcPr>
          <w:p w:rsidR="000C1ED5" w:rsidRPr="004E6FA5" w:rsidRDefault="000C1ED5" w:rsidP="008376DE">
            <w:pPr>
              <w:pStyle w:val="Tabletext"/>
              <w:jc w:val="left"/>
              <w:rPr>
                <w:szCs w:val="22"/>
                <w:lang w:val="es-ES_tradnl"/>
              </w:rPr>
            </w:pPr>
            <w:r w:rsidRPr="004E6FA5">
              <w:rPr>
                <w:szCs w:val="22"/>
                <w:lang w:val="es-ES_tradnl"/>
              </w:rPr>
              <w:t>No disponible</w:t>
            </w:r>
          </w:p>
        </w:tc>
        <w:tc>
          <w:tcPr>
            <w:tcW w:w="1182" w:type="dxa"/>
          </w:tcPr>
          <w:p w:rsidR="000C1ED5" w:rsidRPr="004E6FA5" w:rsidRDefault="000C1ED5" w:rsidP="008376DE">
            <w:pPr>
              <w:pStyle w:val="Tabletext"/>
              <w:jc w:val="left"/>
              <w:rPr>
                <w:szCs w:val="22"/>
                <w:lang w:val="es-ES_tradnl"/>
              </w:rPr>
            </w:pPr>
            <w:r w:rsidRPr="004E6FA5">
              <w:rPr>
                <w:szCs w:val="22"/>
                <w:lang w:val="es-ES_tradnl"/>
              </w:rPr>
              <w:t>Disponible en algunos países</w:t>
            </w:r>
          </w:p>
        </w:tc>
      </w:tr>
      <w:tr w:rsidR="000C1ED5" w:rsidRPr="004E6FA5" w:rsidTr="008376DE">
        <w:trPr>
          <w:cantSplit/>
          <w:jc w:val="center"/>
        </w:trPr>
        <w:tc>
          <w:tcPr>
            <w:tcW w:w="1776" w:type="dxa"/>
          </w:tcPr>
          <w:p w:rsidR="000C1ED5" w:rsidRPr="004E6FA5" w:rsidRDefault="000C1ED5" w:rsidP="008376DE">
            <w:pPr>
              <w:pStyle w:val="Tabletext"/>
              <w:rPr>
                <w:lang w:val="es-ES_tradnl"/>
              </w:rPr>
            </w:pPr>
            <w:r w:rsidRPr="004E6FA5">
              <w:rPr>
                <w:lang w:val="es-ES_tradnl"/>
              </w:rPr>
              <w:t>902-915 MHz</w:t>
            </w:r>
          </w:p>
        </w:tc>
        <w:tc>
          <w:tcPr>
            <w:tcW w:w="1949" w:type="dxa"/>
          </w:tcPr>
          <w:p w:rsidR="000C1ED5" w:rsidRPr="004E6FA5" w:rsidRDefault="000C1ED5" w:rsidP="008376DE">
            <w:pPr>
              <w:pStyle w:val="Tabletext"/>
              <w:jc w:val="left"/>
              <w:rPr>
                <w:lang w:val="es-ES_tradnl"/>
              </w:rPr>
            </w:pPr>
            <w:r w:rsidRPr="004E6FA5">
              <w:rPr>
                <w:lang w:val="es-ES_tradnl"/>
              </w:rPr>
              <w:t>Rec. UIT-R SM.1896</w:t>
            </w:r>
          </w:p>
          <w:p w:rsidR="000C1ED5" w:rsidRPr="004E6FA5" w:rsidRDefault="000C1ED5" w:rsidP="008376DE">
            <w:pPr>
              <w:pStyle w:val="Tabletext"/>
              <w:jc w:val="left"/>
              <w:rPr>
                <w:lang w:val="es-ES_tradnl"/>
              </w:rPr>
            </w:pPr>
            <w:r w:rsidRPr="004E6FA5">
              <w:rPr>
                <w:lang w:val="es-ES_tradnl"/>
              </w:rPr>
              <w:t>Informe UIT-R SM.2153</w:t>
            </w:r>
          </w:p>
        </w:tc>
        <w:tc>
          <w:tcPr>
            <w:tcW w:w="2368" w:type="dxa"/>
          </w:tcPr>
          <w:p w:rsidR="000C1ED5" w:rsidRPr="004E6FA5" w:rsidRDefault="000C1ED5" w:rsidP="008376DE">
            <w:pPr>
              <w:pStyle w:val="Tabletext"/>
              <w:jc w:val="left"/>
              <w:rPr>
                <w:szCs w:val="22"/>
                <w:lang w:val="es-ES_tradnl"/>
              </w:rPr>
            </w:pPr>
            <w:r w:rsidRPr="004E6FA5">
              <w:rPr>
                <w:szCs w:val="22"/>
                <w:lang w:val="es-ES_tradnl"/>
              </w:rPr>
              <w:t>La banda 902-928 MHz es ICM en la Región 2 (véase el número</w:t>
            </w:r>
            <w:r w:rsidRPr="004E6FA5">
              <w:rPr>
                <w:b/>
                <w:bCs/>
                <w:szCs w:val="22"/>
                <w:lang w:val="es-ES_tradnl"/>
              </w:rPr>
              <w:t xml:space="preserve"> 5.150 </w:t>
            </w:r>
            <w:r w:rsidRPr="004E6FA5">
              <w:rPr>
                <w:szCs w:val="22"/>
                <w:lang w:val="es-ES_tradnl"/>
              </w:rPr>
              <w:t>del RR). Toda esta banda puede considerarse una gama de sintonía.</w:t>
            </w:r>
          </w:p>
          <w:p w:rsidR="000C1ED5" w:rsidRPr="004E6FA5" w:rsidRDefault="000C1ED5" w:rsidP="008376DE">
            <w:pPr>
              <w:pStyle w:val="Tabletext"/>
              <w:jc w:val="left"/>
              <w:rPr>
                <w:lang w:val="es-ES_tradnl"/>
              </w:rPr>
            </w:pPr>
            <w:r w:rsidRPr="004E6FA5">
              <w:rPr>
                <w:szCs w:val="22"/>
                <w:lang w:val="es-ES_tradnl"/>
              </w:rPr>
              <w:t xml:space="preserve">Esta banda no está disponible para las </w:t>
            </w:r>
            <w:r w:rsidRPr="004E6FA5">
              <w:rPr>
                <w:lang w:val="es-ES_tradnl"/>
              </w:rPr>
              <w:t>LPWAN</w:t>
            </w:r>
            <w:r w:rsidRPr="004E6FA5">
              <w:rPr>
                <w:szCs w:val="22"/>
                <w:lang w:val="es-ES_tradnl"/>
              </w:rPr>
              <w:t xml:space="preserve"> en varios países</w:t>
            </w:r>
            <w:r w:rsidRPr="004E6FA5">
              <w:rPr>
                <w:lang w:val="es-ES_tradnl"/>
              </w:rPr>
              <w:t xml:space="preserve">, incluidos países de la Región 2, </w:t>
            </w:r>
            <w:r w:rsidRPr="004E6FA5">
              <w:rPr>
                <w:szCs w:val="22"/>
                <w:lang w:val="es-ES_tradnl"/>
              </w:rPr>
              <w:t>debido a su utilización por sistemas móviles comerciales.</w:t>
            </w:r>
          </w:p>
        </w:tc>
        <w:tc>
          <w:tcPr>
            <w:tcW w:w="1182" w:type="dxa"/>
          </w:tcPr>
          <w:p w:rsidR="000C1ED5" w:rsidRPr="004E6FA5" w:rsidRDefault="000C1ED5" w:rsidP="008376DE">
            <w:pPr>
              <w:pStyle w:val="Tabletext"/>
              <w:jc w:val="left"/>
              <w:rPr>
                <w:szCs w:val="22"/>
                <w:lang w:val="es-ES_tradnl"/>
              </w:rPr>
            </w:pPr>
            <w:r w:rsidRPr="004E6FA5">
              <w:rPr>
                <w:szCs w:val="22"/>
                <w:lang w:val="es-ES_tradnl"/>
              </w:rPr>
              <w:t>No disponible</w:t>
            </w:r>
          </w:p>
        </w:tc>
        <w:tc>
          <w:tcPr>
            <w:tcW w:w="1182" w:type="dxa"/>
          </w:tcPr>
          <w:p w:rsidR="000C1ED5" w:rsidRPr="004E6FA5" w:rsidRDefault="000C1ED5" w:rsidP="008376DE">
            <w:pPr>
              <w:pStyle w:val="Tabletext"/>
              <w:jc w:val="left"/>
              <w:rPr>
                <w:szCs w:val="22"/>
                <w:lang w:val="es-ES_tradnl"/>
              </w:rPr>
            </w:pPr>
            <w:r w:rsidRPr="004E6FA5">
              <w:rPr>
                <w:szCs w:val="22"/>
                <w:lang w:val="es-ES_tradnl"/>
              </w:rPr>
              <w:t>Disponible en algunos países</w:t>
            </w:r>
          </w:p>
        </w:tc>
        <w:tc>
          <w:tcPr>
            <w:tcW w:w="1182" w:type="dxa"/>
          </w:tcPr>
          <w:p w:rsidR="000C1ED5" w:rsidRPr="004E6FA5" w:rsidRDefault="000C1ED5" w:rsidP="008376DE">
            <w:pPr>
              <w:pStyle w:val="Tabletext"/>
              <w:jc w:val="left"/>
              <w:rPr>
                <w:szCs w:val="22"/>
                <w:lang w:val="es-ES_tradnl"/>
              </w:rPr>
            </w:pPr>
            <w:r w:rsidRPr="004E6FA5">
              <w:rPr>
                <w:szCs w:val="22"/>
                <w:lang w:val="es-ES_tradnl"/>
              </w:rPr>
              <w:t>No disponible</w:t>
            </w:r>
          </w:p>
        </w:tc>
      </w:tr>
    </w:tbl>
    <w:p w:rsidR="00F71A3D" w:rsidRPr="00F71A3D" w:rsidRDefault="00F71A3D" w:rsidP="00F71A3D">
      <w:pPr>
        <w:pStyle w:val="TableNo"/>
        <w:keepLines/>
        <w:rPr>
          <w:lang w:val="es-ES_tradnl"/>
        </w:rPr>
      </w:pPr>
      <w:r w:rsidRPr="004E6FA5">
        <w:rPr>
          <w:lang w:val="es-ES_tradnl"/>
        </w:rPr>
        <w:lastRenderedPageBreak/>
        <w:t>CUADRO 2</w:t>
      </w:r>
      <w:r>
        <w:rPr>
          <w:lang w:val="es-ES_tradnl"/>
        </w:rPr>
        <w:t xml:space="preserve"> (</w:t>
      </w:r>
      <w:r>
        <w:rPr>
          <w:i/>
          <w:iCs/>
          <w:lang w:val="es-ES_tradnl"/>
        </w:rPr>
        <w:t>fin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949"/>
        <w:gridCol w:w="2368"/>
        <w:gridCol w:w="1182"/>
        <w:gridCol w:w="1182"/>
        <w:gridCol w:w="1182"/>
      </w:tblGrid>
      <w:tr w:rsidR="00F71A3D" w:rsidRPr="004E6FA5" w:rsidTr="008376DE">
        <w:trPr>
          <w:cantSplit/>
          <w:tblHeader/>
          <w:jc w:val="center"/>
        </w:trPr>
        <w:tc>
          <w:tcPr>
            <w:tcW w:w="1776" w:type="dxa"/>
            <w:shd w:val="clear" w:color="auto" w:fill="auto"/>
            <w:vAlign w:val="center"/>
          </w:tcPr>
          <w:p w:rsidR="00F71A3D" w:rsidRPr="004E6FA5" w:rsidRDefault="00F71A3D" w:rsidP="00F71A3D">
            <w:pPr>
              <w:pStyle w:val="Tablehead"/>
              <w:keepLines/>
              <w:rPr>
                <w:lang w:val="es-ES_tradnl"/>
              </w:rPr>
            </w:pPr>
            <w:r w:rsidRPr="004E6FA5">
              <w:rPr>
                <w:lang w:val="es-ES_tradnl"/>
              </w:rPr>
              <w:t>Gama de frecuencias</w:t>
            </w:r>
          </w:p>
        </w:tc>
        <w:tc>
          <w:tcPr>
            <w:tcW w:w="1949" w:type="dxa"/>
            <w:shd w:val="clear" w:color="auto" w:fill="auto"/>
            <w:vAlign w:val="center"/>
          </w:tcPr>
          <w:p w:rsidR="00F71A3D" w:rsidRPr="004E6FA5" w:rsidRDefault="00F71A3D" w:rsidP="00F71A3D">
            <w:pPr>
              <w:pStyle w:val="Tablehead"/>
              <w:keepLines/>
              <w:rPr>
                <w:lang w:val="es-ES_tradnl"/>
              </w:rPr>
            </w:pPr>
            <w:r w:rsidRPr="004E6FA5">
              <w:rPr>
                <w:lang w:val="es-ES_tradnl"/>
              </w:rPr>
              <w:t>Recomendación e Informe pertinentes</w:t>
            </w:r>
          </w:p>
        </w:tc>
        <w:tc>
          <w:tcPr>
            <w:tcW w:w="2368" w:type="dxa"/>
            <w:shd w:val="clear" w:color="auto" w:fill="auto"/>
            <w:vAlign w:val="center"/>
          </w:tcPr>
          <w:p w:rsidR="00F71A3D" w:rsidRPr="004E6FA5" w:rsidRDefault="00F71A3D" w:rsidP="00F71A3D">
            <w:pPr>
              <w:pStyle w:val="Tablehead"/>
              <w:keepLines/>
              <w:rPr>
                <w:lang w:val="es-ES_tradnl"/>
              </w:rPr>
            </w:pPr>
            <w:r w:rsidRPr="004E6FA5">
              <w:rPr>
                <w:szCs w:val="22"/>
                <w:lang w:val="es-ES_tradnl"/>
              </w:rPr>
              <w:t>Observaciones</w:t>
            </w:r>
          </w:p>
        </w:tc>
        <w:tc>
          <w:tcPr>
            <w:tcW w:w="1182" w:type="dxa"/>
            <w:shd w:val="clear" w:color="auto" w:fill="auto"/>
            <w:vAlign w:val="center"/>
          </w:tcPr>
          <w:p w:rsidR="00F71A3D" w:rsidRPr="004E6FA5" w:rsidRDefault="00F71A3D" w:rsidP="00F71A3D">
            <w:pPr>
              <w:pStyle w:val="Tablehead"/>
              <w:keepLines/>
              <w:rPr>
                <w:lang w:val="es-ES_tradnl"/>
              </w:rPr>
            </w:pPr>
            <w:r w:rsidRPr="004E6FA5">
              <w:rPr>
                <w:lang w:val="es-ES_tradnl"/>
              </w:rPr>
              <w:t>Región 1</w:t>
            </w:r>
          </w:p>
        </w:tc>
        <w:tc>
          <w:tcPr>
            <w:tcW w:w="1182" w:type="dxa"/>
            <w:shd w:val="clear" w:color="auto" w:fill="auto"/>
            <w:vAlign w:val="center"/>
          </w:tcPr>
          <w:p w:rsidR="00F71A3D" w:rsidRPr="004E6FA5" w:rsidRDefault="00F71A3D" w:rsidP="00F71A3D">
            <w:pPr>
              <w:pStyle w:val="Tablehead"/>
              <w:keepLines/>
              <w:rPr>
                <w:lang w:val="es-ES_tradnl"/>
              </w:rPr>
            </w:pPr>
            <w:r w:rsidRPr="004E6FA5">
              <w:rPr>
                <w:lang w:val="es-ES_tradnl"/>
              </w:rPr>
              <w:t>Región 2</w:t>
            </w:r>
          </w:p>
        </w:tc>
        <w:tc>
          <w:tcPr>
            <w:tcW w:w="1182" w:type="dxa"/>
            <w:shd w:val="clear" w:color="auto" w:fill="auto"/>
            <w:vAlign w:val="center"/>
          </w:tcPr>
          <w:p w:rsidR="00F71A3D" w:rsidRPr="004E6FA5" w:rsidRDefault="00F71A3D" w:rsidP="00F71A3D">
            <w:pPr>
              <w:pStyle w:val="Tablehead"/>
              <w:keepLines/>
              <w:rPr>
                <w:lang w:val="es-ES_tradnl"/>
              </w:rPr>
            </w:pPr>
            <w:r w:rsidRPr="004E6FA5">
              <w:rPr>
                <w:lang w:val="es-ES_tradnl"/>
              </w:rPr>
              <w:t>Región 3</w:t>
            </w:r>
          </w:p>
        </w:tc>
      </w:tr>
      <w:tr w:rsidR="000C1ED5" w:rsidRPr="004E6FA5" w:rsidTr="008376DE">
        <w:trPr>
          <w:cantSplit/>
          <w:jc w:val="center"/>
        </w:trPr>
        <w:tc>
          <w:tcPr>
            <w:tcW w:w="1776" w:type="dxa"/>
          </w:tcPr>
          <w:p w:rsidR="000C1ED5" w:rsidRPr="00F71A3D" w:rsidRDefault="000C1ED5" w:rsidP="00F71A3D">
            <w:pPr>
              <w:pStyle w:val="Tabletext"/>
              <w:jc w:val="left"/>
            </w:pPr>
            <w:r w:rsidRPr="00F71A3D">
              <w:t>915-928 MHz</w:t>
            </w:r>
          </w:p>
        </w:tc>
        <w:tc>
          <w:tcPr>
            <w:tcW w:w="1949" w:type="dxa"/>
          </w:tcPr>
          <w:p w:rsidR="000C1ED5" w:rsidRPr="00F71A3D" w:rsidRDefault="000C1ED5" w:rsidP="00F71A3D">
            <w:pPr>
              <w:pStyle w:val="Tabletext"/>
              <w:jc w:val="left"/>
            </w:pPr>
            <w:r w:rsidRPr="00F71A3D">
              <w:t>Rec. UIT-R SM.1896</w:t>
            </w:r>
          </w:p>
          <w:p w:rsidR="000C1ED5" w:rsidRPr="00F71A3D" w:rsidRDefault="000C1ED5" w:rsidP="00F71A3D">
            <w:pPr>
              <w:pStyle w:val="Tabletext"/>
              <w:jc w:val="left"/>
            </w:pPr>
            <w:r w:rsidRPr="00F71A3D">
              <w:t>Informe UIT-R SM.2153</w:t>
            </w:r>
          </w:p>
        </w:tc>
        <w:tc>
          <w:tcPr>
            <w:tcW w:w="2368" w:type="dxa"/>
          </w:tcPr>
          <w:p w:rsidR="000C1ED5" w:rsidRPr="00F71A3D" w:rsidRDefault="000C1ED5" w:rsidP="00F71A3D">
            <w:pPr>
              <w:pStyle w:val="Tabletext"/>
              <w:jc w:val="left"/>
            </w:pPr>
            <w:r w:rsidRPr="00F71A3D">
              <w:t>La banda 902-928 MHz es ICM en la Región 2 (véase el número 5.150 del RR). Toda esta banda puede considerarse una gama de sintonía.</w:t>
            </w:r>
          </w:p>
          <w:p w:rsidR="000C1ED5" w:rsidRPr="00F71A3D" w:rsidRDefault="000C1ED5" w:rsidP="00F71A3D">
            <w:pPr>
              <w:pStyle w:val="Tabletext"/>
              <w:jc w:val="left"/>
            </w:pPr>
            <w:r w:rsidRPr="00F71A3D">
              <w:t>Sólo algunas partes de esta gama de sintonía están disponibles para las LPWAN en varios países, debido a su utilización por sistemas móviles comerciales o a restricciones al alcance de las aplicaciones de los SRD.</w:t>
            </w:r>
            <w:bookmarkStart w:id="5" w:name="_GoBack"/>
            <w:bookmarkEnd w:id="5"/>
            <w:r w:rsidRPr="00F71A3D">
              <w:t xml:space="preserve"> Consúltense los reglamentos nacionales.</w:t>
            </w:r>
          </w:p>
        </w:tc>
        <w:tc>
          <w:tcPr>
            <w:tcW w:w="1182" w:type="dxa"/>
          </w:tcPr>
          <w:p w:rsidR="000C1ED5" w:rsidRPr="00F71A3D" w:rsidRDefault="000C1ED5" w:rsidP="00F71A3D">
            <w:pPr>
              <w:pStyle w:val="Tabletext"/>
              <w:jc w:val="left"/>
            </w:pPr>
            <w:r w:rsidRPr="00F71A3D">
              <w:t>Disponible en algunos países</w:t>
            </w:r>
          </w:p>
        </w:tc>
        <w:tc>
          <w:tcPr>
            <w:tcW w:w="1182" w:type="dxa"/>
          </w:tcPr>
          <w:p w:rsidR="000C1ED5" w:rsidRPr="00F71A3D" w:rsidRDefault="000C1ED5" w:rsidP="00F71A3D">
            <w:pPr>
              <w:pStyle w:val="Tabletext"/>
              <w:jc w:val="left"/>
            </w:pPr>
            <w:r w:rsidRPr="00F71A3D">
              <w:t>Disponible</w:t>
            </w:r>
          </w:p>
        </w:tc>
        <w:tc>
          <w:tcPr>
            <w:tcW w:w="1182" w:type="dxa"/>
          </w:tcPr>
          <w:p w:rsidR="000C1ED5" w:rsidRPr="00F71A3D" w:rsidRDefault="000C1ED5" w:rsidP="00F71A3D">
            <w:pPr>
              <w:pStyle w:val="Tabletext"/>
              <w:jc w:val="left"/>
            </w:pPr>
            <w:r w:rsidRPr="00F71A3D">
              <w:t>Disponible en algunos países</w:t>
            </w:r>
          </w:p>
        </w:tc>
      </w:tr>
    </w:tbl>
    <w:p w:rsidR="000C1ED5" w:rsidRPr="004E6FA5" w:rsidRDefault="000C1ED5" w:rsidP="00F71A3D">
      <w:pPr>
        <w:pStyle w:val="Tablefin"/>
      </w:pPr>
    </w:p>
    <w:p w:rsidR="000C1ED5" w:rsidRPr="004E6FA5" w:rsidRDefault="000C1ED5" w:rsidP="000C1ED5">
      <w:pPr>
        <w:jc w:val="center"/>
        <w:rPr>
          <w:lang w:val="es-ES_tradnl"/>
        </w:rPr>
      </w:pPr>
      <w:r w:rsidRPr="004E6FA5">
        <w:rPr>
          <w:lang w:val="es-ES_tradnl"/>
        </w:rPr>
        <w:t>______________</w:t>
      </w:r>
    </w:p>
    <w:p w:rsidR="00BE46FB" w:rsidRPr="00BE46FB" w:rsidRDefault="00BE46FB" w:rsidP="00505B99">
      <w:pPr>
        <w:pStyle w:val="RepNo"/>
        <w:spacing w:before="0"/>
        <w:rPr>
          <w:lang w:val="es-ES_tradnl"/>
        </w:rPr>
      </w:pPr>
    </w:p>
    <w:sectPr w:rsidR="00BE46FB" w:rsidRPr="00BE46FB" w:rsidSect="007565CC">
      <w:headerReference w:type="even" r:id="rId12"/>
      <w:headerReference w:type="default" r:id="rId13"/>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9F" w:rsidRDefault="00CA109F">
      <w:r>
        <w:separator/>
      </w:r>
    </w:p>
  </w:endnote>
  <w:endnote w:type="continuationSeparator" w:id="0">
    <w:p w:rsidR="00CA109F" w:rsidRDefault="00CA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9F" w:rsidRDefault="00CA109F">
      <w:r>
        <w:separator/>
      </w:r>
    </w:p>
  </w:footnote>
  <w:footnote w:type="continuationSeparator" w:id="0">
    <w:p w:rsidR="00CA109F" w:rsidRDefault="00CA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C0" w:rsidRDefault="005632C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C0" w:rsidRDefault="004E123E" w:rsidP="00B033C8">
    <w:pPr>
      <w:pStyle w:val="Header"/>
      <w:ind w:right="360" w:firstLine="360"/>
    </w:pPr>
    <w:r>
      <w:rPr>
        <w:noProof/>
        <w:lang w:val="en-GB" w:eastAsia="zh-CN"/>
      </w:rPr>
      <w:drawing>
        <wp:anchor distT="0" distB="0" distL="114300" distR="114300" simplePos="0" relativeHeight="251656704" behindDoc="1" locked="0" layoutInCell="1" allowOverlap="1" wp14:anchorId="1C4D351F" wp14:editId="58FBB9F5">
          <wp:simplePos x="0" y="0"/>
          <wp:positionH relativeFrom="page">
            <wp:posOffset>0</wp:posOffset>
          </wp:positionH>
          <wp:positionV relativeFrom="page">
            <wp:posOffset>0</wp:posOffset>
          </wp:positionV>
          <wp:extent cx="7592060" cy="10753725"/>
          <wp:effectExtent l="19050" t="0" r="8890" b="0"/>
          <wp:wrapNone/>
          <wp:docPr id="11" name="Picture 11" descr="report_S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ort_S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DD" w:rsidRPr="00A56CDD" w:rsidRDefault="002D5579" w:rsidP="00A56CDD">
    <w:pPr>
      <w:pStyle w:val="Header"/>
      <w:jc w:val="both"/>
      <w:rPr>
        <w:lang w:val="en-US"/>
      </w:rPr>
    </w:pPr>
    <w:r w:rsidRPr="00A56CDD">
      <w:rPr>
        <w:b/>
        <w:bCs/>
      </w:rPr>
      <w:fldChar w:fldCharType="begin"/>
    </w:r>
    <w:r w:rsidR="00A56CDD" w:rsidRPr="00A56CDD">
      <w:rPr>
        <w:b/>
        <w:bCs/>
        <w:lang w:val="en-US"/>
      </w:rPr>
      <w:instrText xml:space="preserve"> PAGE </w:instrText>
    </w:r>
    <w:r w:rsidRPr="00A56CDD">
      <w:rPr>
        <w:b/>
        <w:bCs/>
      </w:rPr>
      <w:fldChar w:fldCharType="separate"/>
    </w:r>
    <w:r w:rsidR="00D309FB">
      <w:rPr>
        <w:b/>
        <w:bCs/>
        <w:noProof/>
        <w:lang w:val="en-US"/>
      </w:rPr>
      <w:t>ii</w:t>
    </w:r>
    <w:r w:rsidRPr="00A56CDD">
      <w:fldChar w:fldCharType="end"/>
    </w:r>
    <w:r w:rsidR="00A56CDD" w:rsidRPr="00A56CDD">
      <w:rPr>
        <w:lang w:val="en-US"/>
      </w:rPr>
      <w:tab/>
    </w:r>
    <w:r w:rsidR="005B5AAF">
      <w:fldChar w:fldCharType="begin"/>
    </w:r>
    <w:r w:rsidR="005B5AAF" w:rsidRPr="00BE46FB">
      <w:rPr>
        <w:lang w:val="en-US"/>
      </w:rPr>
      <w:instrText xml:space="preserve"> DOCPROPERTY "Header 3" \* MERGEFORMAT </w:instrText>
    </w:r>
    <w:r w:rsidR="005B5AAF">
      <w:fldChar w:fldCharType="separate"/>
    </w:r>
    <w:r w:rsidR="00D309FB" w:rsidRPr="00D309FB">
      <w:rPr>
        <w:b/>
        <w:bCs/>
        <w:lang w:val="en-US"/>
      </w:rPr>
      <w:t xml:space="preserve">I. </w:t>
    </w:r>
    <w:r w:rsidR="005B5AAF">
      <w:rPr>
        <w:b/>
        <w:bCs/>
        <w:lang w:val="en-US"/>
      </w:rPr>
      <w:fldChar w:fldCharType="end"/>
    </w:r>
    <w:r w:rsidR="00A56CDD" w:rsidRPr="00BE46FB">
      <w:rPr>
        <w:b/>
        <w:bCs/>
        <w:lang w:val="en-US"/>
      </w:rPr>
      <w:t xml:space="preserve"> </w:t>
    </w:r>
    <w:r w:rsidRPr="00A56CDD">
      <w:rPr>
        <w:b/>
        <w:bCs/>
      </w:rPr>
      <w:fldChar w:fldCharType="begin"/>
    </w:r>
    <w:r w:rsidR="00A56CDD" w:rsidRPr="00A56CDD">
      <w:rPr>
        <w:b/>
        <w:bCs/>
        <w:lang w:val="en-US"/>
      </w:rPr>
      <w:instrText>styleref href</w:instrText>
    </w:r>
    <w:r w:rsidRPr="00A56CDD">
      <w:rPr>
        <w:b/>
        <w:bCs/>
      </w:rPr>
      <w:fldChar w:fldCharType="separate"/>
    </w:r>
    <w:r w:rsidR="00D309FB">
      <w:rPr>
        <w:b/>
        <w:bCs/>
        <w:noProof/>
      </w:rPr>
      <w:t>UIT-R  SM.2423-0</w:t>
    </w:r>
    <w:r w:rsidRPr="00A56CDD">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C0" w:rsidRDefault="005632C0">
    <w:pPr>
      <w:pStyle w:val="Header"/>
    </w:pPr>
    <w:r>
      <w:tab/>
    </w:r>
    <w:r w:rsidR="00D309FB">
      <w:rPr>
        <w:b/>
        <w:bCs/>
      </w:rPr>
      <w:fldChar w:fldCharType="begin"/>
    </w:r>
    <w:r w:rsidR="00D309FB">
      <w:rPr>
        <w:b/>
        <w:bCs/>
      </w:rPr>
      <w:instrText xml:space="preserve"> DOCPROPERTY "Header" \* MERGEFORMAT </w:instrText>
    </w:r>
    <w:r w:rsidR="00D309FB">
      <w:rPr>
        <w:b/>
        <w:bCs/>
      </w:rPr>
      <w:fldChar w:fldCharType="separate"/>
    </w:r>
    <w:r w:rsidR="00D309FB">
      <w:rPr>
        <w:b/>
        <w:bCs/>
      </w:rPr>
      <w:t xml:space="preserve">Rec. </w:t>
    </w:r>
    <w:r w:rsidR="00D309FB">
      <w:rPr>
        <w:b/>
        <w:bCs/>
      </w:rPr>
      <w:fldChar w:fldCharType="end"/>
    </w:r>
    <w:r>
      <w:rPr>
        <w:b/>
        <w:bCs/>
      </w:rPr>
      <w:t xml:space="preserve"> </w:t>
    </w:r>
    <w:r w:rsidR="002D5579">
      <w:rPr>
        <w:b/>
        <w:bCs/>
      </w:rPr>
      <w:fldChar w:fldCharType="begin"/>
    </w:r>
    <w:r>
      <w:rPr>
        <w:b/>
        <w:bCs/>
      </w:rPr>
      <w:instrText>styleref href</w:instrText>
    </w:r>
    <w:r w:rsidR="002D5579">
      <w:rPr>
        <w:b/>
        <w:bCs/>
      </w:rPr>
      <w:fldChar w:fldCharType="separate"/>
    </w:r>
    <w:r w:rsidR="00D309FB">
      <w:rPr>
        <w:b/>
        <w:bCs/>
        <w:noProof/>
      </w:rPr>
      <w:t>UIT-R  SM.2423-0</w:t>
    </w:r>
    <w:r w:rsidR="002D5579">
      <w:rPr>
        <w:b/>
        <w:bCs/>
      </w:rPr>
      <w:fldChar w:fldCharType="end"/>
    </w:r>
    <w:r>
      <w:tab/>
    </w:r>
    <w:r w:rsidR="002D5579">
      <w:rPr>
        <w:rStyle w:val="PageNumber"/>
        <w:b/>
        <w:bCs/>
      </w:rPr>
      <w:fldChar w:fldCharType="begin"/>
    </w:r>
    <w:r>
      <w:rPr>
        <w:rStyle w:val="PageNumber"/>
        <w:b/>
        <w:bCs/>
      </w:rPr>
      <w:instrText xml:space="preserve"> PAGE </w:instrText>
    </w:r>
    <w:r w:rsidR="002D5579">
      <w:rPr>
        <w:rStyle w:val="PageNumber"/>
        <w:b/>
        <w:bCs/>
      </w:rPr>
      <w:fldChar w:fldCharType="separate"/>
    </w:r>
    <w:r w:rsidR="00B26591">
      <w:rPr>
        <w:rStyle w:val="PageNumber"/>
        <w:b/>
        <w:bCs/>
        <w:noProof/>
      </w:rPr>
      <w:t>iii</w:t>
    </w:r>
    <w:r w:rsidR="002D5579">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C9" w:rsidRDefault="002D5579" w:rsidP="001F6D56">
    <w:pPr>
      <w:pStyle w:val="Header"/>
      <w:jc w:val="left"/>
      <w:rPr>
        <w:lang w:val="en-US"/>
      </w:rPr>
    </w:pPr>
    <w:r>
      <w:rPr>
        <w:rStyle w:val="PageNumber"/>
        <w:b/>
        <w:bCs/>
      </w:rPr>
      <w:fldChar w:fldCharType="begin"/>
    </w:r>
    <w:r w:rsidR="002B32C9">
      <w:rPr>
        <w:rStyle w:val="PageNumber"/>
        <w:b/>
        <w:bCs/>
        <w:lang w:val="en-US"/>
      </w:rPr>
      <w:instrText xml:space="preserve"> PAGE </w:instrText>
    </w:r>
    <w:r>
      <w:rPr>
        <w:rStyle w:val="PageNumber"/>
        <w:b/>
        <w:bCs/>
      </w:rPr>
      <w:fldChar w:fldCharType="separate"/>
    </w:r>
    <w:r w:rsidR="00D309FB">
      <w:rPr>
        <w:rStyle w:val="PageNumber"/>
        <w:b/>
        <w:bCs/>
        <w:noProof/>
        <w:lang w:val="en-US"/>
      </w:rPr>
      <w:t>10</w:t>
    </w:r>
    <w:r>
      <w:rPr>
        <w:rStyle w:val="PageNumber"/>
        <w:b/>
        <w:bCs/>
      </w:rPr>
      <w:fldChar w:fldCharType="end"/>
    </w:r>
    <w:r w:rsidR="002B32C9">
      <w:rPr>
        <w:lang w:val="en-US"/>
      </w:rPr>
      <w:tab/>
    </w:r>
    <w:r w:rsidR="001F6D56">
      <w:rPr>
        <w:b/>
        <w:bCs/>
      </w:rPr>
      <w:t>I</w:t>
    </w:r>
    <w:r w:rsidR="007A4F79" w:rsidRPr="007A4F79">
      <w:rPr>
        <w:b/>
        <w:bCs/>
      </w:rPr>
      <w:t xml:space="preserve">.  ITU-R  </w:t>
    </w:r>
    <w:r w:rsidR="001F6D56">
      <w:rPr>
        <w:b/>
        <w:bCs/>
      </w:rPr>
      <w:t>SM2423-0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DD" w:rsidRPr="00A56CDD" w:rsidRDefault="00A56CDD" w:rsidP="00A56CDD">
    <w:pPr>
      <w:pStyle w:val="Header"/>
      <w:jc w:val="both"/>
    </w:pPr>
    <w:r w:rsidRPr="00A56CDD">
      <w:tab/>
    </w:r>
    <w:fldSimple w:instr=" DOCPROPERTY &quot;Header 3&quot; \* MERGEFORMAT ">
      <w:r w:rsidR="00D309FB" w:rsidRPr="00D309FB">
        <w:rPr>
          <w:b/>
          <w:bCs/>
          <w:lang w:val="en-US"/>
        </w:rPr>
        <w:t xml:space="preserve">I. </w:t>
      </w:r>
    </w:fldSimple>
    <w:r w:rsidRPr="00A56CDD">
      <w:rPr>
        <w:b/>
        <w:bCs/>
      </w:rPr>
      <w:t xml:space="preserve"> </w:t>
    </w:r>
    <w:r w:rsidR="002D5579" w:rsidRPr="00A56CDD">
      <w:rPr>
        <w:b/>
        <w:bCs/>
      </w:rPr>
      <w:fldChar w:fldCharType="begin"/>
    </w:r>
    <w:r w:rsidRPr="00A56CDD">
      <w:rPr>
        <w:b/>
        <w:bCs/>
        <w:lang w:val="en-US"/>
      </w:rPr>
      <w:instrText>styleref href</w:instrText>
    </w:r>
    <w:r w:rsidR="002D5579" w:rsidRPr="00A56CDD">
      <w:rPr>
        <w:b/>
        <w:bCs/>
      </w:rPr>
      <w:fldChar w:fldCharType="separate"/>
    </w:r>
    <w:r w:rsidR="00D309FB">
      <w:rPr>
        <w:b/>
        <w:bCs/>
        <w:noProof/>
      </w:rPr>
      <w:t>UIT-R  SM.2423-0</w:t>
    </w:r>
    <w:r w:rsidR="002D5579" w:rsidRPr="00A56CDD">
      <w:fldChar w:fldCharType="end"/>
    </w:r>
    <w:r w:rsidRPr="00A56CDD">
      <w:tab/>
    </w:r>
    <w:r w:rsidR="002D5579" w:rsidRPr="00A56CDD">
      <w:rPr>
        <w:b/>
        <w:bCs/>
      </w:rPr>
      <w:fldChar w:fldCharType="begin"/>
    </w:r>
    <w:r w:rsidRPr="00A56CDD">
      <w:rPr>
        <w:b/>
        <w:bCs/>
      </w:rPr>
      <w:instrText xml:space="preserve"> PAGE </w:instrText>
    </w:r>
    <w:r w:rsidR="002D5579" w:rsidRPr="00A56CDD">
      <w:rPr>
        <w:b/>
        <w:bCs/>
      </w:rPr>
      <w:fldChar w:fldCharType="separate"/>
    </w:r>
    <w:r w:rsidR="00D309FB">
      <w:rPr>
        <w:b/>
        <w:bCs/>
        <w:noProof/>
      </w:rPr>
      <w:t>9</w:t>
    </w:r>
    <w:r w:rsidR="002D5579" w:rsidRPr="00A56CD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4817">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23E30"/>
    <w:rsid w:val="0004250D"/>
    <w:rsid w:val="00050D41"/>
    <w:rsid w:val="00072484"/>
    <w:rsid w:val="00081C0B"/>
    <w:rsid w:val="0009150E"/>
    <w:rsid w:val="00096612"/>
    <w:rsid w:val="000A1326"/>
    <w:rsid w:val="000B7683"/>
    <w:rsid w:val="000B7B53"/>
    <w:rsid w:val="000C0413"/>
    <w:rsid w:val="000C1ED5"/>
    <w:rsid w:val="000C3624"/>
    <w:rsid w:val="000E4FD1"/>
    <w:rsid w:val="000F3C25"/>
    <w:rsid w:val="000F6FC4"/>
    <w:rsid w:val="00102934"/>
    <w:rsid w:val="00135F00"/>
    <w:rsid w:val="00147110"/>
    <w:rsid w:val="00183256"/>
    <w:rsid w:val="001950C6"/>
    <w:rsid w:val="001A5259"/>
    <w:rsid w:val="001C70F6"/>
    <w:rsid w:val="001F136C"/>
    <w:rsid w:val="001F6D56"/>
    <w:rsid w:val="00201545"/>
    <w:rsid w:val="002058CE"/>
    <w:rsid w:val="002165F1"/>
    <w:rsid w:val="00247681"/>
    <w:rsid w:val="002558DC"/>
    <w:rsid w:val="00276D21"/>
    <w:rsid w:val="00280CD5"/>
    <w:rsid w:val="00296D7F"/>
    <w:rsid w:val="00297C87"/>
    <w:rsid w:val="00297D43"/>
    <w:rsid w:val="002B32C9"/>
    <w:rsid w:val="002B3CF6"/>
    <w:rsid w:val="002C768A"/>
    <w:rsid w:val="002D1160"/>
    <w:rsid w:val="002D5579"/>
    <w:rsid w:val="002D76C4"/>
    <w:rsid w:val="00351573"/>
    <w:rsid w:val="003571CE"/>
    <w:rsid w:val="00357282"/>
    <w:rsid w:val="00362ED1"/>
    <w:rsid w:val="00382E8A"/>
    <w:rsid w:val="003A4A65"/>
    <w:rsid w:val="003A6B2B"/>
    <w:rsid w:val="003F538B"/>
    <w:rsid w:val="00420DFD"/>
    <w:rsid w:val="004319C1"/>
    <w:rsid w:val="00470E28"/>
    <w:rsid w:val="004720FC"/>
    <w:rsid w:val="00474D58"/>
    <w:rsid w:val="004934C5"/>
    <w:rsid w:val="004A2B9D"/>
    <w:rsid w:val="004B233A"/>
    <w:rsid w:val="004B7B45"/>
    <w:rsid w:val="004E123E"/>
    <w:rsid w:val="004F53E1"/>
    <w:rsid w:val="00505B99"/>
    <w:rsid w:val="00505FB4"/>
    <w:rsid w:val="00526063"/>
    <w:rsid w:val="005406C6"/>
    <w:rsid w:val="005427B4"/>
    <w:rsid w:val="00556548"/>
    <w:rsid w:val="005600C9"/>
    <w:rsid w:val="005632C0"/>
    <w:rsid w:val="00586EF8"/>
    <w:rsid w:val="005A2989"/>
    <w:rsid w:val="005A791E"/>
    <w:rsid w:val="005B49AB"/>
    <w:rsid w:val="005B50E7"/>
    <w:rsid w:val="005B5AAF"/>
    <w:rsid w:val="005C30C8"/>
    <w:rsid w:val="005D41C4"/>
    <w:rsid w:val="005D58F4"/>
    <w:rsid w:val="005E7B4F"/>
    <w:rsid w:val="00607D68"/>
    <w:rsid w:val="00612ECF"/>
    <w:rsid w:val="006149B1"/>
    <w:rsid w:val="0064346B"/>
    <w:rsid w:val="00680D2B"/>
    <w:rsid w:val="00681B32"/>
    <w:rsid w:val="006A1F02"/>
    <w:rsid w:val="006E2037"/>
    <w:rsid w:val="00712870"/>
    <w:rsid w:val="00743D85"/>
    <w:rsid w:val="0074518F"/>
    <w:rsid w:val="00752FD3"/>
    <w:rsid w:val="00753CF4"/>
    <w:rsid w:val="007565CC"/>
    <w:rsid w:val="00763B9A"/>
    <w:rsid w:val="007A4F79"/>
    <w:rsid w:val="007A57F4"/>
    <w:rsid w:val="007A6AA8"/>
    <w:rsid w:val="007B203C"/>
    <w:rsid w:val="007C2459"/>
    <w:rsid w:val="007C5CE9"/>
    <w:rsid w:val="00811FBD"/>
    <w:rsid w:val="008211E9"/>
    <w:rsid w:val="008310C9"/>
    <w:rsid w:val="00836298"/>
    <w:rsid w:val="00870342"/>
    <w:rsid w:val="0087251C"/>
    <w:rsid w:val="008815AC"/>
    <w:rsid w:val="008934F4"/>
    <w:rsid w:val="008B2CC6"/>
    <w:rsid w:val="008C7848"/>
    <w:rsid w:val="008D3D8D"/>
    <w:rsid w:val="008F05EE"/>
    <w:rsid w:val="009030CC"/>
    <w:rsid w:val="00917AF2"/>
    <w:rsid w:val="0092418A"/>
    <w:rsid w:val="00934ED7"/>
    <w:rsid w:val="00936035"/>
    <w:rsid w:val="009474D9"/>
    <w:rsid w:val="009543C3"/>
    <w:rsid w:val="00966E1B"/>
    <w:rsid w:val="009A351D"/>
    <w:rsid w:val="009A3A73"/>
    <w:rsid w:val="009F2D2C"/>
    <w:rsid w:val="00A10F3A"/>
    <w:rsid w:val="00A128DE"/>
    <w:rsid w:val="00A54559"/>
    <w:rsid w:val="00A56CDD"/>
    <w:rsid w:val="00A6617B"/>
    <w:rsid w:val="00A71FE5"/>
    <w:rsid w:val="00A727E4"/>
    <w:rsid w:val="00A91362"/>
    <w:rsid w:val="00A91C64"/>
    <w:rsid w:val="00AA3AD8"/>
    <w:rsid w:val="00AB0DC8"/>
    <w:rsid w:val="00AB17C7"/>
    <w:rsid w:val="00AB5FAB"/>
    <w:rsid w:val="00AC1323"/>
    <w:rsid w:val="00AC3946"/>
    <w:rsid w:val="00AD26B8"/>
    <w:rsid w:val="00B033C8"/>
    <w:rsid w:val="00B036D9"/>
    <w:rsid w:val="00B11D5D"/>
    <w:rsid w:val="00B257C1"/>
    <w:rsid w:val="00B26591"/>
    <w:rsid w:val="00B33425"/>
    <w:rsid w:val="00B44E24"/>
    <w:rsid w:val="00B47809"/>
    <w:rsid w:val="00B54ECC"/>
    <w:rsid w:val="00B567BC"/>
    <w:rsid w:val="00B61918"/>
    <w:rsid w:val="00B714F3"/>
    <w:rsid w:val="00B75A37"/>
    <w:rsid w:val="00B77CA1"/>
    <w:rsid w:val="00BA28E1"/>
    <w:rsid w:val="00BB0C80"/>
    <w:rsid w:val="00BC5D77"/>
    <w:rsid w:val="00BC6FC2"/>
    <w:rsid w:val="00BD3F5C"/>
    <w:rsid w:val="00BE46FB"/>
    <w:rsid w:val="00BE5B84"/>
    <w:rsid w:val="00BF15C3"/>
    <w:rsid w:val="00BF487A"/>
    <w:rsid w:val="00C46BD9"/>
    <w:rsid w:val="00C55258"/>
    <w:rsid w:val="00C728FC"/>
    <w:rsid w:val="00C73560"/>
    <w:rsid w:val="00C7761D"/>
    <w:rsid w:val="00C93B65"/>
    <w:rsid w:val="00CA109F"/>
    <w:rsid w:val="00CB0F14"/>
    <w:rsid w:val="00CB47A0"/>
    <w:rsid w:val="00CB60A4"/>
    <w:rsid w:val="00CC2403"/>
    <w:rsid w:val="00CD33AF"/>
    <w:rsid w:val="00CD58B5"/>
    <w:rsid w:val="00CD659B"/>
    <w:rsid w:val="00CD7A62"/>
    <w:rsid w:val="00CF0D45"/>
    <w:rsid w:val="00CF34B5"/>
    <w:rsid w:val="00D0034D"/>
    <w:rsid w:val="00D10CF1"/>
    <w:rsid w:val="00D309FB"/>
    <w:rsid w:val="00D503C9"/>
    <w:rsid w:val="00D50B43"/>
    <w:rsid w:val="00D57367"/>
    <w:rsid w:val="00D722EF"/>
    <w:rsid w:val="00D73486"/>
    <w:rsid w:val="00D73FBE"/>
    <w:rsid w:val="00D8150A"/>
    <w:rsid w:val="00D83331"/>
    <w:rsid w:val="00D91F7F"/>
    <w:rsid w:val="00D935A7"/>
    <w:rsid w:val="00DA0D67"/>
    <w:rsid w:val="00DB4F6A"/>
    <w:rsid w:val="00DF087C"/>
    <w:rsid w:val="00DF4176"/>
    <w:rsid w:val="00E17240"/>
    <w:rsid w:val="00E1785F"/>
    <w:rsid w:val="00E7610E"/>
    <w:rsid w:val="00E83CDE"/>
    <w:rsid w:val="00EC62B0"/>
    <w:rsid w:val="00ED683F"/>
    <w:rsid w:val="00EF3EB8"/>
    <w:rsid w:val="00F103A9"/>
    <w:rsid w:val="00F12544"/>
    <w:rsid w:val="00F20231"/>
    <w:rsid w:val="00F261A0"/>
    <w:rsid w:val="00F27103"/>
    <w:rsid w:val="00F30C9B"/>
    <w:rsid w:val="00F354B1"/>
    <w:rsid w:val="00F36316"/>
    <w:rsid w:val="00F545E6"/>
    <w:rsid w:val="00F71A3D"/>
    <w:rsid w:val="00F72869"/>
    <w:rsid w:val="00F77437"/>
    <w:rsid w:val="00F84F54"/>
    <w:rsid w:val="00F90896"/>
    <w:rsid w:val="00FB0E4E"/>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62a47"/>
      <o:colormenu v:ext="edit" strokecolor="#d62a47"/>
    </o:shapedefaults>
    <o:shapelayout v:ext="edit">
      <o:idmap v:ext="edit" data="1"/>
    </o:shapelayout>
  </w:shapeDefaults>
  <w:decimalSymbol w:val="."/>
  <w:listSeparator w:val=","/>
  <w15:docId w15:val="{EE967AD6-40AA-4B2D-AEBE-4309BB9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D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128DE"/>
    <w:pPr>
      <w:keepNext/>
      <w:keepLines/>
      <w:spacing w:before="480"/>
      <w:ind w:left="794" w:hanging="794"/>
      <w:outlineLvl w:val="0"/>
    </w:pPr>
    <w:rPr>
      <w:b/>
    </w:rPr>
  </w:style>
  <w:style w:type="paragraph" w:styleId="Heading2">
    <w:name w:val="heading 2"/>
    <w:basedOn w:val="Heading1"/>
    <w:next w:val="Normal"/>
    <w:link w:val="Heading2Char"/>
    <w:qFormat/>
    <w:rsid w:val="00A128DE"/>
    <w:pPr>
      <w:spacing w:before="320"/>
      <w:outlineLvl w:val="1"/>
    </w:pPr>
  </w:style>
  <w:style w:type="paragraph" w:styleId="Heading3">
    <w:name w:val="heading 3"/>
    <w:basedOn w:val="Heading1"/>
    <w:next w:val="Normal"/>
    <w:link w:val="Heading3Char"/>
    <w:qFormat/>
    <w:rsid w:val="00A128DE"/>
    <w:pPr>
      <w:spacing w:before="200"/>
      <w:outlineLvl w:val="2"/>
    </w:pPr>
  </w:style>
  <w:style w:type="paragraph" w:styleId="Heading4">
    <w:name w:val="heading 4"/>
    <w:basedOn w:val="Heading3"/>
    <w:next w:val="Normal"/>
    <w:link w:val="Heading4Char"/>
    <w:qFormat/>
    <w:rsid w:val="00A128DE"/>
    <w:pPr>
      <w:tabs>
        <w:tab w:val="clear" w:pos="794"/>
        <w:tab w:val="left" w:pos="992"/>
      </w:tabs>
      <w:ind w:left="992" w:hanging="992"/>
      <w:outlineLvl w:val="3"/>
    </w:pPr>
  </w:style>
  <w:style w:type="paragraph" w:styleId="Heading5">
    <w:name w:val="heading 5"/>
    <w:basedOn w:val="Heading4"/>
    <w:next w:val="Normal"/>
    <w:link w:val="Heading5Char"/>
    <w:qFormat/>
    <w:rsid w:val="00A128DE"/>
    <w:pPr>
      <w:outlineLvl w:val="4"/>
    </w:pPr>
  </w:style>
  <w:style w:type="paragraph" w:styleId="Heading6">
    <w:name w:val="heading 6"/>
    <w:basedOn w:val="Heading4"/>
    <w:next w:val="Normal"/>
    <w:link w:val="Heading6Char"/>
    <w:qFormat/>
    <w:rsid w:val="00A128DE"/>
    <w:pPr>
      <w:tabs>
        <w:tab w:val="clear" w:pos="992"/>
        <w:tab w:val="clear" w:pos="1191"/>
      </w:tabs>
      <w:ind w:left="1588" w:hanging="1588"/>
      <w:outlineLvl w:val="5"/>
    </w:pPr>
  </w:style>
  <w:style w:type="paragraph" w:styleId="Heading7">
    <w:name w:val="heading 7"/>
    <w:basedOn w:val="Heading6"/>
    <w:next w:val="Normal"/>
    <w:link w:val="Heading7Char"/>
    <w:qFormat/>
    <w:rsid w:val="00A128DE"/>
    <w:pPr>
      <w:outlineLvl w:val="6"/>
    </w:pPr>
  </w:style>
  <w:style w:type="paragraph" w:styleId="Heading8">
    <w:name w:val="heading 8"/>
    <w:basedOn w:val="Heading6"/>
    <w:next w:val="Normal"/>
    <w:link w:val="Heading8Char"/>
    <w:qFormat/>
    <w:rsid w:val="00A128DE"/>
    <w:pPr>
      <w:outlineLvl w:val="7"/>
    </w:pPr>
  </w:style>
  <w:style w:type="paragraph" w:styleId="Heading9">
    <w:name w:val="heading 9"/>
    <w:basedOn w:val="Heading6"/>
    <w:next w:val="Normal"/>
    <w:link w:val="Heading9Char"/>
    <w:qFormat/>
    <w:rsid w:val="00A128DE"/>
    <w:pPr>
      <w:jc w:val="left"/>
      <w:outlineLvl w:val="8"/>
    </w:pPr>
  </w:style>
  <w:style w:type="character" w:default="1" w:styleId="DefaultParagraphFont">
    <w:name w:val="Default Paragraph Font"/>
    <w:uiPriority w:val="1"/>
    <w:semiHidden/>
    <w:unhideWhenUsed/>
    <w:rsid w:val="00A12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8DE"/>
  </w:style>
  <w:style w:type="paragraph" w:customStyle="1" w:styleId="Annexref">
    <w:name w:val="Annex_ref"/>
    <w:basedOn w:val="Normal"/>
    <w:next w:val="Normalaftertitle"/>
    <w:rsid w:val="00A128DE"/>
    <w:pPr>
      <w:keepNext/>
      <w:keepLines/>
      <w:spacing w:after="280"/>
      <w:jc w:val="center"/>
    </w:pPr>
  </w:style>
  <w:style w:type="paragraph" w:customStyle="1" w:styleId="Blanc">
    <w:name w:val="Blanc"/>
    <w:basedOn w:val="Normal"/>
    <w:next w:val="Tabletext"/>
    <w:rsid w:val="00A128DE"/>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link w:val="TabletextChar"/>
    <w:rsid w:val="00A128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rsid w:val="00A128D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128D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128DE"/>
  </w:style>
  <w:style w:type="paragraph" w:customStyle="1" w:styleId="Headingb">
    <w:name w:val="Heading_b"/>
    <w:basedOn w:val="Heading3"/>
    <w:next w:val="Normal"/>
    <w:link w:val="HeadingbChar"/>
    <w:rsid w:val="00A128DE"/>
    <w:pPr>
      <w:spacing w:before="160"/>
      <w:ind w:left="0" w:firstLine="0"/>
      <w:outlineLvl w:val="9"/>
    </w:pPr>
  </w:style>
  <w:style w:type="paragraph" w:customStyle="1" w:styleId="Headingi">
    <w:name w:val="Heading_i"/>
    <w:basedOn w:val="Heading3"/>
    <w:next w:val="Normal"/>
    <w:rsid w:val="00A128DE"/>
    <w:pPr>
      <w:spacing w:before="160"/>
      <w:ind w:left="0" w:firstLine="0"/>
    </w:pPr>
    <w:rPr>
      <w:b w:val="0"/>
      <w:i/>
    </w:rPr>
  </w:style>
  <w:style w:type="character" w:customStyle="1" w:styleId="href">
    <w:name w:val="href"/>
    <w:basedOn w:val="DefaultParagraphFont"/>
    <w:rsid w:val="00A128DE"/>
  </w:style>
  <w:style w:type="paragraph" w:customStyle="1" w:styleId="AnnexNoTitle">
    <w:name w:val="Annex_NoTitle"/>
    <w:basedOn w:val="Normal"/>
    <w:next w:val="Normalaftertitle"/>
    <w:link w:val="AnnexNoTitleChar"/>
    <w:rsid w:val="00A128DE"/>
    <w:pPr>
      <w:keepNext/>
      <w:keepLines/>
      <w:spacing w:before="480" w:after="80"/>
      <w:jc w:val="center"/>
    </w:pPr>
    <w:rPr>
      <w:b/>
      <w:sz w:val="28"/>
    </w:rPr>
  </w:style>
  <w:style w:type="paragraph" w:customStyle="1" w:styleId="enumlev1">
    <w:name w:val="enumlev1"/>
    <w:basedOn w:val="Normal"/>
    <w:link w:val="enumlev1Char"/>
    <w:rsid w:val="00A128DE"/>
    <w:pPr>
      <w:spacing w:before="80"/>
      <w:ind w:left="794" w:hanging="794"/>
    </w:pPr>
  </w:style>
  <w:style w:type="paragraph" w:customStyle="1" w:styleId="Equation">
    <w:name w:val="Equation"/>
    <w:basedOn w:val="Normal"/>
    <w:link w:val="EquationChar"/>
    <w:rsid w:val="00A128DE"/>
    <w:pPr>
      <w:tabs>
        <w:tab w:val="clear" w:pos="1191"/>
        <w:tab w:val="clear" w:pos="1588"/>
        <w:tab w:val="clear" w:pos="1985"/>
        <w:tab w:val="center" w:pos="4820"/>
        <w:tab w:val="right" w:pos="9639"/>
      </w:tabs>
    </w:pPr>
  </w:style>
  <w:style w:type="paragraph" w:customStyle="1" w:styleId="enumlev2">
    <w:name w:val="enumlev2"/>
    <w:basedOn w:val="enumlev1"/>
    <w:rsid w:val="00A128DE"/>
    <w:pPr>
      <w:ind w:left="1191" w:hanging="397"/>
    </w:pPr>
  </w:style>
  <w:style w:type="paragraph" w:styleId="FootnoteText">
    <w:name w:val="footnote text"/>
    <w:basedOn w:val="Normal"/>
    <w:link w:val="FootnoteTextChar"/>
    <w:rsid w:val="00A128DE"/>
    <w:pPr>
      <w:keepLines/>
      <w:tabs>
        <w:tab w:val="left" w:pos="255"/>
      </w:tabs>
      <w:ind w:left="255" w:hanging="255"/>
    </w:pPr>
    <w:rPr>
      <w:sz w:val="22"/>
    </w:rPr>
  </w:style>
  <w:style w:type="paragraph" w:customStyle="1" w:styleId="Normalaftertitle">
    <w:name w:val="Normal_after_title"/>
    <w:basedOn w:val="Normal"/>
    <w:next w:val="Normal"/>
    <w:link w:val="NormalaftertitleChar"/>
    <w:rsid w:val="00A128DE"/>
    <w:pPr>
      <w:spacing w:before="320"/>
    </w:pPr>
  </w:style>
  <w:style w:type="paragraph" w:customStyle="1" w:styleId="enumlev3">
    <w:name w:val="enumlev3"/>
    <w:basedOn w:val="enumlev2"/>
    <w:rsid w:val="00A128DE"/>
    <w:pPr>
      <w:ind w:left="1588"/>
    </w:pPr>
  </w:style>
  <w:style w:type="paragraph" w:customStyle="1" w:styleId="Note">
    <w:name w:val="Note"/>
    <w:basedOn w:val="Normal"/>
    <w:link w:val="NoteChar"/>
    <w:rsid w:val="00A128DE"/>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128D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128DE"/>
    <w:pPr>
      <w:keepNext/>
      <w:keepLines/>
      <w:spacing w:before="240"/>
      <w:jc w:val="center"/>
    </w:pPr>
    <w:rPr>
      <w:b/>
      <w:sz w:val="28"/>
    </w:rPr>
  </w:style>
  <w:style w:type="paragraph" w:customStyle="1" w:styleId="Recref">
    <w:name w:val="Rec_ref"/>
    <w:basedOn w:val="Normal"/>
    <w:next w:val="Recdate"/>
    <w:rsid w:val="00A128DE"/>
    <w:pPr>
      <w:jc w:val="center"/>
    </w:pPr>
  </w:style>
  <w:style w:type="paragraph" w:customStyle="1" w:styleId="Recdate">
    <w:name w:val="Rec_date"/>
    <w:basedOn w:val="Recref"/>
    <w:next w:val="Normalaftertitle"/>
    <w:rsid w:val="00A128DE"/>
    <w:pPr>
      <w:jc w:val="right"/>
    </w:pPr>
  </w:style>
  <w:style w:type="paragraph" w:customStyle="1" w:styleId="HeadingSum">
    <w:name w:val="Heading_Sum"/>
    <w:basedOn w:val="Headingb"/>
    <w:next w:val="Normal"/>
    <w:autoRedefine/>
    <w:rsid w:val="00A128DE"/>
    <w:pPr>
      <w:spacing w:before="240"/>
    </w:pPr>
    <w:rPr>
      <w:sz w:val="22"/>
      <w:lang w:val="es-ES_tradnl"/>
    </w:rPr>
  </w:style>
  <w:style w:type="paragraph" w:customStyle="1" w:styleId="AppendixNoTitle">
    <w:name w:val="Appendix_NoTitle"/>
    <w:basedOn w:val="AnnexNoTitle"/>
    <w:next w:val="Normal"/>
    <w:rsid w:val="00A128DE"/>
  </w:style>
  <w:style w:type="paragraph" w:customStyle="1" w:styleId="Tablefin">
    <w:name w:val="Table_fin"/>
    <w:basedOn w:val="Normal"/>
    <w:next w:val="Normal"/>
    <w:rsid w:val="00A128DE"/>
    <w:pPr>
      <w:spacing w:before="0"/>
    </w:pPr>
    <w:rPr>
      <w:sz w:val="20"/>
      <w:lang w:val="en-GB"/>
    </w:rPr>
  </w:style>
  <w:style w:type="paragraph" w:customStyle="1" w:styleId="Tablehead">
    <w:name w:val="Table_head"/>
    <w:basedOn w:val="Normal"/>
    <w:next w:val="Normal"/>
    <w:link w:val="TableheadChar"/>
    <w:rsid w:val="00A128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128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128DE"/>
    <w:pPr>
      <w:keepNext/>
      <w:spacing w:before="360" w:after="120"/>
      <w:jc w:val="center"/>
    </w:pPr>
  </w:style>
  <w:style w:type="paragraph" w:customStyle="1" w:styleId="Equationlegend">
    <w:name w:val="Equation_legend"/>
    <w:basedOn w:val="NormalIndent"/>
    <w:rsid w:val="00A128D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128DE"/>
    <w:pPr>
      <w:ind w:left="794"/>
    </w:pPr>
  </w:style>
  <w:style w:type="paragraph" w:customStyle="1" w:styleId="Figurelegend">
    <w:name w:val="Figure_legend"/>
    <w:basedOn w:val="Normal"/>
    <w:rsid w:val="00A128D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128DE"/>
    <w:pPr>
      <w:keepNext/>
      <w:keepLines/>
      <w:spacing w:before="480" w:after="80"/>
      <w:jc w:val="center"/>
    </w:pPr>
    <w:rPr>
      <w:caps/>
      <w:sz w:val="18"/>
    </w:rPr>
  </w:style>
  <w:style w:type="paragraph" w:customStyle="1" w:styleId="Figuretitle">
    <w:name w:val="Figure_title"/>
    <w:basedOn w:val="Normal"/>
    <w:next w:val="Figure"/>
    <w:link w:val="FiguretitleChar"/>
    <w:rsid w:val="00A128DE"/>
    <w:pPr>
      <w:keepNext/>
      <w:spacing w:before="0" w:after="120"/>
      <w:jc w:val="center"/>
    </w:pPr>
    <w:rPr>
      <w:rFonts w:ascii="Times New Roman Bold" w:hAnsi="Times New Roman Bold"/>
      <w:b/>
      <w:sz w:val="18"/>
    </w:rPr>
  </w:style>
  <w:style w:type="paragraph" w:customStyle="1" w:styleId="Figure">
    <w:name w:val="Figure"/>
    <w:basedOn w:val="FigureNo"/>
    <w:next w:val="Normal"/>
    <w:rsid w:val="00A128DE"/>
    <w:pPr>
      <w:keepNext w:val="0"/>
      <w:spacing w:before="0" w:after="240"/>
    </w:pPr>
  </w:style>
  <w:style w:type="paragraph" w:customStyle="1" w:styleId="tocpart">
    <w:name w:val="tocpart"/>
    <w:basedOn w:val="Normal"/>
    <w:rsid w:val="00A128D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128DE"/>
    <w:pPr>
      <w:keepNext/>
      <w:keepLines/>
      <w:spacing w:before="480"/>
      <w:jc w:val="center"/>
    </w:pPr>
    <w:rPr>
      <w:sz w:val="28"/>
    </w:rPr>
  </w:style>
  <w:style w:type="paragraph" w:customStyle="1" w:styleId="Arttitle">
    <w:name w:val="Art_title"/>
    <w:basedOn w:val="Normal"/>
    <w:next w:val="Normalaftertitle"/>
    <w:link w:val="ArttitleCar"/>
    <w:rsid w:val="00A128DE"/>
    <w:pPr>
      <w:keepNext/>
      <w:keepLines/>
      <w:spacing w:before="240"/>
      <w:jc w:val="center"/>
    </w:pPr>
    <w:rPr>
      <w:b/>
      <w:sz w:val="28"/>
    </w:rPr>
  </w:style>
  <w:style w:type="paragraph" w:customStyle="1" w:styleId="ASN1">
    <w:name w:val="ASN.1"/>
    <w:basedOn w:val="Normal"/>
    <w:next w:val="Normal"/>
    <w:rsid w:val="00A128D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128DE"/>
    <w:pPr>
      <w:keepNext/>
      <w:keepLines/>
      <w:spacing w:before="160"/>
      <w:ind w:left="794"/>
    </w:pPr>
    <w:rPr>
      <w:i/>
    </w:rPr>
  </w:style>
  <w:style w:type="paragraph" w:customStyle="1" w:styleId="ChapNo">
    <w:name w:val="Chap_No"/>
    <w:basedOn w:val="ArtNo"/>
    <w:next w:val="Chaptitle"/>
    <w:rsid w:val="00A128DE"/>
    <w:rPr>
      <w:b/>
    </w:rPr>
  </w:style>
  <w:style w:type="character" w:styleId="FootnoteReference">
    <w:name w:val="footnote reference"/>
    <w:basedOn w:val="DefaultParagraphFont"/>
    <w:rsid w:val="00A128DE"/>
    <w:rPr>
      <w:position w:val="6"/>
      <w:sz w:val="18"/>
    </w:rPr>
  </w:style>
  <w:style w:type="paragraph" w:styleId="Index1">
    <w:name w:val="index 1"/>
    <w:basedOn w:val="Normal"/>
    <w:next w:val="Normal"/>
    <w:rsid w:val="00A128DE"/>
  </w:style>
  <w:style w:type="paragraph" w:styleId="Index2">
    <w:name w:val="index 2"/>
    <w:basedOn w:val="Normal"/>
    <w:next w:val="Normal"/>
    <w:rsid w:val="00A128DE"/>
    <w:pPr>
      <w:ind w:left="283"/>
    </w:pPr>
  </w:style>
  <w:style w:type="paragraph" w:styleId="Index3">
    <w:name w:val="index 3"/>
    <w:basedOn w:val="Normal"/>
    <w:next w:val="Normal"/>
    <w:rsid w:val="00A128DE"/>
    <w:pPr>
      <w:ind w:left="566"/>
    </w:pPr>
  </w:style>
  <w:style w:type="paragraph" w:styleId="IndexHeading">
    <w:name w:val="index heading"/>
    <w:basedOn w:val="Normal"/>
    <w:next w:val="Index1"/>
    <w:rsid w:val="00A128DE"/>
  </w:style>
  <w:style w:type="paragraph" w:customStyle="1" w:styleId="Line">
    <w:name w:val="Line"/>
    <w:basedOn w:val="Normal"/>
    <w:next w:val="Normal"/>
    <w:rsid w:val="00A128D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128D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128DE"/>
  </w:style>
  <w:style w:type="paragraph" w:customStyle="1" w:styleId="Partref">
    <w:name w:val="Part_ref"/>
    <w:basedOn w:val="Normal"/>
    <w:next w:val="Normal"/>
    <w:rsid w:val="00A128DE"/>
    <w:pPr>
      <w:keepNext/>
      <w:keepLines/>
      <w:spacing w:after="280"/>
      <w:jc w:val="center"/>
    </w:pPr>
  </w:style>
  <w:style w:type="paragraph" w:customStyle="1" w:styleId="Parttitle">
    <w:name w:val="Part_title"/>
    <w:basedOn w:val="Normal"/>
    <w:next w:val="Normalaftertitle"/>
    <w:rsid w:val="00A128D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128DE"/>
  </w:style>
  <w:style w:type="paragraph" w:customStyle="1" w:styleId="QuestionNo">
    <w:name w:val="Question_No"/>
    <w:basedOn w:val="RecNo"/>
    <w:next w:val="Normal"/>
    <w:rsid w:val="00A128DE"/>
  </w:style>
  <w:style w:type="paragraph" w:customStyle="1" w:styleId="Questionref">
    <w:name w:val="Question_ref"/>
    <w:basedOn w:val="Recref"/>
    <w:next w:val="Questiondate"/>
    <w:rsid w:val="00A128DE"/>
  </w:style>
  <w:style w:type="paragraph" w:customStyle="1" w:styleId="Questiontitle">
    <w:name w:val="Question_title"/>
    <w:basedOn w:val="Normal"/>
    <w:next w:val="Questionref"/>
    <w:rsid w:val="00A128DE"/>
  </w:style>
  <w:style w:type="paragraph" w:customStyle="1" w:styleId="Reftext">
    <w:name w:val="Ref_text"/>
    <w:basedOn w:val="Normal"/>
    <w:rsid w:val="00A128DE"/>
    <w:pPr>
      <w:ind w:left="794" w:hanging="794"/>
    </w:pPr>
    <w:rPr>
      <w:sz w:val="22"/>
    </w:rPr>
  </w:style>
  <w:style w:type="paragraph" w:customStyle="1" w:styleId="Reftitle">
    <w:name w:val="Ref_title"/>
    <w:basedOn w:val="Normal"/>
    <w:next w:val="Reftext"/>
    <w:rsid w:val="00A128D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128DE"/>
  </w:style>
  <w:style w:type="paragraph" w:customStyle="1" w:styleId="RepNo">
    <w:name w:val="Rep_No"/>
    <w:basedOn w:val="RecNo"/>
    <w:next w:val="Reptitle"/>
    <w:rsid w:val="00A128DE"/>
  </w:style>
  <w:style w:type="paragraph" w:customStyle="1" w:styleId="Reptitle">
    <w:name w:val="Rep_title"/>
    <w:basedOn w:val="Rectitle"/>
    <w:next w:val="Repref"/>
    <w:rsid w:val="00A128DE"/>
  </w:style>
  <w:style w:type="paragraph" w:customStyle="1" w:styleId="Repref">
    <w:name w:val="Rep_ref"/>
    <w:basedOn w:val="Recref"/>
    <w:next w:val="Repdate"/>
    <w:rsid w:val="00A128DE"/>
  </w:style>
  <w:style w:type="paragraph" w:customStyle="1" w:styleId="Resdate">
    <w:name w:val="Res_date"/>
    <w:basedOn w:val="Recdate"/>
    <w:next w:val="Normalaftertitle"/>
    <w:rsid w:val="00A128DE"/>
  </w:style>
  <w:style w:type="paragraph" w:customStyle="1" w:styleId="ResNo">
    <w:name w:val="Res_No"/>
    <w:basedOn w:val="RecNo"/>
    <w:next w:val="Restitle"/>
    <w:link w:val="ResNoChar"/>
    <w:rsid w:val="00A128DE"/>
  </w:style>
  <w:style w:type="paragraph" w:customStyle="1" w:styleId="Restitle">
    <w:name w:val="Res_title"/>
    <w:basedOn w:val="Normal"/>
    <w:next w:val="Resref"/>
    <w:link w:val="RestitleChar"/>
    <w:rsid w:val="00A128DE"/>
    <w:pPr>
      <w:spacing w:before="240"/>
      <w:jc w:val="center"/>
    </w:pPr>
    <w:rPr>
      <w:b/>
      <w:sz w:val="28"/>
    </w:rPr>
  </w:style>
  <w:style w:type="paragraph" w:customStyle="1" w:styleId="Resref">
    <w:name w:val="Res_ref"/>
    <w:basedOn w:val="Recref"/>
    <w:next w:val="Resdate"/>
    <w:rsid w:val="00A128DE"/>
  </w:style>
  <w:style w:type="paragraph" w:customStyle="1" w:styleId="SectionNo">
    <w:name w:val="Section_No"/>
    <w:basedOn w:val="Normal"/>
    <w:next w:val="Normal"/>
    <w:rsid w:val="00A128DE"/>
  </w:style>
  <w:style w:type="paragraph" w:customStyle="1" w:styleId="Sectiontitle">
    <w:name w:val="Section_title"/>
    <w:basedOn w:val="Normal"/>
    <w:next w:val="Normalaftertitle"/>
    <w:rsid w:val="00A128D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128DE"/>
    <w:pPr>
      <w:tabs>
        <w:tab w:val="clear" w:pos="794"/>
        <w:tab w:val="clear" w:pos="1191"/>
        <w:tab w:val="clear" w:pos="1588"/>
        <w:tab w:val="clear" w:pos="1985"/>
        <w:tab w:val="right" w:pos="9611"/>
      </w:tabs>
    </w:pPr>
    <w:rPr>
      <w:i/>
    </w:rPr>
  </w:style>
  <w:style w:type="paragraph" w:styleId="TOC1">
    <w:name w:val="toc 1"/>
    <w:basedOn w:val="Normal"/>
    <w:rsid w:val="00A128D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128DE"/>
    <w:pPr>
      <w:tabs>
        <w:tab w:val="clear" w:pos="567"/>
        <w:tab w:val="left" w:pos="1276"/>
      </w:tabs>
      <w:spacing w:before="160"/>
      <w:ind w:left="1276" w:hanging="709"/>
    </w:pPr>
  </w:style>
  <w:style w:type="paragraph" w:styleId="TOC3">
    <w:name w:val="toc 3"/>
    <w:basedOn w:val="TOC2"/>
    <w:rsid w:val="00A128DE"/>
    <w:pPr>
      <w:tabs>
        <w:tab w:val="clear" w:pos="1276"/>
        <w:tab w:val="left" w:pos="2155"/>
      </w:tabs>
      <w:ind w:left="2155" w:hanging="879"/>
    </w:pPr>
  </w:style>
  <w:style w:type="paragraph" w:styleId="TOC4">
    <w:name w:val="toc 4"/>
    <w:basedOn w:val="TOC3"/>
    <w:rsid w:val="00A128DE"/>
    <w:pPr>
      <w:tabs>
        <w:tab w:val="left" w:pos="3261"/>
      </w:tabs>
      <w:spacing w:before="80"/>
      <w:ind w:left="3261" w:hanging="993"/>
    </w:pPr>
  </w:style>
  <w:style w:type="paragraph" w:styleId="TOC5">
    <w:name w:val="toc 5"/>
    <w:basedOn w:val="TOC4"/>
    <w:rsid w:val="00A128DE"/>
  </w:style>
  <w:style w:type="paragraph" w:styleId="TOC6">
    <w:name w:val="toc 6"/>
    <w:basedOn w:val="TOC4"/>
    <w:rsid w:val="00A128DE"/>
  </w:style>
  <w:style w:type="paragraph" w:styleId="TOC7">
    <w:name w:val="toc 7"/>
    <w:basedOn w:val="TOC4"/>
    <w:rsid w:val="00A128DE"/>
  </w:style>
  <w:style w:type="paragraph" w:styleId="TOC8">
    <w:name w:val="toc 8"/>
    <w:basedOn w:val="TOC4"/>
    <w:rsid w:val="00A128DE"/>
  </w:style>
  <w:style w:type="paragraph" w:customStyle="1" w:styleId="Appendixref">
    <w:name w:val="Appendix_ref"/>
    <w:basedOn w:val="Annexref"/>
    <w:next w:val="Normalaftertitle"/>
    <w:rsid w:val="00A128DE"/>
  </w:style>
  <w:style w:type="paragraph" w:customStyle="1" w:styleId="Tabletitle">
    <w:name w:val="Table_title"/>
    <w:basedOn w:val="Normal"/>
    <w:next w:val="Tablehead"/>
    <w:link w:val="TabletitleChar"/>
    <w:rsid w:val="00A128DE"/>
    <w:pPr>
      <w:keepNext/>
      <w:spacing w:before="0" w:after="120"/>
      <w:jc w:val="center"/>
    </w:pPr>
    <w:rPr>
      <w:b/>
    </w:rPr>
  </w:style>
  <w:style w:type="paragraph" w:customStyle="1" w:styleId="Summary">
    <w:name w:val="Summary"/>
    <w:basedOn w:val="Normal"/>
    <w:next w:val="Normalaftertitle"/>
    <w:autoRedefine/>
    <w:rsid w:val="00A128DE"/>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Chaptitle">
    <w:name w:val="Chap_title"/>
    <w:basedOn w:val="Arttitle"/>
    <w:next w:val="Normalaftertitle"/>
    <w:rsid w:val="00A128DE"/>
  </w:style>
  <w:style w:type="table" w:styleId="TableGrid">
    <w:name w:val="Table Grid"/>
    <w:basedOn w:val="TableNormal"/>
    <w:rsid w:val="005632C0"/>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Note">
    <w:name w:val="Table_Legend_Note"/>
    <w:basedOn w:val="Tablelegend"/>
    <w:next w:val="Tablelegend"/>
    <w:rsid w:val="00A128DE"/>
    <w:pPr>
      <w:ind w:left="-85" w:firstLine="0"/>
    </w:pPr>
    <w:rPr>
      <w:lang w:val="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rsid w:val="00BE46FB"/>
    <w:rPr>
      <w:sz w:val="22"/>
      <w:lang w:val="fr-FR" w:eastAsia="en-US"/>
    </w:rPr>
  </w:style>
  <w:style w:type="character" w:customStyle="1" w:styleId="Heading1Char">
    <w:name w:val="Heading 1 Char"/>
    <w:basedOn w:val="DefaultParagraphFont"/>
    <w:link w:val="Heading1"/>
    <w:rsid w:val="00BE46FB"/>
    <w:rPr>
      <w:b/>
      <w:sz w:val="24"/>
      <w:lang w:val="fr-FR" w:eastAsia="en-US"/>
    </w:rPr>
  </w:style>
  <w:style w:type="character" w:customStyle="1" w:styleId="HeaderChar">
    <w:name w:val="Header Char"/>
    <w:basedOn w:val="DefaultParagraphFont"/>
    <w:link w:val="Header"/>
    <w:rsid w:val="00BE46FB"/>
    <w:rPr>
      <w:sz w:val="24"/>
      <w:lang w:val="fr-FR" w:eastAsia="en-US"/>
    </w:rPr>
  </w:style>
  <w:style w:type="character" w:customStyle="1" w:styleId="FooterChar">
    <w:name w:val="Footer Char"/>
    <w:basedOn w:val="DefaultParagraphFont"/>
    <w:link w:val="Footer"/>
    <w:rsid w:val="00BE46FB"/>
    <w:rPr>
      <w:noProof/>
      <w:sz w:val="18"/>
      <w:lang w:val="fr-FR" w:eastAsia="en-US"/>
    </w:rPr>
  </w:style>
  <w:style w:type="character" w:customStyle="1" w:styleId="Heading2Char">
    <w:name w:val="Heading 2 Char"/>
    <w:basedOn w:val="DefaultParagraphFont"/>
    <w:link w:val="Heading2"/>
    <w:rsid w:val="00BE46FB"/>
    <w:rPr>
      <w:b/>
      <w:sz w:val="24"/>
      <w:lang w:val="fr-FR" w:eastAsia="en-US"/>
    </w:rPr>
  </w:style>
  <w:style w:type="character" w:customStyle="1" w:styleId="Heading3Char">
    <w:name w:val="Heading 3 Char"/>
    <w:basedOn w:val="DefaultParagraphFont"/>
    <w:link w:val="Heading3"/>
    <w:rsid w:val="00BE46FB"/>
    <w:rPr>
      <w:b/>
      <w:sz w:val="24"/>
      <w:lang w:val="fr-FR" w:eastAsia="en-US"/>
    </w:rPr>
  </w:style>
  <w:style w:type="character" w:customStyle="1" w:styleId="Heading4Char">
    <w:name w:val="Heading 4 Char"/>
    <w:basedOn w:val="DefaultParagraphFont"/>
    <w:link w:val="Heading4"/>
    <w:rsid w:val="00BE46FB"/>
    <w:rPr>
      <w:b/>
      <w:sz w:val="24"/>
      <w:lang w:val="fr-FR" w:eastAsia="en-US"/>
    </w:rPr>
  </w:style>
  <w:style w:type="character" w:customStyle="1" w:styleId="Heading5Char">
    <w:name w:val="Heading 5 Char"/>
    <w:basedOn w:val="DefaultParagraphFont"/>
    <w:link w:val="Heading5"/>
    <w:rsid w:val="00BE46FB"/>
    <w:rPr>
      <w:b/>
      <w:sz w:val="24"/>
      <w:lang w:val="fr-FR" w:eastAsia="en-US"/>
    </w:rPr>
  </w:style>
  <w:style w:type="character" w:customStyle="1" w:styleId="Heading6Char">
    <w:name w:val="Heading 6 Char"/>
    <w:basedOn w:val="DefaultParagraphFont"/>
    <w:link w:val="Heading6"/>
    <w:rsid w:val="00BE46FB"/>
    <w:rPr>
      <w:b/>
      <w:sz w:val="24"/>
      <w:lang w:val="fr-FR" w:eastAsia="en-US"/>
    </w:rPr>
  </w:style>
  <w:style w:type="character" w:customStyle="1" w:styleId="Heading7Char">
    <w:name w:val="Heading 7 Char"/>
    <w:basedOn w:val="DefaultParagraphFont"/>
    <w:link w:val="Heading7"/>
    <w:rsid w:val="00BE46FB"/>
    <w:rPr>
      <w:b/>
      <w:sz w:val="24"/>
      <w:lang w:val="fr-FR" w:eastAsia="en-US"/>
    </w:rPr>
  </w:style>
  <w:style w:type="character" w:customStyle="1" w:styleId="Heading8Char">
    <w:name w:val="Heading 8 Char"/>
    <w:basedOn w:val="DefaultParagraphFont"/>
    <w:link w:val="Heading8"/>
    <w:rsid w:val="00BE46FB"/>
    <w:rPr>
      <w:b/>
      <w:sz w:val="24"/>
      <w:lang w:val="fr-FR" w:eastAsia="en-US"/>
    </w:rPr>
  </w:style>
  <w:style w:type="character" w:customStyle="1" w:styleId="Heading9Char">
    <w:name w:val="Heading 9 Char"/>
    <w:basedOn w:val="DefaultParagraphFont"/>
    <w:link w:val="Heading9"/>
    <w:rsid w:val="00BE46FB"/>
    <w:rPr>
      <w:b/>
      <w:sz w:val="24"/>
      <w:lang w:val="fr-FR" w:eastAsia="en-US"/>
    </w:rPr>
  </w:style>
  <w:style w:type="character" w:customStyle="1" w:styleId="NormalaftertitleChar">
    <w:name w:val="Normal_after_title Char"/>
    <w:basedOn w:val="DefaultParagraphFont"/>
    <w:link w:val="Normalaftertitle"/>
    <w:rsid w:val="00BE46FB"/>
    <w:rPr>
      <w:sz w:val="24"/>
      <w:lang w:val="fr-FR" w:eastAsia="en-US"/>
    </w:rPr>
  </w:style>
  <w:style w:type="character" w:customStyle="1" w:styleId="TabletextChar">
    <w:name w:val="Table_text Char"/>
    <w:basedOn w:val="DefaultParagraphFont"/>
    <w:link w:val="Tabletext"/>
    <w:rsid w:val="00BE46FB"/>
    <w:rPr>
      <w:sz w:val="22"/>
      <w:lang w:val="fr-FR" w:eastAsia="en-US"/>
    </w:rPr>
  </w:style>
  <w:style w:type="character" w:customStyle="1" w:styleId="HeadingbChar">
    <w:name w:val="Heading_b Char"/>
    <w:basedOn w:val="DefaultParagraphFont"/>
    <w:link w:val="Headingb"/>
    <w:locked/>
    <w:rsid w:val="00BE46FB"/>
    <w:rPr>
      <w:b/>
      <w:sz w:val="24"/>
      <w:lang w:val="fr-FR" w:eastAsia="en-US"/>
    </w:rPr>
  </w:style>
  <w:style w:type="character" w:customStyle="1" w:styleId="AnnexNoTitleChar">
    <w:name w:val="Annex_NoTitle Char"/>
    <w:basedOn w:val="DefaultParagraphFont"/>
    <w:link w:val="AnnexNoTitle"/>
    <w:rsid w:val="00BE46FB"/>
    <w:rPr>
      <w:b/>
      <w:sz w:val="28"/>
      <w:lang w:val="fr-FR" w:eastAsia="en-US"/>
    </w:rPr>
  </w:style>
  <w:style w:type="character" w:customStyle="1" w:styleId="enumlev1Char">
    <w:name w:val="enumlev1 Char"/>
    <w:basedOn w:val="DefaultParagraphFont"/>
    <w:link w:val="enumlev1"/>
    <w:rsid w:val="00BE46FB"/>
    <w:rPr>
      <w:sz w:val="24"/>
      <w:lang w:val="fr-FR" w:eastAsia="en-US"/>
    </w:rPr>
  </w:style>
  <w:style w:type="character" w:customStyle="1" w:styleId="EquationChar">
    <w:name w:val="Equation Char"/>
    <w:basedOn w:val="DefaultParagraphFont"/>
    <w:link w:val="Equation"/>
    <w:rsid w:val="00BE46FB"/>
    <w:rPr>
      <w:sz w:val="24"/>
      <w:lang w:val="fr-FR" w:eastAsia="en-US"/>
    </w:rPr>
  </w:style>
  <w:style w:type="character" w:customStyle="1" w:styleId="NoteChar">
    <w:name w:val="Note Char"/>
    <w:basedOn w:val="DefaultParagraphFont"/>
    <w:link w:val="Note"/>
    <w:rsid w:val="00BE46FB"/>
    <w:rPr>
      <w:sz w:val="22"/>
      <w:lang w:val="fr-FR" w:eastAsia="en-US"/>
    </w:rPr>
  </w:style>
  <w:style w:type="character" w:customStyle="1" w:styleId="RectitleChar">
    <w:name w:val="Rec_title Char"/>
    <w:basedOn w:val="DefaultParagraphFont"/>
    <w:link w:val="Rectitle"/>
    <w:locked/>
    <w:rsid w:val="00BE46FB"/>
    <w:rPr>
      <w:b/>
      <w:sz w:val="28"/>
      <w:lang w:val="fr-FR" w:eastAsia="en-US"/>
    </w:rPr>
  </w:style>
  <w:style w:type="character" w:customStyle="1" w:styleId="TableheadChar">
    <w:name w:val="Table_head Char"/>
    <w:basedOn w:val="DefaultParagraphFont"/>
    <w:link w:val="Tablehead"/>
    <w:locked/>
    <w:rsid w:val="00BE46FB"/>
    <w:rPr>
      <w:b/>
      <w:sz w:val="22"/>
      <w:lang w:val="fr-FR" w:eastAsia="en-US"/>
    </w:rPr>
  </w:style>
  <w:style w:type="character" w:customStyle="1" w:styleId="TablelegendChar">
    <w:name w:val="Table_legend Char"/>
    <w:basedOn w:val="DefaultParagraphFont"/>
    <w:link w:val="Tablelegend"/>
    <w:rsid w:val="00BE46FB"/>
    <w:rPr>
      <w:sz w:val="22"/>
      <w:lang w:val="fr-FR" w:eastAsia="en-US"/>
    </w:rPr>
  </w:style>
  <w:style w:type="character" w:customStyle="1" w:styleId="TableNoChar">
    <w:name w:val="Table_No Char"/>
    <w:basedOn w:val="DefaultParagraphFont"/>
    <w:link w:val="TableNo"/>
    <w:rsid w:val="00BE46FB"/>
    <w:rPr>
      <w:sz w:val="24"/>
      <w:lang w:val="fr-FR" w:eastAsia="en-US"/>
    </w:rPr>
  </w:style>
  <w:style w:type="character" w:customStyle="1" w:styleId="FiguretitleChar">
    <w:name w:val="Figure_title Char"/>
    <w:basedOn w:val="TabletitleChar"/>
    <w:link w:val="Figuretitle"/>
    <w:rsid w:val="00BE46FB"/>
    <w:rPr>
      <w:rFonts w:ascii="Times New Roman Bold" w:hAnsi="Times New Roman Bold"/>
      <w:b/>
      <w:sz w:val="18"/>
      <w:lang w:val="fr-FR" w:eastAsia="en-US"/>
    </w:rPr>
  </w:style>
  <w:style w:type="character" w:customStyle="1" w:styleId="TabletitleChar">
    <w:name w:val="Table_title Char"/>
    <w:basedOn w:val="DefaultParagraphFont"/>
    <w:link w:val="Tabletitle"/>
    <w:rsid w:val="00BE46FB"/>
    <w:rPr>
      <w:b/>
      <w:sz w:val="24"/>
      <w:lang w:val="fr-FR" w:eastAsia="en-US"/>
    </w:rPr>
  </w:style>
  <w:style w:type="character" w:customStyle="1" w:styleId="FigureNoChar">
    <w:name w:val="Figure_No Char"/>
    <w:basedOn w:val="DefaultParagraphFont"/>
    <w:link w:val="FigureNo"/>
    <w:rsid w:val="00BE46FB"/>
    <w:rPr>
      <w:caps/>
      <w:sz w:val="18"/>
      <w:lang w:val="fr-FR" w:eastAsia="en-US"/>
    </w:rPr>
  </w:style>
  <w:style w:type="character" w:customStyle="1" w:styleId="ArttitleCar">
    <w:name w:val="Art_title Car"/>
    <w:basedOn w:val="DefaultParagraphFont"/>
    <w:link w:val="Arttitle"/>
    <w:locked/>
    <w:rsid w:val="00BE46FB"/>
    <w:rPr>
      <w:b/>
      <w:sz w:val="28"/>
      <w:lang w:val="fr-FR" w:eastAsia="en-US"/>
    </w:rPr>
  </w:style>
  <w:style w:type="character" w:customStyle="1" w:styleId="CallChar">
    <w:name w:val="Call Char"/>
    <w:basedOn w:val="DefaultParagraphFont"/>
    <w:link w:val="Call"/>
    <w:locked/>
    <w:rsid w:val="00BE46FB"/>
    <w:rPr>
      <w:i/>
      <w:sz w:val="24"/>
      <w:lang w:val="fr-FR" w:eastAsia="en-US"/>
    </w:rPr>
  </w:style>
  <w:style w:type="character" w:customStyle="1" w:styleId="RestitleChar">
    <w:name w:val="Res_title Char"/>
    <w:basedOn w:val="DefaultParagraphFont"/>
    <w:link w:val="Restitle"/>
    <w:locked/>
    <w:rsid w:val="00BE46FB"/>
    <w:rPr>
      <w:b/>
      <w:sz w:val="28"/>
      <w:lang w:val="fr-FR" w:eastAsia="en-US"/>
    </w:rPr>
  </w:style>
  <w:style w:type="character" w:customStyle="1" w:styleId="ResNoChar">
    <w:name w:val="Res_No Char"/>
    <w:basedOn w:val="DefaultParagraphFont"/>
    <w:link w:val="ResNo"/>
    <w:locked/>
    <w:rsid w:val="00BE46FB"/>
    <w:rPr>
      <w:sz w:val="28"/>
      <w:lang w:val="fr-FR" w:eastAsia="en-US"/>
    </w:rPr>
  </w:style>
  <w:style w:type="paragraph" w:styleId="TOC9">
    <w:name w:val="toc 9"/>
    <w:basedOn w:val="Normal"/>
    <w:next w:val="Normal"/>
    <w:autoRedefine/>
    <w:uiPriority w:val="39"/>
    <w:unhideWhenUsed/>
    <w:rsid w:val="00BE46FB"/>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val="en-US" w:eastAsia="zh-CN"/>
    </w:rPr>
  </w:style>
  <w:style w:type="character" w:styleId="FollowedHyperlink">
    <w:name w:val="FollowedHyperlink"/>
    <w:basedOn w:val="DefaultParagraphFont"/>
    <w:rsid w:val="00BE46FB"/>
    <w:rPr>
      <w:color w:val="800080" w:themeColor="followedHyperlink"/>
      <w:u w:val="single"/>
    </w:rPr>
  </w:style>
  <w:style w:type="paragraph" w:styleId="BalloonText">
    <w:name w:val="Balloon Text"/>
    <w:basedOn w:val="Normal"/>
    <w:link w:val="BalloonTextChar"/>
    <w:rsid w:val="00BE46FB"/>
    <w:pPr>
      <w:spacing w:before="0"/>
    </w:pPr>
    <w:rPr>
      <w:rFonts w:ascii="Tahoma" w:hAnsi="Tahoma" w:cs="Tahoma"/>
      <w:sz w:val="16"/>
      <w:szCs w:val="16"/>
    </w:rPr>
  </w:style>
  <w:style w:type="character" w:customStyle="1" w:styleId="BalloonTextChar">
    <w:name w:val="Balloon Text Char"/>
    <w:basedOn w:val="DefaultParagraphFont"/>
    <w:link w:val="BalloonText"/>
    <w:rsid w:val="00BE46FB"/>
    <w:rPr>
      <w:rFonts w:ascii="Tahoma" w:hAnsi="Tahoma" w:cs="Tahoma"/>
      <w:sz w:val="16"/>
      <w:szCs w:val="16"/>
      <w:lang w:val="fr-FR" w:eastAsia="en-US"/>
    </w:rPr>
  </w:style>
  <w:style w:type="paragraph" w:customStyle="1" w:styleId="Reasons">
    <w:name w:val="Reasons"/>
    <w:basedOn w:val="Normal"/>
    <w:qFormat/>
    <w:rsid w:val="00BE46FB"/>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PlaceholderText">
    <w:name w:val="Placeholder Text"/>
    <w:basedOn w:val="DefaultParagraphFont"/>
    <w:uiPriority w:val="99"/>
    <w:semiHidden/>
    <w:rsid w:val="00BE46FB"/>
    <w:rPr>
      <w:color w:val="808080"/>
    </w:rPr>
  </w:style>
  <w:style w:type="character" w:styleId="CommentReference">
    <w:name w:val="annotation reference"/>
    <w:basedOn w:val="DefaultParagraphFont"/>
    <w:semiHidden/>
    <w:unhideWhenUsed/>
    <w:rsid w:val="00BE46FB"/>
    <w:rPr>
      <w:sz w:val="16"/>
      <w:szCs w:val="16"/>
    </w:rPr>
  </w:style>
  <w:style w:type="paragraph" w:styleId="CommentText">
    <w:name w:val="annotation text"/>
    <w:basedOn w:val="Normal"/>
    <w:link w:val="CommentTextChar"/>
    <w:semiHidden/>
    <w:unhideWhenUsed/>
    <w:rsid w:val="00BE46FB"/>
    <w:rPr>
      <w:sz w:val="20"/>
    </w:rPr>
  </w:style>
  <w:style w:type="character" w:customStyle="1" w:styleId="CommentTextChar">
    <w:name w:val="Comment Text Char"/>
    <w:basedOn w:val="DefaultParagraphFont"/>
    <w:link w:val="CommentText"/>
    <w:semiHidden/>
    <w:rsid w:val="00BE46FB"/>
    <w:rPr>
      <w:lang w:val="fr-FR" w:eastAsia="en-US"/>
    </w:rPr>
  </w:style>
  <w:style w:type="paragraph" w:styleId="CommentSubject">
    <w:name w:val="annotation subject"/>
    <w:basedOn w:val="CommentText"/>
    <w:next w:val="CommentText"/>
    <w:link w:val="CommentSubjectChar"/>
    <w:semiHidden/>
    <w:unhideWhenUsed/>
    <w:rsid w:val="00BE46FB"/>
    <w:rPr>
      <w:b/>
      <w:bCs/>
    </w:rPr>
  </w:style>
  <w:style w:type="character" w:customStyle="1" w:styleId="CommentSubjectChar">
    <w:name w:val="Comment Subject Char"/>
    <w:basedOn w:val="CommentTextChar"/>
    <w:link w:val="CommentSubject"/>
    <w:semiHidden/>
    <w:rsid w:val="00BE46FB"/>
    <w:rPr>
      <w:b/>
      <w:bCs/>
      <w:lang w:val="fr-FR" w:eastAsia="en-US"/>
    </w:rPr>
  </w:style>
  <w:style w:type="table" w:customStyle="1" w:styleId="TableGrid1">
    <w:name w:val="Table Grid1"/>
    <w:basedOn w:val="TableNormal"/>
    <w:next w:val="TableGrid"/>
    <w:rsid w:val="000C1ED5"/>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s" TargetMode="Externa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P/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34</TotalTime>
  <Pages>13</Pages>
  <Words>4543</Words>
  <Characters>25560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ITU-T Rec. </vt:lpstr>
    </vt:vector>
  </TitlesOfParts>
  <Manager/>
  <Company>ITU</Company>
  <LinksUpToDate>false</LinksUpToDate>
  <CharactersWithSpaces>30043</CharactersWithSpaces>
  <SharedDoc>false</SharedDoc>
  <HLinks>
    <vt:vector size="12" baseType="variant">
      <vt:variant>
        <vt:i4>196679</vt:i4>
      </vt:variant>
      <vt:variant>
        <vt:i4>3</vt:i4>
      </vt:variant>
      <vt:variant>
        <vt:i4>0</vt:i4>
      </vt:variant>
      <vt:variant>
        <vt:i4>5</vt:i4>
      </vt:variant>
      <vt:variant>
        <vt:lpwstr>http://www.itu.int/publ/R-REP/es</vt:lpwstr>
      </vt:variant>
      <vt:variant>
        <vt:lpwstr/>
      </vt:variant>
      <vt:variant>
        <vt:i4>2097198</vt:i4>
      </vt:variant>
      <vt:variant>
        <vt:i4>0</vt:i4>
      </vt:variant>
      <vt:variant>
        <vt:i4>0</vt:i4>
      </vt:variant>
      <vt:variant>
        <vt:i4>5</vt:i4>
      </vt:variant>
      <vt:variant>
        <vt:lpwstr>http://www.itu.int/ITU-R/go/patents/es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dc:title>
  <dc:subject/>
  <dc:creator>ITU-T Study Group un</dc:creator>
  <cp:keywords/>
  <dc:description>Saved by JK-106306 at 10:34:24 on 03.07.2009</dc:description>
  <cp:lastModifiedBy>Catalano Moreira, Rossana</cp:lastModifiedBy>
  <cp:revision>13</cp:revision>
  <cp:lastPrinted>2018-10-01T15:01:00Z</cp:lastPrinted>
  <dcterms:created xsi:type="dcterms:W3CDTF">2018-10-01T14:34:00Z</dcterms:created>
  <dcterms:modified xsi:type="dcterms:W3CDTF">2018-10-01T15:08:00Z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