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F2BE1" w14:textId="77777777" w:rsidR="00FD4E6F" w:rsidRPr="00943576" w:rsidRDefault="00FD4E6F" w:rsidP="00FD4E6F">
      <w:pPr>
        <w:rPr>
          <w:lang w:val="es-ES_tradnl"/>
        </w:rPr>
      </w:pPr>
    </w:p>
    <w:p w14:paraId="63934255" w14:textId="77777777" w:rsidR="00FD4E6F" w:rsidRPr="00943576" w:rsidRDefault="00FD4E6F" w:rsidP="00FD4E6F">
      <w:pPr>
        <w:rPr>
          <w:lang w:val="es-ES_tradnl"/>
        </w:rPr>
      </w:pPr>
    </w:p>
    <w:p w14:paraId="2364B0CA" w14:textId="77777777" w:rsidR="00FD4E6F" w:rsidRPr="00943576" w:rsidRDefault="00FD4E6F" w:rsidP="00FD4E6F">
      <w:pPr>
        <w:rPr>
          <w:lang w:val="es-ES_tradnl"/>
        </w:rPr>
      </w:pPr>
    </w:p>
    <w:p w14:paraId="68DEFD29" w14:textId="77777777" w:rsidR="00FD4E6F" w:rsidRPr="00943576" w:rsidRDefault="00FD4E6F" w:rsidP="00FD4E6F">
      <w:pPr>
        <w:rPr>
          <w:lang w:val="es-ES_tradnl"/>
        </w:rPr>
      </w:pPr>
    </w:p>
    <w:p w14:paraId="4DA30E8C" w14:textId="77777777" w:rsidR="00FD4E6F" w:rsidRPr="00943576" w:rsidRDefault="00FD4E6F" w:rsidP="00FD4E6F">
      <w:pPr>
        <w:rPr>
          <w:lang w:val="es-ES_tradnl"/>
        </w:rPr>
      </w:pPr>
    </w:p>
    <w:p w14:paraId="0371E5FB" w14:textId="77777777" w:rsidR="00FD4E6F" w:rsidRPr="00943576" w:rsidRDefault="00FD4E6F" w:rsidP="00FD4E6F">
      <w:pPr>
        <w:rPr>
          <w:lang w:val="es-ES_tradnl"/>
        </w:rPr>
      </w:pPr>
    </w:p>
    <w:p w14:paraId="43908ED9" w14:textId="77777777" w:rsidR="00FD4E6F" w:rsidRPr="00943576" w:rsidRDefault="00FD4E6F" w:rsidP="00FD4E6F">
      <w:pPr>
        <w:rPr>
          <w:lang w:val="es-ES_tradnl"/>
        </w:rPr>
      </w:pPr>
    </w:p>
    <w:p w14:paraId="1BC4EB4F" w14:textId="77777777" w:rsidR="00FD4E6F" w:rsidRPr="00943576" w:rsidRDefault="00FD4E6F" w:rsidP="00FD4E6F">
      <w:pPr>
        <w:rPr>
          <w:lang w:val="es-ES_tradnl"/>
        </w:rPr>
      </w:pPr>
    </w:p>
    <w:p w14:paraId="6C83EC52" w14:textId="77777777" w:rsidR="00FD4E6F" w:rsidRPr="00943576" w:rsidRDefault="00FD4E6F" w:rsidP="00FD4E6F">
      <w:pPr>
        <w:rPr>
          <w:lang w:val="es-ES_tradnl"/>
        </w:rPr>
      </w:pPr>
    </w:p>
    <w:p w14:paraId="1C0DEF97" w14:textId="4C81225E" w:rsidR="00FD4E6F" w:rsidRPr="00943576" w:rsidRDefault="00FD4E6F" w:rsidP="00FD4E6F">
      <w:pPr>
        <w:rPr>
          <w:lang w:val="es-ES_tradnl"/>
        </w:rPr>
      </w:pPr>
    </w:p>
    <w:p w14:paraId="11103B9B" w14:textId="77777777" w:rsidR="00FE3B05" w:rsidRPr="00943576" w:rsidRDefault="00FE3B05" w:rsidP="00FD4E6F">
      <w:pPr>
        <w:rPr>
          <w:lang w:val="es-ES_tradnl"/>
        </w:rPr>
      </w:pPr>
    </w:p>
    <w:p w14:paraId="5DAD399D" w14:textId="77777777" w:rsidR="00FD4E6F" w:rsidRPr="00943576" w:rsidRDefault="00FD4E6F" w:rsidP="00FD4E6F">
      <w:pPr>
        <w:rPr>
          <w:lang w:val="es-ES_tradnl"/>
        </w:rPr>
      </w:pPr>
    </w:p>
    <w:p w14:paraId="598819FE" w14:textId="77777777" w:rsidR="00FD4E6F" w:rsidRPr="00943576" w:rsidRDefault="00FD4E6F" w:rsidP="00FD4E6F">
      <w:pPr>
        <w:rPr>
          <w:lang w:val="es-ES_tradnl"/>
        </w:rPr>
      </w:pPr>
    </w:p>
    <w:tbl>
      <w:tblPr>
        <w:tblW w:w="10089" w:type="dxa"/>
        <w:tblLook w:val="01E0" w:firstRow="1" w:lastRow="1" w:firstColumn="1" w:lastColumn="1" w:noHBand="0" w:noVBand="0"/>
      </w:tblPr>
      <w:tblGrid>
        <w:gridCol w:w="10089"/>
      </w:tblGrid>
      <w:tr w:rsidR="00FD4E6F" w:rsidRPr="00943576" w14:paraId="11C98FF2" w14:textId="77777777" w:rsidTr="002129BB">
        <w:tc>
          <w:tcPr>
            <w:tcW w:w="10089" w:type="dxa"/>
          </w:tcPr>
          <w:p w14:paraId="555A1CEF" w14:textId="77777777" w:rsidR="00FD4E6F" w:rsidRPr="00943576" w:rsidRDefault="00FD4E6F" w:rsidP="002129BB">
            <w:pPr>
              <w:spacing w:before="380" w:line="280" w:lineRule="exact"/>
              <w:jc w:val="right"/>
              <w:rPr>
                <w:rFonts w:ascii="Tahoma" w:hAnsi="Tahoma" w:cs="Tahoma"/>
                <w:b/>
                <w:bCs/>
                <w:iCs/>
                <w:color w:val="509141"/>
                <w:sz w:val="32"/>
                <w:szCs w:val="32"/>
                <w:lang w:val="es-ES_tradnl"/>
              </w:rPr>
            </w:pPr>
            <w:r w:rsidRPr="00943576">
              <w:rPr>
                <w:rFonts w:ascii="Tahoma" w:hAnsi="Tahoma"/>
                <w:b/>
                <w:color w:val="509141"/>
                <w:sz w:val="32"/>
                <w:lang w:val="es-ES_tradnl"/>
              </w:rPr>
              <w:object w:dxaOrig="180" w:dyaOrig="340" w14:anchorId="3A04C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5.05pt" o:ole="">
                  <v:imagedata r:id="rId8" o:title=""/>
                </v:shape>
                <o:OLEObject Type="Embed" ProgID="Equation.3" ShapeID="_x0000_i1025" DrawAspect="Content" ObjectID="_1689516924" r:id="rId9"/>
              </w:object>
            </w:r>
          </w:p>
          <w:p w14:paraId="7D14D9BB" w14:textId="0C762C00" w:rsidR="00FD4E6F" w:rsidRPr="00943576" w:rsidRDefault="00FD4E6F" w:rsidP="002129BB">
            <w:pPr>
              <w:spacing w:before="380" w:line="280" w:lineRule="exact"/>
              <w:jc w:val="right"/>
              <w:rPr>
                <w:rFonts w:ascii="Tahoma" w:hAnsi="Tahoma" w:cs="Tahoma"/>
                <w:b/>
                <w:bCs/>
                <w:iCs/>
                <w:color w:val="509141"/>
                <w:sz w:val="36"/>
                <w:szCs w:val="36"/>
                <w:lang w:val="es-ES_tradnl"/>
              </w:rPr>
            </w:pPr>
            <w:r w:rsidRPr="00943576">
              <w:rPr>
                <w:rFonts w:ascii="Tahoma" w:hAnsi="Tahoma"/>
                <w:b/>
                <w:color w:val="509141"/>
                <w:sz w:val="36"/>
                <w:lang w:val="es-ES_tradnl"/>
              </w:rPr>
              <w:t>Informe UIT-R</w:t>
            </w:r>
            <w:r w:rsidR="00C66E65" w:rsidRPr="00943576">
              <w:rPr>
                <w:rFonts w:ascii="Tahoma" w:hAnsi="Tahoma"/>
                <w:b/>
                <w:color w:val="509141"/>
                <w:sz w:val="36"/>
                <w:lang w:val="es-ES_tradnl"/>
              </w:rPr>
              <w:t xml:space="preserve"> </w:t>
            </w:r>
            <w:r w:rsidRPr="00943576">
              <w:rPr>
                <w:rFonts w:ascii="Tahoma" w:hAnsi="Tahoma"/>
                <w:b/>
                <w:color w:val="509141"/>
                <w:sz w:val="36"/>
                <w:lang w:val="es-ES_tradnl"/>
              </w:rPr>
              <w:t>SM.2486-0</w:t>
            </w:r>
          </w:p>
          <w:p w14:paraId="23F1E421" w14:textId="4AD12D21" w:rsidR="00FD4E6F" w:rsidRPr="00943576" w:rsidRDefault="00FD4E6F" w:rsidP="002129BB">
            <w:pPr>
              <w:spacing w:before="80" w:line="280" w:lineRule="exact"/>
              <w:jc w:val="right"/>
              <w:rPr>
                <w:rFonts w:ascii="Tahoma" w:hAnsi="Tahoma" w:cs="Tahoma"/>
                <w:iCs/>
                <w:color w:val="509141"/>
                <w:szCs w:val="24"/>
                <w:lang w:val="es-ES_tradnl"/>
              </w:rPr>
            </w:pPr>
            <w:r w:rsidRPr="00943576">
              <w:rPr>
                <w:rFonts w:ascii="Tahoma" w:hAnsi="Tahoma"/>
                <w:b/>
                <w:color w:val="509141"/>
                <w:lang w:val="es-ES_tradnl"/>
              </w:rPr>
              <w:t>(06/2021)</w:t>
            </w:r>
          </w:p>
        </w:tc>
      </w:tr>
      <w:tr w:rsidR="00FD4E6F" w:rsidRPr="00943576" w14:paraId="56139DFF" w14:textId="77777777" w:rsidTr="002129BB">
        <w:tc>
          <w:tcPr>
            <w:tcW w:w="10089" w:type="dxa"/>
          </w:tcPr>
          <w:p w14:paraId="7CA3F51A" w14:textId="77777777" w:rsidR="00FD4E6F" w:rsidRPr="00943576" w:rsidRDefault="00FD4E6F" w:rsidP="002129BB">
            <w:pPr>
              <w:spacing w:before="80" w:line="500" w:lineRule="exact"/>
              <w:jc w:val="right"/>
              <w:rPr>
                <w:rFonts w:ascii="Tahoma" w:hAnsi="Tahoma" w:cs="Tahoma"/>
                <w:b/>
                <w:bCs/>
                <w:iCs/>
                <w:color w:val="509141"/>
                <w:sz w:val="44"/>
                <w:szCs w:val="44"/>
                <w:lang w:val="es-ES_tradnl"/>
              </w:rPr>
            </w:pPr>
          </w:p>
          <w:p w14:paraId="38FEDD82" w14:textId="640B6695" w:rsidR="00FD4E6F" w:rsidRPr="00943576" w:rsidRDefault="00FF53D9" w:rsidP="002129BB">
            <w:pPr>
              <w:pStyle w:val="Reptitle"/>
              <w:jc w:val="right"/>
              <w:rPr>
                <w:rFonts w:ascii="Tahoma" w:hAnsi="Tahoma" w:cs="Tahoma"/>
                <w:bCs/>
                <w:iCs/>
                <w:color w:val="509141"/>
                <w:sz w:val="44"/>
                <w:szCs w:val="44"/>
                <w:lang w:val="es-ES_tradnl"/>
              </w:rPr>
            </w:pPr>
            <w:bookmarkStart w:id="0" w:name="_Hlk57721072"/>
            <w:r w:rsidRPr="00943576">
              <w:rPr>
                <w:rFonts w:ascii="Tahoma" w:hAnsi="Tahoma"/>
                <w:color w:val="509141"/>
                <w:sz w:val="44"/>
                <w:lang w:val="es-ES_tradnl"/>
              </w:rPr>
              <w:t>Utilización de drones comerciales para</w:t>
            </w:r>
            <w:r w:rsidR="00FE3B05" w:rsidRPr="00943576">
              <w:rPr>
                <w:rFonts w:ascii="Tahoma" w:hAnsi="Tahoma"/>
                <w:color w:val="509141"/>
                <w:sz w:val="44"/>
                <w:lang w:val="es-ES_tradnl"/>
              </w:rPr>
              <w:br/>
            </w:r>
            <w:r w:rsidRPr="00943576">
              <w:rPr>
                <w:rFonts w:ascii="Tahoma" w:hAnsi="Tahoma"/>
                <w:color w:val="509141"/>
                <w:sz w:val="44"/>
                <w:lang w:val="es-ES_tradnl"/>
              </w:rPr>
              <w:t>las tareas de comprobación técnica</w:t>
            </w:r>
            <w:r w:rsidR="00FE3B05" w:rsidRPr="00943576">
              <w:rPr>
                <w:rFonts w:ascii="Tahoma" w:hAnsi="Tahoma"/>
                <w:color w:val="509141"/>
                <w:sz w:val="44"/>
                <w:lang w:val="es-ES_tradnl"/>
              </w:rPr>
              <w:br/>
            </w:r>
            <w:r w:rsidRPr="00943576">
              <w:rPr>
                <w:rFonts w:ascii="Tahoma" w:hAnsi="Tahoma"/>
                <w:color w:val="509141"/>
                <w:sz w:val="44"/>
                <w:lang w:val="es-ES_tradnl"/>
              </w:rPr>
              <w:t>del espectro del UIT-R</w:t>
            </w:r>
            <w:bookmarkEnd w:id="0"/>
          </w:p>
          <w:p w14:paraId="24848FD5" w14:textId="77777777" w:rsidR="00FD4E6F" w:rsidRPr="00943576" w:rsidRDefault="00FD4E6F" w:rsidP="002129BB">
            <w:pPr>
              <w:spacing w:before="80" w:line="500" w:lineRule="exact"/>
              <w:jc w:val="right"/>
              <w:rPr>
                <w:rFonts w:ascii="Tahoma" w:hAnsi="Tahoma" w:cs="Tahoma"/>
                <w:b/>
                <w:bCs/>
                <w:iCs/>
                <w:color w:val="509141"/>
                <w:sz w:val="44"/>
                <w:szCs w:val="44"/>
                <w:lang w:val="es-ES_tradnl"/>
              </w:rPr>
            </w:pPr>
          </w:p>
          <w:p w14:paraId="0C8E9C6C" w14:textId="26B59433" w:rsidR="00FD4E6F" w:rsidRPr="00943576" w:rsidRDefault="00C66E65" w:rsidP="002129BB">
            <w:pPr>
              <w:spacing w:before="80" w:line="500" w:lineRule="exact"/>
              <w:jc w:val="right"/>
              <w:rPr>
                <w:rFonts w:ascii="Tahoma" w:hAnsi="Tahoma" w:cs="Tahoma"/>
                <w:b/>
                <w:bCs/>
                <w:iCs/>
                <w:color w:val="509141"/>
                <w:sz w:val="44"/>
                <w:szCs w:val="44"/>
                <w:lang w:val="es-ES_tradnl"/>
              </w:rPr>
            </w:pPr>
            <w:r w:rsidRPr="00943576">
              <w:rPr>
                <w:rFonts w:ascii="Tahoma" w:hAnsi="Tahoma"/>
                <w:b/>
                <w:color w:val="509141"/>
                <w:sz w:val="44"/>
                <w:lang w:val="es-ES_tradnl"/>
              </w:rPr>
              <w:t xml:space="preserve"> </w:t>
            </w:r>
          </w:p>
        </w:tc>
      </w:tr>
      <w:tr w:rsidR="00FD4E6F" w:rsidRPr="00943576" w14:paraId="4412D8A6" w14:textId="77777777" w:rsidTr="002129BB">
        <w:tc>
          <w:tcPr>
            <w:tcW w:w="10089" w:type="dxa"/>
          </w:tcPr>
          <w:p w14:paraId="7D4D889C" w14:textId="77777777" w:rsidR="00FE3B05" w:rsidRPr="00943576" w:rsidRDefault="00FE3B05" w:rsidP="00FE3B05">
            <w:pPr>
              <w:spacing w:before="0" w:line="500" w:lineRule="exact"/>
              <w:jc w:val="left"/>
              <w:rPr>
                <w:rFonts w:ascii="Tahoma" w:hAnsi="Tahoma" w:cs="Tahoma"/>
                <w:b/>
                <w:bCs/>
                <w:iCs/>
                <w:color w:val="509141"/>
                <w:sz w:val="32"/>
                <w:szCs w:val="32"/>
                <w:lang w:val="es-ES_tradnl"/>
              </w:rPr>
            </w:pPr>
          </w:p>
          <w:p w14:paraId="4ED2495D" w14:textId="77777777" w:rsidR="00FE3B05" w:rsidRPr="00943576" w:rsidRDefault="00FE3B05" w:rsidP="00FE3B05">
            <w:pPr>
              <w:spacing w:before="0" w:line="500" w:lineRule="exact"/>
              <w:jc w:val="left"/>
              <w:rPr>
                <w:rFonts w:ascii="Tahoma" w:hAnsi="Tahoma" w:cs="Tahoma"/>
                <w:b/>
                <w:bCs/>
                <w:iCs/>
                <w:color w:val="509141"/>
                <w:sz w:val="32"/>
                <w:szCs w:val="32"/>
                <w:lang w:val="es-ES_tradnl"/>
              </w:rPr>
            </w:pPr>
          </w:p>
          <w:p w14:paraId="1C885F57" w14:textId="77777777" w:rsidR="00FE3B05" w:rsidRPr="00943576" w:rsidRDefault="00FE3B05" w:rsidP="00FE3B05">
            <w:pPr>
              <w:spacing w:before="0" w:line="500" w:lineRule="exact"/>
              <w:jc w:val="left"/>
              <w:rPr>
                <w:rFonts w:ascii="Tahoma" w:hAnsi="Tahoma" w:cs="Tahoma"/>
                <w:b/>
                <w:bCs/>
                <w:iCs/>
                <w:color w:val="509141"/>
                <w:sz w:val="32"/>
                <w:szCs w:val="32"/>
                <w:lang w:val="es-ES_tradnl"/>
              </w:rPr>
            </w:pPr>
          </w:p>
          <w:p w14:paraId="51760C69" w14:textId="77777777" w:rsidR="00FD4E6F" w:rsidRPr="00943576" w:rsidRDefault="00FD4E6F" w:rsidP="002129BB">
            <w:pPr>
              <w:spacing w:before="80" w:after="180" w:line="360" w:lineRule="exact"/>
              <w:jc w:val="right"/>
              <w:rPr>
                <w:rFonts w:ascii="Tahoma" w:hAnsi="Tahoma" w:cs="Tahoma"/>
                <w:b/>
                <w:bCs/>
                <w:iCs/>
                <w:color w:val="509141"/>
                <w:sz w:val="36"/>
                <w:szCs w:val="36"/>
                <w:lang w:val="es-ES_tradnl"/>
              </w:rPr>
            </w:pPr>
            <w:r w:rsidRPr="00943576">
              <w:rPr>
                <w:rFonts w:ascii="Tahoma" w:hAnsi="Tahoma"/>
                <w:b/>
                <w:color w:val="509141"/>
                <w:sz w:val="36"/>
                <w:lang w:val="es-ES_tradnl"/>
              </w:rPr>
              <w:t>Serie SM</w:t>
            </w:r>
          </w:p>
          <w:p w14:paraId="38C6F787" w14:textId="77777777" w:rsidR="00FD4E6F" w:rsidRPr="00943576" w:rsidRDefault="00FD4E6F" w:rsidP="002129BB">
            <w:pPr>
              <w:spacing w:before="80" w:line="420" w:lineRule="exact"/>
              <w:jc w:val="right"/>
              <w:rPr>
                <w:rFonts w:ascii="Tahoma" w:hAnsi="Tahoma" w:cs="Tahoma"/>
                <w:b/>
                <w:bCs/>
                <w:iCs/>
                <w:color w:val="509141"/>
                <w:sz w:val="36"/>
                <w:szCs w:val="36"/>
                <w:lang w:val="es-ES_tradnl"/>
              </w:rPr>
            </w:pPr>
            <w:r w:rsidRPr="00943576">
              <w:rPr>
                <w:rFonts w:ascii="Tahoma" w:hAnsi="Tahoma"/>
                <w:b/>
                <w:color w:val="509141"/>
                <w:sz w:val="36"/>
                <w:lang w:val="es-ES_tradnl"/>
              </w:rPr>
              <w:t>Gestión del espectro</w:t>
            </w:r>
          </w:p>
        </w:tc>
      </w:tr>
    </w:tbl>
    <w:p w14:paraId="15E00488" w14:textId="77777777" w:rsidR="00FD4E6F" w:rsidRPr="00943576" w:rsidRDefault="00FD4E6F" w:rsidP="00FD4E6F">
      <w:pPr>
        <w:spacing w:before="80"/>
        <w:rPr>
          <w:i/>
          <w:sz w:val="22"/>
          <w:lang w:val="es-ES_tradnl"/>
        </w:rPr>
      </w:pPr>
    </w:p>
    <w:p w14:paraId="4E1A82BD" w14:textId="77777777" w:rsidR="00FD4E6F" w:rsidRPr="00943576" w:rsidRDefault="00FD4E6F" w:rsidP="00FD4E6F">
      <w:pPr>
        <w:spacing w:before="80"/>
        <w:rPr>
          <w:i/>
          <w:sz w:val="22"/>
          <w:lang w:val="es-ES_tradnl"/>
        </w:rPr>
      </w:pPr>
    </w:p>
    <w:p w14:paraId="6A166260" w14:textId="77777777" w:rsidR="00FD4E6F" w:rsidRPr="00943576" w:rsidRDefault="00FD4E6F" w:rsidP="00FD4E6F">
      <w:pPr>
        <w:spacing w:before="80"/>
        <w:rPr>
          <w:i/>
          <w:sz w:val="22"/>
          <w:lang w:val="es-ES_tradnl"/>
        </w:rPr>
      </w:pPr>
    </w:p>
    <w:p w14:paraId="77C8F548" w14:textId="77777777" w:rsidR="00FD4E6F" w:rsidRPr="00943576" w:rsidRDefault="00FD4E6F" w:rsidP="00FD4E6F">
      <w:pPr>
        <w:spacing w:before="80"/>
        <w:rPr>
          <w:i/>
          <w:sz w:val="22"/>
          <w:lang w:val="es-ES_tradnl"/>
        </w:rPr>
      </w:pPr>
    </w:p>
    <w:p w14:paraId="7376C762" w14:textId="77777777" w:rsidR="00FD4E6F" w:rsidRPr="00943576" w:rsidRDefault="00FD4E6F" w:rsidP="00FD4E6F">
      <w:pPr>
        <w:spacing w:before="80"/>
        <w:rPr>
          <w:i/>
          <w:sz w:val="22"/>
          <w:lang w:val="es-ES_tradnl"/>
        </w:rPr>
      </w:pPr>
    </w:p>
    <w:p w14:paraId="2ECC0119" w14:textId="77777777" w:rsidR="00FD4E6F" w:rsidRPr="00943576" w:rsidRDefault="00FD4E6F" w:rsidP="00FD4E6F">
      <w:pPr>
        <w:rPr>
          <w:rFonts w:ascii="Palatino Linotype" w:hAnsi="Palatino Linotype"/>
          <w:lang w:val="es-ES_tradnl"/>
        </w:rPr>
        <w:sectPr w:rsidR="00FD4E6F" w:rsidRPr="00943576" w:rsidSect="00C4407C">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6352F7B8" w14:textId="77777777" w:rsidR="00FD4E6F" w:rsidRPr="00943576" w:rsidRDefault="00FD4E6F" w:rsidP="00FD4E6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s-ES_tradnl"/>
        </w:rPr>
      </w:pPr>
      <w:bookmarkStart w:id="1" w:name="c2tope"/>
      <w:bookmarkEnd w:id="1"/>
      <w:r w:rsidRPr="00943576">
        <w:rPr>
          <w:sz w:val="24"/>
          <w:lang w:val="es-ES_tradnl"/>
        </w:rPr>
        <w:lastRenderedPageBreak/>
        <w:t>Prólogo</w:t>
      </w:r>
    </w:p>
    <w:p w14:paraId="00F62D4E" w14:textId="77777777" w:rsidR="00FD4E6F" w:rsidRPr="00943576" w:rsidRDefault="00FD4E6F" w:rsidP="00FD4E6F">
      <w:pPr>
        <w:spacing w:before="240"/>
        <w:rPr>
          <w:sz w:val="20"/>
          <w:lang w:val="es-ES_tradnl"/>
        </w:rPr>
      </w:pPr>
      <w:r w:rsidRPr="0094357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w:t>
      </w:r>
    </w:p>
    <w:p w14:paraId="7F34CC8B" w14:textId="77777777" w:rsidR="00FD4E6F" w:rsidRPr="00943576" w:rsidRDefault="00FD4E6F" w:rsidP="00FD4E6F">
      <w:pPr>
        <w:rPr>
          <w:sz w:val="20"/>
          <w:lang w:val="es-ES_tradnl"/>
        </w:rPr>
      </w:pPr>
      <w:r w:rsidRPr="0094357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A9544C5" w14:textId="77777777" w:rsidR="00FD4E6F" w:rsidRPr="00943576" w:rsidRDefault="00FD4E6F" w:rsidP="00FD4E6F">
      <w:pPr>
        <w:pStyle w:val="Heading1"/>
        <w:spacing w:before="540"/>
        <w:jc w:val="center"/>
        <w:rPr>
          <w:szCs w:val="24"/>
          <w:lang w:val="es-ES_tradnl"/>
        </w:rPr>
      </w:pPr>
      <w:bookmarkStart w:id="2" w:name="_Toc65574984"/>
      <w:bookmarkStart w:id="3" w:name="_Toc77502916"/>
      <w:r w:rsidRPr="00943576">
        <w:rPr>
          <w:lang w:val="es-ES_tradnl"/>
        </w:rPr>
        <w:t>Política sobre Derechos de Propiedad Intelectual (IPR)</w:t>
      </w:r>
      <w:bookmarkEnd w:id="2"/>
      <w:bookmarkEnd w:id="3"/>
    </w:p>
    <w:p w14:paraId="59529620" w14:textId="77777777" w:rsidR="00C66E65" w:rsidRPr="00943576" w:rsidRDefault="00FD4E6F" w:rsidP="00FD4E6F">
      <w:pPr>
        <w:tabs>
          <w:tab w:val="left" w:pos="720"/>
        </w:tabs>
        <w:spacing w:before="240"/>
        <w:rPr>
          <w:sz w:val="20"/>
          <w:lang w:val="es-ES_tradnl"/>
        </w:rPr>
      </w:pPr>
      <w:r w:rsidRPr="00943576">
        <w:rPr>
          <w:sz w:val="20"/>
          <w:lang w:val="es-ES_tradnl"/>
        </w:rPr>
        <w:t>La política del UIT-R sobre Derechos de Propiedad Intelectual se describe en la Política Común de Patentes UIT-T/UIT-R/ISO/CEI a la que se hace referencia en la Resolución UIT-R 1. Los formularios que deben utilizarse en la declaración de patentes y licencias por los titulares de las mismas figuran en la dirección web</w:t>
      </w:r>
      <w:r w:rsidRPr="00943576">
        <w:rPr>
          <w:lang w:val="es-ES_tradnl"/>
        </w:rPr>
        <w:t xml:space="preserve"> </w:t>
      </w:r>
      <w:hyperlink r:id="rId13" w:history="1">
        <w:r w:rsidRPr="00943576">
          <w:rPr>
            <w:rStyle w:val="Hyperlink"/>
            <w:sz w:val="20"/>
            <w:lang w:val="es-ES_tradnl"/>
          </w:rPr>
          <w:t>http://www.itu.int/ITU-R/go/patents/es</w:t>
        </w:r>
      </w:hyperlink>
      <w:r w:rsidRPr="00943576">
        <w:rPr>
          <w:sz w:val="20"/>
          <w:lang w:val="es-ES_tradnl"/>
        </w:rPr>
        <w:t xml:space="preserve"> donde también pueden consultarse las Directrices para la Implementación de la Política Común de Patentes UIT-T/UIT-R/ISO/CEI y la base de datos sobre información de patentes del UIT-R.</w:t>
      </w:r>
    </w:p>
    <w:p w14:paraId="7AA68329" w14:textId="1F03369B" w:rsidR="00FD4E6F" w:rsidRPr="00943576" w:rsidRDefault="00FD4E6F" w:rsidP="00FD4E6F">
      <w:pPr>
        <w:jc w:val="center"/>
        <w:rPr>
          <w:sz w:val="22"/>
          <w:lang w:val="es-ES_tradnl"/>
        </w:rPr>
      </w:pPr>
    </w:p>
    <w:p w14:paraId="6102A325" w14:textId="77777777" w:rsidR="00FD4E6F" w:rsidRPr="00943576" w:rsidRDefault="00FD4E6F" w:rsidP="00FD4E6F">
      <w:pPr>
        <w:jc w:val="center"/>
        <w:rPr>
          <w:sz w:val="22"/>
          <w:lang w:val="es-ES_tradnl"/>
        </w:rPr>
      </w:pPr>
    </w:p>
    <w:p w14:paraId="3D39A7F8" w14:textId="77777777" w:rsidR="00FD4E6F" w:rsidRPr="00943576" w:rsidRDefault="00FD4E6F" w:rsidP="00FD4E6F">
      <w:pPr>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D4E6F" w:rsidRPr="00943576" w14:paraId="3C3E68A3" w14:textId="77777777" w:rsidTr="002129BB">
        <w:tc>
          <w:tcPr>
            <w:tcW w:w="9360" w:type="dxa"/>
            <w:gridSpan w:val="2"/>
            <w:tcBorders>
              <w:top w:val="single" w:sz="12" w:space="0" w:color="000080"/>
              <w:left w:val="single" w:sz="12" w:space="0" w:color="000080"/>
              <w:bottom w:val="nil"/>
              <w:right w:val="single" w:sz="12" w:space="0" w:color="000080"/>
            </w:tcBorders>
          </w:tcPr>
          <w:p w14:paraId="12C3C79B" w14:textId="77777777" w:rsidR="00C66E65" w:rsidRPr="00943576" w:rsidRDefault="00FD4E6F" w:rsidP="002129BB">
            <w:pPr>
              <w:pStyle w:val="ChapNo"/>
              <w:spacing w:before="240"/>
              <w:rPr>
                <w:sz w:val="22"/>
                <w:lang w:val="es-ES_tradnl"/>
              </w:rPr>
            </w:pPr>
            <w:r w:rsidRPr="00943576">
              <w:rPr>
                <w:sz w:val="22"/>
                <w:lang w:val="es-ES_tradnl"/>
              </w:rPr>
              <w:t>Series de Informes UIT-R</w:t>
            </w:r>
          </w:p>
          <w:p w14:paraId="2511F05A" w14:textId="50561DD8" w:rsidR="00FD4E6F" w:rsidRPr="00943576"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s-ES_tradnl"/>
              </w:rPr>
            </w:pPr>
            <w:r w:rsidRPr="00943576">
              <w:rPr>
                <w:b w:val="0"/>
                <w:sz w:val="18"/>
                <w:lang w:val="es-ES_tradnl"/>
              </w:rPr>
              <w:t xml:space="preserve">(También disponibles en línea en </w:t>
            </w:r>
            <w:hyperlink r:id="rId14" w:history="1">
              <w:r w:rsidRPr="00943576">
                <w:rPr>
                  <w:rStyle w:val="Hyperlink"/>
                  <w:b w:val="0"/>
                  <w:sz w:val="18"/>
                  <w:lang w:val="es-ES_tradnl"/>
                </w:rPr>
                <w:t>https://www.itu.int/pub/R-REP/es</w:t>
              </w:r>
            </w:hyperlink>
            <w:r w:rsidRPr="00943576">
              <w:rPr>
                <w:b w:val="0"/>
                <w:sz w:val="18"/>
                <w:lang w:val="es-ES_tradnl"/>
              </w:rPr>
              <w:t>)</w:t>
            </w:r>
          </w:p>
        </w:tc>
      </w:tr>
      <w:tr w:rsidR="00FD4E6F" w:rsidRPr="00943576" w14:paraId="077AE360" w14:textId="77777777" w:rsidTr="002129BB">
        <w:tc>
          <w:tcPr>
            <w:tcW w:w="1140" w:type="dxa"/>
            <w:tcBorders>
              <w:top w:val="nil"/>
              <w:left w:val="single" w:sz="12" w:space="0" w:color="000080"/>
              <w:bottom w:val="nil"/>
              <w:right w:val="nil"/>
            </w:tcBorders>
          </w:tcPr>
          <w:p w14:paraId="41411B0B" w14:textId="77777777" w:rsidR="00FD4E6F" w:rsidRPr="00943576" w:rsidRDefault="00FD4E6F" w:rsidP="002129BB">
            <w:pPr>
              <w:spacing w:before="200" w:after="100"/>
              <w:ind w:left="57"/>
              <w:rPr>
                <w:b/>
                <w:bCs/>
                <w:sz w:val="20"/>
                <w:lang w:val="es-ES_tradnl"/>
              </w:rPr>
            </w:pPr>
            <w:r w:rsidRPr="00943576">
              <w:rPr>
                <w:b/>
                <w:sz w:val="20"/>
                <w:lang w:val="es-ES_tradnl"/>
              </w:rPr>
              <w:t>Serie</w:t>
            </w:r>
          </w:p>
        </w:tc>
        <w:tc>
          <w:tcPr>
            <w:tcW w:w="8220" w:type="dxa"/>
            <w:tcBorders>
              <w:top w:val="nil"/>
              <w:left w:val="nil"/>
              <w:bottom w:val="nil"/>
              <w:right w:val="single" w:sz="12" w:space="0" w:color="000080"/>
            </w:tcBorders>
          </w:tcPr>
          <w:p w14:paraId="79B74910" w14:textId="77777777" w:rsidR="00FD4E6F" w:rsidRPr="00943576"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s-ES_tradnl"/>
              </w:rPr>
            </w:pPr>
            <w:r w:rsidRPr="00943576">
              <w:rPr>
                <w:sz w:val="20"/>
                <w:lang w:val="es-ES_tradnl"/>
              </w:rPr>
              <w:t>Título</w:t>
            </w:r>
          </w:p>
        </w:tc>
      </w:tr>
      <w:tr w:rsidR="00FD4E6F" w:rsidRPr="00943576" w14:paraId="055967E4" w14:textId="77777777" w:rsidTr="002129BB">
        <w:tc>
          <w:tcPr>
            <w:tcW w:w="1140" w:type="dxa"/>
            <w:tcBorders>
              <w:top w:val="nil"/>
              <w:left w:val="single" w:sz="12" w:space="0" w:color="000080"/>
              <w:bottom w:val="nil"/>
              <w:right w:val="nil"/>
            </w:tcBorders>
            <w:shd w:val="clear" w:color="auto" w:fill="auto"/>
          </w:tcPr>
          <w:p w14:paraId="10719765"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BO</w:t>
            </w:r>
          </w:p>
        </w:tc>
        <w:tc>
          <w:tcPr>
            <w:tcW w:w="8220" w:type="dxa"/>
            <w:tcBorders>
              <w:top w:val="nil"/>
              <w:left w:val="nil"/>
              <w:bottom w:val="nil"/>
              <w:right w:val="single" w:sz="12" w:space="0" w:color="000080"/>
            </w:tcBorders>
            <w:shd w:val="clear" w:color="auto" w:fill="auto"/>
          </w:tcPr>
          <w:p w14:paraId="70C9B609" w14:textId="77777777" w:rsidR="00FD4E6F" w:rsidRPr="00943576"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s-ES_tradnl"/>
              </w:rPr>
            </w:pPr>
            <w:r w:rsidRPr="00943576">
              <w:rPr>
                <w:b w:val="0"/>
                <w:sz w:val="20"/>
                <w:lang w:val="es-ES_tradnl"/>
              </w:rPr>
              <w:t>Distribución por satélite</w:t>
            </w:r>
          </w:p>
        </w:tc>
      </w:tr>
      <w:tr w:rsidR="00FD4E6F" w:rsidRPr="00943576" w14:paraId="3B4358AE" w14:textId="77777777" w:rsidTr="002129BB">
        <w:tc>
          <w:tcPr>
            <w:tcW w:w="1140" w:type="dxa"/>
            <w:tcBorders>
              <w:top w:val="nil"/>
              <w:left w:val="single" w:sz="12" w:space="0" w:color="000080"/>
              <w:bottom w:val="nil"/>
              <w:right w:val="nil"/>
            </w:tcBorders>
          </w:tcPr>
          <w:p w14:paraId="51F3499A" w14:textId="77777777" w:rsidR="00FD4E6F" w:rsidRPr="00943576" w:rsidRDefault="00FD4E6F" w:rsidP="002129BB">
            <w:pPr>
              <w:spacing w:before="30" w:after="30"/>
              <w:ind w:left="57"/>
              <w:jc w:val="left"/>
              <w:rPr>
                <w:b/>
                <w:bCs/>
                <w:sz w:val="20"/>
                <w:lang w:val="es-ES_tradnl"/>
              </w:rPr>
            </w:pPr>
            <w:r w:rsidRPr="00943576">
              <w:rPr>
                <w:b/>
                <w:sz w:val="20"/>
                <w:lang w:val="es-ES_tradnl"/>
              </w:rPr>
              <w:t>BR</w:t>
            </w:r>
          </w:p>
        </w:tc>
        <w:tc>
          <w:tcPr>
            <w:tcW w:w="8220" w:type="dxa"/>
            <w:tcBorders>
              <w:top w:val="nil"/>
              <w:left w:val="nil"/>
              <w:bottom w:val="nil"/>
              <w:right w:val="single" w:sz="12" w:space="0" w:color="000080"/>
            </w:tcBorders>
          </w:tcPr>
          <w:p w14:paraId="7D5B867D" w14:textId="77777777" w:rsidR="00FD4E6F" w:rsidRPr="00943576"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s-ES_tradnl"/>
              </w:rPr>
            </w:pPr>
            <w:r w:rsidRPr="00943576">
              <w:rPr>
                <w:b w:val="0"/>
                <w:sz w:val="20"/>
                <w:lang w:val="es-ES_tradnl"/>
              </w:rPr>
              <w:t>Registro para producción, archivo y reproducción; películas en televisión</w:t>
            </w:r>
          </w:p>
        </w:tc>
      </w:tr>
      <w:tr w:rsidR="00FD4E6F" w:rsidRPr="00943576" w14:paraId="164F8FBC" w14:textId="77777777" w:rsidTr="002129BB">
        <w:tc>
          <w:tcPr>
            <w:tcW w:w="1140" w:type="dxa"/>
            <w:tcBorders>
              <w:top w:val="nil"/>
              <w:left w:val="single" w:sz="12" w:space="0" w:color="000080"/>
              <w:bottom w:val="nil"/>
              <w:right w:val="nil"/>
            </w:tcBorders>
            <w:shd w:val="clear" w:color="auto" w:fill="auto"/>
          </w:tcPr>
          <w:p w14:paraId="21ADDB03"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BS</w:t>
            </w:r>
          </w:p>
        </w:tc>
        <w:tc>
          <w:tcPr>
            <w:tcW w:w="8220" w:type="dxa"/>
            <w:tcBorders>
              <w:top w:val="nil"/>
              <w:left w:val="nil"/>
              <w:bottom w:val="nil"/>
              <w:right w:val="single" w:sz="12" w:space="0" w:color="000080"/>
            </w:tcBorders>
            <w:shd w:val="clear" w:color="auto" w:fill="auto"/>
          </w:tcPr>
          <w:p w14:paraId="25B7C6BA" w14:textId="77777777" w:rsidR="00FD4E6F" w:rsidRPr="00943576"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s-ES_tradnl"/>
              </w:rPr>
            </w:pPr>
            <w:r w:rsidRPr="00943576">
              <w:rPr>
                <w:b w:val="0"/>
                <w:sz w:val="20"/>
                <w:lang w:val="es-ES_tradnl"/>
              </w:rPr>
              <w:t>Servicio de radiodifusión sonora</w:t>
            </w:r>
          </w:p>
        </w:tc>
      </w:tr>
      <w:tr w:rsidR="00FD4E6F" w:rsidRPr="00943576" w14:paraId="55DD8893" w14:textId="77777777" w:rsidTr="002129BB">
        <w:tc>
          <w:tcPr>
            <w:tcW w:w="1140" w:type="dxa"/>
            <w:tcBorders>
              <w:top w:val="nil"/>
              <w:left w:val="single" w:sz="12" w:space="0" w:color="000080"/>
              <w:bottom w:val="nil"/>
              <w:right w:val="nil"/>
            </w:tcBorders>
            <w:shd w:val="clear" w:color="auto" w:fill="auto"/>
          </w:tcPr>
          <w:p w14:paraId="0549E1B0"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BT</w:t>
            </w:r>
          </w:p>
        </w:tc>
        <w:tc>
          <w:tcPr>
            <w:tcW w:w="8220" w:type="dxa"/>
            <w:tcBorders>
              <w:top w:val="nil"/>
              <w:left w:val="nil"/>
              <w:bottom w:val="nil"/>
              <w:right w:val="single" w:sz="12" w:space="0" w:color="000080"/>
            </w:tcBorders>
            <w:shd w:val="clear" w:color="auto" w:fill="auto"/>
          </w:tcPr>
          <w:p w14:paraId="7E63CDDD" w14:textId="77777777" w:rsidR="00FD4E6F" w:rsidRPr="00943576"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s-ES_tradnl"/>
              </w:rPr>
            </w:pPr>
            <w:r w:rsidRPr="00943576">
              <w:rPr>
                <w:b w:val="0"/>
                <w:sz w:val="20"/>
                <w:lang w:val="es-ES_tradnl"/>
              </w:rPr>
              <w:t>Servicio de radiodifusión (televisión)</w:t>
            </w:r>
          </w:p>
        </w:tc>
      </w:tr>
      <w:tr w:rsidR="00FD4E6F" w:rsidRPr="00943576" w14:paraId="498F80B1" w14:textId="77777777" w:rsidTr="002129BB">
        <w:tc>
          <w:tcPr>
            <w:tcW w:w="1140" w:type="dxa"/>
            <w:tcBorders>
              <w:top w:val="nil"/>
              <w:left w:val="single" w:sz="12" w:space="0" w:color="000080"/>
              <w:bottom w:val="nil"/>
              <w:right w:val="nil"/>
            </w:tcBorders>
            <w:shd w:val="clear" w:color="auto" w:fill="auto"/>
          </w:tcPr>
          <w:p w14:paraId="2ECD61D2"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F</w:t>
            </w:r>
          </w:p>
        </w:tc>
        <w:tc>
          <w:tcPr>
            <w:tcW w:w="8220" w:type="dxa"/>
            <w:tcBorders>
              <w:top w:val="nil"/>
              <w:left w:val="nil"/>
              <w:bottom w:val="nil"/>
              <w:right w:val="single" w:sz="12" w:space="0" w:color="000080"/>
            </w:tcBorders>
            <w:shd w:val="clear" w:color="auto" w:fill="auto"/>
          </w:tcPr>
          <w:p w14:paraId="182E76C7" w14:textId="77777777" w:rsidR="00FD4E6F" w:rsidRPr="00943576"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s-ES_tradnl"/>
              </w:rPr>
            </w:pPr>
            <w:r w:rsidRPr="00943576">
              <w:rPr>
                <w:sz w:val="20"/>
                <w:lang w:val="es-ES_tradnl"/>
              </w:rPr>
              <w:t>Servicio fijo</w:t>
            </w:r>
          </w:p>
        </w:tc>
      </w:tr>
      <w:tr w:rsidR="00FD4E6F" w:rsidRPr="00943576" w14:paraId="3C5C04B7" w14:textId="77777777" w:rsidTr="002129BB">
        <w:tc>
          <w:tcPr>
            <w:tcW w:w="1140" w:type="dxa"/>
            <w:tcBorders>
              <w:top w:val="nil"/>
              <w:left w:val="single" w:sz="12" w:space="0" w:color="000080"/>
              <w:bottom w:val="nil"/>
              <w:right w:val="nil"/>
            </w:tcBorders>
            <w:shd w:val="clear" w:color="auto" w:fill="auto"/>
          </w:tcPr>
          <w:p w14:paraId="2148DC52" w14:textId="77777777" w:rsidR="00FD4E6F" w:rsidRPr="00943576" w:rsidRDefault="00FD4E6F" w:rsidP="002129BB">
            <w:pPr>
              <w:spacing w:before="30" w:after="30"/>
              <w:ind w:left="57"/>
              <w:jc w:val="left"/>
              <w:rPr>
                <w:b/>
                <w:bCs/>
                <w:sz w:val="20"/>
                <w:lang w:val="es-ES_tradnl"/>
              </w:rPr>
            </w:pPr>
            <w:r w:rsidRPr="00943576">
              <w:rPr>
                <w:b/>
                <w:sz w:val="20"/>
                <w:lang w:val="es-ES_tradnl"/>
              </w:rPr>
              <w:t>M</w:t>
            </w:r>
          </w:p>
        </w:tc>
        <w:tc>
          <w:tcPr>
            <w:tcW w:w="8220" w:type="dxa"/>
            <w:tcBorders>
              <w:top w:val="nil"/>
              <w:left w:val="nil"/>
              <w:bottom w:val="nil"/>
              <w:right w:val="single" w:sz="12" w:space="0" w:color="000080"/>
            </w:tcBorders>
            <w:shd w:val="clear" w:color="auto" w:fill="auto"/>
          </w:tcPr>
          <w:p w14:paraId="0338FD5A" w14:textId="77777777" w:rsidR="00FD4E6F" w:rsidRPr="00943576"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s-ES_tradnl"/>
              </w:rPr>
            </w:pPr>
            <w:r w:rsidRPr="00943576">
              <w:rPr>
                <w:b w:val="0"/>
                <w:sz w:val="20"/>
                <w:lang w:val="es-ES_tradnl"/>
              </w:rPr>
              <w:t>Servicios móviles, de radiodeterminación, de aficionados y otros servicios por satélite conexos</w:t>
            </w:r>
          </w:p>
        </w:tc>
      </w:tr>
      <w:tr w:rsidR="00FD4E6F" w:rsidRPr="00943576" w14:paraId="45F90A67" w14:textId="77777777" w:rsidTr="002129BB">
        <w:tc>
          <w:tcPr>
            <w:tcW w:w="1140" w:type="dxa"/>
            <w:tcBorders>
              <w:top w:val="nil"/>
              <w:left w:val="single" w:sz="12" w:space="0" w:color="000080"/>
              <w:bottom w:val="nil"/>
              <w:right w:val="nil"/>
            </w:tcBorders>
            <w:shd w:val="clear" w:color="auto" w:fill="auto"/>
          </w:tcPr>
          <w:p w14:paraId="312DC1F7"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P</w:t>
            </w:r>
          </w:p>
        </w:tc>
        <w:tc>
          <w:tcPr>
            <w:tcW w:w="8220" w:type="dxa"/>
            <w:tcBorders>
              <w:top w:val="nil"/>
              <w:left w:val="nil"/>
              <w:bottom w:val="nil"/>
              <w:right w:val="single" w:sz="12" w:space="0" w:color="000080"/>
            </w:tcBorders>
            <w:shd w:val="clear" w:color="auto" w:fill="auto"/>
          </w:tcPr>
          <w:p w14:paraId="4376F746" w14:textId="77777777" w:rsidR="00FD4E6F" w:rsidRPr="00943576" w:rsidRDefault="00FD4E6F" w:rsidP="002129BB">
            <w:pPr>
              <w:spacing w:before="30" w:after="30"/>
              <w:jc w:val="left"/>
              <w:rPr>
                <w:sz w:val="20"/>
                <w:lang w:val="es-ES_tradnl"/>
              </w:rPr>
            </w:pPr>
            <w:r w:rsidRPr="00943576">
              <w:rPr>
                <w:sz w:val="20"/>
                <w:lang w:val="es-ES_tradnl"/>
              </w:rPr>
              <w:t>Propagación de las ondas radioeléctricas</w:t>
            </w:r>
          </w:p>
        </w:tc>
      </w:tr>
      <w:tr w:rsidR="00FD4E6F" w:rsidRPr="00943576" w14:paraId="3AE299A8" w14:textId="77777777" w:rsidTr="002129BB">
        <w:tc>
          <w:tcPr>
            <w:tcW w:w="1140" w:type="dxa"/>
            <w:tcBorders>
              <w:top w:val="nil"/>
              <w:left w:val="single" w:sz="12" w:space="0" w:color="000080"/>
              <w:bottom w:val="nil"/>
              <w:right w:val="nil"/>
            </w:tcBorders>
            <w:shd w:val="clear" w:color="auto" w:fill="auto"/>
          </w:tcPr>
          <w:p w14:paraId="7E10E050"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RA</w:t>
            </w:r>
          </w:p>
        </w:tc>
        <w:tc>
          <w:tcPr>
            <w:tcW w:w="8220" w:type="dxa"/>
            <w:tcBorders>
              <w:top w:val="nil"/>
              <w:left w:val="nil"/>
              <w:bottom w:val="nil"/>
              <w:right w:val="single" w:sz="12" w:space="0" w:color="000080"/>
            </w:tcBorders>
            <w:shd w:val="clear" w:color="auto" w:fill="auto"/>
          </w:tcPr>
          <w:p w14:paraId="687A6787" w14:textId="77777777" w:rsidR="00FD4E6F" w:rsidRPr="00943576"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s-ES_tradnl"/>
              </w:rPr>
            </w:pPr>
            <w:r w:rsidRPr="00943576">
              <w:rPr>
                <w:sz w:val="20"/>
                <w:lang w:val="es-ES_tradnl"/>
              </w:rPr>
              <w:t>Radio astronomía</w:t>
            </w:r>
          </w:p>
        </w:tc>
      </w:tr>
      <w:tr w:rsidR="00FD4E6F" w:rsidRPr="00943576" w14:paraId="5E5410C4" w14:textId="77777777" w:rsidTr="002129BB">
        <w:tc>
          <w:tcPr>
            <w:tcW w:w="1140" w:type="dxa"/>
            <w:tcBorders>
              <w:top w:val="nil"/>
              <w:left w:val="single" w:sz="12" w:space="0" w:color="000080"/>
              <w:bottom w:val="nil"/>
              <w:right w:val="nil"/>
            </w:tcBorders>
            <w:shd w:val="clear" w:color="auto" w:fill="auto"/>
          </w:tcPr>
          <w:p w14:paraId="222DA64A"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RS</w:t>
            </w:r>
          </w:p>
        </w:tc>
        <w:tc>
          <w:tcPr>
            <w:tcW w:w="8220" w:type="dxa"/>
            <w:tcBorders>
              <w:top w:val="nil"/>
              <w:left w:val="nil"/>
              <w:bottom w:val="nil"/>
              <w:right w:val="single" w:sz="12" w:space="0" w:color="000080"/>
            </w:tcBorders>
            <w:shd w:val="clear" w:color="auto" w:fill="auto"/>
          </w:tcPr>
          <w:p w14:paraId="4C5119B5" w14:textId="77777777" w:rsidR="00FD4E6F" w:rsidRPr="00943576"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s-ES_tradnl"/>
              </w:rPr>
            </w:pPr>
            <w:r w:rsidRPr="00943576">
              <w:rPr>
                <w:sz w:val="20"/>
                <w:lang w:val="es-ES_tradnl"/>
              </w:rPr>
              <w:t>Sistemas de detección a distancia</w:t>
            </w:r>
          </w:p>
        </w:tc>
      </w:tr>
      <w:tr w:rsidR="00FD4E6F" w:rsidRPr="00943576" w14:paraId="60255A73" w14:textId="77777777" w:rsidTr="002129BB">
        <w:tc>
          <w:tcPr>
            <w:tcW w:w="1140" w:type="dxa"/>
            <w:tcBorders>
              <w:top w:val="nil"/>
              <w:left w:val="single" w:sz="12" w:space="0" w:color="000080"/>
              <w:bottom w:val="nil"/>
              <w:right w:val="nil"/>
            </w:tcBorders>
            <w:shd w:val="clear" w:color="auto" w:fill="auto"/>
          </w:tcPr>
          <w:p w14:paraId="5A140B24"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S</w:t>
            </w:r>
          </w:p>
        </w:tc>
        <w:tc>
          <w:tcPr>
            <w:tcW w:w="8220" w:type="dxa"/>
            <w:tcBorders>
              <w:top w:val="nil"/>
              <w:left w:val="nil"/>
              <w:bottom w:val="nil"/>
              <w:right w:val="single" w:sz="12" w:space="0" w:color="000080"/>
            </w:tcBorders>
            <w:shd w:val="clear" w:color="auto" w:fill="auto"/>
          </w:tcPr>
          <w:p w14:paraId="4DFC390C" w14:textId="77777777" w:rsidR="00FD4E6F" w:rsidRPr="00943576" w:rsidRDefault="00FD4E6F" w:rsidP="002129BB">
            <w:pPr>
              <w:spacing w:before="30" w:after="30"/>
              <w:jc w:val="left"/>
              <w:rPr>
                <w:sz w:val="20"/>
                <w:lang w:val="es-ES_tradnl"/>
              </w:rPr>
            </w:pPr>
            <w:r w:rsidRPr="00943576">
              <w:rPr>
                <w:sz w:val="20"/>
                <w:lang w:val="es-ES_tradnl"/>
              </w:rPr>
              <w:t>Servicio fijo por satélite</w:t>
            </w:r>
          </w:p>
        </w:tc>
      </w:tr>
      <w:tr w:rsidR="00FD4E6F" w:rsidRPr="00943576" w14:paraId="5435B991" w14:textId="77777777" w:rsidTr="002129BB">
        <w:tc>
          <w:tcPr>
            <w:tcW w:w="1140" w:type="dxa"/>
            <w:tcBorders>
              <w:top w:val="nil"/>
              <w:left w:val="single" w:sz="12" w:space="0" w:color="000080"/>
              <w:bottom w:val="nil"/>
              <w:right w:val="nil"/>
            </w:tcBorders>
            <w:shd w:val="clear" w:color="auto" w:fill="auto"/>
          </w:tcPr>
          <w:p w14:paraId="140BC67F"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SA</w:t>
            </w:r>
          </w:p>
        </w:tc>
        <w:tc>
          <w:tcPr>
            <w:tcW w:w="8220" w:type="dxa"/>
            <w:tcBorders>
              <w:top w:val="nil"/>
              <w:left w:val="nil"/>
              <w:bottom w:val="nil"/>
              <w:right w:val="single" w:sz="12" w:space="0" w:color="000080"/>
            </w:tcBorders>
            <w:shd w:val="clear" w:color="auto" w:fill="auto"/>
          </w:tcPr>
          <w:p w14:paraId="22CAAC03" w14:textId="77777777" w:rsidR="00FD4E6F" w:rsidRPr="00943576" w:rsidRDefault="00FD4E6F" w:rsidP="002129BB">
            <w:pPr>
              <w:spacing w:before="30" w:after="30"/>
              <w:jc w:val="left"/>
              <w:rPr>
                <w:sz w:val="20"/>
                <w:lang w:val="es-ES_tradnl"/>
              </w:rPr>
            </w:pPr>
            <w:r w:rsidRPr="00943576">
              <w:rPr>
                <w:sz w:val="20"/>
                <w:lang w:val="es-ES_tradnl"/>
              </w:rPr>
              <w:t>Aplicaciones espaciales y meteorología</w:t>
            </w:r>
          </w:p>
        </w:tc>
      </w:tr>
      <w:tr w:rsidR="00FD4E6F" w:rsidRPr="00943576" w14:paraId="2041DEAF" w14:textId="77777777" w:rsidTr="002129BB">
        <w:tc>
          <w:tcPr>
            <w:tcW w:w="1140" w:type="dxa"/>
            <w:tcBorders>
              <w:top w:val="nil"/>
              <w:left w:val="single" w:sz="12" w:space="0" w:color="000080"/>
              <w:bottom w:val="nil"/>
              <w:right w:val="nil"/>
            </w:tcBorders>
            <w:shd w:val="clear" w:color="auto" w:fill="auto"/>
          </w:tcPr>
          <w:p w14:paraId="2C1CDEA5" w14:textId="77777777" w:rsidR="00FD4E6F" w:rsidRPr="00943576" w:rsidRDefault="00FD4E6F" w:rsidP="002129BB">
            <w:pPr>
              <w:spacing w:before="30" w:after="30"/>
              <w:ind w:left="57"/>
              <w:jc w:val="left"/>
              <w:rPr>
                <w:rFonts w:ascii="Times New Roman Bold" w:hAnsi="Times New Roman Bold" w:cs="Times New Roman Bold"/>
                <w:b/>
                <w:bCs/>
                <w:sz w:val="20"/>
                <w:lang w:val="es-ES_tradnl"/>
              </w:rPr>
            </w:pPr>
            <w:r w:rsidRPr="00943576">
              <w:rPr>
                <w:rFonts w:ascii="Times New Roman Bold" w:hAnsi="Times New Roman Bold"/>
                <w:b/>
                <w:sz w:val="20"/>
                <w:lang w:val="es-ES_tradnl"/>
              </w:rPr>
              <w:t>SF</w:t>
            </w:r>
          </w:p>
        </w:tc>
        <w:tc>
          <w:tcPr>
            <w:tcW w:w="8220" w:type="dxa"/>
            <w:tcBorders>
              <w:top w:val="nil"/>
              <w:left w:val="nil"/>
              <w:bottom w:val="nil"/>
              <w:right w:val="single" w:sz="12" w:space="0" w:color="000080"/>
            </w:tcBorders>
            <w:shd w:val="clear" w:color="auto" w:fill="auto"/>
          </w:tcPr>
          <w:p w14:paraId="6A963A27" w14:textId="77777777" w:rsidR="00FD4E6F" w:rsidRPr="00943576" w:rsidRDefault="00FD4E6F" w:rsidP="002129BB">
            <w:pPr>
              <w:spacing w:before="30" w:after="30"/>
              <w:jc w:val="left"/>
              <w:rPr>
                <w:sz w:val="20"/>
                <w:lang w:val="es-ES_tradnl"/>
              </w:rPr>
            </w:pPr>
            <w:r w:rsidRPr="00943576">
              <w:rPr>
                <w:sz w:val="20"/>
                <w:lang w:val="es-ES_tradnl"/>
              </w:rPr>
              <w:t>Compartición de frecuencias y coordinación entre los sistemas del servicio fijo por satélite y del servicio fijo</w:t>
            </w:r>
          </w:p>
        </w:tc>
      </w:tr>
      <w:tr w:rsidR="00FD4E6F" w:rsidRPr="00943576" w14:paraId="145D27D4" w14:textId="77777777" w:rsidTr="002129BB">
        <w:tc>
          <w:tcPr>
            <w:tcW w:w="1140" w:type="dxa"/>
            <w:tcBorders>
              <w:top w:val="nil"/>
              <w:left w:val="single" w:sz="12" w:space="0" w:color="000080"/>
              <w:bottom w:val="single" w:sz="12" w:space="0" w:color="000080"/>
              <w:right w:val="nil"/>
            </w:tcBorders>
            <w:shd w:val="clear" w:color="auto" w:fill="F3F3F3"/>
          </w:tcPr>
          <w:p w14:paraId="1A08A45C" w14:textId="77777777" w:rsidR="00FD4E6F" w:rsidRPr="00943576" w:rsidRDefault="00FD4E6F" w:rsidP="002129BB">
            <w:pPr>
              <w:spacing w:before="30" w:after="30"/>
              <w:ind w:left="57"/>
              <w:jc w:val="left"/>
              <w:rPr>
                <w:b/>
                <w:bCs/>
                <w:color w:val="000080"/>
                <w:sz w:val="20"/>
                <w:lang w:val="es-ES_tradnl"/>
              </w:rPr>
            </w:pPr>
            <w:r w:rsidRPr="00943576">
              <w:rPr>
                <w:b/>
                <w:color w:val="000080"/>
                <w:sz w:val="20"/>
                <w:lang w:val="es-ES_tradnl"/>
              </w:rPr>
              <w:t>SM</w:t>
            </w:r>
          </w:p>
        </w:tc>
        <w:tc>
          <w:tcPr>
            <w:tcW w:w="8220" w:type="dxa"/>
            <w:tcBorders>
              <w:top w:val="nil"/>
              <w:left w:val="nil"/>
              <w:bottom w:val="single" w:sz="12" w:space="0" w:color="000080"/>
              <w:right w:val="single" w:sz="12" w:space="0" w:color="000080"/>
            </w:tcBorders>
            <w:shd w:val="clear" w:color="auto" w:fill="F3F3F3"/>
          </w:tcPr>
          <w:p w14:paraId="58962D85" w14:textId="77777777" w:rsidR="00FD4E6F" w:rsidRPr="00943576" w:rsidRDefault="00FD4E6F" w:rsidP="002129BB">
            <w:pPr>
              <w:spacing w:before="30" w:after="180"/>
              <w:jc w:val="left"/>
              <w:rPr>
                <w:b/>
                <w:bCs/>
                <w:color w:val="000080"/>
                <w:sz w:val="20"/>
                <w:lang w:val="es-ES_tradnl"/>
              </w:rPr>
            </w:pPr>
            <w:r w:rsidRPr="00943576">
              <w:rPr>
                <w:b/>
                <w:color w:val="000080"/>
                <w:sz w:val="20"/>
                <w:lang w:val="es-ES_tradnl"/>
              </w:rPr>
              <w:t>Gestión del espectro</w:t>
            </w:r>
          </w:p>
        </w:tc>
      </w:tr>
    </w:tbl>
    <w:p w14:paraId="54CDA1B1" w14:textId="77777777" w:rsidR="00FD4E6F" w:rsidRPr="00943576" w:rsidRDefault="00FD4E6F" w:rsidP="00FD4E6F">
      <w:pPr>
        <w:spacing w:before="30" w:after="3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FD4E6F" w:rsidRPr="00943576" w14:paraId="5766036D" w14:textId="77777777" w:rsidTr="002129BB">
        <w:tc>
          <w:tcPr>
            <w:tcW w:w="720" w:type="dxa"/>
          </w:tcPr>
          <w:p w14:paraId="6FC0ED8C" w14:textId="77777777" w:rsidR="00FD4E6F" w:rsidRPr="00943576" w:rsidRDefault="00FD4E6F" w:rsidP="002129BB">
            <w:pPr>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FD4E6F" w:rsidRPr="00943576" w14:paraId="2620FCCB" w14:textId="77777777" w:rsidTr="002129BB">
        <w:tc>
          <w:tcPr>
            <w:tcW w:w="9360" w:type="dxa"/>
            <w:tcBorders>
              <w:top w:val="single" w:sz="12" w:space="0" w:color="000080"/>
              <w:left w:val="single" w:sz="12" w:space="0" w:color="000080"/>
              <w:bottom w:val="single" w:sz="12" w:space="0" w:color="000080"/>
              <w:right w:val="single" w:sz="12" w:space="0" w:color="000080"/>
            </w:tcBorders>
          </w:tcPr>
          <w:p w14:paraId="78AD2994" w14:textId="77777777" w:rsidR="00FD4E6F" w:rsidRPr="00943576" w:rsidRDefault="00FD4E6F" w:rsidP="002129BB">
            <w:pPr>
              <w:spacing w:after="120"/>
              <w:jc w:val="left"/>
              <w:rPr>
                <w:b/>
                <w:bCs/>
                <w:sz w:val="20"/>
                <w:lang w:val="es-ES_tradnl"/>
              </w:rPr>
            </w:pPr>
            <w:r w:rsidRPr="00943576">
              <w:rPr>
                <w:b/>
                <w:i/>
                <w:sz w:val="20"/>
                <w:lang w:val="es-ES_tradnl"/>
              </w:rPr>
              <w:t>Nota</w:t>
            </w:r>
            <w:r w:rsidRPr="00943576">
              <w:rPr>
                <w:i/>
                <w:sz w:val="20"/>
                <w:lang w:val="es-ES_tradnl"/>
              </w:rPr>
              <w:t>: Este Informe UIT-R fue aprobado en inglés por la Comisión de Estudio conforme al procedimiento detallado en la Resolución UIT-R 1.</w:t>
            </w:r>
          </w:p>
        </w:tc>
      </w:tr>
    </w:tbl>
    <w:p w14:paraId="5A8EAC1F" w14:textId="77777777" w:rsidR="00FD4E6F" w:rsidRPr="00943576" w:rsidRDefault="00FD4E6F" w:rsidP="00FD4E6F">
      <w:pPr>
        <w:spacing w:before="0"/>
        <w:jc w:val="center"/>
        <w:rPr>
          <w:sz w:val="22"/>
          <w:lang w:val="es-ES_tradnl"/>
        </w:rPr>
      </w:pPr>
    </w:p>
    <w:p w14:paraId="4C160851" w14:textId="77777777" w:rsidR="00FD4E6F" w:rsidRPr="00943576" w:rsidRDefault="00FD4E6F" w:rsidP="00FD4E6F">
      <w:pPr>
        <w:spacing w:before="0"/>
        <w:jc w:val="right"/>
        <w:rPr>
          <w:i/>
          <w:iCs/>
          <w:sz w:val="20"/>
          <w:lang w:val="es-ES_tradnl"/>
        </w:rPr>
      </w:pPr>
      <w:r w:rsidRPr="00943576">
        <w:rPr>
          <w:i/>
          <w:sz w:val="20"/>
          <w:lang w:val="es-ES_tradnl"/>
        </w:rPr>
        <w:t>Publicación electrónica</w:t>
      </w:r>
    </w:p>
    <w:p w14:paraId="0449DE27" w14:textId="5D071797" w:rsidR="00FD4E6F" w:rsidRPr="00943576" w:rsidRDefault="00FD4E6F" w:rsidP="00FD4E6F">
      <w:pPr>
        <w:spacing w:before="0"/>
        <w:jc w:val="right"/>
        <w:rPr>
          <w:sz w:val="20"/>
          <w:lang w:val="es-ES_tradnl"/>
        </w:rPr>
      </w:pPr>
      <w:r w:rsidRPr="00943576">
        <w:rPr>
          <w:sz w:val="20"/>
          <w:lang w:val="es-ES_tradnl"/>
        </w:rPr>
        <w:t>Ginebra, 2021</w:t>
      </w:r>
    </w:p>
    <w:p w14:paraId="20DC1FAA" w14:textId="6172A4FC" w:rsidR="00FD4E6F" w:rsidRPr="00943576" w:rsidRDefault="00FD4E6F" w:rsidP="00FD4E6F">
      <w:pPr>
        <w:jc w:val="center"/>
        <w:rPr>
          <w:sz w:val="20"/>
          <w:lang w:val="es-ES_tradnl"/>
        </w:rPr>
      </w:pPr>
      <w:r w:rsidRPr="00943576">
        <w:rPr>
          <w:sz w:val="20"/>
          <w:lang w:val="es-ES_tradnl"/>
        </w:rPr>
        <w:sym w:font="Symbol" w:char="00E3"/>
      </w:r>
      <w:r w:rsidRPr="00943576">
        <w:rPr>
          <w:sz w:val="20"/>
          <w:lang w:val="es-ES_tradnl"/>
        </w:rPr>
        <w:t xml:space="preserve"> UIT</w:t>
      </w:r>
      <w:bookmarkStart w:id="4" w:name="iiannee"/>
      <w:bookmarkEnd w:id="4"/>
      <w:r w:rsidR="00825AD8" w:rsidRPr="00943576">
        <w:rPr>
          <w:sz w:val="20"/>
          <w:lang w:val="es-ES_tradnl"/>
        </w:rPr>
        <w:t xml:space="preserve"> </w:t>
      </w:r>
      <w:r w:rsidRPr="00943576">
        <w:rPr>
          <w:sz w:val="20"/>
          <w:lang w:val="es-ES_tradnl"/>
        </w:rPr>
        <w:t>2021</w:t>
      </w:r>
    </w:p>
    <w:p w14:paraId="37B777A7" w14:textId="77777777" w:rsidR="00FD4E6F" w:rsidRPr="00943576" w:rsidRDefault="00FD4E6F" w:rsidP="00FD4E6F">
      <w:pPr>
        <w:rPr>
          <w:sz w:val="18"/>
          <w:szCs w:val="18"/>
          <w:lang w:val="es-ES_tradnl"/>
        </w:rPr>
      </w:pPr>
      <w:r w:rsidRPr="00943576">
        <w:rPr>
          <w:sz w:val="18"/>
          <w:lang w:val="es-ES_tradnl"/>
        </w:rPr>
        <w:lastRenderedPageBreak/>
        <w:t>Reservados todos los derechos. Ninguna parte de esta publicación puede reproducirse por ningún procedimiento sin previa autorización escrita por parte de la UIT.</w:t>
      </w:r>
    </w:p>
    <w:p w14:paraId="147612AB" w14:textId="77777777" w:rsidR="00FD4E6F" w:rsidRPr="00943576" w:rsidRDefault="00FD4E6F" w:rsidP="00FD4E6F">
      <w:pPr>
        <w:tabs>
          <w:tab w:val="clear" w:pos="794"/>
          <w:tab w:val="clear" w:pos="1191"/>
          <w:tab w:val="clear" w:pos="1588"/>
          <w:tab w:val="clear" w:pos="1985"/>
        </w:tabs>
        <w:overflowPunct/>
        <w:autoSpaceDE/>
        <w:autoSpaceDN/>
        <w:adjustRightInd/>
        <w:spacing w:before="0"/>
        <w:jc w:val="left"/>
        <w:rPr>
          <w:i/>
          <w:sz w:val="20"/>
          <w:lang w:val="es-ES_tradnl"/>
        </w:rPr>
        <w:sectPr w:rsidR="00FD4E6F" w:rsidRPr="00943576">
          <w:pgSz w:w="11907" w:h="16834"/>
          <w:pgMar w:top="1418" w:right="1134" w:bottom="1134" w:left="1134" w:header="720" w:footer="482" w:gutter="0"/>
          <w:paperSrc w:first="15" w:other="15"/>
          <w:pgNumType w:fmt="lowerRoman" w:start="2"/>
          <w:cols w:space="720"/>
        </w:sectPr>
      </w:pPr>
    </w:p>
    <w:p w14:paraId="10B6EB29" w14:textId="3F2B4BB4" w:rsidR="00FD4E6F" w:rsidRPr="00943576" w:rsidRDefault="00FD4E6F" w:rsidP="00FD4E6F">
      <w:pPr>
        <w:pStyle w:val="RepNo"/>
        <w:spacing w:before="0"/>
        <w:rPr>
          <w:lang w:val="es-ES_tradnl"/>
        </w:rPr>
      </w:pPr>
      <w:bookmarkStart w:id="5" w:name="irecnoe"/>
      <w:bookmarkEnd w:id="5"/>
      <w:r w:rsidRPr="00943576">
        <w:rPr>
          <w:lang w:val="es-ES_tradnl"/>
        </w:rPr>
        <w:lastRenderedPageBreak/>
        <w:t xml:space="preserve">INFORME </w:t>
      </w:r>
      <w:r w:rsidRPr="00943576">
        <w:rPr>
          <w:rStyle w:val="href"/>
          <w:lang w:val="es-ES_tradnl"/>
        </w:rPr>
        <w:t>UIT-R</w:t>
      </w:r>
      <w:r w:rsidR="00C66E65" w:rsidRPr="00943576">
        <w:rPr>
          <w:rStyle w:val="href"/>
          <w:lang w:val="es-ES_tradnl"/>
        </w:rPr>
        <w:t xml:space="preserve"> </w:t>
      </w:r>
      <w:r w:rsidRPr="00943576">
        <w:rPr>
          <w:rStyle w:val="href"/>
          <w:lang w:val="es-ES_tradnl"/>
        </w:rPr>
        <w:t>SM.2486-0</w:t>
      </w:r>
    </w:p>
    <w:p w14:paraId="4E8D586B" w14:textId="69D662E0" w:rsidR="00A6617B" w:rsidRDefault="00C53C6F" w:rsidP="002129BB">
      <w:pPr>
        <w:pStyle w:val="Reptitle"/>
        <w:rPr>
          <w:lang w:val="es-ES_tradnl"/>
        </w:rPr>
      </w:pPr>
      <w:r w:rsidRPr="00943576">
        <w:rPr>
          <w:lang w:val="es-ES_tradnl"/>
        </w:rPr>
        <w:t>Utilización de drones comerciales para las tareas</w:t>
      </w:r>
      <w:r w:rsidR="00D57EE4" w:rsidRPr="00943576">
        <w:rPr>
          <w:lang w:val="es-ES_tradnl"/>
        </w:rPr>
        <w:br/>
      </w:r>
      <w:r w:rsidRPr="00943576">
        <w:rPr>
          <w:lang w:val="es-ES_tradnl"/>
        </w:rPr>
        <w:t>de comprobación</w:t>
      </w:r>
      <w:r w:rsidR="00D57EE4" w:rsidRPr="00943576">
        <w:rPr>
          <w:lang w:val="es-ES_tradnl"/>
        </w:rPr>
        <w:t xml:space="preserve"> </w:t>
      </w:r>
      <w:r w:rsidRPr="00943576">
        <w:rPr>
          <w:lang w:val="es-ES_tradnl"/>
        </w:rPr>
        <w:t>técnica del espectro</w:t>
      </w:r>
      <w:r w:rsidR="00D57EE4" w:rsidRPr="00943576">
        <w:rPr>
          <w:lang w:val="es-ES_tradnl"/>
        </w:rPr>
        <w:br/>
      </w:r>
      <w:r w:rsidRPr="00943576">
        <w:rPr>
          <w:lang w:val="es-ES_tradnl"/>
        </w:rPr>
        <w:t>del UIT-R</w:t>
      </w:r>
    </w:p>
    <w:p w14:paraId="30E61C0B" w14:textId="1A16CDFB" w:rsidR="00943576" w:rsidRPr="00943576" w:rsidRDefault="00943576" w:rsidP="00943576">
      <w:pPr>
        <w:pStyle w:val="Repdate"/>
        <w:rPr>
          <w:lang w:val="es-ES_tradnl"/>
        </w:rPr>
      </w:pPr>
      <w:r w:rsidRPr="00943576">
        <w:rPr>
          <w:lang w:val="es-ES_tradnl"/>
        </w:rPr>
        <w:t>(2021)</w:t>
      </w:r>
    </w:p>
    <w:p w14:paraId="4ACE4785" w14:textId="39ECC72C" w:rsidR="00332ECE" w:rsidRPr="00943576" w:rsidRDefault="00332ECE" w:rsidP="00FE0D99">
      <w:pPr>
        <w:ind w:right="708"/>
        <w:jc w:val="center"/>
        <w:rPr>
          <w:rFonts w:eastAsiaTheme="minorEastAsia"/>
          <w:lang w:val="es-ES_tradnl"/>
        </w:rPr>
      </w:pPr>
      <w:r w:rsidRPr="00943576">
        <w:rPr>
          <w:lang w:val="es-ES_tradnl"/>
        </w:rPr>
        <w:t>ÍNDICE</w:t>
      </w:r>
    </w:p>
    <w:p w14:paraId="4BA1AED0" w14:textId="54EF8411" w:rsidR="00332ECE" w:rsidRPr="00943576" w:rsidRDefault="005D2656" w:rsidP="005D2656">
      <w:pPr>
        <w:pStyle w:val="toc0"/>
        <w:tabs>
          <w:tab w:val="clear" w:pos="9611"/>
          <w:tab w:val="right" w:pos="9639"/>
        </w:tabs>
        <w:ind w:right="708"/>
        <w:jc w:val="right"/>
        <w:rPr>
          <w:rFonts w:eastAsiaTheme="minorEastAsia"/>
          <w:lang w:val="es-ES_tradnl"/>
        </w:rPr>
      </w:pPr>
      <w:r w:rsidRPr="00943576">
        <w:rPr>
          <w:lang w:val="es-ES_tradnl"/>
        </w:rPr>
        <w:tab/>
      </w:r>
      <w:r w:rsidR="00332ECE" w:rsidRPr="00943576">
        <w:rPr>
          <w:lang w:val="es-ES_tradnl"/>
        </w:rPr>
        <w:t>Página</w:t>
      </w:r>
    </w:p>
    <w:p w14:paraId="40B09EE6" w14:textId="722D9F9F" w:rsidR="00825AD8" w:rsidRPr="00943576" w:rsidRDefault="00332ECE">
      <w:pPr>
        <w:pStyle w:val="TOC1"/>
        <w:rPr>
          <w:rFonts w:asciiTheme="minorHAnsi" w:eastAsiaTheme="minorEastAsia" w:hAnsiTheme="minorHAnsi" w:cstheme="minorBidi"/>
          <w:noProof/>
          <w:sz w:val="22"/>
          <w:szCs w:val="22"/>
          <w:lang w:val="es-ES_tradnl" w:eastAsia="es-ES"/>
        </w:rPr>
      </w:pPr>
      <w:r w:rsidRPr="00943576">
        <w:rPr>
          <w:rFonts w:eastAsiaTheme="minorEastAsia"/>
          <w:lang w:val="es-ES_tradnl"/>
        </w:rPr>
        <w:fldChar w:fldCharType="begin"/>
      </w:r>
      <w:r w:rsidRPr="00943576">
        <w:rPr>
          <w:rFonts w:eastAsiaTheme="minorEastAsia"/>
          <w:lang w:val="es-ES_tradnl"/>
        </w:rPr>
        <w:instrText xml:space="preserve"> TOC \o "1-2" \h \z \u </w:instrText>
      </w:r>
      <w:r w:rsidRPr="00943576">
        <w:rPr>
          <w:rFonts w:eastAsiaTheme="minorEastAsia"/>
          <w:lang w:val="es-ES_tradnl"/>
        </w:rPr>
        <w:fldChar w:fldCharType="separate"/>
      </w:r>
      <w:hyperlink w:anchor="_Toc77502917" w:history="1">
        <w:r w:rsidR="00825AD8" w:rsidRPr="00943576">
          <w:rPr>
            <w:rStyle w:val="Hyperlink"/>
            <w:noProof/>
            <w:lang w:val="es-ES_tradnl"/>
          </w:rPr>
          <w:t>1</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Introducción</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_Toc77502917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2</w:t>
        </w:r>
        <w:r w:rsidR="00825AD8" w:rsidRPr="00943576">
          <w:rPr>
            <w:noProof/>
            <w:webHidden/>
            <w:lang w:val="es-ES_tradnl"/>
          </w:rPr>
          <w:fldChar w:fldCharType="end"/>
        </w:r>
      </w:hyperlink>
    </w:p>
    <w:p w14:paraId="52CCBCA3" w14:textId="469F1D2D" w:rsidR="00825AD8" w:rsidRPr="00943576" w:rsidRDefault="0030521D">
      <w:pPr>
        <w:pStyle w:val="TOC1"/>
        <w:rPr>
          <w:rFonts w:asciiTheme="minorHAnsi" w:eastAsiaTheme="minorEastAsia" w:hAnsiTheme="minorHAnsi" w:cstheme="minorBidi"/>
          <w:noProof/>
          <w:sz w:val="22"/>
          <w:szCs w:val="22"/>
          <w:lang w:val="es-ES_tradnl" w:eastAsia="es-ES"/>
        </w:rPr>
      </w:pPr>
      <w:hyperlink w:anchor="_Toc77502918" w:history="1">
        <w:r w:rsidR="00825AD8" w:rsidRPr="00943576">
          <w:rPr>
            <w:rStyle w:val="Hyperlink"/>
            <w:noProof/>
            <w:lang w:val="es-ES_tradnl"/>
          </w:rPr>
          <w:t>2</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Componentes funcionales de los sistemas de comprobación técnica basados</w:t>
        </w:r>
        <w:r w:rsidR="00FE3B05" w:rsidRPr="00943576">
          <w:rPr>
            <w:rStyle w:val="Hyperlink"/>
            <w:noProof/>
            <w:lang w:val="es-ES_tradnl"/>
          </w:rPr>
          <w:br/>
        </w:r>
        <w:r w:rsidR="00825AD8" w:rsidRPr="00943576">
          <w:rPr>
            <w:rStyle w:val="Hyperlink"/>
            <w:noProof/>
            <w:lang w:val="es-ES_tradnl"/>
          </w:rPr>
          <w:t>en drones comerciales</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_Toc77502918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2</w:t>
        </w:r>
        <w:r w:rsidR="00825AD8" w:rsidRPr="00943576">
          <w:rPr>
            <w:noProof/>
            <w:webHidden/>
            <w:lang w:val="es-ES_tradnl"/>
          </w:rPr>
          <w:fldChar w:fldCharType="end"/>
        </w:r>
      </w:hyperlink>
    </w:p>
    <w:p w14:paraId="136DA650" w14:textId="398809A7"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19" w:history="1">
        <w:r w:rsidR="00825AD8" w:rsidRPr="00943576">
          <w:rPr>
            <w:rStyle w:val="Hyperlink"/>
            <w:noProof/>
            <w:lang w:val="es-ES_tradnl"/>
          </w:rPr>
          <w:t>2.1</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El sistema de vuelo de los drones</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_Toc77502919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3</w:t>
        </w:r>
        <w:r w:rsidR="00825AD8" w:rsidRPr="00943576">
          <w:rPr>
            <w:noProof/>
            <w:webHidden/>
            <w:lang w:val="es-ES_tradnl"/>
          </w:rPr>
          <w:fldChar w:fldCharType="end"/>
        </w:r>
      </w:hyperlink>
    </w:p>
    <w:p w14:paraId="70921085" w14:textId="3926446C"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0" w:history="1">
        <w:r w:rsidR="00825AD8" w:rsidRPr="00943576">
          <w:rPr>
            <w:rStyle w:val="Hyperlink"/>
            <w:noProof/>
            <w:lang w:val="es-ES_tradnl"/>
          </w:rPr>
          <w:t>2.2</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Sistemas de comprobación técnica y medición radioeléctrica</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_Toc77502920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4</w:t>
        </w:r>
        <w:r w:rsidR="00825AD8" w:rsidRPr="00943576">
          <w:rPr>
            <w:noProof/>
            <w:webHidden/>
            <w:lang w:val="es-ES_tradnl"/>
          </w:rPr>
          <w:fldChar w:fldCharType="end"/>
        </w:r>
      </w:hyperlink>
    </w:p>
    <w:p w14:paraId="2E90A6C5" w14:textId="504BD5C6"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1" w:history="1">
        <w:r w:rsidR="00825AD8" w:rsidRPr="00943576">
          <w:rPr>
            <w:rStyle w:val="Hyperlink"/>
            <w:noProof/>
            <w:lang w:val="es-ES_tradnl"/>
          </w:rPr>
          <w:t>2.3</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Control de la misión radioeléctrica</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_Toc77502921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4</w:t>
        </w:r>
        <w:r w:rsidR="00825AD8" w:rsidRPr="00943576">
          <w:rPr>
            <w:noProof/>
            <w:webHidden/>
            <w:lang w:val="es-ES_tradnl"/>
          </w:rPr>
          <w:fldChar w:fldCharType="end"/>
        </w:r>
      </w:hyperlink>
    </w:p>
    <w:p w14:paraId="7E5A8F22" w14:textId="22A4DF6D"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2" w:history="1">
        <w:r w:rsidR="00825AD8" w:rsidRPr="00943576">
          <w:rPr>
            <w:rStyle w:val="Hyperlink"/>
            <w:noProof/>
            <w:lang w:val="es-ES_tradnl"/>
          </w:rPr>
          <w:t>2.4</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Control remoto de la misión radioeléctrica</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_Toc77502922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4</w:t>
        </w:r>
        <w:r w:rsidR="00825AD8" w:rsidRPr="00943576">
          <w:rPr>
            <w:noProof/>
            <w:webHidden/>
            <w:lang w:val="es-ES_tradnl"/>
          </w:rPr>
          <w:fldChar w:fldCharType="end"/>
        </w:r>
      </w:hyperlink>
    </w:p>
    <w:p w14:paraId="7331F4B3" w14:textId="09222E23" w:rsidR="00825AD8" w:rsidRPr="00943576" w:rsidRDefault="0030521D">
      <w:pPr>
        <w:pStyle w:val="TOC1"/>
        <w:rPr>
          <w:rFonts w:asciiTheme="minorHAnsi" w:eastAsiaTheme="minorEastAsia" w:hAnsiTheme="minorHAnsi" w:cstheme="minorBidi"/>
          <w:noProof/>
          <w:sz w:val="22"/>
          <w:szCs w:val="22"/>
          <w:lang w:val="es-ES_tradnl" w:eastAsia="es-ES"/>
        </w:rPr>
      </w:pPr>
      <w:hyperlink w:anchor="_Toc77502923" w:history="1">
        <w:r w:rsidR="00825AD8" w:rsidRPr="00943576">
          <w:rPr>
            <w:rStyle w:val="Hyperlink"/>
            <w:noProof/>
            <w:lang w:val="es-ES_tradnl"/>
          </w:rPr>
          <w:t>3</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Otras consideraciones</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_Toc77502923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5</w:t>
        </w:r>
        <w:r w:rsidR="00825AD8" w:rsidRPr="00943576">
          <w:rPr>
            <w:noProof/>
            <w:webHidden/>
            <w:lang w:val="es-ES_tradnl"/>
          </w:rPr>
          <w:fldChar w:fldCharType="end"/>
        </w:r>
      </w:hyperlink>
    </w:p>
    <w:p w14:paraId="5E855FDA" w14:textId="20BBEFF0"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4" w:history="1">
        <w:r w:rsidR="00825AD8" w:rsidRPr="00943576">
          <w:rPr>
            <w:rStyle w:val="Hyperlink"/>
            <w:noProof/>
            <w:lang w:val="es-ES_tradnl"/>
          </w:rPr>
          <w:t>3.1</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Requisitos previos para el funcionamiento</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_Toc77502924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5</w:t>
        </w:r>
        <w:r w:rsidR="00825AD8" w:rsidRPr="00943576">
          <w:rPr>
            <w:noProof/>
            <w:webHidden/>
            <w:lang w:val="es-ES_tradnl"/>
          </w:rPr>
          <w:fldChar w:fldCharType="end"/>
        </w:r>
      </w:hyperlink>
    </w:p>
    <w:p w14:paraId="3DBB0C88" w14:textId="3E81F249"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5" w:history="1">
        <w:r w:rsidR="00825AD8" w:rsidRPr="00943576">
          <w:rPr>
            <w:rStyle w:val="Hyperlink"/>
            <w:noProof/>
            <w:lang w:val="es-ES_tradnl"/>
          </w:rPr>
          <w:t>3.2</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Factores que inciden en la incertidumbre de la medición</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_Toc77502925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6</w:t>
        </w:r>
        <w:r w:rsidR="00825AD8" w:rsidRPr="00943576">
          <w:rPr>
            <w:noProof/>
            <w:webHidden/>
            <w:lang w:val="es-ES_tradnl"/>
          </w:rPr>
          <w:fldChar w:fldCharType="end"/>
        </w:r>
      </w:hyperlink>
    </w:p>
    <w:p w14:paraId="4BDC8B2E" w14:textId="5F3FBCAB"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6" w:history="1">
        <w:r w:rsidR="00825AD8" w:rsidRPr="00943576">
          <w:rPr>
            <w:rStyle w:val="Hyperlink"/>
            <w:noProof/>
            <w:lang w:val="es-ES_tradnl"/>
          </w:rPr>
          <w:t>3.3</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Limitaciones actuales de los drones comerciales</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_Toc77502926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7</w:t>
        </w:r>
        <w:r w:rsidR="00825AD8" w:rsidRPr="00943576">
          <w:rPr>
            <w:noProof/>
            <w:webHidden/>
            <w:lang w:val="es-ES_tradnl"/>
          </w:rPr>
          <w:fldChar w:fldCharType="end"/>
        </w:r>
      </w:hyperlink>
    </w:p>
    <w:p w14:paraId="66D45261" w14:textId="5C6F89CD" w:rsidR="00825AD8" w:rsidRPr="00943576" w:rsidRDefault="0030521D">
      <w:pPr>
        <w:pStyle w:val="TOC1"/>
        <w:rPr>
          <w:rFonts w:asciiTheme="minorHAnsi" w:eastAsiaTheme="minorEastAsia" w:hAnsiTheme="minorHAnsi" w:cstheme="minorBidi"/>
          <w:noProof/>
          <w:sz w:val="22"/>
          <w:szCs w:val="22"/>
          <w:lang w:val="es-ES_tradnl" w:eastAsia="es-ES"/>
        </w:rPr>
      </w:pPr>
      <w:hyperlink w:anchor="_Toc77502927" w:history="1">
        <w:r w:rsidR="00825AD8" w:rsidRPr="00943576">
          <w:rPr>
            <w:rStyle w:val="Hyperlink"/>
            <w:noProof/>
            <w:lang w:val="es-ES_tradnl"/>
          </w:rPr>
          <w:t>4</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Casos de uso y experimentos</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_Toc77502927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8</w:t>
        </w:r>
        <w:r w:rsidR="00825AD8" w:rsidRPr="00943576">
          <w:rPr>
            <w:noProof/>
            <w:webHidden/>
            <w:lang w:val="es-ES_tradnl"/>
          </w:rPr>
          <w:fldChar w:fldCharType="end"/>
        </w:r>
      </w:hyperlink>
    </w:p>
    <w:p w14:paraId="7A6937F0" w14:textId="16188B5A"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8" w:history="1">
        <w:r w:rsidR="00825AD8" w:rsidRPr="00943576">
          <w:rPr>
            <w:rStyle w:val="Hyperlink"/>
            <w:noProof/>
            <w:lang w:val="es-ES_tradnl"/>
          </w:rPr>
          <w:t>4.1</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Medición de la intensidad de campo radioeléctrico: Señal de radiodifusión</w:t>
        </w:r>
        <w:r w:rsidR="00FE3B05" w:rsidRPr="00943576">
          <w:rPr>
            <w:rStyle w:val="Hyperlink"/>
            <w:noProof/>
            <w:lang w:val="es-ES_tradnl"/>
          </w:rPr>
          <w:br/>
        </w:r>
        <w:r w:rsidR="00825AD8" w:rsidRPr="00943576">
          <w:rPr>
            <w:rStyle w:val="Hyperlink"/>
            <w:noProof/>
            <w:lang w:val="es-ES_tradnl"/>
          </w:rPr>
          <w:t>de televisión digital (TVD)</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_Toc77502928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8</w:t>
        </w:r>
        <w:r w:rsidR="00825AD8" w:rsidRPr="00943576">
          <w:rPr>
            <w:noProof/>
            <w:webHidden/>
            <w:lang w:val="es-ES_tradnl"/>
          </w:rPr>
          <w:fldChar w:fldCharType="end"/>
        </w:r>
      </w:hyperlink>
    </w:p>
    <w:p w14:paraId="3193F730" w14:textId="7E9763B6" w:rsidR="00825AD8" w:rsidRPr="00943576" w:rsidRDefault="0030521D">
      <w:pPr>
        <w:pStyle w:val="TOC2"/>
        <w:rPr>
          <w:rFonts w:asciiTheme="minorHAnsi" w:eastAsiaTheme="minorEastAsia" w:hAnsiTheme="minorHAnsi" w:cstheme="minorBidi"/>
          <w:noProof/>
          <w:sz w:val="22"/>
          <w:szCs w:val="22"/>
          <w:lang w:val="es-ES_tradnl" w:eastAsia="es-ES"/>
        </w:rPr>
      </w:pPr>
      <w:hyperlink w:anchor="_Toc77502929" w:history="1">
        <w:r w:rsidR="00825AD8" w:rsidRPr="00943576">
          <w:rPr>
            <w:rStyle w:val="Hyperlink"/>
            <w:noProof/>
            <w:lang w:val="es-ES_tradnl"/>
          </w:rPr>
          <w:t>4.2</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Localización de una señal de satélite de enlace ascendente VSAT</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_Toc77502929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11</w:t>
        </w:r>
        <w:r w:rsidR="00825AD8" w:rsidRPr="00943576">
          <w:rPr>
            <w:noProof/>
            <w:webHidden/>
            <w:lang w:val="es-ES_tradnl"/>
          </w:rPr>
          <w:fldChar w:fldCharType="end"/>
        </w:r>
      </w:hyperlink>
    </w:p>
    <w:p w14:paraId="147EAFCD" w14:textId="62C0D1AF" w:rsidR="00825AD8" w:rsidRPr="00943576" w:rsidRDefault="0030521D">
      <w:pPr>
        <w:pStyle w:val="TOC1"/>
        <w:rPr>
          <w:rFonts w:asciiTheme="minorHAnsi" w:eastAsiaTheme="minorEastAsia" w:hAnsiTheme="minorHAnsi" w:cstheme="minorBidi"/>
          <w:noProof/>
          <w:sz w:val="22"/>
          <w:szCs w:val="22"/>
          <w:lang w:val="es-ES_tradnl" w:eastAsia="es-ES"/>
        </w:rPr>
      </w:pPr>
      <w:hyperlink w:anchor="_Toc77502930" w:history="1">
        <w:r w:rsidR="00825AD8" w:rsidRPr="00943576">
          <w:rPr>
            <w:rStyle w:val="Hyperlink"/>
            <w:noProof/>
            <w:lang w:val="es-ES_tradnl"/>
          </w:rPr>
          <w:t>5</w:t>
        </w:r>
        <w:r w:rsidR="00825AD8" w:rsidRPr="00943576">
          <w:rPr>
            <w:rFonts w:asciiTheme="minorHAnsi" w:eastAsiaTheme="minorEastAsia" w:hAnsiTheme="minorHAnsi" w:cstheme="minorBidi"/>
            <w:noProof/>
            <w:sz w:val="22"/>
            <w:szCs w:val="22"/>
            <w:lang w:val="es-ES_tradnl" w:eastAsia="es-ES"/>
          </w:rPr>
          <w:tab/>
        </w:r>
        <w:r w:rsidR="00825AD8" w:rsidRPr="00943576">
          <w:rPr>
            <w:rStyle w:val="Hyperlink"/>
            <w:noProof/>
            <w:lang w:val="es-ES_tradnl"/>
          </w:rPr>
          <w:t>Siglas</w:t>
        </w:r>
        <w:r w:rsidR="00825AD8" w:rsidRPr="00943576">
          <w:rPr>
            <w:noProof/>
            <w:webHidden/>
            <w:lang w:val="es-ES_tradnl"/>
          </w:rPr>
          <w:tab/>
        </w:r>
        <w:r w:rsidR="00943576">
          <w:rPr>
            <w:noProof/>
            <w:webHidden/>
            <w:lang w:val="es-ES_tradnl"/>
          </w:rPr>
          <w:tab/>
        </w:r>
        <w:r w:rsidR="00825AD8" w:rsidRPr="00943576">
          <w:rPr>
            <w:noProof/>
            <w:webHidden/>
            <w:lang w:val="es-ES_tradnl"/>
          </w:rPr>
          <w:fldChar w:fldCharType="begin"/>
        </w:r>
        <w:r w:rsidR="00825AD8" w:rsidRPr="00943576">
          <w:rPr>
            <w:noProof/>
            <w:webHidden/>
            <w:lang w:val="es-ES_tradnl"/>
          </w:rPr>
          <w:instrText xml:space="preserve"> PAGEREF _Toc77502930 \h </w:instrText>
        </w:r>
        <w:r w:rsidR="00825AD8" w:rsidRPr="00943576">
          <w:rPr>
            <w:noProof/>
            <w:webHidden/>
            <w:lang w:val="es-ES_tradnl"/>
          </w:rPr>
        </w:r>
        <w:r w:rsidR="00825AD8" w:rsidRPr="00943576">
          <w:rPr>
            <w:noProof/>
            <w:webHidden/>
            <w:lang w:val="es-ES_tradnl"/>
          </w:rPr>
          <w:fldChar w:fldCharType="separate"/>
        </w:r>
        <w:r w:rsidR="00943576">
          <w:rPr>
            <w:noProof/>
            <w:webHidden/>
            <w:lang w:val="es-ES_tradnl"/>
          </w:rPr>
          <w:t>14</w:t>
        </w:r>
        <w:r w:rsidR="00825AD8" w:rsidRPr="00943576">
          <w:rPr>
            <w:noProof/>
            <w:webHidden/>
            <w:lang w:val="es-ES_tradnl"/>
          </w:rPr>
          <w:fldChar w:fldCharType="end"/>
        </w:r>
      </w:hyperlink>
    </w:p>
    <w:p w14:paraId="098970BB" w14:textId="16E25159" w:rsidR="00332ECE" w:rsidRPr="00943576" w:rsidRDefault="00332ECE" w:rsidP="00943576">
      <w:pPr>
        <w:rPr>
          <w:rFonts w:eastAsiaTheme="minorEastAsia"/>
          <w:lang w:val="es-ES_tradnl"/>
        </w:rPr>
      </w:pPr>
      <w:r w:rsidRPr="00943576">
        <w:rPr>
          <w:rFonts w:eastAsiaTheme="minorEastAsia"/>
          <w:lang w:val="es-ES_tradnl"/>
        </w:rPr>
        <w:fldChar w:fldCharType="end"/>
      </w:r>
    </w:p>
    <w:p w14:paraId="4C7909EA" w14:textId="508F8C89" w:rsidR="00FF53D9" w:rsidRPr="00943576" w:rsidRDefault="003C0C24" w:rsidP="00C53C6F">
      <w:pPr>
        <w:pStyle w:val="HeadingSum"/>
      </w:pPr>
      <w:r w:rsidRPr="00943576">
        <w:t>Cometido</w:t>
      </w:r>
    </w:p>
    <w:p w14:paraId="0B4A65B8" w14:textId="5B669BD6" w:rsidR="00C66E65" w:rsidRPr="00943576" w:rsidRDefault="00FF53D9" w:rsidP="003C0C24">
      <w:pPr>
        <w:pStyle w:val="Summary"/>
      </w:pPr>
      <w:r w:rsidRPr="00943576">
        <w:t xml:space="preserve">Los drones comerciales, similares a las estaciones tradicionales de comprobación técnica a bordo de aeronaves, pueden ser útiles en los procedimientos reglamentarios de comprobación técnica y medición del espectro. La comprobación técnica radioeléctrica mediante drones comerciales puede resultar adecuada en situaciones difíciles en que las mediciones y transmisiones tradicionales efectuadas desde el suelo no puedan superar los obstáculos geográficos o garantizar la seguridad de las operaciones. En este </w:t>
      </w:r>
      <w:r w:rsidR="00943576" w:rsidRPr="00943576">
        <w:t>Informe</w:t>
      </w:r>
      <w:r w:rsidR="00ED3E24" w:rsidRPr="00943576">
        <w:t xml:space="preserve"> </w:t>
      </w:r>
      <w:r w:rsidRPr="00943576">
        <w:t>se entiende que la aplicación de drones comerciales se llevará a cabo dentro del campo visual por conducto de operaciones en tierra y en el país de las autoridades que operan dichos drones.</w:t>
      </w:r>
    </w:p>
    <w:p w14:paraId="3632272D" w14:textId="4B72B7AD" w:rsidR="00FF53D9" w:rsidRPr="00943576" w:rsidRDefault="00FF53D9" w:rsidP="003C0C24">
      <w:pPr>
        <w:pStyle w:val="Summary"/>
      </w:pPr>
      <w:r w:rsidRPr="00943576">
        <w:t xml:space="preserve">En este </w:t>
      </w:r>
      <w:r w:rsidR="003C0C24" w:rsidRPr="00943576">
        <w:t xml:space="preserve">Informe </w:t>
      </w:r>
      <w:r w:rsidRPr="00943576">
        <w:t>se detallan los elementos comunes, las consideraciones relativas a la incertidumbre, las posibles misiones, así como casos prácticos de procedimientos de comprobación técnica y medición del espectro asistidos por drones comerciales.</w:t>
      </w:r>
    </w:p>
    <w:p w14:paraId="3D15C549" w14:textId="77777777" w:rsidR="00FF53D9" w:rsidRPr="00943576" w:rsidRDefault="00FF53D9" w:rsidP="00FF53D9">
      <w:pPr>
        <w:pStyle w:val="Heading1"/>
        <w:rPr>
          <w:rFonts w:eastAsia="휴먼명조"/>
          <w:lang w:val="es-ES_tradnl"/>
        </w:rPr>
      </w:pPr>
      <w:bookmarkStart w:id="6" w:name="_Toc77502917"/>
      <w:r w:rsidRPr="00943576">
        <w:rPr>
          <w:lang w:val="es-ES_tradnl"/>
        </w:rPr>
        <w:lastRenderedPageBreak/>
        <w:t>1</w:t>
      </w:r>
      <w:r w:rsidRPr="00943576">
        <w:rPr>
          <w:lang w:val="es-ES_tradnl"/>
        </w:rPr>
        <w:tab/>
        <w:t>Introducción</w:t>
      </w:r>
      <w:bookmarkEnd w:id="6"/>
    </w:p>
    <w:p w14:paraId="073E567E" w14:textId="0EC9C1C7" w:rsidR="00FF53D9" w:rsidRPr="00943576" w:rsidRDefault="00FF53D9" w:rsidP="00FF53D9">
      <w:pPr>
        <w:rPr>
          <w:szCs w:val="24"/>
          <w:lang w:val="es-ES_tradnl"/>
        </w:rPr>
      </w:pPr>
      <w:r w:rsidRPr="00943576">
        <w:rPr>
          <w:lang w:val="es-ES_tradnl"/>
        </w:rPr>
        <w:t xml:space="preserve">La Organización de Aviación Civil Internacional (OACI) define los sistemas de aeronaves no tripuladas (SANT), </w:t>
      </w:r>
      <w:r w:rsidR="004D621E" w:rsidRPr="00943576">
        <w:rPr>
          <w:lang w:val="es-ES_tradnl"/>
        </w:rPr>
        <w:t>conocidos</w:t>
      </w:r>
      <w:r w:rsidRPr="00943576">
        <w:rPr>
          <w:lang w:val="es-ES_tradnl"/>
        </w:rPr>
        <w:t xml:space="preserve"> comúnmente con el nombre de aeronaves no tripuladas (ANT), como una aeronave y sus elementos asociados que se operan sin ningún piloto a bordo. Los drones comerciales forman parte de esta categoría general. Así, pueden superar limitaciones geográficas y proporcionar vuelos relativamente baratos en comparación con las aeronaves tripuladas. Los drones comerciales ofrecen posibilidades de recepción o transmisión en lugares inaccesibles mediante equipos en tierra, y en múltiples lugares en un corto período de tiempo, a semejanza de las tradicionales estaciones a bordo de aeronaves tripuladas. Dado que los sistemas tradicionales de comprobación técnica radioeléctrica fijos y móviles llevan a cabo las mediciones y transmisiones en la tierra o a una altura limitada desde el suelo, pueden experimentar una disminución de la precisión debido al entorno del lugar, como los edificios urbanos de los alrededores, las montañas, las antenas con altos ángulos de elevación y las zonas costeras.</w:t>
      </w:r>
    </w:p>
    <w:p w14:paraId="7D88D27F" w14:textId="77777777" w:rsidR="00FF53D9" w:rsidRPr="00943576" w:rsidRDefault="00FF53D9" w:rsidP="00FF53D9">
      <w:pPr>
        <w:rPr>
          <w:szCs w:val="24"/>
          <w:lang w:val="es-ES_tradnl"/>
        </w:rPr>
      </w:pPr>
      <w:r w:rsidRPr="00943576">
        <w:rPr>
          <w:lang w:val="es-ES_tradnl"/>
        </w:rPr>
        <w:t>Entre las tareas de medición y transmisión que se pueden realizar con drones comerciales están:</w:t>
      </w:r>
    </w:p>
    <w:p w14:paraId="05005138" w14:textId="77777777" w:rsidR="00FF53D9" w:rsidRPr="00943576" w:rsidRDefault="00FF53D9" w:rsidP="00FF53D9">
      <w:pPr>
        <w:pStyle w:val="enumlev1"/>
        <w:rPr>
          <w:lang w:val="es-ES_tradnl"/>
        </w:rPr>
      </w:pPr>
      <w:r w:rsidRPr="00943576">
        <w:rPr>
          <w:lang w:val="es-ES_tradnl"/>
        </w:rPr>
        <w:t>–</w:t>
      </w:r>
      <w:r w:rsidRPr="00943576">
        <w:rPr>
          <w:lang w:val="es-ES_tradnl"/>
        </w:rPr>
        <w:tab/>
        <w:t>las mediciones de la intensidad de campo radioeléctrico;</w:t>
      </w:r>
    </w:p>
    <w:p w14:paraId="78388737" w14:textId="637A6C1C" w:rsidR="00FF53D9" w:rsidRPr="00943576" w:rsidRDefault="00FF53D9" w:rsidP="00FF53D9">
      <w:pPr>
        <w:pStyle w:val="enumlev1"/>
        <w:rPr>
          <w:lang w:val="es-ES_tradnl"/>
        </w:rPr>
      </w:pPr>
      <w:r w:rsidRPr="00943576">
        <w:rPr>
          <w:lang w:val="es-ES_tradnl"/>
        </w:rPr>
        <w:t>–</w:t>
      </w:r>
      <w:r w:rsidRPr="00943576">
        <w:rPr>
          <w:lang w:val="es-ES_tradnl"/>
        </w:rPr>
        <w:tab/>
        <w:t>las mediciones del diagrama de antena tridimensional;</w:t>
      </w:r>
    </w:p>
    <w:p w14:paraId="1B157410" w14:textId="77777777" w:rsidR="00C66E65" w:rsidRPr="00943576" w:rsidRDefault="00FF53D9" w:rsidP="00FF53D9">
      <w:pPr>
        <w:pStyle w:val="enumlev1"/>
        <w:rPr>
          <w:lang w:val="es-ES_tradnl"/>
        </w:rPr>
      </w:pPr>
      <w:r w:rsidRPr="00943576">
        <w:rPr>
          <w:lang w:val="es-ES_tradnl"/>
        </w:rPr>
        <w:t>–</w:t>
      </w:r>
      <w:r w:rsidRPr="00943576">
        <w:rPr>
          <w:lang w:val="es-ES_tradnl"/>
        </w:rPr>
        <w:tab/>
        <w:t>las mediciones de la cobertura radioeléctrica;</w:t>
      </w:r>
    </w:p>
    <w:p w14:paraId="6FBF1C68" w14:textId="402D0B40" w:rsidR="00FF53D9" w:rsidRPr="00943576" w:rsidRDefault="00FF53D9" w:rsidP="00FF53D9">
      <w:pPr>
        <w:pStyle w:val="enumlev1"/>
        <w:rPr>
          <w:lang w:val="es-ES_tradnl"/>
        </w:rPr>
      </w:pPr>
      <w:r w:rsidRPr="00943576">
        <w:rPr>
          <w:lang w:val="es-ES_tradnl"/>
        </w:rPr>
        <w:t>–</w:t>
      </w:r>
      <w:r w:rsidRPr="00943576">
        <w:rPr>
          <w:lang w:val="es-ES_tradnl"/>
        </w:rPr>
        <w:tab/>
        <w:t xml:space="preserve">la inspección </w:t>
      </w:r>
      <w:r w:rsidRPr="00943576">
        <w:rPr>
          <w:i/>
          <w:iCs/>
          <w:lang w:val="es-ES_tradnl"/>
        </w:rPr>
        <w:t>in situ</w:t>
      </w:r>
      <w:r w:rsidRPr="00943576">
        <w:rPr>
          <w:lang w:val="es-ES_tradnl"/>
        </w:rPr>
        <w:t xml:space="preserve"> de estaciones de comprobación técnica radioeléctrica;</w:t>
      </w:r>
    </w:p>
    <w:p w14:paraId="11B1A9EF" w14:textId="77777777" w:rsidR="00FF53D9" w:rsidRPr="00943576" w:rsidRDefault="00FF53D9" w:rsidP="00FF53D9">
      <w:pPr>
        <w:pStyle w:val="enumlev1"/>
        <w:rPr>
          <w:lang w:val="es-ES_tradnl"/>
        </w:rPr>
      </w:pPr>
      <w:r w:rsidRPr="00943576">
        <w:rPr>
          <w:lang w:val="es-ES_tradnl"/>
        </w:rPr>
        <w:t>–</w:t>
      </w:r>
      <w:r w:rsidRPr="00943576">
        <w:rPr>
          <w:lang w:val="es-ES_tradnl"/>
        </w:rPr>
        <w:tab/>
        <w:t xml:space="preserve">la inspección </w:t>
      </w:r>
      <w:r w:rsidRPr="00943576">
        <w:rPr>
          <w:i/>
          <w:iCs/>
          <w:lang w:val="es-ES_tradnl"/>
        </w:rPr>
        <w:t>in situ</w:t>
      </w:r>
      <w:r w:rsidRPr="00943576">
        <w:rPr>
          <w:lang w:val="es-ES_tradnl"/>
        </w:rPr>
        <w:t xml:space="preserve"> de estaciones de radiocomunicaciones;</w:t>
      </w:r>
    </w:p>
    <w:p w14:paraId="67D0FBE1" w14:textId="77777777" w:rsidR="00FF53D9" w:rsidRPr="00943576" w:rsidRDefault="00FF53D9" w:rsidP="00FF53D9">
      <w:pPr>
        <w:pStyle w:val="enumlev1"/>
        <w:rPr>
          <w:lang w:val="es-ES_tradnl"/>
        </w:rPr>
      </w:pPr>
      <w:r w:rsidRPr="00943576">
        <w:rPr>
          <w:lang w:val="es-ES_tradnl"/>
        </w:rPr>
        <w:t>–</w:t>
      </w:r>
      <w:r w:rsidRPr="00943576">
        <w:rPr>
          <w:lang w:val="es-ES_tradnl"/>
        </w:rPr>
        <w:tab/>
        <w:t>el mantenimiento y la calibración de estaciones y equipos de comprobación técnica radioeléctrica;</w:t>
      </w:r>
    </w:p>
    <w:p w14:paraId="575BE092" w14:textId="77777777" w:rsidR="00FF53D9" w:rsidRPr="00943576" w:rsidRDefault="00FF53D9" w:rsidP="00FF53D9">
      <w:pPr>
        <w:pStyle w:val="enumlev1"/>
        <w:rPr>
          <w:lang w:val="es-ES_tradnl"/>
        </w:rPr>
      </w:pPr>
      <w:r w:rsidRPr="00943576">
        <w:rPr>
          <w:lang w:val="es-ES_tradnl"/>
        </w:rPr>
        <w:t>–</w:t>
      </w:r>
      <w:r w:rsidRPr="00943576">
        <w:rPr>
          <w:lang w:val="es-ES_tradnl"/>
        </w:rPr>
        <w:tab/>
        <w:t>la investigación de interferencias;</w:t>
      </w:r>
    </w:p>
    <w:p w14:paraId="7AC32836" w14:textId="77777777" w:rsidR="00FF53D9" w:rsidRPr="00943576" w:rsidRDefault="00FF53D9" w:rsidP="00FF53D9">
      <w:pPr>
        <w:pStyle w:val="enumlev1"/>
        <w:rPr>
          <w:lang w:val="es-ES_tradnl"/>
        </w:rPr>
      </w:pPr>
      <w:r w:rsidRPr="00943576">
        <w:rPr>
          <w:lang w:val="es-ES_tradnl"/>
        </w:rPr>
        <w:t>–</w:t>
      </w:r>
      <w:r w:rsidRPr="00943576">
        <w:rPr>
          <w:lang w:val="es-ES_tradnl"/>
        </w:rPr>
        <w:tab/>
        <w:t>la radiogoniometría de una fuente emisora;</w:t>
      </w:r>
    </w:p>
    <w:p w14:paraId="2BEAA464" w14:textId="77777777" w:rsidR="00FF53D9" w:rsidRPr="00943576" w:rsidRDefault="00FF53D9" w:rsidP="00FF53D9">
      <w:pPr>
        <w:pStyle w:val="enumlev1"/>
        <w:rPr>
          <w:lang w:val="es-ES_tradnl"/>
        </w:rPr>
      </w:pPr>
      <w:r w:rsidRPr="00943576">
        <w:rPr>
          <w:lang w:val="es-ES_tradnl"/>
        </w:rPr>
        <w:t>–</w:t>
      </w:r>
      <w:r w:rsidRPr="00943576">
        <w:rPr>
          <w:lang w:val="es-ES_tradnl"/>
        </w:rPr>
        <w:tab/>
        <w:t>los estudios técnicos y científicos.</w:t>
      </w:r>
    </w:p>
    <w:p w14:paraId="63B16512" w14:textId="6336F5E4" w:rsidR="00FF53D9" w:rsidRPr="00943576" w:rsidRDefault="00FF53D9" w:rsidP="00FF53D9">
      <w:pPr>
        <w:tabs>
          <w:tab w:val="left" w:pos="2608"/>
          <w:tab w:val="left" w:pos="3345"/>
        </w:tabs>
        <w:spacing w:before="80"/>
        <w:rPr>
          <w:lang w:val="es-ES_tradnl"/>
        </w:rPr>
      </w:pPr>
      <w:r w:rsidRPr="00943576">
        <w:rPr>
          <w:lang w:val="es-ES_tradnl"/>
        </w:rPr>
        <w:t>La ventaja que ofrece la comprobación técnica del espectro mediante drones es la capacidad de observar el espectro y realizar</w:t>
      </w:r>
      <w:r w:rsidR="00C66E65" w:rsidRPr="00943576">
        <w:rPr>
          <w:lang w:val="es-ES_tradnl"/>
        </w:rPr>
        <w:t xml:space="preserve"> </w:t>
      </w:r>
      <w:r w:rsidRPr="00943576">
        <w:rPr>
          <w:lang w:val="es-ES_tradnl"/>
        </w:rPr>
        <w:t>mediciones específicas de la señal o registros a una altura muy superior a la que hubiera sido posible con los sistemas de comprobación técnica desde el suelo. La altura adicional puede ser extremadamente beneficiosa en cualquiera de las aplicaciones antes señaladas. Además, el costo de compra de una plataforma de drones destinada a la comprobación técnica del espectro es muy inferior al de las plataformas móviles más básicas.</w:t>
      </w:r>
    </w:p>
    <w:p w14:paraId="277F4E17" w14:textId="77777777" w:rsidR="00FF53D9" w:rsidRPr="00943576" w:rsidRDefault="00FF53D9" w:rsidP="00FF53D9">
      <w:pPr>
        <w:pStyle w:val="Heading1"/>
        <w:rPr>
          <w:lang w:val="es-ES_tradnl"/>
        </w:rPr>
      </w:pPr>
      <w:bookmarkStart w:id="7" w:name="_Toc77502918"/>
      <w:r w:rsidRPr="00943576">
        <w:rPr>
          <w:lang w:val="es-ES_tradnl"/>
        </w:rPr>
        <w:t>2</w:t>
      </w:r>
      <w:r w:rsidRPr="00943576">
        <w:rPr>
          <w:lang w:val="es-ES_tradnl"/>
        </w:rPr>
        <w:tab/>
        <w:t>Componentes funcionales de los sistemas de comprobación técnica basados en drones comerciales</w:t>
      </w:r>
      <w:bookmarkEnd w:id="7"/>
    </w:p>
    <w:p w14:paraId="56277623" w14:textId="277F035F" w:rsidR="00C66E65" w:rsidRPr="00943576" w:rsidRDefault="00FF53D9" w:rsidP="00FF53D9">
      <w:pPr>
        <w:rPr>
          <w:lang w:val="es-ES_tradnl"/>
        </w:rPr>
      </w:pPr>
      <w:r w:rsidRPr="00943576">
        <w:rPr>
          <w:lang w:val="es-ES_tradnl"/>
        </w:rPr>
        <w:t xml:space="preserve">Se puede afirmar que los componentes funcionales de la comprobación técnica y medición radioeléctrica mediante drones comerciales constan de cuatro partes, indicadas en la </w:t>
      </w:r>
      <w:r w:rsidR="00FE3B05" w:rsidRPr="00943576">
        <w:rPr>
          <w:lang w:val="es-ES_tradnl"/>
        </w:rPr>
        <w:t xml:space="preserve">Fig. </w:t>
      </w:r>
      <w:r w:rsidRPr="00943576">
        <w:rPr>
          <w:lang w:val="es-ES_tradnl"/>
        </w:rPr>
        <w:t>1, a saber:</w:t>
      </w:r>
    </w:p>
    <w:p w14:paraId="729AA907" w14:textId="77777777" w:rsidR="00C66E65" w:rsidRPr="00943576" w:rsidRDefault="00FF53D9" w:rsidP="00FF53D9">
      <w:pPr>
        <w:pStyle w:val="enumlev1"/>
        <w:rPr>
          <w:lang w:val="es-ES_tradnl"/>
        </w:rPr>
      </w:pPr>
      <w:r w:rsidRPr="00943576">
        <w:rPr>
          <w:lang w:val="es-ES_tradnl"/>
        </w:rPr>
        <w:t>•</w:t>
      </w:r>
      <w:r w:rsidRPr="00943576">
        <w:rPr>
          <w:lang w:val="es-ES_tradnl"/>
        </w:rPr>
        <w:tab/>
        <w:t>el sistema de vuelo de los drones;</w:t>
      </w:r>
    </w:p>
    <w:p w14:paraId="473C72C1" w14:textId="5BE66735" w:rsidR="00C66E65" w:rsidRPr="00943576" w:rsidRDefault="00FF53D9" w:rsidP="00FF53D9">
      <w:pPr>
        <w:pStyle w:val="enumlev1"/>
        <w:rPr>
          <w:lang w:val="es-ES_tradnl"/>
        </w:rPr>
      </w:pPr>
      <w:r w:rsidRPr="00943576">
        <w:rPr>
          <w:lang w:val="es-ES_tradnl"/>
        </w:rPr>
        <w:t>•</w:t>
      </w:r>
      <w:r w:rsidRPr="00943576">
        <w:rPr>
          <w:lang w:val="es-ES_tradnl"/>
        </w:rPr>
        <w:tab/>
        <w:t xml:space="preserve">el sistema de </w:t>
      </w:r>
      <w:r w:rsidR="004D621E" w:rsidRPr="00943576">
        <w:rPr>
          <w:lang w:val="es-ES_tradnl"/>
        </w:rPr>
        <w:t>comprobación</w:t>
      </w:r>
      <w:r w:rsidRPr="00943576">
        <w:rPr>
          <w:lang w:val="es-ES_tradnl"/>
        </w:rPr>
        <w:t xml:space="preserve"> técnica y medición radioeléctrica;</w:t>
      </w:r>
    </w:p>
    <w:p w14:paraId="479AA811" w14:textId="77777777" w:rsidR="00C66E65" w:rsidRPr="00943576" w:rsidRDefault="00FF53D9" w:rsidP="00FF53D9">
      <w:pPr>
        <w:pStyle w:val="enumlev1"/>
        <w:rPr>
          <w:lang w:val="es-ES_tradnl"/>
        </w:rPr>
      </w:pPr>
      <w:r w:rsidRPr="00943576">
        <w:rPr>
          <w:lang w:val="es-ES_tradnl"/>
        </w:rPr>
        <w:t>•</w:t>
      </w:r>
      <w:r w:rsidRPr="00943576">
        <w:rPr>
          <w:lang w:val="es-ES_tradnl"/>
        </w:rPr>
        <w:tab/>
        <w:t>el control de la misión radioeléctrica; y</w:t>
      </w:r>
    </w:p>
    <w:p w14:paraId="74C13DD5" w14:textId="77777777" w:rsidR="00C66E65" w:rsidRPr="00943576" w:rsidRDefault="00FF53D9" w:rsidP="00FF53D9">
      <w:pPr>
        <w:pStyle w:val="enumlev1"/>
        <w:rPr>
          <w:lang w:val="es-ES_tradnl"/>
        </w:rPr>
      </w:pPr>
      <w:r w:rsidRPr="00943576">
        <w:rPr>
          <w:lang w:val="es-ES_tradnl"/>
        </w:rPr>
        <w:t>•</w:t>
      </w:r>
      <w:r w:rsidRPr="00943576">
        <w:rPr>
          <w:lang w:val="es-ES_tradnl"/>
        </w:rPr>
        <w:tab/>
        <w:t>el control remoto de la misión radioeléctrica.</w:t>
      </w:r>
    </w:p>
    <w:p w14:paraId="4F973929" w14:textId="07946FD8" w:rsidR="00FF53D9" w:rsidRPr="00943576" w:rsidRDefault="00FF53D9" w:rsidP="00FF53D9">
      <w:pPr>
        <w:rPr>
          <w:lang w:val="es-ES_tradnl"/>
        </w:rPr>
      </w:pPr>
      <w:r w:rsidRPr="00943576">
        <w:rPr>
          <w:lang w:val="es-ES_tradnl"/>
        </w:rPr>
        <w:t xml:space="preserve">En la </w:t>
      </w:r>
      <w:r w:rsidR="00FE3B05" w:rsidRPr="00943576">
        <w:rPr>
          <w:lang w:val="es-ES_tradnl"/>
        </w:rPr>
        <w:t xml:space="preserve">Fig. </w:t>
      </w:r>
      <w:r w:rsidRPr="00943576">
        <w:rPr>
          <w:lang w:val="es-ES_tradnl"/>
        </w:rPr>
        <w:t>2 se expone un ejemplo de estación de comprobación técnica radioeléctrica con drones.</w:t>
      </w:r>
    </w:p>
    <w:p w14:paraId="7778C736" w14:textId="01E18589" w:rsidR="00FF53D9" w:rsidRPr="00943576" w:rsidRDefault="00FF53D9" w:rsidP="00FF53D9">
      <w:pPr>
        <w:pStyle w:val="FigureNo"/>
        <w:rPr>
          <w:b/>
          <w:lang w:val="es-ES_tradnl"/>
        </w:rPr>
      </w:pPr>
      <w:r w:rsidRPr="00943576">
        <w:rPr>
          <w:lang w:val="es-ES_tradnl"/>
        </w:rPr>
        <w:lastRenderedPageBreak/>
        <w:t>FIGURA 1</w:t>
      </w:r>
    </w:p>
    <w:p w14:paraId="6F7F6357" w14:textId="0BC53F5C" w:rsidR="00FF53D9" w:rsidRDefault="00FF53D9" w:rsidP="00FF53D9">
      <w:pPr>
        <w:pStyle w:val="Figuretitle"/>
        <w:rPr>
          <w:lang w:val="es-ES_tradnl"/>
        </w:rPr>
      </w:pPr>
      <w:r w:rsidRPr="00943576">
        <w:rPr>
          <w:lang w:val="es-ES_tradnl"/>
        </w:rPr>
        <w:t>Arquitectura funcional de una estación de comprobación técnica</w:t>
      </w:r>
      <w:r w:rsidR="00FE3B05" w:rsidRPr="00943576">
        <w:rPr>
          <w:lang w:val="es-ES_tradnl"/>
        </w:rPr>
        <w:br/>
      </w:r>
      <w:r w:rsidRPr="00943576">
        <w:rPr>
          <w:lang w:val="es-ES_tradnl"/>
        </w:rPr>
        <w:t>y medición radioeléctrica basada en drones</w:t>
      </w:r>
    </w:p>
    <w:p w14:paraId="291C7002" w14:textId="6672A67F" w:rsidR="000C0454" w:rsidRPr="000C0454" w:rsidRDefault="000C0454" w:rsidP="000C0454">
      <w:pPr>
        <w:pStyle w:val="Figure"/>
        <w:rPr>
          <w:lang w:val="es-ES_tradnl"/>
        </w:rPr>
      </w:pPr>
      <w:r w:rsidRPr="000C0454">
        <w:rPr>
          <w:noProof/>
        </w:rPr>
        <w:drawing>
          <wp:inline distT="0" distB="0" distL="0" distR="0" wp14:anchorId="576A4F85" wp14:editId="0A2ED8B1">
            <wp:extent cx="6120765" cy="4290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4290060"/>
                    </a:xfrm>
                    <a:prstGeom prst="rect">
                      <a:avLst/>
                    </a:prstGeom>
                  </pic:spPr>
                </pic:pic>
              </a:graphicData>
            </a:graphic>
          </wp:inline>
        </w:drawing>
      </w:r>
    </w:p>
    <w:p w14:paraId="456ED2CF" w14:textId="77777777" w:rsidR="00FF53D9" w:rsidRPr="00943576" w:rsidRDefault="00FF53D9" w:rsidP="00FF53D9">
      <w:pPr>
        <w:pStyle w:val="Heading2"/>
        <w:rPr>
          <w:lang w:val="es-ES_tradnl"/>
        </w:rPr>
      </w:pPr>
      <w:bookmarkStart w:id="8" w:name="_Toc77502919"/>
      <w:r w:rsidRPr="00943576">
        <w:rPr>
          <w:lang w:val="es-ES_tradnl"/>
        </w:rPr>
        <w:t>2.1</w:t>
      </w:r>
      <w:r w:rsidRPr="00943576">
        <w:rPr>
          <w:lang w:val="es-ES_tradnl"/>
        </w:rPr>
        <w:tab/>
        <w:t>El sistema de vuelo de los drones</w:t>
      </w:r>
      <w:bookmarkEnd w:id="8"/>
    </w:p>
    <w:p w14:paraId="479A1EC6" w14:textId="77777777" w:rsidR="00FF53D9" w:rsidRPr="00943576" w:rsidRDefault="00FF53D9" w:rsidP="00FF53D9">
      <w:pPr>
        <w:rPr>
          <w:lang w:val="es-ES_tradnl"/>
        </w:rPr>
      </w:pPr>
      <w:r w:rsidRPr="00943576">
        <w:rPr>
          <w:lang w:val="es-ES_tradnl"/>
        </w:rPr>
        <w:t>Los drones comerciales tienen componentes de control similares a los de las aeronaves tripuladas, y las principales funciones que se necesitan para la comprobación técnica radioeléctrica en modo autónomo o manual son las siguientes:</w:t>
      </w:r>
    </w:p>
    <w:p w14:paraId="7E9B6805" w14:textId="77777777" w:rsidR="00FF53D9" w:rsidRPr="00943576" w:rsidRDefault="00FF53D9" w:rsidP="00FF53D9">
      <w:pPr>
        <w:pStyle w:val="enumlev1"/>
        <w:rPr>
          <w:lang w:val="es-ES_tradnl"/>
        </w:rPr>
      </w:pPr>
      <w:r w:rsidRPr="00943576">
        <w:rPr>
          <w:lang w:val="es-ES_tradnl"/>
        </w:rPr>
        <w:t>•</w:t>
      </w:r>
      <w:r w:rsidRPr="00943576">
        <w:rPr>
          <w:lang w:val="es-ES_tradnl"/>
        </w:rPr>
        <w:tab/>
        <w:t>el control del vuelo con o sin mecanismo anticolisión;</w:t>
      </w:r>
    </w:p>
    <w:p w14:paraId="2AF27CB5" w14:textId="77777777" w:rsidR="00FF53D9" w:rsidRPr="00943576" w:rsidRDefault="00FF53D9" w:rsidP="00FF53D9">
      <w:pPr>
        <w:pStyle w:val="enumlev1"/>
        <w:rPr>
          <w:lang w:val="es-ES_tradnl"/>
        </w:rPr>
      </w:pPr>
      <w:r w:rsidRPr="00943576">
        <w:rPr>
          <w:lang w:val="es-ES_tradnl"/>
        </w:rPr>
        <w:t>•</w:t>
      </w:r>
      <w:r w:rsidRPr="00943576">
        <w:rPr>
          <w:lang w:val="es-ES_tradnl"/>
        </w:rPr>
        <w:tab/>
        <w:t>el control de la ubicación y la altitud;</w:t>
      </w:r>
    </w:p>
    <w:p w14:paraId="33A6ED04" w14:textId="77777777" w:rsidR="00FF53D9" w:rsidRPr="00943576" w:rsidRDefault="00FF53D9" w:rsidP="00FF53D9">
      <w:pPr>
        <w:pStyle w:val="enumlev1"/>
        <w:rPr>
          <w:lang w:val="es-ES_tradnl"/>
        </w:rPr>
      </w:pPr>
      <w:r w:rsidRPr="00943576">
        <w:rPr>
          <w:lang w:val="es-ES_tradnl"/>
        </w:rPr>
        <w:t>•</w:t>
      </w:r>
      <w:r w:rsidRPr="00943576">
        <w:rPr>
          <w:lang w:val="es-ES_tradnl"/>
        </w:rPr>
        <w:tab/>
        <w:t>el control de la posición horizontal y vertical (sobrevuelo);</w:t>
      </w:r>
    </w:p>
    <w:p w14:paraId="25DF9450" w14:textId="1C17C70E" w:rsidR="00FF53D9" w:rsidRPr="00943576" w:rsidRDefault="00FF53D9" w:rsidP="00FF53D9">
      <w:pPr>
        <w:pStyle w:val="enumlev1"/>
        <w:rPr>
          <w:lang w:val="es-ES_tradnl"/>
        </w:rPr>
      </w:pPr>
      <w:r w:rsidRPr="00943576">
        <w:rPr>
          <w:lang w:val="es-ES_tradnl"/>
        </w:rPr>
        <w:t>•</w:t>
      </w:r>
      <w:r w:rsidRPr="00943576">
        <w:rPr>
          <w:lang w:val="es-ES_tradnl"/>
        </w:rPr>
        <w:tab/>
      </w:r>
      <w:r w:rsidR="004D621E" w:rsidRPr="00943576">
        <w:rPr>
          <w:lang w:val="es-ES_tradnl"/>
        </w:rPr>
        <w:t xml:space="preserve">el </w:t>
      </w:r>
      <w:r w:rsidRPr="00943576">
        <w:rPr>
          <w:lang w:val="es-ES_tradnl"/>
        </w:rPr>
        <w:t>control de la base (origen).</w:t>
      </w:r>
    </w:p>
    <w:p w14:paraId="0D497D15" w14:textId="5132B37B" w:rsidR="00FF53D9" w:rsidRPr="00943576" w:rsidRDefault="00FF53D9" w:rsidP="00FF53D9">
      <w:pPr>
        <w:rPr>
          <w:lang w:val="es-ES_tradnl"/>
        </w:rPr>
      </w:pPr>
      <w:r w:rsidRPr="00943576">
        <w:rPr>
          <w:lang w:val="es-ES_tradnl"/>
        </w:rPr>
        <w:t>Normalmente, los drones comerciales ofrecen la posibilidad de controlarlos completamente a distancia desde un lugar remoto, o preprogramarlos para que realicen su vuelo de manera autónoma sin intervención. La precisión de cada método de control depende de la conducta del vuelo del dron.</w:t>
      </w:r>
    </w:p>
    <w:p w14:paraId="5750550F" w14:textId="77777777" w:rsidR="00FF53D9" w:rsidRPr="00943576" w:rsidRDefault="00FF53D9" w:rsidP="00FF53D9">
      <w:pPr>
        <w:pStyle w:val="Heading2"/>
        <w:rPr>
          <w:lang w:val="es-ES_tradnl"/>
        </w:rPr>
      </w:pPr>
      <w:bookmarkStart w:id="9" w:name="_Toc77502920"/>
      <w:r w:rsidRPr="00943576">
        <w:rPr>
          <w:lang w:val="es-ES_tradnl"/>
        </w:rPr>
        <w:t>2.2</w:t>
      </w:r>
      <w:r w:rsidRPr="00943576">
        <w:rPr>
          <w:lang w:val="es-ES_tradnl"/>
        </w:rPr>
        <w:tab/>
        <w:t>Sistemas de comprobación técnica y medición radioeléctrica</w:t>
      </w:r>
      <w:bookmarkEnd w:id="9"/>
    </w:p>
    <w:p w14:paraId="3FDC16C3" w14:textId="1D930A4D" w:rsidR="00FF53D9" w:rsidRPr="00943576" w:rsidRDefault="00FF53D9" w:rsidP="00FF53D9">
      <w:pPr>
        <w:rPr>
          <w:lang w:val="es-ES_tradnl"/>
        </w:rPr>
      </w:pPr>
      <w:r w:rsidRPr="00943576">
        <w:rPr>
          <w:lang w:val="es-ES_tradnl"/>
        </w:rPr>
        <w:t>El sistema de comprobación técnica y medición radioeléctrica puede incluir tanto equipos para recibir y medir ondas radioeléctricas como equipos capaces de transmitir señales. Desde el punto de vista conceptual, su composición es idéntica a la de los equipos existentes de comprobación técnica y medición radioelé</w:t>
      </w:r>
      <w:r w:rsidR="004D621E" w:rsidRPr="00943576">
        <w:rPr>
          <w:lang w:val="es-ES_tradnl"/>
        </w:rPr>
        <w:t>c</w:t>
      </w:r>
      <w:r w:rsidRPr="00943576">
        <w:rPr>
          <w:lang w:val="es-ES_tradnl"/>
        </w:rPr>
        <w:t xml:space="preserve">trica, pero su tipo, tamaño y peso están limitados por las capacidades del dron (por ejemplo, la carga útil máxima, el consumo de energía, las dimensiones y la forma). Por ejemplo, en el tamaño de la antena o el sistema de antenas que determina la gama de frecuencias incide el tamaño del dron, y el tamaño y el peso del receptor, el generador de señales o el amplificador de potencia </w:t>
      </w:r>
      <w:r w:rsidRPr="00943576">
        <w:rPr>
          <w:lang w:val="es-ES_tradnl"/>
        </w:rPr>
        <w:lastRenderedPageBreak/>
        <w:t>están directamente limitados por las capacidades de carga útil. Además, las tareas de comprobación técnica y medición radioeléctrica que se pueden realizar dependen de la precisión del control de posición. Por ejemplo, si se utiliza el dron para medir un diagrama de antena tridimensional de campo cercano, se debe garantizar la exactitud de la ubicación y del control del mantenimiento de posición.</w:t>
      </w:r>
    </w:p>
    <w:p w14:paraId="79620968" w14:textId="77777777" w:rsidR="00FF53D9" w:rsidRPr="00943576" w:rsidRDefault="00FF53D9" w:rsidP="00FF53D9">
      <w:pPr>
        <w:pStyle w:val="Heading2"/>
        <w:rPr>
          <w:lang w:val="es-ES_tradnl"/>
        </w:rPr>
      </w:pPr>
      <w:bookmarkStart w:id="10" w:name="_Toc77502921"/>
      <w:r w:rsidRPr="00943576">
        <w:rPr>
          <w:lang w:val="es-ES_tradnl"/>
        </w:rPr>
        <w:t>2.3</w:t>
      </w:r>
      <w:r w:rsidRPr="00943576">
        <w:rPr>
          <w:lang w:val="es-ES_tradnl"/>
        </w:rPr>
        <w:tab/>
        <w:t>Control de la misión radioeléctrica</w:t>
      </w:r>
      <w:bookmarkEnd w:id="10"/>
    </w:p>
    <w:p w14:paraId="410FE16D" w14:textId="7D0DA182" w:rsidR="00FF53D9" w:rsidRPr="00943576" w:rsidRDefault="00FF53D9" w:rsidP="00FF53D9">
      <w:pPr>
        <w:rPr>
          <w:lang w:val="es-ES_tradnl"/>
        </w:rPr>
      </w:pPr>
      <w:r w:rsidRPr="00943576">
        <w:rPr>
          <w:lang w:val="es-ES_tradnl"/>
        </w:rPr>
        <w:t xml:space="preserve">El control de la misión radioeléctrica coordina el dron y el sistema de </w:t>
      </w:r>
      <w:r w:rsidR="004D621E" w:rsidRPr="00943576">
        <w:rPr>
          <w:lang w:val="es-ES_tradnl"/>
        </w:rPr>
        <w:t>comprobación</w:t>
      </w:r>
      <w:r w:rsidRPr="00943576">
        <w:rPr>
          <w:lang w:val="es-ES_tradnl"/>
        </w:rPr>
        <w:t xml:space="preserve"> técnica y medición radioeléctrica para llevar a cabo una o más tareas. El control de la misión radioeléctrica puede desplazar el dron hasta un lugar preciso, realizar mediciones o transmisiones radioeléctricas, recabar y transferir los resultados. El control de la misión radioeléctrica tiene un enlace de comunicación para transferir los datos de telemedida y de otro tipo a la estación de control remota (terrena) y utiliza algunos o todos los enlaces en función del modo de vuelo y la tarea de medición. En función de la situación, el dron puede utilizar enlaces de comunicación específicos heredados y las misiones relacionadas con la comprobación técnica radioeléctrica pueden llevarse a cabo a través del enlace de control de la misión.</w:t>
      </w:r>
    </w:p>
    <w:p w14:paraId="1947FC2D" w14:textId="77777777" w:rsidR="00FF53D9" w:rsidRPr="00943576" w:rsidRDefault="00FF53D9" w:rsidP="00FF53D9">
      <w:pPr>
        <w:pStyle w:val="Heading2"/>
        <w:rPr>
          <w:lang w:val="es-ES_tradnl"/>
        </w:rPr>
      </w:pPr>
      <w:bookmarkStart w:id="11" w:name="_Toc77502922"/>
      <w:r w:rsidRPr="00943576">
        <w:rPr>
          <w:lang w:val="es-ES_tradnl"/>
        </w:rPr>
        <w:t>2.4</w:t>
      </w:r>
      <w:r w:rsidRPr="00943576">
        <w:rPr>
          <w:lang w:val="es-ES_tradnl"/>
        </w:rPr>
        <w:tab/>
        <w:t>Control remoto de la misión radioeléctrica</w:t>
      </w:r>
      <w:bookmarkEnd w:id="11"/>
    </w:p>
    <w:p w14:paraId="79A1FB33" w14:textId="24A1C71E" w:rsidR="00FF53D9" w:rsidRPr="00943576" w:rsidRDefault="00FF53D9" w:rsidP="00FF53D9">
      <w:pPr>
        <w:rPr>
          <w:lang w:val="es-ES_tradnl"/>
        </w:rPr>
      </w:pPr>
      <w:r w:rsidRPr="00943576">
        <w:rPr>
          <w:lang w:val="es-ES_tradnl"/>
        </w:rPr>
        <w:t>Las estaciones de comprobación técnica y medición radioeléctrica de drones comerciales pueden ser completamente controladas por el control remoto de la misión radioeléctrica durante el proceso de comprobación técnica radioeléctrica. El control remoto de la misión radioeléctrica se comunica con el control de la misión radioeléctrica mediante el enlace de control de la misión. El uso del enlace depende del nivel de automatización de los procedimientos de comprobación técnica y medición radioeléctrica y del modo de control del vuelo del dron.</w:t>
      </w:r>
    </w:p>
    <w:p w14:paraId="562EBDD9" w14:textId="27169D48" w:rsidR="00FF53D9" w:rsidRPr="00943576" w:rsidRDefault="00FF53D9" w:rsidP="00FF53D9">
      <w:pPr>
        <w:pStyle w:val="FigureNo"/>
        <w:rPr>
          <w:b/>
          <w:lang w:val="es-ES_tradnl"/>
        </w:rPr>
      </w:pPr>
      <w:r w:rsidRPr="00943576">
        <w:rPr>
          <w:lang w:val="es-ES_tradnl"/>
        </w:rPr>
        <w:t>FIGURA 2</w:t>
      </w:r>
    </w:p>
    <w:p w14:paraId="5A362471" w14:textId="547CA75E" w:rsidR="00FF53D9" w:rsidRDefault="00FF53D9" w:rsidP="00FF53D9">
      <w:pPr>
        <w:pStyle w:val="Figuretitle"/>
        <w:rPr>
          <w:lang w:val="es-ES_tradnl"/>
        </w:rPr>
      </w:pPr>
      <w:r w:rsidRPr="00943576">
        <w:rPr>
          <w:lang w:val="es-ES_tradnl"/>
        </w:rPr>
        <w:t>Ejemplo de un sistema de comprobación técnica y medición radioeléctrica basada en drones</w:t>
      </w:r>
    </w:p>
    <w:p w14:paraId="4D2D9FB5" w14:textId="6CF390AB" w:rsidR="000C0454" w:rsidRPr="000C0454" w:rsidRDefault="000C0454" w:rsidP="000C0454">
      <w:pPr>
        <w:pStyle w:val="Figure"/>
        <w:rPr>
          <w:lang w:val="es-ES_tradnl"/>
        </w:rPr>
      </w:pPr>
      <w:r w:rsidRPr="000C0454">
        <w:rPr>
          <w:noProof/>
        </w:rPr>
        <w:drawing>
          <wp:inline distT="0" distB="0" distL="0" distR="0" wp14:anchorId="5701DFB0" wp14:editId="49CD90F8">
            <wp:extent cx="6120765" cy="4037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037330"/>
                    </a:xfrm>
                    <a:prstGeom prst="rect">
                      <a:avLst/>
                    </a:prstGeom>
                  </pic:spPr>
                </pic:pic>
              </a:graphicData>
            </a:graphic>
          </wp:inline>
        </w:drawing>
      </w:r>
    </w:p>
    <w:p w14:paraId="0CDD64F0" w14:textId="77777777" w:rsidR="00FF53D9" w:rsidRPr="00943576" w:rsidRDefault="00FF53D9" w:rsidP="00FF53D9">
      <w:pPr>
        <w:pStyle w:val="Heading1"/>
        <w:rPr>
          <w:lang w:val="es-ES_tradnl"/>
        </w:rPr>
      </w:pPr>
      <w:bookmarkStart w:id="12" w:name="_Toc77502923"/>
      <w:r w:rsidRPr="00943576">
        <w:rPr>
          <w:lang w:val="es-ES_tradnl"/>
        </w:rPr>
        <w:lastRenderedPageBreak/>
        <w:t>3</w:t>
      </w:r>
      <w:r w:rsidRPr="00943576">
        <w:rPr>
          <w:lang w:val="es-ES_tradnl"/>
        </w:rPr>
        <w:tab/>
        <w:t>Otras consideraciones</w:t>
      </w:r>
      <w:bookmarkEnd w:id="12"/>
    </w:p>
    <w:p w14:paraId="24760FD3" w14:textId="77777777" w:rsidR="00FF53D9" w:rsidRPr="00943576" w:rsidRDefault="00FF53D9" w:rsidP="00FF53D9">
      <w:pPr>
        <w:pStyle w:val="Heading2"/>
        <w:rPr>
          <w:lang w:val="es-ES_tradnl"/>
        </w:rPr>
      </w:pPr>
      <w:bookmarkStart w:id="13" w:name="_Toc77502924"/>
      <w:r w:rsidRPr="00943576">
        <w:rPr>
          <w:lang w:val="es-ES_tradnl"/>
        </w:rPr>
        <w:t>3.1</w:t>
      </w:r>
      <w:r w:rsidRPr="00943576">
        <w:rPr>
          <w:lang w:val="es-ES_tradnl"/>
        </w:rPr>
        <w:tab/>
        <w:t>Requisitos previos para el funcionamiento</w:t>
      </w:r>
      <w:bookmarkEnd w:id="13"/>
    </w:p>
    <w:p w14:paraId="6049D3D0" w14:textId="2D3FAA0E" w:rsidR="00FF53D9" w:rsidRPr="00943576" w:rsidRDefault="00FF53D9" w:rsidP="00FF53D9">
      <w:pPr>
        <w:pStyle w:val="Heading3"/>
        <w:rPr>
          <w:lang w:val="es-ES_tradnl"/>
        </w:rPr>
      </w:pPr>
      <w:r w:rsidRPr="00943576">
        <w:rPr>
          <w:lang w:val="es-ES_tradnl"/>
        </w:rPr>
        <w:t>3.1.1</w:t>
      </w:r>
      <w:r w:rsidRPr="00943576">
        <w:rPr>
          <w:lang w:val="es-ES_tradnl"/>
        </w:rPr>
        <w:tab/>
        <w:t>Incidencia del tamaño, el peso y la potencia en los resultados</w:t>
      </w:r>
    </w:p>
    <w:p w14:paraId="0B4FBB51" w14:textId="05B6347F" w:rsidR="00FF53D9" w:rsidRPr="00943576" w:rsidRDefault="00FF53D9" w:rsidP="00FF53D9">
      <w:pPr>
        <w:rPr>
          <w:szCs w:val="24"/>
          <w:lang w:val="es-ES_tradnl"/>
        </w:rPr>
      </w:pPr>
      <w:r w:rsidRPr="00943576">
        <w:rPr>
          <w:lang w:val="es-ES_tradnl"/>
        </w:rPr>
        <w:t>Dado que un dron relativamente pequeño limita el espacio de instalación, es necesario seleccionar componentes con base en su tamaño, peso y consumo de energía. Deben instalarse en una configuración que sea eficiente desde el punto de vista espacial y a su vez funcional, y que permita realizar tanto el vuelo como las operaciones de medición. A diferencia de los sistemas tradicionales de medición radioeléctrica, los componentes de RF que se pueden colocar en un dron (antenas, receptores y transmisores) pueden presentar un funcionamiento deficiente y poco ancho de banda de funcionamiento, o características limitadas. Por consiguiente, al implementar un sistema de comprobación técnica en un dron, se recomienda medir, calibrar y comprobar el funcionamiento general del sistema con todos los equipos de comprobación técnica instalados.</w:t>
      </w:r>
    </w:p>
    <w:p w14:paraId="0CD1C35B" w14:textId="77777777" w:rsidR="00FF53D9" w:rsidRPr="00943576" w:rsidRDefault="00FF53D9" w:rsidP="00FF53D9">
      <w:pPr>
        <w:pStyle w:val="Heading3"/>
        <w:rPr>
          <w:szCs w:val="24"/>
          <w:lang w:val="es-ES_tradnl"/>
        </w:rPr>
      </w:pPr>
      <w:r w:rsidRPr="00943576">
        <w:rPr>
          <w:lang w:val="es-ES_tradnl"/>
        </w:rPr>
        <w:t>3.1.2</w:t>
      </w:r>
      <w:r w:rsidRPr="00943576">
        <w:rPr>
          <w:lang w:val="es-ES_tradnl"/>
        </w:rPr>
        <w:tab/>
        <w:t>Diagramas de antenas</w:t>
      </w:r>
    </w:p>
    <w:p w14:paraId="664044FC" w14:textId="16BB5A1B" w:rsidR="00FF53D9" w:rsidRPr="00943576" w:rsidRDefault="00FF53D9" w:rsidP="00FF53D9">
      <w:pPr>
        <w:rPr>
          <w:szCs w:val="24"/>
          <w:lang w:val="es-ES_tradnl"/>
        </w:rPr>
      </w:pPr>
      <w:bookmarkStart w:id="14" w:name="_Hlk72845055"/>
      <w:r w:rsidRPr="00943576">
        <w:rPr>
          <w:lang w:val="es-ES_tradnl"/>
        </w:rPr>
        <w:t xml:space="preserve">Aunque se utilice relativamente poco metal en los drones comerciales para que sean ligeros, hay muchas estructuras alrededor de la antena que pueden interferir en la recepción de señales. Las patas de aterrizaje, los propulsores y sus brazos, y las monturas utilizadas para la unión de equipos periféricos como las cámaras, pueden causar interferencias con la recepción de señales procedentes de ciertas direcciones. </w:t>
      </w:r>
      <w:bookmarkStart w:id="15" w:name="_Hlk72910903"/>
      <w:r w:rsidRPr="00943576">
        <w:rPr>
          <w:lang w:val="es-ES_tradnl"/>
        </w:rPr>
        <w:t>El diagrama de una antena instalada en una ANT incidirá en los resultados de la medición. Durante el vuelo, aunque la ANT se mueva constantemente, algunos sistemas pueden utilizar un reflector láser para obtener datos exactos de la posición tridimensional a fin de orientar la antena hacia la dirección correcta. Para crear un diagrama preciso de la antena de una ANT, el diagrama suele medirse en una cámara anecoica. Antes de realizar las mediciones en cámaras, deben instalarse todos los equipos necesarios para la operación (como el reflector láser) a fin de determinar el diagrama con precisión.</w:t>
      </w:r>
    </w:p>
    <w:bookmarkEnd w:id="14"/>
    <w:bookmarkEnd w:id="15"/>
    <w:p w14:paraId="4AA369F6" w14:textId="77777777" w:rsidR="00FF53D9" w:rsidRPr="00943576" w:rsidRDefault="00FF53D9" w:rsidP="00FF53D9">
      <w:pPr>
        <w:pStyle w:val="Heading3"/>
        <w:rPr>
          <w:szCs w:val="24"/>
          <w:lang w:val="es-ES_tradnl"/>
        </w:rPr>
      </w:pPr>
      <w:r w:rsidRPr="00943576">
        <w:rPr>
          <w:lang w:val="es-ES_tradnl"/>
        </w:rPr>
        <w:t>3.1.3</w:t>
      </w:r>
      <w:r w:rsidRPr="00943576">
        <w:rPr>
          <w:lang w:val="es-ES_tradnl"/>
        </w:rPr>
        <w:tab/>
        <w:t>Ruido de fondo</w:t>
      </w:r>
    </w:p>
    <w:p w14:paraId="7A24EA37" w14:textId="0E26280C" w:rsidR="00FF53D9" w:rsidRPr="00943576" w:rsidRDefault="00FF53D9" w:rsidP="00FF53D9">
      <w:pPr>
        <w:rPr>
          <w:szCs w:val="24"/>
          <w:lang w:val="es-ES_tradnl"/>
        </w:rPr>
      </w:pPr>
      <w:r w:rsidRPr="00943576">
        <w:rPr>
          <w:lang w:val="es-ES_tradnl"/>
        </w:rPr>
        <w:t>Los drones comerciales tienen una serie de dispositivos de radiofrecuencias a bordo para:</w:t>
      </w:r>
    </w:p>
    <w:p w14:paraId="7D26F4BC" w14:textId="77777777" w:rsidR="00C66E65" w:rsidRPr="00943576" w:rsidRDefault="00FF53D9" w:rsidP="00FF53D9">
      <w:pPr>
        <w:pStyle w:val="enumlev1"/>
        <w:rPr>
          <w:lang w:val="es-ES_tradnl"/>
        </w:rPr>
      </w:pPr>
      <w:r w:rsidRPr="00943576">
        <w:rPr>
          <w:lang w:val="es-ES_tradnl"/>
        </w:rPr>
        <w:t>•</w:t>
      </w:r>
      <w:r w:rsidRPr="00943576">
        <w:rPr>
          <w:lang w:val="es-ES_tradnl"/>
        </w:rPr>
        <w:tab/>
        <w:t>las funciones tradicionales de control remoto y transmisión de datos;</w:t>
      </w:r>
    </w:p>
    <w:p w14:paraId="5552ED1D" w14:textId="346E0E4A" w:rsidR="00FF53D9" w:rsidRPr="00943576" w:rsidRDefault="00FF53D9" w:rsidP="00FF53D9">
      <w:pPr>
        <w:pStyle w:val="enumlev1"/>
        <w:rPr>
          <w:rFonts w:eastAsia="Batang"/>
          <w:lang w:val="es-ES_tradnl"/>
        </w:rPr>
      </w:pPr>
      <w:r w:rsidRPr="00943576">
        <w:rPr>
          <w:lang w:val="es-ES_tradnl"/>
        </w:rPr>
        <w:t>•</w:t>
      </w:r>
      <w:r w:rsidRPr="00943576">
        <w:rPr>
          <w:lang w:val="es-ES_tradnl"/>
        </w:rPr>
        <w:tab/>
        <w:t>los enlaces de comunicación para la misión de comprobación técnica radioeléctrica; y</w:t>
      </w:r>
    </w:p>
    <w:p w14:paraId="28732385" w14:textId="77777777" w:rsidR="00C66E65" w:rsidRPr="00943576" w:rsidRDefault="00FF53D9" w:rsidP="00FF53D9">
      <w:pPr>
        <w:pStyle w:val="enumlev1"/>
        <w:rPr>
          <w:lang w:val="es-ES_tradnl"/>
        </w:rPr>
      </w:pPr>
      <w:r w:rsidRPr="00943576">
        <w:rPr>
          <w:lang w:val="es-ES_tradnl"/>
        </w:rPr>
        <w:t>•</w:t>
      </w:r>
      <w:r w:rsidRPr="00943576">
        <w:rPr>
          <w:lang w:val="es-ES_tradnl"/>
        </w:rPr>
        <w:tab/>
        <w:t>los componentes que pueden ser fuentes de interferencia electromagnética, como los motores eléctricos y las fuentes de alimentación.</w:t>
      </w:r>
    </w:p>
    <w:p w14:paraId="0BEC04BC" w14:textId="32494C18" w:rsidR="00FF53D9" w:rsidRPr="00943576" w:rsidRDefault="00FF53D9" w:rsidP="00FF53D9">
      <w:pPr>
        <w:rPr>
          <w:szCs w:val="24"/>
          <w:lang w:val="es-ES_tradnl"/>
        </w:rPr>
      </w:pPr>
      <w:r w:rsidRPr="00943576">
        <w:rPr>
          <w:lang w:val="es-ES_tradnl"/>
        </w:rPr>
        <w:t>Por consiguiente, los niveles de ruido pueden ser anormalmente altos en ciertas bandas de frecuencias. Tal vez</w:t>
      </w:r>
      <w:r w:rsidR="002A3C8E" w:rsidRPr="00943576">
        <w:rPr>
          <w:lang w:val="es-ES_tradnl"/>
        </w:rPr>
        <w:t xml:space="preserve"> sea necesario desactivar alguna</w:t>
      </w:r>
      <w:r w:rsidRPr="00943576">
        <w:rPr>
          <w:lang w:val="es-ES_tradnl"/>
        </w:rPr>
        <w:t xml:space="preserve">s de </w:t>
      </w:r>
      <w:r w:rsidR="002A3C8E" w:rsidRPr="00943576">
        <w:rPr>
          <w:lang w:val="es-ES_tradnl"/>
        </w:rPr>
        <w:t>ellas</w:t>
      </w:r>
      <w:r w:rsidRPr="00943576">
        <w:rPr>
          <w:lang w:val="es-ES_tradnl"/>
        </w:rPr>
        <w:t xml:space="preserve"> para crear un entorno más propicio a la medición.</w:t>
      </w:r>
    </w:p>
    <w:p w14:paraId="787E57AA" w14:textId="77777777" w:rsidR="00FF53D9" w:rsidRPr="00943576" w:rsidRDefault="00FF53D9" w:rsidP="00FF53D9">
      <w:pPr>
        <w:pStyle w:val="Heading3"/>
        <w:rPr>
          <w:szCs w:val="24"/>
          <w:lang w:val="es-ES_tradnl"/>
        </w:rPr>
      </w:pPr>
      <w:r w:rsidRPr="00943576">
        <w:rPr>
          <w:lang w:val="es-ES_tradnl"/>
        </w:rPr>
        <w:t>3.1.4</w:t>
      </w:r>
      <w:r w:rsidRPr="00943576">
        <w:rPr>
          <w:lang w:val="es-ES_tradnl"/>
        </w:rPr>
        <w:tab/>
        <w:t>Funcionalidades relativas a la seguridad y la protección</w:t>
      </w:r>
    </w:p>
    <w:p w14:paraId="21F61DE1" w14:textId="24720018" w:rsidR="00FF53D9" w:rsidRPr="00943576" w:rsidRDefault="00FF53D9" w:rsidP="00FF53D9">
      <w:pPr>
        <w:rPr>
          <w:szCs w:val="24"/>
          <w:lang w:val="es-ES_tradnl"/>
        </w:rPr>
      </w:pPr>
      <w:r w:rsidRPr="00943576">
        <w:rPr>
          <w:lang w:val="es-ES_tradnl"/>
        </w:rPr>
        <w:t xml:space="preserve">Los drones comerciales viajan por el aire al igual que toda aeronave, por lo que el operador debe </w:t>
      </w:r>
      <w:r w:rsidR="004D621E" w:rsidRPr="00943576">
        <w:rPr>
          <w:lang w:val="es-ES_tradnl"/>
        </w:rPr>
        <w:t>garantizar</w:t>
      </w:r>
      <w:r w:rsidRPr="00943576">
        <w:rPr>
          <w:lang w:val="es-ES_tradnl"/>
        </w:rPr>
        <w:t xml:space="preserve"> la seguridad de los demás usuarios del espacio aéreo y la de las personas y bienes que se encuentran en la tierra. Además, los drones equipados con sistemas de comprobación técnica radioeléctrica suponen un costo elevado para los organismos y pueden ser propensos a sufrir colisiones y generar altos costes de reparación. Por consiguiente, tal vez sea necesario instalar un sensor de detección acústica capaz de detectar y evitar las colisiones durante el vuelo, un paracaídas en caso de caída de emergencia, un enlace de comunicación de seguridad y un sistema de seguridad para el seguimiento de la posición.</w:t>
      </w:r>
    </w:p>
    <w:p w14:paraId="79E503CC" w14:textId="77777777" w:rsidR="00FF53D9" w:rsidRPr="00943576" w:rsidRDefault="00FF53D9" w:rsidP="00FF53D9">
      <w:pPr>
        <w:pStyle w:val="Heading3"/>
        <w:rPr>
          <w:szCs w:val="24"/>
          <w:lang w:val="es-ES_tradnl"/>
        </w:rPr>
      </w:pPr>
      <w:r w:rsidRPr="00943576">
        <w:rPr>
          <w:lang w:val="es-ES_tradnl"/>
        </w:rPr>
        <w:lastRenderedPageBreak/>
        <w:t>3.1.5</w:t>
      </w:r>
      <w:r w:rsidRPr="00943576">
        <w:rPr>
          <w:lang w:val="es-ES_tradnl"/>
        </w:rPr>
        <w:tab/>
        <w:t>Normativas locales en materia de vuelos</w:t>
      </w:r>
    </w:p>
    <w:p w14:paraId="61CF98C0" w14:textId="77777777" w:rsidR="00FF53D9" w:rsidRPr="00943576" w:rsidRDefault="00FF53D9" w:rsidP="00FF53D9">
      <w:pPr>
        <w:rPr>
          <w:szCs w:val="24"/>
          <w:lang w:val="es-ES_tradnl"/>
        </w:rPr>
      </w:pPr>
      <w:r w:rsidRPr="00943576">
        <w:rPr>
          <w:lang w:val="es-ES_tradnl"/>
        </w:rPr>
        <w:t>Dado que existen normas nacionales que limitan las regiones de vuelo, los horarios y los controles del vuelo de cada tipo de dron, es necesario ponerse en contacto de antemano con el organismo regulador nacional.</w:t>
      </w:r>
    </w:p>
    <w:p w14:paraId="7423F076" w14:textId="77777777" w:rsidR="00FF53D9" w:rsidRPr="00943576" w:rsidRDefault="00FF53D9" w:rsidP="00FF53D9">
      <w:pPr>
        <w:pStyle w:val="Heading2"/>
        <w:rPr>
          <w:lang w:val="es-ES_tradnl"/>
        </w:rPr>
      </w:pPr>
      <w:bookmarkStart w:id="16" w:name="_Toc77502925"/>
      <w:r w:rsidRPr="00943576">
        <w:rPr>
          <w:lang w:val="es-ES_tradnl"/>
        </w:rPr>
        <w:t>3.2</w:t>
      </w:r>
      <w:r w:rsidRPr="00943576">
        <w:rPr>
          <w:lang w:val="es-ES_tradnl"/>
        </w:rPr>
        <w:tab/>
        <w:t>Factores que inciden en la incertidumbre de la medición</w:t>
      </w:r>
      <w:bookmarkEnd w:id="16"/>
    </w:p>
    <w:p w14:paraId="21CCE298" w14:textId="5FF8497B" w:rsidR="00FF53D9" w:rsidRPr="00943576" w:rsidRDefault="00C9397D" w:rsidP="00FF53D9">
      <w:pPr>
        <w:rPr>
          <w:lang w:val="es-ES_tradnl"/>
        </w:rPr>
      </w:pPr>
      <w:r w:rsidRPr="00943576">
        <w:rPr>
          <w:lang w:val="es-ES_tradnl"/>
        </w:rPr>
        <w:t>Como</w:t>
      </w:r>
      <w:r w:rsidR="00FF53D9" w:rsidRPr="00943576">
        <w:rPr>
          <w:lang w:val="es-ES_tradnl"/>
        </w:rPr>
        <w:t xml:space="preserve"> los drones no están unidos </w:t>
      </w:r>
      <w:r w:rsidR="004D621E" w:rsidRPr="00943576">
        <w:rPr>
          <w:lang w:val="es-ES_tradnl"/>
        </w:rPr>
        <w:t>firmemente</w:t>
      </w:r>
      <w:r w:rsidR="00FF53D9" w:rsidRPr="00943576">
        <w:rPr>
          <w:lang w:val="es-ES_tradnl"/>
        </w:rPr>
        <w:t xml:space="preserve"> a la tierra, se intenta mantener la posición deseada utilizando varios sensores y algoritmos. Por consiguiente, toda volatilidad o movimiento repentino que se produzca durante la </w:t>
      </w:r>
      <w:r w:rsidR="004D621E" w:rsidRPr="00943576">
        <w:rPr>
          <w:lang w:val="es-ES_tradnl"/>
        </w:rPr>
        <w:t>adquisición</w:t>
      </w:r>
      <w:r w:rsidR="00FF53D9" w:rsidRPr="00943576">
        <w:rPr>
          <w:lang w:val="es-ES_tradnl"/>
        </w:rPr>
        <w:t xml:space="preserve"> de la señal puede causar incertidumbre en la medición y la variación de los resultados. Por ejemplo, si se realiza una medición en el mismo lugar y en otro momento, los resultados de la medición de una señal de un solo tono pueden ser diferentes. Si bien los drones son controlados para mantener la misma posición, en las medidas reales cabe suponer que la volatilidad del entorno de funcionamiento incidirá en la medición.</w:t>
      </w:r>
    </w:p>
    <w:p w14:paraId="4C1DA148" w14:textId="77777777" w:rsidR="00FF53D9" w:rsidRPr="00943576" w:rsidRDefault="00FF53D9" w:rsidP="00FF53D9">
      <w:pPr>
        <w:rPr>
          <w:lang w:val="es-ES_tradnl"/>
        </w:rPr>
      </w:pPr>
      <w:r w:rsidRPr="00943576">
        <w:rPr>
          <w:lang w:val="es-ES_tradnl"/>
        </w:rPr>
        <w:t>A continuación se exponen las principales fuentes de incertidumbre que contribuyen a la volatilidad de la medición.</w:t>
      </w:r>
    </w:p>
    <w:p w14:paraId="27C12C9C" w14:textId="77777777" w:rsidR="00FF53D9" w:rsidRPr="00943576" w:rsidRDefault="00FF53D9" w:rsidP="00FF53D9">
      <w:pPr>
        <w:pStyle w:val="Heading3"/>
        <w:rPr>
          <w:szCs w:val="24"/>
          <w:lang w:val="es-ES_tradnl"/>
        </w:rPr>
      </w:pPr>
      <w:r w:rsidRPr="00943576">
        <w:rPr>
          <w:lang w:val="es-ES_tradnl"/>
        </w:rPr>
        <w:t>3.2.1</w:t>
      </w:r>
      <w:r w:rsidRPr="00943576">
        <w:rPr>
          <w:lang w:val="es-ES_tradnl"/>
        </w:rPr>
        <w:tab/>
        <w:t>Control del vuelo por un único operador</w:t>
      </w:r>
    </w:p>
    <w:p w14:paraId="38D93444" w14:textId="77777777" w:rsidR="00FF53D9" w:rsidRPr="00943576" w:rsidRDefault="00FF53D9" w:rsidP="00FF53D9">
      <w:pPr>
        <w:textAlignment w:val="auto"/>
        <w:rPr>
          <w:rFonts w:eastAsia="Batang"/>
          <w:szCs w:val="24"/>
          <w:lang w:val="es-ES_tradnl"/>
        </w:rPr>
      </w:pPr>
      <w:r w:rsidRPr="00943576">
        <w:rPr>
          <w:lang w:val="es-ES_tradnl"/>
        </w:rPr>
        <w:t>Cuando un único operador controla a distancia el dron, es muy difícil que este coordine al mismo tiempo las tareas de vuelo hasta las coordenadas deseadas y las de medición y transmisión. Si la posición del dron cambia repentinamente debido a las condiciones meteorológicas, el viento o lecturas incorrectas de la posición, es casi imposible que un único operador confirme y mantenga visualmente la posición determinada.</w:t>
      </w:r>
    </w:p>
    <w:p w14:paraId="7FB6D523" w14:textId="77777777" w:rsidR="00FF53D9" w:rsidRPr="00943576" w:rsidRDefault="00FF53D9" w:rsidP="00FF53D9">
      <w:pPr>
        <w:pStyle w:val="Heading3"/>
        <w:rPr>
          <w:szCs w:val="24"/>
          <w:lang w:val="es-ES_tradnl"/>
        </w:rPr>
      </w:pPr>
      <w:r w:rsidRPr="00943576">
        <w:rPr>
          <w:lang w:val="es-ES_tradnl"/>
        </w:rPr>
        <w:t>3.2.2</w:t>
      </w:r>
      <w:r w:rsidRPr="00943576">
        <w:rPr>
          <w:lang w:val="es-ES_tradnl"/>
        </w:rPr>
        <w:tab/>
        <w:t>Control de la ubicación mediante un sistema mundial de navegación por satélite (GNSS)</w:t>
      </w:r>
    </w:p>
    <w:p w14:paraId="241BA803" w14:textId="77777777" w:rsidR="00FF53D9" w:rsidRPr="00943576" w:rsidRDefault="00FF53D9" w:rsidP="00FF53D9">
      <w:pPr>
        <w:rPr>
          <w:lang w:val="es-ES_tradnl"/>
        </w:rPr>
      </w:pPr>
      <w:r w:rsidRPr="00943576">
        <w:rPr>
          <w:lang w:val="es-ES_tradnl"/>
        </w:rPr>
        <w:t>Los drones suelen utilizar los GNSS para la navegación, como el GPS, GLONASS, Galileo y Beidou, y utilizan un sistema de navegación inercial (INS) para la precisión a corto plazo. Estas señales también pueden causar interferencias o atascos y pueden aparecer o desaparecer repentinamente en algunos entornos durante el vuelo del dron. La calidad de la recepción del GNSS puede verse afectada por la interferencia electromagnética procedente de diversos periféricos del propio dron, y por las condiciones meteorológicas como la presencia de fuertes vientos o nubes densas. Esto puede causar un sobrevuelo inestable, lo cual es un problema para la exactitud de la medición o la transmisión. Se pueden utilizar múltiples receptores GNSS o receptores multifrecuencia, así como sistemas para reducir la interferencia electromagnética a fin de mejorar la calidad de recepción de las señales de navegación y, por ende, la estabilidad de la plataforma del dron.</w:t>
      </w:r>
    </w:p>
    <w:p w14:paraId="324825F5" w14:textId="77777777" w:rsidR="00C66E65" w:rsidRPr="00943576" w:rsidRDefault="00FF53D9" w:rsidP="00FF53D9">
      <w:pPr>
        <w:rPr>
          <w:lang w:val="es-ES_tradnl"/>
        </w:rPr>
      </w:pPr>
      <w:r w:rsidRPr="00943576">
        <w:rPr>
          <w:lang w:val="es-ES_tradnl"/>
        </w:rPr>
        <w:t>El GPS presenta errores de varios metros en el plano horizontal en condiciones normales, y errores en el plano vertical que son de uno a dos veces superiores a los del plano horizontal.</w:t>
      </w:r>
      <w:r w:rsidR="00C66E65" w:rsidRPr="00943576">
        <w:rPr>
          <w:lang w:val="es-ES_tradnl"/>
        </w:rPr>
        <w:t xml:space="preserve"> </w:t>
      </w:r>
      <w:r w:rsidRPr="00943576">
        <w:rPr>
          <w:lang w:val="es-ES_tradnl"/>
        </w:rPr>
        <w:t>A fin de mejorar la precisión de la posición, se puede utilizar la tecnología GPS cinemática en tiempo real como la que se utiliza para la agrimensura y, como resultado, conseguir un margen de error de varios centímetros.</w:t>
      </w:r>
    </w:p>
    <w:p w14:paraId="01A22774" w14:textId="6426744A" w:rsidR="00FF53D9" w:rsidRPr="00943576" w:rsidRDefault="00FF53D9" w:rsidP="00FF53D9">
      <w:pPr>
        <w:pStyle w:val="Heading3"/>
        <w:rPr>
          <w:szCs w:val="24"/>
          <w:lang w:val="es-ES_tradnl"/>
        </w:rPr>
      </w:pPr>
      <w:r w:rsidRPr="00943576">
        <w:rPr>
          <w:lang w:val="es-ES_tradnl"/>
        </w:rPr>
        <w:t>3.2.3</w:t>
      </w:r>
      <w:r w:rsidRPr="00943576">
        <w:rPr>
          <w:lang w:val="es-ES_tradnl"/>
        </w:rPr>
        <w:tab/>
        <w:t>Control de la posición horizontal y vertical (sobrevuelo) y función de base</w:t>
      </w:r>
    </w:p>
    <w:p w14:paraId="2E0389FB" w14:textId="77777777" w:rsidR="00C66E65" w:rsidRPr="00943576" w:rsidRDefault="00FF53D9" w:rsidP="00FF53D9">
      <w:pPr>
        <w:rPr>
          <w:lang w:val="es-ES_tradnl"/>
        </w:rPr>
      </w:pPr>
      <w:r w:rsidRPr="00943576">
        <w:rPr>
          <w:lang w:val="es-ES_tradnl"/>
        </w:rPr>
        <w:t>Los drones permanecen en la posición deseada con una gran precisión pero aún pueden ser inclinados y girados, lo que puede causar importantes errores en las mediciones de campo cercano.</w:t>
      </w:r>
    </w:p>
    <w:p w14:paraId="0240969D" w14:textId="14E4F123" w:rsidR="00FF53D9" w:rsidRPr="00943576" w:rsidRDefault="00FF53D9" w:rsidP="00FF53D9">
      <w:pPr>
        <w:pStyle w:val="Heading3"/>
        <w:rPr>
          <w:szCs w:val="24"/>
          <w:lang w:val="es-ES_tradnl"/>
        </w:rPr>
      </w:pPr>
      <w:r w:rsidRPr="00943576">
        <w:rPr>
          <w:lang w:val="es-ES_tradnl"/>
        </w:rPr>
        <w:t>3.2.4</w:t>
      </w:r>
      <w:r w:rsidRPr="00943576">
        <w:rPr>
          <w:lang w:val="es-ES_tradnl"/>
        </w:rPr>
        <w:tab/>
        <w:t>Características de las antenas de medición y transmisión</w:t>
      </w:r>
    </w:p>
    <w:p w14:paraId="02DEB24C" w14:textId="77777777" w:rsidR="00FF53D9" w:rsidRPr="00943576" w:rsidRDefault="00FF53D9" w:rsidP="00FF53D9">
      <w:pPr>
        <w:rPr>
          <w:lang w:val="es-ES_tradnl"/>
        </w:rPr>
      </w:pPr>
      <w:r w:rsidRPr="00943576">
        <w:rPr>
          <w:lang w:val="es-ES_tradnl"/>
        </w:rPr>
        <w:t xml:space="preserve">Los drones pueden estar equipados de antenas direccionales, omnidireccionales o de sistemas de antenas en función de la misión. Aunque se haya instalado una antena con un diagrama de radiación conocido, hay que comprobar el diagrama de radiación en la instalación teniendo en cuenta la influencia con el dron o los dispositivos periféricos. La altitud y el comportamiento/inclinación del dron también pueden modificarse durante la medición o transmisión, por lo que tal vez sea necesario </w:t>
      </w:r>
      <w:r w:rsidRPr="00943576">
        <w:rPr>
          <w:lang w:val="es-ES_tradnl"/>
        </w:rPr>
        <w:lastRenderedPageBreak/>
        <w:t>medir el diagrama de la antena tridimensional de la banda de frecuencias objetivo. Cuando se utiliza una antena direccional, el estado de base del dron y el diagrama de la antena tienen un mayor efecto en los resultados de la medición. En general, es más importante conocer el diagrama de la antena en las misiones de campo cercano, donde la calibración adquiere mayor importancia en el caso de la reconstrucción de la fuente mediante mediciones de campo cercano y su conversión en mediciones de campo lejano.</w:t>
      </w:r>
    </w:p>
    <w:p w14:paraId="346AB600" w14:textId="77777777" w:rsidR="00FF53D9" w:rsidRPr="00943576" w:rsidRDefault="00FF53D9" w:rsidP="00FF53D9">
      <w:pPr>
        <w:pStyle w:val="Heading3"/>
        <w:rPr>
          <w:szCs w:val="24"/>
          <w:lang w:val="es-ES_tradnl"/>
        </w:rPr>
      </w:pPr>
      <w:r w:rsidRPr="00943576">
        <w:rPr>
          <w:lang w:val="es-ES_tradnl"/>
        </w:rPr>
        <w:t>3.2.5</w:t>
      </w:r>
      <w:r w:rsidRPr="00943576">
        <w:rPr>
          <w:lang w:val="es-ES_tradnl"/>
        </w:rPr>
        <w:tab/>
        <w:t>Influencia del viento</w:t>
      </w:r>
    </w:p>
    <w:p w14:paraId="7CD4E4CD" w14:textId="79B0199E" w:rsidR="00FF53D9" w:rsidRPr="00943576" w:rsidRDefault="00FF53D9" w:rsidP="00FF53D9">
      <w:pPr>
        <w:rPr>
          <w:lang w:val="es-ES_tradnl"/>
        </w:rPr>
      </w:pPr>
      <w:r w:rsidRPr="00943576">
        <w:rPr>
          <w:lang w:val="es-ES_tradnl"/>
        </w:rPr>
        <w:t>Aunque la exactitud de la ubicación mejore utilizando las tecnologías cinemáticas en tiempo real o tecnologías similares, el viento puede perturbar constantemente al dron desplazándolo repentinamente de su posición. La mayoría de los drones recreativos que se venden en el mundo real no garantizan un funcionamiento seguro o estable en entornos con viento, y aparentemente se han producido muchos accidentes debido al viento en pruebas de comprobación técnica inalámbricas mediante drones. A fin de lograr el éxito de la misión de comprobación técnica, tal vez sea necesario supervisar y registrar la velocidad del viento en cada vuelo o cada medición. Esto puede ayudar a comprender mejor los resultados de las mediciones.</w:t>
      </w:r>
    </w:p>
    <w:p w14:paraId="0E5A77A0" w14:textId="77777777" w:rsidR="00FF53D9" w:rsidRPr="00943576" w:rsidRDefault="00FF53D9" w:rsidP="00FF53D9">
      <w:pPr>
        <w:pStyle w:val="Heading2"/>
        <w:rPr>
          <w:lang w:val="es-ES_tradnl"/>
        </w:rPr>
      </w:pPr>
      <w:bookmarkStart w:id="17" w:name="_Toc77502926"/>
      <w:r w:rsidRPr="00943576">
        <w:rPr>
          <w:lang w:val="es-ES_tradnl"/>
        </w:rPr>
        <w:t>3.3</w:t>
      </w:r>
      <w:r w:rsidRPr="00943576">
        <w:rPr>
          <w:lang w:val="es-ES_tradnl"/>
        </w:rPr>
        <w:tab/>
        <w:t>Limitaciones actuales de los drones comerciales</w:t>
      </w:r>
      <w:bookmarkEnd w:id="17"/>
    </w:p>
    <w:p w14:paraId="3FABDF03" w14:textId="77777777" w:rsidR="00FF53D9" w:rsidRPr="00943576" w:rsidRDefault="00FF53D9" w:rsidP="00FF53D9">
      <w:pPr>
        <w:rPr>
          <w:lang w:val="es-ES_tradnl"/>
        </w:rPr>
      </w:pPr>
      <w:r w:rsidRPr="00943576">
        <w:rPr>
          <w:lang w:val="es-ES_tradnl"/>
        </w:rPr>
        <w:t>A pesar de sus múltiples ventajas, los drones tienen muchas limitaciones de las aeronaves tradicionales.</w:t>
      </w:r>
    </w:p>
    <w:p w14:paraId="3F973E2C" w14:textId="77777777" w:rsidR="00FF53D9" w:rsidRPr="00943576" w:rsidRDefault="00FF53D9" w:rsidP="00FF53D9">
      <w:pPr>
        <w:pStyle w:val="Heading3"/>
        <w:rPr>
          <w:lang w:val="es-ES_tradnl"/>
        </w:rPr>
      </w:pPr>
      <w:r w:rsidRPr="00943576">
        <w:rPr>
          <w:lang w:val="es-ES_tradnl"/>
        </w:rPr>
        <w:t>3.3.1</w:t>
      </w:r>
      <w:r w:rsidRPr="00943576">
        <w:rPr>
          <w:lang w:val="es-ES_tradnl"/>
        </w:rPr>
        <w:tab/>
        <w:t>Determinación de la posición, base</w:t>
      </w:r>
    </w:p>
    <w:p w14:paraId="2838EDC9" w14:textId="77777777" w:rsidR="00FF53D9" w:rsidRPr="00943576" w:rsidRDefault="00FF53D9" w:rsidP="00FF53D9">
      <w:pPr>
        <w:rPr>
          <w:szCs w:val="24"/>
          <w:lang w:val="es-ES_tradnl"/>
        </w:rPr>
      </w:pPr>
      <w:r w:rsidRPr="00943576">
        <w:rPr>
          <w:lang w:val="es-ES_tradnl"/>
        </w:rPr>
        <w:t>Hay limitaciones al control de las actitudes, ya sea por la inexactitud de la detección de los sensores, el flujo atmosférico o ambas cosas. Por ejemplo, es posible que el dron no comunique la dirección del origen real en el mismo momento en que el sensor de movimiento del dron detecta la orientación hacia el origen. Si el dron se utiliza sin ningún dispositivo adicional para compensar la rotación e inclinación, como los equipos láser, el ángulo de medición puede variar fácilmente en varios grados, dando lugar a un error de medición.</w:t>
      </w:r>
    </w:p>
    <w:p w14:paraId="2B06FCA8" w14:textId="77777777" w:rsidR="00FF53D9" w:rsidRPr="00943576" w:rsidRDefault="00FF53D9" w:rsidP="00FF53D9">
      <w:pPr>
        <w:pStyle w:val="Heading3"/>
        <w:rPr>
          <w:lang w:val="es-ES_tradnl"/>
        </w:rPr>
      </w:pPr>
      <w:r w:rsidRPr="00943576">
        <w:rPr>
          <w:lang w:val="es-ES_tradnl"/>
        </w:rPr>
        <w:t>3.3.2</w:t>
      </w:r>
      <w:r w:rsidRPr="00943576">
        <w:rPr>
          <w:lang w:val="es-ES_tradnl"/>
        </w:rPr>
        <w:tab/>
        <w:t>Dependencia de las condiciones meteorológicas</w:t>
      </w:r>
    </w:p>
    <w:p w14:paraId="46177B31" w14:textId="1337861E" w:rsidR="00FF53D9" w:rsidRPr="00943576" w:rsidRDefault="00FF53D9" w:rsidP="00FF53D9">
      <w:pPr>
        <w:rPr>
          <w:rFonts w:ascii="Times New Roman Bold" w:hAnsi="Times New Roman Bold" w:cs="Times New Roman Bold"/>
          <w:b/>
          <w:lang w:val="es-ES_tradnl"/>
        </w:rPr>
      </w:pPr>
      <w:r w:rsidRPr="00943576">
        <w:rPr>
          <w:lang w:val="es-ES_tradnl"/>
        </w:rPr>
        <w:t xml:space="preserve">La planificación de la misión depende de las previsiones </w:t>
      </w:r>
      <w:r w:rsidR="004D621E" w:rsidRPr="00943576">
        <w:rPr>
          <w:lang w:val="es-ES_tradnl"/>
        </w:rPr>
        <w:t>meteorológicas</w:t>
      </w:r>
      <w:r w:rsidRPr="00943576">
        <w:rPr>
          <w:lang w:val="es-ES_tradnl"/>
        </w:rPr>
        <w:t xml:space="preserve">, pero es un factor que debe comprobarse </w:t>
      </w:r>
      <w:r w:rsidRPr="00943576">
        <w:rPr>
          <w:i/>
          <w:iCs/>
          <w:lang w:val="es-ES_tradnl"/>
        </w:rPr>
        <w:t>in</w:t>
      </w:r>
      <w:r w:rsidR="00FE3B05" w:rsidRPr="00943576">
        <w:rPr>
          <w:i/>
          <w:iCs/>
          <w:lang w:val="es-ES_tradnl"/>
        </w:rPr>
        <w:t> </w:t>
      </w:r>
      <w:r w:rsidRPr="00943576">
        <w:rPr>
          <w:i/>
          <w:iCs/>
          <w:lang w:val="es-ES_tradnl"/>
        </w:rPr>
        <w:t>situ</w:t>
      </w:r>
      <w:r w:rsidRPr="00943576">
        <w:rPr>
          <w:lang w:val="es-ES_tradnl"/>
        </w:rPr>
        <w:t xml:space="preserve"> y el que más incide en las actividades del dron. Las temperaturas altas o bajas también pueden incidir negativamente en las baterías, los sensores, los motores y los equipos de comprobación técnica radioeléctrica. </w:t>
      </w:r>
      <w:r w:rsidR="004D621E" w:rsidRPr="00943576">
        <w:rPr>
          <w:lang w:val="es-ES_tradnl"/>
        </w:rPr>
        <w:t>Asimismo</w:t>
      </w:r>
      <w:r w:rsidRPr="00943576">
        <w:rPr>
          <w:lang w:val="es-ES_tradnl"/>
        </w:rPr>
        <w:t xml:space="preserve">, es difícil operar con los drones en condiciones de gran humedad, los días de niebla, lluvia o nieve, y su utilización puede verse limitada por el clima local de la zona de medición. Además, los fuertes vientos dificultan el vuelo de los drones, y pueden afectar negativamente a los resultados de </w:t>
      </w:r>
      <w:r w:rsidR="004F151C" w:rsidRPr="00943576">
        <w:rPr>
          <w:lang w:val="es-ES_tradnl"/>
        </w:rPr>
        <w:t xml:space="preserve">la </w:t>
      </w:r>
      <w:r w:rsidRPr="00943576">
        <w:rPr>
          <w:lang w:val="es-ES_tradnl"/>
        </w:rPr>
        <w:t>medición.</w:t>
      </w:r>
    </w:p>
    <w:p w14:paraId="0DDDEF8E" w14:textId="77777777" w:rsidR="00FF53D9" w:rsidRPr="00943576" w:rsidRDefault="00FF53D9" w:rsidP="00FF53D9">
      <w:pPr>
        <w:pStyle w:val="Heading3"/>
        <w:rPr>
          <w:lang w:val="es-ES_tradnl"/>
        </w:rPr>
      </w:pPr>
      <w:r w:rsidRPr="00943576">
        <w:rPr>
          <w:lang w:val="es-ES_tradnl"/>
        </w:rPr>
        <w:t>3.3.3</w:t>
      </w:r>
      <w:r w:rsidRPr="00943576">
        <w:rPr>
          <w:lang w:val="es-ES_tradnl"/>
        </w:rPr>
        <w:tab/>
        <w:t>Períodos breves de funcionamiento</w:t>
      </w:r>
    </w:p>
    <w:p w14:paraId="163BCB84" w14:textId="652834E1" w:rsidR="00FF53D9" w:rsidRPr="00943576" w:rsidRDefault="00FF53D9" w:rsidP="00FF53D9">
      <w:pPr>
        <w:rPr>
          <w:szCs w:val="24"/>
          <w:lang w:val="es-ES_tradnl"/>
        </w:rPr>
      </w:pPr>
      <w:r w:rsidRPr="00943576">
        <w:rPr>
          <w:lang w:val="es-ES_tradnl"/>
        </w:rPr>
        <w:t>Dado que su suministro energético es limitado, los vuelos de los drones suelen durar menos de diez</w:t>
      </w:r>
      <w:r w:rsidR="00622DDE">
        <w:rPr>
          <w:lang w:val="es-ES_tradnl"/>
        </w:rPr>
        <w:t> </w:t>
      </w:r>
      <w:r w:rsidRPr="00943576">
        <w:rPr>
          <w:lang w:val="es-ES_tradnl"/>
        </w:rPr>
        <w:t xml:space="preserve">minutos y se necesitan baterías de </w:t>
      </w:r>
      <w:r w:rsidR="004D621E" w:rsidRPr="00943576">
        <w:rPr>
          <w:lang w:val="es-ES_tradnl"/>
        </w:rPr>
        <w:t>repuesto</w:t>
      </w:r>
      <w:r w:rsidRPr="00943576">
        <w:rPr>
          <w:lang w:val="es-ES_tradnl"/>
        </w:rPr>
        <w:t xml:space="preserve"> y estaciones de recarga para utilizarlos de manera repetida.</w:t>
      </w:r>
    </w:p>
    <w:p w14:paraId="0EFB51E2" w14:textId="77777777" w:rsidR="00FF53D9" w:rsidRPr="00943576" w:rsidRDefault="00FF53D9" w:rsidP="00FF53D9">
      <w:pPr>
        <w:pStyle w:val="Heading3"/>
        <w:rPr>
          <w:lang w:val="es-ES_tradnl"/>
        </w:rPr>
      </w:pPr>
      <w:r w:rsidRPr="00943576">
        <w:rPr>
          <w:lang w:val="es-ES_tradnl"/>
        </w:rPr>
        <w:t>3.3.4</w:t>
      </w:r>
      <w:r w:rsidRPr="00943576">
        <w:rPr>
          <w:lang w:val="es-ES_tradnl"/>
        </w:rPr>
        <w:tab/>
        <w:t>Tamaño, peso y potencia</w:t>
      </w:r>
    </w:p>
    <w:p w14:paraId="5A811727" w14:textId="77777777" w:rsidR="00FF53D9" w:rsidRPr="00943576" w:rsidRDefault="00FF53D9" w:rsidP="00FF53D9">
      <w:pPr>
        <w:rPr>
          <w:szCs w:val="24"/>
          <w:lang w:val="es-ES_tradnl"/>
        </w:rPr>
      </w:pPr>
      <w:r w:rsidRPr="00943576">
        <w:rPr>
          <w:lang w:val="es-ES_tradnl"/>
        </w:rPr>
        <w:t>Los drones comerciales, que se pueden comprar fácilmente, son relativamente pequeños y ligeros, por lo que tienen grandes limitaciones respecto del peso de la carga útil, como el suministro de energía, los periféricos instalados, las antenas y los receptores de comprobación técnica radioeléctrica.</w:t>
      </w:r>
    </w:p>
    <w:p w14:paraId="25621B05" w14:textId="77777777" w:rsidR="00FF53D9" w:rsidRPr="00943576" w:rsidRDefault="00FF53D9" w:rsidP="00FF53D9">
      <w:pPr>
        <w:pStyle w:val="Heading3"/>
        <w:rPr>
          <w:lang w:val="es-ES_tradnl"/>
        </w:rPr>
      </w:pPr>
      <w:r w:rsidRPr="00943576">
        <w:rPr>
          <w:lang w:val="es-ES_tradnl"/>
        </w:rPr>
        <w:lastRenderedPageBreak/>
        <w:t>3.3.5</w:t>
      </w:r>
      <w:r w:rsidRPr="00943576">
        <w:rPr>
          <w:lang w:val="es-ES_tradnl"/>
        </w:rPr>
        <w:tab/>
        <w:t>Riesgo de accidente</w:t>
      </w:r>
    </w:p>
    <w:p w14:paraId="3FB35F37" w14:textId="21CE51CA" w:rsidR="00FF53D9" w:rsidRPr="00943576" w:rsidRDefault="00FF53D9" w:rsidP="00FF53D9">
      <w:pPr>
        <w:rPr>
          <w:szCs w:val="24"/>
          <w:lang w:val="es-ES_tradnl"/>
        </w:rPr>
      </w:pPr>
      <w:r w:rsidRPr="00943576">
        <w:rPr>
          <w:lang w:val="es-ES_tradnl"/>
        </w:rPr>
        <w:t>Los sistemas tienen muchas limitaciones y presentan ciertos riesgos de accidente. Durante el vuelo, los drones siempre presentan un riesgo de accidente que puede incluir lesiones a personas y daños a bienes y a los sistemas a bordo durante el funcionamiento.</w:t>
      </w:r>
    </w:p>
    <w:p w14:paraId="5F5896FF" w14:textId="77777777" w:rsidR="00FF53D9" w:rsidRPr="00943576" w:rsidRDefault="00FF53D9" w:rsidP="00FF53D9">
      <w:pPr>
        <w:pStyle w:val="Heading3"/>
        <w:rPr>
          <w:lang w:val="es-ES_tradnl"/>
        </w:rPr>
      </w:pPr>
      <w:r w:rsidRPr="00943576">
        <w:rPr>
          <w:lang w:val="es-ES_tradnl"/>
        </w:rPr>
        <w:t>3.3.6</w:t>
      </w:r>
      <w:r w:rsidRPr="00943576">
        <w:rPr>
          <w:lang w:val="es-ES_tradnl"/>
        </w:rPr>
        <w:tab/>
        <w:t>Costo y normativa</w:t>
      </w:r>
    </w:p>
    <w:p w14:paraId="64A5A28E" w14:textId="71DC9A2E" w:rsidR="00FF53D9" w:rsidRPr="00943576" w:rsidRDefault="004F151C" w:rsidP="00FF53D9">
      <w:pPr>
        <w:rPr>
          <w:lang w:val="es-ES_tradnl"/>
        </w:rPr>
      </w:pPr>
      <w:r w:rsidRPr="00943576">
        <w:rPr>
          <w:lang w:val="es-ES_tradnl"/>
        </w:rPr>
        <w:t>Debido a su</w:t>
      </w:r>
      <w:r w:rsidR="00FF53D9" w:rsidRPr="00943576">
        <w:rPr>
          <w:lang w:val="es-ES_tradnl"/>
        </w:rPr>
        <w:t xml:space="preserve"> ent</w:t>
      </w:r>
      <w:r w:rsidRPr="00943576">
        <w:rPr>
          <w:lang w:val="es-ES_tradnl"/>
        </w:rPr>
        <w:t>orno y método de funcionamiento, l</w:t>
      </w:r>
      <w:r w:rsidR="00FF53D9" w:rsidRPr="00943576">
        <w:rPr>
          <w:lang w:val="es-ES_tradnl"/>
        </w:rPr>
        <w:t>os drones están sujetos a muchas limitaciones, y en vista del riesgo de accidente, es necesario evaluar su rentabilidad cuando se recurre a la comprobación técnica del espectro basada en drones con fines especiales.</w:t>
      </w:r>
    </w:p>
    <w:p w14:paraId="415A0D55" w14:textId="77777777" w:rsidR="00FF53D9" w:rsidRPr="00943576" w:rsidRDefault="00FF53D9" w:rsidP="00FF53D9">
      <w:pPr>
        <w:pStyle w:val="Heading1"/>
        <w:rPr>
          <w:lang w:val="es-ES_tradnl"/>
        </w:rPr>
      </w:pPr>
      <w:bookmarkStart w:id="18" w:name="_Toc77502927"/>
      <w:r w:rsidRPr="00943576">
        <w:rPr>
          <w:lang w:val="es-ES_tradnl"/>
        </w:rPr>
        <w:t>4</w:t>
      </w:r>
      <w:r w:rsidRPr="00943576">
        <w:rPr>
          <w:lang w:val="es-ES_tradnl"/>
        </w:rPr>
        <w:tab/>
        <w:t>Casos de uso y experimentos</w:t>
      </w:r>
      <w:bookmarkEnd w:id="18"/>
    </w:p>
    <w:p w14:paraId="36BE575D" w14:textId="3713D0EB" w:rsidR="00FF53D9" w:rsidRPr="00943576" w:rsidRDefault="00FF53D9" w:rsidP="00FF53D9">
      <w:pPr>
        <w:pStyle w:val="Heading2"/>
        <w:rPr>
          <w:lang w:val="es-ES_tradnl"/>
        </w:rPr>
      </w:pPr>
      <w:bookmarkStart w:id="19" w:name="_Toc77502928"/>
      <w:r w:rsidRPr="00943576">
        <w:rPr>
          <w:lang w:val="es-ES_tradnl"/>
        </w:rPr>
        <w:t>4.1</w:t>
      </w:r>
      <w:r w:rsidRPr="00943576">
        <w:rPr>
          <w:lang w:val="es-ES_tradnl"/>
        </w:rPr>
        <w:tab/>
        <w:t xml:space="preserve">Medición de la intensidad de campo radioeléctrico: Señal de radiodifusión de </w:t>
      </w:r>
      <w:r w:rsidR="004F151C" w:rsidRPr="00943576">
        <w:rPr>
          <w:lang w:val="es-ES_tradnl"/>
        </w:rPr>
        <w:t xml:space="preserve">la </w:t>
      </w:r>
      <w:r w:rsidRPr="00943576">
        <w:rPr>
          <w:lang w:val="es-ES_tradnl"/>
        </w:rPr>
        <w:t>televisión digital (TVD)</w:t>
      </w:r>
      <w:bookmarkEnd w:id="19"/>
    </w:p>
    <w:p w14:paraId="3F2A4A53" w14:textId="339D941F" w:rsidR="00FF53D9" w:rsidRPr="00943576" w:rsidRDefault="00FF53D9" w:rsidP="00FF53D9">
      <w:pPr>
        <w:rPr>
          <w:szCs w:val="24"/>
          <w:lang w:val="es-ES_tradnl"/>
        </w:rPr>
      </w:pPr>
      <w:r w:rsidRPr="00943576">
        <w:rPr>
          <w:lang w:val="es-ES_tradnl"/>
        </w:rPr>
        <w:t xml:space="preserve">En este apartado se expone la medición de las señales radioeléctricas para la radiodifusión terrenal desde la plataforma de una ANT y </w:t>
      </w:r>
      <w:r w:rsidR="004F151C" w:rsidRPr="00943576">
        <w:rPr>
          <w:lang w:val="es-ES_tradnl"/>
        </w:rPr>
        <w:t xml:space="preserve">se </w:t>
      </w:r>
      <w:r w:rsidRPr="00943576">
        <w:rPr>
          <w:lang w:val="es-ES_tradnl"/>
        </w:rPr>
        <w:t>compara</w:t>
      </w:r>
      <w:r w:rsidR="004F151C" w:rsidRPr="00943576">
        <w:rPr>
          <w:lang w:val="es-ES_tradnl"/>
        </w:rPr>
        <w:t>n</w:t>
      </w:r>
      <w:r w:rsidRPr="00943576">
        <w:rPr>
          <w:lang w:val="es-ES_tradnl"/>
        </w:rPr>
        <w:t xml:space="preserve"> los resultados con las mediciones realizadas con un sistema tradicional </w:t>
      </w:r>
      <w:r w:rsidR="00493196" w:rsidRPr="00943576">
        <w:rPr>
          <w:lang w:val="es-ES_tradnl"/>
        </w:rPr>
        <w:t>fijo de comprobación técnica</w:t>
      </w:r>
      <w:r w:rsidRPr="00943576">
        <w:rPr>
          <w:lang w:val="es-ES_tradnl"/>
        </w:rPr>
        <w:t>.</w:t>
      </w:r>
    </w:p>
    <w:p w14:paraId="54722D30" w14:textId="4CC83014" w:rsidR="00FF53D9" w:rsidRPr="00943576" w:rsidRDefault="00FF53D9" w:rsidP="00FF53D9">
      <w:pPr>
        <w:rPr>
          <w:lang w:val="es-ES_tradnl"/>
        </w:rPr>
      </w:pPr>
      <w:r w:rsidRPr="00943576">
        <w:rPr>
          <w:lang w:val="es-ES_tradnl"/>
        </w:rPr>
        <w:t xml:space="preserve">La </w:t>
      </w:r>
      <w:r w:rsidR="00FE3B05" w:rsidRPr="00943576">
        <w:rPr>
          <w:lang w:val="es-ES_tradnl"/>
        </w:rPr>
        <w:t xml:space="preserve">Fig. </w:t>
      </w:r>
      <w:r w:rsidRPr="00943576">
        <w:rPr>
          <w:lang w:val="es-ES_tradnl"/>
        </w:rPr>
        <w:t xml:space="preserve">3 ilustra el sistema remoto de comprobación técnica radioeléctrica </w:t>
      </w:r>
      <w:r w:rsidR="00493196" w:rsidRPr="00943576">
        <w:rPr>
          <w:lang w:val="es-ES_tradnl"/>
        </w:rPr>
        <w:t>de</w:t>
      </w:r>
      <w:r w:rsidRPr="00943576">
        <w:rPr>
          <w:lang w:val="es-ES_tradnl"/>
        </w:rPr>
        <w:t xml:space="preserve"> una ANT</w:t>
      </w:r>
      <w:r w:rsidR="00493196" w:rsidRPr="00943576">
        <w:rPr>
          <w:lang w:val="es-ES_tradnl"/>
        </w:rPr>
        <w:t>.</w:t>
      </w:r>
    </w:p>
    <w:p w14:paraId="3B3C7EE0" w14:textId="4AAB701C" w:rsidR="00FF53D9" w:rsidRPr="00943576" w:rsidRDefault="00FF53D9" w:rsidP="00FF53D9">
      <w:pPr>
        <w:pStyle w:val="FigureNo"/>
        <w:rPr>
          <w:rFonts w:eastAsia="휴먼명조"/>
          <w:lang w:val="es-ES_tradnl"/>
        </w:rPr>
      </w:pPr>
      <w:r w:rsidRPr="00943576">
        <w:rPr>
          <w:lang w:val="es-ES_tradnl"/>
        </w:rPr>
        <w:t>FIGURA 3</w:t>
      </w:r>
    </w:p>
    <w:p w14:paraId="1ADC3B8F" w14:textId="0A6FE922" w:rsidR="00FF53D9" w:rsidRPr="00943576" w:rsidRDefault="00FF53D9" w:rsidP="00FF53D9">
      <w:pPr>
        <w:pStyle w:val="Figuretitle"/>
        <w:rPr>
          <w:lang w:val="es-ES_tradnl"/>
        </w:rPr>
      </w:pPr>
      <w:r w:rsidRPr="00943576">
        <w:rPr>
          <w:lang w:val="es-ES_tradnl"/>
        </w:rPr>
        <w:t xml:space="preserve">Sistema remoto de comprobación técnica radioeléctrica </w:t>
      </w:r>
      <w:r w:rsidR="00493196" w:rsidRPr="00943576">
        <w:rPr>
          <w:lang w:val="es-ES_tradnl"/>
        </w:rPr>
        <w:t>de una</w:t>
      </w:r>
      <w:r w:rsidRPr="00943576">
        <w:rPr>
          <w:lang w:val="es-ES_tradnl"/>
        </w:rPr>
        <w:t xml:space="preserve"> ANT</w:t>
      </w:r>
    </w:p>
    <w:tbl>
      <w:tblPr>
        <w:tblW w:w="0" w:type="auto"/>
        <w:jc w:val="center"/>
        <w:tblLayout w:type="fixed"/>
        <w:tblLook w:val="04A0" w:firstRow="1" w:lastRow="0" w:firstColumn="1" w:lastColumn="0" w:noHBand="0" w:noVBand="1"/>
      </w:tblPr>
      <w:tblGrid>
        <w:gridCol w:w="4209"/>
        <w:gridCol w:w="4252"/>
      </w:tblGrid>
      <w:tr w:rsidR="00FF53D9" w:rsidRPr="00943576" w14:paraId="4E6565A8" w14:textId="77777777" w:rsidTr="00FE0D99">
        <w:trPr>
          <w:cantSplit/>
          <w:trHeight w:val="427"/>
          <w:jc w:val="center"/>
        </w:trPr>
        <w:tc>
          <w:tcPr>
            <w:tcW w:w="4209" w:type="dxa"/>
            <w:vAlign w:val="center"/>
            <w:hideMark/>
          </w:tcPr>
          <w:p w14:paraId="0DE58ACF" w14:textId="77777777" w:rsidR="00FF53D9" w:rsidRPr="00943576" w:rsidRDefault="00FF53D9" w:rsidP="00FE0D99">
            <w:pPr>
              <w:pStyle w:val="Figuretitle"/>
              <w:rPr>
                <w:rFonts w:ascii="휴먼명조"/>
                <w:sz w:val="22"/>
                <w:lang w:val="es-ES_tradnl"/>
              </w:rPr>
            </w:pPr>
            <w:r w:rsidRPr="00943576">
              <w:rPr>
                <w:lang w:val="es-ES_tradnl"/>
              </w:rPr>
              <w:t>Alcance de la comprobación técnica radioeléctrica mediante una ANT</w:t>
            </w:r>
          </w:p>
        </w:tc>
        <w:tc>
          <w:tcPr>
            <w:tcW w:w="4252" w:type="dxa"/>
            <w:vAlign w:val="center"/>
            <w:hideMark/>
          </w:tcPr>
          <w:p w14:paraId="3A0AE0F8" w14:textId="20EBCB8C" w:rsidR="00FF53D9" w:rsidRPr="00943576" w:rsidRDefault="00FF53D9" w:rsidP="00FE0D99">
            <w:pPr>
              <w:pStyle w:val="Figuretitle"/>
              <w:rPr>
                <w:rFonts w:ascii="휴먼명조"/>
                <w:sz w:val="22"/>
                <w:lang w:val="es-ES_tradnl"/>
              </w:rPr>
            </w:pPr>
            <w:r w:rsidRPr="00943576">
              <w:rPr>
                <w:lang w:val="es-ES_tradnl"/>
              </w:rPr>
              <w:t>Sistema de comprobación técnica radioeléctrica</w:t>
            </w:r>
            <w:r w:rsidR="00FE3B05" w:rsidRPr="00943576">
              <w:rPr>
                <w:lang w:val="es-ES_tradnl"/>
              </w:rPr>
              <w:br/>
            </w:r>
            <w:r w:rsidRPr="00943576">
              <w:rPr>
                <w:lang w:val="es-ES_tradnl"/>
              </w:rPr>
              <w:t>con una ANT</w:t>
            </w:r>
          </w:p>
        </w:tc>
      </w:tr>
      <w:tr w:rsidR="00FF53D9" w:rsidRPr="00943576" w14:paraId="72131BEE" w14:textId="77777777" w:rsidTr="00FE0D99">
        <w:trPr>
          <w:trHeight w:val="4106"/>
          <w:jc w:val="center"/>
        </w:trPr>
        <w:tc>
          <w:tcPr>
            <w:tcW w:w="4209" w:type="dxa"/>
            <w:vAlign w:val="center"/>
            <w:hideMark/>
          </w:tcPr>
          <w:p w14:paraId="22F9B686" w14:textId="25F6F95E" w:rsidR="005D35ED" w:rsidRPr="00943576" w:rsidRDefault="000C0454" w:rsidP="000C0454">
            <w:pPr>
              <w:pStyle w:val="Figure"/>
              <w:rPr>
                <w:sz w:val="20"/>
                <w:lang w:val="es-ES_tradnl"/>
              </w:rPr>
            </w:pPr>
            <w:r>
              <w:rPr>
                <w:noProof/>
              </w:rPr>
              <w:drawing>
                <wp:inline distT="0" distB="0" distL="0" distR="0" wp14:anchorId="0EC94286" wp14:editId="5A09CB12">
                  <wp:extent cx="2535555" cy="3295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5555" cy="3295015"/>
                          </a:xfrm>
                          <a:prstGeom prst="rect">
                            <a:avLst/>
                          </a:prstGeom>
                        </pic:spPr>
                      </pic:pic>
                    </a:graphicData>
                  </a:graphic>
                </wp:inline>
              </w:drawing>
            </w:r>
          </w:p>
        </w:tc>
        <w:tc>
          <w:tcPr>
            <w:tcW w:w="4252" w:type="dxa"/>
            <w:vAlign w:val="center"/>
            <w:hideMark/>
          </w:tcPr>
          <w:p w14:paraId="60DBFA02" w14:textId="045437D5" w:rsidR="000C0454" w:rsidRPr="000C0454" w:rsidRDefault="000C0454" w:rsidP="000C0454">
            <w:pPr>
              <w:pStyle w:val="Figure"/>
              <w:rPr>
                <w:lang w:val="es-ES_tradnl"/>
              </w:rPr>
            </w:pPr>
            <w:r>
              <w:rPr>
                <w:noProof/>
              </w:rPr>
              <w:drawing>
                <wp:inline distT="0" distB="0" distL="0" distR="0" wp14:anchorId="2DEE901E" wp14:editId="341B890B">
                  <wp:extent cx="2562860" cy="160147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860" cy="1601470"/>
                          </a:xfrm>
                          <a:prstGeom prst="rect">
                            <a:avLst/>
                          </a:prstGeom>
                        </pic:spPr>
                      </pic:pic>
                    </a:graphicData>
                  </a:graphic>
                </wp:inline>
              </w:drawing>
            </w:r>
          </w:p>
        </w:tc>
      </w:tr>
    </w:tbl>
    <w:p w14:paraId="6223674E" w14:textId="2F6B1C32" w:rsidR="00FF53D9" w:rsidRPr="00943576" w:rsidRDefault="00FF53D9" w:rsidP="000C0454">
      <w:pPr>
        <w:pStyle w:val="Heading3"/>
        <w:rPr>
          <w:lang w:val="es-ES_tradnl"/>
        </w:rPr>
      </w:pPr>
      <w:r w:rsidRPr="00943576">
        <w:rPr>
          <w:lang w:val="es-ES_tradnl"/>
        </w:rPr>
        <w:lastRenderedPageBreak/>
        <w:t>4.1.1</w:t>
      </w:r>
      <w:r w:rsidRPr="00943576">
        <w:rPr>
          <w:lang w:val="es-ES_tradnl"/>
        </w:rPr>
        <w:tab/>
        <w:t>Consideraciones técnicas</w:t>
      </w:r>
    </w:p>
    <w:p w14:paraId="033F0045" w14:textId="6A4A0C18" w:rsidR="00FF53D9" w:rsidRPr="00943576" w:rsidRDefault="00FF53D9" w:rsidP="000C0454">
      <w:pPr>
        <w:keepNext/>
        <w:keepLines/>
        <w:rPr>
          <w:lang w:val="es-ES_tradnl"/>
        </w:rPr>
      </w:pPr>
      <w:r w:rsidRPr="00943576">
        <w:rPr>
          <w:lang w:val="es-ES_tradnl"/>
        </w:rPr>
        <w:t>Se utilizan cardanes triaxiales manuales en sistemas de estabilización diseñados para ofrecer al operador de la cámara la independencia de realizar fotografías sin trípode y sin vibraciones o movimientos de la cámara a fin de suprimir los errores de medición causados por la borrosidad durante el vuelo.</w:t>
      </w:r>
    </w:p>
    <w:p w14:paraId="22F9FDE2" w14:textId="1F51747F" w:rsidR="00FF53D9" w:rsidRPr="00943576" w:rsidRDefault="00FF53D9" w:rsidP="00FF53D9">
      <w:pPr>
        <w:rPr>
          <w:lang w:val="es-ES_tradnl"/>
        </w:rPr>
      </w:pPr>
      <w:r w:rsidRPr="00943576">
        <w:rPr>
          <w:lang w:val="es-ES_tradnl"/>
        </w:rPr>
        <w:t>Debe prestarse especial atención a las tecnologías de reconocimiento visual para lograr una posición correcta de aterrizaje. El punto de aterrizaje programado de la ANT puede tener una variación de tres metros. Para hacer frente a este posible problema, debe supervisarse la ANT durante el proceso de aterrizaje.</w:t>
      </w:r>
    </w:p>
    <w:p w14:paraId="6B8D7E06" w14:textId="78A479E1" w:rsidR="00FF53D9" w:rsidRPr="00943576" w:rsidRDefault="00FF53D9" w:rsidP="00FF53D9">
      <w:pPr>
        <w:rPr>
          <w:lang w:val="es-ES_tradnl"/>
        </w:rPr>
      </w:pPr>
      <w:r w:rsidRPr="00943576">
        <w:rPr>
          <w:lang w:val="es-ES_tradnl"/>
        </w:rPr>
        <w:t xml:space="preserve">En el caso de las mediciones realizadas en la banda de ondas decamétricas, el ruido </w:t>
      </w:r>
      <w:r w:rsidR="004D621E" w:rsidRPr="00943576">
        <w:rPr>
          <w:lang w:val="es-ES_tradnl"/>
        </w:rPr>
        <w:t>radioeléctrico</w:t>
      </w:r>
      <w:r w:rsidRPr="00943576">
        <w:rPr>
          <w:lang w:val="es-ES_tradnl"/>
        </w:rPr>
        <w:t xml:space="preserve"> que pueden generar los motores de la ANT debe documentarse y medirse.</w:t>
      </w:r>
    </w:p>
    <w:p w14:paraId="2E28A27E" w14:textId="77777777" w:rsidR="00FF53D9" w:rsidRPr="00943576" w:rsidRDefault="00FF53D9" w:rsidP="00FF53D9">
      <w:pPr>
        <w:rPr>
          <w:lang w:val="es-ES_tradnl"/>
        </w:rPr>
      </w:pPr>
      <w:r w:rsidRPr="00943576">
        <w:rPr>
          <w:lang w:val="es-ES_tradnl"/>
        </w:rPr>
        <w:t>Los operadores deben tener en cuenta el tamaño, el peso, la carga útil y el tiempo de funcionamiento de la ANT, ya que en ella se transportarán los equipos de medición.</w:t>
      </w:r>
    </w:p>
    <w:p w14:paraId="67EE8E6B" w14:textId="77777777" w:rsidR="00FF53D9" w:rsidRPr="00943576" w:rsidRDefault="00FF53D9" w:rsidP="00FF53D9">
      <w:pPr>
        <w:rPr>
          <w:lang w:val="es-ES_tradnl"/>
        </w:rPr>
      </w:pPr>
      <w:r w:rsidRPr="00943576">
        <w:rPr>
          <w:lang w:val="es-ES_tradnl"/>
        </w:rPr>
        <w:t>Entre los factores que se deben tener en cuenta para seleccionar los equipos de comprobación técnica que se utilizarán con la ANT están el tamaño, el peso, el suministro eléctrico y los resultados.</w:t>
      </w:r>
    </w:p>
    <w:p w14:paraId="45DA861F" w14:textId="2D217DB8" w:rsidR="00FF53D9" w:rsidRPr="00943576" w:rsidRDefault="00FF53D9" w:rsidP="00FF53D9">
      <w:pPr>
        <w:rPr>
          <w:lang w:val="es-ES_tradnl"/>
        </w:rPr>
      </w:pPr>
      <w:r w:rsidRPr="00943576">
        <w:rPr>
          <w:lang w:val="es-ES_tradnl"/>
        </w:rPr>
        <w:t>Cuando se selecciona una computadora de control, las especificaciones pertinentes necesarias (sistema operativo, CPU, tamaño de memoria, etc.) dependerán de los requisitos del equipo de comprobación técnica.</w:t>
      </w:r>
    </w:p>
    <w:p w14:paraId="6B5838A3" w14:textId="05AF091A" w:rsidR="00FF53D9" w:rsidRPr="00943576" w:rsidRDefault="00FF53D9" w:rsidP="002D7CE4">
      <w:pPr>
        <w:rPr>
          <w:lang w:val="es-ES_tradnl"/>
        </w:rPr>
      </w:pPr>
      <w:r w:rsidRPr="00943576">
        <w:rPr>
          <w:lang w:val="es-ES_tradnl"/>
        </w:rPr>
        <w:t>El equipo de comprobación técnica está controlado por los diez canales de comunicación disponibles del controlador remoto. Cinco de los canales se utilizan para controlar la ANT y los otros cinco canales son para controlar el programa de la computadora y el funcionamiento de los equipos a bordo.</w:t>
      </w:r>
    </w:p>
    <w:p w14:paraId="3281BC34" w14:textId="769650CB" w:rsidR="00FF53D9" w:rsidRPr="00943576" w:rsidRDefault="00FF53D9" w:rsidP="00FF53D9">
      <w:pPr>
        <w:pStyle w:val="FigureNo"/>
        <w:rPr>
          <w:lang w:val="es-ES_tradnl"/>
        </w:rPr>
      </w:pPr>
      <w:r w:rsidRPr="00943576">
        <w:rPr>
          <w:lang w:val="es-ES_tradnl"/>
        </w:rPr>
        <w:t>FIGURA 4</w:t>
      </w:r>
    </w:p>
    <w:p w14:paraId="361DDB73" w14:textId="77777777" w:rsidR="00FF53D9" w:rsidRPr="00943576" w:rsidRDefault="00FF53D9" w:rsidP="00FF53D9">
      <w:pPr>
        <w:pStyle w:val="Figuretitle"/>
        <w:rPr>
          <w:lang w:val="es-ES_tradnl"/>
        </w:rPr>
      </w:pPr>
      <w:r w:rsidRPr="00943576">
        <w:rPr>
          <w:lang w:val="es-ES_tradnl"/>
        </w:rPr>
        <w:t>Diagrama de bloques del sistema de comprobación técnica radioeléctrica con una ANT</w:t>
      </w:r>
    </w:p>
    <w:tbl>
      <w:tblPr>
        <w:tblW w:w="0" w:type="auto"/>
        <w:jc w:val="center"/>
        <w:tblLook w:val="04A0" w:firstRow="1" w:lastRow="0" w:firstColumn="1" w:lastColumn="0" w:noHBand="0" w:noVBand="1"/>
      </w:tblPr>
      <w:tblGrid>
        <w:gridCol w:w="4602"/>
        <w:gridCol w:w="4566"/>
      </w:tblGrid>
      <w:tr w:rsidR="006B4E8E" w:rsidRPr="00943576" w14:paraId="4E4D0DAB" w14:textId="77777777" w:rsidTr="005D2656">
        <w:trPr>
          <w:jc w:val="center"/>
        </w:trPr>
        <w:tc>
          <w:tcPr>
            <w:tcW w:w="4446" w:type="dxa"/>
            <w:vAlign w:val="center"/>
            <w:hideMark/>
          </w:tcPr>
          <w:p w14:paraId="3278AC56" w14:textId="26EF96BD" w:rsidR="00FF53D9" w:rsidRPr="00943576" w:rsidRDefault="00FF53D9" w:rsidP="00690143">
            <w:pPr>
              <w:pStyle w:val="Figuretitle"/>
              <w:rPr>
                <w:lang w:val="es-ES_tradnl"/>
              </w:rPr>
            </w:pPr>
            <w:r w:rsidRPr="00943576">
              <w:rPr>
                <w:lang w:val="es-ES_tradnl"/>
              </w:rPr>
              <w:t xml:space="preserve">Plan de canales </w:t>
            </w:r>
            <w:r w:rsidR="00690143" w:rsidRPr="00943576">
              <w:rPr>
                <w:lang w:val="es-ES_tradnl"/>
              </w:rPr>
              <w:t>de control de</w:t>
            </w:r>
            <w:r w:rsidRPr="00943576">
              <w:rPr>
                <w:lang w:val="es-ES_tradnl"/>
              </w:rPr>
              <w:t xml:space="preserve"> una ANT</w:t>
            </w:r>
          </w:p>
        </w:tc>
        <w:tc>
          <w:tcPr>
            <w:tcW w:w="4536" w:type="dxa"/>
            <w:vAlign w:val="center"/>
            <w:hideMark/>
          </w:tcPr>
          <w:p w14:paraId="5A7825C0" w14:textId="77777777" w:rsidR="00FF53D9" w:rsidRPr="00943576" w:rsidRDefault="00FF53D9" w:rsidP="00FE0D99">
            <w:pPr>
              <w:pStyle w:val="Figuretitle"/>
              <w:rPr>
                <w:lang w:val="es-ES_tradnl"/>
              </w:rPr>
            </w:pPr>
            <w:r w:rsidRPr="00943576">
              <w:rPr>
                <w:lang w:val="es-ES_tradnl"/>
              </w:rPr>
              <w:t xml:space="preserve">Arquitectura del sistema de comprobación técnica radioeléctrica para la computadora de control </w:t>
            </w:r>
          </w:p>
        </w:tc>
      </w:tr>
      <w:tr w:rsidR="006B4E8E" w:rsidRPr="00943576" w14:paraId="52794ECA" w14:textId="77777777" w:rsidTr="005D2656">
        <w:trPr>
          <w:trHeight w:val="2985"/>
          <w:jc w:val="center"/>
        </w:trPr>
        <w:tc>
          <w:tcPr>
            <w:tcW w:w="4446" w:type="dxa"/>
            <w:vAlign w:val="center"/>
            <w:hideMark/>
          </w:tcPr>
          <w:p w14:paraId="7D122791" w14:textId="15057CDD" w:rsidR="006B4E8E" w:rsidRPr="006B4E8E" w:rsidRDefault="006B4E8E" w:rsidP="006B4E8E">
            <w:pPr>
              <w:pStyle w:val="Figure"/>
              <w:rPr>
                <w:lang w:val="es-ES_tradnl"/>
              </w:rPr>
            </w:pPr>
            <w:r>
              <w:rPr>
                <w:noProof/>
              </w:rPr>
              <w:drawing>
                <wp:inline distT="0" distB="0" distL="0" distR="0" wp14:anchorId="0E93EC00" wp14:editId="3FEE7A7F">
                  <wp:extent cx="2785731" cy="17181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708" cy="1727380"/>
                          </a:xfrm>
                          <a:prstGeom prst="rect">
                            <a:avLst/>
                          </a:prstGeom>
                        </pic:spPr>
                      </pic:pic>
                    </a:graphicData>
                  </a:graphic>
                </wp:inline>
              </w:drawing>
            </w:r>
          </w:p>
        </w:tc>
        <w:tc>
          <w:tcPr>
            <w:tcW w:w="4536" w:type="dxa"/>
            <w:vAlign w:val="center"/>
            <w:hideMark/>
          </w:tcPr>
          <w:p w14:paraId="3C84ECB2" w14:textId="300BD1CB" w:rsidR="00FF53D9" w:rsidRPr="00943576" w:rsidRDefault="006B4E8E" w:rsidP="00FE0D99">
            <w:pPr>
              <w:pStyle w:val="Figure"/>
              <w:rPr>
                <w:lang w:val="es-ES_tradnl"/>
              </w:rPr>
            </w:pPr>
            <w:r>
              <w:rPr>
                <w:noProof/>
              </w:rPr>
              <w:drawing>
                <wp:inline distT="0" distB="0" distL="0" distR="0" wp14:anchorId="507C3728" wp14:editId="21D64DB1">
                  <wp:extent cx="2757148" cy="1346108"/>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3752" cy="1363979"/>
                          </a:xfrm>
                          <a:prstGeom prst="rect">
                            <a:avLst/>
                          </a:prstGeom>
                        </pic:spPr>
                      </pic:pic>
                    </a:graphicData>
                  </a:graphic>
                </wp:inline>
              </w:drawing>
            </w:r>
          </w:p>
        </w:tc>
      </w:tr>
    </w:tbl>
    <w:p w14:paraId="12D08B54" w14:textId="5AC8B083" w:rsidR="00FF53D9" w:rsidRPr="00943576" w:rsidRDefault="00FF53D9" w:rsidP="00FF53D9">
      <w:pPr>
        <w:pStyle w:val="Heading3"/>
        <w:rPr>
          <w:lang w:val="es-ES_tradnl"/>
        </w:rPr>
      </w:pPr>
      <w:r w:rsidRPr="00943576">
        <w:rPr>
          <w:lang w:val="es-ES_tradnl"/>
        </w:rPr>
        <w:t>4.1.2</w:t>
      </w:r>
      <w:r w:rsidRPr="00943576">
        <w:rPr>
          <w:lang w:val="es-ES_tradnl"/>
        </w:rPr>
        <w:tab/>
        <w:t>Experimento de medición de la señal de radiodifusión terrenal de televisión digital (TVD) mediante ANT</w:t>
      </w:r>
    </w:p>
    <w:p w14:paraId="657DD73A" w14:textId="77777777" w:rsidR="00FF53D9" w:rsidRPr="00943576" w:rsidRDefault="00FF53D9" w:rsidP="00FF53D9">
      <w:pPr>
        <w:rPr>
          <w:szCs w:val="24"/>
          <w:lang w:val="es-ES_tradnl"/>
        </w:rPr>
      </w:pPr>
      <w:r w:rsidRPr="00943576">
        <w:rPr>
          <w:lang w:val="es-ES_tradnl"/>
        </w:rPr>
        <w:t>A continuación se expone una comparación de los resultados obtenidos en la medición para la radiodifusión de TVD entre la comprobación técnica radioeléctrica fija y la comprobación técnica remota mediante drones.</w:t>
      </w:r>
    </w:p>
    <w:p w14:paraId="27B6B160" w14:textId="5ECBCECF" w:rsidR="00FF53D9" w:rsidRPr="00943576" w:rsidRDefault="00FF53D9" w:rsidP="00FF53D9">
      <w:pPr>
        <w:pStyle w:val="FigureNo"/>
        <w:rPr>
          <w:rFonts w:eastAsia="한컴바탕"/>
          <w:lang w:val="es-ES_tradnl"/>
        </w:rPr>
      </w:pPr>
      <w:r w:rsidRPr="00943576">
        <w:rPr>
          <w:lang w:val="es-ES_tradnl"/>
        </w:rPr>
        <w:lastRenderedPageBreak/>
        <w:t>FIGURA 5</w:t>
      </w:r>
    </w:p>
    <w:p w14:paraId="26BF7988" w14:textId="48DB4A1F" w:rsidR="00FF53D9" w:rsidRPr="00943576" w:rsidRDefault="00FF53D9" w:rsidP="00FF53D9">
      <w:pPr>
        <w:pStyle w:val="Figuretitle"/>
        <w:rPr>
          <w:lang w:val="es-ES_tradnl"/>
        </w:rPr>
      </w:pPr>
      <w:r w:rsidRPr="00943576">
        <w:rPr>
          <w:lang w:val="es-ES_tradnl"/>
        </w:rPr>
        <w:t>Comprobación técnica radioeléctrica</w:t>
      </w:r>
      <w:r w:rsidR="003B476F" w:rsidRPr="00943576">
        <w:rPr>
          <w:lang w:val="es-ES_tradnl"/>
        </w:rPr>
        <w:t> –</w:t>
      </w:r>
      <w:r w:rsidRPr="00943576">
        <w:rPr>
          <w:lang w:val="es-ES_tradnl"/>
        </w:rPr>
        <w:t xml:space="preserve"> Estación de transmisión de TVD</w:t>
      </w:r>
    </w:p>
    <w:tbl>
      <w:tblPr>
        <w:tblOverlap w:val="never"/>
        <w:tblW w:w="0" w:type="auto"/>
        <w:jc w:val="center"/>
        <w:tblLook w:val="04A0" w:firstRow="1" w:lastRow="0" w:firstColumn="1" w:lastColumn="0" w:noHBand="0" w:noVBand="1"/>
      </w:tblPr>
      <w:tblGrid>
        <w:gridCol w:w="4683"/>
        <w:gridCol w:w="4667"/>
      </w:tblGrid>
      <w:tr w:rsidR="00FF53D9" w:rsidRPr="00943576" w14:paraId="08F33861" w14:textId="77777777" w:rsidTr="00FE0D99">
        <w:trPr>
          <w:cantSplit/>
          <w:jc w:val="center"/>
        </w:trPr>
        <w:tc>
          <w:tcPr>
            <w:tcW w:w="4683" w:type="dxa"/>
            <w:tcMar>
              <w:top w:w="28" w:type="dxa"/>
              <w:left w:w="102" w:type="dxa"/>
              <w:bottom w:w="28" w:type="dxa"/>
              <w:right w:w="102" w:type="dxa"/>
            </w:tcMar>
            <w:vAlign w:val="center"/>
            <w:hideMark/>
          </w:tcPr>
          <w:p w14:paraId="1AA61F17" w14:textId="77777777" w:rsidR="00FF53D9" w:rsidRPr="00943576" w:rsidRDefault="00FF53D9" w:rsidP="00FE0D99">
            <w:pPr>
              <w:pStyle w:val="Figuretitle"/>
              <w:rPr>
                <w:rFonts w:eastAsia="함초롬바탕"/>
                <w:color w:val="000000"/>
                <w:spacing w:val="-12"/>
                <w:w w:val="90"/>
                <w:lang w:val="es-ES_tradnl"/>
              </w:rPr>
            </w:pPr>
            <w:r w:rsidRPr="00943576">
              <w:rPr>
                <w:lang w:val="es-ES_tradnl"/>
              </w:rPr>
              <w:t>Comprobación técnica radioeléctrica fija</w:t>
            </w:r>
          </w:p>
        </w:tc>
        <w:tc>
          <w:tcPr>
            <w:tcW w:w="4667" w:type="dxa"/>
            <w:tcMar>
              <w:top w:w="28" w:type="dxa"/>
              <w:left w:w="102" w:type="dxa"/>
              <w:bottom w:w="28" w:type="dxa"/>
              <w:right w:w="102" w:type="dxa"/>
            </w:tcMar>
            <w:vAlign w:val="center"/>
            <w:hideMark/>
          </w:tcPr>
          <w:p w14:paraId="7203702C" w14:textId="1F967456" w:rsidR="00FF53D9" w:rsidRPr="00943576" w:rsidRDefault="00FF53D9" w:rsidP="00FE0D99">
            <w:pPr>
              <w:pStyle w:val="Figuretitle"/>
              <w:rPr>
                <w:lang w:val="es-ES_tradnl"/>
              </w:rPr>
            </w:pPr>
            <w:r w:rsidRPr="00943576">
              <w:rPr>
                <w:lang w:val="es-ES_tradnl"/>
              </w:rPr>
              <w:t>Comprobación técnica radioeléctrica remot</w:t>
            </w:r>
            <w:r w:rsidR="00943576">
              <w:rPr>
                <w:lang w:val="es-ES_tradnl"/>
              </w:rPr>
              <w:t>a</w:t>
            </w:r>
            <w:r w:rsidR="00FE3B05" w:rsidRPr="00943576">
              <w:rPr>
                <w:lang w:val="es-ES_tradnl"/>
              </w:rPr>
              <w:br/>
            </w:r>
            <w:r w:rsidRPr="00943576">
              <w:rPr>
                <w:lang w:val="es-ES_tradnl"/>
              </w:rPr>
              <w:t>mediante drones</w:t>
            </w:r>
          </w:p>
        </w:tc>
      </w:tr>
      <w:tr w:rsidR="00FF53D9" w:rsidRPr="00943576" w14:paraId="1AFD09E8" w14:textId="77777777" w:rsidTr="00FE0D99">
        <w:trPr>
          <w:cantSplit/>
          <w:jc w:val="center"/>
        </w:trPr>
        <w:tc>
          <w:tcPr>
            <w:tcW w:w="4683" w:type="dxa"/>
            <w:tcMar>
              <w:top w:w="28" w:type="dxa"/>
              <w:left w:w="102" w:type="dxa"/>
              <w:bottom w:w="28" w:type="dxa"/>
              <w:right w:w="102" w:type="dxa"/>
            </w:tcMar>
            <w:vAlign w:val="center"/>
            <w:hideMark/>
          </w:tcPr>
          <w:p w14:paraId="75C6A665" w14:textId="77777777" w:rsidR="00FF53D9" w:rsidRPr="00943576" w:rsidRDefault="00FF53D9" w:rsidP="00FE0D99">
            <w:pPr>
              <w:pStyle w:val="Figure"/>
              <w:rPr>
                <w:w w:val="90"/>
                <w:lang w:val="es-ES_tradnl"/>
              </w:rPr>
            </w:pPr>
            <w:r w:rsidRPr="00943576">
              <w:rPr>
                <w:noProof/>
                <w:lang w:val="es-ES_tradnl" w:eastAsia="es-ES"/>
              </w:rPr>
              <w:drawing>
                <wp:inline distT="0" distB="0" distL="0" distR="0" wp14:anchorId="4F837301" wp14:editId="00DFC482">
                  <wp:extent cx="2289810" cy="1828800"/>
                  <wp:effectExtent l="0" t="0" r="0" b="0"/>
                  <wp:docPr id="14" name="Picture 4" descr="EMB00004914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000049145ac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9810" cy="1828800"/>
                          </a:xfrm>
                          <a:prstGeom prst="rect">
                            <a:avLst/>
                          </a:prstGeom>
                          <a:noFill/>
                          <a:ln>
                            <a:noFill/>
                          </a:ln>
                        </pic:spPr>
                      </pic:pic>
                    </a:graphicData>
                  </a:graphic>
                </wp:inline>
              </w:drawing>
            </w:r>
          </w:p>
        </w:tc>
        <w:tc>
          <w:tcPr>
            <w:tcW w:w="4667" w:type="dxa"/>
            <w:tcMar>
              <w:top w:w="28" w:type="dxa"/>
              <w:left w:w="102" w:type="dxa"/>
              <w:bottom w:w="28" w:type="dxa"/>
              <w:right w:w="102" w:type="dxa"/>
            </w:tcMar>
            <w:vAlign w:val="center"/>
            <w:hideMark/>
          </w:tcPr>
          <w:p w14:paraId="60EA63A1" w14:textId="77777777" w:rsidR="00FF53D9" w:rsidRPr="00943576" w:rsidRDefault="00FF53D9" w:rsidP="00FE0D99">
            <w:pPr>
              <w:pStyle w:val="Figure"/>
              <w:rPr>
                <w:w w:val="90"/>
                <w:lang w:val="es-ES_tradnl"/>
              </w:rPr>
            </w:pPr>
            <w:r w:rsidRPr="00943576">
              <w:rPr>
                <w:noProof/>
                <w:lang w:val="es-ES_tradnl" w:eastAsia="es-ES"/>
              </w:rPr>
              <w:drawing>
                <wp:inline distT="0" distB="0" distL="0" distR="0" wp14:anchorId="23826C38" wp14:editId="5D7E74A3">
                  <wp:extent cx="2289810" cy="1828800"/>
                  <wp:effectExtent l="0" t="0" r="0" b="0"/>
                  <wp:docPr id="11" name="Picture 3" descr="EMB00004914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000049145a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810" cy="1828800"/>
                          </a:xfrm>
                          <a:prstGeom prst="rect">
                            <a:avLst/>
                          </a:prstGeom>
                          <a:noFill/>
                          <a:ln>
                            <a:noFill/>
                          </a:ln>
                        </pic:spPr>
                      </pic:pic>
                    </a:graphicData>
                  </a:graphic>
                </wp:inline>
              </w:drawing>
            </w:r>
          </w:p>
        </w:tc>
      </w:tr>
    </w:tbl>
    <w:p w14:paraId="7871CAC4" w14:textId="18E8AC35" w:rsidR="00FF53D9" w:rsidRPr="00943576" w:rsidRDefault="00FF53D9" w:rsidP="00332ECE">
      <w:pPr>
        <w:pStyle w:val="Normalaftertitle"/>
        <w:rPr>
          <w:lang w:val="es-ES_tradnl"/>
        </w:rPr>
      </w:pPr>
      <w:r w:rsidRPr="00943576">
        <w:rPr>
          <w:lang w:val="es-ES_tradnl"/>
        </w:rPr>
        <w:t>Para medir las señales de radiodifusión de televisión digital (TVD)</w:t>
      </w:r>
      <w:r w:rsidR="00690143" w:rsidRPr="00943576">
        <w:rPr>
          <w:lang w:val="es-ES_tradnl"/>
        </w:rPr>
        <w:t>,</w:t>
      </w:r>
      <w:r w:rsidRPr="00943576">
        <w:rPr>
          <w:lang w:val="es-ES_tradnl"/>
        </w:rPr>
        <w:t xml:space="preserve"> la antena tiene una altura de 9 metros sobre el suelo. El método existente (comprobación técnica radioeléctrica fija) requiere la instalación de un mástil de antena hasta el vehículo de medición, dura más tiempo y exige un mayor presupuesto para la realización de mediciones y la obtención de resultados en un número limitado de centros de medición. Sin embargo, si se utiliza un dron en el proceso de comprobación técnica, podría llevar a cabo su labor a una altura de 9</w:t>
      </w:r>
      <w:r w:rsidR="00F84F73" w:rsidRPr="00943576">
        <w:rPr>
          <w:lang w:val="es-ES_tradnl"/>
        </w:rPr>
        <w:t> </w:t>
      </w:r>
      <w:r w:rsidRPr="00943576">
        <w:rPr>
          <w:lang w:val="es-ES_tradnl"/>
        </w:rPr>
        <w:t>metros en una posición estable y supervisar desde lugares a los que los vehículos de medición tendrían dificultades para acceder.</w:t>
      </w:r>
    </w:p>
    <w:p w14:paraId="407CB7F7" w14:textId="38B2F342" w:rsidR="00FF53D9" w:rsidRPr="00943576" w:rsidRDefault="00FF53D9" w:rsidP="00FF53D9">
      <w:pPr>
        <w:rPr>
          <w:lang w:val="es-ES_tradnl"/>
        </w:rPr>
      </w:pPr>
      <w:r w:rsidRPr="00943576">
        <w:rPr>
          <w:lang w:val="es-ES_tradnl"/>
        </w:rPr>
        <w:t>Se realizaron mediciones con ambos métodos en cinco canales de TVD que transmitían la señal desde la montaña Moak en la ciudad de Jeonju. La comparación de los resultados entre ambos métodos oscila entre 1 y 2</w:t>
      </w:r>
      <w:r w:rsidR="00F84F73" w:rsidRPr="00943576">
        <w:rPr>
          <w:lang w:val="es-ES_tradnl"/>
        </w:rPr>
        <w:t> </w:t>
      </w:r>
      <w:r w:rsidRPr="00943576">
        <w:rPr>
          <w:lang w:val="es-ES_tradnl"/>
        </w:rPr>
        <w:t xml:space="preserve">dB, lo cual es importante, ya que corresponde al error de medición que se registra en el método existente. La parte izquierda de la </w:t>
      </w:r>
      <w:r w:rsidR="00FE3B05" w:rsidRPr="00943576">
        <w:rPr>
          <w:lang w:val="es-ES_tradnl"/>
        </w:rPr>
        <w:t>Fig.</w:t>
      </w:r>
      <w:r w:rsidR="00F84F73" w:rsidRPr="00943576">
        <w:rPr>
          <w:lang w:val="es-ES_tradnl"/>
        </w:rPr>
        <w:t> </w:t>
      </w:r>
      <w:r w:rsidRPr="00943576">
        <w:rPr>
          <w:lang w:val="es-ES_tradnl"/>
        </w:rPr>
        <w:t>6 muestra el espectro de medición del método fijo de medición de ondas radioeléctricas con el mástil de antena, y la parte derecha muestra el espectro de medición radioeléctrica remota con drones. El Cuadro</w:t>
      </w:r>
      <w:r w:rsidR="00F84F73" w:rsidRPr="00943576">
        <w:rPr>
          <w:lang w:val="es-ES_tradnl"/>
        </w:rPr>
        <w:t> </w:t>
      </w:r>
      <w:r w:rsidRPr="00943576">
        <w:rPr>
          <w:lang w:val="es-ES_tradnl"/>
        </w:rPr>
        <w:t xml:space="preserve">1 muestra los resultados de la medición de todos los canales de radiodifusión transmitidos desde la montaña Moak. Este </w:t>
      </w:r>
      <w:r w:rsidR="00943576" w:rsidRPr="00943576">
        <w:rPr>
          <w:lang w:val="es-ES_tradnl"/>
        </w:rPr>
        <w:t>Informe</w:t>
      </w:r>
      <w:r w:rsidR="00690143" w:rsidRPr="00943576">
        <w:rPr>
          <w:lang w:val="es-ES_tradnl"/>
        </w:rPr>
        <w:t xml:space="preserve"> </w:t>
      </w:r>
      <w:r w:rsidRPr="00943576">
        <w:rPr>
          <w:lang w:val="es-ES_tradnl"/>
        </w:rPr>
        <w:t>muestra la viabilidad de la utilización de drones como sistema de comprobación técnica radioeléctrica remota, ya que el resultado de la medición obtenida con el sistema fijo tradicional de comprobación técnica radioeléctrica mediante el mástil de antena es comparable al resultado obtenido con las ANT.</w:t>
      </w:r>
    </w:p>
    <w:p w14:paraId="0BAA54D4" w14:textId="59B9024B" w:rsidR="00FF53D9" w:rsidRPr="00943576" w:rsidRDefault="00FF53D9" w:rsidP="00FF53D9">
      <w:pPr>
        <w:pStyle w:val="FigureNo"/>
        <w:rPr>
          <w:lang w:val="es-ES_tradnl"/>
        </w:rPr>
      </w:pPr>
      <w:r w:rsidRPr="00943576">
        <w:rPr>
          <w:lang w:val="es-ES_tradnl"/>
        </w:rPr>
        <w:lastRenderedPageBreak/>
        <w:t>FIGURA 6</w:t>
      </w:r>
    </w:p>
    <w:p w14:paraId="2084F12E" w14:textId="14480346" w:rsidR="00FF53D9" w:rsidRPr="00943576" w:rsidRDefault="00FF53D9" w:rsidP="00FF53D9">
      <w:pPr>
        <w:pStyle w:val="Figuretitle"/>
        <w:rPr>
          <w:lang w:val="es-ES_tradnl"/>
        </w:rPr>
      </w:pPr>
      <w:r w:rsidRPr="00943576">
        <w:rPr>
          <w:lang w:val="es-ES_tradnl"/>
        </w:rPr>
        <w:t>Resultado de la comprobación técnica del espectro de una estación</w:t>
      </w:r>
      <w:r w:rsidR="00F84F73" w:rsidRPr="00943576">
        <w:rPr>
          <w:lang w:val="es-ES_tradnl"/>
        </w:rPr>
        <w:br/>
      </w:r>
      <w:r w:rsidRPr="00943576">
        <w:rPr>
          <w:lang w:val="es-ES_tradnl"/>
        </w:rPr>
        <w:t>de radiodifusión terrenal de TVD</w:t>
      </w:r>
    </w:p>
    <w:tbl>
      <w:tblPr>
        <w:tblOverlap w:val="never"/>
        <w:tblW w:w="0" w:type="auto"/>
        <w:jc w:val="center"/>
        <w:tblLook w:val="04A0" w:firstRow="1" w:lastRow="0" w:firstColumn="1" w:lastColumn="0" w:noHBand="0" w:noVBand="1"/>
      </w:tblPr>
      <w:tblGrid>
        <w:gridCol w:w="4785"/>
        <w:gridCol w:w="4785"/>
      </w:tblGrid>
      <w:tr w:rsidR="00FF53D9" w:rsidRPr="00943576" w14:paraId="6FDF4B71" w14:textId="77777777" w:rsidTr="00FE0D99">
        <w:trPr>
          <w:jc w:val="center"/>
        </w:trPr>
        <w:tc>
          <w:tcPr>
            <w:tcW w:w="4785" w:type="dxa"/>
            <w:tcMar>
              <w:top w:w="28" w:type="dxa"/>
              <w:left w:w="102" w:type="dxa"/>
              <w:bottom w:w="28" w:type="dxa"/>
              <w:right w:w="102" w:type="dxa"/>
            </w:tcMar>
            <w:vAlign w:val="center"/>
            <w:hideMark/>
          </w:tcPr>
          <w:p w14:paraId="272532FA" w14:textId="77777777" w:rsidR="00FF53D9" w:rsidRPr="00943576" w:rsidRDefault="00FF53D9" w:rsidP="00FE0D99">
            <w:pPr>
              <w:pStyle w:val="Figuretitle"/>
              <w:rPr>
                <w:lang w:val="es-ES_tradnl"/>
              </w:rPr>
            </w:pPr>
            <w:r w:rsidRPr="00943576">
              <w:rPr>
                <w:lang w:val="es-ES_tradnl"/>
              </w:rPr>
              <w:t>Con el sistema fijo de comprobación técnica del espectro</w:t>
            </w:r>
          </w:p>
        </w:tc>
        <w:tc>
          <w:tcPr>
            <w:tcW w:w="4785" w:type="dxa"/>
            <w:tcMar>
              <w:top w:w="28" w:type="dxa"/>
              <w:left w:w="102" w:type="dxa"/>
              <w:bottom w:w="28" w:type="dxa"/>
              <w:right w:w="102" w:type="dxa"/>
            </w:tcMar>
            <w:vAlign w:val="center"/>
            <w:hideMark/>
          </w:tcPr>
          <w:p w14:paraId="59215C50" w14:textId="77777777" w:rsidR="00FF53D9" w:rsidRPr="00943576" w:rsidRDefault="00FF53D9" w:rsidP="00FE0D99">
            <w:pPr>
              <w:pStyle w:val="Figuretitle"/>
              <w:rPr>
                <w:lang w:val="es-ES_tradnl"/>
              </w:rPr>
            </w:pPr>
            <w:r w:rsidRPr="00943576">
              <w:rPr>
                <w:lang w:val="es-ES_tradnl"/>
              </w:rPr>
              <w:t>Con el sistema de comprobación técnica del espectro mediante drones</w:t>
            </w:r>
          </w:p>
        </w:tc>
      </w:tr>
      <w:tr w:rsidR="00FF53D9" w:rsidRPr="00943576" w14:paraId="622EB93A" w14:textId="77777777" w:rsidTr="00FE0D99">
        <w:trPr>
          <w:jc w:val="center"/>
        </w:trPr>
        <w:tc>
          <w:tcPr>
            <w:tcW w:w="4785" w:type="dxa"/>
            <w:tcMar>
              <w:top w:w="28" w:type="dxa"/>
              <w:left w:w="102" w:type="dxa"/>
              <w:bottom w:w="28" w:type="dxa"/>
              <w:right w:w="102" w:type="dxa"/>
            </w:tcMar>
            <w:vAlign w:val="center"/>
            <w:hideMark/>
          </w:tcPr>
          <w:p w14:paraId="645E1AD8" w14:textId="77777777" w:rsidR="00FF53D9" w:rsidRPr="00943576" w:rsidRDefault="00FF53D9" w:rsidP="00FE0D99">
            <w:pPr>
              <w:pStyle w:val="Figure"/>
              <w:rPr>
                <w:w w:val="90"/>
                <w:lang w:val="es-ES_tradnl"/>
              </w:rPr>
            </w:pPr>
            <w:r w:rsidRPr="00943576">
              <w:rPr>
                <w:noProof/>
                <w:lang w:val="es-ES_tradnl" w:eastAsia="es-ES"/>
              </w:rPr>
              <w:drawing>
                <wp:inline distT="0" distB="0" distL="0" distR="0" wp14:anchorId="574D83D1" wp14:editId="53C6CEFA">
                  <wp:extent cx="2353310" cy="2091055"/>
                  <wp:effectExtent l="0" t="0" r="8890" b="4445"/>
                  <wp:docPr id="12" name="Picture 2" descr="EMB00004914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000049145ac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310" cy="2091055"/>
                          </a:xfrm>
                          <a:prstGeom prst="rect">
                            <a:avLst/>
                          </a:prstGeom>
                          <a:noFill/>
                          <a:ln>
                            <a:noFill/>
                          </a:ln>
                        </pic:spPr>
                      </pic:pic>
                    </a:graphicData>
                  </a:graphic>
                </wp:inline>
              </w:drawing>
            </w:r>
          </w:p>
        </w:tc>
        <w:tc>
          <w:tcPr>
            <w:tcW w:w="4785" w:type="dxa"/>
            <w:tcMar>
              <w:top w:w="28" w:type="dxa"/>
              <w:left w:w="102" w:type="dxa"/>
              <w:bottom w:w="28" w:type="dxa"/>
              <w:right w:w="102" w:type="dxa"/>
            </w:tcMar>
            <w:vAlign w:val="center"/>
            <w:hideMark/>
          </w:tcPr>
          <w:p w14:paraId="0938C6C9" w14:textId="77777777" w:rsidR="00FF53D9" w:rsidRPr="00943576" w:rsidRDefault="00FF53D9" w:rsidP="00FE0D99">
            <w:pPr>
              <w:pStyle w:val="Figure"/>
              <w:rPr>
                <w:w w:val="90"/>
                <w:lang w:val="es-ES_tradnl"/>
              </w:rPr>
            </w:pPr>
            <w:r w:rsidRPr="00943576">
              <w:rPr>
                <w:noProof/>
                <w:lang w:val="es-ES_tradnl" w:eastAsia="es-ES"/>
              </w:rPr>
              <w:drawing>
                <wp:inline distT="0" distB="0" distL="0" distR="0" wp14:anchorId="0CFF35CC" wp14:editId="35BF98F2">
                  <wp:extent cx="2353310" cy="2091055"/>
                  <wp:effectExtent l="0" t="0" r="8890" b="4445"/>
                  <wp:docPr id="13" name="Picture 1" descr="EMB00004914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000049145ac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3310" cy="2091055"/>
                          </a:xfrm>
                          <a:prstGeom prst="rect">
                            <a:avLst/>
                          </a:prstGeom>
                          <a:noFill/>
                          <a:ln>
                            <a:noFill/>
                          </a:ln>
                        </pic:spPr>
                      </pic:pic>
                    </a:graphicData>
                  </a:graphic>
                </wp:inline>
              </w:drawing>
            </w:r>
          </w:p>
        </w:tc>
      </w:tr>
    </w:tbl>
    <w:p w14:paraId="3584C65B" w14:textId="629EF8FD" w:rsidR="00FF53D9" w:rsidRPr="00943576" w:rsidRDefault="00FF53D9" w:rsidP="00FF53D9">
      <w:pPr>
        <w:pStyle w:val="TableNo"/>
        <w:rPr>
          <w:lang w:val="es-ES_tradnl"/>
        </w:rPr>
      </w:pPr>
      <w:r w:rsidRPr="00943576">
        <w:rPr>
          <w:lang w:val="es-ES_tradnl"/>
        </w:rPr>
        <w:t>CUADRO 1</w:t>
      </w:r>
    </w:p>
    <w:p w14:paraId="41BA5432" w14:textId="59C0CD91" w:rsidR="00FF53D9" w:rsidRPr="00943576" w:rsidRDefault="00FF53D9" w:rsidP="00FF53D9">
      <w:pPr>
        <w:pStyle w:val="Tabletitle"/>
        <w:rPr>
          <w:lang w:val="es-ES_tradnl"/>
        </w:rPr>
      </w:pPr>
      <w:r w:rsidRPr="00943576">
        <w:rPr>
          <w:lang w:val="es-ES_tradnl"/>
        </w:rPr>
        <w:t>Detalles de la comprobación técnica del espectro de una estación</w:t>
      </w:r>
      <w:r w:rsidR="00FE3B05" w:rsidRPr="00943576">
        <w:rPr>
          <w:lang w:val="es-ES_tradnl"/>
        </w:rPr>
        <w:br/>
      </w:r>
      <w:r w:rsidRPr="00943576">
        <w:rPr>
          <w:lang w:val="es-ES_tradnl"/>
        </w:rPr>
        <w:t>de radiodifusión terrenal de TVD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866"/>
        <w:gridCol w:w="1866"/>
        <w:gridCol w:w="1866"/>
        <w:gridCol w:w="1866"/>
      </w:tblGrid>
      <w:tr w:rsidR="00FF53D9" w:rsidRPr="00943576" w14:paraId="31D0E9E8" w14:textId="77777777" w:rsidTr="009F2696">
        <w:trPr>
          <w:cantSplit/>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243CD26A" w14:textId="77777777" w:rsidR="00FF53D9" w:rsidRPr="00943576" w:rsidRDefault="00FF53D9" w:rsidP="00FE0D99">
            <w:pPr>
              <w:pStyle w:val="Tablehead"/>
              <w:rPr>
                <w:rFonts w:eastAsia="Gulim"/>
                <w:lang w:val="es-ES_tradnl"/>
              </w:rPr>
            </w:pPr>
            <w:r w:rsidRPr="00943576">
              <w:rPr>
                <w:lang w:val="es-ES_tradnl"/>
              </w:rPr>
              <w:t>Canales de TVD</w:t>
            </w:r>
            <w:r w:rsidRPr="00943576">
              <w:rPr>
                <w:lang w:val="es-ES_tradnl"/>
              </w:rPr>
              <w:br/>
              <w:t>(montaña Moak)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60F497" w14:textId="77777777" w:rsidR="00FF53D9" w:rsidRPr="00943576" w:rsidRDefault="00FF53D9" w:rsidP="00FE0D99">
            <w:pPr>
              <w:pStyle w:val="Tablehead"/>
              <w:rPr>
                <w:rFonts w:eastAsia="Gulim"/>
                <w:lang w:val="es-ES_tradnl"/>
              </w:rPr>
            </w:pPr>
            <w:r w:rsidRPr="00943576">
              <w:rPr>
                <w:lang w:val="es-ES_tradnl"/>
              </w:rPr>
              <w:t>Frecuencia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9414A8" w14:textId="77777777" w:rsidR="00FF53D9" w:rsidRPr="00943576" w:rsidRDefault="00FF53D9" w:rsidP="00FE0D99">
            <w:pPr>
              <w:pStyle w:val="Tablehead"/>
              <w:rPr>
                <w:rFonts w:eastAsia="Gulim"/>
                <w:lang w:val="es-ES_tradnl"/>
              </w:rPr>
            </w:pPr>
            <w:r w:rsidRPr="00943576">
              <w:rPr>
                <w:lang w:val="es-ES_tradnl"/>
              </w:rPr>
              <w:t>Estación fija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E935AA" w14:textId="77777777" w:rsidR="00FF53D9" w:rsidRPr="00943576" w:rsidRDefault="00FF53D9" w:rsidP="00FE0D99">
            <w:pPr>
              <w:pStyle w:val="Tablehead"/>
              <w:rPr>
                <w:rFonts w:eastAsia="Gulim"/>
                <w:lang w:val="es-ES_tradnl"/>
              </w:rPr>
            </w:pPr>
            <w:r w:rsidRPr="00943576">
              <w:rPr>
                <w:lang w:val="es-ES_tradnl"/>
              </w:rPr>
              <w:t>Con drones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BCA348" w14:textId="77777777" w:rsidR="00FF53D9" w:rsidRPr="00943576" w:rsidRDefault="00FF53D9" w:rsidP="00FE0D99">
            <w:pPr>
              <w:pStyle w:val="Tablehead"/>
              <w:rPr>
                <w:rFonts w:eastAsia="Gulim"/>
                <w:lang w:val="es-ES_tradnl"/>
              </w:rPr>
            </w:pPr>
            <w:r w:rsidRPr="00943576">
              <w:rPr>
                <w:lang w:val="es-ES_tradnl"/>
              </w:rPr>
              <w:t>Diferencia</w:t>
            </w:r>
          </w:p>
        </w:tc>
      </w:tr>
      <w:tr w:rsidR="00FF53D9" w:rsidRPr="00943576" w14:paraId="73907FB2" w14:textId="77777777" w:rsidTr="009F2696">
        <w:trPr>
          <w:cantSplit/>
          <w:jc w:val="center"/>
        </w:trPr>
        <w:tc>
          <w:tcPr>
            <w:tcW w:w="1984" w:type="dxa"/>
            <w:tcBorders>
              <w:top w:val="single" w:sz="4" w:space="0" w:color="auto"/>
              <w:left w:val="single" w:sz="4" w:space="0" w:color="auto"/>
              <w:bottom w:val="single" w:sz="4" w:space="0" w:color="auto"/>
              <w:right w:val="single" w:sz="4" w:space="0" w:color="auto"/>
            </w:tcBorders>
            <w:hideMark/>
          </w:tcPr>
          <w:p w14:paraId="36AA40B9" w14:textId="77777777" w:rsidR="00FF53D9" w:rsidRPr="00943576" w:rsidRDefault="00FF53D9" w:rsidP="00FE0D99">
            <w:pPr>
              <w:pStyle w:val="Tabletext"/>
              <w:jc w:val="center"/>
              <w:rPr>
                <w:rFonts w:eastAsia="Gulim"/>
                <w:lang w:val="es-ES_tradnl"/>
              </w:rPr>
            </w:pPr>
            <w:r w:rsidRPr="00943576">
              <w:rPr>
                <w:lang w:val="es-ES_tradnl"/>
              </w:rPr>
              <w:t>27</w:t>
            </w:r>
          </w:p>
        </w:tc>
        <w:tc>
          <w:tcPr>
            <w:tcW w:w="1701" w:type="dxa"/>
            <w:tcBorders>
              <w:top w:val="single" w:sz="4" w:space="0" w:color="auto"/>
              <w:left w:val="single" w:sz="4" w:space="0" w:color="auto"/>
              <w:bottom w:val="single" w:sz="4" w:space="0" w:color="auto"/>
              <w:right w:val="single" w:sz="4" w:space="0" w:color="auto"/>
            </w:tcBorders>
            <w:hideMark/>
          </w:tcPr>
          <w:p w14:paraId="3C81D213" w14:textId="77777777" w:rsidR="00FF53D9" w:rsidRPr="00943576" w:rsidRDefault="00FF53D9" w:rsidP="00FE0D99">
            <w:pPr>
              <w:pStyle w:val="Tabletext"/>
              <w:jc w:val="center"/>
              <w:rPr>
                <w:rFonts w:eastAsia="Gulim"/>
                <w:lang w:val="es-ES_tradnl"/>
              </w:rPr>
            </w:pPr>
            <w:r w:rsidRPr="00943576">
              <w:rPr>
                <w:lang w:val="es-ES_tradnl"/>
              </w:rPr>
              <w:t>551 MHz</w:t>
            </w:r>
          </w:p>
        </w:tc>
        <w:tc>
          <w:tcPr>
            <w:tcW w:w="1701" w:type="dxa"/>
            <w:tcBorders>
              <w:top w:val="single" w:sz="4" w:space="0" w:color="auto"/>
              <w:left w:val="single" w:sz="4" w:space="0" w:color="auto"/>
              <w:bottom w:val="single" w:sz="4" w:space="0" w:color="auto"/>
              <w:right w:val="single" w:sz="4" w:space="0" w:color="auto"/>
            </w:tcBorders>
            <w:hideMark/>
          </w:tcPr>
          <w:p w14:paraId="5B64E6B6" w14:textId="45643C1F" w:rsidR="00FF53D9" w:rsidRPr="00943576" w:rsidRDefault="00332ECE" w:rsidP="00FE0D99">
            <w:pPr>
              <w:pStyle w:val="Tabletext"/>
              <w:jc w:val="center"/>
              <w:rPr>
                <w:rFonts w:eastAsia="Gulim"/>
                <w:lang w:val="es-ES_tradnl"/>
              </w:rPr>
            </w:pPr>
            <w:r w:rsidRPr="00943576">
              <w:rPr>
                <w:lang w:val="es-ES_tradnl"/>
              </w:rPr>
              <w:t>−46 dBm</w:t>
            </w:r>
          </w:p>
        </w:tc>
        <w:tc>
          <w:tcPr>
            <w:tcW w:w="1701" w:type="dxa"/>
            <w:tcBorders>
              <w:top w:val="single" w:sz="4" w:space="0" w:color="auto"/>
              <w:left w:val="single" w:sz="4" w:space="0" w:color="auto"/>
              <w:bottom w:val="single" w:sz="4" w:space="0" w:color="auto"/>
              <w:right w:val="single" w:sz="4" w:space="0" w:color="auto"/>
            </w:tcBorders>
            <w:hideMark/>
          </w:tcPr>
          <w:p w14:paraId="48F3BCB8" w14:textId="43749B85" w:rsidR="00FF53D9" w:rsidRPr="00943576" w:rsidRDefault="00332ECE" w:rsidP="00FE0D99">
            <w:pPr>
              <w:pStyle w:val="Tabletext"/>
              <w:jc w:val="center"/>
              <w:rPr>
                <w:rFonts w:eastAsia="Gulim"/>
                <w:lang w:val="es-ES_tradnl"/>
              </w:rPr>
            </w:pPr>
            <w:r w:rsidRPr="00943576">
              <w:rPr>
                <w:lang w:val="es-ES_tradnl"/>
              </w:rPr>
              <w:t>−48 dBm</w:t>
            </w:r>
          </w:p>
        </w:tc>
        <w:tc>
          <w:tcPr>
            <w:tcW w:w="1701" w:type="dxa"/>
            <w:tcBorders>
              <w:top w:val="single" w:sz="4" w:space="0" w:color="auto"/>
              <w:left w:val="single" w:sz="4" w:space="0" w:color="auto"/>
              <w:bottom w:val="single" w:sz="4" w:space="0" w:color="auto"/>
              <w:right w:val="single" w:sz="4" w:space="0" w:color="auto"/>
            </w:tcBorders>
            <w:hideMark/>
          </w:tcPr>
          <w:p w14:paraId="499BA833" w14:textId="77777777" w:rsidR="00FF53D9" w:rsidRPr="00943576" w:rsidRDefault="00FF53D9" w:rsidP="00FE0D99">
            <w:pPr>
              <w:pStyle w:val="Tabletext"/>
              <w:jc w:val="center"/>
              <w:rPr>
                <w:rFonts w:eastAsia="Gulim"/>
                <w:lang w:val="es-ES_tradnl"/>
              </w:rPr>
            </w:pPr>
            <w:r w:rsidRPr="00943576">
              <w:rPr>
                <w:lang w:val="es-ES_tradnl"/>
              </w:rPr>
              <w:t>2 dB</w:t>
            </w:r>
          </w:p>
        </w:tc>
      </w:tr>
      <w:tr w:rsidR="00FF53D9" w:rsidRPr="00943576" w14:paraId="555CA80A" w14:textId="77777777" w:rsidTr="009F2696">
        <w:trPr>
          <w:cantSplit/>
          <w:jc w:val="center"/>
        </w:trPr>
        <w:tc>
          <w:tcPr>
            <w:tcW w:w="1984" w:type="dxa"/>
            <w:tcBorders>
              <w:top w:val="single" w:sz="4" w:space="0" w:color="auto"/>
              <w:left w:val="single" w:sz="4" w:space="0" w:color="auto"/>
              <w:bottom w:val="single" w:sz="4" w:space="0" w:color="auto"/>
              <w:right w:val="single" w:sz="4" w:space="0" w:color="auto"/>
            </w:tcBorders>
            <w:hideMark/>
          </w:tcPr>
          <w:p w14:paraId="097FC155" w14:textId="77777777" w:rsidR="00FF53D9" w:rsidRPr="00943576" w:rsidRDefault="00FF53D9" w:rsidP="00FE0D99">
            <w:pPr>
              <w:pStyle w:val="Tabletext"/>
              <w:jc w:val="center"/>
              <w:rPr>
                <w:rFonts w:eastAsia="Gulim"/>
                <w:lang w:val="es-ES_tradnl"/>
              </w:rPr>
            </w:pPr>
            <w:r w:rsidRPr="00943576">
              <w:rPr>
                <w:lang w:val="es-ES_tradnl"/>
              </w:rPr>
              <w:t>33</w:t>
            </w:r>
          </w:p>
        </w:tc>
        <w:tc>
          <w:tcPr>
            <w:tcW w:w="1701" w:type="dxa"/>
            <w:tcBorders>
              <w:top w:val="single" w:sz="4" w:space="0" w:color="auto"/>
              <w:left w:val="single" w:sz="4" w:space="0" w:color="auto"/>
              <w:bottom w:val="single" w:sz="4" w:space="0" w:color="auto"/>
              <w:right w:val="single" w:sz="4" w:space="0" w:color="auto"/>
            </w:tcBorders>
            <w:hideMark/>
          </w:tcPr>
          <w:p w14:paraId="0528A27D" w14:textId="77777777" w:rsidR="00FF53D9" w:rsidRPr="00943576" w:rsidRDefault="00FF53D9" w:rsidP="00FE0D99">
            <w:pPr>
              <w:pStyle w:val="Tabletext"/>
              <w:jc w:val="center"/>
              <w:rPr>
                <w:rFonts w:eastAsia="Gulim"/>
                <w:lang w:val="es-ES_tradnl"/>
              </w:rPr>
            </w:pPr>
            <w:r w:rsidRPr="00943576">
              <w:rPr>
                <w:lang w:val="es-ES_tradnl"/>
              </w:rPr>
              <w:t>587 MHz</w:t>
            </w:r>
          </w:p>
        </w:tc>
        <w:tc>
          <w:tcPr>
            <w:tcW w:w="1701" w:type="dxa"/>
            <w:tcBorders>
              <w:top w:val="single" w:sz="4" w:space="0" w:color="auto"/>
              <w:left w:val="single" w:sz="4" w:space="0" w:color="auto"/>
              <w:bottom w:val="single" w:sz="4" w:space="0" w:color="auto"/>
              <w:right w:val="single" w:sz="4" w:space="0" w:color="auto"/>
            </w:tcBorders>
            <w:hideMark/>
          </w:tcPr>
          <w:p w14:paraId="02EE4944" w14:textId="52F8F5AF" w:rsidR="00FF53D9" w:rsidRPr="00943576" w:rsidRDefault="00332ECE" w:rsidP="00FE0D99">
            <w:pPr>
              <w:pStyle w:val="Tabletext"/>
              <w:jc w:val="center"/>
              <w:rPr>
                <w:rFonts w:eastAsia="Gulim"/>
                <w:lang w:val="es-ES_tradnl"/>
              </w:rPr>
            </w:pPr>
            <w:r w:rsidRPr="00943576">
              <w:rPr>
                <w:lang w:val="es-ES_tradnl"/>
              </w:rPr>
              <w:t>−51 dBm</w:t>
            </w:r>
          </w:p>
        </w:tc>
        <w:tc>
          <w:tcPr>
            <w:tcW w:w="1701" w:type="dxa"/>
            <w:tcBorders>
              <w:top w:val="single" w:sz="4" w:space="0" w:color="auto"/>
              <w:left w:val="single" w:sz="4" w:space="0" w:color="auto"/>
              <w:bottom w:val="single" w:sz="4" w:space="0" w:color="auto"/>
              <w:right w:val="single" w:sz="4" w:space="0" w:color="auto"/>
            </w:tcBorders>
            <w:hideMark/>
          </w:tcPr>
          <w:p w14:paraId="0A7D5D7E" w14:textId="061C2C9E" w:rsidR="00FF53D9" w:rsidRPr="00943576" w:rsidRDefault="00332ECE" w:rsidP="00FE0D99">
            <w:pPr>
              <w:pStyle w:val="Tabletext"/>
              <w:jc w:val="center"/>
              <w:rPr>
                <w:rFonts w:eastAsia="Gulim"/>
                <w:lang w:val="es-ES_tradnl"/>
              </w:rPr>
            </w:pPr>
            <w:r w:rsidRPr="00943576">
              <w:rPr>
                <w:lang w:val="es-ES_tradnl"/>
              </w:rPr>
              <w:t>−49 dBm</w:t>
            </w:r>
          </w:p>
        </w:tc>
        <w:tc>
          <w:tcPr>
            <w:tcW w:w="1701" w:type="dxa"/>
            <w:tcBorders>
              <w:top w:val="single" w:sz="4" w:space="0" w:color="auto"/>
              <w:left w:val="single" w:sz="4" w:space="0" w:color="auto"/>
              <w:bottom w:val="single" w:sz="4" w:space="0" w:color="auto"/>
              <w:right w:val="single" w:sz="4" w:space="0" w:color="auto"/>
            </w:tcBorders>
            <w:hideMark/>
          </w:tcPr>
          <w:p w14:paraId="06786F90" w14:textId="77777777" w:rsidR="00FF53D9" w:rsidRPr="00943576" w:rsidRDefault="00FF53D9" w:rsidP="00FE0D99">
            <w:pPr>
              <w:pStyle w:val="Tabletext"/>
              <w:jc w:val="center"/>
              <w:rPr>
                <w:rFonts w:eastAsia="Gulim"/>
                <w:lang w:val="es-ES_tradnl"/>
              </w:rPr>
            </w:pPr>
            <w:r w:rsidRPr="00943576">
              <w:rPr>
                <w:lang w:val="es-ES_tradnl"/>
              </w:rPr>
              <w:t>2 dB</w:t>
            </w:r>
          </w:p>
        </w:tc>
      </w:tr>
      <w:tr w:rsidR="00FF53D9" w:rsidRPr="00943576" w14:paraId="4D5EA436" w14:textId="77777777" w:rsidTr="009F2696">
        <w:trPr>
          <w:cantSplit/>
          <w:jc w:val="center"/>
        </w:trPr>
        <w:tc>
          <w:tcPr>
            <w:tcW w:w="1984" w:type="dxa"/>
            <w:tcBorders>
              <w:top w:val="single" w:sz="4" w:space="0" w:color="auto"/>
              <w:left w:val="single" w:sz="4" w:space="0" w:color="auto"/>
              <w:bottom w:val="single" w:sz="4" w:space="0" w:color="auto"/>
              <w:right w:val="single" w:sz="4" w:space="0" w:color="auto"/>
            </w:tcBorders>
            <w:hideMark/>
          </w:tcPr>
          <w:p w14:paraId="5EA7762E" w14:textId="77777777" w:rsidR="00FF53D9" w:rsidRPr="00943576" w:rsidRDefault="00FF53D9" w:rsidP="00FE0D99">
            <w:pPr>
              <w:pStyle w:val="Tabletext"/>
              <w:jc w:val="center"/>
              <w:rPr>
                <w:rFonts w:eastAsia="Gulim"/>
                <w:lang w:val="es-ES_tradnl"/>
              </w:rPr>
            </w:pPr>
            <w:r w:rsidRPr="00943576">
              <w:rPr>
                <w:lang w:val="es-ES_tradnl"/>
              </w:rPr>
              <w:t>41</w:t>
            </w:r>
          </w:p>
        </w:tc>
        <w:tc>
          <w:tcPr>
            <w:tcW w:w="1701" w:type="dxa"/>
            <w:tcBorders>
              <w:top w:val="single" w:sz="4" w:space="0" w:color="auto"/>
              <w:left w:val="single" w:sz="4" w:space="0" w:color="auto"/>
              <w:bottom w:val="single" w:sz="4" w:space="0" w:color="auto"/>
              <w:right w:val="single" w:sz="4" w:space="0" w:color="auto"/>
            </w:tcBorders>
            <w:hideMark/>
          </w:tcPr>
          <w:p w14:paraId="596DA0E5" w14:textId="77777777" w:rsidR="00FF53D9" w:rsidRPr="00943576" w:rsidRDefault="00FF53D9" w:rsidP="00FE0D99">
            <w:pPr>
              <w:pStyle w:val="Tabletext"/>
              <w:jc w:val="center"/>
              <w:rPr>
                <w:rFonts w:eastAsia="Gulim"/>
                <w:lang w:val="es-ES_tradnl"/>
              </w:rPr>
            </w:pPr>
            <w:r w:rsidRPr="00943576">
              <w:rPr>
                <w:lang w:val="es-ES_tradnl"/>
              </w:rPr>
              <w:t>635 MHz</w:t>
            </w:r>
          </w:p>
        </w:tc>
        <w:tc>
          <w:tcPr>
            <w:tcW w:w="1701" w:type="dxa"/>
            <w:tcBorders>
              <w:top w:val="single" w:sz="4" w:space="0" w:color="auto"/>
              <w:left w:val="single" w:sz="4" w:space="0" w:color="auto"/>
              <w:bottom w:val="single" w:sz="4" w:space="0" w:color="auto"/>
              <w:right w:val="single" w:sz="4" w:space="0" w:color="auto"/>
            </w:tcBorders>
            <w:hideMark/>
          </w:tcPr>
          <w:p w14:paraId="5DC25764" w14:textId="050723E3" w:rsidR="00FF53D9" w:rsidRPr="00943576" w:rsidRDefault="00332ECE" w:rsidP="00FE0D99">
            <w:pPr>
              <w:pStyle w:val="Tabletext"/>
              <w:jc w:val="center"/>
              <w:rPr>
                <w:rFonts w:eastAsia="Gulim"/>
                <w:lang w:val="es-ES_tradnl"/>
              </w:rPr>
            </w:pPr>
            <w:r w:rsidRPr="00943576">
              <w:rPr>
                <w:lang w:val="es-ES_tradnl"/>
              </w:rPr>
              <w:t>−48 dBm</w:t>
            </w:r>
          </w:p>
        </w:tc>
        <w:tc>
          <w:tcPr>
            <w:tcW w:w="1701" w:type="dxa"/>
            <w:tcBorders>
              <w:top w:val="single" w:sz="4" w:space="0" w:color="auto"/>
              <w:left w:val="single" w:sz="4" w:space="0" w:color="auto"/>
              <w:bottom w:val="single" w:sz="4" w:space="0" w:color="auto"/>
              <w:right w:val="single" w:sz="4" w:space="0" w:color="auto"/>
            </w:tcBorders>
            <w:hideMark/>
          </w:tcPr>
          <w:p w14:paraId="039F8E3E" w14:textId="6CCE2E1E" w:rsidR="00FF53D9" w:rsidRPr="00943576" w:rsidRDefault="00332ECE" w:rsidP="00FE0D99">
            <w:pPr>
              <w:pStyle w:val="Tabletext"/>
              <w:jc w:val="center"/>
              <w:rPr>
                <w:rFonts w:eastAsia="Gulim"/>
                <w:lang w:val="es-ES_tradnl"/>
              </w:rPr>
            </w:pPr>
            <w:r w:rsidRPr="00943576">
              <w:rPr>
                <w:lang w:val="es-ES_tradnl"/>
              </w:rPr>
              <w:t>−49 dBm</w:t>
            </w:r>
          </w:p>
        </w:tc>
        <w:tc>
          <w:tcPr>
            <w:tcW w:w="1701" w:type="dxa"/>
            <w:tcBorders>
              <w:top w:val="single" w:sz="4" w:space="0" w:color="auto"/>
              <w:left w:val="single" w:sz="4" w:space="0" w:color="auto"/>
              <w:bottom w:val="single" w:sz="4" w:space="0" w:color="auto"/>
              <w:right w:val="single" w:sz="4" w:space="0" w:color="auto"/>
            </w:tcBorders>
            <w:hideMark/>
          </w:tcPr>
          <w:p w14:paraId="1B209E1E" w14:textId="77777777" w:rsidR="00FF53D9" w:rsidRPr="00943576" w:rsidRDefault="00FF53D9" w:rsidP="00FE0D99">
            <w:pPr>
              <w:pStyle w:val="Tabletext"/>
              <w:jc w:val="center"/>
              <w:rPr>
                <w:rFonts w:eastAsia="Gulim"/>
                <w:lang w:val="es-ES_tradnl"/>
              </w:rPr>
            </w:pPr>
            <w:r w:rsidRPr="00943576">
              <w:rPr>
                <w:lang w:val="es-ES_tradnl"/>
              </w:rPr>
              <w:t>1 dB</w:t>
            </w:r>
          </w:p>
        </w:tc>
      </w:tr>
      <w:tr w:rsidR="00FF53D9" w:rsidRPr="00943576" w14:paraId="368C8207" w14:textId="77777777" w:rsidTr="009F2696">
        <w:trPr>
          <w:cantSplit/>
          <w:jc w:val="center"/>
        </w:trPr>
        <w:tc>
          <w:tcPr>
            <w:tcW w:w="1984" w:type="dxa"/>
            <w:tcBorders>
              <w:top w:val="single" w:sz="4" w:space="0" w:color="auto"/>
              <w:left w:val="single" w:sz="4" w:space="0" w:color="auto"/>
              <w:bottom w:val="single" w:sz="4" w:space="0" w:color="auto"/>
              <w:right w:val="single" w:sz="4" w:space="0" w:color="auto"/>
            </w:tcBorders>
            <w:hideMark/>
          </w:tcPr>
          <w:p w14:paraId="42CE981D" w14:textId="77777777" w:rsidR="00FF53D9" w:rsidRPr="00943576" w:rsidRDefault="00FF53D9" w:rsidP="00FE0D99">
            <w:pPr>
              <w:pStyle w:val="Tabletext"/>
              <w:jc w:val="center"/>
              <w:rPr>
                <w:rFonts w:eastAsia="Gulim"/>
                <w:lang w:val="es-ES_tradnl"/>
              </w:rPr>
            </w:pPr>
            <w:r w:rsidRPr="00943576">
              <w:rPr>
                <w:lang w:val="es-ES_tradnl"/>
              </w:rPr>
              <w:t>44</w:t>
            </w:r>
          </w:p>
        </w:tc>
        <w:tc>
          <w:tcPr>
            <w:tcW w:w="1701" w:type="dxa"/>
            <w:tcBorders>
              <w:top w:val="single" w:sz="4" w:space="0" w:color="auto"/>
              <w:left w:val="single" w:sz="4" w:space="0" w:color="auto"/>
              <w:bottom w:val="single" w:sz="4" w:space="0" w:color="auto"/>
              <w:right w:val="single" w:sz="4" w:space="0" w:color="auto"/>
            </w:tcBorders>
            <w:hideMark/>
          </w:tcPr>
          <w:p w14:paraId="0AAE6AFA" w14:textId="77777777" w:rsidR="00FF53D9" w:rsidRPr="00943576" w:rsidRDefault="00FF53D9" w:rsidP="00FE0D99">
            <w:pPr>
              <w:pStyle w:val="Tabletext"/>
              <w:jc w:val="center"/>
              <w:rPr>
                <w:rFonts w:eastAsia="Gulim"/>
                <w:lang w:val="es-ES_tradnl"/>
              </w:rPr>
            </w:pPr>
            <w:r w:rsidRPr="00943576">
              <w:rPr>
                <w:lang w:val="es-ES_tradnl"/>
              </w:rPr>
              <w:t>653 MHz</w:t>
            </w:r>
          </w:p>
        </w:tc>
        <w:tc>
          <w:tcPr>
            <w:tcW w:w="1701" w:type="dxa"/>
            <w:tcBorders>
              <w:top w:val="single" w:sz="4" w:space="0" w:color="auto"/>
              <w:left w:val="single" w:sz="4" w:space="0" w:color="auto"/>
              <w:bottom w:val="single" w:sz="4" w:space="0" w:color="auto"/>
              <w:right w:val="single" w:sz="4" w:space="0" w:color="auto"/>
            </w:tcBorders>
            <w:hideMark/>
          </w:tcPr>
          <w:p w14:paraId="604AB583" w14:textId="40C9AF73" w:rsidR="00FF53D9" w:rsidRPr="00943576" w:rsidRDefault="00332ECE" w:rsidP="00FE0D99">
            <w:pPr>
              <w:pStyle w:val="Tabletext"/>
              <w:jc w:val="center"/>
              <w:rPr>
                <w:rFonts w:eastAsia="Gulim"/>
                <w:lang w:val="es-ES_tradnl"/>
              </w:rPr>
            </w:pPr>
            <w:r w:rsidRPr="00943576">
              <w:rPr>
                <w:lang w:val="es-ES_tradnl"/>
              </w:rPr>
              <w:t>−48 dBm</w:t>
            </w:r>
          </w:p>
        </w:tc>
        <w:tc>
          <w:tcPr>
            <w:tcW w:w="1701" w:type="dxa"/>
            <w:tcBorders>
              <w:top w:val="single" w:sz="4" w:space="0" w:color="auto"/>
              <w:left w:val="single" w:sz="4" w:space="0" w:color="auto"/>
              <w:bottom w:val="single" w:sz="4" w:space="0" w:color="auto"/>
              <w:right w:val="single" w:sz="4" w:space="0" w:color="auto"/>
            </w:tcBorders>
            <w:hideMark/>
          </w:tcPr>
          <w:p w14:paraId="2D224160" w14:textId="54B95FE0" w:rsidR="00FF53D9" w:rsidRPr="00943576" w:rsidRDefault="00332ECE" w:rsidP="00FE0D99">
            <w:pPr>
              <w:pStyle w:val="Tabletext"/>
              <w:jc w:val="center"/>
              <w:rPr>
                <w:rFonts w:eastAsia="Gulim"/>
                <w:lang w:val="es-ES_tradnl"/>
              </w:rPr>
            </w:pPr>
            <w:r w:rsidRPr="00943576">
              <w:rPr>
                <w:lang w:val="es-ES_tradnl"/>
              </w:rPr>
              <w:t>−47 dBm</w:t>
            </w:r>
          </w:p>
        </w:tc>
        <w:tc>
          <w:tcPr>
            <w:tcW w:w="1701" w:type="dxa"/>
            <w:tcBorders>
              <w:top w:val="single" w:sz="4" w:space="0" w:color="auto"/>
              <w:left w:val="single" w:sz="4" w:space="0" w:color="auto"/>
              <w:bottom w:val="single" w:sz="4" w:space="0" w:color="auto"/>
              <w:right w:val="single" w:sz="4" w:space="0" w:color="auto"/>
            </w:tcBorders>
            <w:hideMark/>
          </w:tcPr>
          <w:p w14:paraId="1632D11A" w14:textId="77777777" w:rsidR="00FF53D9" w:rsidRPr="00943576" w:rsidRDefault="00FF53D9" w:rsidP="00FE0D99">
            <w:pPr>
              <w:pStyle w:val="Tabletext"/>
              <w:jc w:val="center"/>
              <w:rPr>
                <w:rFonts w:eastAsia="Gulim"/>
                <w:lang w:val="es-ES_tradnl"/>
              </w:rPr>
            </w:pPr>
            <w:r w:rsidRPr="00943576">
              <w:rPr>
                <w:lang w:val="es-ES_tradnl"/>
              </w:rPr>
              <w:t>1 dB</w:t>
            </w:r>
          </w:p>
        </w:tc>
      </w:tr>
      <w:tr w:rsidR="00FF53D9" w:rsidRPr="00943576" w14:paraId="4FC3B421" w14:textId="77777777" w:rsidTr="009F2696">
        <w:trPr>
          <w:cantSplit/>
          <w:jc w:val="center"/>
        </w:trPr>
        <w:tc>
          <w:tcPr>
            <w:tcW w:w="1984" w:type="dxa"/>
            <w:tcBorders>
              <w:top w:val="single" w:sz="4" w:space="0" w:color="auto"/>
              <w:left w:val="single" w:sz="4" w:space="0" w:color="auto"/>
              <w:bottom w:val="single" w:sz="4" w:space="0" w:color="auto"/>
              <w:right w:val="single" w:sz="4" w:space="0" w:color="auto"/>
            </w:tcBorders>
            <w:hideMark/>
          </w:tcPr>
          <w:p w14:paraId="47650722" w14:textId="77777777" w:rsidR="00FF53D9" w:rsidRPr="00943576" w:rsidRDefault="00FF53D9" w:rsidP="00FE0D99">
            <w:pPr>
              <w:pStyle w:val="Tabletext"/>
              <w:jc w:val="center"/>
              <w:rPr>
                <w:rFonts w:eastAsia="Gulim"/>
                <w:lang w:val="es-ES_tradnl"/>
              </w:rPr>
            </w:pPr>
            <w:r w:rsidRPr="00943576">
              <w:rPr>
                <w:lang w:val="es-ES_tradnl"/>
              </w:rPr>
              <w:t>46</w:t>
            </w:r>
          </w:p>
        </w:tc>
        <w:tc>
          <w:tcPr>
            <w:tcW w:w="1701" w:type="dxa"/>
            <w:tcBorders>
              <w:top w:val="single" w:sz="4" w:space="0" w:color="auto"/>
              <w:left w:val="single" w:sz="4" w:space="0" w:color="auto"/>
              <w:bottom w:val="single" w:sz="4" w:space="0" w:color="auto"/>
              <w:right w:val="single" w:sz="4" w:space="0" w:color="auto"/>
            </w:tcBorders>
            <w:hideMark/>
          </w:tcPr>
          <w:p w14:paraId="09CF6CDC" w14:textId="77777777" w:rsidR="00FF53D9" w:rsidRPr="00943576" w:rsidRDefault="00FF53D9" w:rsidP="00FE0D99">
            <w:pPr>
              <w:pStyle w:val="Tabletext"/>
              <w:jc w:val="center"/>
              <w:rPr>
                <w:rFonts w:eastAsia="Gulim"/>
                <w:lang w:val="es-ES_tradnl"/>
              </w:rPr>
            </w:pPr>
            <w:r w:rsidRPr="00943576">
              <w:rPr>
                <w:lang w:val="es-ES_tradnl"/>
              </w:rPr>
              <w:t>665 MHz</w:t>
            </w:r>
          </w:p>
        </w:tc>
        <w:tc>
          <w:tcPr>
            <w:tcW w:w="1701" w:type="dxa"/>
            <w:tcBorders>
              <w:top w:val="single" w:sz="4" w:space="0" w:color="auto"/>
              <w:left w:val="single" w:sz="4" w:space="0" w:color="auto"/>
              <w:bottom w:val="single" w:sz="4" w:space="0" w:color="auto"/>
              <w:right w:val="single" w:sz="4" w:space="0" w:color="auto"/>
            </w:tcBorders>
            <w:hideMark/>
          </w:tcPr>
          <w:p w14:paraId="758FEEAA" w14:textId="73550D65" w:rsidR="00FF53D9" w:rsidRPr="00943576" w:rsidRDefault="00332ECE" w:rsidP="00FE0D99">
            <w:pPr>
              <w:pStyle w:val="Tabletext"/>
              <w:jc w:val="center"/>
              <w:rPr>
                <w:rFonts w:eastAsia="Gulim"/>
                <w:lang w:val="es-ES_tradnl"/>
              </w:rPr>
            </w:pPr>
            <w:r w:rsidRPr="00943576">
              <w:rPr>
                <w:lang w:val="es-ES_tradnl"/>
              </w:rPr>
              <w:t>−47 dBm</w:t>
            </w:r>
          </w:p>
        </w:tc>
        <w:tc>
          <w:tcPr>
            <w:tcW w:w="1701" w:type="dxa"/>
            <w:tcBorders>
              <w:top w:val="single" w:sz="4" w:space="0" w:color="auto"/>
              <w:left w:val="single" w:sz="4" w:space="0" w:color="auto"/>
              <w:bottom w:val="single" w:sz="4" w:space="0" w:color="auto"/>
              <w:right w:val="single" w:sz="4" w:space="0" w:color="auto"/>
            </w:tcBorders>
            <w:hideMark/>
          </w:tcPr>
          <w:p w14:paraId="2DC3D92F" w14:textId="7FB4D5A4" w:rsidR="00FF53D9" w:rsidRPr="00943576" w:rsidRDefault="00332ECE" w:rsidP="00FE0D99">
            <w:pPr>
              <w:pStyle w:val="Tabletext"/>
              <w:jc w:val="center"/>
              <w:rPr>
                <w:rFonts w:eastAsia="Gulim"/>
                <w:lang w:val="es-ES_tradnl"/>
              </w:rPr>
            </w:pPr>
            <w:r w:rsidRPr="00943576">
              <w:rPr>
                <w:lang w:val="es-ES_tradnl"/>
              </w:rPr>
              <w:t>−46 dBm</w:t>
            </w:r>
          </w:p>
        </w:tc>
        <w:tc>
          <w:tcPr>
            <w:tcW w:w="1701" w:type="dxa"/>
            <w:tcBorders>
              <w:top w:val="single" w:sz="4" w:space="0" w:color="auto"/>
              <w:left w:val="single" w:sz="4" w:space="0" w:color="auto"/>
              <w:bottom w:val="single" w:sz="4" w:space="0" w:color="auto"/>
              <w:right w:val="single" w:sz="4" w:space="0" w:color="auto"/>
            </w:tcBorders>
            <w:hideMark/>
          </w:tcPr>
          <w:p w14:paraId="4D6FA96E" w14:textId="77777777" w:rsidR="00FF53D9" w:rsidRPr="00943576" w:rsidRDefault="00FF53D9" w:rsidP="00FE0D99">
            <w:pPr>
              <w:pStyle w:val="Tabletext"/>
              <w:jc w:val="center"/>
              <w:rPr>
                <w:rFonts w:eastAsia="Gulim"/>
                <w:lang w:val="es-ES_tradnl"/>
              </w:rPr>
            </w:pPr>
            <w:r w:rsidRPr="00943576">
              <w:rPr>
                <w:lang w:val="es-ES_tradnl"/>
              </w:rPr>
              <w:t>1d B</w:t>
            </w:r>
          </w:p>
        </w:tc>
      </w:tr>
    </w:tbl>
    <w:p w14:paraId="21E247A8" w14:textId="77777777" w:rsidR="00FF53D9" w:rsidRPr="00943576" w:rsidRDefault="00FF53D9" w:rsidP="00FF53D9">
      <w:pPr>
        <w:pStyle w:val="Tablefin"/>
        <w:rPr>
          <w:lang w:val="es-ES_tradnl"/>
        </w:rPr>
      </w:pPr>
    </w:p>
    <w:p w14:paraId="00E3C091" w14:textId="77777777" w:rsidR="00FF53D9" w:rsidRPr="00943576" w:rsidRDefault="00FF53D9" w:rsidP="00FF53D9">
      <w:pPr>
        <w:pStyle w:val="Heading2"/>
        <w:rPr>
          <w:rFonts w:eastAsia="Batang"/>
          <w:lang w:val="es-ES_tradnl"/>
        </w:rPr>
      </w:pPr>
      <w:bookmarkStart w:id="20" w:name="_Toc77502929"/>
      <w:r w:rsidRPr="00943576">
        <w:rPr>
          <w:lang w:val="es-ES_tradnl"/>
        </w:rPr>
        <w:t>4.2</w:t>
      </w:r>
      <w:r w:rsidRPr="00943576">
        <w:rPr>
          <w:lang w:val="es-ES_tradnl"/>
        </w:rPr>
        <w:tab/>
        <w:t>Localización de una señal de satélite de enlace ascendente VSAT</w:t>
      </w:r>
      <w:bookmarkEnd w:id="20"/>
    </w:p>
    <w:p w14:paraId="6DA52799" w14:textId="77777777" w:rsidR="00C66E65" w:rsidRPr="00943576" w:rsidRDefault="00FF53D9" w:rsidP="00FF53D9">
      <w:pPr>
        <w:pStyle w:val="Heading3"/>
        <w:rPr>
          <w:lang w:val="es-ES_tradnl"/>
        </w:rPr>
      </w:pPr>
      <w:r w:rsidRPr="00943576">
        <w:rPr>
          <w:lang w:val="es-ES_tradnl"/>
        </w:rPr>
        <w:t>4.2.1</w:t>
      </w:r>
      <w:r w:rsidRPr="00943576">
        <w:rPr>
          <w:lang w:val="es-ES_tradnl"/>
        </w:rPr>
        <w:tab/>
        <w:t>Introducción</w:t>
      </w:r>
    </w:p>
    <w:p w14:paraId="297D6B39" w14:textId="184FA243" w:rsidR="00FF53D9" w:rsidRPr="00943576" w:rsidRDefault="00FF53D9" w:rsidP="00FF53D9">
      <w:pPr>
        <w:rPr>
          <w:rFonts w:eastAsia="Batang"/>
          <w:lang w:val="es-ES_tradnl"/>
        </w:rPr>
      </w:pPr>
      <w:r w:rsidRPr="00943576">
        <w:rPr>
          <w:lang w:val="es-ES_tradnl"/>
        </w:rPr>
        <w:t xml:space="preserve">Esta sección ofrece un ejemplo de uso de la plataforma de ANT para detectar y localizar una señal de satélite de enlace </w:t>
      </w:r>
      <w:r w:rsidR="004D621E" w:rsidRPr="00943576">
        <w:rPr>
          <w:lang w:val="es-ES_tradnl"/>
        </w:rPr>
        <w:t>ascendente</w:t>
      </w:r>
      <w:r w:rsidRPr="00943576">
        <w:rPr>
          <w:lang w:val="es-ES_tradnl"/>
        </w:rPr>
        <w:t xml:space="preserve"> VSAT.</w:t>
      </w:r>
    </w:p>
    <w:p w14:paraId="6A7501D6" w14:textId="77777777" w:rsidR="00C66E65" w:rsidRPr="00943576" w:rsidRDefault="00FF53D9" w:rsidP="00FF53D9">
      <w:pPr>
        <w:pStyle w:val="Heading3"/>
        <w:rPr>
          <w:lang w:val="es-ES_tradnl"/>
        </w:rPr>
      </w:pPr>
      <w:r w:rsidRPr="00943576">
        <w:rPr>
          <w:lang w:val="es-ES_tradnl"/>
        </w:rPr>
        <w:t>4.2.2</w:t>
      </w:r>
      <w:r w:rsidRPr="00943576">
        <w:rPr>
          <w:lang w:val="es-ES_tradnl"/>
        </w:rPr>
        <w:tab/>
        <w:t>Información del sistema</w:t>
      </w:r>
    </w:p>
    <w:p w14:paraId="1DB8D4BC" w14:textId="73ED1CC1" w:rsidR="00FF53D9" w:rsidRPr="00943576" w:rsidRDefault="00FF53D9" w:rsidP="00FF53D9">
      <w:pPr>
        <w:pStyle w:val="Heading4"/>
        <w:rPr>
          <w:rFonts w:eastAsia="Batang"/>
          <w:lang w:val="es-ES_tradnl"/>
        </w:rPr>
      </w:pPr>
      <w:r w:rsidRPr="00943576">
        <w:rPr>
          <w:lang w:val="es-ES_tradnl"/>
        </w:rPr>
        <w:t>4.2.2.1</w:t>
      </w:r>
      <w:r w:rsidRPr="00943576">
        <w:rPr>
          <w:lang w:val="es-ES_tradnl"/>
        </w:rPr>
        <w:tab/>
        <w:t>ANT</w:t>
      </w:r>
    </w:p>
    <w:p w14:paraId="5DA63A24" w14:textId="26F882B4" w:rsidR="00C66E65" w:rsidRPr="00943576" w:rsidRDefault="00FF53D9" w:rsidP="00FF53D9">
      <w:pPr>
        <w:rPr>
          <w:lang w:val="es-ES_tradnl"/>
        </w:rPr>
      </w:pPr>
      <w:r w:rsidRPr="00943576">
        <w:rPr>
          <w:lang w:val="es-ES_tradnl"/>
        </w:rPr>
        <w:t xml:space="preserve">La plataforma ANT incluye un helicóptero de 6 rotores y un soporte para el despegue y el aterrizaje en vertical. Está equipada de una cámara de alta definición y dos cargas útiles que cubren la banda de frecuencias 2-40 </w:t>
      </w:r>
      <w:r w:rsidR="004D621E" w:rsidRPr="00943576">
        <w:rPr>
          <w:lang w:val="es-ES_tradnl"/>
        </w:rPr>
        <w:t>GHz</w:t>
      </w:r>
      <w:r w:rsidRPr="00943576">
        <w:rPr>
          <w:lang w:val="es-ES_tradnl"/>
        </w:rPr>
        <w:t xml:space="preserve">. La </w:t>
      </w:r>
      <w:r w:rsidR="00FE3B05" w:rsidRPr="00943576">
        <w:rPr>
          <w:lang w:val="es-ES_tradnl"/>
        </w:rPr>
        <w:t xml:space="preserve">Fig. </w:t>
      </w:r>
      <w:r w:rsidRPr="00943576">
        <w:rPr>
          <w:lang w:val="es-ES_tradnl"/>
        </w:rPr>
        <w:t>7 muestra los componentes de la ANT.</w:t>
      </w:r>
    </w:p>
    <w:p w14:paraId="0255425F" w14:textId="25D453F9" w:rsidR="00FF53D9" w:rsidRPr="00943576" w:rsidRDefault="00FF53D9" w:rsidP="00FF53D9">
      <w:pPr>
        <w:pStyle w:val="FigureNo"/>
        <w:rPr>
          <w:rFonts w:eastAsia="Batang"/>
          <w:bCs/>
          <w:lang w:val="es-ES_tradnl"/>
        </w:rPr>
      </w:pPr>
      <w:r w:rsidRPr="00943576">
        <w:rPr>
          <w:lang w:val="es-ES_tradnl"/>
        </w:rPr>
        <w:lastRenderedPageBreak/>
        <w:t>FIGURA 7</w:t>
      </w:r>
    </w:p>
    <w:p w14:paraId="2D476113" w14:textId="3C1EB129" w:rsidR="00BD2EE0" w:rsidRPr="00BD2EE0" w:rsidRDefault="00BD2EE0" w:rsidP="00BD2EE0">
      <w:pPr>
        <w:pStyle w:val="Figure"/>
        <w:rPr>
          <w:rFonts w:eastAsia="Batang"/>
          <w:lang w:val="es-ES_tradnl"/>
        </w:rPr>
      </w:pPr>
      <w:bookmarkStart w:id="21" w:name="_GoBack"/>
      <w:r w:rsidRPr="00BD2EE0">
        <w:rPr>
          <w:noProof/>
        </w:rPr>
        <w:drawing>
          <wp:inline distT="0" distB="0" distL="0" distR="0" wp14:anchorId="007F54A7" wp14:editId="3F5D9726">
            <wp:extent cx="6120765" cy="42665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266565"/>
                    </a:xfrm>
                    <a:prstGeom prst="rect">
                      <a:avLst/>
                    </a:prstGeom>
                  </pic:spPr>
                </pic:pic>
              </a:graphicData>
            </a:graphic>
          </wp:inline>
        </w:drawing>
      </w:r>
    </w:p>
    <w:bookmarkEnd w:id="21"/>
    <w:p w14:paraId="3025AD55" w14:textId="50435124" w:rsidR="00C66E65" w:rsidRPr="00943576" w:rsidRDefault="00FF53D9" w:rsidP="00F84F73">
      <w:pPr>
        <w:rPr>
          <w:lang w:val="es-ES_tradnl"/>
        </w:rPr>
      </w:pPr>
      <w:r w:rsidRPr="00943576">
        <w:rPr>
          <w:lang w:val="es-ES_tradnl"/>
        </w:rPr>
        <w:t>La estación en tierra</w:t>
      </w:r>
      <w:r w:rsidR="005D35ED" w:rsidRPr="00943576">
        <w:rPr>
          <w:lang w:val="es-ES_tradnl"/>
        </w:rPr>
        <w:t xml:space="preserve"> de la ANT incluye un mando, una computadora </w:t>
      </w:r>
      <w:r w:rsidRPr="00943576">
        <w:rPr>
          <w:lang w:val="es-ES_tradnl"/>
        </w:rPr>
        <w:t>portátil, un módulo de telemedida y un anemómetro.</w:t>
      </w:r>
    </w:p>
    <w:p w14:paraId="002E8D7E" w14:textId="4D116A3E" w:rsidR="00FF53D9" w:rsidRPr="00943576" w:rsidRDefault="00FF53D9" w:rsidP="00FF53D9">
      <w:pPr>
        <w:pStyle w:val="Heading4"/>
        <w:rPr>
          <w:rFonts w:eastAsia="Batang"/>
          <w:lang w:val="es-ES_tradnl"/>
        </w:rPr>
      </w:pPr>
      <w:r w:rsidRPr="00943576">
        <w:rPr>
          <w:lang w:val="es-ES_tradnl"/>
        </w:rPr>
        <w:t xml:space="preserve">4.2.2.2 </w:t>
      </w:r>
      <w:r w:rsidRPr="00943576">
        <w:rPr>
          <w:lang w:val="es-ES_tradnl"/>
        </w:rPr>
        <w:tab/>
        <w:t>Sistema de comprobación técnica radioeléctrica (carga útil de RF)</w:t>
      </w:r>
    </w:p>
    <w:p w14:paraId="14F6D8AB" w14:textId="6EE44B7D" w:rsidR="00FF53D9" w:rsidRPr="00943576" w:rsidRDefault="00FF53D9" w:rsidP="009F2696">
      <w:pPr>
        <w:spacing w:after="120"/>
        <w:rPr>
          <w:rFonts w:eastAsia="Batang"/>
          <w:lang w:val="es-ES_tradnl"/>
        </w:rPr>
      </w:pPr>
      <w:r w:rsidRPr="00943576">
        <w:rPr>
          <w:lang w:val="es-ES_tradnl"/>
        </w:rPr>
        <w:t xml:space="preserve">La plataforma </w:t>
      </w:r>
      <w:r w:rsidR="00690143" w:rsidRPr="00943576">
        <w:rPr>
          <w:lang w:val="es-ES_tradnl"/>
        </w:rPr>
        <w:t xml:space="preserve">de la </w:t>
      </w:r>
      <w:r w:rsidRPr="00943576">
        <w:rPr>
          <w:lang w:val="es-ES_tradnl"/>
        </w:rPr>
        <w:t xml:space="preserve">ANT puede controlar la banda de radiofrecuencias de 2 a 40 </w:t>
      </w:r>
      <w:r w:rsidR="004D621E" w:rsidRPr="00943576">
        <w:rPr>
          <w:lang w:val="es-ES_tradnl"/>
        </w:rPr>
        <w:t>GHz</w:t>
      </w:r>
      <w:r w:rsidRPr="00943576">
        <w:rPr>
          <w:lang w:val="es-ES_tradnl"/>
        </w:rPr>
        <w:t xml:space="preserve"> utilizando dos cargas útiles, como se indica a continuación: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969"/>
        <w:gridCol w:w="3402"/>
      </w:tblGrid>
      <w:tr w:rsidR="00F84F73" w:rsidRPr="00943576" w14:paraId="2561E9BE" w14:textId="77777777" w:rsidTr="00F84F73">
        <w:trPr>
          <w:trHeight w:val="20"/>
          <w:tblHeader/>
          <w:jc w:val="center"/>
        </w:trPr>
        <w:tc>
          <w:tcPr>
            <w:tcW w:w="2268" w:type="dxa"/>
            <w:shd w:val="clear" w:color="auto" w:fill="auto"/>
          </w:tcPr>
          <w:p w14:paraId="5CE2CCF2" w14:textId="77777777" w:rsidR="00FF53D9" w:rsidRPr="00943576" w:rsidRDefault="00FF53D9" w:rsidP="00332ECE">
            <w:pPr>
              <w:pStyle w:val="Tablehead"/>
              <w:rPr>
                <w:rFonts w:eastAsia="Batang"/>
                <w:lang w:val="es-ES_tradnl"/>
              </w:rPr>
            </w:pPr>
            <w:r w:rsidRPr="00943576">
              <w:rPr>
                <w:lang w:val="es-ES_tradnl"/>
              </w:rPr>
              <w:t>Parámetros</w:t>
            </w:r>
          </w:p>
        </w:tc>
        <w:tc>
          <w:tcPr>
            <w:tcW w:w="3969" w:type="dxa"/>
            <w:shd w:val="clear" w:color="auto" w:fill="auto"/>
            <w:noWrap/>
            <w:vAlign w:val="center"/>
          </w:tcPr>
          <w:p w14:paraId="03DD4A4C" w14:textId="7C008F0A" w:rsidR="00FF53D9" w:rsidRPr="00943576" w:rsidRDefault="00FF53D9" w:rsidP="00332ECE">
            <w:pPr>
              <w:pStyle w:val="Tablehead"/>
              <w:rPr>
                <w:rFonts w:eastAsia="Batang"/>
                <w:lang w:val="es-ES_tradnl"/>
              </w:rPr>
            </w:pPr>
            <w:r w:rsidRPr="00943576">
              <w:rPr>
                <w:lang w:val="es-ES_tradnl"/>
              </w:rPr>
              <w:t>Carga útil de las bandas L, C, X, Ku</w:t>
            </w:r>
          </w:p>
        </w:tc>
        <w:tc>
          <w:tcPr>
            <w:tcW w:w="3402" w:type="dxa"/>
            <w:shd w:val="clear" w:color="auto" w:fill="auto"/>
            <w:noWrap/>
            <w:vAlign w:val="center"/>
          </w:tcPr>
          <w:p w14:paraId="5B77FE41" w14:textId="3382C180" w:rsidR="00FF53D9" w:rsidRPr="00943576" w:rsidRDefault="00FF53D9" w:rsidP="00332ECE">
            <w:pPr>
              <w:pStyle w:val="Tablehead"/>
              <w:rPr>
                <w:rFonts w:eastAsia="Batang"/>
                <w:lang w:val="es-ES_tradnl"/>
              </w:rPr>
            </w:pPr>
            <w:r w:rsidRPr="00943576">
              <w:rPr>
                <w:lang w:val="es-ES_tradnl"/>
              </w:rPr>
              <w:t>Carga útil de la banda Ka</w:t>
            </w:r>
          </w:p>
        </w:tc>
      </w:tr>
      <w:tr w:rsidR="00F84F73" w:rsidRPr="00943576" w14:paraId="0CDDBEEB" w14:textId="77777777" w:rsidTr="00F84F73">
        <w:trPr>
          <w:trHeight w:val="20"/>
          <w:jc w:val="center"/>
        </w:trPr>
        <w:tc>
          <w:tcPr>
            <w:tcW w:w="2268" w:type="dxa"/>
          </w:tcPr>
          <w:p w14:paraId="3850E79B" w14:textId="2A71463B" w:rsidR="00FF53D9" w:rsidRPr="00943576" w:rsidRDefault="00FF53D9" w:rsidP="00F84F73">
            <w:pPr>
              <w:pStyle w:val="Tabletext"/>
              <w:jc w:val="left"/>
              <w:rPr>
                <w:rFonts w:eastAsia="Batang"/>
                <w:lang w:val="es-ES_tradnl"/>
              </w:rPr>
            </w:pPr>
            <w:r w:rsidRPr="00943576">
              <w:rPr>
                <w:lang w:val="es-ES_tradnl"/>
              </w:rPr>
              <w:t>Banda de frecuencias</w:t>
            </w:r>
          </w:p>
        </w:tc>
        <w:tc>
          <w:tcPr>
            <w:tcW w:w="3969" w:type="dxa"/>
            <w:shd w:val="clear" w:color="auto" w:fill="auto"/>
            <w:noWrap/>
            <w:hideMark/>
          </w:tcPr>
          <w:p w14:paraId="12D1E706" w14:textId="1A3FCF61" w:rsidR="00FF53D9" w:rsidRPr="00943576" w:rsidRDefault="00FF53D9" w:rsidP="00F84F73">
            <w:pPr>
              <w:pStyle w:val="Tabletext"/>
              <w:jc w:val="left"/>
              <w:rPr>
                <w:rFonts w:eastAsia="Batang"/>
                <w:lang w:val="es-ES_tradnl"/>
              </w:rPr>
            </w:pPr>
            <w:r w:rsidRPr="00943576">
              <w:rPr>
                <w:lang w:val="es-ES_tradnl"/>
              </w:rPr>
              <w:t>Antena receptora en 2-18 GHz</w:t>
            </w:r>
          </w:p>
        </w:tc>
        <w:tc>
          <w:tcPr>
            <w:tcW w:w="3402" w:type="dxa"/>
            <w:shd w:val="clear" w:color="auto" w:fill="auto"/>
            <w:noWrap/>
            <w:hideMark/>
          </w:tcPr>
          <w:p w14:paraId="1998901F" w14:textId="26C449A5" w:rsidR="00FF53D9" w:rsidRPr="00943576" w:rsidRDefault="00FF53D9" w:rsidP="00F84F73">
            <w:pPr>
              <w:pStyle w:val="Tabletext"/>
              <w:jc w:val="left"/>
              <w:rPr>
                <w:rFonts w:eastAsia="Batang"/>
                <w:lang w:val="es-ES_tradnl"/>
              </w:rPr>
            </w:pPr>
            <w:r w:rsidRPr="00943576">
              <w:rPr>
                <w:lang w:val="es-ES_tradnl"/>
              </w:rPr>
              <w:t>Antena receptora en 18-40 GHz</w:t>
            </w:r>
          </w:p>
        </w:tc>
      </w:tr>
      <w:tr w:rsidR="00F84F73" w:rsidRPr="00943576" w14:paraId="28482139" w14:textId="77777777" w:rsidTr="00F84F73">
        <w:trPr>
          <w:trHeight w:val="20"/>
          <w:jc w:val="center"/>
        </w:trPr>
        <w:tc>
          <w:tcPr>
            <w:tcW w:w="2268" w:type="dxa"/>
            <w:tcBorders>
              <w:bottom w:val="single" w:sz="4" w:space="0" w:color="auto"/>
            </w:tcBorders>
          </w:tcPr>
          <w:p w14:paraId="31F2060D" w14:textId="77777777" w:rsidR="00FF53D9" w:rsidRPr="00943576" w:rsidRDefault="00FF53D9" w:rsidP="00F84F73">
            <w:pPr>
              <w:pStyle w:val="Tabletext"/>
              <w:jc w:val="left"/>
              <w:rPr>
                <w:rFonts w:eastAsia="Batang"/>
                <w:lang w:val="es-ES_tradnl"/>
              </w:rPr>
            </w:pPr>
            <w:r w:rsidRPr="00943576">
              <w:rPr>
                <w:lang w:val="es-ES_tradnl"/>
              </w:rPr>
              <w:t xml:space="preserve">Polarización </w:t>
            </w:r>
          </w:p>
        </w:tc>
        <w:tc>
          <w:tcPr>
            <w:tcW w:w="3969" w:type="dxa"/>
            <w:tcBorders>
              <w:bottom w:val="single" w:sz="4" w:space="0" w:color="auto"/>
            </w:tcBorders>
            <w:shd w:val="clear" w:color="auto" w:fill="auto"/>
            <w:noWrap/>
            <w:hideMark/>
          </w:tcPr>
          <w:p w14:paraId="2CDF01E8" w14:textId="4F309245" w:rsidR="00FF53D9" w:rsidRPr="00943576" w:rsidRDefault="00FF53D9" w:rsidP="00F84F73">
            <w:pPr>
              <w:pStyle w:val="Tabletext"/>
              <w:jc w:val="left"/>
              <w:rPr>
                <w:rFonts w:eastAsia="Batang"/>
                <w:lang w:val="es-ES_tradnl"/>
              </w:rPr>
            </w:pPr>
            <w:r w:rsidRPr="00943576">
              <w:rPr>
                <w:lang w:val="es-ES_tradnl"/>
              </w:rPr>
              <w:t>Polarización circular izquierda y derecha</w:t>
            </w:r>
          </w:p>
        </w:tc>
        <w:tc>
          <w:tcPr>
            <w:tcW w:w="3402" w:type="dxa"/>
            <w:tcBorders>
              <w:bottom w:val="single" w:sz="4" w:space="0" w:color="auto"/>
            </w:tcBorders>
            <w:shd w:val="clear" w:color="auto" w:fill="auto"/>
            <w:noWrap/>
            <w:hideMark/>
          </w:tcPr>
          <w:p w14:paraId="0258EB51" w14:textId="2825A575" w:rsidR="00FF53D9" w:rsidRPr="00943576" w:rsidRDefault="00FF53D9" w:rsidP="00F84F73">
            <w:pPr>
              <w:pStyle w:val="Tabletext"/>
              <w:jc w:val="left"/>
              <w:rPr>
                <w:rFonts w:eastAsia="Batang"/>
                <w:lang w:val="es-ES_tradnl"/>
              </w:rPr>
            </w:pPr>
            <w:r w:rsidRPr="00943576">
              <w:rPr>
                <w:lang w:val="es-ES_tradnl"/>
              </w:rPr>
              <w:t>Polarización circular izquierda y derecha</w:t>
            </w:r>
          </w:p>
        </w:tc>
      </w:tr>
    </w:tbl>
    <w:p w14:paraId="722F5449" w14:textId="77777777" w:rsidR="00FF53D9" w:rsidRPr="00943576" w:rsidRDefault="00FF53D9" w:rsidP="00FF53D9">
      <w:pPr>
        <w:pStyle w:val="Tablefin"/>
        <w:rPr>
          <w:rFonts w:eastAsia="Batang"/>
          <w:lang w:val="es-ES_tradnl"/>
        </w:rPr>
      </w:pPr>
    </w:p>
    <w:p w14:paraId="1CC1576D" w14:textId="77777777" w:rsidR="00FF53D9" w:rsidRPr="00943576" w:rsidRDefault="00FF53D9" w:rsidP="00FF53D9">
      <w:pPr>
        <w:rPr>
          <w:rFonts w:eastAsia="Batang"/>
          <w:lang w:val="es-ES_tradnl"/>
        </w:rPr>
      </w:pPr>
      <w:r w:rsidRPr="00943576">
        <w:rPr>
          <w:lang w:val="es-ES_tradnl"/>
        </w:rPr>
        <w:t>La comunicación entre la estación en tierra y la ANT se realiza mediante un enlace inalámbrico en la banda de 2,4 GHz.</w:t>
      </w:r>
    </w:p>
    <w:p w14:paraId="4043C172" w14:textId="2CCA5F0C" w:rsidR="00FF53D9" w:rsidRPr="00943576" w:rsidRDefault="00FF53D9" w:rsidP="00FF53D9">
      <w:pPr>
        <w:pStyle w:val="Heading4"/>
        <w:rPr>
          <w:rFonts w:eastAsia="Batang"/>
          <w:lang w:val="es-ES_tradnl"/>
        </w:rPr>
      </w:pPr>
      <w:r w:rsidRPr="00943576">
        <w:rPr>
          <w:lang w:val="es-ES_tradnl"/>
        </w:rPr>
        <w:t>4.2.2.3</w:t>
      </w:r>
      <w:r w:rsidRPr="00943576">
        <w:rPr>
          <w:lang w:val="es-ES_tradnl"/>
        </w:rPr>
        <w:tab/>
        <w:t>Control y funcionamiento</w:t>
      </w:r>
    </w:p>
    <w:p w14:paraId="02610BE2" w14:textId="1A25A02A" w:rsidR="00FF53D9" w:rsidRPr="00943576" w:rsidRDefault="00FF53D9" w:rsidP="00FF53D9">
      <w:pPr>
        <w:rPr>
          <w:rFonts w:eastAsia="Batang"/>
          <w:lang w:val="es-ES_tradnl"/>
        </w:rPr>
      </w:pPr>
      <w:r w:rsidRPr="00943576">
        <w:rPr>
          <w:lang w:val="es-ES_tradnl"/>
        </w:rPr>
        <w:t>La ANT ofrece dos modos de funcionamiento: manual y automático. Puede ser controlada manualmente mediante un mando por un operador para volar en cualquier dirección deseada. Cabe asimismo la posibilidad de decidir y programar la ruta de vuelo utilizando el programa informático mediante el que se carga un plan de vuelo en la ANT. Por motivos de seguridad, la ANT está equipada de una función de aterrizaje seguro en la posición de base en caso de que se agote la batería.</w:t>
      </w:r>
    </w:p>
    <w:p w14:paraId="6F2E4CB9" w14:textId="77777777" w:rsidR="00C66E65" w:rsidRPr="00943576" w:rsidRDefault="00FF53D9" w:rsidP="00FF53D9">
      <w:pPr>
        <w:pStyle w:val="Heading3"/>
        <w:rPr>
          <w:lang w:val="es-ES_tradnl"/>
        </w:rPr>
      </w:pPr>
      <w:r w:rsidRPr="00943576">
        <w:rPr>
          <w:lang w:val="es-ES_tradnl"/>
        </w:rPr>
        <w:lastRenderedPageBreak/>
        <w:t>4.2.3</w:t>
      </w:r>
      <w:r w:rsidRPr="00943576">
        <w:rPr>
          <w:lang w:val="es-ES_tradnl"/>
        </w:rPr>
        <w:tab/>
        <w:t>Mediciones y resultados</w:t>
      </w:r>
    </w:p>
    <w:p w14:paraId="2F8EC904" w14:textId="3F517B28" w:rsidR="00C66E65" w:rsidRPr="00943576" w:rsidRDefault="00FF53D9" w:rsidP="00FF53D9">
      <w:pPr>
        <w:rPr>
          <w:lang w:val="es-ES_tradnl"/>
        </w:rPr>
      </w:pPr>
      <w:r w:rsidRPr="00943576">
        <w:rPr>
          <w:lang w:val="es-ES_tradnl"/>
        </w:rPr>
        <w:t xml:space="preserve">Para llevar a cabo la medición, se deben tener en cuenta varios factores antes de realizar la misión en una zona extensa determinada, como la determinación del lugar de medición y los puntos de vuelo para localizar </w:t>
      </w:r>
      <w:r w:rsidR="004D621E" w:rsidRPr="00943576">
        <w:rPr>
          <w:lang w:val="es-ES_tradnl"/>
        </w:rPr>
        <w:t>las antenas</w:t>
      </w:r>
      <w:r w:rsidRPr="00943576">
        <w:rPr>
          <w:lang w:val="es-ES_tradnl"/>
        </w:rPr>
        <w:t xml:space="preserve"> objetivo, además de la dirección de la ubicación de las supuestas antenas</w:t>
      </w:r>
      <w:r w:rsidR="00690143" w:rsidRPr="00943576">
        <w:rPr>
          <w:lang w:val="es-ES_tradnl"/>
        </w:rPr>
        <w:t xml:space="preserve"> objetivo</w:t>
      </w:r>
      <w:r w:rsidRPr="00943576">
        <w:rPr>
          <w:lang w:val="es-ES_tradnl"/>
        </w:rPr>
        <w:t>.</w:t>
      </w:r>
    </w:p>
    <w:p w14:paraId="48BAC6DC" w14:textId="08AA3BEE" w:rsidR="00FF53D9" w:rsidRDefault="00FF53D9" w:rsidP="00FF53D9">
      <w:pPr>
        <w:rPr>
          <w:lang w:val="es-ES_tradnl"/>
        </w:rPr>
      </w:pPr>
      <w:r w:rsidRPr="00943576">
        <w:rPr>
          <w:lang w:val="es-ES_tradnl"/>
        </w:rPr>
        <w:t xml:space="preserve">La </w:t>
      </w:r>
      <w:r w:rsidR="00FE3B05" w:rsidRPr="00943576">
        <w:rPr>
          <w:lang w:val="es-ES_tradnl"/>
        </w:rPr>
        <w:t>Fig.</w:t>
      </w:r>
      <w:r w:rsidR="005D2656" w:rsidRPr="00943576">
        <w:rPr>
          <w:lang w:val="es-ES_tradnl"/>
        </w:rPr>
        <w:t> </w:t>
      </w:r>
      <w:r w:rsidRPr="00943576">
        <w:rPr>
          <w:lang w:val="es-ES_tradnl"/>
        </w:rPr>
        <w:t>8 muestra los resultados de medición de la misión de la ANT. Durante la misión, la ANT midió la frecuencia objetivo desde dos puntos de medición y en los diferentes grados indicados. Mediante un sistema de medición del umbral de potencia, se pueden filtrar los resultados de la medición en el mapa para ver exclusivamente la dirección en que se recibe una potencia elevada (imagen de la izquierda). A continuación, el sistema de la ANT puede proporcionar un resultado optimizado que muestra la mejor dirección de la medición calculada con base en toda la potencia recibida desde todas las direcciones. La intersección de los resultados optimizados señalada con un círculo amarillo desde los puntos de vuelo de la medición muestra la ubicación del transmisor VSAT (imagen de la derecha).</w:t>
      </w:r>
    </w:p>
    <w:p w14:paraId="406BBA37" w14:textId="1799DC55" w:rsidR="00FF53D9" w:rsidRPr="00943576" w:rsidRDefault="00FF53D9" w:rsidP="00FF53D9">
      <w:pPr>
        <w:pStyle w:val="FigureNo"/>
        <w:rPr>
          <w:rFonts w:eastAsia="한컴바탕"/>
          <w:lang w:val="es-ES_tradnl"/>
        </w:rPr>
      </w:pPr>
      <w:r w:rsidRPr="00943576">
        <w:rPr>
          <w:lang w:val="es-ES_tradnl"/>
        </w:rPr>
        <w:t>FIGURA 8</w:t>
      </w:r>
    </w:p>
    <w:p w14:paraId="7FD3B714" w14:textId="1945A499" w:rsidR="00FF53D9" w:rsidRPr="00943576" w:rsidRDefault="00FF53D9" w:rsidP="00FF53D9">
      <w:pPr>
        <w:pStyle w:val="Figuretitle"/>
        <w:rPr>
          <w:rFonts w:eastAsia="Batang"/>
          <w:lang w:val="es-ES_tradnl"/>
        </w:rPr>
      </w:pPr>
      <w:r w:rsidRPr="00943576">
        <w:rPr>
          <w:lang w:val="es-ES_tradnl"/>
        </w:rPr>
        <w:t>Resultados de la medición con ANT y análisis</w:t>
      </w:r>
    </w:p>
    <w:p w14:paraId="78237811" w14:textId="77777777" w:rsidR="00FF53D9" w:rsidRPr="00943576" w:rsidRDefault="00FF53D9" w:rsidP="00FF53D9">
      <w:pPr>
        <w:pStyle w:val="Figure"/>
        <w:rPr>
          <w:rFonts w:eastAsia="Batang"/>
          <w:lang w:val="es-ES_tradnl"/>
        </w:rPr>
      </w:pPr>
      <w:r w:rsidRPr="00943576">
        <w:rPr>
          <w:noProof/>
          <w:lang w:val="es-ES_tradnl" w:eastAsia="es-ES"/>
        </w:rPr>
        <w:drawing>
          <wp:inline distT="0" distB="0" distL="0" distR="0" wp14:anchorId="21BACE36" wp14:editId="1685A691">
            <wp:extent cx="6120000" cy="25802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2580242"/>
                    </a:xfrm>
                    <a:prstGeom prst="rect">
                      <a:avLst/>
                    </a:prstGeom>
                    <a:noFill/>
                  </pic:spPr>
                </pic:pic>
              </a:graphicData>
            </a:graphic>
          </wp:inline>
        </w:drawing>
      </w:r>
    </w:p>
    <w:p w14:paraId="03C2237C" w14:textId="4BCDB366" w:rsidR="00FF53D9" w:rsidRPr="00943576" w:rsidRDefault="00FF53D9" w:rsidP="00002E92">
      <w:pPr>
        <w:pStyle w:val="Normalaftertitle"/>
        <w:rPr>
          <w:rFonts w:eastAsia="Batang"/>
          <w:lang w:val="es-ES_tradnl"/>
        </w:rPr>
      </w:pPr>
      <w:r w:rsidRPr="00943576">
        <w:rPr>
          <w:lang w:val="es-ES_tradnl"/>
        </w:rPr>
        <w:t>Con base en la medición señalada anteriormente, la cámara integrada de la ANT ayuda a localizar cualquier antena situada a gran altitud, donde se toman fotografías en cada grado para comprobar si hay una antena visible en la dirección de la máxima potencia recibida. La Fig</w:t>
      </w:r>
      <w:r w:rsidR="001A1C44" w:rsidRPr="00943576">
        <w:rPr>
          <w:lang w:val="es-ES_tradnl"/>
        </w:rPr>
        <w:t>. </w:t>
      </w:r>
      <w:r w:rsidRPr="00943576">
        <w:rPr>
          <w:lang w:val="es-ES_tradnl"/>
        </w:rPr>
        <w:t>9 muestra la fotografía tomada del transmisor VSAT.</w:t>
      </w:r>
    </w:p>
    <w:p w14:paraId="49D7F089" w14:textId="66F67CB1" w:rsidR="00FF53D9" w:rsidRPr="00943576" w:rsidRDefault="00FF53D9" w:rsidP="00FF53D9">
      <w:pPr>
        <w:pStyle w:val="FigureNo"/>
        <w:rPr>
          <w:rFonts w:eastAsia="Batang"/>
          <w:b/>
          <w:lang w:val="es-ES_tradnl"/>
        </w:rPr>
      </w:pPr>
      <w:r w:rsidRPr="00943576">
        <w:rPr>
          <w:lang w:val="es-ES_tradnl"/>
        </w:rPr>
        <w:lastRenderedPageBreak/>
        <w:t>FIGURA 9</w:t>
      </w:r>
    </w:p>
    <w:p w14:paraId="7C33A337" w14:textId="6E819614" w:rsidR="00FF53D9" w:rsidRPr="00943576" w:rsidRDefault="00FF53D9" w:rsidP="00FF53D9">
      <w:pPr>
        <w:pStyle w:val="Figuretitle"/>
        <w:rPr>
          <w:rFonts w:eastAsia="Batang"/>
          <w:lang w:val="es-ES_tradnl"/>
        </w:rPr>
      </w:pPr>
      <w:r w:rsidRPr="00943576">
        <w:rPr>
          <w:lang w:val="es-ES_tradnl"/>
        </w:rPr>
        <w:t>Fotografías de la cámara de la ANT</w:t>
      </w:r>
    </w:p>
    <w:p w14:paraId="640960F3" w14:textId="77777777" w:rsidR="00FF53D9" w:rsidRPr="00943576" w:rsidRDefault="00FF53D9" w:rsidP="00FF53D9">
      <w:pPr>
        <w:pStyle w:val="Figure"/>
        <w:rPr>
          <w:rFonts w:eastAsia="Batang"/>
          <w:snapToGrid w:val="0"/>
          <w:szCs w:val="24"/>
          <w:lang w:val="es-ES_tradnl"/>
        </w:rPr>
      </w:pPr>
      <w:r w:rsidRPr="00943576">
        <w:rPr>
          <w:noProof/>
          <w:lang w:val="es-ES_tradnl" w:eastAsia="es-ES"/>
        </w:rPr>
        <w:drawing>
          <wp:inline distT="0" distB="0" distL="0" distR="0" wp14:anchorId="2053BDF4" wp14:editId="47AAF2BC">
            <wp:extent cx="6120000" cy="252816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2528162"/>
                    </a:xfrm>
                    <a:prstGeom prst="rect">
                      <a:avLst/>
                    </a:prstGeom>
                    <a:noFill/>
                  </pic:spPr>
                </pic:pic>
              </a:graphicData>
            </a:graphic>
          </wp:inline>
        </w:drawing>
      </w:r>
    </w:p>
    <w:p w14:paraId="56D940BD" w14:textId="4981CCFF" w:rsidR="00FF53D9" w:rsidRPr="00943576" w:rsidRDefault="00FF53D9" w:rsidP="00FF53D9">
      <w:pPr>
        <w:pStyle w:val="Heading1"/>
        <w:rPr>
          <w:lang w:val="es-ES_tradnl"/>
        </w:rPr>
      </w:pPr>
      <w:bookmarkStart w:id="22" w:name="_Toc77502930"/>
      <w:r w:rsidRPr="00943576">
        <w:rPr>
          <w:lang w:val="es-ES_tradnl"/>
        </w:rPr>
        <w:t>5</w:t>
      </w:r>
      <w:r w:rsidRPr="00943576">
        <w:rPr>
          <w:lang w:val="es-ES_tradnl"/>
        </w:rPr>
        <w:tab/>
        <w:t>Siglas</w:t>
      </w:r>
      <w:bookmarkEnd w:id="22"/>
    </w:p>
    <w:p w14:paraId="6795732A" w14:textId="2B87EF62" w:rsidR="00FF53D9" w:rsidRPr="00943576" w:rsidRDefault="00FF53D9" w:rsidP="009F2696">
      <w:pPr>
        <w:tabs>
          <w:tab w:val="clear" w:pos="794"/>
          <w:tab w:val="left" w:pos="1418"/>
        </w:tabs>
        <w:rPr>
          <w:lang w:val="es-ES_tradnl"/>
        </w:rPr>
      </w:pPr>
      <w:r w:rsidRPr="00943576">
        <w:rPr>
          <w:lang w:val="es-ES_tradnl"/>
        </w:rPr>
        <w:t>3D</w:t>
      </w:r>
      <w:r w:rsidR="00F84F73" w:rsidRPr="00943576">
        <w:rPr>
          <w:lang w:val="es-ES_tradnl"/>
        </w:rPr>
        <w:tab/>
      </w:r>
      <w:r w:rsidRPr="00943576">
        <w:rPr>
          <w:lang w:val="es-ES_tradnl"/>
        </w:rPr>
        <w:t>Tridimensional</w:t>
      </w:r>
    </w:p>
    <w:p w14:paraId="6B7010A9" w14:textId="2EECFAD4" w:rsidR="00FF53D9" w:rsidRPr="00943576" w:rsidRDefault="00FF53D9" w:rsidP="009F2696">
      <w:pPr>
        <w:tabs>
          <w:tab w:val="clear" w:pos="794"/>
          <w:tab w:val="left" w:pos="1418"/>
        </w:tabs>
        <w:rPr>
          <w:lang w:val="es-ES_tradnl"/>
        </w:rPr>
      </w:pPr>
      <w:r w:rsidRPr="00943576">
        <w:rPr>
          <w:lang w:val="es-ES_tradnl"/>
        </w:rPr>
        <w:t>TVD</w:t>
      </w:r>
      <w:r w:rsidR="00F84F73" w:rsidRPr="00943576">
        <w:rPr>
          <w:lang w:val="es-ES_tradnl"/>
        </w:rPr>
        <w:tab/>
      </w:r>
      <w:r w:rsidRPr="00943576">
        <w:rPr>
          <w:lang w:val="es-ES_tradnl"/>
        </w:rPr>
        <w:t>Televisión digital</w:t>
      </w:r>
    </w:p>
    <w:p w14:paraId="453C0DA5" w14:textId="3694B2DB" w:rsidR="00FF53D9" w:rsidRPr="00943576" w:rsidRDefault="00FF53D9" w:rsidP="009F2696">
      <w:pPr>
        <w:tabs>
          <w:tab w:val="clear" w:pos="794"/>
          <w:tab w:val="left" w:pos="1418"/>
        </w:tabs>
        <w:rPr>
          <w:lang w:val="es-ES_tradnl"/>
        </w:rPr>
      </w:pPr>
      <w:r w:rsidRPr="00943576">
        <w:rPr>
          <w:lang w:val="es-ES_tradnl"/>
        </w:rPr>
        <w:t>EMI</w:t>
      </w:r>
      <w:r w:rsidR="00F84F73" w:rsidRPr="00943576">
        <w:rPr>
          <w:lang w:val="es-ES_tradnl"/>
        </w:rPr>
        <w:tab/>
      </w:r>
      <w:r w:rsidRPr="00943576">
        <w:rPr>
          <w:lang w:val="es-ES_tradnl"/>
        </w:rPr>
        <w:t>Interferencia electromagnética</w:t>
      </w:r>
    </w:p>
    <w:p w14:paraId="2BE43C4C" w14:textId="667151A8" w:rsidR="00FF53D9" w:rsidRPr="00943576" w:rsidRDefault="00FF53D9" w:rsidP="009F2696">
      <w:pPr>
        <w:tabs>
          <w:tab w:val="clear" w:pos="794"/>
          <w:tab w:val="left" w:pos="1418"/>
        </w:tabs>
        <w:rPr>
          <w:lang w:val="es-ES_tradnl"/>
        </w:rPr>
      </w:pPr>
      <w:r w:rsidRPr="00943576">
        <w:rPr>
          <w:lang w:val="es-ES_tradnl"/>
        </w:rPr>
        <w:t>GNSS</w:t>
      </w:r>
      <w:r w:rsidR="00F84F73" w:rsidRPr="00943576">
        <w:rPr>
          <w:lang w:val="es-ES_tradnl"/>
        </w:rPr>
        <w:tab/>
      </w:r>
      <w:r w:rsidRPr="00943576">
        <w:rPr>
          <w:lang w:val="es-ES_tradnl"/>
        </w:rPr>
        <w:t>Sistema mundial de navegación por satélite</w:t>
      </w:r>
    </w:p>
    <w:p w14:paraId="6DEA02C7" w14:textId="4BFEF461" w:rsidR="00FF53D9" w:rsidRPr="00943576" w:rsidRDefault="00FF53D9" w:rsidP="009F2696">
      <w:pPr>
        <w:tabs>
          <w:tab w:val="clear" w:pos="794"/>
          <w:tab w:val="left" w:pos="1418"/>
        </w:tabs>
        <w:rPr>
          <w:lang w:val="es-ES_tradnl"/>
        </w:rPr>
      </w:pPr>
      <w:r w:rsidRPr="00943576">
        <w:rPr>
          <w:lang w:val="es-ES_tradnl"/>
        </w:rPr>
        <w:t>GPS</w:t>
      </w:r>
      <w:r w:rsidR="00F84F73" w:rsidRPr="00943576">
        <w:rPr>
          <w:lang w:val="es-ES_tradnl"/>
        </w:rPr>
        <w:tab/>
      </w:r>
      <w:r w:rsidRPr="00943576">
        <w:rPr>
          <w:lang w:val="es-ES_tradnl"/>
        </w:rPr>
        <w:t>Sistema de posicionamiento mundial</w:t>
      </w:r>
    </w:p>
    <w:p w14:paraId="25CD0F96" w14:textId="09D24956" w:rsidR="00C66E65" w:rsidRPr="00943576" w:rsidRDefault="00FF53D9" w:rsidP="009F2696">
      <w:pPr>
        <w:tabs>
          <w:tab w:val="clear" w:pos="794"/>
          <w:tab w:val="left" w:pos="1418"/>
        </w:tabs>
        <w:rPr>
          <w:lang w:val="es-ES_tradnl"/>
        </w:rPr>
      </w:pPr>
      <w:r w:rsidRPr="00943576">
        <w:rPr>
          <w:lang w:val="es-ES_tradnl"/>
        </w:rPr>
        <w:t>OACI</w:t>
      </w:r>
      <w:r w:rsidR="00F84F73" w:rsidRPr="00943576">
        <w:rPr>
          <w:lang w:val="es-ES_tradnl"/>
        </w:rPr>
        <w:tab/>
      </w:r>
      <w:r w:rsidRPr="00943576">
        <w:rPr>
          <w:lang w:val="es-ES_tradnl"/>
        </w:rPr>
        <w:t>Organización de Aviación Civil Internacional</w:t>
      </w:r>
    </w:p>
    <w:p w14:paraId="60E20EF9" w14:textId="4AD3319A" w:rsidR="00FF53D9" w:rsidRPr="00943576" w:rsidRDefault="00FF53D9" w:rsidP="009F2696">
      <w:pPr>
        <w:tabs>
          <w:tab w:val="clear" w:pos="794"/>
          <w:tab w:val="left" w:pos="1418"/>
        </w:tabs>
        <w:rPr>
          <w:lang w:val="es-ES_tradnl"/>
        </w:rPr>
      </w:pPr>
      <w:r w:rsidRPr="00943576">
        <w:rPr>
          <w:lang w:val="es-ES_tradnl"/>
        </w:rPr>
        <w:t>INS</w:t>
      </w:r>
      <w:r w:rsidR="00F84F73" w:rsidRPr="00943576">
        <w:rPr>
          <w:lang w:val="es-ES_tradnl"/>
        </w:rPr>
        <w:tab/>
      </w:r>
      <w:r w:rsidRPr="00943576">
        <w:rPr>
          <w:lang w:val="es-ES_tradnl"/>
        </w:rPr>
        <w:t>Sistema de navegación inercial</w:t>
      </w:r>
    </w:p>
    <w:p w14:paraId="73CC2F7A" w14:textId="3BE0676A" w:rsidR="00C66E65" w:rsidRPr="00943576" w:rsidRDefault="00FF53D9" w:rsidP="009F2696">
      <w:pPr>
        <w:tabs>
          <w:tab w:val="clear" w:pos="794"/>
          <w:tab w:val="left" w:pos="1418"/>
        </w:tabs>
        <w:rPr>
          <w:lang w:val="es-ES_tradnl"/>
        </w:rPr>
      </w:pPr>
      <w:r w:rsidRPr="00943576">
        <w:rPr>
          <w:lang w:val="es-ES_tradnl"/>
        </w:rPr>
        <w:t>RTK</w:t>
      </w:r>
      <w:r w:rsidR="00F84F73" w:rsidRPr="00943576">
        <w:rPr>
          <w:lang w:val="es-ES_tradnl"/>
        </w:rPr>
        <w:tab/>
      </w:r>
      <w:r w:rsidRPr="00943576">
        <w:rPr>
          <w:lang w:val="es-ES_tradnl"/>
        </w:rPr>
        <w:t>Cinemática en tiempo real</w:t>
      </w:r>
    </w:p>
    <w:p w14:paraId="566ED4A2" w14:textId="2089AB77" w:rsidR="00FF53D9" w:rsidRPr="00943576" w:rsidRDefault="00FF53D9" w:rsidP="009F2696">
      <w:pPr>
        <w:tabs>
          <w:tab w:val="clear" w:pos="794"/>
          <w:tab w:val="left" w:pos="1418"/>
        </w:tabs>
        <w:rPr>
          <w:lang w:val="es-ES_tradnl"/>
        </w:rPr>
      </w:pPr>
      <w:r w:rsidRPr="00943576">
        <w:rPr>
          <w:lang w:val="es-ES_tradnl"/>
        </w:rPr>
        <w:t>SANT</w:t>
      </w:r>
      <w:r w:rsidR="00F84F73" w:rsidRPr="00943576">
        <w:rPr>
          <w:lang w:val="es-ES_tradnl"/>
        </w:rPr>
        <w:tab/>
      </w:r>
      <w:r w:rsidRPr="00943576">
        <w:rPr>
          <w:lang w:val="es-ES_tradnl"/>
        </w:rPr>
        <w:t>Sistema de aeronaves no tripuladas</w:t>
      </w:r>
    </w:p>
    <w:p w14:paraId="74E035FF" w14:textId="7418AD8A" w:rsidR="00FF53D9" w:rsidRPr="00943576" w:rsidRDefault="00FF53D9" w:rsidP="009F2696">
      <w:pPr>
        <w:tabs>
          <w:tab w:val="clear" w:pos="794"/>
          <w:tab w:val="left" w:pos="1418"/>
        </w:tabs>
        <w:rPr>
          <w:lang w:val="es-ES_tradnl"/>
        </w:rPr>
      </w:pPr>
      <w:r w:rsidRPr="00943576">
        <w:rPr>
          <w:lang w:val="es-ES_tradnl"/>
        </w:rPr>
        <w:t>ANT</w:t>
      </w:r>
      <w:r w:rsidR="00F84F73" w:rsidRPr="00943576">
        <w:rPr>
          <w:lang w:val="es-ES_tradnl"/>
        </w:rPr>
        <w:tab/>
      </w:r>
      <w:r w:rsidRPr="00943576">
        <w:rPr>
          <w:lang w:val="es-ES_tradnl"/>
        </w:rPr>
        <w:t>Aeronave no tripulada</w:t>
      </w:r>
    </w:p>
    <w:p w14:paraId="58846E19" w14:textId="20B39D09" w:rsidR="00FF53D9" w:rsidRPr="00943576" w:rsidRDefault="00FF53D9" w:rsidP="009F2696">
      <w:pPr>
        <w:tabs>
          <w:tab w:val="clear" w:pos="794"/>
          <w:tab w:val="left" w:pos="1418"/>
        </w:tabs>
        <w:rPr>
          <w:lang w:val="es-ES_tradnl"/>
        </w:rPr>
      </w:pPr>
      <w:r w:rsidRPr="00943576">
        <w:rPr>
          <w:lang w:val="es-ES_tradnl"/>
        </w:rPr>
        <w:t>VSAT</w:t>
      </w:r>
      <w:r w:rsidR="00F84F73" w:rsidRPr="00943576">
        <w:rPr>
          <w:lang w:val="es-ES_tradnl"/>
        </w:rPr>
        <w:tab/>
      </w:r>
      <w:r w:rsidRPr="00943576">
        <w:rPr>
          <w:lang w:val="es-ES_tradnl"/>
        </w:rPr>
        <w:t>Terminal de muy pequeña abertura</w:t>
      </w:r>
    </w:p>
    <w:p w14:paraId="5311123D" w14:textId="77777777" w:rsidR="003B476F" w:rsidRPr="004D621E" w:rsidRDefault="003B476F" w:rsidP="003B476F"/>
    <w:p w14:paraId="3EFA79C4" w14:textId="2E7F0A13" w:rsidR="00FF53D9" w:rsidRPr="004D621E" w:rsidRDefault="00FF53D9" w:rsidP="00332ECE">
      <w:pPr>
        <w:pStyle w:val="Line"/>
        <w:rPr>
          <w:lang w:eastAsia="zh-CN"/>
        </w:rPr>
      </w:pPr>
    </w:p>
    <w:sectPr w:rsidR="00FF53D9" w:rsidRPr="004D621E" w:rsidSect="00EA5C4E">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26D7B" w14:textId="77777777" w:rsidR="00FA1EAA" w:rsidRDefault="00FA1EAA">
      <w:r>
        <w:separator/>
      </w:r>
    </w:p>
  </w:endnote>
  <w:endnote w:type="continuationSeparator" w:id="0">
    <w:p w14:paraId="16769B14" w14:textId="77777777" w:rsidR="00FA1EAA" w:rsidRDefault="00FA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휴먼명조">
    <w:altName w:val="Arial Unicode MS"/>
    <w:panose1 w:val="00000000000000000000"/>
    <w:charset w:val="81"/>
    <w:family w:val="roman"/>
    <w:notTrueType/>
    <w:pitch w:val="default"/>
    <w:sig w:usb0="00000000" w:usb1="09060000" w:usb2="00000010" w:usb3="00000000" w:csb0="00080000" w:csb1="00000000"/>
  </w:font>
  <w:font w:name="한컴바탕">
    <w:altName w:val="Batang"/>
    <w:panose1 w:val="00000000000000000000"/>
    <w:charset w:val="81"/>
    <w:family w:val="roman"/>
    <w:notTrueType/>
    <w:pitch w:val="default"/>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74945" w14:textId="77777777" w:rsidR="00FA1EAA" w:rsidRDefault="00FA1EAA">
      <w:r>
        <w:separator/>
      </w:r>
    </w:p>
  </w:footnote>
  <w:footnote w:type="continuationSeparator" w:id="0">
    <w:p w14:paraId="39D61169" w14:textId="77777777" w:rsidR="00FA1EAA" w:rsidRDefault="00FA1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50D8" w14:textId="74D05357" w:rsidR="00FE0D99" w:rsidRPr="00943576" w:rsidRDefault="00FE0D99" w:rsidP="00943576">
    <w:pPr>
      <w:pStyle w:val="Header"/>
      <w:jc w:val="left"/>
      <w:rPr>
        <w:b/>
        <w:bCs/>
      </w:rPr>
    </w:pPr>
    <w:r w:rsidRPr="00943576">
      <w:rPr>
        <w:b/>
        <w:bCs/>
      </w:rPr>
      <w:fldChar w:fldCharType="begin"/>
    </w:r>
    <w:r w:rsidRPr="00943576">
      <w:rPr>
        <w:b/>
        <w:bCs/>
      </w:rPr>
      <w:instrText xml:space="preserve"> PAGE </w:instrText>
    </w:r>
    <w:r w:rsidRPr="00943576">
      <w:rPr>
        <w:b/>
        <w:bCs/>
      </w:rPr>
      <w:fldChar w:fldCharType="separate"/>
    </w:r>
    <w:r w:rsidR="00825AD8" w:rsidRPr="00943576">
      <w:rPr>
        <w:b/>
        <w:bCs/>
        <w:noProof/>
      </w:rPr>
      <w:t>ii</w:t>
    </w:r>
    <w:r w:rsidRPr="00943576">
      <w:rPr>
        <w:b/>
        <w:bCs/>
      </w:rPr>
      <w:fldChar w:fldCharType="end"/>
    </w:r>
    <w:r w:rsidRPr="00943576">
      <w:rPr>
        <w:b/>
        <w:bCs/>
      </w:rPr>
      <w:tab/>
    </w:r>
    <w:r w:rsidRPr="00943576">
      <w:rPr>
        <w:b/>
        <w:bCs/>
      </w:rPr>
      <w:fldChar w:fldCharType="begin"/>
    </w:r>
    <w:r w:rsidRPr="00943576">
      <w:rPr>
        <w:b/>
        <w:bCs/>
      </w:rPr>
      <w:instrText xml:space="preserve"> DOCPROPERTY "Header </w:instrText>
    </w:r>
    <w:r w:rsidR="00FE3B05" w:rsidRPr="00943576">
      <w:rPr>
        <w:b/>
        <w:bCs/>
      </w:rPr>
      <w:instrText>3</w:instrText>
    </w:r>
    <w:r w:rsidRPr="00943576">
      <w:rPr>
        <w:b/>
        <w:bCs/>
      </w:rPr>
      <w:instrText xml:space="preserve">" \* MERGEFORMAT </w:instrText>
    </w:r>
    <w:r w:rsidRPr="00943576">
      <w:rPr>
        <w:b/>
        <w:bCs/>
      </w:rPr>
      <w:fldChar w:fldCharType="separate"/>
    </w:r>
    <w:r w:rsidR="00FE3B05" w:rsidRPr="00943576">
      <w:rPr>
        <w:b/>
        <w:bCs/>
      </w:rPr>
      <w:t xml:space="preserve">I. </w:t>
    </w:r>
    <w:r w:rsidRPr="00943576">
      <w:rPr>
        <w:b/>
        <w:bCs/>
      </w:rPr>
      <w:fldChar w:fldCharType="end"/>
    </w:r>
    <w:r w:rsidRPr="00943576">
      <w:rPr>
        <w:b/>
        <w:bCs/>
      </w:rPr>
      <w:t xml:space="preserve"> </w:t>
    </w:r>
    <w:r w:rsidRPr="00943576">
      <w:rPr>
        <w:b/>
        <w:bCs/>
      </w:rPr>
      <w:fldChar w:fldCharType="begin"/>
    </w:r>
    <w:r w:rsidRPr="00943576">
      <w:rPr>
        <w:b/>
        <w:bCs/>
      </w:rPr>
      <w:instrText>styleref href</w:instrText>
    </w:r>
    <w:r w:rsidRPr="00943576">
      <w:rPr>
        <w:b/>
        <w:bCs/>
      </w:rPr>
      <w:fldChar w:fldCharType="separate"/>
    </w:r>
    <w:r w:rsidR="0030521D">
      <w:rPr>
        <w:b/>
        <w:bCs/>
        <w:noProof/>
      </w:rPr>
      <w:t>UIT-R SM.2486-0</w:t>
    </w:r>
    <w:r w:rsidRPr="00943576">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ECC4A" w14:textId="77777777" w:rsidR="00FE0D99" w:rsidRDefault="00FE0D99" w:rsidP="002129BB">
    <w:pPr>
      <w:ind w:right="360" w:firstLine="360"/>
    </w:pPr>
    <w:r>
      <w:rPr>
        <w:noProof/>
        <w:lang w:eastAsia="es-ES"/>
      </w:rPr>
      <w:drawing>
        <wp:anchor distT="0" distB="0" distL="114300" distR="114300" simplePos="0" relativeHeight="251624960" behindDoc="1" locked="0" layoutInCell="1" allowOverlap="1" wp14:anchorId="48AEC5B7" wp14:editId="716CB408">
          <wp:simplePos x="0" y="0"/>
          <wp:positionH relativeFrom="page">
            <wp:posOffset>0</wp:posOffset>
          </wp:positionH>
          <wp:positionV relativeFrom="page">
            <wp:posOffset>10378</wp:posOffset>
          </wp:positionV>
          <wp:extent cx="7592060" cy="10732968"/>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10732968"/>
                  </a:xfrm>
                  <a:prstGeom prst="rect">
                    <a:avLst/>
                  </a:prstGeom>
                  <a:noFill/>
                  <a:ln w="9525">
                    <a:noFill/>
                    <a:miter lim="800000"/>
                    <a:headEnd/>
                    <a:tailEnd/>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7E7C" w14:textId="736688EB" w:rsidR="00FE0D99" w:rsidRPr="002129BB" w:rsidRDefault="00FE0D99" w:rsidP="002129BB">
    <w:r>
      <w:tab/>
    </w:r>
    <w:r>
      <w:fldChar w:fldCharType="begin"/>
    </w:r>
    <w:r w:rsidRPr="00E96173">
      <w:instrText xml:space="preserve"> DOCPROPERTY "Header 2" \* MERGEFORMAT </w:instrText>
    </w:r>
    <w:r>
      <w:fldChar w:fldCharType="separate"/>
    </w:r>
    <w:r w:rsidR="00FE3B05" w:rsidRPr="00FE3B05">
      <w:rPr>
        <w:b/>
      </w:rPr>
      <w:t xml:space="preserve">Rep. </w:t>
    </w:r>
    <w:r>
      <w:rPr>
        <w:b/>
      </w:rPr>
      <w:fldChar w:fldCharType="end"/>
    </w:r>
    <w:r>
      <w:rPr>
        <w:b/>
      </w:rPr>
      <w:t xml:space="preserve"> </w:t>
    </w:r>
    <w:r w:rsidRPr="00B21000">
      <w:rPr>
        <w:b/>
      </w:rPr>
      <w:fldChar w:fldCharType="begin"/>
    </w:r>
    <w:r w:rsidRPr="00B21000">
      <w:rPr>
        <w:b/>
      </w:rPr>
      <w:instrText>styleref href</w:instrText>
    </w:r>
    <w:r w:rsidRPr="00B21000">
      <w:rPr>
        <w:b/>
      </w:rPr>
      <w:fldChar w:fldCharType="separate"/>
    </w:r>
    <w:r w:rsidR="00FE3B05">
      <w:rPr>
        <w:b/>
        <w:noProof/>
      </w:rPr>
      <w:t>UIT-R SM.2486-0</w:t>
    </w:r>
    <w:r w:rsidRPr="00B21000">
      <w:fldChar w:fldCharType="end"/>
    </w:r>
    <w:r>
      <w:tab/>
    </w:r>
    <w:r w:rsidRPr="00B21000">
      <w:rPr>
        <w:b/>
      </w:rPr>
      <w:fldChar w:fldCharType="begin"/>
    </w:r>
    <w:r w:rsidRPr="00B21000">
      <w:rPr>
        <w:b/>
      </w:rPr>
      <w:instrText xml:space="preserve"> PAGE </w:instrText>
    </w:r>
    <w:r w:rsidRPr="00B21000">
      <w:rPr>
        <w:b/>
      </w:rPr>
      <w:fldChar w:fldCharType="separate"/>
    </w:r>
    <w:r>
      <w:rPr>
        <w:b/>
        <w:noProof/>
      </w:rPr>
      <w:t>15</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BA41" w14:textId="3BC7E68E" w:rsidR="00FE0D99" w:rsidRDefault="00FE0D99" w:rsidP="009F2696">
    <w:pPr>
      <w:tabs>
        <w:tab w:val="clear" w:pos="794"/>
        <w:tab w:val="clear" w:pos="1191"/>
        <w:tab w:val="clear" w:pos="1588"/>
        <w:tab w:val="clear" w:pos="1985"/>
        <w:tab w:val="left" w:pos="3544"/>
        <w:tab w:val="left" w:pos="9498"/>
      </w:tabs>
      <w:jc w:val="left"/>
    </w:pPr>
    <w:r>
      <w:rPr>
        <w:rStyle w:val="PageNumber"/>
        <w:b/>
      </w:rPr>
      <w:fldChar w:fldCharType="begin"/>
    </w:r>
    <w:r>
      <w:rPr>
        <w:rStyle w:val="PageNumber"/>
        <w:b/>
      </w:rPr>
      <w:instrText xml:space="preserve"> PAGE </w:instrText>
    </w:r>
    <w:r>
      <w:rPr>
        <w:rStyle w:val="PageNumber"/>
        <w:b/>
      </w:rPr>
      <w:fldChar w:fldCharType="separate"/>
    </w:r>
    <w:r w:rsidR="00690143">
      <w:rPr>
        <w:rStyle w:val="PageNumber"/>
        <w:b/>
        <w:noProof/>
      </w:rPr>
      <w:t>14</w:t>
    </w:r>
    <w:r>
      <w:rPr>
        <w:rStyle w:val="PageNumber"/>
        <w:b/>
      </w:rPr>
      <w:fldChar w:fldCharType="end"/>
    </w:r>
    <w:r>
      <w:tab/>
    </w:r>
    <w:r>
      <w:fldChar w:fldCharType="begin"/>
    </w:r>
    <w:r w:rsidRPr="00E96173">
      <w:instrText xml:space="preserve"> DOCPROPERTY "Header </w:instrText>
    </w:r>
    <w:r w:rsidR="00FE3B05">
      <w:instrText>3</w:instrText>
    </w:r>
    <w:r w:rsidRPr="00E96173">
      <w:instrText xml:space="preserve">" \* MERGEFORMAT </w:instrText>
    </w:r>
    <w:r>
      <w:fldChar w:fldCharType="separate"/>
    </w:r>
    <w:r w:rsidR="00FE3B05" w:rsidRPr="00FE3B05">
      <w:rPr>
        <w:b/>
      </w:rPr>
      <w:t xml:space="preserve">I. </w:t>
    </w:r>
    <w:r>
      <w:rPr>
        <w:b/>
      </w:rPr>
      <w:fldChar w:fldCharType="end"/>
    </w:r>
    <w:r>
      <w:rPr>
        <w:b/>
      </w:rPr>
      <w:t xml:space="preserve"> </w:t>
    </w:r>
    <w:r w:rsidRPr="00B21000">
      <w:rPr>
        <w:b/>
      </w:rPr>
      <w:fldChar w:fldCharType="begin"/>
    </w:r>
    <w:r w:rsidRPr="00B21000">
      <w:rPr>
        <w:b/>
      </w:rPr>
      <w:instrText>styleref href</w:instrText>
    </w:r>
    <w:r w:rsidRPr="00B21000">
      <w:rPr>
        <w:b/>
      </w:rPr>
      <w:fldChar w:fldCharType="separate"/>
    </w:r>
    <w:r w:rsidR="0030521D">
      <w:rPr>
        <w:b/>
        <w:noProof/>
      </w:rPr>
      <w:t>UIT-R SM.2486-0</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A28E2" w14:textId="47EB417A" w:rsidR="00943576" w:rsidRPr="00943576" w:rsidRDefault="00943576" w:rsidP="00943576">
    <w:pPr>
      <w:pStyle w:val="Header"/>
      <w:jc w:val="left"/>
      <w:rPr>
        <w:b/>
        <w:bCs/>
      </w:rPr>
    </w:pPr>
    <w:r w:rsidRPr="00943576">
      <w:rPr>
        <w:b/>
        <w:bCs/>
      </w:rPr>
      <w:tab/>
    </w:r>
    <w:r w:rsidRPr="00943576">
      <w:rPr>
        <w:b/>
        <w:bCs/>
      </w:rPr>
      <w:fldChar w:fldCharType="begin"/>
    </w:r>
    <w:r w:rsidRPr="00943576">
      <w:rPr>
        <w:b/>
        <w:bCs/>
      </w:rPr>
      <w:instrText xml:space="preserve"> DOCPROPERTY "Header 3" \* MERGEFORMAT </w:instrText>
    </w:r>
    <w:r w:rsidRPr="00943576">
      <w:rPr>
        <w:b/>
        <w:bCs/>
      </w:rPr>
      <w:fldChar w:fldCharType="separate"/>
    </w:r>
    <w:r w:rsidRPr="00943576">
      <w:rPr>
        <w:b/>
        <w:bCs/>
      </w:rPr>
      <w:t xml:space="preserve">I. </w:t>
    </w:r>
    <w:r w:rsidRPr="00943576">
      <w:rPr>
        <w:b/>
        <w:bCs/>
      </w:rPr>
      <w:fldChar w:fldCharType="end"/>
    </w:r>
    <w:r w:rsidRPr="00943576">
      <w:rPr>
        <w:b/>
        <w:bCs/>
      </w:rPr>
      <w:t xml:space="preserve"> </w:t>
    </w:r>
    <w:r w:rsidRPr="00943576">
      <w:rPr>
        <w:b/>
        <w:bCs/>
      </w:rPr>
      <w:fldChar w:fldCharType="begin"/>
    </w:r>
    <w:r w:rsidRPr="00943576">
      <w:rPr>
        <w:b/>
        <w:bCs/>
      </w:rPr>
      <w:instrText>styleref href</w:instrText>
    </w:r>
    <w:r w:rsidRPr="00943576">
      <w:rPr>
        <w:b/>
        <w:bCs/>
      </w:rPr>
      <w:fldChar w:fldCharType="separate"/>
    </w:r>
    <w:r w:rsidR="0030521D">
      <w:rPr>
        <w:b/>
        <w:bCs/>
        <w:noProof/>
      </w:rPr>
      <w:t>UIT-R SM.2486-0</w:t>
    </w:r>
    <w:r w:rsidRPr="00943576">
      <w:rPr>
        <w:b/>
        <w:bCs/>
      </w:rPr>
      <w:fldChar w:fldCharType="end"/>
    </w:r>
    <w:r>
      <w:rPr>
        <w:b/>
        <w:bCs/>
      </w:rPr>
      <w:tab/>
    </w:r>
    <w:r w:rsidRPr="00943576">
      <w:rPr>
        <w:b/>
        <w:bCs/>
      </w:rPr>
      <w:fldChar w:fldCharType="begin"/>
    </w:r>
    <w:r w:rsidRPr="00943576">
      <w:rPr>
        <w:b/>
        <w:bCs/>
      </w:rPr>
      <w:instrText xml:space="preserve"> PAGE </w:instrText>
    </w:r>
    <w:r w:rsidRPr="00943576">
      <w:rPr>
        <w:b/>
        <w:bCs/>
      </w:rPr>
      <w:fldChar w:fldCharType="separate"/>
    </w:r>
    <w:r>
      <w:rPr>
        <w:b/>
        <w:bCs/>
      </w:rPr>
      <w:t>1</w:t>
    </w:r>
    <w:r w:rsidRPr="00943576">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D672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7CEC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A865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1410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CB0C5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ACB3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826B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A41E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836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D25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117609C6"/>
    <w:multiLevelType w:val="hybridMultilevel"/>
    <w:tmpl w:val="158CFD0C"/>
    <w:lvl w:ilvl="0" w:tplc="74649CE0">
      <w:start w:val="1"/>
      <w:numFmt w:val="decimal"/>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12F4188"/>
    <w:multiLevelType w:val="multilevel"/>
    <w:tmpl w:val="169232EE"/>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4"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1"/>
  </w:num>
  <w:num w:numId="4">
    <w:abstractNumId w:val="19"/>
  </w:num>
  <w:num w:numId="5">
    <w:abstractNumId w:val="20"/>
  </w:num>
  <w:num w:numId="6">
    <w:abstractNumId w:val="17"/>
  </w:num>
  <w:num w:numId="7">
    <w:abstractNumId w:val="15"/>
  </w:num>
  <w:num w:numId="8">
    <w:abstractNumId w:val="16"/>
  </w:num>
  <w:num w:numId="9">
    <w:abstractNumId w:val="10"/>
  </w:num>
  <w:num w:numId="10">
    <w:abstractNumId w:val="14"/>
  </w:num>
  <w:num w:numId="11">
    <w:abstractNumId w:val="1"/>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6F"/>
    <w:rsid w:val="00002E92"/>
    <w:rsid w:val="00011E07"/>
    <w:rsid w:val="00017C1B"/>
    <w:rsid w:val="000456E7"/>
    <w:rsid w:val="000A4999"/>
    <w:rsid w:val="000C0454"/>
    <w:rsid w:val="000F3C8E"/>
    <w:rsid w:val="001027DA"/>
    <w:rsid w:val="001223EB"/>
    <w:rsid w:val="0013198C"/>
    <w:rsid w:val="001353D9"/>
    <w:rsid w:val="001A1C44"/>
    <w:rsid w:val="001A319E"/>
    <w:rsid w:val="002129BB"/>
    <w:rsid w:val="00217EBF"/>
    <w:rsid w:val="00242AEE"/>
    <w:rsid w:val="002A3C8E"/>
    <w:rsid w:val="002D76C4"/>
    <w:rsid w:val="002D7CE4"/>
    <w:rsid w:val="0030521D"/>
    <w:rsid w:val="00332ECE"/>
    <w:rsid w:val="003A0D02"/>
    <w:rsid w:val="003B3EB3"/>
    <w:rsid w:val="003B476F"/>
    <w:rsid w:val="003C0C24"/>
    <w:rsid w:val="00422F41"/>
    <w:rsid w:val="00493196"/>
    <w:rsid w:val="004D621E"/>
    <w:rsid w:val="004F151C"/>
    <w:rsid w:val="00506753"/>
    <w:rsid w:val="0052529D"/>
    <w:rsid w:val="005529F1"/>
    <w:rsid w:val="005645CD"/>
    <w:rsid w:val="00564FE9"/>
    <w:rsid w:val="005D2656"/>
    <w:rsid w:val="005D35ED"/>
    <w:rsid w:val="00607D68"/>
    <w:rsid w:val="00622DDE"/>
    <w:rsid w:val="006524DA"/>
    <w:rsid w:val="00690143"/>
    <w:rsid w:val="006A15B4"/>
    <w:rsid w:val="006B2DC9"/>
    <w:rsid w:val="006B4E8E"/>
    <w:rsid w:val="006C3D88"/>
    <w:rsid w:val="007327C8"/>
    <w:rsid w:val="007468DA"/>
    <w:rsid w:val="00792FDC"/>
    <w:rsid w:val="00825AD8"/>
    <w:rsid w:val="00853334"/>
    <w:rsid w:val="00854D78"/>
    <w:rsid w:val="008B7C71"/>
    <w:rsid w:val="008C5C9F"/>
    <w:rsid w:val="00923FB6"/>
    <w:rsid w:val="00942D96"/>
    <w:rsid w:val="00943576"/>
    <w:rsid w:val="00957143"/>
    <w:rsid w:val="00991EB6"/>
    <w:rsid w:val="009B64FF"/>
    <w:rsid w:val="009E00A8"/>
    <w:rsid w:val="009F2696"/>
    <w:rsid w:val="00A315BA"/>
    <w:rsid w:val="00A52679"/>
    <w:rsid w:val="00A6617B"/>
    <w:rsid w:val="00AA2799"/>
    <w:rsid w:val="00AB0DC8"/>
    <w:rsid w:val="00AD2B00"/>
    <w:rsid w:val="00B44E24"/>
    <w:rsid w:val="00B93B18"/>
    <w:rsid w:val="00BA111D"/>
    <w:rsid w:val="00BD208C"/>
    <w:rsid w:val="00BD2EE0"/>
    <w:rsid w:val="00C158E2"/>
    <w:rsid w:val="00C16FE3"/>
    <w:rsid w:val="00C4407C"/>
    <w:rsid w:val="00C53C6F"/>
    <w:rsid w:val="00C66E65"/>
    <w:rsid w:val="00C7360B"/>
    <w:rsid w:val="00C839E7"/>
    <w:rsid w:val="00C9397D"/>
    <w:rsid w:val="00D57EE4"/>
    <w:rsid w:val="00DD7938"/>
    <w:rsid w:val="00DE5DE6"/>
    <w:rsid w:val="00DF4176"/>
    <w:rsid w:val="00E54591"/>
    <w:rsid w:val="00EA5C4E"/>
    <w:rsid w:val="00EB011B"/>
    <w:rsid w:val="00EB192C"/>
    <w:rsid w:val="00EB1DC0"/>
    <w:rsid w:val="00ED3E24"/>
    <w:rsid w:val="00ED4D6D"/>
    <w:rsid w:val="00F60740"/>
    <w:rsid w:val="00F83DD6"/>
    <w:rsid w:val="00F84F73"/>
    <w:rsid w:val="00FA1EAA"/>
    <w:rsid w:val="00FD4E6F"/>
    <w:rsid w:val="00FE0D99"/>
    <w:rsid w:val="00FE3B05"/>
    <w:rsid w:val="00FF53D9"/>
    <w:rsid w:val="00FF77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99CB3F7"/>
  <w15:docId w15:val="{26E4F1EE-233F-466D-8119-5C8C28BF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7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B476F"/>
    <w:pPr>
      <w:keepNext/>
      <w:keepLines/>
      <w:spacing w:before="480"/>
      <w:ind w:left="794" w:hanging="794"/>
      <w:outlineLvl w:val="0"/>
    </w:pPr>
    <w:rPr>
      <w:b/>
    </w:rPr>
  </w:style>
  <w:style w:type="paragraph" w:styleId="Heading2">
    <w:name w:val="heading 2"/>
    <w:basedOn w:val="Heading1"/>
    <w:next w:val="Normal"/>
    <w:link w:val="Heading2Char"/>
    <w:qFormat/>
    <w:rsid w:val="003B476F"/>
    <w:pPr>
      <w:spacing w:before="320"/>
      <w:outlineLvl w:val="1"/>
    </w:pPr>
  </w:style>
  <w:style w:type="paragraph" w:styleId="Heading3">
    <w:name w:val="heading 3"/>
    <w:basedOn w:val="Heading1"/>
    <w:next w:val="Normal"/>
    <w:link w:val="Heading3Char"/>
    <w:qFormat/>
    <w:rsid w:val="003B476F"/>
    <w:pPr>
      <w:spacing w:before="200"/>
      <w:outlineLvl w:val="2"/>
    </w:pPr>
  </w:style>
  <w:style w:type="paragraph" w:styleId="Heading4">
    <w:name w:val="heading 4"/>
    <w:basedOn w:val="Heading3"/>
    <w:next w:val="Normal"/>
    <w:link w:val="Heading4Char"/>
    <w:qFormat/>
    <w:rsid w:val="003B476F"/>
    <w:pPr>
      <w:tabs>
        <w:tab w:val="clear" w:pos="794"/>
        <w:tab w:val="left" w:pos="992"/>
      </w:tabs>
      <w:ind w:left="992" w:hanging="992"/>
      <w:outlineLvl w:val="3"/>
    </w:pPr>
  </w:style>
  <w:style w:type="paragraph" w:styleId="Heading5">
    <w:name w:val="heading 5"/>
    <w:basedOn w:val="Heading4"/>
    <w:next w:val="Normal"/>
    <w:link w:val="Heading5Char"/>
    <w:qFormat/>
    <w:rsid w:val="003B476F"/>
    <w:pPr>
      <w:outlineLvl w:val="4"/>
    </w:pPr>
  </w:style>
  <w:style w:type="paragraph" w:styleId="Heading6">
    <w:name w:val="heading 6"/>
    <w:basedOn w:val="Heading4"/>
    <w:next w:val="Normal"/>
    <w:link w:val="Heading6Char"/>
    <w:qFormat/>
    <w:rsid w:val="003B476F"/>
    <w:pPr>
      <w:tabs>
        <w:tab w:val="clear" w:pos="992"/>
        <w:tab w:val="clear" w:pos="1191"/>
      </w:tabs>
      <w:ind w:left="1588" w:hanging="1588"/>
      <w:outlineLvl w:val="5"/>
    </w:pPr>
  </w:style>
  <w:style w:type="paragraph" w:styleId="Heading7">
    <w:name w:val="heading 7"/>
    <w:basedOn w:val="Heading6"/>
    <w:next w:val="Normal"/>
    <w:link w:val="Heading7Char"/>
    <w:qFormat/>
    <w:rsid w:val="003B476F"/>
    <w:pPr>
      <w:outlineLvl w:val="6"/>
    </w:pPr>
  </w:style>
  <w:style w:type="paragraph" w:styleId="Heading8">
    <w:name w:val="heading 8"/>
    <w:basedOn w:val="Heading6"/>
    <w:next w:val="Normal"/>
    <w:link w:val="Heading8Char"/>
    <w:qFormat/>
    <w:rsid w:val="003B476F"/>
    <w:pPr>
      <w:outlineLvl w:val="7"/>
    </w:pPr>
  </w:style>
  <w:style w:type="paragraph" w:styleId="Heading9">
    <w:name w:val="heading 9"/>
    <w:basedOn w:val="Heading6"/>
    <w:next w:val="Normal"/>
    <w:link w:val="Heading9Char"/>
    <w:qFormat/>
    <w:rsid w:val="003B476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he,header odd,header odd1,header odd11,header odd12,header odd2,header odd21,header odd3,header odd4,header odd5,header odd6,header odd7,header odd8,header odd9,header1,header11,header2,header21,header3,header4,header5,ho"/>
    <w:basedOn w:val="Normal"/>
    <w:link w:val="HeaderChar"/>
    <w:rsid w:val="003B476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B476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476F"/>
  </w:style>
  <w:style w:type="paragraph" w:customStyle="1" w:styleId="Headingb">
    <w:name w:val="Heading_b"/>
    <w:basedOn w:val="Heading3"/>
    <w:next w:val="Normal"/>
    <w:link w:val="HeadingbChar"/>
    <w:rsid w:val="003B476F"/>
    <w:pPr>
      <w:spacing w:before="160"/>
      <w:ind w:left="0" w:firstLine="0"/>
      <w:outlineLvl w:val="9"/>
    </w:pPr>
  </w:style>
  <w:style w:type="paragraph" w:customStyle="1" w:styleId="Headingi">
    <w:name w:val="Heading_i"/>
    <w:basedOn w:val="Heading3"/>
    <w:next w:val="Normal"/>
    <w:rsid w:val="003B476F"/>
    <w:pPr>
      <w:spacing w:before="160"/>
      <w:ind w:left="0" w:firstLine="0"/>
    </w:pPr>
    <w:rPr>
      <w:b w:val="0"/>
      <w:i/>
    </w:rPr>
  </w:style>
  <w:style w:type="character" w:customStyle="1" w:styleId="href">
    <w:name w:val="href"/>
    <w:basedOn w:val="DefaultParagraphFont"/>
    <w:rsid w:val="003B476F"/>
  </w:style>
  <w:style w:type="paragraph" w:customStyle="1" w:styleId="enumlev1">
    <w:name w:val="enumlev1"/>
    <w:basedOn w:val="Normal"/>
    <w:link w:val="enumlev1Char"/>
    <w:rsid w:val="003B476F"/>
    <w:pPr>
      <w:spacing w:before="80"/>
      <w:ind w:left="794" w:hanging="794"/>
    </w:pPr>
  </w:style>
  <w:style w:type="paragraph" w:customStyle="1" w:styleId="enumlev2">
    <w:name w:val="enumlev2"/>
    <w:basedOn w:val="enumlev1"/>
    <w:rsid w:val="003B476F"/>
    <w:pPr>
      <w:ind w:left="1191" w:hanging="397"/>
    </w:pPr>
  </w:style>
  <w:style w:type="paragraph" w:customStyle="1" w:styleId="enumlev3">
    <w:name w:val="enumlev3"/>
    <w:basedOn w:val="enumlev2"/>
    <w:rsid w:val="003B476F"/>
    <w:pPr>
      <w:ind w:left="1588"/>
    </w:pPr>
  </w:style>
  <w:style w:type="paragraph" w:customStyle="1" w:styleId="Normalaftertitle">
    <w:name w:val="Normal_after_title"/>
    <w:basedOn w:val="Normal"/>
    <w:next w:val="Normal"/>
    <w:link w:val="NormalaftertitleChar"/>
    <w:rsid w:val="003B476F"/>
    <w:pPr>
      <w:spacing w:before="320"/>
    </w:pPr>
  </w:style>
  <w:style w:type="paragraph" w:customStyle="1" w:styleId="Note">
    <w:name w:val="Note"/>
    <w:basedOn w:val="Normal"/>
    <w:link w:val="NoteChar"/>
    <w:rsid w:val="003B476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B476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B476F"/>
    <w:pPr>
      <w:spacing w:before="240"/>
    </w:pPr>
    <w:rPr>
      <w:sz w:val="22"/>
      <w:lang w:val="es-ES_tradnl"/>
    </w:rPr>
  </w:style>
  <w:style w:type="paragraph" w:customStyle="1" w:styleId="Recref">
    <w:name w:val="Rec_ref"/>
    <w:basedOn w:val="Normal"/>
    <w:next w:val="Recdate"/>
    <w:rsid w:val="003B476F"/>
    <w:pPr>
      <w:jc w:val="center"/>
    </w:pPr>
  </w:style>
  <w:style w:type="paragraph" w:customStyle="1" w:styleId="Recdate">
    <w:name w:val="Rec_date"/>
    <w:basedOn w:val="Recref"/>
    <w:next w:val="Normalaftertitle"/>
    <w:rsid w:val="003B476F"/>
    <w:pPr>
      <w:jc w:val="right"/>
    </w:pPr>
  </w:style>
  <w:style w:type="paragraph" w:customStyle="1" w:styleId="AnnexNoTitle">
    <w:name w:val="Annex_NoTitle"/>
    <w:basedOn w:val="Normal"/>
    <w:next w:val="Normalaftertitle"/>
    <w:link w:val="AnnexNoTitleChar1"/>
    <w:rsid w:val="003B476F"/>
    <w:pPr>
      <w:keepNext/>
      <w:keepLines/>
      <w:spacing w:before="480" w:after="80"/>
      <w:jc w:val="center"/>
    </w:pPr>
    <w:rPr>
      <w:b/>
      <w:sz w:val="28"/>
    </w:rPr>
  </w:style>
  <w:style w:type="paragraph" w:customStyle="1" w:styleId="AppendixNoTitle">
    <w:name w:val="Appendix_NoTitle"/>
    <w:basedOn w:val="AnnexNoTitle"/>
    <w:next w:val="Normal"/>
    <w:rsid w:val="003B476F"/>
  </w:style>
  <w:style w:type="paragraph" w:customStyle="1" w:styleId="Tablefin">
    <w:name w:val="Table_fin"/>
    <w:basedOn w:val="Normal"/>
    <w:next w:val="Normal"/>
    <w:rsid w:val="003B476F"/>
    <w:pPr>
      <w:spacing w:before="0"/>
    </w:pPr>
    <w:rPr>
      <w:sz w:val="20"/>
      <w:lang w:val="en-GB"/>
    </w:rPr>
  </w:style>
  <w:style w:type="paragraph" w:customStyle="1" w:styleId="Tablehead">
    <w:name w:val="Table_head"/>
    <w:basedOn w:val="Normal"/>
    <w:next w:val="Normal"/>
    <w:link w:val="TableheadChar"/>
    <w:rsid w:val="003B476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B47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B476F"/>
    <w:pPr>
      <w:keepNext/>
      <w:spacing w:before="360" w:after="120"/>
      <w:jc w:val="center"/>
    </w:pPr>
  </w:style>
  <w:style w:type="paragraph" w:customStyle="1" w:styleId="Tabletext">
    <w:name w:val="Table_text"/>
    <w:basedOn w:val="Normal"/>
    <w:link w:val="TabletextChar"/>
    <w:rsid w:val="003B47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B476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B476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476F"/>
    <w:pPr>
      <w:ind w:left="794"/>
    </w:pPr>
  </w:style>
  <w:style w:type="paragraph" w:customStyle="1" w:styleId="Figurelegend">
    <w:name w:val="Figure_legend"/>
    <w:basedOn w:val="Normal"/>
    <w:rsid w:val="003B476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476F"/>
    <w:pPr>
      <w:keepNext/>
      <w:keepLines/>
      <w:spacing w:before="480" w:after="80"/>
      <w:jc w:val="center"/>
    </w:pPr>
    <w:rPr>
      <w:caps/>
      <w:sz w:val="18"/>
    </w:rPr>
  </w:style>
  <w:style w:type="paragraph" w:customStyle="1" w:styleId="tocpart">
    <w:name w:val="tocpart"/>
    <w:basedOn w:val="Normal"/>
    <w:rsid w:val="003B476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3B476F"/>
    <w:pPr>
      <w:keepNext/>
      <w:keepLines/>
      <w:spacing w:before="480"/>
      <w:jc w:val="center"/>
    </w:pPr>
    <w:rPr>
      <w:sz w:val="28"/>
    </w:rPr>
  </w:style>
  <w:style w:type="paragraph" w:customStyle="1" w:styleId="Arttitle">
    <w:name w:val="Art_title"/>
    <w:basedOn w:val="Normal"/>
    <w:next w:val="Normalaftertitle"/>
    <w:link w:val="ArttitleCar"/>
    <w:rsid w:val="003B476F"/>
    <w:pPr>
      <w:keepNext/>
      <w:keepLines/>
      <w:spacing w:before="240"/>
      <w:jc w:val="center"/>
    </w:pPr>
    <w:rPr>
      <w:b/>
      <w:sz w:val="28"/>
    </w:rPr>
  </w:style>
  <w:style w:type="paragraph" w:customStyle="1" w:styleId="Blanc">
    <w:name w:val="Blanc"/>
    <w:basedOn w:val="Normal"/>
    <w:next w:val="Tabletext"/>
    <w:rsid w:val="003B476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476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476F"/>
    <w:pPr>
      <w:keepNext/>
      <w:keepLines/>
      <w:spacing w:before="160"/>
      <w:ind w:left="794"/>
    </w:pPr>
    <w:rPr>
      <w:i/>
    </w:rPr>
  </w:style>
  <w:style w:type="paragraph" w:customStyle="1" w:styleId="ChapNo">
    <w:name w:val="Chap_No"/>
    <w:basedOn w:val="ArtNo"/>
    <w:next w:val="Chaptitle"/>
    <w:rsid w:val="003B476F"/>
    <w:rPr>
      <w:b/>
    </w:rPr>
  </w:style>
  <w:style w:type="paragraph" w:customStyle="1" w:styleId="Chaptitle">
    <w:name w:val="Chap_title"/>
    <w:basedOn w:val="Arttitle"/>
    <w:next w:val="Normalaftertitle"/>
    <w:rsid w:val="003B476F"/>
  </w:style>
  <w:style w:type="character" w:styleId="FootnoteReference">
    <w:name w:val="footnote reference"/>
    <w:basedOn w:val="DefaultParagraphFont"/>
    <w:rsid w:val="003B476F"/>
    <w:rPr>
      <w:position w:val="6"/>
      <w:sz w:val="18"/>
    </w:rPr>
  </w:style>
  <w:style w:type="paragraph" w:styleId="FootnoteText">
    <w:name w:val="footnote text"/>
    <w:basedOn w:val="Normal"/>
    <w:link w:val="FootnoteTextChar"/>
    <w:rsid w:val="003B476F"/>
    <w:pPr>
      <w:keepLines/>
      <w:tabs>
        <w:tab w:val="left" w:pos="255"/>
      </w:tabs>
      <w:ind w:left="255" w:hanging="255"/>
    </w:pPr>
    <w:rPr>
      <w:sz w:val="22"/>
    </w:rPr>
  </w:style>
  <w:style w:type="paragraph" w:styleId="Index1">
    <w:name w:val="index 1"/>
    <w:basedOn w:val="Normal"/>
    <w:next w:val="Normal"/>
    <w:rsid w:val="003B476F"/>
  </w:style>
  <w:style w:type="paragraph" w:styleId="Index2">
    <w:name w:val="index 2"/>
    <w:basedOn w:val="Normal"/>
    <w:next w:val="Normal"/>
    <w:rsid w:val="003B476F"/>
    <w:pPr>
      <w:ind w:left="283"/>
    </w:pPr>
  </w:style>
  <w:style w:type="paragraph" w:styleId="Index3">
    <w:name w:val="index 3"/>
    <w:basedOn w:val="Normal"/>
    <w:next w:val="Normal"/>
    <w:rsid w:val="003B476F"/>
    <w:pPr>
      <w:ind w:left="566"/>
    </w:pPr>
  </w:style>
  <w:style w:type="paragraph" w:styleId="IndexHeading">
    <w:name w:val="index heading"/>
    <w:basedOn w:val="Normal"/>
    <w:next w:val="Index1"/>
    <w:rsid w:val="003B476F"/>
  </w:style>
  <w:style w:type="paragraph" w:customStyle="1" w:styleId="Line">
    <w:name w:val="Line"/>
    <w:basedOn w:val="Normal"/>
    <w:next w:val="Normal"/>
    <w:rsid w:val="003B476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476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476F"/>
  </w:style>
  <w:style w:type="paragraph" w:customStyle="1" w:styleId="Partref">
    <w:name w:val="Part_ref"/>
    <w:basedOn w:val="Normal"/>
    <w:next w:val="Normal"/>
    <w:rsid w:val="003B476F"/>
    <w:pPr>
      <w:keepNext/>
      <w:keepLines/>
      <w:spacing w:after="280"/>
      <w:jc w:val="center"/>
    </w:pPr>
  </w:style>
  <w:style w:type="paragraph" w:customStyle="1" w:styleId="Parttitle">
    <w:name w:val="Part_title"/>
    <w:basedOn w:val="Normal"/>
    <w:next w:val="Normalaftertitle"/>
    <w:rsid w:val="003B476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476F"/>
  </w:style>
  <w:style w:type="paragraph" w:customStyle="1" w:styleId="QuestionNo">
    <w:name w:val="Question_No"/>
    <w:basedOn w:val="RecNo"/>
    <w:next w:val="Normal"/>
    <w:rsid w:val="003B476F"/>
  </w:style>
  <w:style w:type="paragraph" w:customStyle="1" w:styleId="Questionref">
    <w:name w:val="Question_ref"/>
    <w:basedOn w:val="Recref"/>
    <w:next w:val="Questiondate"/>
    <w:rsid w:val="003B476F"/>
  </w:style>
  <w:style w:type="paragraph" w:customStyle="1" w:styleId="Questiontitle">
    <w:name w:val="Question_title"/>
    <w:basedOn w:val="Normal"/>
    <w:next w:val="Questionref"/>
    <w:rsid w:val="003B476F"/>
  </w:style>
  <w:style w:type="paragraph" w:customStyle="1" w:styleId="Reftext">
    <w:name w:val="Ref_text"/>
    <w:basedOn w:val="Normal"/>
    <w:rsid w:val="003B476F"/>
    <w:pPr>
      <w:ind w:left="794" w:hanging="794"/>
    </w:pPr>
    <w:rPr>
      <w:sz w:val="22"/>
    </w:rPr>
  </w:style>
  <w:style w:type="paragraph" w:customStyle="1" w:styleId="Reftitle">
    <w:name w:val="Ref_title"/>
    <w:basedOn w:val="Normal"/>
    <w:next w:val="Reftext"/>
    <w:rsid w:val="003B476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476F"/>
  </w:style>
  <w:style w:type="paragraph" w:customStyle="1" w:styleId="RepNo">
    <w:name w:val="Rep_No"/>
    <w:basedOn w:val="RecNo"/>
    <w:next w:val="Reptitle"/>
    <w:rsid w:val="003B476F"/>
  </w:style>
  <w:style w:type="paragraph" w:customStyle="1" w:styleId="Repref">
    <w:name w:val="Rep_ref"/>
    <w:basedOn w:val="Recref"/>
    <w:next w:val="Repdate"/>
    <w:rsid w:val="003B476F"/>
  </w:style>
  <w:style w:type="paragraph" w:customStyle="1" w:styleId="Reptitle">
    <w:name w:val="Rep_title"/>
    <w:basedOn w:val="Rectitle"/>
    <w:next w:val="Repref"/>
    <w:rsid w:val="003B476F"/>
  </w:style>
  <w:style w:type="paragraph" w:customStyle="1" w:styleId="Resdate">
    <w:name w:val="Res_date"/>
    <w:basedOn w:val="Recdate"/>
    <w:next w:val="Normalaftertitle"/>
    <w:rsid w:val="003B476F"/>
  </w:style>
  <w:style w:type="paragraph" w:customStyle="1" w:styleId="ResNo">
    <w:name w:val="Res_No"/>
    <w:basedOn w:val="RecNo"/>
    <w:next w:val="Restitle"/>
    <w:link w:val="ResNoChar"/>
    <w:rsid w:val="003B476F"/>
  </w:style>
  <w:style w:type="paragraph" w:customStyle="1" w:styleId="Resref">
    <w:name w:val="Res_ref"/>
    <w:basedOn w:val="Recref"/>
    <w:next w:val="Resdate"/>
    <w:rsid w:val="003B476F"/>
  </w:style>
  <w:style w:type="paragraph" w:customStyle="1" w:styleId="Restitle">
    <w:name w:val="Res_title"/>
    <w:basedOn w:val="Normal"/>
    <w:next w:val="Resref"/>
    <w:link w:val="RestitleChar"/>
    <w:rsid w:val="003B476F"/>
    <w:pPr>
      <w:spacing w:before="240"/>
      <w:jc w:val="center"/>
    </w:pPr>
    <w:rPr>
      <w:b/>
      <w:sz w:val="28"/>
    </w:rPr>
  </w:style>
  <w:style w:type="paragraph" w:customStyle="1" w:styleId="SectionNo">
    <w:name w:val="Section_No"/>
    <w:basedOn w:val="Normal"/>
    <w:next w:val="Normal"/>
    <w:rsid w:val="003B476F"/>
  </w:style>
  <w:style w:type="paragraph" w:customStyle="1" w:styleId="Sectiontitle">
    <w:name w:val="Section_title"/>
    <w:basedOn w:val="Normal"/>
    <w:next w:val="Normalaftertitle"/>
    <w:rsid w:val="003B476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476F"/>
    <w:pPr>
      <w:tabs>
        <w:tab w:val="clear" w:pos="794"/>
        <w:tab w:val="clear" w:pos="1191"/>
        <w:tab w:val="clear" w:pos="1588"/>
        <w:tab w:val="clear" w:pos="1985"/>
        <w:tab w:val="right" w:pos="9611"/>
      </w:tabs>
    </w:pPr>
    <w:rPr>
      <w:i/>
    </w:rPr>
  </w:style>
  <w:style w:type="paragraph" w:styleId="TOC1">
    <w:name w:val="toc 1"/>
    <w:basedOn w:val="Normal"/>
    <w:rsid w:val="003B476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476F"/>
    <w:pPr>
      <w:tabs>
        <w:tab w:val="clear" w:pos="567"/>
        <w:tab w:val="left" w:pos="1276"/>
      </w:tabs>
      <w:spacing w:before="160"/>
      <w:ind w:left="1276" w:hanging="709"/>
    </w:pPr>
  </w:style>
  <w:style w:type="paragraph" w:styleId="TOC3">
    <w:name w:val="toc 3"/>
    <w:basedOn w:val="TOC2"/>
    <w:rsid w:val="003B476F"/>
    <w:pPr>
      <w:tabs>
        <w:tab w:val="clear" w:pos="1276"/>
        <w:tab w:val="left" w:pos="2155"/>
      </w:tabs>
      <w:ind w:left="2155" w:hanging="879"/>
    </w:pPr>
  </w:style>
  <w:style w:type="paragraph" w:styleId="TOC4">
    <w:name w:val="toc 4"/>
    <w:basedOn w:val="TOC3"/>
    <w:rsid w:val="003B476F"/>
    <w:pPr>
      <w:tabs>
        <w:tab w:val="left" w:pos="3261"/>
      </w:tabs>
      <w:spacing w:before="80"/>
      <w:ind w:left="3261" w:hanging="993"/>
    </w:pPr>
  </w:style>
  <w:style w:type="paragraph" w:styleId="TOC5">
    <w:name w:val="toc 5"/>
    <w:basedOn w:val="TOC4"/>
    <w:rsid w:val="003B476F"/>
  </w:style>
  <w:style w:type="paragraph" w:styleId="TOC6">
    <w:name w:val="toc 6"/>
    <w:basedOn w:val="TOC4"/>
    <w:rsid w:val="003B476F"/>
  </w:style>
  <w:style w:type="paragraph" w:styleId="TOC7">
    <w:name w:val="toc 7"/>
    <w:basedOn w:val="TOC4"/>
    <w:rsid w:val="003B476F"/>
  </w:style>
  <w:style w:type="paragraph" w:styleId="TOC8">
    <w:name w:val="toc 8"/>
    <w:basedOn w:val="TOC4"/>
    <w:rsid w:val="003B476F"/>
  </w:style>
  <w:style w:type="paragraph" w:customStyle="1" w:styleId="Rectitle">
    <w:name w:val="Rec_title"/>
    <w:basedOn w:val="Normal"/>
    <w:next w:val="Recref"/>
    <w:link w:val="RectitleChar"/>
    <w:rsid w:val="003B476F"/>
    <w:pPr>
      <w:keepNext/>
      <w:keepLines/>
      <w:spacing w:before="240"/>
      <w:jc w:val="center"/>
    </w:pPr>
    <w:rPr>
      <w:b/>
      <w:sz w:val="28"/>
    </w:rPr>
  </w:style>
  <w:style w:type="paragraph" w:customStyle="1" w:styleId="Annexref">
    <w:name w:val="Annex_ref"/>
    <w:basedOn w:val="Normal"/>
    <w:next w:val="Normalaftertitle"/>
    <w:rsid w:val="003B476F"/>
    <w:pPr>
      <w:keepNext/>
      <w:keepLines/>
      <w:spacing w:after="280"/>
      <w:jc w:val="center"/>
    </w:pPr>
  </w:style>
  <w:style w:type="paragraph" w:customStyle="1" w:styleId="Appendixref">
    <w:name w:val="Appendix_ref"/>
    <w:basedOn w:val="Annexref"/>
    <w:next w:val="Normalaftertitle"/>
    <w:rsid w:val="003B476F"/>
  </w:style>
  <w:style w:type="paragraph" w:customStyle="1" w:styleId="Figuretitle">
    <w:name w:val="Figure_title"/>
    <w:basedOn w:val="Normal"/>
    <w:next w:val="Figure"/>
    <w:link w:val="FiguretitleChar"/>
    <w:rsid w:val="003B476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B476F"/>
    <w:pPr>
      <w:keepNext/>
      <w:spacing w:before="0" w:after="120"/>
      <w:jc w:val="center"/>
    </w:pPr>
    <w:rPr>
      <w:b/>
    </w:rPr>
  </w:style>
  <w:style w:type="paragraph" w:customStyle="1" w:styleId="Summary">
    <w:name w:val="Summary"/>
    <w:basedOn w:val="Normal"/>
    <w:next w:val="Normalaftertitle"/>
    <w:autoRedefine/>
    <w:rsid w:val="003C0C24"/>
    <w:rPr>
      <w:sz w:val="22"/>
      <w:lang w:val="es-ES_tradnl"/>
    </w:rPr>
  </w:style>
  <w:style w:type="paragraph" w:customStyle="1" w:styleId="TableLegendNote">
    <w:name w:val="Table_Legend_Note"/>
    <w:basedOn w:val="Tablelegend"/>
    <w:next w:val="Tablelegend"/>
    <w:rsid w:val="003B476F"/>
    <w:pPr>
      <w:ind w:left="-85" w:firstLine="0"/>
    </w:pPr>
    <w:rPr>
      <w:lang w:val="en-US"/>
    </w:rPr>
  </w:style>
  <w:style w:type="paragraph" w:customStyle="1" w:styleId="Figure">
    <w:name w:val="Figure"/>
    <w:basedOn w:val="FigureNo"/>
    <w:next w:val="Normal"/>
    <w:rsid w:val="003B476F"/>
    <w:pPr>
      <w:keepNext w:val="0"/>
      <w:spacing w:before="0" w:after="240"/>
    </w:pPr>
  </w:style>
  <w:style w:type="character" w:styleId="Hyperlink">
    <w:name w:val="Hyperlink"/>
    <w:aliases w:val="CEO_Hyperlink"/>
    <w:basedOn w:val="DefaultParagraphFont"/>
    <w:uiPriority w:val="99"/>
    <w:rsid w:val="00FD4E6F"/>
    <w:rPr>
      <w:color w:val="0000FF"/>
      <w:u w:val="single"/>
    </w:rPr>
  </w:style>
  <w:style w:type="character" w:customStyle="1" w:styleId="HeaderChar">
    <w:name w:val="Header Char"/>
    <w:aliases w:val="encabezado Char,h Char,he Char,header odd Char,header odd1 Char,header odd11 Char,header odd12 Char,header odd2 Char,header odd21 Char,header odd3 Char,header odd4 Char,header odd5 Char,header odd6 Char,header odd7 Char,header odd8 Char"/>
    <w:basedOn w:val="DefaultParagraphFont"/>
    <w:link w:val="Header"/>
    <w:rsid w:val="003B476F"/>
    <w:rPr>
      <w:sz w:val="24"/>
      <w:lang w:val="fr-FR" w:eastAsia="en-US"/>
    </w:rPr>
  </w:style>
  <w:style w:type="character" w:customStyle="1" w:styleId="Heading1Char">
    <w:name w:val="Heading 1 Char"/>
    <w:basedOn w:val="DefaultParagraphFont"/>
    <w:link w:val="Heading1"/>
    <w:rsid w:val="00FD4E6F"/>
    <w:rPr>
      <w:b/>
      <w:sz w:val="24"/>
      <w:lang w:val="fr-FR" w:eastAsia="en-US"/>
    </w:rPr>
  </w:style>
  <w:style w:type="character" w:customStyle="1" w:styleId="TabletextChar">
    <w:name w:val="Table_text Char"/>
    <w:basedOn w:val="DefaultParagraphFont"/>
    <w:link w:val="Tabletext"/>
    <w:locked/>
    <w:rsid w:val="000A4999"/>
    <w:rPr>
      <w:sz w:val="22"/>
      <w:lang w:val="fr-FR" w:eastAsia="en-US"/>
    </w:rPr>
  </w:style>
  <w:style w:type="character" w:customStyle="1" w:styleId="TableheadChar">
    <w:name w:val="Table_head Char"/>
    <w:basedOn w:val="DefaultParagraphFont"/>
    <w:link w:val="Tablehead"/>
    <w:rsid w:val="00FD4E6F"/>
    <w:rPr>
      <w:b/>
      <w:sz w:val="22"/>
      <w:lang w:val="fr-FR" w:eastAsia="en-US"/>
    </w:rPr>
  </w:style>
  <w:style w:type="character" w:customStyle="1" w:styleId="FooterChar">
    <w:name w:val="Footer Char"/>
    <w:basedOn w:val="DefaultParagraphFont"/>
    <w:link w:val="Footer"/>
    <w:rsid w:val="00FD4E6F"/>
    <w:rPr>
      <w:noProof/>
      <w:sz w:val="18"/>
      <w:lang w:val="fr-FR" w:eastAsia="en-US"/>
    </w:rPr>
  </w:style>
  <w:style w:type="character" w:customStyle="1" w:styleId="FootnoteTextChar">
    <w:name w:val="Footnote Text Char"/>
    <w:basedOn w:val="DefaultParagraphFont"/>
    <w:link w:val="FootnoteText"/>
    <w:rsid w:val="00FD4E6F"/>
    <w:rPr>
      <w:sz w:val="22"/>
      <w:lang w:val="fr-FR" w:eastAsia="en-US"/>
    </w:rPr>
  </w:style>
  <w:style w:type="character" w:customStyle="1" w:styleId="FiguretitleChar">
    <w:name w:val="Figure_title Char"/>
    <w:basedOn w:val="DefaultParagraphFont"/>
    <w:link w:val="Figuretitle"/>
    <w:rsid w:val="00FD4E6F"/>
    <w:rPr>
      <w:rFonts w:ascii="Times New Roman Bold" w:hAnsi="Times New Roman Bold"/>
      <w:b/>
      <w:sz w:val="18"/>
      <w:lang w:val="fr-FR" w:eastAsia="en-US"/>
    </w:rPr>
  </w:style>
  <w:style w:type="character" w:customStyle="1" w:styleId="Heading2Char">
    <w:name w:val="Heading 2 Char"/>
    <w:basedOn w:val="DefaultParagraphFont"/>
    <w:link w:val="Heading2"/>
    <w:rsid w:val="00FD4E6F"/>
    <w:rPr>
      <w:b/>
      <w:sz w:val="24"/>
      <w:lang w:val="fr-FR" w:eastAsia="en-US"/>
    </w:rPr>
  </w:style>
  <w:style w:type="character" w:customStyle="1" w:styleId="Heading3Char">
    <w:name w:val="Heading 3 Char"/>
    <w:basedOn w:val="DefaultParagraphFont"/>
    <w:link w:val="Heading3"/>
    <w:rsid w:val="00FD4E6F"/>
    <w:rPr>
      <w:b/>
      <w:sz w:val="24"/>
      <w:lang w:val="fr-FR" w:eastAsia="en-US"/>
    </w:rPr>
  </w:style>
  <w:style w:type="character" w:customStyle="1" w:styleId="Heading4Char">
    <w:name w:val="Heading 4 Char"/>
    <w:basedOn w:val="DefaultParagraphFont"/>
    <w:link w:val="Heading4"/>
    <w:rsid w:val="00FD4E6F"/>
    <w:rPr>
      <w:b/>
      <w:sz w:val="24"/>
      <w:lang w:val="fr-FR" w:eastAsia="en-US"/>
    </w:rPr>
  </w:style>
  <w:style w:type="character" w:customStyle="1" w:styleId="Heading5Char">
    <w:name w:val="Heading 5 Char"/>
    <w:basedOn w:val="DefaultParagraphFont"/>
    <w:link w:val="Heading5"/>
    <w:rsid w:val="00FD4E6F"/>
    <w:rPr>
      <w:b/>
      <w:sz w:val="24"/>
      <w:lang w:val="fr-FR" w:eastAsia="en-US"/>
    </w:rPr>
  </w:style>
  <w:style w:type="character" w:customStyle="1" w:styleId="Heading6Char">
    <w:name w:val="Heading 6 Char"/>
    <w:basedOn w:val="DefaultParagraphFont"/>
    <w:link w:val="Heading6"/>
    <w:rsid w:val="00FD4E6F"/>
    <w:rPr>
      <w:b/>
      <w:sz w:val="24"/>
      <w:lang w:val="fr-FR" w:eastAsia="en-US"/>
    </w:rPr>
  </w:style>
  <w:style w:type="character" w:customStyle="1" w:styleId="Heading7Char">
    <w:name w:val="Heading 7 Char"/>
    <w:basedOn w:val="DefaultParagraphFont"/>
    <w:link w:val="Heading7"/>
    <w:rsid w:val="00FD4E6F"/>
    <w:rPr>
      <w:b/>
      <w:sz w:val="24"/>
      <w:lang w:val="fr-FR" w:eastAsia="en-US"/>
    </w:rPr>
  </w:style>
  <w:style w:type="character" w:customStyle="1" w:styleId="Heading8Char">
    <w:name w:val="Heading 8 Char"/>
    <w:basedOn w:val="DefaultParagraphFont"/>
    <w:link w:val="Heading8"/>
    <w:rsid w:val="00FD4E6F"/>
    <w:rPr>
      <w:b/>
      <w:sz w:val="24"/>
      <w:lang w:val="fr-FR" w:eastAsia="en-US"/>
    </w:rPr>
  </w:style>
  <w:style w:type="character" w:customStyle="1" w:styleId="Heading9Char">
    <w:name w:val="Heading 9 Char"/>
    <w:basedOn w:val="DefaultParagraphFont"/>
    <w:link w:val="Heading9"/>
    <w:rsid w:val="00FD4E6F"/>
    <w:rPr>
      <w:b/>
      <w:sz w:val="24"/>
      <w:lang w:val="fr-FR" w:eastAsia="en-US"/>
    </w:rPr>
  </w:style>
  <w:style w:type="character" w:customStyle="1" w:styleId="enumlev1Char">
    <w:name w:val="enumlev1 Char"/>
    <w:basedOn w:val="DefaultParagraphFont"/>
    <w:link w:val="enumlev1"/>
    <w:rsid w:val="00FD4E6F"/>
    <w:rPr>
      <w:sz w:val="24"/>
      <w:lang w:val="fr-FR" w:eastAsia="en-US"/>
    </w:rPr>
  </w:style>
  <w:style w:type="character" w:customStyle="1" w:styleId="ArttitleCar">
    <w:name w:val="Art_title Car"/>
    <w:basedOn w:val="DefaultParagraphFont"/>
    <w:link w:val="Arttitle"/>
    <w:locked/>
    <w:rsid w:val="00FD4E6F"/>
    <w:rPr>
      <w:b/>
      <w:sz w:val="28"/>
      <w:lang w:val="fr-FR" w:eastAsia="en-US"/>
    </w:rPr>
  </w:style>
  <w:style w:type="character" w:customStyle="1" w:styleId="ArtNoChar">
    <w:name w:val="Art_No Char"/>
    <w:basedOn w:val="DefaultParagraphFont"/>
    <w:link w:val="ArtNo"/>
    <w:locked/>
    <w:rsid w:val="00FD4E6F"/>
    <w:rPr>
      <w:sz w:val="28"/>
      <w:lang w:val="fr-FR" w:eastAsia="en-US"/>
    </w:rPr>
  </w:style>
  <w:style w:type="character" w:customStyle="1" w:styleId="NoteChar">
    <w:name w:val="Note Char"/>
    <w:basedOn w:val="DefaultParagraphFont"/>
    <w:link w:val="Note"/>
    <w:locked/>
    <w:rsid w:val="00FD4E6F"/>
    <w:rPr>
      <w:sz w:val="22"/>
      <w:lang w:val="fr-FR" w:eastAsia="en-US"/>
    </w:rPr>
  </w:style>
  <w:style w:type="character" w:customStyle="1" w:styleId="RestitleChar">
    <w:name w:val="Res_title Char"/>
    <w:basedOn w:val="DefaultParagraphFont"/>
    <w:link w:val="Restitle"/>
    <w:locked/>
    <w:rsid w:val="00FD4E6F"/>
    <w:rPr>
      <w:b/>
      <w:sz w:val="28"/>
      <w:lang w:val="fr-FR" w:eastAsia="en-US"/>
    </w:rPr>
  </w:style>
  <w:style w:type="character" w:customStyle="1" w:styleId="ResNoChar">
    <w:name w:val="Res_No Char"/>
    <w:basedOn w:val="DefaultParagraphFont"/>
    <w:link w:val="ResNo"/>
    <w:locked/>
    <w:rsid w:val="00FD4E6F"/>
    <w:rPr>
      <w:sz w:val="28"/>
      <w:lang w:val="fr-FR" w:eastAsia="en-US"/>
    </w:rPr>
  </w:style>
  <w:style w:type="character" w:customStyle="1" w:styleId="TabletitleChar">
    <w:name w:val="Table_title Char"/>
    <w:basedOn w:val="DefaultParagraphFont"/>
    <w:link w:val="Tabletitle"/>
    <w:rsid w:val="00FD4E6F"/>
    <w:rPr>
      <w:b/>
      <w:sz w:val="24"/>
      <w:lang w:val="fr-FR" w:eastAsia="en-US"/>
    </w:rPr>
  </w:style>
  <w:style w:type="character" w:customStyle="1" w:styleId="TableNoChar">
    <w:name w:val="Table_No Char"/>
    <w:basedOn w:val="DefaultParagraphFont"/>
    <w:link w:val="TableNo"/>
    <w:locked/>
    <w:rsid w:val="00FD4E6F"/>
    <w:rPr>
      <w:sz w:val="24"/>
      <w:lang w:val="fr-FR" w:eastAsia="en-US"/>
    </w:rPr>
  </w:style>
  <w:style w:type="character" w:customStyle="1" w:styleId="NormalaftertitleChar">
    <w:name w:val="Normal_after_title Char"/>
    <w:link w:val="Normalaftertitle"/>
    <w:locked/>
    <w:rsid w:val="00FD4E6F"/>
    <w:rPr>
      <w:sz w:val="24"/>
      <w:lang w:val="fr-FR" w:eastAsia="en-US"/>
    </w:rPr>
  </w:style>
  <w:style w:type="character" w:customStyle="1" w:styleId="CallChar">
    <w:name w:val="Call Char"/>
    <w:basedOn w:val="DefaultParagraphFont"/>
    <w:link w:val="Call"/>
    <w:locked/>
    <w:rsid w:val="00FD4E6F"/>
    <w:rPr>
      <w:i/>
      <w:sz w:val="24"/>
      <w:lang w:val="fr-FR" w:eastAsia="en-US"/>
    </w:rPr>
  </w:style>
  <w:style w:type="character" w:customStyle="1" w:styleId="TablelegendChar">
    <w:name w:val="Table_legend Char"/>
    <w:basedOn w:val="TabletextChar"/>
    <w:link w:val="Tablelegend"/>
    <w:rsid w:val="00FD4E6F"/>
    <w:rPr>
      <w:sz w:val="22"/>
      <w:lang w:val="fr-FR" w:eastAsia="en-US"/>
    </w:rPr>
  </w:style>
  <w:style w:type="character" w:customStyle="1" w:styleId="FigureNoChar">
    <w:name w:val="Figure_No Char"/>
    <w:link w:val="FigureNo"/>
    <w:locked/>
    <w:rsid w:val="00FD4E6F"/>
    <w:rPr>
      <w:caps/>
      <w:sz w:val="18"/>
      <w:lang w:val="fr-FR" w:eastAsia="en-US"/>
    </w:rPr>
  </w:style>
  <w:style w:type="paragraph" w:styleId="Revision">
    <w:name w:val="Revision"/>
    <w:hidden/>
    <w:uiPriority w:val="99"/>
    <w:semiHidden/>
    <w:rsid w:val="00FD4E6F"/>
    <w:rPr>
      <w:rFonts w:eastAsia="Batang"/>
      <w:sz w:val="24"/>
      <w:lang w:eastAsia="en-US"/>
    </w:rPr>
  </w:style>
  <w:style w:type="character" w:customStyle="1" w:styleId="EquationChar">
    <w:name w:val="Equation Char"/>
    <w:link w:val="Equation"/>
    <w:rsid w:val="00FD4E6F"/>
    <w:rPr>
      <w:sz w:val="24"/>
      <w:lang w:val="fr-FR" w:eastAsia="en-US"/>
    </w:rPr>
  </w:style>
  <w:style w:type="character" w:customStyle="1" w:styleId="EquationlegendChar">
    <w:name w:val="Equation_legend Char"/>
    <w:link w:val="Equationlegend"/>
    <w:locked/>
    <w:rsid w:val="00FD4E6F"/>
    <w:rPr>
      <w:sz w:val="24"/>
      <w:lang w:val="en-US" w:eastAsia="en-US"/>
    </w:rPr>
  </w:style>
  <w:style w:type="character" w:customStyle="1" w:styleId="RectitleChar">
    <w:name w:val="Rec_title Char"/>
    <w:link w:val="Rectitle"/>
    <w:rsid w:val="00FD4E6F"/>
    <w:rPr>
      <w:b/>
      <w:sz w:val="28"/>
      <w:lang w:val="fr-FR" w:eastAsia="en-US"/>
    </w:rPr>
  </w:style>
  <w:style w:type="character" w:customStyle="1" w:styleId="RecNoChar">
    <w:name w:val="Rec_No Char"/>
    <w:link w:val="RecNo"/>
    <w:locked/>
    <w:rsid w:val="00FD4E6F"/>
    <w:rPr>
      <w:sz w:val="28"/>
      <w:lang w:val="fr-FR" w:eastAsia="en-US"/>
    </w:rPr>
  </w:style>
  <w:style w:type="character" w:customStyle="1" w:styleId="AnnexNoTitleChar1">
    <w:name w:val="Annex_NoTitle Char1"/>
    <w:link w:val="AnnexNoTitle"/>
    <w:locked/>
    <w:rsid w:val="000A4999"/>
    <w:rPr>
      <w:b/>
      <w:sz w:val="28"/>
      <w:lang w:val="fr-FR" w:eastAsia="en-US"/>
    </w:rPr>
  </w:style>
  <w:style w:type="character" w:customStyle="1" w:styleId="HeadingbChar">
    <w:name w:val="Heading_b Char"/>
    <w:link w:val="Headingb"/>
    <w:locked/>
    <w:rsid w:val="00FD4E6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R-REP/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4A913-BBE3-4A9B-8327-6B371980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18</Pages>
  <Words>4803</Words>
  <Characters>26046</Characters>
  <Application>Microsoft Office Word</Application>
  <DocSecurity>0</DocSecurity>
  <Lines>535</Lines>
  <Paragraphs>254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REPORT  ITU-R  SM.2486-0 - Use of commercial drones for ITU-R spectrum monitoring tasks</vt:lpstr>
      <vt:lpstr>REPORT  ITU-R  SM.2486-0 - Use of commercial drones for ITU-R spectrum monitoring tasks</vt:lpstr>
    </vt:vector>
  </TitlesOfParts>
  <Manager/>
  <Company>ITU</Company>
  <LinksUpToDate>false</LinksUpToDate>
  <CharactersWithSpaces>30633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SM.2486-0 - Utilización de drones comerciales para las tareas de comprobación técnica del espectro del UIT-R</dc:title>
  <dc:subject>Serie SM = Gestión del espectro</dc:subject>
  <dc:creator>Oficina de Radiocomunicaciones del UIT (BR)</dc:creator>
  <cp:keywords>SM,2486-0</cp:keywords>
  <dc:description>Saez, 03.08.2021, ITU51013874</dc:description>
  <cp:lastModifiedBy>Saez Grau, Ricardo</cp:lastModifiedBy>
  <cp:revision>7</cp:revision>
  <cp:lastPrinted>2005-02-10T15:54:00Z</cp:lastPrinted>
  <dcterms:created xsi:type="dcterms:W3CDTF">2021-08-03T14:36:00Z</dcterms:created>
  <dcterms:modified xsi:type="dcterms:W3CDTF">2021-08-03T15:27:00Z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