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45D46" w14:textId="77777777" w:rsidR="00FE79FE" w:rsidRPr="00B25FDD" w:rsidRDefault="00FE79FE">
      <w:pPr>
        <w:rPr>
          <w:lang w:val="en-GB"/>
        </w:rPr>
      </w:pPr>
    </w:p>
    <w:p w14:paraId="223B35C6" w14:textId="77777777" w:rsidR="00FE79FE" w:rsidRPr="00B25FDD" w:rsidRDefault="00FE79FE">
      <w:pPr>
        <w:rPr>
          <w:lang w:val="en-GB"/>
        </w:rPr>
      </w:pPr>
    </w:p>
    <w:p w14:paraId="548AC39F" w14:textId="77777777" w:rsidR="00FE79FE" w:rsidRPr="00B25FDD" w:rsidRDefault="00FE79FE">
      <w:pPr>
        <w:rPr>
          <w:lang w:val="en-GB"/>
        </w:rPr>
      </w:pPr>
    </w:p>
    <w:p w14:paraId="6A7F8AAB" w14:textId="77777777" w:rsidR="00FE79FE" w:rsidRPr="00B25FDD" w:rsidRDefault="00FE79FE">
      <w:pPr>
        <w:rPr>
          <w:lang w:val="en-GB"/>
        </w:rPr>
      </w:pPr>
    </w:p>
    <w:p w14:paraId="39F7AF24" w14:textId="77777777" w:rsidR="00FE79FE" w:rsidRPr="00B25FDD" w:rsidRDefault="00FE79FE">
      <w:pPr>
        <w:rPr>
          <w:lang w:val="en-GB"/>
        </w:rPr>
      </w:pPr>
    </w:p>
    <w:p w14:paraId="6E06DCEE" w14:textId="77777777" w:rsidR="00013002" w:rsidRPr="00B25FDD" w:rsidRDefault="00013002">
      <w:pPr>
        <w:rPr>
          <w:lang w:val="en-GB"/>
        </w:rPr>
      </w:pPr>
    </w:p>
    <w:p w14:paraId="18568309" w14:textId="77777777" w:rsidR="00013002" w:rsidRPr="00B25FDD" w:rsidRDefault="00013002">
      <w:pPr>
        <w:rPr>
          <w:lang w:val="en-GB"/>
        </w:rPr>
      </w:pPr>
    </w:p>
    <w:p w14:paraId="49EDAB63" w14:textId="77777777" w:rsidR="00013002" w:rsidRPr="00B25FDD" w:rsidRDefault="00013002">
      <w:pPr>
        <w:rPr>
          <w:lang w:val="en-GB"/>
        </w:rPr>
      </w:pPr>
    </w:p>
    <w:p w14:paraId="3DD4DADE" w14:textId="77777777" w:rsidR="00FE79FE" w:rsidRPr="00B25FDD" w:rsidRDefault="00FE79FE">
      <w:pPr>
        <w:rPr>
          <w:lang w:val="en-GB"/>
        </w:rPr>
      </w:pPr>
    </w:p>
    <w:p w14:paraId="29DD51B0" w14:textId="77777777" w:rsidR="00FE79FE" w:rsidRPr="00B25FDD" w:rsidRDefault="00FE79FE">
      <w:pPr>
        <w:rPr>
          <w:lang w:val="en-GB"/>
        </w:rPr>
      </w:pPr>
    </w:p>
    <w:p w14:paraId="2A939B04" w14:textId="77777777" w:rsidR="00FE79FE" w:rsidRPr="00B25FDD" w:rsidRDefault="00FE79FE">
      <w:pPr>
        <w:rPr>
          <w:lang w:val="en-GB"/>
        </w:rPr>
      </w:pPr>
    </w:p>
    <w:p w14:paraId="7BAEA644" w14:textId="77777777" w:rsidR="00FE79FE" w:rsidRPr="00B25FDD" w:rsidRDefault="00FE79FE">
      <w:pPr>
        <w:rPr>
          <w:lang w:val="en-GB"/>
        </w:rPr>
      </w:pPr>
    </w:p>
    <w:tbl>
      <w:tblPr>
        <w:tblW w:w="10089" w:type="dxa"/>
        <w:tblLook w:val="01E0" w:firstRow="1" w:lastRow="1" w:firstColumn="1" w:lastColumn="1" w:noHBand="0" w:noVBand="0"/>
      </w:tblPr>
      <w:tblGrid>
        <w:gridCol w:w="10089"/>
      </w:tblGrid>
      <w:tr w:rsidR="00FE79FE" w:rsidRPr="00B25FDD" w14:paraId="321556CC" w14:textId="77777777" w:rsidTr="0038303E">
        <w:tc>
          <w:tcPr>
            <w:tcW w:w="10089" w:type="dxa"/>
          </w:tcPr>
          <w:p w14:paraId="762D7948" w14:textId="77777777" w:rsidR="00276D21" w:rsidRPr="00B25FDD" w:rsidRDefault="00D73FBE" w:rsidP="0038303E">
            <w:pPr>
              <w:spacing w:before="380" w:line="280" w:lineRule="exact"/>
              <w:jc w:val="right"/>
              <w:rPr>
                <w:rFonts w:ascii="Tahoma" w:hAnsi="Tahoma" w:cs="Tahoma"/>
                <w:b/>
                <w:bCs/>
                <w:iCs/>
                <w:color w:val="509141"/>
                <w:sz w:val="32"/>
                <w:szCs w:val="32"/>
                <w:lang w:val="en-GB"/>
              </w:rPr>
            </w:pPr>
            <w:r w:rsidRPr="00B25FDD">
              <w:rPr>
                <w:rFonts w:ascii="Tahoma" w:hAnsi="Tahoma" w:cs="Tahoma"/>
                <w:b/>
                <w:bCs/>
                <w:iCs/>
                <w:color w:val="509141"/>
                <w:position w:val="-10"/>
                <w:sz w:val="32"/>
                <w:szCs w:val="32"/>
                <w:lang w:val="en-GB"/>
              </w:rPr>
              <w:object w:dxaOrig="180" w:dyaOrig="340" w14:anchorId="3A6EF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4pt;height:18.8pt" o:ole="">
                  <v:imagedata r:id="rId8" o:title=""/>
                </v:shape>
                <o:OLEObject Type="Embed" ProgID="Equation.3" ShapeID="_x0000_i1032" DrawAspect="Content" ObjectID="_1721475589" r:id="rId9"/>
              </w:object>
            </w:r>
          </w:p>
          <w:p w14:paraId="4992C5A7" w14:textId="31D1C894" w:rsidR="00FE79FE" w:rsidRPr="00B25FDD" w:rsidRDefault="00FE79FE" w:rsidP="004C61E8">
            <w:pPr>
              <w:spacing w:before="380" w:line="280" w:lineRule="exact"/>
              <w:jc w:val="right"/>
              <w:rPr>
                <w:rFonts w:ascii="Tahoma" w:hAnsi="Tahoma" w:cs="Tahoma"/>
                <w:b/>
                <w:bCs/>
                <w:iCs/>
                <w:color w:val="509141"/>
                <w:sz w:val="36"/>
                <w:szCs w:val="36"/>
                <w:lang w:val="en-GB"/>
              </w:rPr>
            </w:pPr>
            <w:proofErr w:type="gramStart"/>
            <w:r w:rsidRPr="00B25FDD">
              <w:rPr>
                <w:rFonts w:ascii="Tahoma" w:hAnsi="Tahoma" w:cs="Tahoma"/>
                <w:b/>
                <w:bCs/>
                <w:iCs/>
                <w:color w:val="509141"/>
                <w:sz w:val="36"/>
                <w:szCs w:val="36"/>
                <w:lang w:val="en-GB"/>
              </w:rPr>
              <w:t>R</w:t>
            </w:r>
            <w:r w:rsidR="00526063" w:rsidRPr="00B25FDD">
              <w:rPr>
                <w:rFonts w:ascii="Tahoma" w:hAnsi="Tahoma" w:cs="Tahoma"/>
                <w:b/>
                <w:bCs/>
                <w:iCs/>
                <w:color w:val="509141"/>
                <w:sz w:val="36"/>
                <w:szCs w:val="36"/>
                <w:lang w:val="en-GB"/>
              </w:rPr>
              <w:t>eport</w:t>
            </w:r>
            <w:r w:rsidRPr="00B25FDD">
              <w:rPr>
                <w:rFonts w:ascii="Tahoma" w:hAnsi="Tahoma" w:cs="Tahoma"/>
                <w:b/>
                <w:bCs/>
                <w:iCs/>
                <w:color w:val="509141"/>
                <w:sz w:val="36"/>
                <w:szCs w:val="36"/>
                <w:lang w:val="en-GB"/>
              </w:rPr>
              <w:t xml:space="preserve">  ITU</w:t>
            </w:r>
            <w:proofErr w:type="gramEnd"/>
            <w:r w:rsidRPr="00B25FDD">
              <w:rPr>
                <w:rFonts w:ascii="Tahoma" w:hAnsi="Tahoma" w:cs="Tahoma"/>
                <w:b/>
                <w:bCs/>
                <w:iCs/>
                <w:color w:val="509141"/>
                <w:sz w:val="36"/>
                <w:szCs w:val="36"/>
                <w:lang w:val="en-GB"/>
              </w:rPr>
              <w:t xml:space="preserve">-R  </w:t>
            </w:r>
            <w:r w:rsidR="003B4EE8" w:rsidRPr="00B25FDD">
              <w:rPr>
                <w:rFonts w:ascii="Tahoma" w:hAnsi="Tahoma" w:cs="Tahoma"/>
                <w:b/>
                <w:bCs/>
                <w:iCs/>
                <w:color w:val="509141"/>
                <w:sz w:val="36"/>
                <w:szCs w:val="36"/>
                <w:lang w:val="en-GB"/>
              </w:rPr>
              <w:t>S</w:t>
            </w:r>
            <w:r w:rsidR="0006030B" w:rsidRPr="00B25FDD">
              <w:rPr>
                <w:rFonts w:ascii="Tahoma" w:hAnsi="Tahoma" w:cs="Tahoma"/>
                <w:b/>
                <w:bCs/>
                <w:iCs/>
                <w:color w:val="509141"/>
                <w:sz w:val="36"/>
                <w:szCs w:val="36"/>
                <w:lang w:val="en-GB"/>
              </w:rPr>
              <w:t>M</w:t>
            </w:r>
            <w:r w:rsidRPr="00B25FDD">
              <w:rPr>
                <w:rFonts w:ascii="Tahoma" w:hAnsi="Tahoma" w:cs="Tahoma"/>
                <w:b/>
                <w:bCs/>
                <w:iCs/>
                <w:color w:val="509141"/>
                <w:sz w:val="36"/>
                <w:szCs w:val="36"/>
                <w:lang w:val="en-GB"/>
              </w:rPr>
              <w:t>.</w:t>
            </w:r>
            <w:r w:rsidR="00E4729E" w:rsidRPr="00B25FDD">
              <w:rPr>
                <w:rFonts w:ascii="Tahoma" w:hAnsi="Tahoma" w:cs="Tahoma"/>
                <w:b/>
                <w:bCs/>
                <w:iCs/>
                <w:color w:val="509141"/>
                <w:sz w:val="36"/>
                <w:szCs w:val="36"/>
                <w:lang w:val="en-GB"/>
              </w:rPr>
              <w:t>250</w:t>
            </w:r>
            <w:r w:rsidR="00B31C8C" w:rsidRPr="00B25FDD">
              <w:rPr>
                <w:rFonts w:ascii="Tahoma" w:hAnsi="Tahoma" w:cs="Tahoma"/>
                <w:b/>
                <w:bCs/>
                <w:iCs/>
                <w:color w:val="509141"/>
                <w:sz w:val="36"/>
                <w:szCs w:val="36"/>
                <w:lang w:val="en-GB"/>
              </w:rPr>
              <w:t>4</w:t>
            </w:r>
            <w:r w:rsidR="00E4729E" w:rsidRPr="00B25FDD">
              <w:rPr>
                <w:rFonts w:ascii="Tahoma" w:hAnsi="Tahoma" w:cs="Tahoma"/>
                <w:b/>
                <w:bCs/>
                <w:iCs/>
                <w:color w:val="509141"/>
                <w:sz w:val="36"/>
                <w:szCs w:val="36"/>
                <w:lang w:val="en-GB"/>
              </w:rPr>
              <w:t>-0</w:t>
            </w:r>
          </w:p>
          <w:p w14:paraId="1EB5734F" w14:textId="1CB31AE5" w:rsidR="00FE79FE" w:rsidRPr="00B25FDD" w:rsidRDefault="00FE79FE" w:rsidP="004C61E8">
            <w:pPr>
              <w:spacing w:before="80" w:line="280" w:lineRule="exact"/>
              <w:jc w:val="right"/>
              <w:rPr>
                <w:rFonts w:ascii="Tahoma" w:hAnsi="Tahoma" w:cs="Tahoma"/>
                <w:iCs/>
                <w:color w:val="509141"/>
                <w:szCs w:val="24"/>
                <w:lang w:val="en-GB"/>
              </w:rPr>
            </w:pPr>
            <w:r w:rsidRPr="00B25FDD">
              <w:rPr>
                <w:rFonts w:ascii="Tahoma" w:hAnsi="Tahoma" w:cs="Tahoma"/>
                <w:b/>
                <w:bCs/>
                <w:iCs/>
                <w:color w:val="509141"/>
                <w:szCs w:val="24"/>
                <w:lang w:val="en-GB"/>
              </w:rPr>
              <w:t>(</w:t>
            </w:r>
            <w:r w:rsidR="00E4729E" w:rsidRPr="00B25FDD">
              <w:rPr>
                <w:rFonts w:ascii="Tahoma" w:hAnsi="Tahoma" w:cs="Tahoma"/>
                <w:b/>
                <w:bCs/>
                <w:iCs/>
                <w:color w:val="509141"/>
                <w:szCs w:val="24"/>
                <w:lang w:val="en-GB"/>
              </w:rPr>
              <w:t>07</w:t>
            </w:r>
            <w:r w:rsidRPr="00B25FDD">
              <w:rPr>
                <w:rFonts w:ascii="Tahoma" w:hAnsi="Tahoma" w:cs="Tahoma"/>
                <w:b/>
                <w:bCs/>
                <w:iCs/>
                <w:color w:val="509141"/>
                <w:szCs w:val="24"/>
                <w:lang w:val="en-GB"/>
              </w:rPr>
              <w:t>/</w:t>
            </w:r>
            <w:r w:rsidR="00E4729E" w:rsidRPr="00B25FDD">
              <w:rPr>
                <w:rFonts w:ascii="Tahoma" w:hAnsi="Tahoma" w:cs="Tahoma"/>
                <w:b/>
                <w:bCs/>
                <w:iCs/>
                <w:color w:val="509141"/>
                <w:szCs w:val="24"/>
                <w:lang w:val="en-GB"/>
              </w:rPr>
              <w:t>2022</w:t>
            </w:r>
            <w:r w:rsidRPr="00B25FDD">
              <w:rPr>
                <w:rFonts w:ascii="Tahoma" w:hAnsi="Tahoma" w:cs="Tahoma"/>
                <w:b/>
                <w:bCs/>
                <w:iCs/>
                <w:color w:val="509141"/>
                <w:szCs w:val="24"/>
                <w:lang w:val="en-GB"/>
              </w:rPr>
              <w:t>)</w:t>
            </w:r>
          </w:p>
        </w:tc>
      </w:tr>
      <w:tr w:rsidR="00FE79FE" w:rsidRPr="00B25FDD" w14:paraId="3240C1CD" w14:textId="77777777" w:rsidTr="0038303E">
        <w:tc>
          <w:tcPr>
            <w:tcW w:w="10089" w:type="dxa"/>
          </w:tcPr>
          <w:p w14:paraId="77AF9351" w14:textId="77777777" w:rsidR="00013002" w:rsidRPr="00B25FDD" w:rsidRDefault="00013002" w:rsidP="0038303E">
            <w:pPr>
              <w:spacing w:before="80" w:line="500" w:lineRule="exact"/>
              <w:jc w:val="right"/>
              <w:rPr>
                <w:rFonts w:ascii="Tahoma" w:hAnsi="Tahoma" w:cs="Tahoma"/>
                <w:b/>
                <w:bCs/>
                <w:iCs/>
                <w:color w:val="509141"/>
                <w:sz w:val="44"/>
                <w:szCs w:val="44"/>
                <w:lang w:val="en-GB"/>
              </w:rPr>
            </w:pPr>
          </w:p>
          <w:p w14:paraId="25B38802" w14:textId="3A64EEF4" w:rsidR="00D92F56" w:rsidRPr="00B25FDD" w:rsidRDefault="00B31C8C" w:rsidP="00E4729E">
            <w:pPr>
              <w:pStyle w:val="Reptitle"/>
              <w:jc w:val="right"/>
              <w:rPr>
                <w:rFonts w:ascii="Tahoma" w:hAnsi="Tahoma" w:cs="Tahoma"/>
                <w:bCs/>
                <w:iCs/>
                <w:color w:val="509141"/>
                <w:sz w:val="44"/>
                <w:szCs w:val="44"/>
                <w:lang w:val="en-GB"/>
              </w:rPr>
            </w:pPr>
            <w:r w:rsidRPr="00B25FDD">
              <w:rPr>
                <w:rFonts w:ascii="Tahoma" w:hAnsi="Tahoma" w:cs="Tahoma"/>
                <w:bCs/>
                <w:iCs/>
                <w:color w:val="509141"/>
                <w:sz w:val="44"/>
                <w:szCs w:val="44"/>
                <w:lang w:val="en-GB" w:eastAsia="zh-CN"/>
              </w:rPr>
              <w:t xml:space="preserve">Methods for the estimation of coverage </w:t>
            </w:r>
            <w:r w:rsidRPr="00B25FDD">
              <w:rPr>
                <w:rFonts w:ascii="Tahoma" w:hAnsi="Tahoma" w:cs="Tahoma"/>
                <w:bCs/>
                <w:iCs/>
                <w:color w:val="509141"/>
                <w:sz w:val="44"/>
                <w:szCs w:val="44"/>
                <w:lang w:val="en-GB" w:eastAsia="zh-CN"/>
              </w:rPr>
              <w:br/>
              <w:t xml:space="preserve">for terrestrial radio services </w:t>
            </w:r>
            <w:r w:rsidRPr="00B25FDD">
              <w:rPr>
                <w:rFonts w:ascii="Tahoma" w:hAnsi="Tahoma" w:cs="Tahoma"/>
                <w:bCs/>
                <w:iCs/>
                <w:color w:val="509141"/>
                <w:sz w:val="44"/>
                <w:szCs w:val="44"/>
                <w:lang w:val="en-GB" w:eastAsia="zh-CN"/>
              </w:rPr>
              <w:br/>
              <w:t>based on population</w:t>
            </w:r>
          </w:p>
          <w:p w14:paraId="737578AF" w14:textId="77777777" w:rsidR="00D8150A" w:rsidRPr="00B25FDD" w:rsidRDefault="00D8150A" w:rsidP="0038303E">
            <w:pPr>
              <w:spacing w:before="80" w:line="500" w:lineRule="exact"/>
              <w:jc w:val="right"/>
              <w:rPr>
                <w:rFonts w:ascii="Tahoma" w:hAnsi="Tahoma" w:cs="Tahoma"/>
                <w:b/>
                <w:bCs/>
                <w:iCs/>
                <w:color w:val="509141"/>
                <w:sz w:val="44"/>
                <w:szCs w:val="44"/>
                <w:lang w:val="en-GB"/>
              </w:rPr>
            </w:pPr>
          </w:p>
          <w:p w14:paraId="7CA3C81B" w14:textId="39161E7A" w:rsidR="00FE79FE" w:rsidRPr="00B25FDD" w:rsidRDefault="00FE79FE" w:rsidP="0038303E">
            <w:pPr>
              <w:spacing w:before="80" w:line="500" w:lineRule="exact"/>
              <w:jc w:val="right"/>
              <w:rPr>
                <w:rFonts w:ascii="Tahoma" w:hAnsi="Tahoma" w:cs="Tahoma"/>
                <w:b/>
                <w:bCs/>
                <w:iCs/>
                <w:color w:val="509141"/>
                <w:sz w:val="44"/>
                <w:szCs w:val="44"/>
                <w:lang w:val="en-GB"/>
              </w:rPr>
            </w:pPr>
          </w:p>
        </w:tc>
      </w:tr>
      <w:tr w:rsidR="00FE79FE" w:rsidRPr="00B25FDD" w14:paraId="68E69765" w14:textId="77777777" w:rsidTr="0038303E">
        <w:tc>
          <w:tcPr>
            <w:tcW w:w="10089" w:type="dxa"/>
          </w:tcPr>
          <w:p w14:paraId="7957910A" w14:textId="77777777" w:rsidR="007B203C" w:rsidRPr="00B25FDD" w:rsidRDefault="007B203C" w:rsidP="0038303E">
            <w:pPr>
              <w:spacing w:before="80" w:line="280" w:lineRule="exact"/>
              <w:ind w:right="640"/>
              <w:rPr>
                <w:rFonts w:ascii="Tahoma" w:hAnsi="Tahoma" w:cs="Tahoma"/>
                <w:b/>
                <w:bCs/>
                <w:iCs/>
                <w:color w:val="243285"/>
                <w:sz w:val="32"/>
                <w:szCs w:val="32"/>
                <w:lang w:val="en-GB"/>
              </w:rPr>
            </w:pPr>
          </w:p>
          <w:p w14:paraId="2F6415FC" w14:textId="77777777" w:rsidR="007B203C" w:rsidRPr="00B25FDD" w:rsidRDefault="007B203C" w:rsidP="0038303E">
            <w:pPr>
              <w:spacing w:before="80" w:line="280" w:lineRule="exact"/>
              <w:ind w:right="640"/>
              <w:rPr>
                <w:rFonts w:ascii="Tahoma" w:hAnsi="Tahoma" w:cs="Tahoma"/>
                <w:b/>
                <w:bCs/>
                <w:iCs/>
                <w:color w:val="243285"/>
                <w:sz w:val="32"/>
                <w:szCs w:val="32"/>
                <w:lang w:val="en-GB"/>
              </w:rPr>
            </w:pPr>
          </w:p>
          <w:p w14:paraId="2DAC2702" w14:textId="77777777" w:rsidR="007B203C" w:rsidRPr="00B25FDD" w:rsidRDefault="007B203C" w:rsidP="0038303E">
            <w:pPr>
              <w:spacing w:before="80" w:line="280" w:lineRule="exact"/>
              <w:ind w:right="640"/>
              <w:rPr>
                <w:rFonts w:ascii="Tahoma" w:hAnsi="Tahoma" w:cs="Tahoma"/>
                <w:b/>
                <w:bCs/>
                <w:iCs/>
                <w:color w:val="243285"/>
                <w:sz w:val="32"/>
                <w:szCs w:val="32"/>
                <w:lang w:val="en-GB"/>
              </w:rPr>
            </w:pPr>
          </w:p>
          <w:p w14:paraId="406155FD" w14:textId="77777777" w:rsidR="007B203C" w:rsidRPr="00B25FDD" w:rsidRDefault="007B203C" w:rsidP="0038303E">
            <w:pPr>
              <w:spacing w:before="80" w:after="180" w:line="360" w:lineRule="exact"/>
              <w:jc w:val="right"/>
              <w:rPr>
                <w:rFonts w:ascii="Tahoma" w:hAnsi="Tahoma" w:cs="Tahoma"/>
                <w:b/>
                <w:bCs/>
                <w:iCs/>
                <w:color w:val="243285"/>
                <w:sz w:val="36"/>
                <w:szCs w:val="36"/>
                <w:lang w:val="en-GB"/>
              </w:rPr>
            </w:pPr>
          </w:p>
          <w:p w14:paraId="712C91B7" w14:textId="77777777" w:rsidR="00013002" w:rsidRPr="00B25FDD" w:rsidRDefault="003B4EE8" w:rsidP="0038303E">
            <w:pPr>
              <w:spacing w:before="80" w:after="180" w:line="360" w:lineRule="exact"/>
              <w:jc w:val="right"/>
              <w:rPr>
                <w:rFonts w:ascii="Tahoma" w:hAnsi="Tahoma" w:cs="Tahoma"/>
                <w:b/>
                <w:bCs/>
                <w:iCs/>
                <w:color w:val="509141"/>
                <w:sz w:val="36"/>
                <w:szCs w:val="36"/>
                <w:lang w:val="en-GB"/>
              </w:rPr>
            </w:pPr>
            <w:r w:rsidRPr="00B25FDD">
              <w:rPr>
                <w:rFonts w:ascii="Tahoma" w:hAnsi="Tahoma" w:cs="Tahoma"/>
                <w:b/>
                <w:bCs/>
                <w:iCs/>
                <w:color w:val="509141"/>
                <w:sz w:val="36"/>
                <w:szCs w:val="36"/>
                <w:lang w:val="en-GB"/>
              </w:rPr>
              <w:t>S</w:t>
            </w:r>
            <w:r w:rsidR="0006030B" w:rsidRPr="00B25FDD">
              <w:rPr>
                <w:rFonts w:ascii="Tahoma" w:hAnsi="Tahoma" w:cs="Tahoma"/>
                <w:b/>
                <w:bCs/>
                <w:iCs/>
                <w:color w:val="509141"/>
                <w:sz w:val="36"/>
                <w:szCs w:val="36"/>
                <w:lang w:val="en-GB"/>
              </w:rPr>
              <w:t>M</w:t>
            </w:r>
            <w:r w:rsidR="00FE79FE" w:rsidRPr="00B25FDD">
              <w:rPr>
                <w:rFonts w:ascii="Tahoma" w:hAnsi="Tahoma" w:cs="Tahoma"/>
                <w:b/>
                <w:bCs/>
                <w:iCs/>
                <w:color w:val="509141"/>
                <w:sz w:val="36"/>
                <w:szCs w:val="36"/>
                <w:lang w:val="en-GB"/>
              </w:rPr>
              <w:t xml:space="preserve"> Series</w:t>
            </w:r>
          </w:p>
          <w:p w14:paraId="55DF0C45" w14:textId="77777777" w:rsidR="00FE79FE" w:rsidRPr="00B25FDD" w:rsidRDefault="0006030B" w:rsidP="0038303E">
            <w:pPr>
              <w:spacing w:before="80" w:line="420" w:lineRule="exact"/>
              <w:jc w:val="right"/>
              <w:rPr>
                <w:rFonts w:ascii="Tahoma" w:hAnsi="Tahoma" w:cs="Tahoma"/>
                <w:b/>
                <w:bCs/>
                <w:iCs/>
                <w:color w:val="509141"/>
                <w:sz w:val="36"/>
                <w:szCs w:val="36"/>
                <w:lang w:val="en-GB"/>
              </w:rPr>
            </w:pPr>
            <w:r w:rsidRPr="00B25FDD">
              <w:rPr>
                <w:rFonts w:ascii="Tahoma" w:hAnsi="Tahoma" w:cs="Tahoma"/>
                <w:b/>
                <w:bCs/>
                <w:iCs/>
                <w:color w:val="509141"/>
                <w:sz w:val="36"/>
                <w:szCs w:val="36"/>
                <w:lang w:val="en-GB"/>
              </w:rPr>
              <w:t>Spectrum management</w:t>
            </w:r>
          </w:p>
        </w:tc>
      </w:tr>
    </w:tbl>
    <w:p w14:paraId="607A5FB9" w14:textId="77777777" w:rsidR="00FE79FE" w:rsidRPr="00B25FDD" w:rsidRDefault="00FE79FE" w:rsidP="00CD659B">
      <w:pPr>
        <w:spacing w:before="80"/>
        <w:rPr>
          <w:i/>
          <w:sz w:val="22"/>
          <w:lang w:val="en-GB"/>
        </w:rPr>
      </w:pPr>
    </w:p>
    <w:p w14:paraId="51B71898" w14:textId="77777777" w:rsidR="00FE79FE" w:rsidRPr="00B25FDD" w:rsidRDefault="00FE79FE" w:rsidP="00CD659B">
      <w:pPr>
        <w:spacing w:before="80"/>
        <w:rPr>
          <w:i/>
          <w:sz w:val="22"/>
          <w:lang w:val="en-GB"/>
        </w:rPr>
      </w:pPr>
    </w:p>
    <w:p w14:paraId="783757A2" w14:textId="77777777" w:rsidR="00FE79FE" w:rsidRPr="00B25FDD" w:rsidRDefault="00FE79FE" w:rsidP="00CD659B">
      <w:pPr>
        <w:spacing w:before="80"/>
        <w:rPr>
          <w:i/>
          <w:sz w:val="22"/>
          <w:lang w:val="en-GB"/>
        </w:rPr>
      </w:pPr>
    </w:p>
    <w:p w14:paraId="7E29C893" w14:textId="77777777" w:rsidR="00FE79FE" w:rsidRPr="00B25FDD" w:rsidRDefault="00FE79FE" w:rsidP="00CD659B">
      <w:pPr>
        <w:spacing w:before="80"/>
        <w:rPr>
          <w:i/>
          <w:sz w:val="22"/>
          <w:lang w:val="en-GB"/>
        </w:rPr>
      </w:pPr>
    </w:p>
    <w:p w14:paraId="2400B0CE" w14:textId="77777777" w:rsidR="00A71FE5" w:rsidRPr="00B25FDD" w:rsidRDefault="00A71FE5" w:rsidP="00CD659B">
      <w:pPr>
        <w:spacing w:before="80"/>
        <w:rPr>
          <w:i/>
          <w:sz w:val="22"/>
          <w:lang w:val="en-GB"/>
        </w:rPr>
      </w:pPr>
    </w:p>
    <w:p w14:paraId="498B9CFC" w14:textId="77777777" w:rsidR="00CD659B" w:rsidRPr="00B25FDD" w:rsidRDefault="00CD659B" w:rsidP="00CD659B">
      <w:pPr>
        <w:rPr>
          <w:rFonts w:ascii="Palatino Linotype" w:hAnsi="Palatino Linotype"/>
          <w:lang w:val="en-GB"/>
        </w:rPr>
        <w:sectPr w:rsidR="00CD659B" w:rsidRPr="00B25FDD" w:rsidSect="009A351D">
          <w:headerReference w:type="even" r:id="rId10"/>
          <w:headerReference w:type="default" r:id="rId11"/>
          <w:pgSz w:w="11907" w:h="16840" w:code="9"/>
          <w:pgMar w:top="1089" w:right="1089" w:bottom="284" w:left="1089" w:header="567" w:footer="284" w:gutter="0"/>
          <w:pgNumType w:start="1"/>
          <w:cols w:space="720"/>
        </w:sectPr>
      </w:pPr>
    </w:p>
    <w:p w14:paraId="0C125AB3" w14:textId="77777777" w:rsidR="00CB60A4" w:rsidRPr="00B25FDD"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B25FDD">
        <w:rPr>
          <w:bCs/>
          <w:sz w:val="24"/>
          <w:szCs w:val="24"/>
          <w:lang w:val="en-GB"/>
        </w:rPr>
        <w:lastRenderedPageBreak/>
        <w:t>Foreword</w:t>
      </w:r>
    </w:p>
    <w:p w14:paraId="372E2EC3" w14:textId="77777777" w:rsidR="00CB60A4" w:rsidRPr="00B25FDD" w:rsidRDefault="00CB60A4" w:rsidP="00CB60A4">
      <w:pPr>
        <w:spacing w:before="240"/>
        <w:rPr>
          <w:sz w:val="20"/>
          <w:lang w:val="en-GB"/>
        </w:rPr>
      </w:pPr>
      <w:r w:rsidRPr="00B25FDD">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B25FDD">
        <w:rPr>
          <w:sz w:val="20"/>
          <w:lang w:val="en-GB"/>
        </w:rPr>
        <w:t>on the basis of</w:t>
      </w:r>
      <w:proofErr w:type="gramEnd"/>
      <w:r w:rsidRPr="00B25FDD">
        <w:rPr>
          <w:sz w:val="20"/>
          <w:lang w:val="en-GB"/>
        </w:rPr>
        <w:t xml:space="preserve"> which Recommendations are adopted.</w:t>
      </w:r>
    </w:p>
    <w:p w14:paraId="01C4CF5A" w14:textId="77777777" w:rsidR="00CB60A4" w:rsidRPr="00B25FDD" w:rsidRDefault="00CB60A4" w:rsidP="00CB60A4">
      <w:pPr>
        <w:rPr>
          <w:sz w:val="20"/>
          <w:lang w:val="en-GB"/>
        </w:rPr>
      </w:pPr>
      <w:r w:rsidRPr="00B25FDD">
        <w:rPr>
          <w:sz w:val="20"/>
          <w:lang w:val="en-GB"/>
        </w:rPr>
        <w:t>The regulatory and policy functions of the Radiocommunication Sector are performed by World and Regional Radiocommunication Conferences and Radiocommunication Assemblies supported by Study Groups.</w:t>
      </w:r>
    </w:p>
    <w:p w14:paraId="7653615F" w14:textId="77777777" w:rsidR="00505FB4" w:rsidRPr="00B25FDD" w:rsidRDefault="00505FB4" w:rsidP="00505FB4">
      <w:pPr>
        <w:pStyle w:val="Heading1"/>
        <w:spacing w:before="400"/>
        <w:jc w:val="center"/>
        <w:rPr>
          <w:szCs w:val="24"/>
          <w:lang w:val="en-GB"/>
        </w:rPr>
      </w:pPr>
    </w:p>
    <w:p w14:paraId="77CB63C2" w14:textId="77777777" w:rsidR="00CB60A4" w:rsidRPr="00B25FDD" w:rsidRDefault="00CB60A4" w:rsidP="000C0413">
      <w:pPr>
        <w:pStyle w:val="Heading1"/>
        <w:spacing w:before="540"/>
        <w:jc w:val="center"/>
        <w:rPr>
          <w:szCs w:val="24"/>
          <w:lang w:val="en-GB"/>
        </w:rPr>
      </w:pPr>
      <w:bookmarkStart w:id="1" w:name="_Toc108775410"/>
      <w:r w:rsidRPr="00B25FDD">
        <w:rPr>
          <w:szCs w:val="24"/>
          <w:lang w:val="en-GB"/>
        </w:rPr>
        <w:t>Policy on Intellectual Property Right (IPR)</w:t>
      </w:r>
      <w:bookmarkEnd w:id="1"/>
    </w:p>
    <w:p w14:paraId="50BF101F" w14:textId="1CBE7F2F" w:rsidR="00CB60A4" w:rsidRPr="00B25FDD" w:rsidRDefault="00CB60A4" w:rsidP="007B66E6">
      <w:pPr>
        <w:tabs>
          <w:tab w:val="left" w:pos="720"/>
        </w:tabs>
        <w:spacing w:before="240"/>
        <w:rPr>
          <w:sz w:val="20"/>
          <w:lang w:val="en-GB"/>
        </w:rPr>
      </w:pPr>
      <w:r w:rsidRPr="00B25FDD">
        <w:rPr>
          <w:sz w:val="20"/>
          <w:lang w:val="en-GB"/>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sidRPr="00B25FDD">
          <w:rPr>
            <w:rStyle w:val="Hyperlink"/>
            <w:sz w:val="20"/>
            <w:lang w:val="en-GB"/>
          </w:rPr>
          <w:t>http://www.itu.int/ITU</w:t>
        </w:r>
        <w:r w:rsidR="009030CC" w:rsidRPr="00B25FDD">
          <w:rPr>
            <w:rStyle w:val="Hyperlink"/>
            <w:sz w:val="20"/>
            <w:lang w:val="en-GB"/>
          </w:rPr>
          <w:t>-</w:t>
        </w:r>
        <w:r w:rsidRPr="00B25FDD">
          <w:rPr>
            <w:rStyle w:val="Hyperlink"/>
            <w:sz w:val="20"/>
            <w:lang w:val="en-GB"/>
          </w:rPr>
          <w:t>R/go/patents/en</w:t>
        </w:r>
      </w:hyperlink>
      <w:r w:rsidRPr="00B25FDD">
        <w:rPr>
          <w:sz w:val="20"/>
          <w:lang w:val="en-GB"/>
        </w:rPr>
        <w:t xml:space="preserve"> where the Guidelines for Implementation of the Common Patent Policy for ITU</w:t>
      </w:r>
      <w:r w:rsidRPr="00B25FDD">
        <w:rPr>
          <w:sz w:val="20"/>
          <w:lang w:val="en-GB"/>
        </w:rPr>
        <w:noBreakHyphen/>
        <w:t>T/ITU</w:t>
      </w:r>
      <w:r w:rsidRPr="00B25FDD">
        <w:rPr>
          <w:sz w:val="20"/>
          <w:lang w:val="en-GB"/>
        </w:rPr>
        <w:noBreakHyphen/>
        <w:t>R/ISO/IEC and the ITU-R patent information database can also be found.</w:t>
      </w:r>
    </w:p>
    <w:p w14:paraId="4CDA5ED6" w14:textId="77777777" w:rsidR="00CB60A4" w:rsidRPr="00B25FDD" w:rsidRDefault="00CB60A4" w:rsidP="00CB60A4">
      <w:pPr>
        <w:jc w:val="center"/>
        <w:rPr>
          <w:sz w:val="22"/>
          <w:lang w:val="en-GB"/>
        </w:rPr>
      </w:pPr>
    </w:p>
    <w:p w14:paraId="70750EF5" w14:textId="77777777" w:rsidR="00505FB4" w:rsidRPr="00B25FDD" w:rsidRDefault="00505FB4" w:rsidP="00CB60A4">
      <w:pPr>
        <w:jc w:val="center"/>
        <w:rPr>
          <w:sz w:val="22"/>
          <w:lang w:val="en-GB"/>
        </w:rPr>
      </w:pPr>
    </w:p>
    <w:p w14:paraId="55CBB753" w14:textId="77777777" w:rsidR="00CB60A4" w:rsidRPr="00B25FDD"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B25FDD" w14:paraId="05639453" w14:textId="77777777">
        <w:tc>
          <w:tcPr>
            <w:tcW w:w="9360" w:type="dxa"/>
            <w:gridSpan w:val="2"/>
            <w:tcBorders>
              <w:top w:val="single" w:sz="12" w:space="0" w:color="000080"/>
              <w:left w:val="single" w:sz="12" w:space="0" w:color="000080"/>
              <w:bottom w:val="nil"/>
              <w:right w:val="single" w:sz="12" w:space="0" w:color="000080"/>
            </w:tcBorders>
          </w:tcPr>
          <w:p w14:paraId="0344E1C5" w14:textId="77777777" w:rsidR="00CB60A4" w:rsidRPr="00B25FDD" w:rsidRDefault="00CB60A4" w:rsidP="00C7761D">
            <w:pPr>
              <w:pStyle w:val="ChapNo"/>
              <w:spacing w:before="240"/>
              <w:rPr>
                <w:sz w:val="22"/>
                <w:szCs w:val="22"/>
                <w:lang w:val="en-GB"/>
              </w:rPr>
            </w:pPr>
            <w:r w:rsidRPr="00B25FDD">
              <w:rPr>
                <w:sz w:val="22"/>
                <w:szCs w:val="22"/>
                <w:lang w:val="en-GB"/>
              </w:rPr>
              <w:t xml:space="preserve">Series of ITU-R </w:t>
            </w:r>
            <w:r w:rsidR="00505FB4" w:rsidRPr="00B25FDD">
              <w:rPr>
                <w:sz w:val="22"/>
                <w:szCs w:val="22"/>
                <w:lang w:val="en-GB"/>
              </w:rPr>
              <w:t>Reports</w:t>
            </w:r>
            <w:r w:rsidRPr="00B25FDD">
              <w:rPr>
                <w:sz w:val="22"/>
                <w:szCs w:val="22"/>
                <w:lang w:val="en-GB"/>
              </w:rPr>
              <w:t xml:space="preserve"> </w:t>
            </w:r>
          </w:p>
          <w:p w14:paraId="0495E44A" w14:textId="77777777" w:rsidR="00CB60A4" w:rsidRPr="00B25FD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B25FDD">
              <w:rPr>
                <w:b w:val="0"/>
                <w:sz w:val="18"/>
                <w:szCs w:val="18"/>
                <w:lang w:val="en-GB"/>
              </w:rPr>
              <w:t xml:space="preserve">(Also available online at </w:t>
            </w:r>
            <w:hyperlink r:id="rId13" w:history="1">
              <w:r w:rsidR="009030CC" w:rsidRPr="00B25FDD">
                <w:rPr>
                  <w:rStyle w:val="Hyperlink"/>
                  <w:b w:val="0"/>
                  <w:bCs/>
                  <w:sz w:val="18"/>
                  <w:szCs w:val="18"/>
                  <w:lang w:val="en-GB"/>
                </w:rPr>
                <w:t>http://www.itu.int/publ</w:t>
              </w:r>
              <w:r w:rsidR="00505FB4" w:rsidRPr="00B25FDD">
                <w:rPr>
                  <w:rStyle w:val="Hyperlink"/>
                  <w:b w:val="0"/>
                  <w:bCs/>
                  <w:sz w:val="18"/>
                  <w:szCs w:val="18"/>
                  <w:lang w:val="en-GB"/>
                </w:rPr>
                <w:t>/R-REP/en</w:t>
              </w:r>
            </w:hyperlink>
            <w:r w:rsidRPr="00B25FDD">
              <w:rPr>
                <w:b w:val="0"/>
                <w:sz w:val="18"/>
                <w:szCs w:val="18"/>
                <w:lang w:val="en-GB"/>
              </w:rPr>
              <w:t>)</w:t>
            </w:r>
          </w:p>
        </w:tc>
      </w:tr>
      <w:tr w:rsidR="00CB60A4" w:rsidRPr="00B25FDD" w14:paraId="11616770" w14:textId="77777777" w:rsidTr="006F2B77">
        <w:tc>
          <w:tcPr>
            <w:tcW w:w="1140" w:type="dxa"/>
            <w:tcBorders>
              <w:top w:val="nil"/>
              <w:left w:val="single" w:sz="12" w:space="0" w:color="000080"/>
              <w:bottom w:val="nil"/>
              <w:right w:val="nil"/>
            </w:tcBorders>
          </w:tcPr>
          <w:p w14:paraId="583DE96A" w14:textId="77777777" w:rsidR="00CB60A4" w:rsidRPr="00B25FDD" w:rsidRDefault="00CB60A4">
            <w:pPr>
              <w:spacing w:before="200" w:after="100"/>
              <w:ind w:left="57"/>
              <w:rPr>
                <w:b/>
                <w:bCs/>
                <w:sz w:val="20"/>
                <w:lang w:val="en-GB"/>
              </w:rPr>
            </w:pPr>
            <w:r w:rsidRPr="00B25FDD">
              <w:rPr>
                <w:b/>
                <w:bCs/>
                <w:sz w:val="20"/>
                <w:lang w:val="en-GB"/>
              </w:rPr>
              <w:t>Series</w:t>
            </w:r>
          </w:p>
        </w:tc>
        <w:tc>
          <w:tcPr>
            <w:tcW w:w="8220" w:type="dxa"/>
            <w:tcBorders>
              <w:top w:val="nil"/>
              <w:left w:val="nil"/>
              <w:bottom w:val="nil"/>
              <w:right w:val="single" w:sz="12" w:space="0" w:color="000080"/>
            </w:tcBorders>
          </w:tcPr>
          <w:p w14:paraId="5A307E12" w14:textId="77777777" w:rsidR="00CB60A4" w:rsidRPr="00B25FD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B25FDD">
              <w:rPr>
                <w:bCs/>
                <w:sz w:val="20"/>
                <w:lang w:val="en-GB"/>
              </w:rPr>
              <w:t>Title</w:t>
            </w:r>
          </w:p>
        </w:tc>
      </w:tr>
      <w:tr w:rsidR="00CB60A4" w:rsidRPr="00B25FDD" w14:paraId="4626A879" w14:textId="77777777" w:rsidTr="006F2B77">
        <w:tc>
          <w:tcPr>
            <w:tcW w:w="1140" w:type="dxa"/>
            <w:tcBorders>
              <w:top w:val="nil"/>
              <w:left w:val="single" w:sz="12" w:space="0" w:color="000080"/>
              <w:bottom w:val="nil"/>
              <w:right w:val="nil"/>
            </w:tcBorders>
            <w:shd w:val="clear" w:color="auto" w:fill="auto"/>
          </w:tcPr>
          <w:p w14:paraId="60C9E091"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3BB91350" w14:textId="77777777" w:rsidR="00CB60A4" w:rsidRPr="00B25FD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25FDD">
              <w:rPr>
                <w:b w:val="0"/>
                <w:sz w:val="20"/>
                <w:lang w:val="en-GB"/>
              </w:rPr>
              <w:t>Satellite delivery</w:t>
            </w:r>
          </w:p>
        </w:tc>
      </w:tr>
      <w:tr w:rsidR="00CB60A4" w:rsidRPr="00B25FDD" w14:paraId="236ECF1F" w14:textId="77777777" w:rsidTr="00D55B55">
        <w:tc>
          <w:tcPr>
            <w:tcW w:w="1140" w:type="dxa"/>
            <w:tcBorders>
              <w:top w:val="nil"/>
              <w:left w:val="single" w:sz="12" w:space="0" w:color="000080"/>
              <w:bottom w:val="nil"/>
              <w:right w:val="nil"/>
            </w:tcBorders>
          </w:tcPr>
          <w:p w14:paraId="5419FD93" w14:textId="77777777" w:rsidR="00CB60A4" w:rsidRPr="00B25FDD" w:rsidRDefault="00CB60A4">
            <w:pPr>
              <w:spacing w:before="30" w:after="30"/>
              <w:ind w:left="57"/>
              <w:jc w:val="left"/>
              <w:rPr>
                <w:b/>
                <w:bCs/>
                <w:sz w:val="20"/>
                <w:lang w:val="en-GB"/>
              </w:rPr>
            </w:pPr>
            <w:r w:rsidRPr="00B25FDD">
              <w:rPr>
                <w:b/>
                <w:bCs/>
                <w:sz w:val="20"/>
                <w:lang w:val="en-GB"/>
              </w:rPr>
              <w:t>BR</w:t>
            </w:r>
          </w:p>
        </w:tc>
        <w:tc>
          <w:tcPr>
            <w:tcW w:w="8220" w:type="dxa"/>
            <w:tcBorders>
              <w:top w:val="nil"/>
              <w:left w:val="nil"/>
              <w:bottom w:val="nil"/>
              <w:right w:val="single" w:sz="12" w:space="0" w:color="000080"/>
            </w:tcBorders>
          </w:tcPr>
          <w:p w14:paraId="0421E585" w14:textId="77777777" w:rsidR="00CB60A4" w:rsidRPr="00B25FD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25FDD">
              <w:rPr>
                <w:b w:val="0"/>
                <w:sz w:val="20"/>
                <w:lang w:val="en-GB"/>
              </w:rPr>
              <w:t>Recording for production, archival and play-out; film for television</w:t>
            </w:r>
          </w:p>
        </w:tc>
      </w:tr>
      <w:tr w:rsidR="00CB60A4" w:rsidRPr="00B25FDD" w14:paraId="3BBB97A1" w14:textId="77777777" w:rsidTr="00D55B55">
        <w:tc>
          <w:tcPr>
            <w:tcW w:w="1140" w:type="dxa"/>
            <w:tcBorders>
              <w:top w:val="nil"/>
              <w:left w:val="single" w:sz="12" w:space="0" w:color="000080"/>
              <w:bottom w:val="nil"/>
              <w:right w:val="nil"/>
            </w:tcBorders>
            <w:shd w:val="clear" w:color="auto" w:fill="auto"/>
          </w:tcPr>
          <w:p w14:paraId="6D0CADC1"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1A72A89F" w14:textId="77777777" w:rsidR="00CB60A4" w:rsidRPr="00B25FD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25FDD">
              <w:rPr>
                <w:b w:val="0"/>
                <w:sz w:val="20"/>
                <w:lang w:val="en-GB"/>
              </w:rPr>
              <w:t>Broadcasting service (sound)</w:t>
            </w:r>
          </w:p>
        </w:tc>
      </w:tr>
      <w:tr w:rsidR="00CB60A4" w:rsidRPr="00B25FDD" w14:paraId="6568C680" w14:textId="77777777" w:rsidTr="00D069F2">
        <w:tc>
          <w:tcPr>
            <w:tcW w:w="1140" w:type="dxa"/>
            <w:tcBorders>
              <w:top w:val="nil"/>
              <w:left w:val="single" w:sz="12" w:space="0" w:color="000080"/>
              <w:bottom w:val="nil"/>
              <w:right w:val="nil"/>
            </w:tcBorders>
            <w:shd w:val="clear" w:color="auto" w:fill="auto"/>
          </w:tcPr>
          <w:p w14:paraId="26B4DA59"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03296087" w14:textId="77777777" w:rsidR="00CB60A4" w:rsidRPr="00B25FD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25FDD">
              <w:rPr>
                <w:b w:val="0"/>
                <w:sz w:val="20"/>
                <w:lang w:val="en-GB"/>
              </w:rPr>
              <w:t>Broadcasting service (television)</w:t>
            </w:r>
          </w:p>
        </w:tc>
      </w:tr>
      <w:tr w:rsidR="00CB60A4" w:rsidRPr="00B25FDD" w14:paraId="48BD1EE0" w14:textId="77777777" w:rsidTr="00D069F2">
        <w:tc>
          <w:tcPr>
            <w:tcW w:w="1140" w:type="dxa"/>
            <w:tcBorders>
              <w:top w:val="nil"/>
              <w:left w:val="single" w:sz="12" w:space="0" w:color="000080"/>
              <w:bottom w:val="nil"/>
              <w:right w:val="nil"/>
            </w:tcBorders>
            <w:shd w:val="clear" w:color="auto" w:fill="auto"/>
          </w:tcPr>
          <w:p w14:paraId="7F9403D3"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6C63B900" w14:textId="77777777" w:rsidR="00CB60A4" w:rsidRPr="00B25FD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25FDD">
              <w:rPr>
                <w:sz w:val="20"/>
                <w:lang w:val="en-GB"/>
              </w:rPr>
              <w:t>Fixed service</w:t>
            </w:r>
          </w:p>
        </w:tc>
      </w:tr>
      <w:tr w:rsidR="00CB60A4" w:rsidRPr="00B25FDD" w14:paraId="74BCF314" w14:textId="77777777" w:rsidTr="002D77AF">
        <w:tc>
          <w:tcPr>
            <w:tcW w:w="1140" w:type="dxa"/>
            <w:tcBorders>
              <w:top w:val="nil"/>
              <w:left w:val="single" w:sz="12" w:space="0" w:color="000080"/>
              <w:bottom w:val="nil"/>
              <w:right w:val="nil"/>
            </w:tcBorders>
            <w:shd w:val="clear" w:color="auto" w:fill="auto"/>
          </w:tcPr>
          <w:p w14:paraId="1A56442E" w14:textId="77777777" w:rsidR="00CB60A4" w:rsidRPr="00B25FDD" w:rsidRDefault="00CB60A4">
            <w:pPr>
              <w:spacing w:before="30" w:after="30"/>
              <w:ind w:left="57"/>
              <w:jc w:val="left"/>
              <w:rPr>
                <w:b/>
                <w:bCs/>
                <w:sz w:val="20"/>
                <w:lang w:val="en-GB"/>
              </w:rPr>
            </w:pPr>
            <w:r w:rsidRPr="00B25FDD">
              <w:rPr>
                <w:b/>
                <w:bCs/>
                <w:sz w:val="20"/>
                <w:lang w:val="en-GB"/>
              </w:rPr>
              <w:t>M</w:t>
            </w:r>
          </w:p>
        </w:tc>
        <w:tc>
          <w:tcPr>
            <w:tcW w:w="8220" w:type="dxa"/>
            <w:tcBorders>
              <w:top w:val="nil"/>
              <w:left w:val="nil"/>
              <w:bottom w:val="nil"/>
              <w:right w:val="single" w:sz="12" w:space="0" w:color="000080"/>
            </w:tcBorders>
            <w:shd w:val="clear" w:color="auto" w:fill="auto"/>
          </w:tcPr>
          <w:p w14:paraId="7A825327" w14:textId="77777777" w:rsidR="00CB60A4" w:rsidRPr="00B25FD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25FDD">
              <w:rPr>
                <w:b w:val="0"/>
                <w:sz w:val="20"/>
                <w:lang w:val="en-GB"/>
              </w:rPr>
              <w:t>Mobile, radiodetermination, amateur and related satellite services</w:t>
            </w:r>
          </w:p>
        </w:tc>
      </w:tr>
      <w:tr w:rsidR="00CB60A4" w:rsidRPr="00B25FDD" w14:paraId="061358F8" w14:textId="77777777" w:rsidTr="003B4EE8">
        <w:tc>
          <w:tcPr>
            <w:tcW w:w="1140" w:type="dxa"/>
            <w:tcBorders>
              <w:top w:val="nil"/>
              <w:left w:val="single" w:sz="12" w:space="0" w:color="000080"/>
              <w:bottom w:val="nil"/>
              <w:right w:val="nil"/>
            </w:tcBorders>
            <w:shd w:val="clear" w:color="auto" w:fill="auto"/>
          </w:tcPr>
          <w:p w14:paraId="0FC64679"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448A3B57" w14:textId="77777777" w:rsidR="00CB60A4" w:rsidRPr="00B25FDD" w:rsidRDefault="00CB60A4">
            <w:pPr>
              <w:spacing w:before="30" w:after="30"/>
              <w:jc w:val="left"/>
              <w:rPr>
                <w:sz w:val="20"/>
                <w:lang w:val="en-GB"/>
              </w:rPr>
            </w:pPr>
            <w:proofErr w:type="spellStart"/>
            <w:r w:rsidRPr="00B25FDD">
              <w:rPr>
                <w:sz w:val="20"/>
                <w:lang w:val="en-GB"/>
              </w:rPr>
              <w:t>Radiowave</w:t>
            </w:r>
            <w:proofErr w:type="spellEnd"/>
            <w:r w:rsidRPr="00B25FDD">
              <w:rPr>
                <w:sz w:val="20"/>
                <w:lang w:val="en-GB"/>
              </w:rPr>
              <w:t xml:space="preserve"> propagation</w:t>
            </w:r>
          </w:p>
        </w:tc>
      </w:tr>
      <w:tr w:rsidR="00CB60A4" w:rsidRPr="00B25FDD" w14:paraId="77DC2977" w14:textId="77777777" w:rsidTr="00CB1116">
        <w:tc>
          <w:tcPr>
            <w:tcW w:w="1140" w:type="dxa"/>
            <w:tcBorders>
              <w:top w:val="nil"/>
              <w:left w:val="single" w:sz="12" w:space="0" w:color="000080"/>
              <w:bottom w:val="nil"/>
              <w:right w:val="nil"/>
            </w:tcBorders>
            <w:shd w:val="clear" w:color="auto" w:fill="auto"/>
          </w:tcPr>
          <w:p w14:paraId="2F48C5D6"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15DA6EDF" w14:textId="77777777" w:rsidR="00CB60A4" w:rsidRPr="00B25FD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25FDD">
              <w:rPr>
                <w:sz w:val="20"/>
                <w:lang w:val="en-GB"/>
              </w:rPr>
              <w:t>Radio astronomy</w:t>
            </w:r>
          </w:p>
        </w:tc>
      </w:tr>
      <w:tr w:rsidR="00CB60A4" w:rsidRPr="00B25FDD" w14:paraId="77FFC28E" w14:textId="77777777" w:rsidTr="00C114A7">
        <w:tc>
          <w:tcPr>
            <w:tcW w:w="1140" w:type="dxa"/>
            <w:tcBorders>
              <w:top w:val="nil"/>
              <w:left w:val="single" w:sz="12" w:space="0" w:color="000080"/>
              <w:bottom w:val="nil"/>
              <w:right w:val="nil"/>
            </w:tcBorders>
            <w:shd w:val="clear" w:color="auto" w:fill="auto"/>
          </w:tcPr>
          <w:p w14:paraId="542FACDF"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4407BD8E" w14:textId="77777777" w:rsidR="00CB60A4" w:rsidRPr="00B25FD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25FDD">
              <w:rPr>
                <w:sz w:val="20"/>
                <w:lang w:val="en-GB"/>
              </w:rPr>
              <w:t>Remote sensing systems</w:t>
            </w:r>
          </w:p>
        </w:tc>
      </w:tr>
      <w:tr w:rsidR="00CD7A62" w:rsidRPr="00B25FDD" w14:paraId="1DDE5250" w14:textId="77777777" w:rsidTr="00B135F6">
        <w:tc>
          <w:tcPr>
            <w:tcW w:w="1140" w:type="dxa"/>
            <w:tcBorders>
              <w:top w:val="nil"/>
              <w:left w:val="single" w:sz="12" w:space="0" w:color="000080"/>
              <w:bottom w:val="nil"/>
              <w:right w:val="nil"/>
            </w:tcBorders>
            <w:shd w:val="clear" w:color="auto" w:fill="auto"/>
          </w:tcPr>
          <w:p w14:paraId="29D7B6DA" w14:textId="77777777" w:rsidR="00CD7A62" w:rsidRPr="00B25FDD" w:rsidRDefault="00CD7A62">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14:paraId="538E8703" w14:textId="77777777" w:rsidR="00CD7A62" w:rsidRPr="00B25FDD" w:rsidRDefault="00CD7A62">
            <w:pPr>
              <w:spacing w:before="30" w:after="30"/>
              <w:jc w:val="left"/>
              <w:rPr>
                <w:sz w:val="20"/>
                <w:lang w:val="en-GB"/>
              </w:rPr>
            </w:pPr>
            <w:r w:rsidRPr="00B25FDD">
              <w:rPr>
                <w:sz w:val="20"/>
                <w:lang w:val="en-GB"/>
              </w:rPr>
              <w:t>Fixed</w:t>
            </w:r>
            <w:r w:rsidR="00720B68" w:rsidRPr="00B25FDD">
              <w:rPr>
                <w:sz w:val="20"/>
                <w:lang w:val="en-GB"/>
              </w:rPr>
              <w:t>-</w:t>
            </w:r>
            <w:r w:rsidRPr="00B25FDD">
              <w:rPr>
                <w:sz w:val="20"/>
                <w:lang w:val="en-GB"/>
              </w:rPr>
              <w:t>satellite service</w:t>
            </w:r>
          </w:p>
        </w:tc>
      </w:tr>
      <w:tr w:rsidR="00CB60A4" w:rsidRPr="00B25FDD" w14:paraId="4A056431" w14:textId="77777777" w:rsidTr="0006030B">
        <w:tc>
          <w:tcPr>
            <w:tcW w:w="1140" w:type="dxa"/>
            <w:tcBorders>
              <w:top w:val="nil"/>
              <w:left w:val="single" w:sz="12" w:space="0" w:color="000080"/>
              <w:bottom w:val="nil"/>
              <w:right w:val="nil"/>
            </w:tcBorders>
            <w:shd w:val="clear" w:color="auto" w:fill="auto"/>
          </w:tcPr>
          <w:p w14:paraId="750880D4"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14:paraId="624346F1" w14:textId="77777777" w:rsidR="00CB60A4" w:rsidRPr="00B25FDD" w:rsidRDefault="00CB60A4">
            <w:pPr>
              <w:spacing w:before="30" w:after="30"/>
              <w:jc w:val="left"/>
              <w:rPr>
                <w:sz w:val="20"/>
                <w:lang w:val="en-GB"/>
              </w:rPr>
            </w:pPr>
            <w:r w:rsidRPr="00B25FDD">
              <w:rPr>
                <w:sz w:val="20"/>
                <w:lang w:val="en-GB"/>
              </w:rPr>
              <w:t>Space applications and meteorology</w:t>
            </w:r>
          </w:p>
        </w:tc>
      </w:tr>
      <w:tr w:rsidR="00CB60A4" w:rsidRPr="00B25FDD" w14:paraId="0C255350" w14:textId="77777777" w:rsidTr="0006030B">
        <w:tc>
          <w:tcPr>
            <w:tcW w:w="1140" w:type="dxa"/>
            <w:tcBorders>
              <w:top w:val="nil"/>
              <w:left w:val="single" w:sz="12" w:space="0" w:color="000080"/>
              <w:bottom w:val="nil"/>
              <w:right w:val="nil"/>
            </w:tcBorders>
            <w:shd w:val="clear" w:color="auto" w:fill="auto"/>
          </w:tcPr>
          <w:p w14:paraId="4BE18112" w14:textId="77777777" w:rsidR="00CB60A4" w:rsidRPr="00B25FDD" w:rsidRDefault="00CB60A4">
            <w:pPr>
              <w:spacing w:before="30" w:after="30"/>
              <w:ind w:left="57"/>
              <w:jc w:val="left"/>
              <w:rPr>
                <w:rFonts w:ascii="Times New Roman Bold" w:hAnsi="Times New Roman Bold" w:cs="Times New Roman Bold"/>
                <w:b/>
                <w:bCs/>
                <w:sz w:val="20"/>
                <w:lang w:val="en-GB"/>
              </w:rPr>
            </w:pPr>
            <w:r w:rsidRPr="00B25FDD">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14:paraId="25215E24" w14:textId="77777777" w:rsidR="00CB60A4" w:rsidRPr="00B25FDD" w:rsidRDefault="00CB60A4">
            <w:pPr>
              <w:spacing w:before="30" w:after="30"/>
              <w:jc w:val="left"/>
              <w:rPr>
                <w:sz w:val="20"/>
                <w:lang w:val="en-GB"/>
              </w:rPr>
            </w:pPr>
            <w:r w:rsidRPr="00B25FDD">
              <w:rPr>
                <w:sz w:val="20"/>
                <w:lang w:val="en-GB"/>
              </w:rPr>
              <w:t>Frequency sharing and coordination between fixed-satellite and fixed service systems</w:t>
            </w:r>
          </w:p>
        </w:tc>
      </w:tr>
      <w:tr w:rsidR="00CB60A4" w:rsidRPr="00B25FDD" w14:paraId="74632C89" w14:textId="77777777" w:rsidTr="0006030B">
        <w:tc>
          <w:tcPr>
            <w:tcW w:w="1140" w:type="dxa"/>
            <w:tcBorders>
              <w:top w:val="nil"/>
              <w:left w:val="single" w:sz="12" w:space="0" w:color="000080"/>
              <w:bottom w:val="single" w:sz="12" w:space="0" w:color="000080"/>
              <w:right w:val="nil"/>
            </w:tcBorders>
            <w:shd w:val="clear" w:color="auto" w:fill="F3F3F3"/>
          </w:tcPr>
          <w:p w14:paraId="0EF9DB70" w14:textId="77777777" w:rsidR="00CB60A4" w:rsidRPr="00B25FDD" w:rsidRDefault="00CB60A4">
            <w:pPr>
              <w:spacing w:before="30" w:after="30"/>
              <w:ind w:left="57"/>
              <w:jc w:val="left"/>
              <w:rPr>
                <w:b/>
                <w:bCs/>
                <w:color w:val="000080"/>
                <w:sz w:val="20"/>
                <w:lang w:val="en-GB"/>
              </w:rPr>
            </w:pPr>
            <w:r w:rsidRPr="00B25FDD">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14:paraId="22641415" w14:textId="77777777" w:rsidR="00CB60A4" w:rsidRPr="00B25FDD" w:rsidRDefault="00CB60A4" w:rsidP="00505FB4">
            <w:pPr>
              <w:spacing w:before="30" w:after="180"/>
              <w:jc w:val="left"/>
              <w:rPr>
                <w:b/>
                <w:bCs/>
                <w:color w:val="000080"/>
                <w:sz w:val="20"/>
                <w:lang w:val="en-GB"/>
              </w:rPr>
            </w:pPr>
            <w:r w:rsidRPr="00B25FDD">
              <w:rPr>
                <w:b/>
                <w:bCs/>
                <w:color w:val="000080"/>
                <w:sz w:val="20"/>
                <w:lang w:val="en-GB"/>
              </w:rPr>
              <w:t>Spectrum management</w:t>
            </w:r>
          </w:p>
        </w:tc>
      </w:tr>
    </w:tbl>
    <w:p w14:paraId="1BB08BD8" w14:textId="77777777" w:rsidR="00CB60A4" w:rsidRPr="00B25FDD"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B25FDD" w14:paraId="73836EE5" w14:textId="77777777">
        <w:tc>
          <w:tcPr>
            <w:tcW w:w="720" w:type="dxa"/>
          </w:tcPr>
          <w:p w14:paraId="5EF18B8C" w14:textId="77777777" w:rsidR="00CB60A4" w:rsidRPr="00B25FDD" w:rsidRDefault="00CB60A4">
            <w:pPr>
              <w:jc w:val="center"/>
              <w:rPr>
                <w:sz w:val="22"/>
                <w:lang w:val="en-GB"/>
              </w:rPr>
            </w:pPr>
          </w:p>
        </w:tc>
      </w:tr>
    </w:tbl>
    <w:p w14:paraId="14423CC2" w14:textId="77777777" w:rsidR="00CB60A4" w:rsidRPr="00B25FDD"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B25FDD" w14:paraId="3EE34F92"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4C2191CD" w14:textId="77777777" w:rsidR="00CB60A4" w:rsidRPr="00B25FDD" w:rsidRDefault="00CB60A4" w:rsidP="00E96173">
            <w:pPr>
              <w:spacing w:after="120"/>
              <w:jc w:val="left"/>
              <w:rPr>
                <w:b/>
                <w:bCs/>
                <w:sz w:val="20"/>
                <w:lang w:val="en-GB"/>
              </w:rPr>
            </w:pPr>
            <w:r w:rsidRPr="00B25FDD">
              <w:rPr>
                <w:b/>
                <w:bCs/>
                <w:i/>
                <w:iCs/>
                <w:sz w:val="20"/>
                <w:lang w:val="en-GB"/>
              </w:rPr>
              <w:t>Note</w:t>
            </w:r>
            <w:r w:rsidRPr="00B25FDD">
              <w:rPr>
                <w:i/>
                <w:iCs/>
                <w:sz w:val="20"/>
                <w:lang w:val="en-GB"/>
              </w:rPr>
              <w:t xml:space="preserve">: This ITU-R </w:t>
            </w:r>
            <w:r w:rsidR="00505FB4" w:rsidRPr="00B25FDD">
              <w:rPr>
                <w:i/>
                <w:iCs/>
                <w:sz w:val="20"/>
                <w:lang w:val="en-GB"/>
              </w:rPr>
              <w:t>Report</w:t>
            </w:r>
            <w:r w:rsidRPr="00B25FDD">
              <w:rPr>
                <w:i/>
                <w:iCs/>
                <w:sz w:val="20"/>
                <w:lang w:val="en-GB"/>
              </w:rPr>
              <w:t xml:space="preserve"> was approved in English </w:t>
            </w:r>
            <w:r w:rsidR="001A5259" w:rsidRPr="00B25FDD">
              <w:rPr>
                <w:i/>
                <w:iCs/>
                <w:sz w:val="20"/>
                <w:lang w:val="en-GB"/>
              </w:rPr>
              <w:t xml:space="preserve">by the Study Group </w:t>
            </w:r>
            <w:r w:rsidRPr="00B25FDD">
              <w:rPr>
                <w:i/>
                <w:iCs/>
                <w:sz w:val="20"/>
                <w:lang w:val="en-GB"/>
              </w:rPr>
              <w:t xml:space="preserve">under the </w:t>
            </w:r>
            <w:r w:rsidR="001A5259" w:rsidRPr="00B25FDD">
              <w:rPr>
                <w:i/>
                <w:iCs/>
                <w:sz w:val="20"/>
                <w:lang w:val="en-GB"/>
              </w:rPr>
              <w:t>procedure detailed in Resolution</w:t>
            </w:r>
            <w:r w:rsidR="00E96173" w:rsidRPr="00B25FDD">
              <w:rPr>
                <w:i/>
                <w:iCs/>
                <w:sz w:val="20"/>
                <w:lang w:val="en-GB"/>
              </w:rPr>
              <w:t> </w:t>
            </w:r>
            <w:r w:rsidRPr="00B25FDD">
              <w:rPr>
                <w:i/>
                <w:iCs/>
                <w:sz w:val="20"/>
                <w:lang w:val="en-GB"/>
              </w:rPr>
              <w:t>ITU-R 1.</w:t>
            </w:r>
          </w:p>
        </w:tc>
      </w:tr>
    </w:tbl>
    <w:p w14:paraId="317075AC" w14:textId="77777777" w:rsidR="00CB60A4" w:rsidRPr="00B25FDD" w:rsidRDefault="00CB60A4" w:rsidP="00CB60A4">
      <w:pPr>
        <w:spacing w:before="0"/>
        <w:jc w:val="center"/>
        <w:rPr>
          <w:sz w:val="22"/>
          <w:lang w:val="en-GB"/>
        </w:rPr>
      </w:pPr>
    </w:p>
    <w:p w14:paraId="425F14F6" w14:textId="77777777" w:rsidR="00CB60A4" w:rsidRPr="00B25FDD" w:rsidRDefault="00CB60A4" w:rsidP="00CB60A4">
      <w:pPr>
        <w:spacing w:before="0"/>
        <w:jc w:val="center"/>
        <w:rPr>
          <w:sz w:val="22"/>
          <w:lang w:val="en-GB"/>
        </w:rPr>
      </w:pPr>
    </w:p>
    <w:p w14:paraId="54B3F429" w14:textId="77777777" w:rsidR="00CB60A4" w:rsidRPr="00B25FDD" w:rsidRDefault="00CB60A4" w:rsidP="00CB60A4">
      <w:pPr>
        <w:spacing w:before="0"/>
        <w:jc w:val="right"/>
        <w:rPr>
          <w:i/>
          <w:iCs/>
          <w:sz w:val="20"/>
          <w:lang w:val="en-GB"/>
        </w:rPr>
      </w:pPr>
      <w:r w:rsidRPr="00B25FDD">
        <w:rPr>
          <w:i/>
          <w:iCs/>
          <w:sz w:val="20"/>
          <w:lang w:val="en-GB"/>
        </w:rPr>
        <w:t>Electronic Publication</w:t>
      </w:r>
    </w:p>
    <w:p w14:paraId="16AABE16" w14:textId="1963BABF" w:rsidR="00CB60A4" w:rsidRPr="00B25FDD" w:rsidRDefault="00CB60A4" w:rsidP="00650A0B">
      <w:pPr>
        <w:spacing w:before="0"/>
        <w:jc w:val="right"/>
        <w:rPr>
          <w:sz w:val="20"/>
          <w:lang w:val="en-GB"/>
        </w:rPr>
      </w:pPr>
      <w:r w:rsidRPr="00B25FDD">
        <w:rPr>
          <w:sz w:val="20"/>
          <w:lang w:val="en-GB"/>
        </w:rPr>
        <w:t>Geneva, 20</w:t>
      </w:r>
      <w:r w:rsidR="00E4729E" w:rsidRPr="00B25FDD">
        <w:rPr>
          <w:sz w:val="20"/>
          <w:lang w:val="en-GB"/>
        </w:rPr>
        <w:t>22</w:t>
      </w:r>
    </w:p>
    <w:p w14:paraId="2F4B08C4" w14:textId="34AC39F5" w:rsidR="00CB60A4" w:rsidRPr="00B25FDD" w:rsidRDefault="00CB60A4" w:rsidP="00650A0B">
      <w:pPr>
        <w:jc w:val="center"/>
        <w:rPr>
          <w:sz w:val="20"/>
          <w:lang w:val="en-GB"/>
        </w:rPr>
      </w:pPr>
      <w:r w:rsidRPr="00B25FDD">
        <w:rPr>
          <w:sz w:val="20"/>
          <w:lang w:val="en-GB"/>
        </w:rPr>
        <w:sym w:font="Symbol" w:char="00E3"/>
      </w:r>
      <w:r w:rsidRPr="00B25FDD">
        <w:rPr>
          <w:sz w:val="20"/>
          <w:lang w:val="en-GB"/>
        </w:rPr>
        <w:t xml:space="preserve"> ITU </w:t>
      </w:r>
      <w:bookmarkStart w:id="2" w:name="iiannee"/>
      <w:bookmarkEnd w:id="2"/>
      <w:r w:rsidRPr="00B25FDD">
        <w:rPr>
          <w:sz w:val="20"/>
          <w:lang w:val="en-GB"/>
        </w:rPr>
        <w:t>20</w:t>
      </w:r>
      <w:r w:rsidR="00E4729E" w:rsidRPr="00B25FDD">
        <w:rPr>
          <w:sz w:val="20"/>
          <w:lang w:val="en-GB"/>
        </w:rPr>
        <w:t>22</w:t>
      </w:r>
    </w:p>
    <w:p w14:paraId="6C9C1893" w14:textId="77777777" w:rsidR="00CB60A4" w:rsidRPr="00B25FDD" w:rsidRDefault="00CB60A4" w:rsidP="00CB60A4">
      <w:pPr>
        <w:rPr>
          <w:sz w:val="18"/>
          <w:szCs w:val="18"/>
          <w:lang w:val="en-GB"/>
        </w:rPr>
      </w:pPr>
      <w:r w:rsidRPr="00B25FDD">
        <w:rPr>
          <w:sz w:val="18"/>
          <w:szCs w:val="18"/>
          <w:lang w:val="en-GB"/>
        </w:rPr>
        <w:t>All rights reserved. No part of this publication may be reproduced, by any means whatsoever, without written permission of ITU.</w:t>
      </w:r>
    </w:p>
    <w:p w14:paraId="3B67A348" w14:textId="77777777" w:rsidR="00CB60A4" w:rsidRPr="00B25FDD"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B25FDD">
          <w:pgSz w:w="11907" w:h="16834"/>
          <w:pgMar w:top="1418" w:right="1134" w:bottom="1134" w:left="1134" w:header="720" w:footer="482" w:gutter="0"/>
          <w:paperSrc w:first="15" w:other="15"/>
          <w:pgNumType w:fmt="lowerRoman" w:start="2"/>
          <w:cols w:space="720"/>
        </w:sectPr>
      </w:pPr>
    </w:p>
    <w:p w14:paraId="11EFDFF2" w14:textId="4EC539C0" w:rsidR="00542797" w:rsidRPr="00B25FDD" w:rsidRDefault="00934ED7" w:rsidP="00542797">
      <w:pPr>
        <w:pStyle w:val="RepNo"/>
        <w:spacing w:before="0"/>
        <w:rPr>
          <w:lang w:val="en-GB"/>
        </w:rPr>
      </w:pPr>
      <w:bookmarkStart w:id="3" w:name="irecnoe"/>
      <w:bookmarkEnd w:id="3"/>
      <w:proofErr w:type="gramStart"/>
      <w:r w:rsidRPr="00B25FDD">
        <w:rPr>
          <w:lang w:val="en-GB"/>
        </w:rPr>
        <w:lastRenderedPageBreak/>
        <w:t>R</w:t>
      </w:r>
      <w:r w:rsidR="008D3D8D" w:rsidRPr="00B25FDD">
        <w:rPr>
          <w:lang w:val="en-GB"/>
        </w:rPr>
        <w:t>EPORT</w:t>
      </w:r>
      <w:r w:rsidRPr="00B25FDD">
        <w:rPr>
          <w:lang w:val="en-GB"/>
        </w:rPr>
        <w:t xml:space="preserve">  </w:t>
      </w:r>
      <w:r w:rsidRPr="00B25FDD">
        <w:rPr>
          <w:rStyle w:val="href"/>
          <w:lang w:val="en-GB"/>
        </w:rPr>
        <w:t>ITU</w:t>
      </w:r>
      <w:proofErr w:type="gramEnd"/>
      <w:r w:rsidRPr="00B25FDD">
        <w:rPr>
          <w:rStyle w:val="href"/>
          <w:lang w:val="en-GB"/>
        </w:rPr>
        <w:t xml:space="preserve">-R  </w:t>
      </w:r>
      <w:r w:rsidR="003B4EE8" w:rsidRPr="00B25FDD">
        <w:rPr>
          <w:rStyle w:val="href"/>
          <w:lang w:val="en-GB"/>
        </w:rPr>
        <w:t>S</w:t>
      </w:r>
      <w:r w:rsidR="0006030B" w:rsidRPr="00B25FDD">
        <w:rPr>
          <w:rStyle w:val="href"/>
          <w:lang w:val="en-GB"/>
        </w:rPr>
        <w:t>M</w:t>
      </w:r>
      <w:r w:rsidR="008D3D8D" w:rsidRPr="00B25FDD">
        <w:rPr>
          <w:rStyle w:val="href"/>
          <w:lang w:val="en-GB"/>
        </w:rPr>
        <w:t>.</w:t>
      </w:r>
      <w:r w:rsidR="00E4729E" w:rsidRPr="00B25FDD">
        <w:rPr>
          <w:rStyle w:val="href"/>
          <w:lang w:val="en-GB"/>
        </w:rPr>
        <w:t>250</w:t>
      </w:r>
      <w:r w:rsidR="00B31C8C" w:rsidRPr="00B25FDD">
        <w:rPr>
          <w:rStyle w:val="href"/>
          <w:lang w:val="en-GB"/>
        </w:rPr>
        <w:t>4</w:t>
      </w:r>
      <w:r w:rsidR="00E4729E" w:rsidRPr="00B25FDD">
        <w:rPr>
          <w:rStyle w:val="href"/>
          <w:lang w:val="en-GB"/>
        </w:rPr>
        <w:t>-0</w:t>
      </w:r>
    </w:p>
    <w:p w14:paraId="4BD79732" w14:textId="05C6CF95" w:rsidR="00E4729E" w:rsidRPr="00B25FDD" w:rsidRDefault="00B31C8C" w:rsidP="00E4729E">
      <w:pPr>
        <w:pStyle w:val="Reptitle"/>
        <w:rPr>
          <w:lang w:val="en-GB"/>
        </w:rPr>
      </w:pPr>
      <w:r w:rsidRPr="00B25FDD">
        <w:rPr>
          <w:lang w:val="en-GB"/>
        </w:rPr>
        <w:t xml:space="preserve">Methods for the estimation of coverage for terrestrial radio services </w:t>
      </w:r>
      <w:r w:rsidRPr="00B25FDD">
        <w:rPr>
          <w:lang w:val="en-GB"/>
        </w:rPr>
        <w:br/>
        <w:t>based on population</w:t>
      </w:r>
    </w:p>
    <w:p w14:paraId="1C8C72D2" w14:textId="01FF6CBC" w:rsidR="00E4729E" w:rsidRPr="00B25FDD" w:rsidRDefault="00E4729E" w:rsidP="00E4729E">
      <w:pPr>
        <w:pStyle w:val="Repdate"/>
        <w:rPr>
          <w:lang w:val="en-GB"/>
        </w:rPr>
      </w:pPr>
      <w:r w:rsidRPr="00B25FDD">
        <w:rPr>
          <w:lang w:val="en-GB"/>
        </w:rPr>
        <w:t>(2022)</w:t>
      </w:r>
    </w:p>
    <w:p w14:paraId="36BD6A1C" w14:textId="77777777" w:rsidR="00F57191" w:rsidRPr="00B25FDD" w:rsidRDefault="00F57191" w:rsidP="00F57191">
      <w:pPr>
        <w:pStyle w:val="HeadingSum"/>
        <w:rPr>
          <w:lang w:val="en-GB"/>
        </w:rPr>
      </w:pPr>
      <w:bookmarkStart w:id="4" w:name="_Hlk108095852"/>
      <w:r w:rsidRPr="00B25FDD">
        <w:rPr>
          <w:lang w:val="en-GB"/>
        </w:rPr>
        <w:t>Summary</w:t>
      </w:r>
    </w:p>
    <w:p w14:paraId="1B9C8925" w14:textId="77777777" w:rsidR="00F57191" w:rsidRPr="00B25FDD" w:rsidRDefault="00F57191" w:rsidP="00F57191">
      <w:pPr>
        <w:pStyle w:val="Summary"/>
        <w:rPr>
          <w:lang w:val="en-GB"/>
        </w:rPr>
      </w:pPr>
      <w:r w:rsidRPr="00B25FDD">
        <w:rPr>
          <w:lang w:val="en-GB"/>
        </w:rPr>
        <w:t xml:space="preserve">One of the primary responsibilities of radio service operators is to provide quality service to the population within a certain territory. In some countries, a condition for obtaining an operator’s licence is to provide a predefined minimum coverage, which may include a certain percentage of the population. </w:t>
      </w:r>
    </w:p>
    <w:p w14:paraId="5F46032B" w14:textId="77777777" w:rsidR="00F57191" w:rsidRPr="00B25FDD" w:rsidRDefault="00F57191" w:rsidP="00F57191">
      <w:pPr>
        <w:pStyle w:val="Summary"/>
        <w:rPr>
          <w:lang w:val="en-GB"/>
        </w:rPr>
      </w:pPr>
      <w:bookmarkStart w:id="5" w:name="_Hlk107472989"/>
      <w:r w:rsidRPr="00B25FDD">
        <w:rPr>
          <w:lang w:val="en-GB"/>
        </w:rPr>
        <w:t>This Report describes methods and techniques for the estimation of population coverage as applied to terrestrial radio services</w:t>
      </w:r>
      <w:bookmarkEnd w:id="5"/>
      <w:r w:rsidRPr="00B25FDD">
        <w:rPr>
          <w:lang w:val="en-GB"/>
        </w:rPr>
        <w:t>.</w:t>
      </w:r>
    </w:p>
    <w:p w14:paraId="1BF46157" w14:textId="77777777" w:rsidR="00F57191" w:rsidRPr="00B25FDD" w:rsidRDefault="00F57191" w:rsidP="00F57191">
      <w:pPr>
        <w:pStyle w:val="Heading1"/>
        <w:rPr>
          <w:lang w:val="en-GB"/>
        </w:rPr>
      </w:pPr>
      <w:r w:rsidRPr="00B25FDD">
        <w:rPr>
          <w:lang w:val="en-GB"/>
        </w:rPr>
        <w:t>1</w:t>
      </w:r>
      <w:r w:rsidRPr="00B25FDD">
        <w:rPr>
          <w:lang w:val="en-GB"/>
        </w:rPr>
        <w:tab/>
        <w:t>Scope</w:t>
      </w:r>
    </w:p>
    <w:p w14:paraId="0946FC7C" w14:textId="77777777" w:rsidR="00F57191" w:rsidRPr="00B25FDD" w:rsidRDefault="00F57191" w:rsidP="00F57191">
      <w:pPr>
        <w:rPr>
          <w:lang w:val="en-GB" w:eastAsia="zh-CN"/>
        </w:rPr>
      </w:pPr>
      <w:r w:rsidRPr="00B25FDD">
        <w:rPr>
          <w:lang w:val="en-GB" w:eastAsia="zh-CN"/>
        </w:rPr>
        <w:t xml:space="preserve">One objective when planning the topology of </w:t>
      </w:r>
      <w:r w:rsidRPr="00B25FDD">
        <w:rPr>
          <w:lang w:val="en-GB"/>
        </w:rPr>
        <w:t>a terrestrial radio</w:t>
      </w:r>
      <w:r w:rsidRPr="00B25FDD">
        <w:rPr>
          <w:szCs w:val="24"/>
          <w:lang w:val="en-GB"/>
        </w:rPr>
        <w:t xml:space="preserve"> </w:t>
      </w:r>
      <w:r w:rsidRPr="00B25FDD">
        <w:rPr>
          <w:lang w:val="en-GB" w:eastAsia="zh-CN"/>
        </w:rPr>
        <w:t>service is to cover the largest possible territory. Radio</w:t>
      </w:r>
      <w:r w:rsidRPr="00B25FDD" w:rsidDel="006151B5">
        <w:rPr>
          <w:lang w:val="en-GB" w:eastAsia="zh-CN"/>
        </w:rPr>
        <w:t xml:space="preserve"> </w:t>
      </w:r>
      <w:r w:rsidRPr="00B25FDD">
        <w:rPr>
          <w:lang w:val="en-GB" w:eastAsia="zh-CN"/>
        </w:rPr>
        <w:t>operators make efforts to cover the maximum number of people with the respective services. There are several reasons why it is beneficial to estimate population coverage of a radio service. For example:</w:t>
      </w:r>
    </w:p>
    <w:p w14:paraId="0350C52B" w14:textId="21BA783F" w:rsidR="00F57191" w:rsidRPr="00B25FDD" w:rsidRDefault="00F57191" w:rsidP="00F57191">
      <w:pPr>
        <w:pStyle w:val="enumlev1"/>
        <w:rPr>
          <w:lang w:val="en-GB" w:eastAsia="zh-CN"/>
        </w:rPr>
      </w:pPr>
      <w:r w:rsidRPr="00B25FDD">
        <w:rPr>
          <w:lang w:val="en-GB" w:eastAsia="zh-CN"/>
        </w:rPr>
        <w:t>–</w:t>
      </w:r>
      <w:r w:rsidRPr="00B25FDD">
        <w:rPr>
          <w:lang w:val="en-GB" w:eastAsia="zh-CN"/>
        </w:rPr>
        <w:tab/>
        <w:t xml:space="preserve">it provides a national regulatory authority (NRA) with independent and reliable information on population coverage of different radio technologies in the </w:t>
      </w:r>
      <w:proofErr w:type="gramStart"/>
      <w:r w:rsidRPr="00B25FDD">
        <w:rPr>
          <w:lang w:val="en-GB" w:eastAsia="zh-CN"/>
        </w:rPr>
        <w:t>country</w:t>
      </w:r>
      <w:r w:rsidR="00663571" w:rsidRPr="00B25FDD">
        <w:rPr>
          <w:lang w:val="en-GB" w:eastAsia="zh-CN"/>
        </w:rPr>
        <w:t>;</w:t>
      </w:r>
      <w:proofErr w:type="gramEnd"/>
      <w:r w:rsidRPr="00B25FDD">
        <w:rPr>
          <w:lang w:val="en-GB" w:eastAsia="zh-CN"/>
        </w:rPr>
        <w:t xml:space="preserve"> </w:t>
      </w:r>
    </w:p>
    <w:p w14:paraId="4CA8A4DD"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 xml:space="preserve">such information is often made available by the NRA to consumers and government organizations.  </w:t>
      </w:r>
    </w:p>
    <w:p w14:paraId="7CC98C7F" w14:textId="77777777" w:rsidR="00F57191" w:rsidRPr="00B25FDD" w:rsidRDefault="00F57191" w:rsidP="00F57191">
      <w:pPr>
        <w:rPr>
          <w:lang w:val="en-GB"/>
        </w:rPr>
      </w:pPr>
      <w:r w:rsidRPr="00B25FDD">
        <w:rPr>
          <w:lang w:val="en-GB"/>
        </w:rPr>
        <w:t>Different countries apply different policies to verify coverage, and for that reason it would be difficult to harmonise one approach across all the countries. In some cases, coverage requirements are included in the rights of use (or licence conditions) for the radio network operators, but not population coverage. Further, there is no harmonisation for the estimation of coverage based on both area and population. Different countries use different coverage requirements and criteria.</w:t>
      </w:r>
    </w:p>
    <w:p w14:paraId="5B1FEFA7" w14:textId="54790396" w:rsidR="00F57191" w:rsidRPr="00B25FDD" w:rsidRDefault="00F57191" w:rsidP="00F57191">
      <w:pPr>
        <w:rPr>
          <w:szCs w:val="24"/>
          <w:lang w:val="en-GB" w:eastAsia="zh-CN"/>
        </w:rPr>
      </w:pPr>
      <w:r w:rsidRPr="00B25FDD">
        <w:rPr>
          <w:szCs w:val="24"/>
          <w:lang w:val="en-GB" w:eastAsia="zh-CN"/>
        </w:rPr>
        <w:t xml:space="preserve">NRAs, </w:t>
      </w:r>
      <w:r w:rsidR="00B25FDD" w:rsidRPr="00B25FDD">
        <w:rPr>
          <w:lang w:val="en-GB"/>
        </w:rPr>
        <w:t xml:space="preserve">telecommunication </w:t>
      </w:r>
      <w:r w:rsidR="00B25FDD" w:rsidRPr="00B25FDD">
        <w:rPr>
          <w:lang w:val="en-GB"/>
        </w:rPr>
        <w:t>network operator</w:t>
      </w:r>
      <w:r w:rsidR="00B25FDD" w:rsidRPr="00B25FDD">
        <w:rPr>
          <w:lang w:val="en-GB"/>
        </w:rPr>
        <w:t>s</w:t>
      </w:r>
      <w:r w:rsidR="00B25FDD" w:rsidRPr="00B25FDD">
        <w:rPr>
          <w:szCs w:val="24"/>
          <w:lang w:val="en-GB" w:eastAsia="zh-CN"/>
        </w:rPr>
        <w:t xml:space="preserve"> (</w:t>
      </w:r>
      <w:r w:rsidRPr="00B25FDD">
        <w:rPr>
          <w:szCs w:val="24"/>
          <w:lang w:val="en-GB" w:eastAsia="zh-CN"/>
        </w:rPr>
        <w:t>TNOs</w:t>
      </w:r>
      <w:r w:rsidR="00B25FDD" w:rsidRPr="00B25FDD">
        <w:rPr>
          <w:szCs w:val="24"/>
          <w:lang w:val="en-GB" w:eastAsia="zh-CN"/>
        </w:rPr>
        <w:t>)</w:t>
      </w:r>
      <w:r w:rsidRPr="00B25FDD" w:rsidDel="00D91409">
        <w:rPr>
          <w:szCs w:val="24"/>
          <w:lang w:val="en-GB" w:eastAsia="zh-CN"/>
        </w:rPr>
        <w:t xml:space="preserve"> </w:t>
      </w:r>
      <w:r w:rsidRPr="00B25FDD">
        <w:rPr>
          <w:szCs w:val="24"/>
          <w:lang w:val="en-GB" w:eastAsia="zh-CN"/>
        </w:rPr>
        <w:t xml:space="preserve">and research agencies often use different approaches and methods for </w:t>
      </w:r>
      <w:r w:rsidRPr="00B25FDD">
        <w:rPr>
          <w:szCs w:val="24"/>
          <w:lang w:val="en-GB"/>
        </w:rPr>
        <w:t xml:space="preserve">estimating </w:t>
      </w:r>
      <w:r w:rsidRPr="00B25FDD">
        <w:rPr>
          <w:szCs w:val="24"/>
          <w:lang w:val="en-GB" w:eastAsia="zh-CN"/>
        </w:rPr>
        <w:t>population coverage, and measurement results can be different based on the approach, making comparison of the measurements results impractical.</w:t>
      </w:r>
    </w:p>
    <w:p w14:paraId="7339BBE5" w14:textId="77777777" w:rsidR="00F57191" w:rsidRPr="00B25FDD" w:rsidRDefault="00F57191" w:rsidP="00F57191">
      <w:pPr>
        <w:rPr>
          <w:szCs w:val="24"/>
          <w:lang w:val="en-GB"/>
        </w:rPr>
      </w:pPr>
      <w:r w:rsidRPr="00B25FDD">
        <w:rPr>
          <w:lang w:val="en-GB"/>
        </w:rPr>
        <w:t>Generally</w:t>
      </w:r>
      <w:r w:rsidRPr="00B25FDD">
        <w:rPr>
          <w:szCs w:val="24"/>
          <w:lang w:val="en-GB"/>
        </w:rPr>
        <w:t>, two types of coverage criteria are used:</w:t>
      </w:r>
    </w:p>
    <w:p w14:paraId="08EA456B" w14:textId="77777777" w:rsidR="00F57191" w:rsidRPr="00B25FDD" w:rsidRDefault="00F57191" w:rsidP="00663571">
      <w:pPr>
        <w:pStyle w:val="enumlev1"/>
        <w:rPr>
          <w:b/>
          <w:bCs/>
          <w:lang w:val="en-GB"/>
        </w:rPr>
      </w:pPr>
      <w:r w:rsidRPr="00B25FDD">
        <w:rPr>
          <w:bCs/>
          <w:lang w:val="en-GB"/>
        </w:rPr>
        <w:t>–</w:t>
      </w:r>
      <w:r w:rsidRPr="00B25FDD">
        <w:rPr>
          <w:b/>
          <w:lang w:val="en-GB"/>
        </w:rPr>
        <w:tab/>
      </w:r>
      <w:r w:rsidRPr="00B25FDD">
        <w:rPr>
          <w:bCs/>
          <w:lang w:val="en-GB"/>
        </w:rPr>
        <w:t>Area coverage</w:t>
      </w:r>
      <w:r w:rsidRPr="00B25FDD">
        <w:rPr>
          <w:lang w:val="en-GB"/>
        </w:rPr>
        <w:t>: the operator needs to cover a percentage of the territory,</w:t>
      </w:r>
    </w:p>
    <w:p w14:paraId="1E75CBDA" w14:textId="77777777" w:rsidR="00F57191" w:rsidRPr="00B25FDD" w:rsidRDefault="00F57191" w:rsidP="00663571">
      <w:pPr>
        <w:pStyle w:val="enumlev1"/>
        <w:rPr>
          <w:lang w:val="en-GB"/>
        </w:rPr>
      </w:pPr>
      <w:r w:rsidRPr="00B25FDD">
        <w:rPr>
          <w:bCs/>
          <w:lang w:val="en-GB"/>
        </w:rPr>
        <w:t>–</w:t>
      </w:r>
      <w:r w:rsidRPr="00B25FDD">
        <w:rPr>
          <w:b/>
          <w:lang w:val="en-GB"/>
        </w:rPr>
        <w:tab/>
      </w:r>
      <w:r w:rsidRPr="00B25FDD">
        <w:rPr>
          <w:bCs/>
          <w:lang w:val="en-GB"/>
        </w:rPr>
        <w:t>Population coverage</w:t>
      </w:r>
      <w:r w:rsidRPr="00B25FDD">
        <w:rPr>
          <w:lang w:val="en-GB"/>
        </w:rPr>
        <w:t>: the operator needs to cover a percentage of the population.</w:t>
      </w:r>
    </w:p>
    <w:p w14:paraId="281A2398" w14:textId="77777777" w:rsidR="00F57191" w:rsidRPr="00B25FDD" w:rsidRDefault="00F57191" w:rsidP="00F57191">
      <w:pPr>
        <w:rPr>
          <w:lang w:val="en-GB" w:eastAsia="zh-CN"/>
        </w:rPr>
      </w:pPr>
      <w:bookmarkStart w:id="6" w:name="_Hlk82430359"/>
      <w:r w:rsidRPr="00B25FDD">
        <w:rPr>
          <w:lang w:val="en-GB"/>
        </w:rPr>
        <w:t xml:space="preserve">These </w:t>
      </w:r>
      <w:r w:rsidRPr="00B25FDD">
        <w:rPr>
          <w:lang w:val="en-GB" w:eastAsia="zh-CN"/>
        </w:rPr>
        <w:t xml:space="preserve">methods and procedures may be applied broadly to the estimation of population coverage for many types of terrestrial </w:t>
      </w:r>
      <w:r w:rsidRPr="00B25FDD">
        <w:rPr>
          <w:lang w:val="en-GB"/>
        </w:rPr>
        <w:t xml:space="preserve">radio </w:t>
      </w:r>
      <w:r w:rsidRPr="00B25FDD">
        <w:rPr>
          <w:lang w:val="en-GB" w:eastAsia="zh-CN"/>
        </w:rPr>
        <w:t>networks.</w:t>
      </w:r>
    </w:p>
    <w:p w14:paraId="0DD436F1" w14:textId="77777777" w:rsidR="00F57191" w:rsidRPr="00B25FDD" w:rsidRDefault="00F57191" w:rsidP="00F57191">
      <w:pPr>
        <w:pStyle w:val="Heading1"/>
        <w:rPr>
          <w:lang w:val="en-GB"/>
        </w:rPr>
      </w:pPr>
      <w:bookmarkStart w:id="7" w:name="_Toc55378802"/>
      <w:bookmarkEnd w:id="6"/>
      <w:r w:rsidRPr="00B25FDD">
        <w:rPr>
          <w:lang w:val="en-GB"/>
        </w:rPr>
        <w:t>2</w:t>
      </w:r>
      <w:r w:rsidRPr="00B25FDD">
        <w:rPr>
          <w:lang w:val="en-GB"/>
        </w:rPr>
        <w:tab/>
        <w:t>Terms, definitions and abbreviations</w:t>
      </w:r>
      <w:bookmarkEnd w:id="7"/>
    </w:p>
    <w:p w14:paraId="214C8249" w14:textId="77777777" w:rsidR="00F57191" w:rsidRPr="00B25FDD" w:rsidRDefault="00F57191" w:rsidP="00F57191">
      <w:pPr>
        <w:rPr>
          <w:shd w:val="clear" w:color="auto" w:fill="FFFFFF"/>
          <w:lang w:val="en-GB"/>
        </w:rPr>
      </w:pPr>
      <w:r w:rsidRPr="00B25FDD">
        <w:rPr>
          <w:shd w:val="clear" w:color="auto" w:fill="FFFFFF"/>
          <w:lang w:val="en-GB"/>
        </w:rPr>
        <w:t xml:space="preserve">Coverage area (of a terrestrial transmitting station) is the area associated with a given service and a specified frequency within which, under specified technical conditions, radiocommunications may be established with one or several receiving stations [1]. </w:t>
      </w:r>
    </w:p>
    <w:p w14:paraId="0F2EEFFB" w14:textId="77777777" w:rsidR="00F57191" w:rsidRPr="00B25FDD" w:rsidRDefault="00F57191" w:rsidP="00F57191">
      <w:pPr>
        <w:rPr>
          <w:lang w:val="en-GB" w:eastAsia="uk-UA"/>
        </w:rPr>
      </w:pPr>
      <w:bookmarkStart w:id="8" w:name="_Hlk82430568"/>
      <w:r w:rsidRPr="00B25FDD">
        <w:rPr>
          <w:lang w:val="en-GB" w:eastAsia="uk-UA"/>
        </w:rPr>
        <w:t xml:space="preserve">Service area is the area within which a mobile station can access the radio service. A service area may contain several networks. One service area may consist of one country, be a part of a country, or comprised of several countries </w:t>
      </w:r>
      <w:r w:rsidRPr="00B25FDD">
        <w:rPr>
          <w:shd w:val="clear" w:color="auto" w:fill="FFFFFF"/>
          <w:lang w:val="en-GB"/>
        </w:rPr>
        <w:t>[1].</w:t>
      </w:r>
    </w:p>
    <w:bookmarkEnd w:id="8"/>
    <w:p w14:paraId="16B93246" w14:textId="77777777" w:rsidR="00F57191" w:rsidRPr="00B25FDD" w:rsidRDefault="00F57191" w:rsidP="00F57191">
      <w:pPr>
        <w:rPr>
          <w:lang w:val="en-GB" w:eastAsia="zh-CN"/>
        </w:rPr>
      </w:pPr>
      <w:r w:rsidRPr="00B25FDD">
        <w:rPr>
          <w:bCs/>
          <w:lang w:val="en-GB"/>
        </w:rPr>
        <w:lastRenderedPageBreak/>
        <w:t>In some cases, the term ‘geographic coverage’</w:t>
      </w:r>
      <w:r w:rsidRPr="00B25FDD">
        <w:rPr>
          <w:lang w:val="en-GB" w:eastAsia="zh-CN"/>
        </w:rPr>
        <w:t xml:space="preserve"> </w:t>
      </w:r>
      <w:r w:rsidRPr="00B25FDD">
        <w:rPr>
          <w:bCs/>
          <w:lang w:val="en-GB"/>
        </w:rPr>
        <w:t xml:space="preserve">instead of the term ‘area coverage’ is used. </w:t>
      </w:r>
      <w:r w:rsidRPr="00B25FDD">
        <w:rPr>
          <w:lang w:val="en-GB"/>
        </w:rPr>
        <w:t>The</w:t>
      </w:r>
      <w:r w:rsidRPr="00B25FDD">
        <w:rPr>
          <w:color w:val="000000"/>
          <w:lang w:val="en-GB"/>
        </w:rPr>
        <w:t xml:space="preserve"> geographic coverage is defined as the percentage of the territorial area where the service is available.</w:t>
      </w:r>
    </w:p>
    <w:p w14:paraId="59CA62D9" w14:textId="77777777" w:rsidR="00F57191" w:rsidRPr="00B25FDD" w:rsidRDefault="00F57191" w:rsidP="00F57191">
      <w:pPr>
        <w:rPr>
          <w:lang w:val="en-GB" w:eastAsia="zh-CN"/>
        </w:rPr>
      </w:pPr>
      <w:r w:rsidRPr="00B25FDD">
        <w:rPr>
          <w:lang w:val="en-GB" w:eastAsia="zh-CN"/>
        </w:rPr>
        <w:t xml:space="preserve">The term ‘population coverage’ is defined </w:t>
      </w:r>
      <w:r w:rsidRPr="00B25FDD">
        <w:rPr>
          <w:color w:val="000000"/>
          <w:lang w:val="en-GB"/>
        </w:rPr>
        <w:t>as the percentage of the population to which the service is available.</w:t>
      </w:r>
    </w:p>
    <w:p w14:paraId="443EFA3F" w14:textId="77777777" w:rsidR="00F57191" w:rsidRPr="00B25FDD" w:rsidRDefault="00F57191" w:rsidP="00F57191">
      <w:pPr>
        <w:rPr>
          <w:lang w:val="en-GB" w:eastAsia="zh-CN"/>
        </w:rPr>
      </w:pPr>
      <w:r w:rsidRPr="00B25FDD">
        <w:rPr>
          <w:lang w:val="en-GB" w:eastAsia="zh-CN"/>
        </w:rPr>
        <w:t xml:space="preserve">The term ‘covered population’ is defined in the context of a specific terrestrial </w:t>
      </w:r>
      <w:r w:rsidRPr="00B25FDD">
        <w:rPr>
          <w:lang w:val="en-GB"/>
        </w:rPr>
        <w:t>radio service and network</w:t>
      </w:r>
      <w:r w:rsidRPr="00B25FDD">
        <w:rPr>
          <w:lang w:val="en-GB" w:eastAsia="zh-CN"/>
        </w:rPr>
        <w:t xml:space="preserve"> as follows: </w:t>
      </w:r>
    </w:p>
    <w:p w14:paraId="3F130D71" w14:textId="77777777" w:rsidR="00F57191" w:rsidRPr="00B25FDD" w:rsidRDefault="00F57191" w:rsidP="00F57191">
      <w:pPr>
        <w:spacing w:after="240"/>
        <w:rPr>
          <w:lang w:val="en-GB" w:eastAsia="zh-CN"/>
        </w:rPr>
      </w:pPr>
      <w:r w:rsidRPr="00B25FDD">
        <w:rPr>
          <w:lang w:val="en-GB" w:eastAsia="zh-CN"/>
        </w:rPr>
        <w:t xml:space="preserve">“The ‘covered population’ is the number of ‘objects’ located in the covered area which have availability to use the service </w:t>
      </w:r>
      <w:r w:rsidRPr="00B25FDD">
        <w:rPr>
          <w:lang w:val="en-GB"/>
        </w:rPr>
        <w:t>provided by a terrestrial radio network</w:t>
      </w:r>
      <w:r w:rsidRPr="00B25FDD">
        <w:rPr>
          <w:lang w:val="en-GB" w:eastAsia="zh-CN"/>
        </w:rPr>
        <w:t>”. The definition of the term ‘object’ is addressed in § 3 of this Report.</w:t>
      </w:r>
    </w:p>
    <w:p w14:paraId="7425FEDC" w14:textId="3DDDA44A" w:rsidR="00663571" w:rsidRPr="00B25FDD" w:rsidRDefault="00663571" w:rsidP="00663571">
      <w:pPr>
        <w:pStyle w:val="Headingb"/>
        <w:rPr>
          <w:lang w:val="en-GB"/>
        </w:rPr>
      </w:pPr>
      <w:r w:rsidRPr="00B25FDD">
        <w:rPr>
          <w:lang w:val="en-GB"/>
        </w:rPr>
        <w:t xml:space="preserve">Abbreviations </w:t>
      </w:r>
    </w:p>
    <w:p w14:paraId="70AF2638" w14:textId="0D4D5A24" w:rsidR="00663571" w:rsidRPr="00B25FDD" w:rsidRDefault="00663571" w:rsidP="00663571">
      <w:pPr>
        <w:tabs>
          <w:tab w:val="clear" w:pos="794"/>
          <w:tab w:val="clear" w:pos="1191"/>
          <w:tab w:val="clear" w:pos="1588"/>
          <w:tab w:val="clear" w:pos="1985"/>
          <w:tab w:val="left" w:pos="2250"/>
        </w:tabs>
        <w:jc w:val="left"/>
        <w:rPr>
          <w:b/>
          <w:lang w:val="en-GB" w:bidi="he-IL"/>
        </w:rPr>
      </w:pPr>
      <w:r w:rsidRPr="00B25FDD">
        <w:rPr>
          <w:lang w:val="en-GB" w:eastAsia="zh-CN"/>
        </w:rPr>
        <w:t>DPSA</w:t>
      </w:r>
      <w:r w:rsidRPr="00B25FDD">
        <w:rPr>
          <w:b/>
          <w:lang w:val="en-GB" w:bidi="he-IL"/>
        </w:rPr>
        <w:tab/>
      </w:r>
      <w:r w:rsidRPr="00B25FDD">
        <w:rPr>
          <w:lang w:val="en-GB" w:eastAsia="zh-CN"/>
        </w:rPr>
        <w:t>Digital preferred service area</w:t>
      </w:r>
    </w:p>
    <w:p w14:paraId="0A5A2C8E" w14:textId="5C05371E" w:rsidR="00663571" w:rsidRPr="00B25FDD" w:rsidRDefault="00663571" w:rsidP="00663571">
      <w:pPr>
        <w:tabs>
          <w:tab w:val="clear" w:pos="794"/>
          <w:tab w:val="clear" w:pos="1191"/>
          <w:tab w:val="clear" w:pos="1588"/>
          <w:tab w:val="clear" w:pos="1985"/>
          <w:tab w:val="left" w:pos="2250"/>
        </w:tabs>
        <w:jc w:val="left"/>
        <w:rPr>
          <w:b/>
          <w:lang w:val="en-GB" w:eastAsia="zh-CN"/>
        </w:rPr>
      </w:pPr>
      <w:r w:rsidRPr="00B25FDD">
        <w:rPr>
          <w:lang w:val="en-GB" w:eastAsia="zh-CN"/>
        </w:rPr>
        <w:t>DTBN</w:t>
      </w:r>
      <w:r w:rsidRPr="00B25FDD">
        <w:rPr>
          <w:b/>
          <w:lang w:val="en-GB" w:eastAsia="zh-CN"/>
        </w:rPr>
        <w:tab/>
      </w:r>
      <w:r w:rsidRPr="00B25FDD">
        <w:rPr>
          <w:lang w:val="en-GB" w:eastAsia="zh-CN"/>
        </w:rPr>
        <w:t>Digital terrestrial broadcasting network</w:t>
      </w:r>
    </w:p>
    <w:p w14:paraId="406C00F4" w14:textId="2EC1F9F4" w:rsidR="00663571" w:rsidRPr="00B25FDD" w:rsidRDefault="00663571" w:rsidP="00663571">
      <w:pPr>
        <w:tabs>
          <w:tab w:val="clear" w:pos="794"/>
          <w:tab w:val="clear" w:pos="1191"/>
          <w:tab w:val="clear" w:pos="1588"/>
          <w:tab w:val="clear" w:pos="1985"/>
          <w:tab w:val="left" w:pos="2250"/>
        </w:tabs>
        <w:jc w:val="left"/>
        <w:rPr>
          <w:lang w:val="en-GB" w:eastAsia="zh-CN"/>
        </w:rPr>
      </w:pPr>
      <w:r w:rsidRPr="00B25FDD">
        <w:rPr>
          <w:lang w:val="en-GB" w:eastAsia="zh-CN"/>
        </w:rPr>
        <w:t>DVB-T</w:t>
      </w:r>
      <w:r w:rsidRPr="00B25FDD">
        <w:rPr>
          <w:lang w:val="en-GB" w:eastAsia="zh-CN"/>
        </w:rPr>
        <w:tab/>
      </w:r>
      <w:r w:rsidRPr="00B25FDD">
        <w:rPr>
          <w:lang w:val="en-GB"/>
        </w:rPr>
        <w:t>Digital video broadcast – terrestrial</w:t>
      </w:r>
    </w:p>
    <w:p w14:paraId="0A6D616B" w14:textId="783C07C8" w:rsidR="00663571" w:rsidRPr="00B25FDD" w:rsidRDefault="00663571" w:rsidP="00663571">
      <w:pPr>
        <w:tabs>
          <w:tab w:val="clear" w:pos="794"/>
          <w:tab w:val="clear" w:pos="1191"/>
          <w:tab w:val="clear" w:pos="1588"/>
          <w:tab w:val="clear" w:pos="1985"/>
          <w:tab w:val="left" w:pos="2250"/>
        </w:tabs>
        <w:jc w:val="left"/>
        <w:rPr>
          <w:lang w:val="en-GB"/>
        </w:rPr>
      </w:pPr>
      <w:r w:rsidRPr="00B25FDD">
        <w:rPr>
          <w:lang w:val="en-GB" w:eastAsia="zh-CN"/>
        </w:rPr>
        <w:t>DVB-T2</w:t>
      </w:r>
      <w:r w:rsidRPr="00B25FDD">
        <w:rPr>
          <w:lang w:val="en-GB" w:eastAsia="zh-CN"/>
        </w:rPr>
        <w:tab/>
      </w:r>
      <w:r w:rsidRPr="00B25FDD">
        <w:rPr>
          <w:lang w:val="en-GB"/>
        </w:rPr>
        <w:t>Digital video broadcasting – second generation terrestrial</w:t>
      </w:r>
    </w:p>
    <w:p w14:paraId="213EF202" w14:textId="77777777" w:rsidR="00663571" w:rsidRPr="00B25FDD" w:rsidRDefault="00663571" w:rsidP="00663571">
      <w:pPr>
        <w:tabs>
          <w:tab w:val="clear" w:pos="794"/>
          <w:tab w:val="clear" w:pos="1191"/>
          <w:tab w:val="clear" w:pos="1588"/>
          <w:tab w:val="clear" w:pos="1985"/>
          <w:tab w:val="left" w:pos="2250"/>
        </w:tabs>
        <w:jc w:val="left"/>
        <w:rPr>
          <w:lang w:val="en-GB"/>
        </w:rPr>
      </w:pPr>
      <w:r w:rsidRPr="00B25FDD">
        <w:rPr>
          <w:lang w:val="en-GB" w:eastAsia="zh-CN"/>
        </w:rPr>
        <w:t>EU</w:t>
      </w:r>
      <w:r w:rsidRPr="00B25FDD">
        <w:rPr>
          <w:lang w:val="en-GB"/>
        </w:rPr>
        <w:tab/>
      </w:r>
      <w:r w:rsidRPr="00B25FDD">
        <w:rPr>
          <w:lang w:val="en-GB" w:eastAsia="zh-CN"/>
        </w:rPr>
        <w:t>European Union</w:t>
      </w:r>
    </w:p>
    <w:p w14:paraId="06D6E9AE" w14:textId="77777777" w:rsidR="00663571" w:rsidRPr="00B25FDD" w:rsidRDefault="00663571" w:rsidP="00663571">
      <w:pPr>
        <w:tabs>
          <w:tab w:val="clear" w:pos="794"/>
          <w:tab w:val="clear" w:pos="1191"/>
          <w:tab w:val="clear" w:pos="1588"/>
          <w:tab w:val="clear" w:pos="1985"/>
          <w:tab w:val="left" w:pos="2250"/>
        </w:tabs>
        <w:jc w:val="left"/>
        <w:rPr>
          <w:lang w:val="en-GB"/>
        </w:rPr>
      </w:pPr>
      <w:r w:rsidRPr="00B25FDD">
        <w:rPr>
          <w:iCs/>
          <w:shd w:val="clear" w:color="auto" w:fill="FFFFFF"/>
          <w:lang w:val="en-GB"/>
        </w:rPr>
        <w:t>NRA</w:t>
      </w:r>
      <w:r w:rsidRPr="00B25FDD">
        <w:rPr>
          <w:iCs/>
          <w:shd w:val="clear" w:color="auto" w:fill="FFFFFF"/>
          <w:lang w:val="en-GB"/>
        </w:rPr>
        <w:tab/>
      </w:r>
      <w:r w:rsidRPr="00B25FDD">
        <w:rPr>
          <w:lang w:val="en-GB"/>
        </w:rPr>
        <w:t>National Regulatory Authority</w:t>
      </w:r>
    </w:p>
    <w:p w14:paraId="7DCF7F77" w14:textId="1AEC0C26" w:rsidR="00663571" w:rsidRPr="00B25FDD" w:rsidRDefault="00663571" w:rsidP="00663571">
      <w:pPr>
        <w:tabs>
          <w:tab w:val="clear" w:pos="794"/>
          <w:tab w:val="clear" w:pos="1191"/>
          <w:tab w:val="clear" w:pos="1588"/>
          <w:tab w:val="clear" w:pos="1985"/>
          <w:tab w:val="left" w:pos="2250"/>
        </w:tabs>
        <w:ind w:left="2250" w:hanging="2250"/>
        <w:jc w:val="left"/>
        <w:rPr>
          <w:lang w:val="en-GB" w:eastAsia="de-DE"/>
        </w:rPr>
      </w:pPr>
      <w:r w:rsidRPr="00B25FDD">
        <w:rPr>
          <w:iCs/>
          <w:shd w:val="clear" w:color="auto" w:fill="FFFFFF"/>
          <w:lang w:val="en-GB"/>
        </w:rPr>
        <w:t>NUTS</w:t>
      </w:r>
      <w:r w:rsidRPr="00B25FDD">
        <w:rPr>
          <w:rStyle w:val="ECCHLbold"/>
          <w:rFonts w:asciiTheme="majorBidi" w:hAnsiTheme="majorBidi"/>
          <w:b w:val="0"/>
          <w:bCs/>
          <w:szCs w:val="24"/>
          <w:lang w:val="en-GB" w:eastAsia="de-DE"/>
        </w:rPr>
        <w:tab/>
      </w:r>
      <w:r w:rsidRPr="00B25FDD">
        <w:rPr>
          <w:lang w:val="en-GB"/>
        </w:rPr>
        <w:t>Nomenclature of territorial units for statistics (</w:t>
      </w:r>
      <w:r w:rsidRPr="00B25FDD">
        <w:rPr>
          <w:iCs/>
          <w:shd w:val="clear" w:color="auto" w:fill="FFFFFF"/>
          <w:lang w:val="en-GB"/>
        </w:rPr>
        <w:t xml:space="preserve">Nomenclature des </w:t>
      </w:r>
      <w:proofErr w:type="spellStart"/>
      <w:r w:rsidRPr="00B25FDD">
        <w:rPr>
          <w:iCs/>
          <w:shd w:val="clear" w:color="auto" w:fill="FFFFFF"/>
          <w:lang w:val="en-GB"/>
        </w:rPr>
        <w:t>unités</w:t>
      </w:r>
      <w:proofErr w:type="spellEnd"/>
      <w:r w:rsidRPr="00B25FDD">
        <w:rPr>
          <w:iCs/>
          <w:shd w:val="clear" w:color="auto" w:fill="FFFFFF"/>
          <w:lang w:val="en-GB"/>
        </w:rPr>
        <w:t xml:space="preserve"> </w:t>
      </w:r>
      <w:proofErr w:type="spellStart"/>
      <w:r w:rsidRPr="00B25FDD">
        <w:rPr>
          <w:iCs/>
          <w:shd w:val="clear" w:color="auto" w:fill="FFFFFF"/>
          <w:lang w:val="en-GB"/>
        </w:rPr>
        <w:t>territoriales</w:t>
      </w:r>
      <w:proofErr w:type="spellEnd"/>
      <w:r w:rsidRPr="00B25FDD">
        <w:rPr>
          <w:iCs/>
          <w:shd w:val="clear" w:color="auto" w:fill="FFFFFF"/>
          <w:lang w:val="en-GB"/>
        </w:rPr>
        <w:t xml:space="preserve"> </w:t>
      </w:r>
      <w:proofErr w:type="spellStart"/>
      <w:r w:rsidRPr="00B25FDD">
        <w:rPr>
          <w:iCs/>
          <w:shd w:val="clear" w:color="auto" w:fill="FFFFFF"/>
          <w:lang w:val="en-GB"/>
        </w:rPr>
        <w:t>statistiques</w:t>
      </w:r>
      <w:proofErr w:type="spellEnd"/>
      <w:r w:rsidRPr="00B25FDD">
        <w:rPr>
          <w:iCs/>
          <w:shd w:val="clear" w:color="auto" w:fill="FFFFFF"/>
          <w:lang w:val="en-GB"/>
        </w:rPr>
        <w:t xml:space="preserve"> (</w:t>
      </w:r>
      <w:proofErr w:type="spellStart"/>
      <w:r w:rsidRPr="00B25FDD">
        <w:rPr>
          <w:i/>
          <w:iCs/>
          <w:shd w:val="clear" w:color="auto" w:fill="FFFFFF"/>
          <w:lang w:val="en-GB"/>
        </w:rPr>
        <w:t>fr.</w:t>
      </w:r>
      <w:proofErr w:type="spellEnd"/>
      <w:r w:rsidRPr="00B25FDD">
        <w:rPr>
          <w:iCs/>
          <w:shd w:val="clear" w:color="auto" w:fill="FFFFFF"/>
          <w:lang w:val="en-GB"/>
        </w:rPr>
        <w:t>))</w:t>
      </w:r>
    </w:p>
    <w:p w14:paraId="1C59EE78" w14:textId="66941EA8" w:rsidR="00663571" w:rsidRPr="00B25FDD" w:rsidRDefault="00663571" w:rsidP="00663571">
      <w:pPr>
        <w:tabs>
          <w:tab w:val="clear" w:pos="794"/>
          <w:tab w:val="clear" w:pos="1191"/>
          <w:tab w:val="clear" w:pos="1588"/>
          <w:tab w:val="clear" w:pos="1985"/>
          <w:tab w:val="left" w:pos="2250"/>
        </w:tabs>
        <w:jc w:val="left"/>
        <w:rPr>
          <w:lang w:val="en-GB"/>
        </w:rPr>
      </w:pPr>
      <w:r w:rsidRPr="00B25FDD">
        <w:rPr>
          <w:lang w:val="en-GB"/>
        </w:rPr>
        <w:t>QoS</w:t>
      </w:r>
      <w:r w:rsidRPr="00B25FDD">
        <w:rPr>
          <w:rStyle w:val="ECCHLbold"/>
          <w:rFonts w:asciiTheme="majorBidi" w:hAnsiTheme="majorBidi"/>
          <w:b w:val="0"/>
          <w:bCs/>
          <w:szCs w:val="24"/>
          <w:lang w:val="en-GB"/>
        </w:rPr>
        <w:tab/>
      </w:r>
      <w:r w:rsidRPr="00B25FDD">
        <w:rPr>
          <w:lang w:val="en-GB"/>
        </w:rPr>
        <w:t>Quality of service</w:t>
      </w:r>
    </w:p>
    <w:p w14:paraId="411E3D59" w14:textId="4330DC0D" w:rsidR="00663571" w:rsidRPr="00B25FDD" w:rsidRDefault="00663571" w:rsidP="00663571">
      <w:pPr>
        <w:tabs>
          <w:tab w:val="clear" w:pos="794"/>
          <w:tab w:val="clear" w:pos="1191"/>
          <w:tab w:val="clear" w:pos="1588"/>
          <w:tab w:val="clear" w:pos="1985"/>
          <w:tab w:val="left" w:pos="2250"/>
        </w:tabs>
        <w:jc w:val="left"/>
        <w:rPr>
          <w:bdr w:val="none" w:sz="0" w:space="0" w:color="auto" w:frame="1"/>
          <w:lang w:val="en-GB"/>
        </w:rPr>
      </w:pPr>
      <w:r w:rsidRPr="00B25FDD">
        <w:rPr>
          <w:lang w:val="en-GB"/>
        </w:rPr>
        <w:t>RF</w:t>
      </w:r>
      <w:r w:rsidRPr="00B25FDD">
        <w:rPr>
          <w:lang w:val="en-GB"/>
        </w:rPr>
        <w:tab/>
        <w:t xml:space="preserve">Radio </w:t>
      </w:r>
      <w:r w:rsidR="00B25FDD" w:rsidRPr="00B25FDD">
        <w:rPr>
          <w:lang w:val="en-GB"/>
        </w:rPr>
        <w:t>frequencies</w:t>
      </w:r>
    </w:p>
    <w:p w14:paraId="40244B4F" w14:textId="7BB45C97" w:rsidR="00663571" w:rsidRPr="00B25FDD" w:rsidRDefault="00663571" w:rsidP="00663571">
      <w:pPr>
        <w:tabs>
          <w:tab w:val="clear" w:pos="794"/>
          <w:tab w:val="clear" w:pos="1191"/>
          <w:tab w:val="clear" w:pos="1588"/>
          <w:tab w:val="clear" w:pos="1985"/>
          <w:tab w:val="left" w:pos="2250"/>
        </w:tabs>
        <w:jc w:val="left"/>
        <w:rPr>
          <w:lang w:val="en-GB"/>
        </w:rPr>
      </w:pPr>
      <w:r w:rsidRPr="00B25FDD">
        <w:rPr>
          <w:lang w:val="en-GB"/>
        </w:rPr>
        <w:t>TNO</w:t>
      </w:r>
      <w:r w:rsidRPr="00B25FDD">
        <w:rPr>
          <w:lang w:val="en-GB"/>
        </w:rPr>
        <w:tab/>
        <w:t>Telecommunication network operator</w:t>
      </w:r>
    </w:p>
    <w:p w14:paraId="148888A9" w14:textId="77777777" w:rsidR="00F57191" w:rsidRPr="00B25FDD" w:rsidRDefault="00F57191" w:rsidP="00F57191">
      <w:pPr>
        <w:pStyle w:val="Heading1"/>
        <w:rPr>
          <w:lang w:val="en-GB"/>
        </w:rPr>
      </w:pPr>
      <w:bookmarkStart w:id="9" w:name="_Toc55378804"/>
      <w:r w:rsidRPr="00B25FDD">
        <w:rPr>
          <w:lang w:val="en-GB"/>
        </w:rPr>
        <w:t>3</w:t>
      </w:r>
      <w:r w:rsidRPr="00B25FDD">
        <w:rPr>
          <w:lang w:val="en-GB"/>
        </w:rPr>
        <w:tab/>
        <w:t>Objects and metrics of population coverage</w:t>
      </w:r>
      <w:bookmarkEnd w:id="9"/>
      <w:r w:rsidRPr="00B25FDD">
        <w:rPr>
          <w:lang w:val="en-GB"/>
        </w:rPr>
        <w:t xml:space="preserve"> estimation</w:t>
      </w:r>
    </w:p>
    <w:p w14:paraId="54EF8439" w14:textId="77777777" w:rsidR="00F57191" w:rsidRPr="00B25FDD" w:rsidRDefault="00F57191" w:rsidP="00F57191">
      <w:pPr>
        <w:rPr>
          <w:lang w:val="en-GB" w:eastAsia="zh-CN"/>
        </w:rPr>
      </w:pPr>
      <w:bookmarkStart w:id="10" w:name="_Toc55378805"/>
      <w:r w:rsidRPr="00B25FDD">
        <w:rPr>
          <w:bCs/>
          <w:lang w:val="en-GB" w:eastAsia="zh-CN"/>
        </w:rPr>
        <w:t xml:space="preserve">Estimation of population coverage must be performed with the understanding that classification of </w:t>
      </w:r>
      <w:bookmarkEnd w:id="10"/>
      <w:r w:rsidRPr="00B25FDD">
        <w:rPr>
          <w:lang w:val="en-GB" w:eastAsia="zh-CN"/>
        </w:rPr>
        <w:t>the population based on different radio technologies varies from country to country. Classes of population used in the estimation</w:t>
      </w:r>
      <w:bookmarkStart w:id="11" w:name="_Toc55378806"/>
      <w:r w:rsidRPr="00B25FDD">
        <w:rPr>
          <w:lang w:val="en-GB" w:eastAsia="zh-CN"/>
        </w:rPr>
        <w:t xml:space="preserve"> of population coverage</w:t>
      </w:r>
      <w:bookmarkEnd w:id="11"/>
      <w:r w:rsidRPr="00B25FDD">
        <w:rPr>
          <w:lang w:val="en-GB" w:eastAsia="zh-CN"/>
        </w:rPr>
        <w:t xml:space="preserve"> are referred to as ‘</w:t>
      </w:r>
      <w:r w:rsidRPr="00B25FDD">
        <w:rPr>
          <w:bCs/>
          <w:iCs/>
          <w:lang w:val="en-GB" w:eastAsia="zh-CN"/>
        </w:rPr>
        <w:t>objects’,</w:t>
      </w:r>
      <w:r w:rsidRPr="00B25FDD">
        <w:rPr>
          <w:lang w:val="en-GB" w:eastAsia="zh-CN"/>
        </w:rPr>
        <w:t xml:space="preserve"> and are described below:</w:t>
      </w:r>
    </w:p>
    <w:p w14:paraId="03B06DD4" w14:textId="77777777" w:rsidR="00F57191" w:rsidRPr="00B25FDD" w:rsidRDefault="00F57191" w:rsidP="0027629B">
      <w:pPr>
        <w:pStyle w:val="enumlev1"/>
        <w:rPr>
          <w:lang w:val="en-GB" w:eastAsia="zh-CN"/>
        </w:rPr>
      </w:pPr>
      <w:r w:rsidRPr="00B25FDD">
        <w:rPr>
          <w:lang w:val="en-GB" w:eastAsia="zh-CN"/>
        </w:rPr>
        <w:t>–</w:t>
      </w:r>
      <w:r w:rsidRPr="00B25FDD">
        <w:rPr>
          <w:lang w:val="en-GB" w:eastAsia="zh-CN"/>
        </w:rPr>
        <w:tab/>
        <w:t>inhabitants</w:t>
      </w:r>
    </w:p>
    <w:p w14:paraId="22721FCE" w14:textId="77777777" w:rsidR="00F57191" w:rsidRPr="00B25FDD" w:rsidRDefault="00F57191" w:rsidP="0027629B">
      <w:pPr>
        <w:pStyle w:val="enumlev1"/>
        <w:rPr>
          <w:lang w:val="en-GB" w:eastAsia="zh-CN"/>
        </w:rPr>
      </w:pPr>
      <w:r w:rsidRPr="00B25FDD">
        <w:rPr>
          <w:lang w:val="en-GB" w:eastAsia="zh-CN"/>
        </w:rPr>
        <w:t>–</w:t>
      </w:r>
      <w:r w:rsidRPr="00B25FDD">
        <w:rPr>
          <w:lang w:val="en-GB" w:eastAsia="zh-CN"/>
        </w:rPr>
        <w:tab/>
        <w:t>householders</w:t>
      </w:r>
    </w:p>
    <w:p w14:paraId="0F3AE7BF" w14:textId="77777777" w:rsidR="00F57191" w:rsidRPr="00B25FDD" w:rsidRDefault="00F57191" w:rsidP="0027629B">
      <w:pPr>
        <w:pStyle w:val="enumlev1"/>
        <w:rPr>
          <w:lang w:val="en-GB" w:eastAsia="zh-CN"/>
        </w:rPr>
      </w:pPr>
      <w:r w:rsidRPr="00B25FDD">
        <w:rPr>
          <w:lang w:val="en-GB" w:eastAsia="zh-CN"/>
        </w:rPr>
        <w:t>–</w:t>
      </w:r>
      <w:r w:rsidRPr="00B25FDD">
        <w:rPr>
          <w:lang w:val="en-GB" w:eastAsia="zh-CN"/>
        </w:rPr>
        <w:tab/>
        <w:t>homes</w:t>
      </w:r>
    </w:p>
    <w:p w14:paraId="61D94FEB" w14:textId="77777777" w:rsidR="00F57191" w:rsidRPr="00B25FDD" w:rsidRDefault="00F57191" w:rsidP="0027629B">
      <w:pPr>
        <w:pStyle w:val="enumlev1"/>
        <w:rPr>
          <w:lang w:val="en-GB" w:eastAsia="zh-CN"/>
        </w:rPr>
      </w:pPr>
      <w:r w:rsidRPr="00B25FDD">
        <w:rPr>
          <w:lang w:val="en-GB"/>
        </w:rPr>
        <w:t>–</w:t>
      </w:r>
      <w:r w:rsidRPr="00B25FDD">
        <w:rPr>
          <w:lang w:val="en-GB"/>
        </w:rPr>
        <w:tab/>
        <w:t>users</w:t>
      </w:r>
    </w:p>
    <w:p w14:paraId="68DBD9CA" w14:textId="77777777" w:rsidR="00F57191" w:rsidRPr="00B25FDD" w:rsidRDefault="00F57191" w:rsidP="0027629B">
      <w:pPr>
        <w:pStyle w:val="enumlev1"/>
        <w:rPr>
          <w:lang w:val="en-GB" w:eastAsia="zh-CN"/>
        </w:rPr>
      </w:pPr>
      <w:r w:rsidRPr="00B25FDD">
        <w:rPr>
          <w:lang w:val="en-GB"/>
        </w:rPr>
        <w:t>–</w:t>
      </w:r>
      <w:r w:rsidRPr="00B25FDD">
        <w:rPr>
          <w:lang w:val="en-GB"/>
        </w:rPr>
        <w:tab/>
        <w:t>subscribers</w:t>
      </w:r>
      <w:r w:rsidRPr="00B25FDD">
        <w:rPr>
          <w:lang w:val="en-GB" w:eastAsia="zh-CN"/>
        </w:rPr>
        <w:t>.</w:t>
      </w:r>
    </w:p>
    <w:p w14:paraId="553EF80B" w14:textId="77777777" w:rsidR="00F57191" w:rsidRPr="00B25FDD" w:rsidRDefault="00F57191" w:rsidP="00F57191">
      <w:pPr>
        <w:rPr>
          <w:lang w:val="en-GB" w:eastAsia="zh-CN"/>
        </w:rPr>
      </w:pPr>
      <w:r w:rsidRPr="00B25FDD">
        <w:rPr>
          <w:lang w:val="en-GB" w:eastAsia="zh-CN"/>
        </w:rPr>
        <w:t>The population coverage measurement can be performed with the following service characteristics:</w:t>
      </w:r>
    </w:p>
    <w:p w14:paraId="6BBE99C8" w14:textId="77777777" w:rsidR="00F57191" w:rsidRPr="00B25FDD" w:rsidRDefault="00F57191" w:rsidP="0027629B">
      <w:pPr>
        <w:pStyle w:val="enumlev1"/>
        <w:rPr>
          <w:lang w:val="en-GB" w:eastAsia="zh-CN"/>
        </w:rPr>
      </w:pPr>
      <w:r w:rsidRPr="00B25FDD">
        <w:rPr>
          <w:lang w:val="en-GB"/>
        </w:rPr>
        <w:t>–</w:t>
      </w:r>
      <w:r w:rsidRPr="00B25FDD">
        <w:rPr>
          <w:lang w:val="en-GB"/>
        </w:rPr>
        <w:tab/>
        <w:t>RF properties</w:t>
      </w:r>
    </w:p>
    <w:p w14:paraId="0A1E7B0E" w14:textId="77777777" w:rsidR="00F57191" w:rsidRPr="00B25FDD" w:rsidRDefault="00F57191" w:rsidP="0027629B">
      <w:pPr>
        <w:pStyle w:val="enumlev1"/>
        <w:rPr>
          <w:lang w:val="en-GB" w:eastAsia="zh-CN"/>
        </w:rPr>
      </w:pPr>
      <w:r w:rsidRPr="00B25FDD">
        <w:rPr>
          <w:lang w:val="en-GB"/>
        </w:rPr>
        <w:t>–</w:t>
      </w:r>
      <w:r w:rsidRPr="00B25FDD">
        <w:rPr>
          <w:lang w:val="en-GB"/>
        </w:rPr>
        <w:tab/>
        <w:t>Quality of Service (QoS).</w:t>
      </w:r>
    </w:p>
    <w:p w14:paraId="4E63830E" w14:textId="77777777" w:rsidR="00F57191" w:rsidRPr="00B25FDD" w:rsidRDefault="00F57191" w:rsidP="0027629B">
      <w:pPr>
        <w:rPr>
          <w:lang w:val="en-GB"/>
        </w:rPr>
      </w:pPr>
      <w:r w:rsidRPr="00B25FDD">
        <w:rPr>
          <w:lang w:val="en-GB"/>
        </w:rPr>
        <w:t>RF properties typically relate to the received signal power at a specific measurement location. In most cases, the received signal power determines the coverage area. However, QoS</w:t>
      </w:r>
      <w:r w:rsidRPr="00B25FDD">
        <w:rPr>
          <w:b/>
          <w:lang w:val="en-GB"/>
        </w:rPr>
        <w:t xml:space="preserve"> </w:t>
      </w:r>
      <w:r w:rsidRPr="00B25FDD">
        <w:rPr>
          <w:bCs/>
          <w:lang w:val="en-GB"/>
        </w:rPr>
        <w:t>determines the service area.</w:t>
      </w:r>
      <w:r w:rsidRPr="00B25FDD">
        <w:rPr>
          <w:lang w:val="en-GB"/>
        </w:rPr>
        <w:t xml:space="preserve"> </w:t>
      </w:r>
    </w:p>
    <w:p w14:paraId="5AA7880D" w14:textId="77777777" w:rsidR="00F57191" w:rsidRPr="00B25FDD" w:rsidRDefault="00F57191" w:rsidP="0027629B">
      <w:pPr>
        <w:rPr>
          <w:lang w:val="en-GB" w:eastAsia="zh-CN"/>
        </w:rPr>
      </w:pPr>
      <w:r w:rsidRPr="00B25FDD">
        <w:rPr>
          <w:lang w:val="en-GB" w:eastAsia="zh-CN"/>
        </w:rPr>
        <w:lastRenderedPageBreak/>
        <w:t>Quantitatively, the population coverage within a test area can be estimated using the following parameters:</w:t>
      </w:r>
    </w:p>
    <w:p w14:paraId="681B3E00" w14:textId="77777777" w:rsidR="00F57191" w:rsidRPr="00B25FDD" w:rsidRDefault="00F57191" w:rsidP="0027629B">
      <w:pPr>
        <w:pStyle w:val="enumlev1"/>
        <w:rPr>
          <w:lang w:val="en-GB" w:eastAsia="zh-CN"/>
        </w:rPr>
      </w:pPr>
      <w:r w:rsidRPr="00B25FDD">
        <w:rPr>
          <w:lang w:val="en-GB" w:eastAsia="zh-CN"/>
        </w:rPr>
        <w:t>–</w:t>
      </w:r>
      <w:r w:rsidRPr="00B25FDD">
        <w:rPr>
          <w:lang w:val="en-GB" w:eastAsia="zh-CN"/>
        </w:rPr>
        <w:tab/>
        <w:t xml:space="preserve">total number of objects,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cov.</m:t>
            </m:r>
          </m:sub>
        </m:sSub>
      </m:oMath>
      <w:r w:rsidRPr="00B25FDD">
        <w:rPr>
          <w:lang w:val="en-GB" w:eastAsia="zh-CN"/>
        </w:rPr>
        <w:t>, registered in the test area with radio services</w:t>
      </w:r>
    </w:p>
    <w:p w14:paraId="782679B0" w14:textId="77777777" w:rsidR="00F57191" w:rsidRPr="00B25FDD" w:rsidRDefault="00F57191" w:rsidP="0027629B">
      <w:pPr>
        <w:pStyle w:val="enumlev1"/>
        <w:rPr>
          <w:lang w:val="en-GB" w:eastAsia="zh-CN"/>
        </w:rPr>
      </w:pPr>
      <w:r w:rsidRPr="00B25FDD">
        <w:rPr>
          <w:lang w:val="en-GB" w:eastAsia="zh-CN"/>
        </w:rPr>
        <w:t>–</w:t>
      </w:r>
      <w:r w:rsidRPr="00B25FDD">
        <w:rPr>
          <w:lang w:val="en-GB" w:eastAsia="zh-CN"/>
        </w:rPr>
        <w:tab/>
        <w:t xml:space="preserve">total number of objects within the test area,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p>
    <w:p w14:paraId="77174028" w14:textId="77777777" w:rsidR="00F57191" w:rsidRPr="00B25FDD" w:rsidRDefault="00F57191" w:rsidP="0027629B">
      <w:pPr>
        <w:pStyle w:val="enumlev1"/>
        <w:rPr>
          <w:lang w:val="en-GB" w:eastAsia="zh-CN"/>
        </w:rPr>
      </w:pPr>
      <w:r w:rsidRPr="00B25FDD">
        <w:rPr>
          <w:lang w:val="en-GB" w:eastAsia="zh-CN"/>
        </w:rPr>
        <w:t>–</w:t>
      </w:r>
      <w:r w:rsidRPr="00B25FDD">
        <w:rPr>
          <w:lang w:val="en-GB" w:eastAsia="zh-CN"/>
        </w:rPr>
        <w:tab/>
        <w:t xml:space="preserve">coverage parameter,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Pr="00B25FDD">
        <w:rPr>
          <w:lang w:val="en-GB" w:eastAsia="zh-CN"/>
        </w:rPr>
        <w:t xml:space="preserve">, the </w:t>
      </w:r>
      <w:r w:rsidRPr="00B25FDD">
        <w:rPr>
          <w:lang w:val="en-GB"/>
        </w:rPr>
        <w:t xml:space="preserve">percentage of </w:t>
      </w:r>
      <w:r w:rsidRPr="00B25FDD">
        <w:rPr>
          <w:lang w:val="en-GB" w:eastAsia="zh-CN"/>
        </w:rPr>
        <w:t>objects</w:t>
      </w:r>
      <w:r w:rsidRPr="00B25FDD">
        <w:rPr>
          <w:lang w:val="en-GB"/>
        </w:rPr>
        <w:t xml:space="preserve"> within the covered area.</w:t>
      </w:r>
    </w:p>
    <w:p w14:paraId="52053C09" w14:textId="77777777" w:rsidR="00F57191" w:rsidRPr="00B25FDD" w:rsidRDefault="00F57191" w:rsidP="00F57191">
      <w:pPr>
        <w:rPr>
          <w:lang w:val="en-GB" w:eastAsia="zh-CN"/>
        </w:rPr>
      </w:pPr>
      <w:r w:rsidRPr="00B25FDD">
        <w:rPr>
          <w:lang w:val="en-GB"/>
        </w:rPr>
        <w:t xml:space="preserve">The </w:t>
      </w:r>
      <w:r w:rsidRPr="00B25FDD">
        <w:rPr>
          <w:lang w:val="en-GB" w:eastAsia="zh-CN"/>
        </w:rPr>
        <w:t xml:space="preserve">parameter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Pr="00B25FDD">
        <w:rPr>
          <w:i/>
          <w:lang w:val="en-GB" w:eastAsia="zh-CN"/>
        </w:rPr>
        <w:t xml:space="preserve"> </w:t>
      </w:r>
      <w:r w:rsidRPr="00B25FDD">
        <w:rPr>
          <w:lang w:val="en-GB"/>
        </w:rPr>
        <w:t xml:space="preserve">is calculated by dividing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cov.</m:t>
            </m:r>
          </m:sub>
        </m:sSub>
      </m:oMath>
      <w:r w:rsidRPr="00B25FDD">
        <w:rPr>
          <w:lang w:val="en-GB" w:eastAsia="zh-CN"/>
        </w:rPr>
        <w:t xml:space="preserve"> </w:t>
      </w:r>
      <w:r w:rsidRPr="00B25FDD">
        <w:rPr>
          <w:lang w:val="en-GB"/>
        </w:rPr>
        <w:t xml:space="preserve">by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r w:rsidRPr="00B25FDD">
        <w:rPr>
          <w:lang w:val="en-GB" w:eastAsia="zh-CN"/>
        </w:rPr>
        <w:t xml:space="preserve"> within the test area:</w:t>
      </w:r>
    </w:p>
    <w:p w14:paraId="2DDD08B3"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r>
          <w:rPr>
            <w:rFonts w:ascii="Cambria Math" w:hAnsi="Cambria Math"/>
            <w:lang w:val="en-GB" w:eastAsia="zh-CN"/>
          </w:rPr>
          <m:t>=</m:t>
        </m:r>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num>
          <m:den>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tot.</m:t>
                </m:r>
              </m:sub>
            </m:sSub>
          </m:den>
        </m:f>
        <m:r>
          <w:rPr>
            <w:rFonts w:ascii="Cambria Math" w:hAnsi="Cambria Math"/>
            <w:lang w:val="en-GB" w:eastAsia="zh-CN"/>
          </w:rPr>
          <m:t>∙100%</m:t>
        </m:r>
      </m:oMath>
      <w:r w:rsidRPr="00B25FDD">
        <w:rPr>
          <w:lang w:val="en-GB" w:eastAsia="zh-CN"/>
        </w:rPr>
        <w:tab/>
        <w:t xml:space="preserve"> (1)</w:t>
      </w:r>
    </w:p>
    <w:p w14:paraId="13A3964B" w14:textId="5525387B" w:rsidR="00F57191" w:rsidRPr="00B25FDD" w:rsidRDefault="00F57191" w:rsidP="00F57191">
      <w:pPr>
        <w:rPr>
          <w:szCs w:val="24"/>
          <w:lang w:val="en-GB" w:eastAsia="zh-CN"/>
        </w:rPr>
      </w:pPr>
      <w:r w:rsidRPr="00B25FDD">
        <w:rPr>
          <w:lang w:val="en-GB" w:eastAsia="zh-CN"/>
        </w:rPr>
        <w:t xml:space="preserve">In practice, it is a very complicated problem to estimate the number of </w:t>
      </w:r>
      <w:r w:rsidRPr="00B25FDD">
        <w:rPr>
          <w:szCs w:val="24"/>
          <w:lang w:val="en-GB" w:eastAsia="zh-CN"/>
        </w:rPr>
        <w:t>objects</w:t>
      </w:r>
      <w:r w:rsidRPr="00B25FDD">
        <w:rPr>
          <w:lang w:val="en-GB" w:eastAsia="zh-CN"/>
        </w:rPr>
        <w:t xml:space="preserve"> in large territories. In these cases, the </w:t>
      </w:r>
      <w:r w:rsidRPr="00B25FDD">
        <w:rPr>
          <w:szCs w:val="24"/>
          <w:lang w:val="en-GB" w:eastAsia="zh-CN"/>
        </w:rPr>
        <w:t>population</w:t>
      </w:r>
      <w:r w:rsidRPr="00B25FDD">
        <w:rPr>
          <w:lang w:val="en-GB" w:eastAsia="zh-CN"/>
        </w:rPr>
        <w:t xml:space="preserve"> coverage,</w:t>
      </w:r>
      <w:r w:rsidRPr="00B25FDD">
        <w:rPr>
          <w:i/>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Pr="00B25FDD">
        <w:rPr>
          <w:lang w:val="en-GB" w:eastAsia="zh-CN"/>
        </w:rPr>
        <w:t>, can be calculated with equation (2):</w:t>
      </w:r>
    </w:p>
    <w:p w14:paraId="05C977DE"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i/>
                <w:lang w:val="en-GB" w:eastAsia="zh-CN"/>
              </w:rPr>
            </m:ctrlPr>
          </m:sSubPr>
          <m:e>
            <m:r>
              <w:rPr>
                <w:rFonts w:ascii="Cambria Math"/>
                <w:lang w:val="en-GB" w:eastAsia="zh-CN"/>
              </w:rPr>
              <m:t>C</m:t>
            </m:r>
          </m:e>
          <m:sub>
            <m:r>
              <w:rPr>
                <w:rFonts w:ascii="Cambria Math"/>
                <w:lang w:val="en-GB" w:eastAsia="zh-CN"/>
              </w:rPr>
              <m:t>%</m:t>
            </m:r>
          </m:sub>
        </m:sSub>
        <m:r>
          <w:rPr>
            <w:rFonts w:ascii="Cambria Math"/>
            <w:lang w:val="en-GB" w:eastAsia="zh-CN"/>
          </w:rPr>
          <m:t>=</m:t>
        </m:r>
        <m:f>
          <m:fPr>
            <m:ctrlPr>
              <w:rPr>
                <w:rFonts w:ascii="Cambria Math" w:hAnsi="Cambria Math"/>
                <w:i/>
                <w:lang w:val="en-GB" w:eastAsia="zh-CN"/>
              </w:rPr>
            </m:ctrlPr>
          </m:fPr>
          <m:num>
            <m:r>
              <w:rPr>
                <w:rFonts w:ascii="Cambria Math"/>
                <w:lang w:val="en-GB" w:eastAsia="zh-CN"/>
              </w:rPr>
              <m:t>DP</m:t>
            </m:r>
            <m:r>
              <w:rPr>
                <w:rFonts w:ascii="Cambria Math" w:hAnsi="Cambria Math" w:cs="Cambria Math"/>
                <w:lang w:val="en-GB" w:eastAsia="zh-CN"/>
              </w:rPr>
              <m:t>⋅</m:t>
            </m:r>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cov.</m:t>
                </m:r>
              </m:sub>
            </m:sSub>
          </m:num>
          <m:den>
            <m:sSub>
              <m:sSubPr>
                <m:ctrlPr>
                  <w:rPr>
                    <w:rFonts w:ascii="Cambria Math" w:hAnsi="Cambria Math"/>
                    <w:i/>
                    <w:lang w:val="en-GB" w:eastAsia="zh-CN"/>
                  </w:rPr>
                </m:ctrlPr>
              </m:sSubPr>
              <m:e>
                <m:r>
                  <w:rPr>
                    <w:rFonts w:ascii="Cambria Math"/>
                    <w:lang w:val="en-GB" w:eastAsia="zh-CN"/>
                  </w:rPr>
                  <m:t>N</m:t>
                </m:r>
              </m:e>
              <m:sub>
                <m:r>
                  <w:rPr>
                    <w:rFonts w:ascii="Cambria Math"/>
                    <w:lang w:val="en-GB" w:eastAsia="zh-CN"/>
                  </w:rPr>
                  <m:t>tot.</m:t>
                </m:r>
              </m:sub>
            </m:sSub>
          </m:den>
        </m:f>
        <m:r>
          <w:rPr>
            <w:rFonts w:ascii="Cambria Math" w:hAnsi="Cambria Math" w:cs="Cambria Math"/>
            <w:lang w:val="en-GB" w:eastAsia="zh-CN"/>
          </w:rPr>
          <m:t>⋅</m:t>
        </m:r>
        <m:r>
          <w:rPr>
            <w:rFonts w:ascii="Cambria Math"/>
            <w:lang w:val="en-GB" w:eastAsia="zh-CN"/>
          </w:rPr>
          <m:t>100%</m:t>
        </m:r>
      </m:oMath>
      <w:r w:rsidRPr="00B25FDD">
        <w:rPr>
          <w:lang w:val="en-GB" w:eastAsia="zh-CN"/>
        </w:rPr>
        <w:tab/>
        <w:t>(2)</w:t>
      </w:r>
    </w:p>
    <w:p w14:paraId="1D08311B" w14:textId="77777777" w:rsidR="00F57191" w:rsidRPr="00B25FDD" w:rsidRDefault="00F57191" w:rsidP="00F57191">
      <w:pPr>
        <w:rPr>
          <w:lang w:val="en-GB" w:eastAsia="zh-CN"/>
        </w:rPr>
      </w:pPr>
      <w:r w:rsidRPr="00B25FDD">
        <w:rPr>
          <w:lang w:val="en-GB" w:eastAsia="zh-CN"/>
        </w:rPr>
        <w:t xml:space="preserve">where: </w:t>
      </w:r>
    </w:p>
    <w:p w14:paraId="5E5087CA" w14:textId="77777777" w:rsidR="00F57191" w:rsidRPr="00B25FDD" w:rsidRDefault="00F57191" w:rsidP="00F57191">
      <w:pPr>
        <w:pStyle w:val="Equationlegend"/>
        <w:rPr>
          <w:szCs w:val="24"/>
          <w:lang w:val="en-GB" w:eastAsia="zh-CN"/>
        </w:rPr>
      </w:pPr>
      <w:r w:rsidRPr="00B25FDD">
        <w:rPr>
          <w:i/>
          <w:szCs w:val="24"/>
          <w:lang w:val="en-GB" w:eastAsia="zh-CN"/>
        </w:rPr>
        <w:tab/>
      </w:r>
      <w:proofErr w:type="gramStart"/>
      <w:r w:rsidRPr="00B25FDD">
        <w:rPr>
          <w:i/>
          <w:szCs w:val="24"/>
          <w:lang w:val="en-GB" w:eastAsia="zh-CN"/>
        </w:rPr>
        <w:t>DP</w:t>
      </w:r>
      <w:r w:rsidRPr="00B25FDD">
        <w:rPr>
          <w:szCs w:val="24"/>
          <w:lang w:val="en-GB" w:eastAsia="zh-CN"/>
        </w:rPr>
        <w:t xml:space="preserve"> :</w:t>
      </w:r>
      <w:proofErr w:type="gramEnd"/>
      <w:r w:rsidRPr="00B25FDD">
        <w:rPr>
          <w:szCs w:val="24"/>
          <w:lang w:val="en-GB" w:eastAsia="zh-CN"/>
        </w:rPr>
        <w:tab/>
      </w:r>
      <w:r w:rsidRPr="00B25FDD">
        <w:rPr>
          <w:lang w:val="en-GB" w:eastAsia="zh-CN"/>
        </w:rPr>
        <w:t>population density (</w:t>
      </w:r>
      <w:r w:rsidRPr="00B25FDD">
        <w:rPr>
          <w:szCs w:val="24"/>
          <w:lang w:val="en-GB" w:eastAsia="zh-CN"/>
        </w:rPr>
        <w:t xml:space="preserve">density of objects) in the territory </w:t>
      </w:r>
      <m:oMath>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tot.</m:t>
            </m:r>
          </m:sub>
        </m:sSub>
      </m:oMath>
    </w:p>
    <w:p w14:paraId="527625F3" w14:textId="77777777" w:rsidR="00F57191" w:rsidRPr="00B25FDD" w:rsidRDefault="00F57191" w:rsidP="00F57191">
      <w:pPr>
        <w:pStyle w:val="Equationlegend"/>
        <w:rPr>
          <w:szCs w:val="24"/>
          <w:lang w:val="en-GB" w:eastAsia="zh-CN"/>
        </w:rPr>
      </w:pPr>
      <w:r w:rsidRPr="00B25FDD">
        <w:rPr>
          <w:i/>
          <w:szCs w:val="24"/>
          <w:lang w:val="en-GB" w:eastAsia="zh-CN"/>
        </w:rPr>
        <w:tab/>
      </w:r>
      <m:oMath>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cov.</m:t>
            </m:r>
          </m:sub>
        </m:sSub>
      </m:oMath>
      <w:r w:rsidRPr="00B25FDD">
        <w:rPr>
          <w:szCs w:val="24"/>
          <w:lang w:val="en-GB" w:eastAsia="zh-CN"/>
        </w:rPr>
        <w:t xml:space="preserve"> :</w:t>
      </w:r>
      <w:r w:rsidRPr="00B25FDD">
        <w:rPr>
          <w:szCs w:val="24"/>
          <w:lang w:val="en-GB" w:eastAsia="zh-CN"/>
        </w:rPr>
        <w:tab/>
        <w:t xml:space="preserve">coverage </w:t>
      </w:r>
      <w:r w:rsidRPr="00B25FDD">
        <w:rPr>
          <w:lang w:val="en-GB" w:eastAsia="zh-CN"/>
        </w:rPr>
        <w:t>area</w:t>
      </w:r>
      <w:r w:rsidRPr="00B25FDD">
        <w:rPr>
          <w:szCs w:val="24"/>
          <w:lang w:val="en-GB" w:eastAsia="zh-CN"/>
        </w:rPr>
        <w:t xml:space="preserve"> within the territory </w:t>
      </w:r>
      <m:oMath>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tot.</m:t>
            </m:r>
          </m:sub>
        </m:sSub>
      </m:oMath>
      <w:r w:rsidRPr="00B25FDD">
        <w:rPr>
          <w:szCs w:val="24"/>
          <w:lang w:val="en-GB" w:eastAsia="zh-CN"/>
        </w:rPr>
        <w:t>.</w:t>
      </w:r>
    </w:p>
    <w:p w14:paraId="199AC5C1" w14:textId="77777777" w:rsidR="00F57191" w:rsidRPr="00B25FDD" w:rsidRDefault="00F57191" w:rsidP="00F57191">
      <w:pPr>
        <w:rPr>
          <w:lang w:val="en-GB" w:eastAsia="zh-CN"/>
        </w:rPr>
      </w:pPr>
      <w:r w:rsidRPr="00B25FDD">
        <w:rPr>
          <w:lang w:val="en-GB" w:eastAsia="zh-CN"/>
        </w:rPr>
        <w:t xml:space="preserve">To define the parameter </w:t>
      </w:r>
      <w:r w:rsidRPr="00B25FDD">
        <w:rPr>
          <w:i/>
          <w:lang w:val="en-GB" w:eastAsia="zh-CN"/>
        </w:rPr>
        <w:t>DP</w:t>
      </w:r>
      <w:r w:rsidRPr="00B25FDD">
        <w:rPr>
          <w:lang w:val="en-GB" w:eastAsia="zh-CN"/>
        </w:rPr>
        <w:t>, population density data is needed. Fortunately, this information is generally available from national authorities.</w:t>
      </w:r>
    </w:p>
    <w:p w14:paraId="61A134DC" w14:textId="77777777" w:rsidR="00F57191" w:rsidRPr="00B25FDD" w:rsidRDefault="00F57191" w:rsidP="00F57191">
      <w:pPr>
        <w:rPr>
          <w:lang w:val="en-GB"/>
        </w:rPr>
      </w:pPr>
      <w:r w:rsidRPr="00B25FDD">
        <w:rPr>
          <w:szCs w:val="24"/>
          <w:lang w:val="en-GB" w:eastAsia="zh-CN"/>
        </w:rPr>
        <w:t xml:space="preserve">The methods to estimate the </w:t>
      </w:r>
      <w:r w:rsidRPr="00B25FDD">
        <w:rPr>
          <w:lang w:val="en-GB"/>
        </w:rPr>
        <w:t>coverage area for rural and urban (or suburban) territories are different. For example, one new methodology was developed to classify land types across Europe. An area with households representing a population less than one hundred contained in one square kilometre is classified as ‘rural’. The use of these different classifications will produce different results.</w:t>
      </w:r>
    </w:p>
    <w:p w14:paraId="0075BB29" w14:textId="77777777" w:rsidR="00F57191" w:rsidRPr="00B25FDD" w:rsidRDefault="00F57191" w:rsidP="00F57191">
      <w:pPr>
        <w:pStyle w:val="Heading1"/>
        <w:rPr>
          <w:lang w:val="en-GB"/>
        </w:rPr>
      </w:pPr>
      <w:r w:rsidRPr="00B25FDD">
        <w:rPr>
          <w:lang w:val="en-GB"/>
        </w:rPr>
        <w:t>4</w:t>
      </w:r>
      <w:r w:rsidRPr="00B25FDD">
        <w:rPr>
          <w:lang w:val="en-GB"/>
        </w:rPr>
        <w:tab/>
        <w:t>Background</w:t>
      </w:r>
    </w:p>
    <w:p w14:paraId="3F99C233" w14:textId="77777777" w:rsidR="00F57191" w:rsidRPr="00B25FDD" w:rsidRDefault="00F57191" w:rsidP="00F57191">
      <w:pPr>
        <w:pStyle w:val="Heading2"/>
        <w:rPr>
          <w:lang w:val="en-GB" w:eastAsia="zh-CN"/>
        </w:rPr>
      </w:pPr>
      <w:bookmarkStart w:id="12" w:name="_Toc55378810"/>
      <w:r w:rsidRPr="00B25FDD">
        <w:rPr>
          <w:lang w:val="en-GB" w:eastAsia="zh-CN"/>
        </w:rPr>
        <w:t>4.1</w:t>
      </w:r>
      <w:r w:rsidRPr="00B25FDD">
        <w:rPr>
          <w:lang w:val="en-GB" w:eastAsia="zh-CN"/>
        </w:rPr>
        <w:tab/>
        <w:t>Different approaches</w:t>
      </w:r>
      <w:bookmarkEnd w:id="12"/>
    </w:p>
    <w:p w14:paraId="08BC021D" w14:textId="77777777" w:rsidR="00F57191" w:rsidRPr="00B25FDD" w:rsidRDefault="00F57191" w:rsidP="00F57191">
      <w:pPr>
        <w:rPr>
          <w:lang w:val="en-GB" w:eastAsia="zh-CN"/>
        </w:rPr>
      </w:pPr>
      <w:r w:rsidRPr="00B25FDD">
        <w:rPr>
          <w:lang w:val="en-GB" w:eastAsia="zh-CN"/>
        </w:rPr>
        <w:t>Approaches to estimation of population coverage are very different in different countries. The main differences lie in the application of:</w:t>
      </w:r>
    </w:p>
    <w:p w14:paraId="2FA9BA79"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radio technologies</w:t>
      </w:r>
    </w:p>
    <w:p w14:paraId="1D6386AE"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objects</w:t>
      </w:r>
    </w:p>
    <w:p w14:paraId="0E328912" w14:textId="60BFC2AE" w:rsidR="00F57191" w:rsidRPr="00B25FDD" w:rsidRDefault="00F57191" w:rsidP="00F57191">
      <w:pPr>
        <w:pStyle w:val="enumlev1"/>
        <w:rPr>
          <w:lang w:val="en-GB" w:eastAsia="zh-CN"/>
        </w:rPr>
      </w:pPr>
      <w:r w:rsidRPr="00B25FDD">
        <w:rPr>
          <w:lang w:val="en-GB" w:eastAsia="zh-CN"/>
        </w:rPr>
        <w:t>–</w:t>
      </w:r>
      <w:r w:rsidRPr="00B25FDD">
        <w:rPr>
          <w:lang w:val="en-GB" w:eastAsia="zh-CN"/>
        </w:rPr>
        <w:tab/>
        <w:t>parameters and metrics</w:t>
      </w:r>
      <w:r w:rsidR="00456660" w:rsidRPr="00B25FDD">
        <w:rPr>
          <w:lang w:val="en-GB" w:eastAsia="zh-CN"/>
        </w:rPr>
        <w:t>.</w:t>
      </w:r>
    </w:p>
    <w:p w14:paraId="43C1326F" w14:textId="77777777" w:rsidR="00F57191" w:rsidRPr="00B25FDD" w:rsidRDefault="00F57191" w:rsidP="00F57191">
      <w:pPr>
        <w:pStyle w:val="enumlev1"/>
        <w:ind w:left="0" w:firstLine="0"/>
        <w:rPr>
          <w:lang w:val="en-GB" w:eastAsia="zh-CN"/>
        </w:rPr>
      </w:pPr>
      <w:bookmarkStart w:id="13" w:name="_Toc55378811"/>
      <w:r w:rsidRPr="00B25FDD">
        <w:rPr>
          <w:lang w:val="en-GB" w:eastAsia="zh-CN"/>
        </w:rPr>
        <w:t xml:space="preserve">Different approaches are also needed considering the size of the coverage area of different services (based on the radius of coverage from a single transmitter). For example, a broadcasting network may transmit over 100 km, while broadband networks may transmit less than a few kilometres. Different measurement parameters or class of objects may be needed to determine coverage calling for a different approach. </w:t>
      </w:r>
    </w:p>
    <w:p w14:paraId="65B89D52" w14:textId="77777777" w:rsidR="00F57191" w:rsidRPr="00B25FDD" w:rsidRDefault="00F57191" w:rsidP="00F57191">
      <w:pPr>
        <w:rPr>
          <w:lang w:val="en-GB"/>
        </w:rPr>
      </w:pPr>
      <w:r w:rsidRPr="00B25FDD">
        <w:rPr>
          <w:lang w:val="en-GB"/>
        </w:rPr>
        <w:t xml:space="preserve">In any case, two considerations are essential to the process of measuring, estimating and reporting on </w:t>
      </w:r>
      <w:r w:rsidRPr="00B25FDD">
        <w:rPr>
          <w:lang w:val="en-GB" w:eastAsia="zh-CN"/>
        </w:rPr>
        <w:t>population</w:t>
      </w:r>
      <w:r w:rsidRPr="00B25FDD">
        <w:rPr>
          <w:lang w:val="en-GB"/>
        </w:rPr>
        <w:t xml:space="preserve"> coverage:</w:t>
      </w:r>
    </w:p>
    <w:p w14:paraId="76783A30" w14:textId="77777777" w:rsidR="00F57191" w:rsidRPr="00B25FDD" w:rsidRDefault="00F57191" w:rsidP="00F57191">
      <w:pPr>
        <w:pStyle w:val="enumlev1"/>
        <w:rPr>
          <w:lang w:val="en-GB"/>
        </w:rPr>
      </w:pPr>
      <w:r w:rsidRPr="00B25FDD">
        <w:rPr>
          <w:lang w:val="en-GB"/>
        </w:rPr>
        <w:t>–</w:t>
      </w:r>
      <w:r w:rsidRPr="00B25FDD">
        <w:rPr>
          <w:b/>
          <w:bCs/>
          <w:lang w:val="en-GB"/>
        </w:rPr>
        <w:tab/>
      </w:r>
      <w:r w:rsidRPr="00B25FDD">
        <w:rPr>
          <w:lang w:val="en-GB"/>
        </w:rPr>
        <w:t>radio service</w:t>
      </w:r>
      <w:r w:rsidRPr="00B25FDD">
        <w:rPr>
          <w:b/>
          <w:bCs/>
          <w:lang w:val="en-GB"/>
        </w:rPr>
        <w:t xml:space="preserve"> </w:t>
      </w:r>
      <w:r w:rsidRPr="00B25FDD">
        <w:rPr>
          <w:lang w:val="en-GB"/>
        </w:rPr>
        <w:t>performance metrics</w:t>
      </w:r>
    </w:p>
    <w:p w14:paraId="7D5D36C0" w14:textId="04F1E429" w:rsidR="00F57191" w:rsidRPr="00B25FDD" w:rsidRDefault="00F57191" w:rsidP="00F57191">
      <w:pPr>
        <w:pStyle w:val="enumlev1"/>
        <w:rPr>
          <w:lang w:val="en-GB"/>
        </w:rPr>
      </w:pPr>
      <w:r w:rsidRPr="00B25FDD">
        <w:rPr>
          <w:lang w:val="en-GB"/>
        </w:rPr>
        <w:t>–</w:t>
      </w:r>
      <w:r w:rsidRPr="00B25FDD">
        <w:rPr>
          <w:lang w:val="en-GB"/>
        </w:rPr>
        <w:tab/>
        <w:t>presentation of population coverage</w:t>
      </w:r>
      <w:bookmarkEnd w:id="13"/>
      <w:r w:rsidR="00482862" w:rsidRPr="00B25FDD">
        <w:rPr>
          <w:lang w:val="en-GB"/>
        </w:rPr>
        <w:t>.</w:t>
      </w:r>
    </w:p>
    <w:p w14:paraId="7C0A5291" w14:textId="77777777" w:rsidR="00F57191" w:rsidRPr="00B25FDD" w:rsidRDefault="00F57191" w:rsidP="00F57191">
      <w:pPr>
        <w:rPr>
          <w:lang w:val="en-GB" w:eastAsia="zh-CN"/>
        </w:rPr>
      </w:pPr>
      <w:r w:rsidRPr="00B25FDD">
        <w:rPr>
          <w:lang w:val="en-GB" w:eastAsia="zh-CN"/>
        </w:rPr>
        <w:t>Population coverage estimations should always be performed by an experienced research team using the most current available data.</w:t>
      </w:r>
    </w:p>
    <w:p w14:paraId="330E7764" w14:textId="77777777" w:rsidR="00F57191" w:rsidRPr="00B25FDD" w:rsidRDefault="00F57191" w:rsidP="00F57191">
      <w:pPr>
        <w:pStyle w:val="Heading2"/>
        <w:rPr>
          <w:lang w:val="en-GB" w:eastAsia="zh-CN"/>
        </w:rPr>
      </w:pPr>
      <w:r w:rsidRPr="00B25FDD">
        <w:rPr>
          <w:lang w:val="en-GB" w:eastAsia="zh-CN"/>
        </w:rPr>
        <w:lastRenderedPageBreak/>
        <w:t>4.2</w:t>
      </w:r>
      <w:r w:rsidRPr="00B25FDD">
        <w:rPr>
          <w:lang w:val="en-GB" w:eastAsia="zh-CN"/>
        </w:rPr>
        <w:tab/>
        <w:t>Global and local basis</w:t>
      </w:r>
    </w:p>
    <w:p w14:paraId="4D0714C3" w14:textId="77777777" w:rsidR="00F57191" w:rsidRPr="00B25FDD" w:rsidRDefault="00F57191" w:rsidP="00F57191">
      <w:pPr>
        <w:rPr>
          <w:lang w:val="en-GB" w:eastAsia="zh-CN"/>
        </w:rPr>
      </w:pPr>
      <w:r w:rsidRPr="00B25FDD">
        <w:rPr>
          <w:lang w:val="en-GB" w:eastAsia="zh-CN"/>
        </w:rPr>
        <w:t>Population coverage can be estimated using two different bases:</w:t>
      </w:r>
    </w:p>
    <w:p w14:paraId="23B46A16" w14:textId="77777777" w:rsidR="00F57191" w:rsidRPr="00B25FDD" w:rsidRDefault="00F57191" w:rsidP="00F57191">
      <w:pPr>
        <w:pStyle w:val="enumlev1"/>
        <w:rPr>
          <w:szCs w:val="24"/>
          <w:lang w:val="en-GB"/>
        </w:rPr>
      </w:pPr>
      <w:r w:rsidRPr="00B25FDD">
        <w:rPr>
          <w:lang w:val="en-GB" w:eastAsia="zh-CN"/>
        </w:rPr>
        <w:t>–</w:t>
      </w:r>
      <w:r w:rsidRPr="00B25FDD">
        <w:rPr>
          <w:lang w:val="en-GB" w:eastAsia="zh-CN"/>
        </w:rPr>
        <w:tab/>
        <w:t>global basis</w:t>
      </w:r>
    </w:p>
    <w:p w14:paraId="5B56A163" w14:textId="77777777" w:rsidR="00F57191" w:rsidRPr="00B25FDD" w:rsidRDefault="00F57191" w:rsidP="00F57191">
      <w:pPr>
        <w:pStyle w:val="enumlev1"/>
        <w:rPr>
          <w:szCs w:val="24"/>
          <w:lang w:val="en-GB"/>
        </w:rPr>
      </w:pPr>
      <w:r w:rsidRPr="00B25FDD">
        <w:rPr>
          <w:lang w:val="en-GB" w:eastAsia="zh-CN"/>
        </w:rPr>
        <w:t>–</w:t>
      </w:r>
      <w:r w:rsidRPr="00B25FDD">
        <w:rPr>
          <w:lang w:val="en-GB" w:eastAsia="zh-CN"/>
        </w:rPr>
        <w:tab/>
        <w:t>local basis.</w:t>
      </w:r>
    </w:p>
    <w:p w14:paraId="257A332D" w14:textId="77777777" w:rsidR="00F57191" w:rsidRPr="00B25FDD" w:rsidRDefault="00F57191" w:rsidP="00F57191">
      <w:pPr>
        <w:rPr>
          <w:lang w:val="en-GB"/>
        </w:rPr>
      </w:pPr>
      <w:r w:rsidRPr="00B25FDD">
        <w:rPr>
          <w:lang w:val="en-GB" w:eastAsia="zh-CN"/>
        </w:rPr>
        <w:t xml:space="preserve">Global basis assesses the penetration of </w:t>
      </w:r>
      <w:r w:rsidRPr="00B25FDD">
        <w:rPr>
          <w:lang w:val="en-GB"/>
        </w:rPr>
        <w:t>certain radio technologies into the infrastructure of the entire world (or a specific country) and identifies the territories not yet covered.</w:t>
      </w:r>
    </w:p>
    <w:p w14:paraId="5C0A0184" w14:textId="77777777" w:rsidR="00F57191" w:rsidRPr="00B25FDD" w:rsidRDefault="00F57191" w:rsidP="00F57191">
      <w:pPr>
        <w:rPr>
          <w:lang w:val="en-GB" w:eastAsia="zh-CN"/>
        </w:rPr>
      </w:pPr>
      <w:r w:rsidRPr="00B25FDD">
        <w:rPr>
          <w:lang w:val="en-GB" w:eastAsia="zh-CN"/>
        </w:rPr>
        <w:t xml:space="preserve">The estimation of population coverage </w:t>
      </w:r>
      <w:r w:rsidRPr="00B25FDD">
        <w:rPr>
          <w:spacing w:val="-1"/>
          <w:lang w:val="en-GB" w:eastAsia="zh-CN"/>
        </w:rPr>
        <w:t>on a global basis is used to determine:</w:t>
      </w:r>
    </w:p>
    <w:p w14:paraId="06E8F954" w14:textId="77777777" w:rsidR="00F57191" w:rsidRPr="00B25FDD" w:rsidRDefault="00F57191" w:rsidP="00F57191">
      <w:pPr>
        <w:pStyle w:val="enumlev1"/>
        <w:rPr>
          <w:lang w:val="en-GB"/>
        </w:rPr>
      </w:pPr>
      <w:r w:rsidRPr="00B25FDD">
        <w:rPr>
          <w:lang w:val="en-GB"/>
        </w:rPr>
        <w:t>–</w:t>
      </w:r>
      <w:r w:rsidRPr="00B25FDD">
        <w:rPr>
          <w:lang w:val="en-GB"/>
        </w:rPr>
        <w:tab/>
        <w:t xml:space="preserve">the </w:t>
      </w:r>
      <w:r w:rsidRPr="00B25FDD">
        <w:rPr>
          <w:lang w:val="en-GB" w:eastAsia="zh-CN"/>
        </w:rPr>
        <w:t>population coverage per technology (t</w:t>
      </w:r>
      <w:r w:rsidRPr="00B25FDD">
        <w:rPr>
          <w:lang w:val="en-GB"/>
        </w:rPr>
        <w:t>echnological population coverage)</w:t>
      </w:r>
    </w:p>
    <w:p w14:paraId="32B1ACDC" w14:textId="77777777" w:rsidR="00F57191" w:rsidRPr="00B25FDD" w:rsidRDefault="00F57191" w:rsidP="00F57191">
      <w:pPr>
        <w:pStyle w:val="enumlev1"/>
        <w:rPr>
          <w:lang w:val="en-GB"/>
        </w:rPr>
      </w:pPr>
      <w:r w:rsidRPr="00B25FDD">
        <w:rPr>
          <w:lang w:val="en-GB"/>
        </w:rPr>
        <w:t>–</w:t>
      </w:r>
      <w:r w:rsidRPr="00B25FDD">
        <w:rPr>
          <w:lang w:val="en-GB"/>
        </w:rPr>
        <w:tab/>
        <w:t xml:space="preserve">the </w:t>
      </w:r>
      <w:r w:rsidRPr="00B25FDD">
        <w:rPr>
          <w:lang w:val="en-GB" w:eastAsia="zh-CN"/>
        </w:rPr>
        <w:t>population coverage in a certain region (</w:t>
      </w:r>
      <w:r w:rsidRPr="00B25FDD">
        <w:rPr>
          <w:lang w:val="en-GB"/>
        </w:rPr>
        <w:t>regional population coverage)</w:t>
      </w:r>
      <w:r w:rsidRPr="00B25FDD">
        <w:rPr>
          <w:lang w:val="en-GB" w:eastAsia="zh-CN"/>
        </w:rPr>
        <w:t>.</w:t>
      </w:r>
    </w:p>
    <w:p w14:paraId="6541473D" w14:textId="77777777" w:rsidR="00F57191" w:rsidRPr="00B25FDD" w:rsidRDefault="00F57191" w:rsidP="00F57191">
      <w:pPr>
        <w:rPr>
          <w:lang w:val="en-GB"/>
        </w:rPr>
      </w:pPr>
      <w:r w:rsidRPr="00B25FDD">
        <w:rPr>
          <w:spacing w:val="-1"/>
          <w:lang w:val="en-GB"/>
        </w:rPr>
        <w:t xml:space="preserve">In most cases, estimations of </w:t>
      </w:r>
      <w:r w:rsidRPr="00B25FDD">
        <w:rPr>
          <w:lang w:val="en-GB" w:eastAsia="zh-CN"/>
        </w:rPr>
        <w:t>global t</w:t>
      </w:r>
      <w:r w:rsidRPr="00B25FDD">
        <w:rPr>
          <w:lang w:val="en-GB"/>
        </w:rPr>
        <w:t>echnological and regional</w:t>
      </w:r>
      <w:r w:rsidRPr="00B25FDD">
        <w:rPr>
          <w:shd w:val="clear" w:color="auto" w:fill="FFFFFF"/>
          <w:lang w:val="en-GB"/>
        </w:rPr>
        <w:t xml:space="preserve"> </w:t>
      </w:r>
      <w:r w:rsidRPr="00B25FDD">
        <w:rPr>
          <w:lang w:val="en-GB" w:eastAsia="zh-CN"/>
        </w:rPr>
        <w:t>population coverage are based on surveys of operators and the appropriate NRA</w:t>
      </w:r>
      <w:r w:rsidRPr="00B25FDD">
        <w:rPr>
          <w:lang w:val="en-GB"/>
        </w:rPr>
        <w:t xml:space="preserve">. </w:t>
      </w:r>
    </w:p>
    <w:p w14:paraId="1456EEC4" w14:textId="77777777" w:rsidR="00F57191" w:rsidRPr="00B25FDD" w:rsidRDefault="00F57191" w:rsidP="00F57191">
      <w:pPr>
        <w:rPr>
          <w:lang w:val="en-GB" w:eastAsia="zh-CN"/>
        </w:rPr>
      </w:pPr>
      <w:r w:rsidRPr="00B25FDD">
        <w:rPr>
          <w:lang w:val="en-GB" w:eastAsia="zh-CN"/>
        </w:rPr>
        <w:t>For example, in the EU and the UK, the NUTS classification (Nomenclature of territorial units for statistics) was established as a hierarchical system for dividing up the economic territory for the purpose of:</w:t>
      </w:r>
    </w:p>
    <w:p w14:paraId="6612957D" w14:textId="77777777" w:rsidR="00F57191" w:rsidRPr="00B25FDD" w:rsidRDefault="00F57191" w:rsidP="00F57191">
      <w:pPr>
        <w:pStyle w:val="enumlev1"/>
        <w:rPr>
          <w:lang w:val="en-GB" w:eastAsia="zh-CN"/>
        </w:rPr>
      </w:pPr>
      <w:r w:rsidRPr="00B25FDD">
        <w:rPr>
          <w:lang w:val="en-GB"/>
        </w:rPr>
        <w:t>–</w:t>
      </w:r>
      <w:r w:rsidRPr="00B25FDD">
        <w:rPr>
          <w:lang w:val="en-GB"/>
        </w:rPr>
        <w:tab/>
      </w:r>
      <w:r w:rsidRPr="00B25FDD">
        <w:rPr>
          <w:lang w:val="en-GB" w:eastAsia="zh-CN"/>
        </w:rPr>
        <w:t>collection, development and harmonisation of European regional statistics,</w:t>
      </w:r>
    </w:p>
    <w:p w14:paraId="71FDD6C4" w14:textId="77777777" w:rsidR="00F57191" w:rsidRPr="00B25FDD" w:rsidRDefault="00F57191" w:rsidP="00F57191">
      <w:pPr>
        <w:pStyle w:val="enumlev1"/>
        <w:rPr>
          <w:lang w:val="en-GB" w:eastAsia="zh-CN"/>
        </w:rPr>
      </w:pPr>
      <w:r w:rsidRPr="00B25FDD">
        <w:rPr>
          <w:lang w:val="en-GB"/>
        </w:rPr>
        <w:t>–</w:t>
      </w:r>
      <w:r w:rsidRPr="00B25FDD">
        <w:rPr>
          <w:lang w:val="en-GB"/>
        </w:rPr>
        <w:tab/>
      </w:r>
      <w:r w:rsidRPr="00B25FDD">
        <w:rPr>
          <w:lang w:val="en-GB" w:eastAsia="zh-CN"/>
        </w:rPr>
        <w:t xml:space="preserve">socio-economic analyses of the regions  </w:t>
      </w:r>
    </w:p>
    <w:p w14:paraId="32250ECC" w14:textId="0FD8FEBB" w:rsidR="00F57191" w:rsidRPr="00B25FDD" w:rsidRDefault="00F57191" w:rsidP="00F57191">
      <w:pPr>
        <w:pStyle w:val="enumlev2"/>
        <w:rPr>
          <w:lang w:val="en-GB" w:eastAsia="zh-CN"/>
        </w:rPr>
      </w:pPr>
      <w:r w:rsidRPr="00B25FDD">
        <w:rPr>
          <w:lang w:val="en-GB" w:eastAsia="zh-CN"/>
        </w:rPr>
        <w:t>NUTS 1: major socio-economic regions</w:t>
      </w:r>
    </w:p>
    <w:p w14:paraId="52B569AC" w14:textId="67789859" w:rsidR="00F57191" w:rsidRPr="00B25FDD" w:rsidRDefault="00F57191" w:rsidP="00F57191">
      <w:pPr>
        <w:pStyle w:val="enumlev2"/>
        <w:rPr>
          <w:lang w:val="en-GB" w:eastAsia="zh-CN"/>
        </w:rPr>
      </w:pPr>
      <w:r w:rsidRPr="00B25FDD">
        <w:rPr>
          <w:lang w:val="en-GB" w:eastAsia="zh-CN"/>
        </w:rPr>
        <w:t>NUTS 2: basic regions for the application of regional policies</w:t>
      </w:r>
    </w:p>
    <w:p w14:paraId="14A3C2DB" w14:textId="63457B2F" w:rsidR="00F57191" w:rsidRPr="00B25FDD" w:rsidRDefault="00F57191" w:rsidP="00F57191">
      <w:pPr>
        <w:pStyle w:val="enumlev2"/>
        <w:rPr>
          <w:lang w:val="en-GB" w:eastAsia="zh-CN"/>
        </w:rPr>
      </w:pPr>
      <w:r w:rsidRPr="00B25FDD">
        <w:rPr>
          <w:lang w:val="en-GB" w:eastAsia="zh-CN"/>
        </w:rPr>
        <w:t xml:space="preserve">NUTS 3: small regions for specific diagnoses </w:t>
      </w:r>
    </w:p>
    <w:p w14:paraId="6976F717" w14:textId="77777777" w:rsidR="00F57191" w:rsidRPr="00B25FDD" w:rsidRDefault="00F57191" w:rsidP="00F57191">
      <w:pPr>
        <w:rPr>
          <w:lang w:val="en-GB" w:eastAsia="zh-CN"/>
        </w:rPr>
      </w:pPr>
      <w:r w:rsidRPr="00B25FDD">
        <w:rPr>
          <w:lang w:val="en-GB" w:eastAsia="zh-CN"/>
        </w:rPr>
        <w:t xml:space="preserve">Preliminary population coverage from a global basis is determined at the </w:t>
      </w:r>
      <w:r w:rsidRPr="00B25FDD">
        <w:rPr>
          <w:shd w:val="clear" w:color="auto" w:fill="FFFFFF"/>
          <w:lang w:val="en-GB"/>
        </w:rPr>
        <w:t xml:space="preserve">NUTS 3 level. Annually, Eurostat publishes data on the average number of households for each country together with population data. </w:t>
      </w:r>
      <w:r w:rsidRPr="00B25FDD">
        <w:rPr>
          <w:lang w:val="en-GB" w:eastAsia="zh-CN"/>
        </w:rPr>
        <w:t xml:space="preserve">This approach allows a research team to maintain </w:t>
      </w:r>
      <w:r w:rsidRPr="00B25FDD">
        <w:rPr>
          <w:lang w:val="en-GB"/>
        </w:rPr>
        <w:t>a consistent</w:t>
      </w:r>
      <w:r w:rsidRPr="00B25FDD">
        <w:rPr>
          <w:lang w:val="en-GB" w:eastAsia="zh-CN"/>
        </w:rPr>
        <w:t xml:space="preserve"> population coverage methodology across all tested countries using one source of data. To make determining the number of homes processed in each NUTS 3 region easier for respondents, the research team provides guidance by including the total number of households in each area.</w:t>
      </w:r>
    </w:p>
    <w:p w14:paraId="13F21BA7" w14:textId="77777777" w:rsidR="00F57191" w:rsidRPr="00B25FDD" w:rsidRDefault="00F57191" w:rsidP="00F57191">
      <w:pPr>
        <w:rPr>
          <w:spacing w:val="-2"/>
          <w:lang w:val="en-GB"/>
        </w:rPr>
      </w:pPr>
      <w:r w:rsidRPr="00B25FDD">
        <w:rPr>
          <w:spacing w:val="-2"/>
          <w:lang w:val="en-GB"/>
        </w:rPr>
        <w:t>Estimations of</w:t>
      </w:r>
      <w:r w:rsidRPr="00B25FDD">
        <w:rPr>
          <w:spacing w:val="-2"/>
          <w:lang w:val="en-GB" w:eastAsia="zh-CN"/>
        </w:rPr>
        <w:t xml:space="preserve"> population coverage are performed on a local basis to </w:t>
      </w:r>
      <w:r w:rsidRPr="00B25FDD">
        <w:rPr>
          <w:spacing w:val="-2"/>
          <w:lang w:val="en-GB"/>
        </w:rPr>
        <w:t xml:space="preserve">verify the match between radio service obligations and real coverage areas. They are also performed </w:t>
      </w:r>
      <w:r w:rsidRPr="00B25FDD">
        <w:rPr>
          <w:spacing w:val="-2"/>
          <w:lang w:val="en-GB" w:eastAsia="zh-CN"/>
        </w:rPr>
        <w:t>to determine</w:t>
      </w:r>
      <w:r w:rsidRPr="00B25FDD">
        <w:rPr>
          <w:spacing w:val="-2"/>
          <w:lang w:val="en-GB"/>
        </w:rPr>
        <w:t xml:space="preserve"> differences between rural and urban population coverage, the uncovered areas, and main directions of population expansion at the country level.</w:t>
      </w:r>
    </w:p>
    <w:p w14:paraId="4A1B9788" w14:textId="77777777" w:rsidR="00F57191" w:rsidRPr="00B25FDD" w:rsidRDefault="00F57191" w:rsidP="00F57191">
      <w:pPr>
        <w:pStyle w:val="Heading1"/>
        <w:rPr>
          <w:lang w:val="en-GB"/>
        </w:rPr>
      </w:pPr>
      <w:r w:rsidRPr="00B25FDD">
        <w:rPr>
          <w:lang w:val="en-GB"/>
        </w:rPr>
        <w:t>5</w:t>
      </w:r>
      <w:r w:rsidRPr="00B25FDD">
        <w:rPr>
          <w:lang w:val="en-GB"/>
        </w:rPr>
        <w:tab/>
        <w:t>Methods for estimation of population coverage</w:t>
      </w:r>
    </w:p>
    <w:p w14:paraId="1F910949" w14:textId="77777777" w:rsidR="00F57191" w:rsidRPr="00B25FDD" w:rsidRDefault="00F57191" w:rsidP="00BE2E24">
      <w:pPr>
        <w:rPr>
          <w:lang w:val="en-GB" w:eastAsia="zh-CN"/>
        </w:rPr>
      </w:pPr>
      <w:r w:rsidRPr="00B25FDD">
        <w:rPr>
          <w:lang w:val="en-GB" w:eastAsia="zh-CN"/>
        </w:rPr>
        <w:t>The primary methods used to estimate population coverage are:</w:t>
      </w:r>
    </w:p>
    <w:p w14:paraId="1A1DF6EF"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prediction based on mathematical modelling</w:t>
      </w:r>
    </w:p>
    <w:p w14:paraId="0A96F842"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measurement</w:t>
      </w:r>
    </w:p>
    <w:p w14:paraId="5CBEAFC0"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polling (by survey).</w:t>
      </w:r>
    </w:p>
    <w:p w14:paraId="1A69464C" w14:textId="77777777" w:rsidR="00F57191" w:rsidRPr="00B25FDD" w:rsidRDefault="00F57191" w:rsidP="00F57191">
      <w:pPr>
        <w:pStyle w:val="Heading2"/>
        <w:rPr>
          <w:lang w:val="en-GB" w:eastAsia="zh-CN"/>
        </w:rPr>
      </w:pPr>
      <w:r w:rsidRPr="00B25FDD">
        <w:rPr>
          <w:lang w:val="en-GB" w:eastAsia="zh-CN"/>
        </w:rPr>
        <w:t xml:space="preserve">5.1 </w:t>
      </w:r>
      <w:r w:rsidRPr="00B25FDD">
        <w:rPr>
          <w:lang w:val="en-GB" w:eastAsia="zh-CN"/>
        </w:rPr>
        <w:tab/>
        <w:t>Prediction</w:t>
      </w:r>
    </w:p>
    <w:p w14:paraId="53BA9A84" w14:textId="77777777" w:rsidR="00F57191" w:rsidRPr="00B25FDD" w:rsidRDefault="00F57191" w:rsidP="00F57191">
      <w:pPr>
        <w:rPr>
          <w:szCs w:val="24"/>
          <w:lang w:val="en-GB" w:eastAsia="zh-CN"/>
        </w:rPr>
      </w:pPr>
      <w:r w:rsidRPr="00B25FDD">
        <w:rPr>
          <w:szCs w:val="24"/>
          <w:lang w:val="en-GB" w:eastAsia="zh-CN"/>
        </w:rPr>
        <w:t>Prediction of population coverage is based on modelling of the coverage area. Methods to predict covered areas are described in ITU-R Recommendations and Reports, for example:</w:t>
      </w:r>
    </w:p>
    <w:p w14:paraId="38C689AD" w14:textId="77777777" w:rsidR="00F57191" w:rsidRPr="00B25FDD" w:rsidRDefault="00F57191" w:rsidP="00F57191">
      <w:pPr>
        <w:pStyle w:val="enumlev1"/>
        <w:rPr>
          <w:lang w:val="en-GB"/>
        </w:rPr>
      </w:pPr>
      <w:r w:rsidRPr="00B25FDD">
        <w:rPr>
          <w:lang w:val="en-GB"/>
        </w:rPr>
        <w:t>–</w:t>
      </w:r>
      <w:r w:rsidRPr="00B25FDD">
        <w:rPr>
          <w:lang w:val="en-GB"/>
        </w:rPr>
        <w:tab/>
        <w:t xml:space="preserve">Recommendation ITU-R </w:t>
      </w:r>
      <w:hyperlink r:id="rId14" w:history="1">
        <w:r w:rsidRPr="00B25FDD">
          <w:rPr>
            <w:rStyle w:val="Hyperlink"/>
            <w:color w:val="auto"/>
            <w:u w:val="none"/>
            <w:lang w:val="en-GB"/>
          </w:rPr>
          <w:t>P.1546</w:t>
        </w:r>
      </w:hyperlink>
      <w:r w:rsidRPr="00B25FDD">
        <w:rPr>
          <w:lang w:val="en-GB"/>
        </w:rPr>
        <w:t xml:space="preserve"> </w:t>
      </w:r>
      <w:r w:rsidRPr="00B25FDD">
        <w:rPr>
          <w:lang w:val="en-GB" w:eastAsia="zh-CN"/>
        </w:rPr>
        <w:t xml:space="preserve">[2] </w:t>
      </w:r>
      <w:r w:rsidRPr="00B25FDD">
        <w:rPr>
          <w:lang w:val="en-GB"/>
        </w:rPr>
        <w:t>describes the method</w:t>
      </w:r>
      <w:r w:rsidRPr="00B25FDD">
        <w:rPr>
          <w:lang w:val="en-GB" w:eastAsia="zh-CN"/>
        </w:rPr>
        <w:t xml:space="preserve"> for calculation of predicted field strength </w:t>
      </w:r>
      <w:r w:rsidRPr="00B25FDD">
        <w:rPr>
          <w:lang w:val="en-GB"/>
        </w:rPr>
        <w:t>for point-to-area terrestrial services in the frequency range from 30 MHz to 3 GHz.</w:t>
      </w:r>
    </w:p>
    <w:p w14:paraId="339C95E1" w14:textId="77777777" w:rsidR="00F57191" w:rsidRPr="00B25FDD" w:rsidRDefault="00F57191" w:rsidP="00F57191">
      <w:pPr>
        <w:pStyle w:val="enumlev1"/>
        <w:rPr>
          <w:lang w:val="en-GB"/>
        </w:rPr>
      </w:pPr>
      <w:r w:rsidRPr="00B25FDD">
        <w:rPr>
          <w:lang w:val="en-GB"/>
        </w:rPr>
        <w:lastRenderedPageBreak/>
        <w:t>–</w:t>
      </w:r>
      <w:r w:rsidRPr="00B25FDD">
        <w:rPr>
          <w:lang w:val="en-GB"/>
        </w:rPr>
        <w:tab/>
        <w:t xml:space="preserve">Recommendation ITU-R </w:t>
      </w:r>
      <w:hyperlink r:id="rId15" w:history="1">
        <w:r w:rsidRPr="00B25FDD">
          <w:rPr>
            <w:rStyle w:val="Hyperlink"/>
            <w:color w:val="auto"/>
            <w:u w:val="none"/>
            <w:lang w:val="en-GB"/>
          </w:rPr>
          <w:t>P.1812</w:t>
        </w:r>
      </w:hyperlink>
      <w:r w:rsidRPr="00B25FDD">
        <w:rPr>
          <w:lang w:val="en-GB"/>
        </w:rPr>
        <w:t xml:space="preserve"> </w:t>
      </w:r>
      <w:r w:rsidRPr="00B25FDD">
        <w:rPr>
          <w:lang w:val="en-GB" w:eastAsia="zh-CN"/>
        </w:rPr>
        <w:t xml:space="preserve">[3] </w:t>
      </w:r>
      <w:r w:rsidRPr="00B25FDD">
        <w:rPr>
          <w:lang w:val="en-GB"/>
        </w:rPr>
        <w:t>describes the prediction method</w:t>
      </w:r>
      <w:r w:rsidRPr="00B25FDD">
        <w:rPr>
          <w:lang w:val="en-GB" w:eastAsia="zh-CN"/>
        </w:rPr>
        <w:t xml:space="preserve"> for calculation of a </w:t>
      </w:r>
      <w:r w:rsidRPr="00B25FDD">
        <w:rPr>
          <w:lang w:val="en-GB"/>
        </w:rPr>
        <w:t>path-specific propagation for point-to-area terrestrial services in the VHF and UHF bands.</w:t>
      </w:r>
    </w:p>
    <w:p w14:paraId="192E9F06" w14:textId="77777777" w:rsidR="00F57191" w:rsidRPr="00B25FDD" w:rsidRDefault="00F57191" w:rsidP="00F57191">
      <w:pPr>
        <w:pStyle w:val="enumlev1"/>
        <w:rPr>
          <w:lang w:val="en-GB"/>
        </w:rPr>
      </w:pPr>
      <w:r w:rsidRPr="00B25FDD">
        <w:rPr>
          <w:lang w:val="en-GB" w:eastAsia="zh-CN"/>
        </w:rPr>
        <w:t>–</w:t>
      </w:r>
      <w:r w:rsidRPr="00B25FDD">
        <w:rPr>
          <w:lang w:val="en-GB" w:eastAsia="zh-CN"/>
        </w:rPr>
        <w:tab/>
        <w:t xml:space="preserve">Recommendation ITU-R </w:t>
      </w:r>
      <w:hyperlink r:id="rId16" w:history="1">
        <w:r w:rsidRPr="00B25FDD">
          <w:rPr>
            <w:rStyle w:val="Hyperlink"/>
            <w:color w:val="auto"/>
            <w:u w:val="none"/>
            <w:lang w:val="en-GB" w:eastAsia="zh-CN"/>
          </w:rPr>
          <w:t>P.525</w:t>
        </w:r>
      </w:hyperlink>
      <w:r w:rsidRPr="00B25FDD">
        <w:rPr>
          <w:lang w:val="en-GB" w:eastAsia="zh-CN"/>
        </w:rPr>
        <w:t xml:space="preserve"> [4]</w:t>
      </w:r>
      <w:r w:rsidRPr="00B25FDD">
        <w:rPr>
          <w:lang w:val="en-GB"/>
        </w:rPr>
        <w:t xml:space="preserve"> describes the method</w:t>
      </w:r>
      <w:r w:rsidRPr="00B25FDD">
        <w:rPr>
          <w:lang w:val="en-GB" w:eastAsia="zh-CN"/>
        </w:rPr>
        <w:t xml:space="preserve"> for calculation of free-space attenuation.</w:t>
      </w:r>
    </w:p>
    <w:p w14:paraId="2C976B31" w14:textId="77777777" w:rsidR="00F57191" w:rsidRPr="00B25FDD" w:rsidRDefault="00F57191" w:rsidP="00F57191">
      <w:pPr>
        <w:pStyle w:val="Heading2"/>
        <w:rPr>
          <w:lang w:val="en-GB" w:eastAsia="zh-CN"/>
        </w:rPr>
      </w:pPr>
      <w:r w:rsidRPr="00B25FDD">
        <w:rPr>
          <w:lang w:val="en-GB" w:eastAsia="zh-CN"/>
        </w:rPr>
        <w:t xml:space="preserve">5.2 </w:t>
      </w:r>
      <w:r w:rsidRPr="00B25FDD">
        <w:rPr>
          <w:lang w:val="en-GB" w:eastAsia="zh-CN"/>
        </w:rPr>
        <w:tab/>
        <w:t>Measurement</w:t>
      </w:r>
    </w:p>
    <w:p w14:paraId="47F8119D" w14:textId="77777777" w:rsidR="00F57191" w:rsidRPr="00B25FDD" w:rsidRDefault="00F57191" w:rsidP="00F57191">
      <w:pPr>
        <w:rPr>
          <w:lang w:val="en-GB" w:eastAsia="zh-CN"/>
        </w:rPr>
      </w:pPr>
      <w:r w:rsidRPr="00B25FDD">
        <w:rPr>
          <w:szCs w:val="24"/>
          <w:lang w:val="en-GB" w:eastAsia="zh-CN"/>
        </w:rPr>
        <w:t>The measurement of population coverage</w:t>
      </w:r>
      <w:r w:rsidRPr="00B25FDD">
        <w:rPr>
          <w:lang w:val="en-GB" w:eastAsia="zh-CN"/>
        </w:rPr>
        <w:t xml:space="preserve"> is </w:t>
      </w:r>
      <w:r w:rsidRPr="00B25FDD">
        <w:rPr>
          <w:szCs w:val="24"/>
          <w:lang w:val="en-GB" w:eastAsia="zh-CN"/>
        </w:rPr>
        <w:t>based on a specific coverage area and is applied on a local basis. For example, t</w:t>
      </w:r>
      <w:r w:rsidRPr="00B25FDD">
        <w:rPr>
          <w:lang w:val="en-GB" w:eastAsia="zh-CN"/>
        </w:rPr>
        <w:t xml:space="preserve">he term ‘covered’ is defined for DVB-T/T2 </w:t>
      </w:r>
      <w:r w:rsidRPr="00B25FDD">
        <w:rPr>
          <w:szCs w:val="24"/>
          <w:lang w:val="en-GB"/>
        </w:rPr>
        <w:t>networks</w:t>
      </w:r>
      <w:r w:rsidRPr="00B25FDD">
        <w:rPr>
          <w:lang w:val="en-GB" w:eastAsia="zh-CN"/>
        </w:rPr>
        <w:t xml:space="preserve"> as follows: “A certain area is regarded as being ‘covered’ by DVB-T/T2, when the median field strength for the particular receiving situation in a specified height above ground (often 10m) and protection ratio reach or exceed the values given in relevant planning documents” [5].</w:t>
      </w:r>
    </w:p>
    <w:p w14:paraId="12C89392" w14:textId="77777777" w:rsidR="00F57191" w:rsidRPr="00B25FDD" w:rsidRDefault="00F57191" w:rsidP="00F57191">
      <w:pPr>
        <w:rPr>
          <w:lang w:val="en-GB" w:eastAsia="zh-CN"/>
        </w:rPr>
      </w:pPr>
      <w:r w:rsidRPr="00B25FDD">
        <w:rPr>
          <w:spacing w:val="-2"/>
          <w:lang w:val="en-GB"/>
        </w:rPr>
        <w:t xml:space="preserve">The main </w:t>
      </w:r>
      <w:r w:rsidRPr="00B25FDD">
        <w:rPr>
          <w:lang w:val="en-GB" w:eastAsia="zh-CN"/>
        </w:rPr>
        <w:t>principles and procedures for estimating fixed and mobile area coverage of the standards DVB-T/T2 using measurement data,</w:t>
      </w:r>
      <w:r w:rsidRPr="00B25FDD">
        <w:rPr>
          <w:spacing w:val="-2"/>
          <w:lang w:val="en-GB"/>
        </w:rPr>
        <w:t xml:space="preserve"> are described in Recommendation ITU-R </w:t>
      </w:r>
      <w:hyperlink r:id="rId17" w:history="1">
        <w:r w:rsidRPr="00B25FDD">
          <w:rPr>
            <w:rStyle w:val="Hyperlink"/>
            <w:color w:val="auto"/>
            <w:spacing w:val="-2"/>
            <w:u w:val="none"/>
            <w:lang w:val="en-GB"/>
          </w:rPr>
          <w:t>SM.1875</w:t>
        </w:r>
      </w:hyperlink>
      <w:r w:rsidRPr="00B25FDD">
        <w:rPr>
          <w:spacing w:val="-2"/>
          <w:lang w:val="en-GB"/>
        </w:rPr>
        <w:t xml:space="preserve"> </w:t>
      </w:r>
      <w:r w:rsidRPr="00B25FDD">
        <w:rPr>
          <w:lang w:val="en-GB" w:eastAsia="zh-CN"/>
        </w:rPr>
        <w:t>[5].</w:t>
      </w:r>
    </w:p>
    <w:p w14:paraId="33D21238" w14:textId="77777777" w:rsidR="00F57191" w:rsidRPr="00B25FDD" w:rsidRDefault="00F57191" w:rsidP="00F57191">
      <w:pPr>
        <w:pStyle w:val="Heading2"/>
        <w:rPr>
          <w:lang w:val="en-GB"/>
        </w:rPr>
      </w:pPr>
      <w:r w:rsidRPr="00B25FDD">
        <w:rPr>
          <w:lang w:val="en-GB"/>
        </w:rPr>
        <w:t xml:space="preserve">5.3 </w:t>
      </w:r>
      <w:r w:rsidRPr="00B25FDD">
        <w:rPr>
          <w:lang w:val="en-GB"/>
        </w:rPr>
        <w:tab/>
        <w:t>Polling</w:t>
      </w:r>
    </w:p>
    <w:p w14:paraId="1D11C171" w14:textId="77777777" w:rsidR="00F57191" w:rsidRPr="00B25FDD" w:rsidRDefault="00F57191" w:rsidP="00F57191">
      <w:pPr>
        <w:rPr>
          <w:lang w:val="en-GB" w:eastAsia="zh-CN"/>
        </w:rPr>
      </w:pPr>
      <w:r w:rsidRPr="00B25FDD">
        <w:rPr>
          <w:lang w:val="en-GB"/>
        </w:rPr>
        <w:t>Polling</w:t>
      </w:r>
      <w:r w:rsidRPr="00B25FDD">
        <w:rPr>
          <w:lang w:val="en-GB" w:eastAsia="zh-CN"/>
        </w:rPr>
        <w:t xml:space="preserve"> is widely used for estimation of population coverage on a global basis.</w:t>
      </w:r>
    </w:p>
    <w:p w14:paraId="4D36D063" w14:textId="77777777" w:rsidR="00F57191" w:rsidRPr="00B25FDD" w:rsidRDefault="00F57191" w:rsidP="00F57191">
      <w:pPr>
        <w:pStyle w:val="Heading1"/>
        <w:rPr>
          <w:lang w:val="en-GB"/>
        </w:rPr>
      </w:pPr>
      <w:r w:rsidRPr="00B25FDD">
        <w:rPr>
          <w:lang w:val="en-GB"/>
        </w:rPr>
        <w:t>6</w:t>
      </w:r>
      <w:r w:rsidRPr="00B25FDD">
        <w:rPr>
          <w:lang w:val="en-GB"/>
        </w:rPr>
        <w:tab/>
        <w:t>Calculation of the population coverage metrics</w:t>
      </w:r>
    </w:p>
    <w:p w14:paraId="4AE5329E" w14:textId="77777777" w:rsidR="00F57191" w:rsidRPr="00B25FDD" w:rsidRDefault="00F57191" w:rsidP="00F57191">
      <w:pPr>
        <w:rPr>
          <w:lang w:val="en-GB"/>
        </w:rPr>
      </w:pPr>
      <w:r w:rsidRPr="00B25FDD">
        <w:rPr>
          <w:lang w:val="en-GB"/>
        </w:rPr>
        <w:t>Metrics used to calculate the coverage area and population coverage include:</w:t>
      </w:r>
    </w:p>
    <w:p w14:paraId="55D3AA45" w14:textId="77777777" w:rsidR="00F57191" w:rsidRPr="00B25FDD" w:rsidRDefault="00F57191" w:rsidP="00F57191">
      <w:pPr>
        <w:pStyle w:val="enumlev1"/>
        <w:rPr>
          <w:lang w:val="en-GB"/>
        </w:rPr>
      </w:pPr>
      <w:r w:rsidRPr="00B25FDD">
        <w:rPr>
          <w:lang w:val="en-GB"/>
        </w:rPr>
        <w:t>–</w:t>
      </w:r>
      <w:r w:rsidRPr="00B25FDD">
        <w:rPr>
          <w:lang w:val="en-GB"/>
        </w:rPr>
        <w:tab/>
        <w:t>technological population coverage</w:t>
      </w:r>
    </w:p>
    <w:p w14:paraId="3437EEDC" w14:textId="77777777" w:rsidR="00F57191" w:rsidRPr="00B25FDD" w:rsidRDefault="00F57191" w:rsidP="00F57191">
      <w:pPr>
        <w:pStyle w:val="enumlev1"/>
        <w:rPr>
          <w:lang w:val="en-GB"/>
        </w:rPr>
      </w:pPr>
      <w:r w:rsidRPr="00B25FDD">
        <w:rPr>
          <w:lang w:val="en-GB"/>
        </w:rPr>
        <w:t>–</w:t>
      </w:r>
      <w:r w:rsidRPr="00B25FDD">
        <w:rPr>
          <w:lang w:val="en-GB"/>
        </w:rPr>
        <w:tab/>
        <w:t>regional population coverage</w:t>
      </w:r>
    </w:p>
    <w:p w14:paraId="60D346EF" w14:textId="77777777" w:rsidR="00F57191" w:rsidRPr="00B25FDD" w:rsidRDefault="00F57191" w:rsidP="00F57191">
      <w:pPr>
        <w:pStyle w:val="enumlev1"/>
        <w:rPr>
          <w:lang w:val="en-GB"/>
        </w:rPr>
      </w:pPr>
      <w:r w:rsidRPr="00B25FDD">
        <w:rPr>
          <w:lang w:val="en-GB"/>
        </w:rPr>
        <w:t>–</w:t>
      </w:r>
      <w:r w:rsidRPr="00B25FDD">
        <w:rPr>
          <w:lang w:val="en-GB"/>
        </w:rPr>
        <w:tab/>
        <w:t>rural/urban population coverage</w:t>
      </w:r>
    </w:p>
    <w:p w14:paraId="245536F0" w14:textId="77777777" w:rsidR="00F57191" w:rsidRPr="00B25FDD" w:rsidRDefault="00F57191" w:rsidP="00F57191">
      <w:pPr>
        <w:pStyle w:val="enumlev1"/>
        <w:rPr>
          <w:lang w:val="en-GB" w:eastAsia="zh-CN"/>
        </w:rPr>
      </w:pPr>
      <w:r w:rsidRPr="00B25FDD">
        <w:rPr>
          <w:spacing w:val="-1"/>
          <w:lang w:val="en-GB" w:eastAsia="zh-CN"/>
        </w:rPr>
        <w:t>–</w:t>
      </w:r>
      <w:r w:rsidRPr="00B25FDD">
        <w:rPr>
          <w:spacing w:val="-1"/>
          <w:lang w:val="en-GB" w:eastAsia="zh-CN"/>
        </w:rPr>
        <w:tab/>
        <w:t>speed of service or data rate coverage</w:t>
      </w:r>
      <w:r w:rsidRPr="00B25FDD">
        <w:rPr>
          <w:spacing w:val="-1"/>
          <w:szCs w:val="24"/>
          <w:shd w:val="clear" w:color="auto" w:fill="FFFFFF"/>
          <w:lang w:val="en-GB"/>
        </w:rPr>
        <w:t>.</w:t>
      </w:r>
      <w:r w:rsidRPr="00B25FDD">
        <w:rPr>
          <w:spacing w:val="-1"/>
          <w:shd w:val="clear" w:color="auto" w:fill="FFFFFF"/>
          <w:lang w:val="en-GB"/>
        </w:rPr>
        <w:t> </w:t>
      </w:r>
    </w:p>
    <w:p w14:paraId="74294F2E" w14:textId="77777777" w:rsidR="00F57191" w:rsidRPr="00B25FDD" w:rsidRDefault="00F57191" w:rsidP="00F57191">
      <w:pPr>
        <w:rPr>
          <w:lang w:val="en-GB"/>
        </w:rPr>
      </w:pPr>
      <w:r w:rsidRPr="00B25FDD">
        <w:rPr>
          <w:lang w:val="en-GB"/>
        </w:rPr>
        <w:t>Technological population coverage is estimated by the number of objects per certain technology in use by all operators in that country.</w:t>
      </w:r>
    </w:p>
    <w:p w14:paraId="6FCF882D" w14:textId="77777777" w:rsidR="00F57191" w:rsidRPr="00B25FDD" w:rsidRDefault="00F57191" w:rsidP="00F57191">
      <w:pPr>
        <w:rPr>
          <w:lang w:val="en-GB"/>
        </w:rPr>
      </w:pPr>
      <w:r w:rsidRPr="00B25FDD">
        <w:rPr>
          <w:lang w:val="en-GB"/>
        </w:rPr>
        <w:t>Regional population coverage is the number of objects per each region covered with a single technology or combination of certain technologies by one or all operators.</w:t>
      </w:r>
    </w:p>
    <w:p w14:paraId="07A818EB" w14:textId="77777777" w:rsidR="00F57191" w:rsidRPr="00B25FDD" w:rsidRDefault="00F57191" w:rsidP="00F57191">
      <w:pPr>
        <w:rPr>
          <w:bCs/>
          <w:lang w:val="en-GB" w:eastAsia="zh-CN"/>
        </w:rPr>
      </w:pPr>
      <w:r w:rsidRPr="00B25FDD">
        <w:rPr>
          <w:rFonts w:asciiTheme="majorBidi" w:hAnsiTheme="majorBidi"/>
          <w:bCs/>
          <w:szCs w:val="24"/>
          <w:lang w:val="en-GB"/>
        </w:rPr>
        <w:t xml:space="preserve">The </w:t>
      </w:r>
      <w:r w:rsidRPr="00B25FDD">
        <w:rPr>
          <w:bCs/>
          <w:lang w:val="en-GB" w:eastAsia="zh-CN"/>
        </w:rPr>
        <w:t>speed of service coverage</w:t>
      </w:r>
      <w:r w:rsidRPr="00B25FDD">
        <w:rPr>
          <w:rFonts w:asciiTheme="majorBidi" w:hAnsiTheme="majorBidi"/>
          <w:bCs/>
          <w:szCs w:val="24"/>
          <w:lang w:val="en-GB"/>
        </w:rPr>
        <w:t xml:space="preserve"> is estimated by</w:t>
      </w:r>
      <w:r w:rsidRPr="00B25FDD">
        <w:rPr>
          <w:bCs/>
          <w:lang w:val="en-GB" w:eastAsia="zh-CN"/>
        </w:rPr>
        <w:t xml:space="preserve"> the number of objects served by certain technologies with speed of service no less than the threshold of performance.</w:t>
      </w:r>
    </w:p>
    <w:p w14:paraId="56D09881" w14:textId="77777777" w:rsidR="00F57191" w:rsidRPr="00B25FDD" w:rsidRDefault="00F57191" w:rsidP="00F57191">
      <w:pPr>
        <w:rPr>
          <w:lang w:val="en-GB" w:eastAsia="zh-CN"/>
        </w:rPr>
      </w:pPr>
      <w:r w:rsidRPr="00B25FDD">
        <w:rPr>
          <w:lang w:val="en-GB" w:eastAsia="zh-CN"/>
        </w:rPr>
        <w:t xml:space="preserve">In all cases, the population coverage is determined by the number of objects within the coverage area. </w:t>
      </w:r>
    </w:p>
    <w:p w14:paraId="1B77825A" w14:textId="77777777" w:rsidR="00F57191" w:rsidRPr="00B25FDD" w:rsidRDefault="00F57191" w:rsidP="00F57191">
      <w:pPr>
        <w:rPr>
          <w:lang w:val="en-GB" w:eastAsia="zh-CN"/>
        </w:rPr>
      </w:pPr>
      <w:r w:rsidRPr="00B25FDD">
        <w:rPr>
          <w:lang w:val="en-GB" w:eastAsia="zh-CN"/>
        </w:rPr>
        <w:t>The population coverage can be determined by:</w:t>
      </w:r>
    </w:p>
    <w:p w14:paraId="52D08957" w14:textId="77777777" w:rsidR="00F57191" w:rsidRPr="00B25FDD" w:rsidRDefault="00F57191" w:rsidP="00FE40A1">
      <w:pPr>
        <w:pStyle w:val="enumlev1"/>
        <w:rPr>
          <w:spacing w:val="-2"/>
          <w:lang w:val="en-GB"/>
        </w:rPr>
      </w:pPr>
      <w:r w:rsidRPr="00B25FDD">
        <w:rPr>
          <w:spacing w:val="-2"/>
          <w:lang w:val="en-GB"/>
        </w:rPr>
        <w:t>–</w:t>
      </w:r>
      <w:r w:rsidRPr="00B25FDD">
        <w:rPr>
          <w:spacing w:val="-2"/>
          <w:lang w:val="en-GB"/>
        </w:rPr>
        <w:tab/>
        <w:t xml:space="preserve">careful calculation of the </w:t>
      </w:r>
      <w:r w:rsidRPr="00B25FDD">
        <w:rPr>
          <w:lang w:val="en-GB" w:eastAsia="zh-CN"/>
        </w:rPr>
        <w:t xml:space="preserve">number of objects within the coverage </w:t>
      </w:r>
      <w:proofErr w:type="gramStart"/>
      <w:r w:rsidRPr="00B25FDD">
        <w:rPr>
          <w:lang w:val="en-GB" w:eastAsia="zh-CN"/>
        </w:rPr>
        <w:t>area;</w:t>
      </w:r>
      <w:proofErr w:type="gramEnd"/>
    </w:p>
    <w:p w14:paraId="2531B5DC" w14:textId="77777777" w:rsidR="00F57191" w:rsidRPr="00B25FDD" w:rsidRDefault="00F57191" w:rsidP="00FE40A1">
      <w:pPr>
        <w:pStyle w:val="enumlev1"/>
        <w:rPr>
          <w:spacing w:val="-2"/>
          <w:lang w:val="en-GB"/>
        </w:rPr>
      </w:pPr>
      <w:r w:rsidRPr="00B25FDD">
        <w:rPr>
          <w:spacing w:val="-2"/>
          <w:lang w:val="en-GB"/>
        </w:rPr>
        <w:t>–</w:t>
      </w:r>
      <w:r w:rsidRPr="00B25FDD">
        <w:rPr>
          <w:spacing w:val="-2"/>
          <w:lang w:val="en-GB"/>
        </w:rPr>
        <w:tab/>
        <w:t xml:space="preserve">estimation of the </w:t>
      </w:r>
      <w:r w:rsidRPr="00B25FDD">
        <w:rPr>
          <w:lang w:val="en-GB" w:eastAsia="zh-CN"/>
        </w:rPr>
        <w:t>number of objects within the coverage area.</w:t>
      </w:r>
    </w:p>
    <w:p w14:paraId="7F1A77EF" w14:textId="77777777" w:rsidR="00F57191" w:rsidRPr="00B25FDD" w:rsidRDefault="00F57191" w:rsidP="00F57191">
      <w:pPr>
        <w:pStyle w:val="Heading2"/>
        <w:rPr>
          <w:lang w:val="en-GB" w:eastAsia="zh-CN"/>
        </w:rPr>
      </w:pPr>
      <w:r w:rsidRPr="00B25FDD">
        <w:rPr>
          <w:lang w:val="en-GB" w:eastAsia="zh-CN"/>
        </w:rPr>
        <w:t>6.1</w:t>
      </w:r>
      <w:r w:rsidRPr="00B25FDD">
        <w:rPr>
          <w:lang w:val="en-GB" w:eastAsia="zh-CN"/>
        </w:rPr>
        <w:tab/>
        <w:t>Calculation of the number of objects</w:t>
      </w:r>
    </w:p>
    <w:p w14:paraId="357802D0" w14:textId="77777777" w:rsidR="00F57191" w:rsidRPr="00B25FDD" w:rsidRDefault="00F57191" w:rsidP="00F57191">
      <w:pPr>
        <w:rPr>
          <w:lang w:val="en-GB" w:eastAsia="zh-CN"/>
        </w:rPr>
      </w:pPr>
      <w:r w:rsidRPr="00B25FDD">
        <w:rPr>
          <w:lang w:val="en-GB" w:eastAsia="zh-CN"/>
        </w:rPr>
        <w:t>In the first case, the following procedures are applied to estimate the population coverage through calculation of the number of objects:</w:t>
      </w:r>
    </w:p>
    <w:p w14:paraId="5810AA1F" w14:textId="77777777" w:rsidR="00F57191" w:rsidRPr="00B25FDD" w:rsidRDefault="00F57191" w:rsidP="00F57191">
      <w:pPr>
        <w:pStyle w:val="enumlev1"/>
        <w:rPr>
          <w:lang w:val="en-GB" w:eastAsia="zh-CN"/>
        </w:rPr>
      </w:pPr>
      <w:r w:rsidRPr="00B25FDD">
        <w:rPr>
          <w:lang w:val="en-GB" w:eastAsia="zh-CN"/>
        </w:rPr>
        <w:t>1)</w:t>
      </w:r>
      <w:r w:rsidRPr="00B25FDD">
        <w:rPr>
          <w:lang w:val="en-GB" w:eastAsia="zh-CN"/>
        </w:rPr>
        <w:tab/>
        <w:t>In the tested territory, the coverage area with a certain radio technology is determined.</w:t>
      </w:r>
    </w:p>
    <w:p w14:paraId="125B48D2" w14:textId="77777777" w:rsidR="00F57191" w:rsidRPr="00B25FDD" w:rsidRDefault="00F57191" w:rsidP="00F57191">
      <w:pPr>
        <w:pStyle w:val="enumlev1"/>
        <w:rPr>
          <w:lang w:val="en-GB" w:eastAsia="zh-CN"/>
        </w:rPr>
      </w:pPr>
      <w:r w:rsidRPr="00B25FDD">
        <w:rPr>
          <w:lang w:val="en-GB" w:eastAsia="zh-CN"/>
        </w:rPr>
        <w:t>2)</w:t>
      </w:r>
      <w:r w:rsidRPr="00B25FDD">
        <w:rPr>
          <w:lang w:val="en-GB" w:eastAsia="zh-CN"/>
        </w:rPr>
        <w:tab/>
        <w:t xml:space="preserve">The number of objects </w:t>
      </w:r>
      <w:r w:rsidRPr="00B25FDD">
        <w:rPr>
          <w:i/>
          <w:lang w:val="en-GB" w:eastAsia="zh-CN"/>
        </w:rPr>
        <w:t>N</w:t>
      </w:r>
      <w:r w:rsidRPr="00B25FDD">
        <w:rPr>
          <w:i/>
          <w:vertAlign w:val="subscript"/>
          <w:lang w:val="en-GB" w:eastAsia="zh-CN"/>
        </w:rPr>
        <w:t>i</w:t>
      </w:r>
      <w:r w:rsidRPr="00B25FDD">
        <w:rPr>
          <w:lang w:val="en-GB" w:eastAsia="zh-CN"/>
        </w:rPr>
        <w:t xml:space="preserve"> in each </w:t>
      </w:r>
      <w:proofErr w:type="spellStart"/>
      <w:r w:rsidRPr="00B25FDD">
        <w:rPr>
          <w:i/>
          <w:lang w:val="en-GB" w:eastAsia="zh-CN"/>
        </w:rPr>
        <w:t>i-</w:t>
      </w:r>
      <w:r w:rsidRPr="00B25FDD">
        <w:rPr>
          <w:lang w:val="en-GB" w:eastAsia="zh-CN"/>
        </w:rPr>
        <w:t>th</w:t>
      </w:r>
      <w:proofErr w:type="spellEnd"/>
      <w:r w:rsidRPr="00B25FDD">
        <w:rPr>
          <w:lang w:val="en-GB" w:eastAsia="zh-CN"/>
        </w:rPr>
        <w:t xml:space="preserve"> settlement in the tested territory is determined using an authoritative population or statistical reference. </w:t>
      </w:r>
    </w:p>
    <w:p w14:paraId="530566CC" w14:textId="5DEB4D0F" w:rsidR="00F57191" w:rsidRPr="00B25FDD" w:rsidRDefault="00F57191" w:rsidP="00F57191">
      <w:pPr>
        <w:pStyle w:val="enumlev1"/>
        <w:rPr>
          <w:lang w:val="en-GB" w:eastAsia="zh-CN"/>
        </w:rPr>
      </w:pPr>
      <w:r w:rsidRPr="00B25FDD">
        <w:rPr>
          <w:lang w:val="en-GB" w:eastAsia="zh-CN"/>
        </w:rPr>
        <w:t>3)</w:t>
      </w:r>
      <w:r w:rsidRPr="00B25FDD">
        <w:rPr>
          <w:lang w:val="en-GB" w:eastAsia="zh-CN"/>
        </w:rPr>
        <w:tab/>
        <w:t xml:space="preserve">The total number of objects </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sub>
        </m:sSub>
      </m:oMath>
      <w:r w:rsidRPr="00B25FDD">
        <w:rPr>
          <w:lang w:val="en-GB" w:eastAsia="zh-CN"/>
        </w:rPr>
        <w:t xml:space="preserve"> registered in the tested territory in </w:t>
      </w:r>
      <w:r w:rsidRPr="00B25FDD">
        <w:rPr>
          <w:i/>
          <w:lang w:val="en-GB" w:eastAsia="zh-CN"/>
        </w:rPr>
        <w:t>n</w:t>
      </w:r>
      <w:r w:rsidRPr="00B25FDD">
        <w:rPr>
          <w:lang w:val="en-GB" w:eastAsia="zh-CN"/>
        </w:rPr>
        <w:t xml:space="preserve"> settlements is determined as follow</w:t>
      </w:r>
      <w:r w:rsidR="00544D3F" w:rsidRPr="00B25FDD">
        <w:rPr>
          <w:lang w:val="en-GB" w:eastAsia="zh-CN"/>
        </w:rPr>
        <w:t>s</w:t>
      </w:r>
      <w:r w:rsidRPr="00B25FDD">
        <w:rPr>
          <w:lang w:val="en-GB" w:eastAsia="zh-CN"/>
        </w:rPr>
        <w:t>:</w:t>
      </w:r>
    </w:p>
    <w:p w14:paraId="11457708" w14:textId="77777777" w:rsidR="00F57191" w:rsidRPr="00B25FDD" w:rsidRDefault="00F57191" w:rsidP="00F57191">
      <w:pPr>
        <w:pStyle w:val="Equation"/>
        <w:rPr>
          <w:lang w:val="en-GB" w:eastAsia="zh-CN"/>
        </w:rPr>
      </w:pPr>
      <w:r w:rsidRPr="00B25FDD">
        <w:rPr>
          <w:lang w:val="en-GB" w:eastAsia="zh-CN"/>
        </w:rPr>
        <w:lastRenderedPageBreak/>
        <w:tab/>
      </w:r>
      <w:r w:rsidRPr="00B25FDD">
        <w:rPr>
          <w:lang w:val="en-GB" w:eastAsia="zh-CN"/>
        </w:rPr>
        <w:tab/>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sub>
        </m:sSub>
        <m:r>
          <m:rPr>
            <m:sty m:val="p"/>
          </m:rPr>
          <w:rPr>
            <w:rFonts w:ascii="Cambria Math" w:hAnsi="Cambria Math"/>
            <w:lang w:val="en-GB" w:eastAsia="zh-CN"/>
          </w:rPr>
          <m:t>=</m:t>
        </m:r>
        <m:nary>
          <m:naryPr>
            <m:chr m:val="∑"/>
            <m:limLoc m:val="undOvr"/>
            <m:ctrlPr>
              <w:rPr>
                <w:rFonts w:ascii="Cambria Math" w:hAnsi="Cambria Math"/>
                <w:lang w:val="en-GB" w:eastAsia="zh-CN"/>
              </w:rPr>
            </m:ctrlPr>
          </m:naryPr>
          <m:sub>
            <m:r>
              <w:rPr>
                <w:rFonts w:ascii="Cambria Math" w:hAnsi="Cambria Math"/>
                <w:lang w:val="en-GB" w:eastAsia="zh-CN"/>
              </w:rPr>
              <m:t>i</m:t>
            </m:r>
            <m:r>
              <m:rPr>
                <m:sty m:val="p"/>
              </m:rPr>
              <w:rPr>
                <w:rFonts w:ascii="Cambria Math" w:hAnsi="Cambria Math"/>
                <w:lang w:val="en-GB" w:eastAsia="zh-CN"/>
              </w:rPr>
              <m:t>=1</m:t>
            </m:r>
          </m:sub>
          <m:sup>
            <m:r>
              <w:rPr>
                <w:rFonts w:ascii="Cambria Math" w:hAnsi="Cambria Math"/>
                <w:lang w:val="en-GB" w:eastAsia="zh-CN"/>
              </w:rPr>
              <m:t>n</m:t>
            </m:r>
          </m:sup>
          <m:e>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i</m:t>
                </m:r>
              </m:sub>
            </m:sSub>
          </m:e>
        </m:nary>
      </m:oMath>
      <w:r w:rsidRPr="00B25FDD">
        <w:rPr>
          <w:lang w:val="en-GB" w:eastAsia="zh-CN"/>
        </w:rPr>
        <w:tab/>
        <w:t>(3)</w:t>
      </w:r>
    </w:p>
    <w:p w14:paraId="30F415FE" w14:textId="77777777" w:rsidR="00F57191" w:rsidRPr="00B25FDD" w:rsidRDefault="00F57191" w:rsidP="00F57191">
      <w:pPr>
        <w:pStyle w:val="enumlev1"/>
        <w:rPr>
          <w:lang w:val="en-GB" w:eastAsia="zh-CN"/>
        </w:rPr>
      </w:pPr>
      <w:r w:rsidRPr="00B25FDD">
        <w:rPr>
          <w:lang w:val="en-GB" w:eastAsia="zh-CN"/>
        </w:rPr>
        <w:t>4)</w:t>
      </w:r>
      <w:r w:rsidRPr="00B25FDD">
        <w:rPr>
          <w:lang w:val="en-GB" w:eastAsia="zh-CN"/>
        </w:rPr>
        <w:tab/>
        <w:t xml:space="preserve">The determined (calculated or measured) coverage area is plotted on a digital map and the settlements which are completely inside this coverage area, </w:t>
      </w:r>
      <w:proofErr w:type="gramStart"/>
      <w:r w:rsidRPr="00B25FDD">
        <w:rPr>
          <w:lang w:val="en-GB" w:eastAsia="zh-CN"/>
        </w:rPr>
        <w:t>i.e.</w:t>
      </w:r>
      <w:proofErr w:type="gramEnd"/>
      <w:r w:rsidRPr="00B25FDD">
        <w:rPr>
          <w:lang w:val="en-GB" w:eastAsia="zh-CN"/>
        </w:rPr>
        <w:t xml:space="preserve"> completely</w:t>
      </w:r>
      <w:r w:rsidRPr="00B25FDD">
        <w:rPr>
          <w:szCs w:val="24"/>
          <w:lang w:val="en-GB" w:eastAsia="zh-CN"/>
        </w:rPr>
        <w:t xml:space="preserve"> ‘</w:t>
      </w:r>
      <w:r w:rsidRPr="00B25FDD">
        <w:rPr>
          <w:lang w:val="en-GB" w:eastAsia="zh-CN"/>
        </w:rPr>
        <w:t xml:space="preserve">covered’ with certain radio </w:t>
      </w:r>
      <w:r w:rsidRPr="00B25FDD">
        <w:rPr>
          <w:szCs w:val="24"/>
          <w:lang w:val="en-GB" w:eastAsia="zh-CN"/>
        </w:rPr>
        <w:t xml:space="preserve">service, </w:t>
      </w:r>
      <w:r w:rsidRPr="00B25FDD">
        <w:rPr>
          <w:lang w:val="en-GB" w:eastAsia="zh-CN"/>
        </w:rPr>
        <w:t>are determined</w:t>
      </w:r>
      <w:r w:rsidRPr="00B25FDD">
        <w:rPr>
          <w:szCs w:val="24"/>
          <w:lang w:val="en-GB" w:eastAsia="zh-CN"/>
        </w:rPr>
        <w:t>.</w:t>
      </w:r>
    </w:p>
    <w:p w14:paraId="1EFC91EF" w14:textId="77777777" w:rsidR="00F57191" w:rsidRPr="00B25FDD" w:rsidRDefault="00F57191" w:rsidP="00F57191">
      <w:pPr>
        <w:pStyle w:val="enumlev1"/>
        <w:rPr>
          <w:lang w:val="en-GB" w:eastAsia="zh-CN"/>
        </w:rPr>
      </w:pPr>
      <w:r w:rsidRPr="00B25FDD">
        <w:rPr>
          <w:lang w:val="en-GB" w:eastAsia="zh-CN"/>
        </w:rPr>
        <w:t>5)</w:t>
      </w:r>
      <w:r w:rsidRPr="00B25FDD">
        <w:rPr>
          <w:lang w:val="en-GB" w:eastAsia="zh-CN"/>
        </w:rPr>
        <w:tab/>
        <w:t xml:space="preserve">The total number of objects </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r>
              <w:rPr>
                <w:rFonts w:ascii="Cambria Math" w:hAnsi="Cambria Math"/>
                <w:lang w:val="en-GB" w:eastAsia="zh-CN"/>
              </w:rPr>
              <m:t>cov.</m:t>
            </m:r>
          </m:sub>
        </m:sSub>
      </m:oMath>
      <w:r w:rsidRPr="00B25FDD">
        <w:rPr>
          <w:lang w:val="en-GB" w:eastAsia="zh-CN"/>
        </w:rPr>
        <w:t xml:space="preserve"> registered within the coverage area is determined with the equation:</w:t>
      </w:r>
    </w:p>
    <w:p w14:paraId="5A773D70"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r>
              <w:rPr>
                <w:rFonts w:ascii="Cambria Math" w:hAnsi="Cambria Math"/>
                <w:lang w:val="en-GB" w:eastAsia="zh-CN"/>
              </w:rPr>
              <m:t>cov.</m:t>
            </m:r>
          </m:sub>
        </m:sSub>
        <m:r>
          <m:rPr>
            <m:sty m:val="p"/>
          </m:rPr>
          <w:rPr>
            <w:rFonts w:ascii="Cambria Math" w:hAnsi="Cambria Math"/>
            <w:lang w:val="en-GB" w:eastAsia="zh-CN"/>
          </w:rPr>
          <m:t>=</m:t>
        </m:r>
        <m:nary>
          <m:naryPr>
            <m:chr m:val="∑"/>
            <m:limLoc m:val="undOvr"/>
            <m:ctrlPr>
              <w:rPr>
                <w:rFonts w:ascii="Cambria Math" w:hAnsi="Cambria Math"/>
                <w:lang w:val="en-GB" w:eastAsia="zh-CN"/>
              </w:rPr>
            </m:ctrlPr>
          </m:naryPr>
          <m:sub>
            <m:r>
              <w:rPr>
                <w:rFonts w:ascii="Cambria Math" w:hAnsi="Cambria Math"/>
                <w:lang w:val="en-GB" w:eastAsia="zh-CN"/>
              </w:rPr>
              <m:t>j</m:t>
            </m:r>
            <m:r>
              <m:rPr>
                <m:sty m:val="p"/>
              </m:rPr>
              <w:rPr>
                <w:rFonts w:ascii="Cambria Math" w:hAnsi="Cambria Math"/>
                <w:lang w:val="en-GB" w:eastAsia="zh-CN"/>
              </w:rPr>
              <m:t>=1</m:t>
            </m:r>
          </m:sub>
          <m:sup>
            <m:r>
              <w:rPr>
                <w:rFonts w:ascii="Cambria Math" w:hAnsi="Cambria Math"/>
                <w:lang w:val="en-GB" w:eastAsia="zh-CN"/>
              </w:rPr>
              <m:t>m</m:t>
            </m:r>
          </m:sup>
          <m:e>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j</m:t>
                </m:r>
              </m:sub>
            </m:sSub>
          </m:e>
        </m:nary>
      </m:oMath>
      <w:r w:rsidRPr="00B25FDD">
        <w:rPr>
          <w:lang w:val="en-GB" w:eastAsia="zh-CN"/>
        </w:rPr>
        <w:tab/>
        <w:t>(4)</w:t>
      </w:r>
    </w:p>
    <w:p w14:paraId="2B7CD3B2" w14:textId="77777777" w:rsidR="00F57191" w:rsidRPr="00B25FDD" w:rsidRDefault="00F57191" w:rsidP="00F57191">
      <w:pPr>
        <w:rPr>
          <w:lang w:val="en-GB" w:eastAsia="zh-CN"/>
        </w:rPr>
      </w:pPr>
      <w:r w:rsidRPr="00B25FDD">
        <w:rPr>
          <w:lang w:val="en-GB" w:eastAsia="zh-CN"/>
        </w:rPr>
        <w:t>where:</w:t>
      </w:r>
    </w:p>
    <w:p w14:paraId="6ED21D9E" w14:textId="77777777" w:rsidR="00F57191" w:rsidRPr="00B25FDD" w:rsidRDefault="00F57191" w:rsidP="00F57191">
      <w:pPr>
        <w:pStyle w:val="Equationlegend"/>
        <w:rPr>
          <w:lang w:val="en-GB" w:eastAsia="zh-CN"/>
        </w:rPr>
      </w:pPr>
      <w:r w:rsidRPr="00B25FDD">
        <w:rPr>
          <w:i/>
          <w:lang w:val="en-GB" w:eastAsia="zh-CN"/>
        </w:rPr>
        <w:tab/>
      </w:r>
      <w:proofErr w:type="gramStart"/>
      <w:r w:rsidRPr="00B25FDD">
        <w:rPr>
          <w:i/>
          <w:lang w:val="en-GB" w:eastAsia="zh-CN"/>
        </w:rPr>
        <w:t>m</w:t>
      </w:r>
      <w:r w:rsidRPr="00B25FDD">
        <w:rPr>
          <w:lang w:val="en-GB" w:eastAsia="zh-CN"/>
        </w:rPr>
        <w:t xml:space="preserve"> :</w:t>
      </w:r>
      <w:proofErr w:type="gramEnd"/>
      <w:r w:rsidRPr="00B25FDD">
        <w:rPr>
          <w:lang w:val="en-GB" w:eastAsia="zh-CN"/>
        </w:rPr>
        <w:tab/>
        <w:t>number of completely covered settlements</w:t>
      </w:r>
    </w:p>
    <w:p w14:paraId="0DC71AF5" w14:textId="77777777" w:rsidR="00F57191" w:rsidRPr="00B25FDD" w:rsidRDefault="00F57191" w:rsidP="00F57191">
      <w:pPr>
        <w:pStyle w:val="Equationlegend"/>
        <w:rPr>
          <w:lang w:val="en-GB" w:eastAsia="zh-CN"/>
        </w:rPr>
      </w:pPr>
      <w:r w:rsidRPr="00B25FDD">
        <w:rPr>
          <w:i/>
          <w:lang w:val="en-GB" w:eastAsia="zh-CN"/>
        </w:rPr>
        <w:tab/>
      </w:r>
      <w:proofErr w:type="gramStart"/>
      <w:r w:rsidRPr="00B25FDD">
        <w:rPr>
          <w:i/>
          <w:lang w:val="en-GB" w:eastAsia="zh-CN"/>
        </w:rPr>
        <w:t>N</w:t>
      </w:r>
      <w:r w:rsidRPr="00B25FDD">
        <w:rPr>
          <w:i/>
          <w:vertAlign w:val="subscript"/>
          <w:lang w:val="en-GB" w:eastAsia="zh-CN"/>
        </w:rPr>
        <w:t>j</w:t>
      </w:r>
      <w:r w:rsidRPr="00B25FDD">
        <w:rPr>
          <w:lang w:val="en-GB" w:eastAsia="zh-CN"/>
        </w:rPr>
        <w:t xml:space="preserve"> :</w:t>
      </w:r>
      <w:proofErr w:type="gramEnd"/>
      <w:r w:rsidRPr="00B25FDD">
        <w:rPr>
          <w:lang w:val="en-GB" w:eastAsia="zh-CN"/>
        </w:rPr>
        <w:tab/>
        <w:t xml:space="preserve">number of objects registered in </w:t>
      </w:r>
      <w:r w:rsidRPr="00B25FDD">
        <w:rPr>
          <w:i/>
          <w:lang w:val="en-GB" w:eastAsia="zh-CN"/>
        </w:rPr>
        <w:t>j</w:t>
      </w:r>
      <w:r w:rsidRPr="00B25FDD">
        <w:rPr>
          <w:lang w:val="en-GB" w:eastAsia="zh-CN"/>
        </w:rPr>
        <w:t>-</w:t>
      </w:r>
      <w:proofErr w:type="spellStart"/>
      <w:r w:rsidRPr="00B25FDD">
        <w:rPr>
          <w:lang w:val="en-GB" w:eastAsia="zh-CN"/>
        </w:rPr>
        <w:t>th</w:t>
      </w:r>
      <w:proofErr w:type="spellEnd"/>
      <w:r w:rsidRPr="00B25FDD">
        <w:rPr>
          <w:lang w:val="en-GB" w:eastAsia="zh-CN"/>
        </w:rPr>
        <w:t xml:space="preserve"> completely covered settlement.</w:t>
      </w:r>
    </w:p>
    <w:p w14:paraId="2A61D37D" w14:textId="77777777" w:rsidR="00F57191" w:rsidRPr="00B25FDD" w:rsidRDefault="00F57191" w:rsidP="00F57191">
      <w:pPr>
        <w:pStyle w:val="enumlev1"/>
        <w:rPr>
          <w:lang w:val="en-GB" w:eastAsia="zh-CN"/>
        </w:rPr>
      </w:pPr>
      <w:r w:rsidRPr="00B25FDD">
        <w:rPr>
          <w:lang w:val="en-GB" w:eastAsia="zh-CN"/>
        </w:rPr>
        <w:t>6)</w:t>
      </w:r>
      <w:r w:rsidRPr="00B25FDD">
        <w:rPr>
          <w:lang w:val="en-GB" w:eastAsia="zh-CN"/>
        </w:rPr>
        <w:tab/>
        <w:t xml:space="preserve">If only a part of a settlement is covered, the approximate number of objects </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obj</m:t>
            </m:r>
            <m:r>
              <m:rPr>
                <m:sty m:val="p"/>
              </m:rPr>
              <w:rPr>
                <w:rFonts w:ascii="Cambria Math" w:hAnsi="Cambria Math"/>
                <w:lang w:val="en-GB" w:eastAsia="zh-CN"/>
              </w:rPr>
              <m:t>.</m:t>
            </m:r>
            <m:r>
              <w:rPr>
                <w:rFonts w:ascii="Cambria Math" w:hAnsi="Cambria Math"/>
                <w:lang w:val="en-GB" w:eastAsia="zh-CN"/>
              </w:rPr>
              <m:t>cov.</m:t>
            </m:r>
          </m:sub>
        </m:sSub>
      </m:oMath>
      <w:r w:rsidRPr="00B25FDD">
        <w:rPr>
          <w:lang w:val="en-GB" w:eastAsia="zh-CN"/>
        </w:rPr>
        <w:t xml:space="preserve"> in the ‘covered’ territory with area </w:t>
      </w:r>
      <m:oMath>
        <m:sSub>
          <m:sSubPr>
            <m:ctrlPr>
              <w:rPr>
                <w:rFonts w:ascii="Cambria Math" w:hAnsi="Cambria Math"/>
                <w:lang w:val="en-GB" w:eastAsia="zh-CN"/>
              </w:rPr>
            </m:ctrlPr>
          </m:sSubPr>
          <m:e>
            <m:r>
              <w:rPr>
                <w:rFonts w:ascii="Cambria Math" w:hAnsi="Cambria Math"/>
                <w:lang w:val="en-GB" w:eastAsia="zh-CN"/>
              </w:rPr>
              <m:t>S</m:t>
            </m:r>
          </m:e>
          <m:sub>
            <m:r>
              <w:rPr>
                <w:rFonts w:ascii="Cambria Math" w:hAnsi="Cambria Math"/>
                <w:lang w:val="en-GB" w:eastAsia="zh-CN"/>
              </w:rPr>
              <m:t>cov.</m:t>
            </m:r>
          </m:sub>
        </m:sSub>
      </m:oMath>
      <w:r w:rsidRPr="00B25FDD">
        <w:rPr>
          <w:lang w:val="en-GB" w:eastAsia="zh-CN"/>
        </w:rPr>
        <w:t xml:space="preserve"> is calculated with the equation:</w:t>
      </w:r>
    </w:p>
    <w:p w14:paraId="05FB3BE1"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obj.cov.</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obj.</m:t>
            </m:r>
          </m:sub>
        </m:sSub>
        <m:r>
          <w:rPr>
            <w:rFonts w:ascii="Cambria Math" w:hAnsi="Cambria Math"/>
            <w:lang w:val="en-GB" w:eastAsia="zh-CN"/>
          </w:rPr>
          <m:t>∙</m:t>
        </m:r>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cov.</m:t>
                </m:r>
              </m:sub>
            </m:sSub>
          </m:num>
          <m:den>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settl.</m:t>
                </m:r>
              </m:sub>
            </m:sSub>
          </m:den>
        </m:f>
      </m:oMath>
      <w:r w:rsidRPr="00B25FDD">
        <w:rPr>
          <w:lang w:val="en-GB" w:eastAsia="zh-CN"/>
        </w:rPr>
        <w:tab/>
        <w:t>(5)</w:t>
      </w:r>
    </w:p>
    <w:p w14:paraId="1234D592" w14:textId="77777777" w:rsidR="00F57191" w:rsidRPr="00B25FDD" w:rsidRDefault="00F57191" w:rsidP="00F57191">
      <w:pPr>
        <w:rPr>
          <w:lang w:val="en-GB" w:eastAsia="zh-CN"/>
        </w:rPr>
      </w:pPr>
      <w:r w:rsidRPr="00B25FDD">
        <w:rPr>
          <w:lang w:val="en-GB" w:eastAsia="zh-CN"/>
        </w:rPr>
        <w:t xml:space="preserve">where: </w:t>
      </w:r>
    </w:p>
    <w:p w14:paraId="0FF209AC" w14:textId="77777777" w:rsidR="00F57191" w:rsidRPr="00B25FDD" w:rsidRDefault="00F57191" w:rsidP="00F57191">
      <w:pPr>
        <w:pStyle w:val="Equationlegend"/>
        <w:rPr>
          <w:lang w:val="en-GB" w:eastAsia="zh-CN"/>
        </w:rPr>
      </w:pPr>
      <w:r w:rsidRPr="00B25FDD">
        <w:rPr>
          <w:i/>
          <w:lang w:val="en-GB"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obj.</m:t>
            </m:r>
          </m:sub>
        </m:sSub>
      </m:oMath>
      <w:r w:rsidRPr="00B25FDD">
        <w:rPr>
          <w:lang w:val="en-GB" w:eastAsia="zh-CN"/>
        </w:rPr>
        <w:t xml:space="preserve"> :</w:t>
      </w:r>
      <w:r w:rsidRPr="00B25FDD">
        <w:rPr>
          <w:lang w:val="en-GB" w:eastAsia="zh-CN"/>
        </w:rPr>
        <w:tab/>
        <w:t>total number of objects within tested settlement</w:t>
      </w:r>
    </w:p>
    <w:p w14:paraId="5369D7D6" w14:textId="77777777" w:rsidR="00F57191" w:rsidRPr="00B25FDD" w:rsidRDefault="00F57191" w:rsidP="00F57191">
      <w:pPr>
        <w:pStyle w:val="Equationlegend"/>
        <w:rPr>
          <w:lang w:val="en-GB" w:eastAsia="zh-CN"/>
        </w:rPr>
      </w:pPr>
      <w:r w:rsidRPr="00B25FDD">
        <w:rPr>
          <w:i/>
          <w:lang w:val="en-GB" w:eastAsia="zh-CN"/>
        </w:rPr>
        <w:tab/>
      </w:r>
      <m:oMath>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settl.</m:t>
            </m:r>
          </m:sub>
        </m:sSub>
      </m:oMath>
      <w:r w:rsidRPr="00B25FDD">
        <w:rPr>
          <w:lang w:val="en-GB" w:eastAsia="zh-CN"/>
        </w:rPr>
        <w:t xml:space="preserve"> :</w:t>
      </w:r>
      <w:r w:rsidRPr="00B25FDD">
        <w:rPr>
          <w:lang w:val="en-GB" w:eastAsia="zh-CN"/>
        </w:rPr>
        <w:tab/>
        <w:t>total area of the tested settlement.</w:t>
      </w:r>
    </w:p>
    <w:p w14:paraId="1E8A0A1B" w14:textId="77777777" w:rsidR="00F57191" w:rsidRPr="00B25FDD" w:rsidRDefault="00F57191" w:rsidP="00F57191">
      <w:pPr>
        <w:pStyle w:val="enumlev1"/>
        <w:rPr>
          <w:lang w:val="en-GB" w:eastAsia="zh-CN"/>
        </w:rPr>
      </w:pPr>
      <w:r w:rsidRPr="00B25FDD">
        <w:rPr>
          <w:lang w:val="en-GB" w:eastAsia="zh-CN"/>
        </w:rPr>
        <w:t>7)</w:t>
      </w:r>
      <w:r w:rsidRPr="00B25FDD">
        <w:rPr>
          <w:lang w:val="en-GB" w:eastAsia="zh-CN"/>
        </w:rPr>
        <w:tab/>
        <w:t xml:space="preserve">The total number of objects </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part</m:t>
            </m:r>
            <m:r>
              <m:rPr>
                <m:sty m:val="p"/>
              </m:rPr>
              <w:rPr>
                <w:rFonts w:ascii="Cambria Math" w:hAnsi="Cambria Math"/>
                <w:lang w:val="en-GB" w:eastAsia="zh-CN"/>
              </w:rPr>
              <m:t>.</m:t>
            </m:r>
            <m:r>
              <w:rPr>
                <w:rFonts w:ascii="Cambria Math" w:hAnsi="Cambria Math"/>
                <w:lang w:val="en-GB" w:eastAsia="zh-CN"/>
              </w:rPr>
              <m:t>cov.</m:t>
            </m:r>
          </m:sub>
        </m:sSub>
      </m:oMath>
      <w:r w:rsidRPr="00B25FDD">
        <w:rPr>
          <w:lang w:val="en-GB" w:eastAsia="zh-CN"/>
        </w:rPr>
        <w:t xml:space="preserve">, registered within </w:t>
      </w:r>
      <w:r w:rsidRPr="00B25FDD">
        <w:rPr>
          <w:i/>
          <w:lang w:val="en-GB" w:eastAsia="zh-CN"/>
        </w:rPr>
        <w:t>l</w:t>
      </w:r>
      <w:r w:rsidRPr="00B25FDD">
        <w:rPr>
          <w:lang w:val="en-GB" w:eastAsia="zh-CN"/>
        </w:rPr>
        <w:t xml:space="preserve"> partly </w:t>
      </w:r>
      <w:r w:rsidRPr="00B25FDD">
        <w:rPr>
          <w:szCs w:val="24"/>
          <w:lang w:val="en-GB" w:eastAsia="zh-CN"/>
        </w:rPr>
        <w:t>‘covered’</w:t>
      </w:r>
      <w:r w:rsidRPr="00B25FDD">
        <w:rPr>
          <w:lang w:val="en-GB" w:eastAsia="zh-CN"/>
        </w:rPr>
        <w:t xml:space="preserve"> settlements is calculated with the equation:</w:t>
      </w:r>
    </w:p>
    <w:p w14:paraId="30B26DB9"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part</m:t>
            </m:r>
            <m:r>
              <m:rPr>
                <m:sty m:val="p"/>
              </m:rPr>
              <w:rPr>
                <w:rFonts w:ascii="Cambria Math" w:hAnsi="Cambria Math"/>
                <w:lang w:val="en-GB" w:eastAsia="zh-CN"/>
              </w:rPr>
              <m:t>.</m:t>
            </m:r>
            <m:r>
              <w:rPr>
                <w:rFonts w:ascii="Cambria Math" w:hAnsi="Cambria Math"/>
                <w:lang w:val="en-GB" w:eastAsia="zh-CN"/>
              </w:rPr>
              <m:t>cov.</m:t>
            </m:r>
          </m:sub>
        </m:sSub>
        <m:r>
          <m:rPr>
            <m:sty m:val="p"/>
          </m:rPr>
          <w:rPr>
            <w:rFonts w:ascii="Cambria Math" w:hAnsi="Cambria Math"/>
            <w:lang w:val="en-GB" w:eastAsia="zh-CN"/>
          </w:rPr>
          <m:t>=</m:t>
        </m:r>
        <m:nary>
          <m:naryPr>
            <m:chr m:val="∑"/>
            <m:limLoc m:val="undOvr"/>
            <m:ctrlPr>
              <w:rPr>
                <w:rFonts w:ascii="Cambria Math" w:hAnsi="Cambria Math"/>
                <w:lang w:val="en-GB" w:eastAsia="zh-CN"/>
              </w:rPr>
            </m:ctrlPr>
          </m:naryPr>
          <m:sub>
            <m:r>
              <w:rPr>
                <w:rFonts w:ascii="Cambria Math" w:hAnsi="Cambria Math"/>
                <w:lang w:val="en-GB" w:eastAsia="zh-CN"/>
              </w:rPr>
              <m:t>j</m:t>
            </m:r>
            <m:r>
              <m:rPr>
                <m:sty m:val="p"/>
              </m:rPr>
              <w:rPr>
                <w:rFonts w:ascii="Cambria Math" w:hAnsi="Cambria Math"/>
                <w:lang w:val="en-GB" w:eastAsia="zh-CN"/>
              </w:rPr>
              <m:t>=1</m:t>
            </m:r>
          </m:sub>
          <m:sup>
            <m:r>
              <w:rPr>
                <w:rFonts w:ascii="Cambria Math" w:hAnsi="Cambria Math"/>
                <w:lang w:val="en-GB" w:eastAsia="zh-CN"/>
              </w:rPr>
              <m:t>l</m:t>
            </m:r>
          </m:sup>
          <m:e>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obj.cov.j</m:t>
                </m:r>
              </m:sub>
            </m:sSub>
          </m:e>
        </m:nary>
      </m:oMath>
      <w:r w:rsidRPr="00B25FDD">
        <w:rPr>
          <w:lang w:val="en-GB" w:eastAsia="zh-CN"/>
        </w:rPr>
        <w:tab/>
        <w:t>(6)</w:t>
      </w:r>
    </w:p>
    <w:p w14:paraId="482829B9" w14:textId="2E32EC80" w:rsidR="00F57191" w:rsidRPr="00B25FDD" w:rsidRDefault="00F57191" w:rsidP="00F57191">
      <w:pPr>
        <w:pStyle w:val="enumlev1"/>
        <w:rPr>
          <w:i/>
          <w:lang w:val="en-GB" w:eastAsia="zh-CN"/>
        </w:rPr>
      </w:pPr>
      <w:r w:rsidRPr="00B25FDD">
        <w:rPr>
          <w:lang w:val="en-GB" w:eastAsia="zh-CN"/>
        </w:rPr>
        <w:t>8)</w:t>
      </w:r>
      <w:r w:rsidRPr="00B25FDD">
        <w:rPr>
          <w:lang w:val="en-GB" w:eastAsia="zh-CN"/>
        </w:rPr>
        <w:tab/>
        <w:t xml:space="preserve">The total number of objects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Pr="00B25FDD">
        <w:rPr>
          <w:lang w:val="en-GB" w:eastAsia="zh-CN"/>
        </w:rPr>
        <w:t xml:space="preserve"> registered in the covered area is determined with </w:t>
      </w:r>
      <w:r w:rsidR="00544D3F" w:rsidRPr="00B25FDD">
        <w:rPr>
          <w:lang w:val="en-GB" w:eastAsia="zh-CN"/>
        </w:rPr>
        <w:t xml:space="preserve">the </w:t>
      </w:r>
      <w:r w:rsidRPr="00B25FDD">
        <w:rPr>
          <w:lang w:val="en-GB" w:eastAsia="zh-CN"/>
        </w:rPr>
        <w:t>following equation:</w:t>
      </w:r>
    </w:p>
    <w:p w14:paraId="47D57E0A"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tot.cov.</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part.cov.</m:t>
            </m:r>
          </m:sub>
        </m:sSub>
      </m:oMath>
      <w:r w:rsidRPr="00B25FDD">
        <w:rPr>
          <w:lang w:val="en-GB" w:eastAsia="zh-CN"/>
        </w:rPr>
        <w:tab/>
        <w:t>(7)</w:t>
      </w:r>
    </w:p>
    <w:p w14:paraId="64512BAF" w14:textId="77777777" w:rsidR="00F57191" w:rsidRPr="00B25FDD" w:rsidRDefault="00F57191" w:rsidP="00F57191">
      <w:pPr>
        <w:rPr>
          <w:position w:val="-30"/>
          <w:lang w:val="en-GB" w:eastAsia="zh-CN"/>
        </w:rPr>
      </w:pPr>
      <w:r w:rsidRPr="00B25FDD">
        <w:rPr>
          <w:lang w:val="en-GB" w:eastAsia="zh-CN"/>
        </w:rPr>
        <w:t xml:space="preserve">The coverage parameter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B25FDD">
        <w:rPr>
          <w:lang w:val="en-GB" w:eastAsia="zh-CN"/>
        </w:rPr>
        <w:t xml:space="preserve"> is calculated with equation (1). </w:t>
      </w:r>
    </w:p>
    <w:p w14:paraId="1905C18D" w14:textId="77777777" w:rsidR="00F57191" w:rsidRPr="00B25FDD" w:rsidRDefault="00F57191" w:rsidP="00F57191">
      <w:pPr>
        <w:pStyle w:val="Heading2"/>
        <w:rPr>
          <w:lang w:val="en-GB" w:eastAsia="zh-CN"/>
        </w:rPr>
      </w:pPr>
      <w:r w:rsidRPr="00B25FDD">
        <w:rPr>
          <w:lang w:val="en-GB" w:eastAsia="zh-CN"/>
        </w:rPr>
        <w:t xml:space="preserve">6.2 </w:t>
      </w:r>
      <w:r w:rsidRPr="00B25FDD">
        <w:rPr>
          <w:lang w:val="en-GB" w:eastAsia="zh-CN"/>
        </w:rPr>
        <w:tab/>
        <w:t>Estimation of the number of objects</w:t>
      </w:r>
    </w:p>
    <w:p w14:paraId="0CDF040F" w14:textId="77777777" w:rsidR="00F57191" w:rsidRPr="00B25FDD" w:rsidRDefault="00F57191" w:rsidP="00F57191">
      <w:pPr>
        <w:rPr>
          <w:lang w:val="en-GB" w:eastAsia="zh-CN"/>
        </w:rPr>
      </w:pPr>
      <w:r w:rsidRPr="00B25FDD">
        <w:rPr>
          <w:lang w:val="en-GB" w:eastAsia="zh-CN"/>
        </w:rPr>
        <w:t>In the second case, the population coverage estimation is based on the covered urban and rural populations separately.</w:t>
      </w:r>
    </w:p>
    <w:p w14:paraId="62AB7203" w14:textId="77777777" w:rsidR="00F57191" w:rsidRPr="00B25FDD" w:rsidRDefault="00F57191" w:rsidP="00F57191">
      <w:pPr>
        <w:rPr>
          <w:lang w:val="en-GB" w:eastAsia="zh-CN"/>
        </w:rPr>
      </w:pPr>
      <w:r w:rsidRPr="00B25FDD">
        <w:rPr>
          <w:lang w:val="en-GB" w:eastAsia="zh-CN"/>
        </w:rPr>
        <w:t>After determination of the coverage area within tested territory, it is plotted on a digital map and the following procedures are applied:</w:t>
      </w:r>
    </w:p>
    <w:p w14:paraId="6641D0A1" w14:textId="77777777" w:rsidR="00F57191" w:rsidRPr="00B25FDD" w:rsidRDefault="00F57191" w:rsidP="00F57191">
      <w:pPr>
        <w:pStyle w:val="enumlev1"/>
        <w:rPr>
          <w:lang w:val="en-GB" w:eastAsia="zh-CN"/>
        </w:rPr>
      </w:pPr>
      <w:r w:rsidRPr="00B25FDD">
        <w:rPr>
          <w:lang w:val="en-GB" w:eastAsia="zh-CN"/>
        </w:rPr>
        <w:t>1)</w:t>
      </w:r>
      <w:r w:rsidRPr="00B25FDD">
        <w:rPr>
          <w:lang w:val="en-GB" w:eastAsia="zh-CN"/>
        </w:rPr>
        <w:tab/>
        <w:t xml:space="preserve">The number of objects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m:t>
            </m:r>
          </m:sub>
        </m:sSub>
      </m:oMath>
      <w:r w:rsidRPr="00B25FDD">
        <w:rPr>
          <w:lang w:val="en-GB" w:eastAsia="zh-CN"/>
        </w:rPr>
        <w:t xml:space="preserve"> which are registered in </w:t>
      </w:r>
      <w:r w:rsidRPr="00B25FDD">
        <w:rPr>
          <w:i/>
          <w:lang w:val="en-GB" w:eastAsia="zh-CN"/>
        </w:rPr>
        <w:t>m</w:t>
      </w:r>
      <w:r w:rsidRPr="00B25FDD">
        <w:rPr>
          <w:lang w:val="en-GB" w:eastAsia="zh-CN"/>
        </w:rPr>
        <w:t xml:space="preserve"> big cities inside </w:t>
      </w:r>
      <w:r w:rsidRPr="00B25FDD">
        <w:rPr>
          <w:szCs w:val="24"/>
          <w:lang w:val="en-GB" w:eastAsia="zh-CN"/>
        </w:rPr>
        <w:t>the coverage area</w:t>
      </w:r>
      <w:r w:rsidRPr="00B25FDD">
        <w:rPr>
          <w:lang w:val="en-GB" w:eastAsia="zh-CN"/>
        </w:rPr>
        <w:t xml:space="preserve"> is estimated using an authoritative population or statistical reference for each city and summed as following:</w:t>
      </w:r>
    </w:p>
    <w:p w14:paraId="05ED8DC7"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m:t>
            </m:r>
          </m:sub>
        </m:sSub>
        <m:r>
          <w:rPr>
            <w:rFonts w:ascii="Cambria Math" w:hAnsi="Cambria Math"/>
            <w:lang w:val="en-GB" w:eastAsia="zh-CN"/>
          </w:rPr>
          <m:t>=</m:t>
        </m:r>
        <m:nary>
          <m:naryPr>
            <m:chr m:val="∑"/>
            <m:limLoc m:val="undOvr"/>
            <m:ctrlPr>
              <w:rPr>
                <w:rFonts w:ascii="Cambria Math" w:hAnsi="Cambria Math"/>
                <w:i/>
                <w:lang w:val="en-GB" w:eastAsia="zh-CN"/>
              </w:rPr>
            </m:ctrlPr>
          </m:naryPr>
          <m:sub>
            <m:r>
              <w:rPr>
                <w:rFonts w:ascii="Cambria Math" w:hAnsi="Cambria Math"/>
                <w:lang w:val="en-GB" w:eastAsia="zh-CN"/>
              </w:rPr>
              <m:t>j=1</m:t>
            </m:r>
          </m:sub>
          <m:sup>
            <m:r>
              <w:rPr>
                <w:rFonts w:ascii="Cambria Math" w:hAnsi="Cambria Math"/>
                <w:lang w:val="en-GB" w:eastAsia="zh-CN"/>
              </w:rPr>
              <m:t>m</m:t>
            </m:r>
          </m:sup>
          <m:e>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 j</m:t>
                </m:r>
              </m:sub>
            </m:sSub>
          </m:e>
        </m:nary>
      </m:oMath>
      <w:r w:rsidRPr="00B25FDD">
        <w:rPr>
          <w:lang w:val="en-GB" w:eastAsia="zh-CN"/>
        </w:rPr>
        <w:tab/>
        <w:t>(8)</w:t>
      </w:r>
    </w:p>
    <w:p w14:paraId="0564C43E" w14:textId="77777777" w:rsidR="00F57191" w:rsidRPr="00B25FDD" w:rsidRDefault="00F57191" w:rsidP="00F57191">
      <w:pPr>
        <w:pStyle w:val="enumlev1"/>
        <w:rPr>
          <w:lang w:val="en-GB" w:eastAsia="zh-CN"/>
        </w:rPr>
      </w:pPr>
      <w:r w:rsidRPr="00B25FDD">
        <w:rPr>
          <w:lang w:val="en-GB" w:eastAsia="zh-CN"/>
        </w:rPr>
        <w:t>2)</w:t>
      </w:r>
      <w:r w:rsidRPr="00B25FDD">
        <w:rPr>
          <w:lang w:val="en-GB" w:eastAsia="zh-CN"/>
        </w:rPr>
        <w:tab/>
        <w:t xml:space="preserve">The total area of covered rural territory (excluding big cities area) </w:t>
      </w:r>
      <m:oMath>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cov.rur.</m:t>
            </m:r>
          </m:sub>
        </m:sSub>
      </m:oMath>
      <w:r w:rsidRPr="00B25FDD">
        <w:rPr>
          <w:lang w:val="en-GB" w:eastAsia="zh-CN"/>
        </w:rPr>
        <w:t xml:space="preserve"> is determined.</w:t>
      </w:r>
    </w:p>
    <w:p w14:paraId="05C933CD" w14:textId="77777777" w:rsidR="00F57191" w:rsidRPr="00B25FDD" w:rsidRDefault="00F57191" w:rsidP="00F57191">
      <w:pPr>
        <w:pStyle w:val="enumlev1"/>
        <w:rPr>
          <w:lang w:val="en-GB" w:eastAsia="zh-CN"/>
        </w:rPr>
      </w:pPr>
      <w:r w:rsidRPr="00B25FDD">
        <w:rPr>
          <w:lang w:val="en-GB" w:eastAsia="zh-CN"/>
        </w:rPr>
        <w:t>3)</w:t>
      </w:r>
      <w:r w:rsidRPr="00B25FDD">
        <w:rPr>
          <w:lang w:val="en-GB" w:eastAsia="zh-CN"/>
        </w:rPr>
        <w:tab/>
        <w:t>The total number of objects</w:t>
      </w:r>
      <w:r w:rsidRPr="00B25FDD">
        <w:rPr>
          <w:i/>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rur.cov.</m:t>
            </m:r>
          </m:sub>
        </m:sSub>
      </m:oMath>
      <w:r w:rsidRPr="00B25FDD">
        <w:rPr>
          <w:lang w:val="en-GB" w:eastAsia="zh-CN"/>
        </w:rPr>
        <w:t>, registered in the covered rural area within the tested territory is estimated with the equation:</w:t>
      </w:r>
    </w:p>
    <w:p w14:paraId="12D4F892"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rur.cov.</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DP</m:t>
            </m:r>
          </m:e>
          <m:sub>
            <m:r>
              <w:rPr>
                <w:rFonts w:ascii="Cambria Math" w:hAnsi="Cambria Math"/>
                <w:lang w:val="en-GB" w:eastAsia="zh-CN"/>
              </w:rPr>
              <m:t>rur.</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cov.rur.</m:t>
            </m:r>
          </m:sub>
        </m:sSub>
      </m:oMath>
      <w:r w:rsidRPr="00B25FDD">
        <w:rPr>
          <w:lang w:val="en-GB" w:eastAsia="zh-CN"/>
        </w:rPr>
        <w:tab/>
        <w:t>(9)</w:t>
      </w:r>
    </w:p>
    <w:p w14:paraId="0F50BC41" w14:textId="18FD7A43" w:rsidR="00F57191" w:rsidRPr="00B25FDD" w:rsidRDefault="00F57191" w:rsidP="00F57191">
      <w:pPr>
        <w:pStyle w:val="enumlev1"/>
        <w:rPr>
          <w:i/>
          <w:lang w:val="en-GB" w:eastAsia="zh-CN"/>
        </w:rPr>
      </w:pPr>
      <w:r w:rsidRPr="00B25FDD">
        <w:rPr>
          <w:lang w:val="en-GB" w:eastAsia="zh-CN"/>
        </w:rPr>
        <w:t>4)</w:t>
      </w:r>
      <w:r w:rsidRPr="00B25FDD">
        <w:rPr>
          <w:lang w:val="en-GB" w:eastAsia="zh-CN"/>
        </w:rPr>
        <w:tab/>
        <w:t>The approximated number of objects</w:t>
      </w:r>
      <w:r w:rsidR="00B25FDD" w:rsidRPr="00B25FD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Pr="00B25FDD">
        <w:rPr>
          <w:lang w:val="en-GB" w:eastAsia="zh-CN"/>
        </w:rPr>
        <w:t>, registered in the covered area is determined with following equation:</w:t>
      </w:r>
    </w:p>
    <w:p w14:paraId="2752BA78" w14:textId="77777777" w:rsidR="00F57191" w:rsidRPr="00B25FDD" w:rsidRDefault="00F57191" w:rsidP="00F57191">
      <w:pPr>
        <w:pStyle w:val="Equation"/>
        <w:rPr>
          <w:lang w:val="en-GB" w:eastAsia="zh-CN"/>
        </w:rPr>
      </w:pPr>
      <w:r w:rsidRPr="00B25FDD">
        <w:rPr>
          <w:lang w:val="en-GB" w:eastAsia="zh-CN"/>
        </w:rPr>
        <w:tab/>
      </w:r>
      <w:r w:rsidRPr="00B25FDD">
        <w:rPr>
          <w:lang w:val="en-GB"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rur.cov.</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urb.cov.</m:t>
            </m:r>
          </m:sub>
        </m:sSub>
      </m:oMath>
      <w:r w:rsidRPr="00B25FDD">
        <w:rPr>
          <w:lang w:val="en-GB" w:eastAsia="zh-CN"/>
        </w:rPr>
        <w:tab/>
        <w:t>(10)</w:t>
      </w:r>
    </w:p>
    <w:p w14:paraId="2BC8518E" w14:textId="77777777" w:rsidR="00F57191" w:rsidRPr="00B25FDD" w:rsidRDefault="00F57191" w:rsidP="00F57191">
      <w:pPr>
        <w:rPr>
          <w:position w:val="-30"/>
          <w:lang w:val="en-GB" w:eastAsia="zh-CN"/>
        </w:rPr>
      </w:pPr>
      <w:r w:rsidRPr="00B25FDD">
        <w:rPr>
          <w:lang w:val="en-GB" w:eastAsia="zh-CN"/>
        </w:rPr>
        <w:lastRenderedPageBreak/>
        <w:t xml:space="preserve">The coverage parameter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B25FDD">
        <w:rPr>
          <w:lang w:val="en-GB" w:eastAsia="zh-CN"/>
        </w:rPr>
        <w:t xml:space="preserve"> is calculated with equation (1). </w:t>
      </w:r>
    </w:p>
    <w:p w14:paraId="3EED84C2" w14:textId="77777777" w:rsidR="00F57191" w:rsidRPr="00B25FDD" w:rsidRDefault="00F57191" w:rsidP="00F57191">
      <w:pPr>
        <w:rPr>
          <w:lang w:val="en-GB" w:eastAsia="zh-CN"/>
        </w:rPr>
      </w:pPr>
      <w:r w:rsidRPr="00B25FDD">
        <w:rPr>
          <w:lang w:val="en-GB" w:eastAsia="zh-CN"/>
        </w:rPr>
        <w:t xml:space="preserve">Annex 1 provides an example of population coverage estimations using the steps outlined above for different areas and for cases where only part of the tested territory is covered. </w:t>
      </w:r>
    </w:p>
    <w:p w14:paraId="390AEDF4" w14:textId="77777777" w:rsidR="00F57191" w:rsidRPr="00B25FDD" w:rsidRDefault="00F57191" w:rsidP="00F57191">
      <w:pPr>
        <w:pStyle w:val="Heading1"/>
        <w:rPr>
          <w:lang w:val="en-GB"/>
        </w:rPr>
      </w:pPr>
      <w:r w:rsidRPr="00B25FDD">
        <w:rPr>
          <w:lang w:val="en-GB"/>
        </w:rPr>
        <w:t>7</w:t>
      </w:r>
      <w:r w:rsidRPr="00B25FDD">
        <w:rPr>
          <w:lang w:val="en-GB"/>
        </w:rPr>
        <w:tab/>
        <w:t>Other considerations</w:t>
      </w:r>
    </w:p>
    <w:p w14:paraId="73577D8F" w14:textId="77777777" w:rsidR="00F57191" w:rsidRPr="00B25FDD" w:rsidRDefault="00F57191" w:rsidP="00F57191">
      <w:pPr>
        <w:pStyle w:val="Heading2"/>
        <w:rPr>
          <w:lang w:val="en-GB" w:eastAsia="zh-CN"/>
        </w:rPr>
      </w:pPr>
      <w:r w:rsidRPr="00B25FDD">
        <w:rPr>
          <w:lang w:val="en-GB" w:eastAsia="zh-CN"/>
        </w:rPr>
        <w:t>7.1</w:t>
      </w:r>
      <w:r w:rsidRPr="00B25FDD">
        <w:rPr>
          <w:lang w:val="en-GB" w:eastAsia="zh-CN"/>
        </w:rPr>
        <w:tab/>
        <w:t>Broadcasting services</w:t>
      </w:r>
    </w:p>
    <w:p w14:paraId="7E78C192" w14:textId="77777777" w:rsidR="00F57191" w:rsidRPr="00B25FDD" w:rsidRDefault="00F57191" w:rsidP="003F1EEF">
      <w:pPr>
        <w:rPr>
          <w:lang w:val="en-GB" w:eastAsia="zh-CN"/>
        </w:rPr>
      </w:pPr>
      <w:r w:rsidRPr="00B25FDD">
        <w:rPr>
          <w:lang w:val="en-GB" w:eastAsia="zh-CN"/>
        </w:rPr>
        <w:t>Considering that in most cases it is impossible to estimate the actual number of terrestrial broadcasting service users, the term ‘covered population’ is defined as following: “Covered population is t</w:t>
      </w:r>
      <w:r w:rsidRPr="00B25FDD">
        <w:rPr>
          <w:szCs w:val="24"/>
          <w:lang w:val="en-GB" w:eastAsia="zh-CN"/>
        </w:rPr>
        <w:t xml:space="preserve">he number of </w:t>
      </w:r>
      <w:r w:rsidRPr="00B25FDD">
        <w:rPr>
          <w:lang w:val="en-GB" w:eastAsia="zh-CN"/>
        </w:rPr>
        <w:t>objects</w:t>
      </w:r>
      <w:r w:rsidRPr="00B25FDD">
        <w:rPr>
          <w:szCs w:val="24"/>
          <w:lang w:val="en-GB" w:eastAsia="zh-CN"/>
        </w:rPr>
        <w:t xml:space="preserve"> </w:t>
      </w:r>
      <w:r w:rsidRPr="00B25FDD">
        <w:rPr>
          <w:lang w:val="en-GB" w:eastAsia="zh-CN"/>
        </w:rPr>
        <w:t>registered</w:t>
      </w:r>
      <w:r w:rsidRPr="00B25FDD">
        <w:rPr>
          <w:szCs w:val="24"/>
          <w:lang w:val="en-GB" w:eastAsia="zh-CN"/>
        </w:rPr>
        <w:t xml:space="preserve"> in the covered area and able to use the services </w:t>
      </w:r>
      <w:r w:rsidRPr="00B25FDD">
        <w:rPr>
          <w:szCs w:val="24"/>
          <w:lang w:val="en-GB"/>
        </w:rPr>
        <w:t xml:space="preserve">of the </w:t>
      </w:r>
      <w:r w:rsidRPr="00B25FDD">
        <w:rPr>
          <w:lang w:val="en-GB" w:eastAsia="zh-CN"/>
        </w:rPr>
        <w:t xml:space="preserve">digital terrestrial broadcasting </w:t>
      </w:r>
      <w:r w:rsidRPr="00B25FDD">
        <w:rPr>
          <w:szCs w:val="24"/>
          <w:lang w:val="en-GB" w:eastAsia="zh-CN"/>
        </w:rPr>
        <w:t>network</w:t>
      </w:r>
      <w:r w:rsidRPr="00B25FDD">
        <w:rPr>
          <w:lang w:val="en-GB" w:eastAsia="zh-CN"/>
        </w:rPr>
        <w:t xml:space="preserve"> (DTBN)”. Typically, the population coverage of a DTBN is estimated by the number of </w:t>
      </w:r>
      <w:r w:rsidRPr="00B25FDD">
        <w:rPr>
          <w:szCs w:val="24"/>
          <w:lang w:val="en-GB" w:eastAsia="zh-CN"/>
        </w:rPr>
        <w:t>objects</w:t>
      </w:r>
      <w:r w:rsidRPr="00B25FDD">
        <w:rPr>
          <w:lang w:val="en-GB" w:eastAsia="zh-CN"/>
        </w:rPr>
        <w:t xml:space="preserve"> with</w:t>
      </w:r>
      <w:r w:rsidRPr="00B25FDD">
        <w:rPr>
          <w:szCs w:val="24"/>
          <w:lang w:val="en-GB" w:eastAsia="zh-CN"/>
        </w:rPr>
        <w:t>in the certain covered area.</w:t>
      </w:r>
    </w:p>
    <w:p w14:paraId="79A6EA28" w14:textId="77777777" w:rsidR="00F57191" w:rsidRPr="00B25FDD" w:rsidRDefault="00F57191" w:rsidP="003F1EEF">
      <w:pPr>
        <w:rPr>
          <w:lang w:val="en-GB" w:eastAsia="zh-CN"/>
        </w:rPr>
      </w:pPr>
      <w:r w:rsidRPr="00B25FDD">
        <w:rPr>
          <w:lang w:val="en-GB" w:eastAsia="zh-CN"/>
        </w:rPr>
        <w:t>The estimation of population coverage of a DTBN can be performed using following classes of objects:</w:t>
      </w:r>
    </w:p>
    <w:p w14:paraId="137204EF"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r>
      <w:proofErr w:type="gramStart"/>
      <w:r w:rsidRPr="00B25FDD">
        <w:rPr>
          <w:lang w:val="en-GB" w:eastAsia="zh-CN"/>
        </w:rPr>
        <w:t>inhabitants;</w:t>
      </w:r>
      <w:proofErr w:type="gramEnd"/>
    </w:p>
    <w:p w14:paraId="1833F6CE"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r>
      <w:proofErr w:type="gramStart"/>
      <w:r w:rsidRPr="00B25FDD">
        <w:rPr>
          <w:lang w:val="en-GB" w:eastAsia="zh-CN"/>
        </w:rPr>
        <w:t>households;</w:t>
      </w:r>
      <w:proofErr w:type="gramEnd"/>
    </w:p>
    <w:p w14:paraId="1C8FF63C"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 xml:space="preserve">homes. </w:t>
      </w:r>
    </w:p>
    <w:p w14:paraId="59E61484" w14:textId="77777777" w:rsidR="00F57191" w:rsidRPr="00B25FDD" w:rsidRDefault="00F57191" w:rsidP="00F57191">
      <w:pPr>
        <w:rPr>
          <w:lang w:val="en-GB" w:eastAsia="zh-CN"/>
        </w:rPr>
      </w:pPr>
      <w:r w:rsidRPr="00B25FDD">
        <w:rPr>
          <w:lang w:val="en-GB" w:eastAsia="zh-CN"/>
        </w:rPr>
        <w:t>The term ‘registered’ above refers to:</w:t>
      </w:r>
    </w:p>
    <w:p w14:paraId="6AADF90C"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 xml:space="preserve">all inhabitants living within the covered </w:t>
      </w:r>
      <w:proofErr w:type="gramStart"/>
      <w:r w:rsidRPr="00B25FDD">
        <w:rPr>
          <w:lang w:val="en-GB" w:eastAsia="zh-CN"/>
        </w:rPr>
        <w:t>area;</w:t>
      </w:r>
      <w:proofErr w:type="gramEnd"/>
    </w:p>
    <w:p w14:paraId="2F382D2F"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 xml:space="preserve">all households/homes located within the covered area. </w:t>
      </w:r>
    </w:p>
    <w:p w14:paraId="192A262A" w14:textId="77777777" w:rsidR="00F57191" w:rsidRPr="00B25FDD" w:rsidRDefault="00F57191" w:rsidP="00F57191">
      <w:pPr>
        <w:rPr>
          <w:lang w:val="en-GB"/>
        </w:rPr>
      </w:pPr>
      <w:r w:rsidRPr="00B25FDD">
        <w:rPr>
          <w:lang w:val="en-GB"/>
        </w:rPr>
        <w:t>In most cases, it is not possible to provide an exact figure for the number of households that receive broadcasting services from a specific transmitter, and therefore difficult to be precise about how many households receive the local services. To address this situation, two measures can be considered [6]:</w:t>
      </w:r>
    </w:p>
    <w:p w14:paraId="0106D4AE" w14:textId="77777777" w:rsidR="00F57191" w:rsidRPr="00B25FDD" w:rsidRDefault="00F57191" w:rsidP="00F57191">
      <w:pPr>
        <w:pStyle w:val="enumlev1"/>
        <w:rPr>
          <w:lang w:val="en-GB"/>
        </w:rPr>
      </w:pPr>
      <w:r w:rsidRPr="00B25FDD">
        <w:rPr>
          <w:lang w:val="en-GB"/>
        </w:rPr>
        <w:t>–</w:t>
      </w:r>
      <w:r w:rsidRPr="00B25FDD">
        <w:rPr>
          <w:lang w:val="en-GB"/>
        </w:rPr>
        <w:tab/>
        <w:t xml:space="preserve">Gross </w:t>
      </w:r>
      <w:proofErr w:type="gramStart"/>
      <w:r w:rsidRPr="00B25FDD">
        <w:rPr>
          <w:lang w:val="en-GB"/>
        </w:rPr>
        <w:t>population;</w:t>
      </w:r>
      <w:proofErr w:type="gramEnd"/>
    </w:p>
    <w:p w14:paraId="7E19CC42" w14:textId="77777777" w:rsidR="00F57191" w:rsidRPr="00B25FDD" w:rsidRDefault="00F57191" w:rsidP="00F57191">
      <w:pPr>
        <w:pStyle w:val="enumlev1"/>
        <w:rPr>
          <w:lang w:val="en-GB"/>
        </w:rPr>
      </w:pPr>
      <w:r w:rsidRPr="00B25FDD">
        <w:rPr>
          <w:lang w:val="en-GB"/>
        </w:rPr>
        <w:t>–</w:t>
      </w:r>
      <w:r w:rsidRPr="00B25FDD">
        <w:rPr>
          <w:lang w:val="en-GB"/>
        </w:rPr>
        <w:tab/>
        <w:t>Digital Preferred Service Area (DPSA).</w:t>
      </w:r>
    </w:p>
    <w:p w14:paraId="3EBDF0E5" w14:textId="77777777" w:rsidR="00F57191" w:rsidRPr="00B25FDD" w:rsidRDefault="00F57191" w:rsidP="00F57191">
      <w:pPr>
        <w:rPr>
          <w:lang w:val="en-GB"/>
        </w:rPr>
      </w:pPr>
      <w:r w:rsidRPr="00B25FDD">
        <w:rPr>
          <w:bCs/>
          <w:lang w:val="en-GB"/>
        </w:rPr>
        <w:t>Gross population</w:t>
      </w:r>
      <w:r w:rsidRPr="00B25FDD">
        <w:rPr>
          <w:lang w:val="en-GB"/>
        </w:rPr>
        <w:t xml:space="preserve"> represents the total number of households that would receive the local services if their aerials </w:t>
      </w:r>
      <w:proofErr w:type="gramStart"/>
      <w:r w:rsidRPr="00B25FDD">
        <w:rPr>
          <w:lang w:val="en-GB"/>
        </w:rPr>
        <w:t>are</w:t>
      </w:r>
      <w:proofErr w:type="gramEnd"/>
      <w:r w:rsidRPr="00B25FDD">
        <w:rPr>
          <w:lang w:val="en-GB"/>
        </w:rPr>
        <w:t xml:space="preserve"> pointing towards the appropriate transmitter. In practice, the gross coverage of adjacent transmitters overlaps to some extent, which means that households have a choice of which direction to point their aerials. Gross coverage is therefore almost always an overestimate of the number of households using a particular transmitter as some households within the gross coverage area can be expected to be watching a different transmitter. For areas where two adjacent transmitters are proposed, the gross population figure is based on the gross coverage of the larger transmitter only. </w:t>
      </w:r>
    </w:p>
    <w:p w14:paraId="17CF5C62" w14:textId="77777777" w:rsidR="00F57191" w:rsidRPr="00B25FDD" w:rsidRDefault="00F57191" w:rsidP="00F57191">
      <w:pPr>
        <w:rPr>
          <w:szCs w:val="24"/>
          <w:lang w:val="en-GB" w:eastAsia="zh-CN"/>
        </w:rPr>
      </w:pPr>
      <w:r w:rsidRPr="00B25FDD">
        <w:rPr>
          <w:bCs/>
          <w:lang w:val="en-GB"/>
        </w:rPr>
        <w:t xml:space="preserve">DPSA </w:t>
      </w:r>
      <w:r w:rsidRPr="00B25FDD">
        <w:rPr>
          <w:lang w:val="en-GB"/>
        </w:rPr>
        <w:t xml:space="preserve">attempts to provide a more realistic estimate of the number of households that could receive the local services as compared to the gross population. The DPSA is a prediction of the areas where a specific transmitter is likely to provide better signals than other transmitters. </w:t>
      </w:r>
      <w:bookmarkStart w:id="14" w:name="_Toc55378821"/>
      <w:r w:rsidRPr="00B25FDD">
        <w:rPr>
          <w:lang w:val="en-GB"/>
        </w:rPr>
        <w:t>In those areas, it is reasonable to expect that households with aerials pointing at the transmitter in question could therefore receive the local services broadcast from that transmitter. The DPSA method is a numerical prediction and cannot, however, account for viewer preferences where households may choose services from a different transmitter. In locations where two transmitters are positioned, the DPSA coverage figure is the sum of the contribution of both transmitters.</w:t>
      </w:r>
    </w:p>
    <w:p w14:paraId="0917D141" w14:textId="77777777" w:rsidR="00F57191" w:rsidRPr="00B25FDD" w:rsidRDefault="00F57191" w:rsidP="00F57191">
      <w:pPr>
        <w:rPr>
          <w:lang w:val="en-GB" w:eastAsia="zh-CN"/>
        </w:rPr>
      </w:pPr>
      <w:r w:rsidRPr="00B25FDD">
        <w:rPr>
          <w:lang w:val="en-GB" w:eastAsia="zh-CN"/>
        </w:rPr>
        <w:t xml:space="preserve">The population coverage </w:t>
      </w:r>
      <w:bookmarkEnd w:id="14"/>
      <w:r w:rsidRPr="00B25FDD">
        <w:rPr>
          <w:szCs w:val="24"/>
          <w:lang w:val="en-GB" w:eastAsia="zh-CN"/>
        </w:rPr>
        <w:t xml:space="preserve">of a </w:t>
      </w:r>
      <w:r w:rsidRPr="00B25FDD">
        <w:rPr>
          <w:lang w:val="en-GB" w:eastAsia="zh-CN"/>
        </w:rPr>
        <w:t xml:space="preserve">DTBN can be determined by either prediction or measurement. </w:t>
      </w:r>
    </w:p>
    <w:p w14:paraId="71C3602F" w14:textId="77777777" w:rsidR="00F57191" w:rsidRPr="00B25FDD" w:rsidRDefault="00F57191" w:rsidP="00F57191">
      <w:pPr>
        <w:rPr>
          <w:spacing w:val="-2"/>
          <w:szCs w:val="24"/>
          <w:lang w:val="en-GB"/>
        </w:rPr>
      </w:pPr>
      <w:r w:rsidRPr="00B25FDD">
        <w:rPr>
          <w:szCs w:val="24"/>
          <w:lang w:val="en-GB" w:eastAsia="zh-CN"/>
        </w:rPr>
        <w:lastRenderedPageBreak/>
        <w:t xml:space="preserve">The predicted covered area can be calculated with different methods described in </w:t>
      </w:r>
      <w:r w:rsidRPr="00B25FDD">
        <w:rPr>
          <w:spacing w:val="-2"/>
          <w:szCs w:val="24"/>
          <w:lang w:val="en-GB"/>
        </w:rPr>
        <w:t xml:space="preserve">Recommendation ITU-R </w:t>
      </w:r>
      <w:hyperlink r:id="rId18" w:history="1">
        <w:r w:rsidRPr="00B25FDD">
          <w:rPr>
            <w:rStyle w:val="Hyperlink"/>
            <w:color w:val="auto"/>
            <w:u w:val="none"/>
            <w:lang w:val="en-GB"/>
          </w:rPr>
          <w:t>P.1546</w:t>
        </w:r>
      </w:hyperlink>
      <w:r w:rsidRPr="00B25FDD">
        <w:rPr>
          <w:spacing w:val="-2"/>
          <w:szCs w:val="24"/>
          <w:lang w:val="en-GB"/>
        </w:rPr>
        <w:t xml:space="preserve"> </w:t>
      </w:r>
      <w:r w:rsidRPr="00B25FDD">
        <w:rPr>
          <w:lang w:val="en-GB" w:eastAsia="zh-CN"/>
        </w:rPr>
        <w:t xml:space="preserve">[2], </w:t>
      </w:r>
      <w:r w:rsidRPr="00B25FDD">
        <w:rPr>
          <w:spacing w:val="-2"/>
          <w:szCs w:val="24"/>
          <w:lang w:val="en-GB"/>
        </w:rPr>
        <w:t xml:space="preserve">and </w:t>
      </w:r>
      <w:r w:rsidRPr="00B25FDD">
        <w:rPr>
          <w:lang w:val="en-GB"/>
        </w:rPr>
        <w:t xml:space="preserve">Recommendation ITU-R </w:t>
      </w:r>
      <w:hyperlink r:id="rId19" w:history="1">
        <w:r w:rsidRPr="00B25FDD">
          <w:rPr>
            <w:rStyle w:val="Hyperlink"/>
            <w:color w:val="auto"/>
            <w:u w:val="none"/>
            <w:lang w:val="en-GB"/>
          </w:rPr>
          <w:t>P.1812</w:t>
        </w:r>
      </w:hyperlink>
      <w:r w:rsidRPr="00B25FDD">
        <w:rPr>
          <w:lang w:val="en-GB"/>
        </w:rPr>
        <w:t xml:space="preserve"> </w:t>
      </w:r>
      <w:r w:rsidRPr="00B25FDD">
        <w:rPr>
          <w:lang w:val="en-GB" w:eastAsia="zh-CN"/>
        </w:rPr>
        <w:t>[3]</w:t>
      </w:r>
      <w:r w:rsidRPr="00B25FDD">
        <w:rPr>
          <w:spacing w:val="-2"/>
          <w:szCs w:val="24"/>
          <w:lang w:val="en-GB"/>
        </w:rPr>
        <w:t xml:space="preserve">. </w:t>
      </w:r>
    </w:p>
    <w:p w14:paraId="6F4DE667" w14:textId="77777777" w:rsidR="00F57191" w:rsidRPr="00B25FDD" w:rsidRDefault="00F57191" w:rsidP="00F57191">
      <w:pPr>
        <w:rPr>
          <w:lang w:val="en-GB" w:eastAsia="zh-CN"/>
        </w:rPr>
      </w:pPr>
      <w:r w:rsidRPr="00B25FDD">
        <w:rPr>
          <w:szCs w:val="24"/>
          <w:lang w:val="en-GB" w:eastAsia="zh-CN"/>
        </w:rPr>
        <w:t>The following procedures for estimating the population coverage are applied</w:t>
      </w:r>
      <w:r w:rsidRPr="00B25FDD">
        <w:rPr>
          <w:lang w:val="en-GB" w:eastAsia="zh-CN"/>
        </w:rPr>
        <w:t>:</w:t>
      </w:r>
    </w:p>
    <w:p w14:paraId="1A8CFD06" w14:textId="77777777" w:rsidR="00F57191" w:rsidRPr="00B25FDD" w:rsidRDefault="00F57191" w:rsidP="00F57191">
      <w:pPr>
        <w:pStyle w:val="enumlev1"/>
        <w:rPr>
          <w:lang w:val="en-GB" w:eastAsia="zh-CN"/>
        </w:rPr>
      </w:pPr>
      <w:r w:rsidRPr="00B25FDD">
        <w:rPr>
          <w:lang w:val="en-GB" w:eastAsia="zh-CN"/>
        </w:rPr>
        <w:t>1)</w:t>
      </w:r>
      <w:r w:rsidRPr="00B25FDD">
        <w:rPr>
          <w:lang w:val="en-GB" w:eastAsia="zh-CN"/>
        </w:rPr>
        <w:tab/>
        <w:t>The calculated coverage area is plotted on digital map of the tested territory.</w:t>
      </w:r>
    </w:p>
    <w:p w14:paraId="2DD38F8B" w14:textId="77777777" w:rsidR="00F57191" w:rsidRPr="00B25FDD" w:rsidRDefault="00F57191" w:rsidP="00F57191">
      <w:pPr>
        <w:pStyle w:val="enumlev1"/>
        <w:rPr>
          <w:lang w:val="en-GB" w:eastAsia="zh-CN"/>
        </w:rPr>
      </w:pPr>
      <w:r w:rsidRPr="00B25FDD">
        <w:rPr>
          <w:lang w:val="en-GB" w:eastAsia="zh-CN"/>
        </w:rPr>
        <w:t>2)</w:t>
      </w:r>
      <w:r w:rsidRPr="00B25FDD">
        <w:rPr>
          <w:lang w:val="en-GB" w:eastAsia="zh-CN"/>
        </w:rPr>
        <w:tab/>
        <w:t xml:space="preserve">Within the tested territory, the settlements located completely within the coverage area are determined and in each </w:t>
      </w:r>
      <w:proofErr w:type="spellStart"/>
      <w:r w:rsidRPr="00B25FDD">
        <w:rPr>
          <w:i/>
          <w:lang w:val="en-GB" w:eastAsia="zh-CN"/>
        </w:rPr>
        <w:t>i-</w:t>
      </w:r>
      <w:r w:rsidRPr="00B25FDD">
        <w:rPr>
          <w:lang w:val="en-GB" w:eastAsia="zh-CN"/>
        </w:rPr>
        <w:t>th</w:t>
      </w:r>
      <w:proofErr w:type="spellEnd"/>
      <w:r w:rsidRPr="00B25FDD">
        <w:rPr>
          <w:lang w:val="en-GB" w:eastAsia="zh-CN"/>
        </w:rPr>
        <w:t xml:space="preserve"> settlement the number of objects is determined.</w:t>
      </w:r>
    </w:p>
    <w:p w14:paraId="2836A276" w14:textId="77777777" w:rsidR="00F57191" w:rsidRPr="00B25FDD" w:rsidRDefault="00F57191" w:rsidP="00F57191">
      <w:pPr>
        <w:pStyle w:val="enumlev1"/>
        <w:rPr>
          <w:strike/>
          <w:spacing w:val="-4"/>
          <w:lang w:val="en-GB" w:eastAsia="zh-CN"/>
        </w:rPr>
      </w:pPr>
      <w:r w:rsidRPr="00B25FDD">
        <w:rPr>
          <w:lang w:val="en-GB" w:eastAsia="zh-CN"/>
        </w:rPr>
        <w:t>3)</w:t>
      </w:r>
      <w:r w:rsidRPr="00B25FDD">
        <w:rPr>
          <w:lang w:val="en-GB" w:eastAsia="zh-CN"/>
        </w:rPr>
        <w:tab/>
        <w:t xml:space="preserve">The settlements located partly within the coverage area are determined, and the number </w:t>
      </w:r>
      <w:r w:rsidRPr="00B25FDD">
        <w:rPr>
          <w:spacing w:val="-4"/>
          <w:lang w:val="en-GB" w:eastAsia="zh-CN"/>
        </w:rPr>
        <w:t>of covered objects within these areas is calculated in accordance with item 6) of § 6.1.</w:t>
      </w:r>
    </w:p>
    <w:p w14:paraId="53034FF9" w14:textId="77777777" w:rsidR="00F57191" w:rsidRPr="00B25FDD" w:rsidRDefault="00F57191" w:rsidP="00F57191">
      <w:pPr>
        <w:pStyle w:val="enumlev1"/>
        <w:rPr>
          <w:spacing w:val="-2"/>
          <w:lang w:val="en-GB"/>
        </w:rPr>
      </w:pPr>
      <w:r w:rsidRPr="00B25FDD">
        <w:rPr>
          <w:lang w:val="en-GB" w:eastAsia="zh-CN"/>
        </w:rPr>
        <w:t>4)</w:t>
      </w:r>
      <w:r w:rsidRPr="00B25FDD">
        <w:rPr>
          <w:lang w:val="en-GB" w:eastAsia="zh-CN"/>
        </w:rPr>
        <w:tab/>
        <w:t xml:space="preserve">The total number of covered objects and the coverage parameter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B25FDD">
        <w:rPr>
          <w:lang w:val="en-GB" w:eastAsia="zh-CN"/>
        </w:rPr>
        <w:t xml:space="preserve"> are calculated.</w:t>
      </w:r>
      <w:r w:rsidRPr="00B25FDD">
        <w:rPr>
          <w:i/>
          <w:lang w:val="en-GB" w:eastAsia="zh-CN"/>
        </w:rPr>
        <w:t xml:space="preserve"> </w:t>
      </w:r>
    </w:p>
    <w:p w14:paraId="411FEBC2" w14:textId="77777777" w:rsidR="00F57191" w:rsidRPr="00B25FDD" w:rsidRDefault="00F57191" w:rsidP="00F57191">
      <w:pPr>
        <w:rPr>
          <w:szCs w:val="24"/>
          <w:lang w:val="en-GB" w:eastAsia="zh-CN"/>
        </w:rPr>
      </w:pPr>
      <w:r w:rsidRPr="00B25FDD">
        <w:rPr>
          <w:szCs w:val="24"/>
          <w:lang w:val="en-GB" w:eastAsia="zh-CN"/>
        </w:rPr>
        <w:t>The number of objects (inhabitants, households, homes) can be determined from an authoritative population or statistical</w:t>
      </w:r>
      <w:r w:rsidRPr="00B25FDD">
        <w:rPr>
          <w:lang w:val="en-GB" w:eastAsia="zh-CN"/>
        </w:rPr>
        <w:t xml:space="preserve"> reference. However, since tested territories of </w:t>
      </w:r>
      <w:r w:rsidRPr="00B25FDD">
        <w:rPr>
          <w:szCs w:val="24"/>
          <w:lang w:val="en-GB" w:eastAsia="zh-CN"/>
        </w:rPr>
        <w:t xml:space="preserve">broadcasting networks </w:t>
      </w:r>
      <w:r w:rsidRPr="00B25FDD">
        <w:rPr>
          <w:lang w:val="en-GB" w:eastAsia="zh-CN"/>
        </w:rPr>
        <w:t xml:space="preserve">are very large, the calculation of the total number, and number of covered </w:t>
      </w:r>
      <w:r w:rsidRPr="00B25FDD">
        <w:rPr>
          <w:szCs w:val="24"/>
          <w:lang w:val="en-GB" w:eastAsia="zh-CN"/>
        </w:rPr>
        <w:t xml:space="preserve">inhabitants is a complicated problem for both the NRA and service operators. </w:t>
      </w:r>
    </w:p>
    <w:p w14:paraId="00A44553" w14:textId="77777777" w:rsidR="00F57191" w:rsidRPr="00B25FDD" w:rsidRDefault="00F57191" w:rsidP="00F57191">
      <w:pPr>
        <w:pStyle w:val="Heading2"/>
        <w:rPr>
          <w:lang w:val="en-GB" w:eastAsia="zh-CN"/>
        </w:rPr>
      </w:pPr>
      <w:r w:rsidRPr="00B25FDD">
        <w:rPr>
          <w:lang w:val="en-GB" w:eastAsia="zh-CN"/>
        </w:rPr>
        <w:t>7.2</w:t>
      </w:r>
      <w:r w:rsidRPr="00B25FDD">
        <w:rPr>
          <w:lang w:val="en-GB" w:eastAsia="zh-CN"/>
        </w:rPr>
        <w:tab/>
        <w:t>Effects of terrain</w:t>
      </w:r>
    </w:p>
    <w:p w14:paraId="39043E72" w14:textId="35716954" w:rsidR="00F57191" w:rsidRPr="00B25FDD" w:rsidRDefault="00F57191" w:rsidP="00F57191">
      <w:pPr>
        <w:rPr>
          <w:lang w:val="en-GB" w:eastAsia="zh-CN"/>
        </w:rPr>
      </w:pPr>
      <w:r w:rsidRPr="00B25FDD">
        <w:rPr>
          <w:spacing w:val="-1"/>
          <w:lang w:val="en-GB" w:eastAsia="zh-CN"/>
        </w:rPr>
        <w:t xml:space="preserve">Terrain is a significant factor in </w:t>
      </w:r>
      <w:r w:rsidR="00B554A4" w:rsidRPr="00B25FDD">
        <w:rPr>
          <w:spacing w:val="-1"/>
          <w:lang w:val="en-GB" w:eastAsia="zh-CN"/>
        </w:rPr>
        <w:t xml:space="preserve">the </w:t>
      </w:r>
      <w:r w:rsidRPr="00B25FDD">
        <w:rPr>
          <w:spacing w:val="-1"/>
          <w:lang w:val="en-GB" w:eastAsia="zh-CN"/>
        </w:rPr>
        <w:t xml:space="preserve">coverage of terrestrial services. Because of terrain, </w:t>
      </w:r>
      <w:r w:rsidRPr="00B25FDD">
        <w:rPr>
          <w:lang w:val="en-GB" w:eastAsia="zh-CN"/>
        </w:rPr>
        <w:t>only part</w:t>
      </w:r>
      <w:r w:rsidR="00B554A4" w:rsidRPr="00B25FDD">
        <w:rPr>
          <w:lang w:val="en-GB" w:eastAsia="zh-CN"/>
        </w:rPr>
        <w:t>s</w:t>
      </w:r>
      <w:r w:rsidRPr="00B25FDD">
        <w:rPr>
          <w:lang w:val="en-GB" w:eastAsia="zh-CN"/>
        </w:rPr>
        <w:t xml:space="preserve"> of some settlements may be covered even though they lie well within the calculated covered area. To verify the actual coverage area, measurements in </w:t>
      </w:r>
      <w:r w:rsidRPr="00B25FDD">
        <w:rPr>
          <w:spacing w:val="-1"/>
          <w:lang w:val="en-GB" w:eastAsia="zh-CN"/>
        </w:rPr>
        <w:t>tested settlements can be applied</w:t>
      </w:r>
      <w:r w:rsidRPr="00B25FDD">
        <w:rPr>
          <w:lang w:val="en-GB" w:eastAsia="zh-CN"/>
        </w:rPr>
        <w:t>.</w:t>
      </w:r>
    </w:p>
    <w:p w14:paraId="72DC6538" w14:textId="77777777" w:rsidR="00F57191" w:rsidRPr="00B25FDD" w:rsidRDefault="00F57191" w:rsidP="00F57191">
      <w:pPr>
        <w:rPr>
          <w:lang w:val="en-GB" w:eastAsia="zh-CN"/>
        </w:rPr>
      </w:pPr>
      <w:r w:rsidRPr="00B25FDD">
        <w:rPr>
          <w:lang w:val="en-GB" w:eastAsia="zh-CN"/>
        </w:rPr>
        <w:t>The following measurement procedures for estimating the population coverage can be applied when dealing with terrain that may result in areas where the service is blocked:</w:t>
      </w:r>
    </w:p>
    <w:p w14:paraId="0C23F76E" w14:textId="77777777" w:rsidR="00F57191" w:rsidRPr="00B25FDD" w:rsidRDefault="00F57191" w:rsidP="00F57191">
      <w:pPr>
        <w:pStyle w:val="enumlev1"/>
        <w:rPr>
          <w:lang w:val="en-GB" w:eastAsia="zh-CN"/>
        </w:rPr>
      </w:pPr>
      <w:r w:rsidRPr="00B25FDD">
        <w:rPr>
          <w:lang w:val="en-GB" w:eastAsia="zh-CN"/>
        </w:rPr>
        <w:t>1)</w:t>
      </w:r>
      <w:r w:rsidRPr="00B25FDD">
        <w:rPr>
          <w:lang w:val="en-GB" w:eastAsia="zh-CN"/>
        </w:rPr>
        <w:tab/>
        <w:t xml:space="preserve">The calculated coverage area is plotted on a digital map of the tested (small) territory. </w:t>
      </w:r>
      <w:r w:rsidRPr="00B25FDD">
        <w:rPr>
          <w:lang w:val="en-GB"/>
        </w:rPr>
        <w:t>The</w:t>
      </w:r>
      <w:r w:rsidRPr="00B25FDD">
        <w:rPr>
          <w:lang w:val="en-GB" w:eastAsia="zh-CN"/>
        </w:rPr>
        <w:t xml:space="preserve"> uncovered areas also known as ‘white spots’ within the calculated coverage area are determined and highlighted.</w:t>
      </w:r>
    </w:p>
    <w:p w14:paraId="5AD7E198" w14:textId="03481360" w:rsidR="00F57191" w:rsidRPr="00B25FDD" w:rsidRDefault="00F57191" w:rsidP="00F57191">
      <w:pPr>
        <w:pStyle w:val="enumlev1"/>
        <w:rPr>
          <w:lang w:val="en-GB" w:eastAsia="zh-CN"/>
        </w:rPr>
      </w:pPr>
      <w:r w:rsidRPr="00B25FDD">
        <w:rPr>
          <w:lang w:val="en-GB" w:eastAsia="zh-CN"/>
        </w:rPr>
        <w:t>2)</w:t>
      </w:r>
      <w:r w:rsidRPr="00B25FDD">
        <w:rPr>
          <w:lang w:val="en-GB" w:eastAsia="zh-CN"/>
        </w:rPr>
        <w:tab/>
        <w:t xml:space="preserve">The total number of objects (households, homes, or inhabitants)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r w:rsidRPr="00B25FDD">
        <w:rPr>
          <w:lang w:val="en-GB" w:eastAsia="zh-CN"/>
        </w:rPr>
        <w:t xml:space="preserve"> within the tested settlements is determined from an appropriate reference. Consideration must be given to the fact that rural and urban areas (cities, districts etc.) have different population densit</w:t>
      </w:r>
      <w:r w:rsidR="00B554A4" w:rsidRPr="00B25FDD">
        <w:rPr>
          <w:lang w:val="en-GB" w:eastAsia="zh-CN"/>
        </w:rPr>
        <w:t>ies</w:t>
      </w:r>
      <w:r w:rsidRPr="00B25FDD">
        <w:rPr>
          <w:lang w:val="en-GB" w:eastAsia="zh-CN"/>
        </w:rPr>
        <w:t>, and the total number of objects for different territories will vary significantly.</w:t>
      </w:r>
    </w:p>
    <w:p w14:paraId="26F66B9F" w14:textId="77777777" w:rsidR="00F57191" w:rsidRPr="00B25FDD" w:rsidRDefault="00F57191" w:rsidP="00F57191">
      <w:pPr>
        <w:pStyle w:val="enumlev1"/>
        <w:rPr>
          <w:lang w:val="en-GB" w:eastAsia="zh-CN"/>
        </w:rPr>
      </w:pPr>
      <w:r w:rsidRPr="00B25FDD">
        <w:rPr>
          <w:lang w:val="en-GB" w:eastAsia="zh-CN"/>
        </w:rPr>
        <w:t>3)</w:t>
      </w:r>
      <w:r w:rsidRPr="00B25FDD">
        <w:rPr>
          <w:lang w:val="en-GB" w:eastAsia="zh-CN"/>
        </w:rPr>
        <w:tab/>
        <w:t xml:space="preserve">Suitable measurement points in the designated territory based on a grid of 500 metres are plotted over the settlements. </w:t>
      </w:r>
      <w:r w:rsidRPr="00B25FDD">
        <w:rPr>
          <w:spacing w:val="-1"/>
          <w:lang w:val="en-GB" w:eastAsia="zh-CN"/>
        </w:rPr>
        <w:t>The territory bounded by each grid cell is referred to as ‘small area’</w:t>
      </w:r>
      <w:r w:rsidRPr="00B25FDD">
        <w:rPr>
          <w:lang w:val="en-GB" w:eastAsia="zh-CN"/>
        </w:rPr>
        <w:t xml:space="preserve">. </w:t>
      </w:r>
    </w:p>
    <w:p w14:paraId="568B7FB6" w14:textId="77777777" w:rsidR="00F57191" w:rsidRPr="00B25FDD" w:rsidRDefault="00F57191" w:rsidP="00F57191">
      <w:pPr>
        <w:pStyle w:val="enumlev1"/>
        <w:rPr>
          <w:lang w:val="en-GB" w:eastAsia="zh-CN"/>
        </w:rPr>
      </w:pPr>
      <w:r w:rsidRPr="00B25FDD">
        <w:rPr>
          <w:lang w:val="en-GB" w:eastAsia="zh-CN"/>
        </w:rPr>
        <w:t>4)</w:t>
      </w:r>
      <w:r w:rsidRPr="00B25FDD">
        <w:rPr>
          <w:lang w:val="en-GB" w:eastAsia="zh-CN"/>
        </w:rPr>
        <w:tab/>
        <w:t>The field strength of the service is measured in each small area.</w:t>
      </w:r>
      <w:r w:rsidRPr="00B25FDD" w:rsidDel="00037CC8">
        <w:rPr>
          <w:lang w:val="en-GB" w:eastAsia="zh-CN"/>
        </w:rPr>
        <w:t xml:space="preserve"> </w:t>
      </w:r>
    </w:p>
    <w:p w14:paraId="40AF57DD" w14:textId="77777777" w:rsidR="00F57191" w:rsidRPr="00B25FDD" w:rsidRDefault="00F57191" w:rsidP="00F57191">
      <w:pPr>
        <w:pStyle w:val="enumlev1"/>
        <w:rPr>
          <w:b/>
          <w:sz w:val="20"/>
          <w:lang w:val="en-GB" w:eastAsia="zh-CN"/>
        </w:rPr>
      </w:pPr>
      <w:r w:rsidRPr="00B25FDD">
        <w:rPr>
          <w:lang w:val="en-GB"/>
        </w:rPr>
        <w:t>5)</w:t>
      </w:r>
      <w:r w:rsidRPr="00B25FDD">
        <w:rPr>
          <w:lang w:val="en-GB"/>
        </w:rPr>
        <w:tab/>
        <w:t xml:space="preserve">A small area is considered ‘covered’ </w:t>
      </w:r>
      <w:r w:rsidRPr="00B25FDD">
        <w:rPr>
          <w:lang w:val="en-GB" w:eastAsia="zh-CN"/>
        </w:rPr>
        <w:t xml:space="preserve">when the </w:t>
      </w:r>
      <w:r w:rsidRPr="00B25FDD">
        <w:rPr>
          <w:spacing w:val="-1"/>
          <w:lang w:val="en-GB" w:eastAsia="zh-CN"/>
        </w:rPr>
        <w:t xml:space="preserve">measured field strength is equal to or </w:t>
      </w:r>
      <w:r w:rsidRPr="00B25FDD">
        <w:rPr>
          <w:lang w:val="en-GB" w:eastAsia="zh-CN"/>
        </w:rPr>
        <w:t xml:space="preserve">exceeds the </w:t>
      </w:r>
      <w:r w:rsidRPr="00B25FDD">
        <w:rPr>
          <w:lang w:val="en-GB"/>
        </w:rPr>
        <w:t>minimum median equivalent field strength value</w:t>
      </w:r>
      <w:r w:rsidRPr="00B25FDD">
        <w:rPr>
          <w:spacing w:val="-2"/>
          <w:lang w:val="en-GB"/>
        </w:rPr>
        <w:t>.</w:t>
      </w:r>
    </w:p>
    <w:p w14:paraId="21CA7E99" w14:textId="77777777" w:rsidR="00F57191" w:rsidRPr="00B25FDD" w:rsidRDefault="00F57191" w:rsidP="00F57191">
      <w:pPr>
        <w:pStyle w:val="enumlev1"/>
        <w:rPr>
          <w:strike/>
          <w:lang w:val="en-GB" w:eastAsia="zh-CN"/>
        </w:rPr>
      </w:pPr>
      <w:r w:rsidRPr="00B25FDD">
        <w:rPr>
          <w:lang w:val="en-GB"/>
        </w:rPr>
        <w:t>6)</w:t>
      </w:r>
      <w:r w:rsidRPr="00B25FDD">
        <w:rPr>
          <w:lang w:val="en-GB"/>
        </w:rPr>
        <w:tab/>
        <w:t>The small areas with uninhabited buildings are not considered for calculation</w:t>
      </w:r>
      <w:r w:rsidRPr="00B25FDD">
        <w:rPr>
          <w:lang w:val="en-GB" w:eastAsia="zh-CN"/>
        </w:rPr>
        <w:t>.</w:t>
      </w:r>
    </w:p>
    <w:p w14:paraId="706767BB" w14:textId="77777777" w:rsidR="00F57191" w:rsidRPr="00B25FDD" w:rsidRDefault="00F57191" w:rsidP="00F57191">
      <w:pPr>
        <w:pStyle w:val="enumlev1"/>
        <w:rPr>
          <w:spacing w:val="-2"/>
          <w:lang w:val="en-GB"/>
        </w:rPr>
      </w:pPr>
      <w:r w:rsidRPr="00B25FDD">
        <w:rPr>
          <w:lang w:val="en-GB" w:eastAsia="zh-CN"/>
        </w:rPr>
        <w:t>7)</w:t>
      </w:r>
      <w:r w:rsidRPr="00B25FDD">
        <w:rPr>
          <w:lang w:val="en-GB" w:eastAsia="zh-CN"/>
        </w:rPr>
        <w:tab/>
        <w:t xml:space="preserve">The total number of covered objects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Pr="00B25FDD">
        <w:rPr>
          <w:lang w:val="en-GB" w:eastAsia="zh-CN"/>
        </w:rPr>
        <w:t xml:space="preserve"> is determined and the coverage parameter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B25FDD">
        <w:rPr>
          <w:lang w:val="en-GB" w:eastAsia="zh-CN"/>
        </w:rPr>
        <w:t xml:space="preserve"> is calculated.</w:t>
      </w:r>
      <w:r w:rsidRPr="00B25FDD">
        <w:rPr>
          <w:i/>
          <w:lang w:val="en-GB" w:eastAsia="zh-CN"/>
        </w:rPr>
        <w:t xml:space="preserve"> </w:t>
      </w:r>
    </w:p>
    <w:p w14:paraId="4A035AF5" w14:textId="77777777" w:rsidR="00F57191" w:rsidRPr="00B25FDD" w:rsidRDefault="00F57191" w:rsidP="00F57191">
      <w:pPr>
        <w:rPr>
          <w:lang w:val="en-GB" w:eastAsia="zh-CN"/>
        </w:rPr>
      </w:pPr>
      <w:r w:rsidRPr="00B25FDD">
        <w:rPr>
          <w:lang w:val="en-GB" w:eastAsia="zh-CN"/>
        </w:rPr>
        <w:t>Annex 1 provides an example of the estimation of population coverage where only parts of some of the settlements are covered (within the covered area) with a digital terrestrial television broadcasting service.</w:t>
      </w:r>
    </w:p>
    <w:p w14:paraId="7DC543BD" w14:textId="77777777" w:rsidR="00F57191" w:rsidRPr="00B25FDD" w:rsidRDefault="00F57191" w:rsidP="00F57191">
      <w:pPr>
        <w:pStyle w:val="Heading1"/>
        <w:rPr>
          <w:lang w:val="en-GB" w:eastAsia="zh-CN"/>
        </w:rPr>
      </w:pPr>
      <w:bookmarkStart w:id="15" w:name="_Toc55378822"/>
      <w:r w:rsidRPr="00B25FDD">
        <w:rPr>
          <w:lang w:val="en-GB" w:eastAsia="zh-CN"/>
        </w:rPr>
        <w:t>8</w:t>
      </w:r>
      <w:r w:rsidRPr="00B25FDD">
        <w:rPr>
          <w:lang w:val="en-GB" w:eastAsia="zh-CN"/>
        </w:rPr>
        <w:tab/>
        <w:t>Presentation of results</w:t>
      </w:r>
    </w:p>
    <w:p w14:paraId="13C4A897" w14:textId="77777777" w:rsidR="00F57191" w:rsidRPr="00B25FDD" w:rsidRDefault="00F57191" w:rsidP="00F57191">
      <w:pPr>
        <w:rPr>
          <w:lang w:val="en-GB" w:eastAsia="zh-CN"/>
        </w:rPr>
      </w:pPr>
      <w:r w:rsidRPr="00B25FDD">
        <w:rPr>
          <w:lang w:val="en-GB" w:eastAsia="zh-CN"/>
        </w:rPr>
        <w:t xml:space="preserve">The population coverage is determined by quantitative parameters: by the total number of objects covered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Pr="00B25FDD">
        <w:rPr>
          <w:iCs/>
          <w:lang w:val="en-GB" w:eastAsia="zh-CN"/>
        </w:rPr>
        <w:t>,</w:t>
      </w:r>
      <w:r w:rsidRPr="00B25FDD">
        <w:rPr>
          <w:lang w:val="en-GB" w:eastAsia="zh-CN"/>
        </w:rPr>
        <w:t xml:space="preserve"> and the coverage parameter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B25FDD">
        <w:rPr>
          <w:lang w:val="en-GB" w:eastAsia="zh-CN"/>
        </w:rPr>
        <w:t xml:space="preserve">. Both are applied for </w:t>
      </w:r>
      <w:bookmarkEnd w:id="15"/>
      <w:r w:rsidRPr="00B25FDD">
        <w:rPr>
          <w:lang w:val="en-GB" w:eastAsia="zh-CN"/>
        </w:rPr>
        <w:t xml:space="preserve">a certain territory. </w:t>
      </w:r>
    </w:p>
    <w:p w14:paraId="7A84774D" w14:textId="77777777" w:rsidR="00F57191" w:rsidRPr="00B25FDD" w:rsidRDefault="00F57191" w:rsidP="00F57191">
      <w:pPr>
        <w:rPr>
          <w:lang w:val="en-GB" w:eastAsia="zh-CN"/>
        </w:rPr>
      </w:pPr>
      <w:r w:rsidRPr="00B25FDD">
        <w:rPr>
          <w:lang w:val="en-GB" w:eastAsia="zh-CN"/>
        </w:rPr>
        <w:t>In practice, the population coverage data can be presented with:</w:t>
      </w:r>
    </w:p>
    <w:p w14:paraId="46E1CBFE" w14:textId="77777777" w:rsidR="00F57191" w:rsidRPr="00B25FDD" w:rsidRDefault="00F57191" w:rsidP="00F57191">
      <w:pPr>
        <w:pStyle w:val="enumlev1"/>
        <w:rPr>
          <w:lang w:val="en-GB" w:eastAsia="zh-CN"/>
        </w:rPr>
      </w:pPr>
      <w:r w:rsidRPr="00B25FDD">
        <w:rPr>
          <w:lang w:val="en-GB" w:eastAsia="zh-CN"/>
        </w:rPr>
        <w:lastRenderedPageBreak/>
        <w:t>–</w:t>
      </w:r>
      <w:r w:rsidRPr="00B25FDD">
        <w:rPr>
          <w:lang w:val="en-GB" w:eastAsia="zh-CN"/>
        </w:rPr>
        <w:tab/>
        <w:t>tables (see Table 1 below</w:t>
      </w:r>
      <w:proofErr w:type="gramStart"/>
      <w:r w:rsidRPr="00B25FDD">
        <w:rPr>
          <w:lang w:val="en-GB" w:eastAsia="zh-CN"/>
        </w:rPr>
        <w:t>);</w:t>
      </w:r>
      <w:proofErr w:type="gramEnd"/>
    </w:p>
    <w:p w14:paraId="5F5BB566"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r>
      <w:proofErr w:type="gramStart"/>
      <w:r w:rsidRPr="00B25FDD">
        <w:rPr>
          <w:lang w:val="en-GB" w:eastAsia="zh-CN"/>
        </w:rPr>
        <w:t>diagrams;</w:t>
      </w:r>
      <w:proofErr w:type="gramEnd"/>
    </w:p>
    <w:p w14:paraId="5C4AF9FF" w14:textId="77777777" w:rsidR="00F57191" w:rsidRPr="00B25FDD" w:rsidRDefault="00F57191" w:rsidP="00F57191">
      <w:pPr>
        <w:pStyle w:val="enumlev1"/>
        <w:rPr>
          <w:lang w:val="en-GB" w:eastAsia="zh-CN"/>
        </w:rPr>
      </w:pPr>
      <w:r w:rsidRPr="00B25FDD">
        <w:rPr>
          <w:lang w:val="en-GB" w:eastAsia="zh-CN"/>
        </w:rPr>
        <w:t>–</w:t>
      </w:r>
      <w:r w:rsidRPr="00B25FDD">
        <w:rPr>
          <w:lang w:val="en-GB" w:eastAsia="zh-CN"/>
        </w:rPr>
        <w:tab/>
        <w:t xml:space="preserve">coverage area maps. </w:t>
      </w:r>
    </w:p>
    <w:p w14:paraId="436593B6" w14:textId="77777777" w:rsidR="00F57191" w:rsidRPr="00B25FDD" w:rsidRDefault="00F57191" w:rsidP="00F57191">
      <w:pPr>
        <w:pStyle w:val="TableNo"/>
        <w:rPr>
          <w:lang w:val="en-GB"/>
        </w:rPr>
      </w:pPr>
      <w:r w:rsidRPr="00B25FDD">
        <w:rPr>
          <w:lang w:val="en-GB"/>
        </w:rPr>
        <w:t>TABLE 1</w:t>
      </w:r>
    </w:p>
    <w:p w14:paraId="2AE0926C" w14:textId="77777777" w:rsidR="00F57191" w:rsidRPr="00B25FDD" w:rsidRDefault="00F57191" w:rsidP="00F57191">
      <w:pPr>
        <w:pStyle w:val="Tabletitle"/>
        <w:rPr>
          <w:lang w:val="en-GB"/>
        </w:rPr>
      </w:pPr>
      <w:bookmarkStart w:id="16" w:name="_Toc55378823"/>
      <w:r w:rsidRPr="00B25FDD">
        <w:rPr>
          <w:lang w:val="en-GB"/>
        </w:rPr>
        <w:t>Population coverage measurement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902"/>
        <w:gridCol w:w="1790"/>
        <w:gridCol w:w="2083"/>
        <w:gridCol w:w="1851"/>
      </w:tblGrid>
      <w:tr w:rsidR="00F57191" w:rsidRPr="00B25FDD" w14:paraId="32171DCE" w14:textId="77777777" w:rsidTr="00456660">
        <w:trPr>
          <w:jc w:val="center"/>
        </w:trPr>
        <w:tc>
          <w:tcPr>
            <w:tcW w:w="2041" w:type="dxa"/>
            <w:vAlign w:val="center"/>
          </w:tcPr>
          <w:p w14:paraId="045E02E5" w14:textId="77777777" w:rsidR="00F57191" w:rsidRPr="00B25FDD" w:rsidRDefault="00F57191" w:rsidP="00456660">
            <w:pPr>
              <w:pStyle w:val="Tablehead"/>
              <w:rPr>
                <w:rFonts w:eastAsia="SimSun"/>
                <w:lang w:val="en-GB"/>
              </w:rPr>
            </w:pPr>
            <w:r w:rsidRPr="00B25FDD">
              <w:rPr>
                <w:rFonts w:eastAsia="SimSun"/>
                <w:lang w:val="en-GB"/>
              </w:rPr>
              <w:t>Tested country/territory</w:t>
            </w:r>
          </w:p>
        </w:tc>
        <w:tc>
          <w:tcPr>
            <w:tcW w:w="1928" w:type="dxa"/>
            <w:vAlign w:val="center"/>
            <w:hideMark/>
          </w:tcPr>
          <w:p w14:paraId="25A1AD83" w14:textId="77777777" w:rsidR="00F57191" w:rsidRPr="00B25FDD" w:rsidRDefault="00F57191" w:rsidP="00456660">
            <w:pPr>
              <w:pStyle w:val="Tablehead"/>
              <w:rPr>
                <w:rFonts w:eastAsia="SimSun"/>
                <w:lang w:val="en-GB"/>
              </w:rPr>
            </w:pPr>
            <w:r w:rsidRPr="00B25FDD">
              <w:rPr>
                <w:rFonts w:eastAsia="SimSun"/>
                <w:lang w:val="en-GB"/>
              </w:rPr>
              <w:t>Technology</w:t>
            </w:r>
          </w:p>
        </w:tc>
        <w:tc>
          <w:tcPr>
            <w:tcW w:w="1814" w:type="dxa"/>
            <w:vAlign w:val="center"/>
            <w:hideMark/>
          </w:tcPr>
          <w:p w14:paraId="468A3569" w14:textId="77777777" w:rsidR="00F57191" w:rsidRPr="00B25FDD" w:rsidRDefault="00F57191" w:rsidP="00456660">
            <w:pPr>
              <w:pStyle w:val="Tablehead"/>
              <w:rPr>
                <w:rFonts w:eastAsia="SimSun"/>
                <w:lang w:val="en-GB"/>
              </w:rPr>
            </w:pPr>
            <w:r w:rsidRPr="00B25FDD">
              <w:rPr>
                <w:lang w:val="en-GB" w:eastAsia="zh-CN"/>
              </w:rPr>
              <w:t>Total number of objects</w:t>
            </w:r>
          </w:p>
        </w:tc>
        <w:tc>
          <w:tcPr>
            <w:tcW w:w="2112" w:type="dxa"/>
            <w:vAlign w:val="center"/>
            <w:hideMark/>
          </w:tcPr>
          <w:p w14:paraId="3F2FC72D" w14:textId="77777777" w:rsidR="00F57191" w:rsidRPr="00B25FDD" w:rsidRDefault="00F57191" w:rsidP="00456660">
            <w:pPr>
              <w:pStyle w:val="Tablehead"/>
              <w:rPr>
                <w:rFonts w:eastAsia="SimSun"/>
                <w:lang w:val="en-GB"/>
              </w:rPr>
            </w:pPr>
            <w:r w:rsidRPr="00B25FDD">
              <w:rPr>
                <w:lang w:val="en-GB" w:eastAsia="zh-CN"/>
              </w:rPr>
              <w:t>Total number of objects covered</w:t>
            </w:r>
          </w:p>
        </w:tc>
        <w:tc>
          <w:tcPr>
            <w:tcW w:w="1876" w:type="dxa"/>
            <w:vAlign w:val="center"/>
            <w:hideMark/>
          </w:tcPr>
          <w:p w14:paraId="26F8CE82" w14:textId="77777777" w:rsidR="00F57191" w:rsidRPr="00B25FDD" w:rsidRDefault="00F57191" w:rsidP="00456660">
            <w:pPr>
              <w:pStyle w:val="Tablehead"/>
              <w:rPr>
                <w:rFonts w:eastAsia="SimSun"/>
                <w:lang w:val="en-GB"/>
              </w:rPr>
            </w:pPr>
            <w:r w:rsidRPr="00B25FDD">
              <w:rPr>
                <w:szCs w:val="24"/>
                <w:lang w:val="en-GB" w:eastAsia="zh-CN"/>
              </w:rPr>
              <w:t xml:space="preserve">Population coverage, </w:t>
            </w:r>
            <w:r w:rsidRPr="00B25FDD">
              <w:rPr>
                <w:i/>
                <w:szCs w:val="24"/>
                <w:lang w:val="en-GB" w:eastAsia="zh-CN"/>
              </w:rPr>
              <w:t>C</w:t>
            </w:r>
            <w:r w:rsidRPr="00B25FDD">
              <w:rPr>
                <w:i/>
                <w:szCs w:val="24"/>
                <w:vertAlign w:val="subscript"/>
                <w:lang w:val="en-GB" w:eastAsia="zh-CN"/>
              </w:rPr>
              <w:t>%</w:t>
            </w:r>
          </w:p>
        </w:tc>
      </w:tr>
      <w:tr w:rsidR="00F57191" w:rsidRPr="00B25FDD" w14:paraId="23D97B55" w14:textId="77777777" w:rsidTr="00456660">
        <w:trPr>
          <w:jc w:val="center"/>
        </w:trPr>
        <w:tc>
          <w:tcPr>
            <w:tcW w:w="2041" w:type="dxa"/>
          </w:tcPr>
          <w:p w14:paraId="3BDF33BD" w14:textId="77777777" w:rsidR="00F57191" w:rsidRPr="00B25FDD" w:rsidRDefault="00F57191" w:rsidP="00456660">
            <w:pPr>
              <w:pStyle w:val="Tabletext"/>
              <w:rPr>
                <w:rFonts w:eastAsia="SimSun"/>
                <w:lang w:val="en-GB"/>
              </w:rPr>
            </w:pPr>
          </w:p>
        </w:tc>
        <w:tc>
          <w:tcPr>
            <w:tcW w:w="1928" w:type="dxa"/>
          </w:tcPr>
          <w:p w14:paraId="7CD0B392" w14:textId="77777777" w:rsidR="00F57191" w:rsidRPr="00B25FDD" w:rsidRDefault="00F57191" w:rsidP="00456660">
            <w:pPr>
              <w:pStyle w:val="Tabletext"/>
              <w:rPr>
                <w:rFonts w:eastAsia="SimSun"/>
                <w:lang w:val="en-GB"/>
              </w:rPr>
            </w:pPr>
          </w:p>
        </w:tc>
        <w:tc>
          <w:tcPr>
            <w:tcW w:w="1814" w:type="dxa"/>
          </w:tcPr>
          <w:p w14:paraId="6D85E70A" w14:textId="77777777" w:rsidR="00F57191" w:rsidRPr="00B25FDD" w:rsidRDefault="00F57191" w:rsidP="00456660">
            <w:pPr>
              <w:pStyle w:val="Tabletext"/>
              <w:rPr>
                <w:rFonts w:eastAsia="SimSun"/>
                <w:lang w:val="en-GB"/>
              </w:rPr>
            </w:pPr>
          </w:p>
        </w:tc>
        <w:tc>
          <w:tcPr>
            <w:tcW w:w="2112" w:type="dxa"/>
          </w:tcPr>
          <w:p w14:paraId="44FD6657" w14:textId="77777777" w:rsidR="00F57191" w:rsidRPr="00B25FDD" w:rsidRDefault="00F57191" w:rsidP="00456660">
            <w:pPr>
              <w:pStyle w:val="Tabletext"/>
              <w:rPr>
                <w:rFonts w:eastAsia="SimSun"/>
                <w:lang w:val="en-GB"/>
              </w:rPr>
            </w:pPr>
          </w:p>
        </w:tc>
        <w:tc>
          <w:tcPr>
            <w:tcW w:w="1876" w:type="dxa"/>
          </w:tcPr>
          <w:p w14:paraId="484BED40" w14:textId="77777777" w:rsidR="00F57191" w:rsidRPr="00B25FDD" w:rsidRDefault="00F57191" w:rsidP="00456660">
            <w:pPr>
              <w:pStyle w:val="Tabletext"/>
              <w:rPr>
                <w:rFonts w:eastAsia="SimSun"/>
                <w:lang w:val="en-GB"/>
              </w:rPr>
            </w:pPr>
          </w:p>
        </w:tc>
      </w:tr>
      <w:tr w:rsidR="00F57191" w:rsidRPr="00B25FDD" w14:paraId="473F5610" w14:textId="77777777" w:rsidTr="00456660">
        <w:trPr>
          <w:jc w:val="center"/>
        </w:trPr>
        <w:tc>
          <w:tcPr>
            <w:tcW w:w="2041" w:type="dxa"/>
          </w:tcPr>
          <w:p w14:paraId="695D1F81" w14:textId="77777777" w:rsidR="00F57191" w:rsidRPr="00B25FDD" w:rsidRDefault="00F57191" w:rsidP="00456660">
            <w:pPr>
              <w:pStyle w:val="Tabletext"/>
              <w:rPr>
                <w:rFonts w:eastAsia="SimSun"/>
                <w:lang w:val="en-GB"/>
              </w:rPr>
            </w:pPr>
          </w:p>
        </w:tc>
        <w:tc>
          <w:tcPr>
            <w:tcW w:w="1928" w:type="dxa"/>
          </w:tcPr>
          <w:p w14:paraId="348E7779" w14:textId="77777777" w:rsidR="00F57191" w:rsidRPr="00B25FDD" w:rsidRDefault="00F57191" w:rsidP="00456660">
            <w:pPr>
              <w:pStyle w:val="Tabletext"/>
              <w:rPr>
                <w:rFonts w:eastAsia="SimSun"/>
                <w:lang w:val="en-GB"/>
              </w:rPr>
            </w:pPr>
          </w:p>
        </w:tc>
        <w:tc>
          <w:tcPr>
            <w:tcW w:w="1814" w:type="dxa"/>
          </w:tcPr>
          <w:p w14:paraId="588A2E1A" w14:textId="77777777" w:rsidR="00F57191" w:rsidRPr="00B25FDD" w:rsidRDefault="00F57191" w:rsidP="00456660">
            <w:pPr>
              <w:pStyle w:val="Tabletext"/>
              <w:rPr>
                <w:rFonts w:eastAsia="SimSun"/>
                <w:lang w:val="en-GB"/>
              </w:rPr>
            </w:pPr>
          </w:p>
        </w:tc>
        <w:tc>
          <w:tcPr>
            <w:tcW w:w="2112" w:type="dxa"/>
          </w:tcPr>
          <w:p w14:paraId="481790C8" w14:textId="77777777" w:rsidR="00F57191" w:rsidRPr="00B25FDD" w:rsidRDefault="00F57191" w:rsidP="00456660">
            <w:pPr>
              <w:pStyle w:val="Tabletext"/>
              <w:rPr>
                <w:rFonts w:eastAsia="SimSun"/>
                <w:lang w:val="en-GB"/>
              </w:rPr>
            </w:pPr>
          </w:p>
        </w:tc>
        <w:tc>
          <w:tcPr>
            <w:tcW w:w="1876" w:type="dxa"/>
          </w:tcPr>
          <w:p w14:paraId="4B1A33BA" w14:textId="77777777" w:rsidR="00F57191" w:rsidRPr="00B25FDD" w:rsidRDefault="00F57191" w:rsidP="00456660">
            <w:pPr>
              <w:pStyle w:val="Tabletext"/>
              <w:rPr>
                <w:rFonts w:eastAsia="SimSun"/>
                <w:lang w:val="en-GB"/>
              </w:rPr>
            </w:pPr>
          </w:p>
        </w:tc>
      </w:tr>
      <w:tr w:rsidR="00F57191" w:rsidRPr="00B25FDD" w14:paraId="1A4F8F24" w14:textId="77777777" w:rsidTr="00456660">
        <w:trPr>
          <w:jc w:val="center"/>
        </w:trPr>
        <w:tc>
          <w:tcPr>
            <w:tcW w:w="2041" w:type="dxa"/>
          </w:tcPr>
          <w:p w14:paraId="63D58870" w14:textId="77777777" w:rsidR="00F57191" w:rsidRPr="00B25FDD" w:rsidRDefault="00F57191" w:rsidP="00456660">
            <w:pPr>
              <w:pStyle w:val="Tabletext"/>
              <w:rPr>
                <w:rFonts w:eastAsia="SimSun"/>
                <w:lang w:val="en-GB"/>
              </w:rPr>
            </w:pPr>
          </w:p>
        </w:tc>
        <w:tc>
          <w:tcPr>
            <w:tcW w:w="1928" w:type="dxa"/>
          </w:tcPr>
          <w:p w14:paraId="11E02EB8" w14:textId="77777777" w:rsidR="00F57191" w:rsidRPr="00B25FDD" w:rsidRDefault="00F57191" w:rsidP="00456660">
            <w:pPr>
              <w:pStyle w:val="Tabletext"/>
              <w:rPr>
                <w:rFonts w:eastAsia="SimSun"/>
                <w:lang w:val="en-GB"/>
              </w:rPr>
            </w:pPr>
          </w:p>
        </w:tc>
        <w:tc>
          <w:tcPr>
            <w:tcW w:w="1814" w:type="dxa"/>
          </w:tcPr>
          <w:p w14:paraId="606D1040" w14:textId="77777777" w:rsidR="00F57191" w:rsidRPr="00B25FDD" w:rsidRDefault="00F57191" w:rsidP="00456660">
            <w:pPr>
              <w:pStyle w:val="Tabletext"/>
              <w:rPr>
                <w:rFonts w:eastAsia="SimSun"/>
                <w:lang w:val="en-GB"/>
              </w:rPr>
            </w:pPr>
          </w:p>
        </w:tc>
        <w:tc>
          <w:tcPr>
            <w:tcW w:w="2112" w:type="dxa"/>
          </w:tcPr>
          <w:p w14:paraId="5315450F" w14:textId="77777777" w:rsidR="00F57191" w:rsidRPr="00B25FDD" w:rsidRDefault="00F57191" w:rsidP="00456660">
            <w:pPr>
              <w:pStyle w:val="Tabletext"/>
              <w:rPr>
                <w:rFonts w:eastAsia="SimSun"/>
                <w:lang w:val="en-GB"/>
              </w:rPr>
            </w:pPr>
          </w:p>
        </w:tc>
        <w:tc>
          <w:tcPr>
            <w:tcW w:w="1876" w:type="dxa"/>
          </w:tcPr>
          <w:p w14:paraId="72073A2C" w14:textId="77777777" w:rsidR="00F57191" w:rsidRPr="00B25FDD" w:rsidRDefault="00F57191" w:rsidP="00456660">
            <w:pPr>
              <w:pStyle w:val="Tabletext"/>
              <w:rPr>
                <w:rFonts w:eastAsia="SimSun"/>
                <w:lang w:val="en-GB"/>
              </w:rPr>
            </w:pPr>
          </w:p>
        </w:tc>
      </w:tr>
    </w:tbl>
    <w:p w14:paraId="793313F1" w14:textId="77777777" w:rsidR="00F57191" w:rsidRPr="00B25FDD" w:rsidRDefault="00F57191" w:rsidP="00F57191">
      <w:pPr>
        <w:pStyle w:val="Tablefin"/>
      </w:pPr>
    </w:p>
    <w:p w14:paraId="379109C6" w14:textId="77777777" w:rsidR="00F57191" w:rsidRPr="00B25FDD" w:rsidRDefault="00F57191" w:rsidP="00F57191">
      <w:pPr>
        <w:rPr>
          <w:lang w:val="en-GB"/>
        </w:rPr>
      </w:pPr>
      <w:r w:rsidRPr="00B25FDD">
        <w:rPr>
          <w:lang w:val="en-GB"/>
        </w:rPr>
        <w:t xml:space="preserve">The </w:t>
      </w:r>
      <w:r w:rsidRPr="00B25FDD">
        <w:rPr>
          <w:lang w:val="en-GB" w:eastAsia="zh-CN"/>
        </w:rPr>
        <w:t xml:space="preserve">population coverage estimation </w:t>
      </w:r>
      <w:bookmarkEnd w:id="16"/>
      <w:r w:rsidRPr="00B25FDD">
        <w:rPr>
          <w:lang w:val="en-GB" w:eastAsia="zh-CN"/>
        </w:rPr>
        <w:t xml:space="preserve">results can be presented as a parity plot to provide the year-on-year trends of the data. </w:t>
      </w:r>
      <w:r w:rsidRPr="00B25FDD">
        <w:rPr>
          <w:lang w:val="en-GB"/>
        </w:rPr>
        <w:t xml:space="preserve">Figure 1 shows a parity plot of </w:t>
      </w:r>
      <w:r w:rsidRPr="00B25FDD">
        <w:rPr>
          <w:lang w:val="en-GB" w:eastAsia="zh-CN"/>
        </w:rPr>
        <w:t>population coverage</w:t>
      </w:r>
      <w:r w:rsidRPr="00B25FDD">
        <w:rPr>
          <w:lang w:val="en-GB"/>
        </w:rPr>
        <w:t xml:space="preserve"> by different technologies as an example.</w:t>
      </w:r>
    </w:p>
    <w:p w14:paraId="5230C945" w14:textId="77777777" w:rsidR="00F57191" w:rsidRPr="00B25FDD" w:rsidRDefault="00F57191" w:rsidP="00F57191">
      <w:pPr>
        <w:pStyle w:val="FigureNo"/>
        <w:rPr>
          <w:lang w:val="en-GB" w:eastAsia="zh-CN"/>
        </w:rPr>
      </w:pPr>
      <w:r w:rsidRPr="00B25FDD">
        <w:rPr>
          <w:lang w:val="en-GB" w:eastAsia="zh-CN"/>
        </w:rPr>
        <w:t>FIGURE 1</w:t>
      </w:r>
    </w:p>
    <w:p w14:paraId="34A63BD3" w14:textId="77777777" w:rsidR="00F57191" w:rsidRPr="00B25FDD" w:rsidRDefault="00F57191" w:rsidP="00F57191">
      <w:pPr>
        <w:pStyle w:val="Figuretitle"/>
        <w:rPr>
          <w:lang w:val="en-GB"/>
        </w:rPr>
      </w:pPr>
      <w:r w:rsidRPr="00B25FDD">
        <w:rPr>
          <w:lang w:val="en-GB"/>
        </w:rPr>
        <w:t>Population coverage by technologies in rural area in 28 EU countries</w:t>
      </w:r>
    </w:p>
    <w:p w14:paraId="6851ECBC" w14:textId="2204EF09" w:rsidR="00F57191" w:rsidRPr="00B25FDD" w:rsidRDefault="00680920" w:rsidP="00F57191">
      <w:pPr>
        <w:pStyle w:val="Figure"/>
        <w:rPr>
          <w:lang w:val="en-GB"/>
        </w:rPr>
      </w:pPr>
      <w:r>
        <w:rPr>
          <w:noProof/>
          <w:lang w:val="en-GB"/>
        </w:rPr>
        <w:drawing>
          <wp:inline distT="0" distB="0" distL="0" distR="0" wp14:anchorId="3252E956" wp14:editId="04B6F11B">
            <wp:extent cx="5218187" cy="2883414"/>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8187" cy="2883414"/>
                    </a:xfrm>
                    <a:prstGeom prst="rect">
                      <a:avLst/>
                    </a:prstGeom>
                  </pic:spPr>
                </pic:pic>
              </a:graphicData>
            </a:graphic>
          </wp:inline>
        </w:drawing>
      </w:r>
    </w:p>
    <w:p w14:paraId="29F3D565" w14:textId="77777777" w:rsidR="00F57191" w:rsidRPr="00B25FDD" w:rsidRDefault="00F57191" w:rsidP="00F57191">
      <w:pPr>
        <w:pStyle w:val="Reftitle"/>
        <w:rPr>
          <w:lang w:val="en-GB"/>
        </w:rPr>
      </w:pPr>
      <w:bookmarkStart w:id="17" w:name="_Toc55378834"/>
      <w:r w:rsidRPr="00B25FDD">
        <w:rPr>
          <w:lang w:val="en-GB"/>
        </w:rPr>
        <w:t>References</w:t>
      </w:r>
      <w:bookmarkEnd w:id="17"/>
      <w:r w:rsidRPr="00B25FDD">
        <w:rPr>
          <w:lang w:val="en-GB" w:eastAsia="zh-CN"/>
        </w:rPr>
        <w:t xml:space="preserve"> </w:t>
      </w:r>
    </w:p>
    <w:p w14:paraId="0A4E4927" w14:textId="77777777" w:rsidR="00F57191" w:rsidRPr="00B25FDD" w:rsidRDefault="00F57191" w:rsidP="00F57191">
      <w:pPr>
        <w:pStyle w:val="Reftext"/>
        <w:spacing w:before="360"/>
        <w:rPr>
          <w:lang w:val="en-GB"/>
        </w:rPr>
      </w:pPr>
      <w:r w:rsidRPr="00B25FDD">
        <w:rPr>
          <w:szCs w:val="24"/>
          <w:shd w:val="clear" w:color="auto" w:fill="FFFFFF"/>
          <w:lang w:val="en-GB"/>
        </w:rPr>
        <w:t>[1]</w:t>
      </w:r>
      <w:r w:rsidRPr="00B25FDD">
        <w:rPr>
          <w:szCs w:val="24"/>
          <w:shd w:val="clear" w:color="auto" w:fill="FFFFFF"/>
          <w:lang w:val="en-GB"/>
        </w:rPr>
        <w:tab/>
      </w:r>
      <w:r w:rsidRPr="00B25FDD">
        <w:rPr>
          <w:lang w:val="en-GB"/>
        </w:rPr>
        <w:t>Recommendation</w:t>
      </w:r>
      <w:r w:rsidRPr="00B25FDD">
        <w:rPr>
          <w:lang w:val="en-GB" w:eastAsia="zh-CN"/>
        </w:rPr>
        <w:t xml:space="preserve"> ITU-R </w:t>
      </w:r>
      <w:hyperlink r:id="rId21" w:history="1">
        <w:r w:rsidRPr="00B25FDD">
          <w:rPr>
            <w:rStyle w:val="Hyperlink"/>
            <w:color w:val="auto"/>
            <w:u w:val="none"/>
            <w:lang w:val="en-GB" w:eastAsia="zh-CN"/>
          </w:rPr>
          <w:t>V.573</w:t>
        </w:r>
      </w:hyperlink>
      <w:r w:rsidRPr="00B25FDD">
        <w:rPr>
          <w:lang w:val="en-GB" w:eastAsia="zh-CN"/>
        </w:rPr>
        <w:t xml:space="preserve"> – </w:t>
      </w:r>
      <w:r w:rsidRPr="00B25FDD">
        <w:rPr>
          <w:lang w:val="en-GB"/>
        </w:rPr>
        <w:t>Radiocommunication vocabulary</w:t>
      </w:r>
    </w:p>
    <w:p w14:paraId="78591F40" w14:textId="77777777" w:rsidR="00F57191" w:rsidRPr="00B25FDD" w:rsidRDefault="00F57191" w:rsidP="00F57191">
      <w:pPr>
        <w:pStyle w:val="Reftext"/>
        <w:rPr>
          <w:lang w:val="en-GB" w:eastAsia="zh-CN"/>
        </w:rPr>
      </w:pPr>
      <w:r w:rsidRPr="00B25FDD">
        <w:rPr>
          <w:lang w:val="en-GB" w:eastAsia="zh-CN"/>
        </w:rPr>
        <w:t>[2]</w:t>
      </w:r>
      <w:r w:rsidRPr="00B25FDD">
        <w:rPr>
          <w:lang w:val="en-GB" w:eastAsia="zh-CN"/>
        </w:rPr>
        <w:tab/>
        <w:t xml:space="preserve">Recommendation ITU-R </w:t>
      </w:r>
      <w:hyperlink r:id="rId22" w:history="1">
        <w:r w:rsidRPr="00B25FDD">
          <w:rPr>
            <w:rStyle w:val="Hyperlink"/>
            <w:color w:val="auto"/>
            <w:u w:val="none"/>
            <w:lang w:val="en-GB"/>
          </w:rPr>
          <w:t>P.1546</w:t>
        </w:r>
      </w:hyperlink>
      <w:r w:rsidRPr="00B25FDD">
        <w:rPr>
          <w:lang w:val="en-GB" w:eastAsia="zh-CN"/>
        </w:rPr>
        <w:t xml:space="preserve"> – Method for point-to-area predictions for terrestrial services in the frequency range 30 MHz to 3 000 MHz </w:t>
      </w:r>
    </w:p>
    <w:p w14:paraId="0E10E266" w14:textId="77777777" w:rsidR="00F57191" w:rsidRPr="00B25FDD" w:rsidRDefault="00F57191" w:rsidP="00F57191">
      <w:pPr>
        <w:pStyle w:val="Reftext"/>
        <w:rPr>
          <w:lang w:val="en-GB"/>
        </w:rPr>
      </w:pPr>
      <w:r w:rsidRPr="00B25FDD">
        <w:rPr>
          <w:lang w:val="en-GB" w:eastAsia="zh-CN"/>
        </w:rPr>
        <w:t>[3]</w:t>
      </w:r>
      <w:r w:rsidRPr="00B25FDD">
        <w:rPr>
          <w:lang w:val="en-GB" w:eastAsia="zh-CN"/>
        </w:rPr>
        <w:tab/>
      </w:r>
      <w:r w:rsidRPr="00B25FDD">
        <w:rPr>
          <w:lang w:val="en-GB"/>
        </w:rPr>
        <w:t xml:space="preserve">Recommendation ITU-R </w:t>
      </w:r>
      <w:hyperlink r:id="rId23" w:history="1">
        <w:r w:rsidRPr="00B25FDD">
          <w:rPr>
            <w:rStyle w:val="Hyperlink"/>
            <w:color w:val="auto"/>
            <w:u w:val="none"/>
            <w:lang w:val="en-GB"/>
          </w:rPr>
          <w:t>P.1812</w:t>
        </w:r>
      </w:hyperlink>
      <w:r w:rsidRPr="00B25FDD">
        <w:rPr>
          <w:lang w:val="en-GB"/>
        </w:rPr>
        <w:t xml:space="preserve"> </w:t>
      </w:r>
      <w:r w:rsidRPr="00B25FDD">
        <w:rPr>
          <w:lang w:val="en-GB" w:eastAsia="zh-CN"/>
        </w:rPr>
        <w:t xml:space="preserve">– </w:t>
      </w:r>
      <w:r w:rsidRPr="00B25FDD">
        <w:rPr>
          <w:lang w:val="en-GB"/>
        </w:rPr>
        <w:t>A path-specific propagation prediction method for point-to-area terrestrial services in the frequency range 30 MHz to 6 000 MHz</w:t>
      </w:r>
      <w:r w:rsidRPr="00B25FDD" w:rsidDel="001A08BF">
        <w:rPr>
          <w:lang w:val="en-GB"/>
        </w:rPr>
        <w:t xml:space="preserve"> </w:t>
      </w:r>
    </w:p>
    <w:p w14:paraId="38CA182E" w14:textId="77777777" w:rsidR="00F57191" w:rsidRPr="00B25FDD" w:rsidRDefault="00F57191" w:rsidP="00F57191">
      <w:pPr>
        <w:pStyle w:val="Reftext"/>
        <w:rPr>
          <w:lang w:val="en-GB" w:eastAsia="zh-CN"/>
        </w:rPr>
      </w:pPr>
      <w:r w:rsidRPr="00B25FDD">
        <w:rPr>
          <w:lang w:val="en-GB" w:eastAsia="zh-CN"/>
        </w:rPr>
        <w:t>[4]</w:t>
      </w:r>
      <w:r w:rsidRPr="00B25FDD">
        <w:rPr>
          <w:lang w:val="en-GB" w:eastAsia="zh-CN"/>
        </w:rPr>
        <w:tab/>
        <w:t xml:space="preserve">Recommendation ITU-R </w:t>
      </w:r>
      <w:hyperlink r:id="rId24" w:history="1">
        <w:r w:rsidRPr="00B25FDD">
          <w:rPr>
            <w:rStyle w:val="Hyperlink"/>
            <w:color w:val="auto"/>
            <w:u w:val="none"/>
            <w:lang w:val="en-GB" w:eastAsia="zh-CN"/>
          </w:rPr>
          <w:t>P.525</w:t>
        </w:r>
      </w:hyperlink>
      <w:r w:rsidRPr="00B25FDD">
        <w:rPr>
          <w:lang w:val="en-GB" w:eastAsia="zh-CN"/>
        </w:rPr>
        <w:t xml:space="preserve"> – Calculation of free-space attenuation</w:t>
      </w:r>
    </w:p>
    <w:p w14:paraId="3C0E6E3C" w14:textId="77777777" w:rsidR="00F57191" w:rsidRPr="00B25FDD" w:rsidRDefault="00F57191" w:rsidP="00F57191">
      <w:pPr>
        <w:pStyle w:val="Reftext"/>
        <w:rPr>
          <w:lang w:val="en-GB" w:eastAsia="zh-CN"/>
        </w:rPr>
      </w:pPr>
      <w:r w:rsidRPr="00B25FDD">
        <w:rPr>
          <w:lang w:val="en-GB" w:eastAsia="zh-CN"/>
        </w:rPr>
        <w:lastRenderedPageBreak/>
        <w:t>[5]</w:t>
      </w:r>
      <w:r w:rsidRPr="00B25FDD">
        <w:rPr>
          <w:lang w:val="en-GB" w:eastAsia="zh-CN"/>
        </w:rPr>
        <w:tab/>
        <w:t xml:space="preserve">Recommendation ITU-R </w:t>
      </w:r>
      <w:hyperlink r:id="rId25" w:history="1">
        <w:r w:rsidRPr="00B25FDD">
          <w:rPr>
            <w:rStyle w:val="Hyperlink"/>
            <w:color w:val="auto"/>
            <w:spacing w:val="-2"/>
            <w:u w:val="none"/>
            <w:lang w:val="en-GB"/>
          </w:rPr>
          <w:t>SM.1875</w:t>
        </w:r>
      </w:hyperlink>
      <w:r w:rsidRPr="00B25FDD">
        <w:rPr>
          <w:lang w:val="en-GB" w:eastAsia="zh-CN"/>
        </w:rPr>
        <w:t xml:space="preserve"> – DVB-T/T2 coverage measurements and verification of planning criteria </w:t>
      </w:r>
    </w:p>
    <w:p w14:paraId="10A7BF41" w14:textId="77777777" w:rsidR="00F57191" w:rsidRPr="00B25FDD" w:rsidRDefault="00F57191" w:rsidP="00F57191">
      <w:pPr>
        <w:pStyle w:val="Reftext"/>
        <w:rPr>
          <w:lang w:val="en-GB"/>
        </w:rPr>
      </w:pPr>
      <w:r w:rsidRPr="00B25FDD">
        <w:rPr>
          <w:szCs w:val="24"/>
          <w:lang w:val="en-GB" w:eastAsia="zh-CN"/>
        </w:rPr>
        <w:t>[6]</w:t>
      </w:r>
      <w:r w:rsidRPr="00B25FDD">
        <w:rPr>
          <w:szCs w:val="24"/>
          <w:lang w:val="en-GB" w:eastAsia="zh-CN"/>
        </w:rPr>
        <w:tab/>
      </w:r>
      <w:r w:rsidRPr="00B25FDD">
        <w:rPr>
          <w:lang w:val="en-GB"/>
        </w:rPr>
        <w:t>Note for Applicants on Coverage of Local Television. Minimum coverage requirements and transmission arrangements. OFCOM. 10 May 2012</w:t>
      </w:r>
    </w:p>
    <w:p w14:paraId="0E60D0B8" w14:textId="77777777" w:rsidR="00F57191" w:rsidRPr="00B25FDD" w:rsidRDefault="00F57191" w:rsidP="00F57191">
      <w:pPr>
        <w:pStyle w:val="Reftext"/>
        <w:rPr>
          <w:lang w:val="en-GB"/>
        </w:rPr>
      </w:pPr>
    </w:p>
    <w:p w14:paraId="3333EDD9" w14:textId="77777777" w:rsidR="00F57191" w:rsidRPr="00B25FDD" w:rsidRDefault="00F57191" w:rsidP="00F57191">
      <w:pPr>
        <w:pStyle w:val="Reftext"/>
        <w:rPr>
          <w:lang w:val="en-GB"/>
        </w:rPr>
      </w:pPr>
    </w:p>
    <w:p w14:paraId="6A3870DA" w14:textId="77777777" w:rsidR="00F57191" w:rsidRPr="00B25FDD" w:rsidRDefault="00F57191" w:rsidP="00E51F1C">
      <w:pPr>
        <w:pStyle w:val="AnnexNoTitle"/>
        <w:rPr>
          <w:lang w:val="en-GB" w:eastAsia="zh-CN"/>
        </w:rPr>
      </w:pPr>
      <w:r w:rsidRPr="00B25FDD">
        <w:rPr>
          <w:lang w:val="en-GB" w:eastAsia="zh-CN"/>
        </w:rPr>
        <w:t>Annex 1</w:t>
      </w:r>
      <w:r w:rsidRPr="00B25FDD">
        <w:rPr>
          <w:lang w:val="en-GB" w:eastAsia="zh-CN"/>
        </w:rPr>
        <w:br/>
      </w:r>
      <w:r w:rsidRPr="00B25FDD">
        <w:rPr>
          <w:lang w:val="en-GB" w:eastAsia="zh-CN"/>
        </w:rPr>
        <w:br/>
        <w:t>Case study</w:t>
      </w:r>
    </w:p>
    <w:p w14:paraId="124E3EEE" w14:textId="77777777" w:rsidR="00F57191" w:rsidRPr="00B25FDD" w:rsidRDefault="00F57191" w:rsidP="00F57191">
      <w:pPr>
        <w:pStyle w:val="Heading1"/>
        <w:rPr>
          <w:lang w:val="en-GB" w:eastAsia="zh-CN"/>
        </w:rPr>
      </w:pPr>
      <w:bookmarkStart w:id="18" w:name="_Toc55378836"/>
      <w:r w:rsidRPr="00B25FDD">
        <w:rPr>
          <w:lang w:val="en-GB" w:eastAsia="zh-CN"/>
        </w:rPr>
        <w:t xml:space="preserve">1 </w:t>
      </w:r>
      <w:r w:rsidRPr="00B25FDD">
        <w:rPr>
          <w:lang w:val="en-GB" w:eastAsia="zh-CN"/>
        </w:rPr>
        <w:tab/>
        <w:t>Estimation in the case of partially covered territory</w:t>
      </w:r>
      <w:bookmarkEnd w:id="18"/>
    </w:p>
    <w:p w14:paraId="5ED0DADE" w14:textId="05E7D72F" w:rsidR="00F57191" w:rsidRPr="00B25FDD" w:rsidRDefault="00F57191" w:rsidP="00F57191">
      <w:pPr>
        <w:pStyle w:val="FigureNo"/>
        <w:rPr>
          <w:lang w:val="en-GB" w:eastAsia="zh-CN"/>
        </w:rPr>
      </w:pPr>
      <w:r w:rsidRPr="00B25FDD">
        <w:rPr>
          <w:lang w:val="en-GB" w:eastAsia="zh-CN"/>
        </w:rPr>
        <w:t xml:space="preserve">FIGURE </w:t>
      </w:r>
      <w:r w:rsidR="00F80D0E" w:rsidRPr="00B25FDD">
        <w:rPr>
          <w:lang w:val="en-GB" w:eastAsia="zh-CN"/>
        </w:rPr>
        <w:t>2</w:t>
      </w:r>
    </w:p>
    <w:p w14:paraId="0D696F83" w14:textId="77777777" w:rsidR="00F57191" w:rsidRPr="00B25FDD" w:rsidRDefault="00F57191" w:rsidP="00F57191">
      <w:pPr>
        <w:pStyle w:val="Figuretitle"/>
        <w:rPr>
          <w:lang w:val="en-GB" w:eastAsia="zh-CN"/>
        </w:rPr>
      </w:pPr>
      <w:r w:rsidRPr="00B25FDD">
        <w:rPr>
          <w:lang w:val="en-GB" w:eastAsia="zh-CN"/>
        </w:rPr>
        <w:t>DVB-T2 coverage areas based on measurements</w:t>
      </w:r>
    </w:p>
    <w:p w14:paraId="20E7A78B" w14:textId="03CEB80B" w:rsidR="00F57191" w:rsidRPr="00B25FDD" w:rsidRDefault="00010832" w:rsidP="00F57191">
      <w:pPr>
        <w:pStyle w:val="Figure"/>
        <w:rPr>
          <w:szCs w:val="24"/>
          <w:lang w:val="en-GB"/>
        </w:rPr>
      </w:pPr>
      <w:r>
        <w:rPr>
          <w:noProof/>
          <w:szCs w:val="24"/>
          <w:lang w:val="en-GB"/>
        </w:rPr>
        <w:drawing>
          <wp:inline distT="0" distB="0" distL="0" distR="0" wp14:anchorId="2C7720C4" wp14:editId="3D06E816">
            <wp:extent cx="4504953" cy="3648463"/>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04953" cy="3648463"/>
                    </a:xfrm>
                    <a:prstGeom prst="rect">
                      <a:avLst/>
                    </a:prstGeom>
                  </pic:spPr>
                </pic:pic>
              </a:graphicData>
            </a:graphic>
          </wp:inline>
        </w:drawing>
      </w:r>
    </w:p>
    <w:p w14:paraId="721346C0" w14:textId="77777777" w:rsidR="00F57191" w:rsidRPr="00B25FDD" w:rsidRDefault="00F57191" w:rsidP="00F57191">
      <w:pPr>
        <w:pStyle w:val="Normalaftertitle"/>
        <w:rPr>
          <w:lang w:val="en-GB"/>
        </w:rPr>
      </w:pPr>
      <w:r w:rsidRPr="00B25FDD">
        <w:rPr>
          <w:lang w:val="en-GB"/>
        </w:rPr>
        <w:t xml:space="preserve">According </w:t>
      </w:r>
      <w:r w:rsidRPr="00B25FDD">
        <w:rPr>
          <w:lang w:val="en-GB" w:eastAsia="zh-CN"/>
        </w:rPr>
        <w:t xml:space="preserve">to the Vital Statistics Reference Book, the entire tested territory </w:t>
      </w:r>
      <w:r w:rsidRPr="00B25FDD">
        <w:rPr>
          <w:lang w:val="en-GB"/>
        </w:rPr>
        <w:t xml:space="preserve">covers 543 settlements with total population of about 682 350 inhabitants. </w:t>
      </w:r>
    </w:p>
    <w:p w14:paraId="688E29FC" w14:textId="77777777" w:rsidR="00F57191" w:rsidRPr="00B25FDD" w:rsidRDefault="00F57191" w:rsidP="00F57191">
      <w:pPr>
        <w:rPr>
          <w:lang w:val="en-GB"/>
        </w:rPr>
      </w:pPr>
      <w:r w:rsidRPr="00B25FDD">
        <w:rPr>
          <w:lang w:val="en-GB"/>
        </w:rPr>
        <w:t xml:space="preserve">There are 328 settlements where </w:t>
      </w:r>
      <w:r w:rsidRPr="00B25FDD">
        <w:rPr>
          <w:lang w:val="en-GB" w:eastAsia="zh-CN"/>
        </w:rPr>
        <w:t xml:space="preserve">562 600 inhabitants reside that </w:t>
      </w:r>
      <w:r w:rsidRPr="00B25FDD">
        <w:rPr>
          <w:lang w:val="en-GB"/>
        </w:rPr>
        <w:t xml:space="preserve">are covered with DVB-T2 service; and 215 settlements with population of 119 750 inhabitants that are not covered. Accordingly, the population coverage in the appointed territory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B25FDD">
        <w:rPr>
          <w:lang w:val="en-GB"/>
        </w:rPr>
        <w:t xml:space="preserve"> is equal to:</w:t>
      </w:r>
    </w:p>
    <w:p w14:paraId="30ED9AAA" w14:textId="2CCD76C1" w:rsidR="00F57191" w:rsidRPr="00B25FDD" w:rsidRDefault="00E51F1C" w:rsidP="00F57191">
      <w:pPr>
        <w:pStyle w:val="Equation"/>
        <w:rPr>
          <w:lang w:val="en-GB"/>
        </w:rPr>
      </w:pPr>
      <w:r w:rsidRPr="00B25FDD">
        <w:rPr>
          <w:lang w:val="en-GB"/>
        </w:rPr>
        <w:tab/>
      </w:r>
      <w:r w:rsidR="00F57191" w:rsidRPr="00B25FDD">
        <w:rPr>
          <w:lang w:val="en-GB"/>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562 600</m:t>
            </m:r>
          </m:num>
          <m:den>
            <m:r>
              <w:rPr>
                <w:rFonts w:ascii="Cambria Math" w:hAnsi="Cambria Math"/>
                <w:lang w:val="en-GB"/>
              </w:rPr>
              <m:t>682 350</m:t>
            </m:r>
          </m:den>
        </m:f>
        <m:r>
          <w:rPr>
            <w:rFonts w:ascii="Cambria Math" w:hAnsi="Cambria Math"/>
            <w:lang w:val="en-GB"/>
          </w:rPr>
          <m:t>∙100%≈82.45%</m:t>
        </m:r>
      </m:oMath>
    </w:p>
    <w:p w14:paraId="265337BD" w14:textId="77777777" w:rsidR="00F57191" w:rsidRPr="00B25FDD" w:rsidRDefault="00F57191" w:rsidP="00F57191">
      <w:pPr>
        <w:pStyle w:val="Heading1"/>
        <w:rPr>
          <w:lang w:val="en-GB" w:eastAsia="zh-CN"/>
        </w:rPr>
      </w:pPr>
      <w:r w:rsidRPr="00B25FDD">
        <w:rPr>
          <w:lang w:val="en-GB" w:eastAsia="zh-CN"/>
        </w:rPr>
        <w:lastRenderedPageBreak/>
        <w:t>2</w:t>
      </w:r>
      <w:r w:rsidRPr="00B25FDD">
        <w:rPr>
          <w:lang w:val="en-GB" w:eastAsia="zh-CN"/>
        </w:rPr>
        <w:tab/>
        <w:t xml:space="preserve">Estimation in the case of partially covered settlements </w:t>
      </w:r>
    </w:p>
    <w:p w14:paraId="618E082D" w14:textId="77777777" w:rsidR="00F57191" w:rsidRPr="00B25FDD" w:rsidRDefault="00F57191" w:rsidP="00F57191">
      <w:pPr>
        <w:rPr>
          <w:lang w:val="en-GB" w:eastAsia="zh-CN"/>
        </w:rPr>
      </w:pPr>
      <w:r w:rsidRPr="00B25FDD">
        <w:rPr>
          <w:lang w:val="en-GB" w:eastAsia="zh-CN"/>
        </w:rPr>
        <w:t>In cases where terrain blocks radio coverage, some settlements may not receive broadcast service even though they lie well within the calculated covered area. To verify the real coverage area, measurements across a grid in such settlements can be applied.</w:t>
      </w:r>
    </w:p>
    <w:p w14:paraId="20DCA13B" w14:textId="77777777" w:rsidR="00F57191" w:rsidRPr="00B25FDD" w:rsidRDefault="00F57191" w:rsidP="00F57191">
      <w:pPr>
        <w:rPr>
          <w:lang w:val="en-GB" w:eastAsia="zh-CN"/>
        </w:rPr>
      </w:pPr>
      <w:r w:rsidRPr="00B25FDD">
        <w:rPr>
          <w:lang w:val="en-GB" w:eastAsia="zh-CN"/>
        </w:rPr>
        <w:t>The following procedures for estimating the population coverage in this case are applied:</w:t>
      </w:r>
    </w:p>
    <w:p w14:paraId="4B222A14" w14:textId="7316E148" w:rsidR="00F57191" w:rsidRPr="00B25FDD" w:rsidRDefault="00F57191" w:rsidP="00F57191">
      <w:pPr>
        <w:pStyle w:val="enumlev1"/>
        <w:rPr>
          <w:lang w:val="en-GB" w:eastAsia="zh-CN"/>
        </w:rPr>
      </w:pPr>
      <w:r w:rsidRPr="00B25FDD">
        <w:rPr>
          <w:lang w:val="en-GB" w:eastAsia="zh-CN"/>
        </w:rPr>
        <w:t>1)</w:t>
      </w:r>
      <w:r w:rsidRPr="00B25FDD">
        <w:rPr>
          <w:lang w:val="en-GB" w:eastAsia="zh-CN"/>
        </w:rPr>
        <w:tab/>
        <w:t>The calculated coverage area is plotted on digital map of the small territory. Figure</w:t>
      </w:r>
      <w:r w:rsidR="009C4809" w:rsidRPr="00B25FDD">
        <w:rPr>
          <w:lang w:val="en-GB" w:eastAsia="zh-CN"/>
        </w:rPr>
        <w:t> </w:t>
      </w:r>
      <w:r w:rsidR="00F80D0E" w:rsidRPr="00B25FDD">
        <w:rPr>
          <w:lang w:val="en-GB" w:eastAsia="zh-CN"/>
        </w:rPr>
        <w:t>3</w:t>
      </w:r>
      <w:r w:rsidRPr="00B25FDD">
        <w:rPr>
          <w:lang w:val="en-GB" w:eastAsia="zh-CN"/>
        </w:rPr>
        <w:t xml:space="preserve"> represents the calculated coverage area of a small territory, where three small settlements are located. The covered area is highlighted in blue; the residential buildings are denoted by brown geometric figures. The coverage area can be calculated with a</w:t>
      </w:r>
      <w:r w:rsidRPr="00B25FDD">
        <w:rPr>
          <w:lang w:val="en-GB"/>
        </w:rPr>
        <w:t xml:space="preserve"> propagation model according to Recommendation ITU-R </w:t>
      </w:r>
      <w:hyperlink r:id="rId27" w:history="1">
        <w:r w:rsidRPr="00B25FDD">
          <w:rPr>
            <w:rStyle w:val="Hyperlink"/>
            <w:color w:val="auto"/>
            <w:u w:val="none"/>
            <w:lang w:val="en-GB"/>
          </w:rPr>
          <w:t>P.1546</w:t>
        </w:r>
      </w:hyperlink>
      <w:r w:rsidRPr="00B25FDD">
        <w:rPr>
          <w:lang w:val="en-GB"/>
        </w:rPr>
        <w:t>. The</w:t>
      </w:r>
      <w:r w:rsidRPr="00B25FDD">
        <w:rPr>
          <w:lang w:val="en-GB" w:eastAsia="zh-CN"/>
        </w:rPr>
        <w:t xml:space="preserve"> uncovered areas within the calculated coverage area are highlighted in white.</w:t>
      </w:r>
    </w:p>
    <w:p w14:paraId="78B50C57" w14:textId="77777777" w:rsidR="00F57191" w:rsidRPr="00B25FDD" w:rsidRDefault="00F57191" w:rsidP="00F57191">
      <w:pPr>
        <w:pStyle w:val="enumlev1"/>
        <w:rPr>
          <w:lang w:val="en-GB" w:eastAsia="zh-CN"/>
        </w:rPr>
      </w:pPr>
      <w:r w:rsidRPr="00B25FDD">
        <w:rPr>
          <w:lang w:val="en-GB" w:eastAsia="zh-CN"/>
        </w:rPr>
        <w:t>2)</w:t>
      </w:r>
      <w:r w:rsidRPr="00B25FDD">
        <w:rPr>
          <w:lang w:val="en-GB" w:eastAsia="zh-CN"/>
        </w:rPr>
        <w:tab/>
        <w:t xml:space="preserve">The total number of objects (households, homes, or inhabitants)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r w:rsidRPr="00B25FDD">
        <w:rPr>
          <w:lang w:val="en-GB" w:eastAsia="zh-CN"/>
        </w:rPr>
        <w:t xml:space="preserve"> within the tested settlements is determined. The number of objects can be determined with the reference source. It should be taken into consideration that different rural regions and urban areas (cities, districts and others) have different density of population, and values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r w:rsidRPr="00B25FDD">
        <w:rPr>
          <w:lang w:val="en-GB" w:eastAsia="zh-CN"/>
        </w:rPr>
        <w:t xml:space="preserve"> and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cov.</m:t>
            </m:r>
          </m:sub>
        </m:sSub>
      </m:oMath>
      <w:r w:rsidRPr="00B25FDD">
        <w:rPr>
          <w:lang w:val="en-GB" w:eastAsia="zh-CN"/>
        </w:rPr>
        <w:t xml:space="preserve"> for different territories may vary significantly.</w:t>
      </w:r>
    </w:p>
    <w:p w14:paraId="54A765F5" w14:textId="77777777" w:rsidR="00F57191" w:rsidRPr="00B25FDD" w:rsidRDefault="00F57191" w:rsidP="00F57191">
      <w:pPr>
        <w:pStyle w:val="enumlev1"/>
        <w:rPr>
          <w:lang w:val="en-GB" w:eastAsia="zh-CN"/>
        </w:rPr>
      </w:pPr>
      <w:r w:rsidRPr="00B25FDD">
        <w:rPr>
          <w:lang w:val="en-GB" w:eastAsia="zh-CN"/>
        </w:rPr>
        <w:t>3)</w:t>
      </w:r>
      <w:r w:rsidRPr="00B25FDD">
        <w:rPr>
          <w:lang w:val="en-GB" w:eastAsia="zh-CN"/>
        </w:rPr>
        <w:tab/>
        <w:t>To find suitable measurement locations in the designated territory, a grid of 500 metres length is placed over these settlements. The measuring locations within each small area are denoted by the yellow squares. The field strength of the service under test is measured in each small area.</w:t>
      </w:r>
    </w:p>
    <w:p w14:paraId="34FF47B0" w14:textId="14C4E647" w:rsidR="00F57191" w:rsidRPr="00B25FDD" w:rsidRDefault="00F57191" w:rsidP="00F57191">
      <w:pPr>
        <w:pStyle w:val="FigureNo"/>
        <w:rPr>
          <w:lang w:val="en-GB" w:eastAsia="zh-CN"/>
        </w:rPr>
      </w:pPr>
      <w:r w:rsidRPr="00B25FDD">
        <w:rPr>
          <w:lang w:val="en-GB" w:eastAsia="zh-CN"/>
        </w:rPr>
        <w:t xml:space="preserve">FIGURE </w:t>
      </w:r>
      <w:r w:rsidR="00F80D0E" w:rsidRPr="00B25FDD">
        <w:rPr>
          <w:lang w:val="en-GB" w:eastAsia="zh-CN"/>
        </w:rPr>
        <w:t>3</w:t>
      </w:r>
    </w:p>
    <w:p w14:paraId="406E030E" w14:textId="77777777" w:rsidR="00F57191" w:rsidRPr="00B25FDD" w:rsidRDefault="00F57191" w:rsidP="00F57191">
      <w:pPr>
        <w:pStyle w:val="Figuretitle"/>
        <w:rPr>
          <w:lang w:val="en-GB" w:eastAsia="zh-CN"/>
        </w:rPr>
      </w:pPr>
      <w:r w:rsidRPr="00B25FDD">
        <w:rPr>
          <w:lang w:val="en-GB"/>
        </w:rPr>
        <w:t xml:space="preserve">Determination of small areas and receiving locations </w:t>
      </w:r>
    </w:p>
    <w:p w14:paraId="5777FAF0" w14:textId="6BF33DE4" w:rsidR="00F57191" w:rsidRPr="00B25FDD" w:rsidRDefault="00010832" w:rsidP="00F57191">
      <w:pPr>
        <w:pStyle w:val="Figure"/>
        <w:rPr>
          <w:szCs w:val="24"/>
          <w:lang w:val="en-GB"/>
        </w:rPr>
      </w:pPr>
      <w:r>
        <w:rPr>
          <w:noProof/>
          <w:szCs w:val="24"/>
          <w:lang w:val="en-GB"/>
        </w:rPr>
        <w:drawing>
          <wp:inline distT="0" distB="0" distL="0" distR="0" wp14:anchorId="6D9A36CE" wp14:editId="0519AA3C">
            <wp:extent cx="4581153" cy="3532639"/>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81153" cy="3532639"/>
                    </a:xfrm>
                    <a:prstGeom prst="rect">
                      <a:avLst/>
                    </a:prstGeom>
                  </pic:spPr>
                </pic:pic>
              </a:graphicData>
            </a:graphic>
          </wp:inline>
        </w:drawing>
      </w:r>
    </w:p>
    <w:p w14:paraId="30E2B4A3" w14:textId="09C84137" w:rsidR="00F57191" w:rsidRPr="00B25FDD" w:rsidRDefault="00F57191" w:rsidP="009C4809">
      <w:pPr>
        <w:pStyle w:val="enumlev1"/>
        <w:rPr>
          <w:b/>
          <w:sz w:val="20"/>
          <w:lang w:val="en-GB" w:eastAsia="zh-CN"/>
        </w:rPr>
      </w:pPr>
      <w:r w:rsidRPr="00B25FDD">
        <w:rPr>
          <w:lang w:val="en-GB" w:eastAsia="zh-CN"/>
        </w:rPr>
        <w:t>4)</w:t>
      </w:r>
      <w:r w:rsidRPr="00B25FDD">
        <w:rPr>
          <w:lang w:val="en-GB" w:eastAsia="zh-CN"/>
        </w:rPr>
        <w:tab/>
        <w:t xml:space="preserve">Whenever the measured value exceeds the </w:t>
      </w:r>
      <w:r w:rsidRPr="00B25FDD">
        <w:rPr>
          <w:lang w:val="en-GB"/>
        </w:rPr>
        <w:t xml:space="preserve">minimum median equivalent field strength value, a small area is denoted by a green square. If this is not the case, an area is denoted by a red square (Fig. </w:t>
      </w:r>
      <w:r w:rsidR="00F80D0E" w:rsidRPr="00B25FDD">
        <w:rPr>
          <w:lang w:val="en-GB"/>
        </w:rPr>
        <w:t>4</w:t>
      </w:r>
      <w:r w:rsidRPr="00B25FDD">
        <w:rPr>
          <w:lang w:val="en-GB"/>
        </w:rPr>
        <w:t>).</w:t>
      </w:r>
    </w:p>
    <w:p w14:paraId="043896D4" w14:textId="357F75D8" w:rsidR="00F57191" w:rsidRPr="00B25FDD" w:rsidRDefault="00F57191" w:rsidP="00F57191">
      <w:pPr>
        <w:pStyle w:val="FigureNo"/>
        <w:rPr>
          <w:lang w:val="en-GB" w:eastAsia="zh-CN"/>
        </w:rPr>
      </w:pPr>
      <w:r w:rsidRPr="00B25FDD">
        <w:rPr>
          <w:lang w:val="en-GB" w:eastAsia="zh-CN"/>
        </w:rPr>
        <w:lastRenderedPageBreak/>
        <w:t xml:space="preserve">FIGURE </w:t>
      </w:r>
      <w:r w:rsidR="00F80D0E" w:rsidRPr="00B25FDD">
        <w:rPr>
          <w:lang w:val="en-GB" w:eastAsia="zh-CN"/>
        </w:rPr>
        <w:t>4</w:t>
      </w:r>
    </w:p>
    <w:p w14:paraId="09FEECAE" w14:textId="77777777" w:rsidR="00F57191" w:rsidRPr="00B25FDD" w:rsidRDefault="00F57191" w:rsidP="00F57191">
      <w:pPr>
        <w:pStyle w:val="Figuretitle"/>
        <w:rPr>
          <w:lang w:val="en-GB" w:eastAsia="zh-CN"/>
        </w:rPr>
      </w:pPr>
      <w:r w:rsidRPr="00B25FDD">
        <w:rPr>
          <w:lang w:val="en-GB"/>
        </w:rPr>
        <w:t>Coverage area measurement results</w:t>
      </w:r>
    </w:p>
    <w:p w14:paraId="13CA8264" w14:textId="5655ABF2" w:rsidR="00F57191" w:rsidRPr="00B25FDD" w:rsidRDefault="00010832" w:rsidP="00F57191">
      <w:pPr>
        <w:pStyle w:val="Figure"/>
        <w:rPr>
          <w:lang w:val="en-GB"/>
        </w:rPr>
      </w:pPr>
      <w:r>
        <w:rPr>
          <w:noProof/>
          <w:lang w:val="en-GB"/>
        </w:rPr>
        <w:drawing>
          <wp:inline distT="0" distB="0" distL="0" distR="0" wp14:anchorId="2FB24106" wp14:editId="0FBF4D92">
            <wp:extent cx="4404369" cy="346863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04369" cy="3468631"/>
                    </a:xfrm>
                    <a:prstGeom prst="rect">
                      <a:avLst/>
                    </a:prstGeom>
                  </pic:spPr>
                </pic:pic>
              </a:graphicData>
            </a:graphic>
          </wp:inline>
        </w:drawing>
      </w:r>
    </w:p>
    <w:p w14:paraId="5AF8EC20" w14:textId="657CDBFD" w:rsidR="00F57191" w:rsidRPr="00B25FDD" w:rsidRDefault="00F57191" w:rsidP="00F57191">
      <w:pPr>
        <w:pStyle w:val="enumlev1"/>
        <w:rPr>
          <w:strike/>
          <w:lang w:val="en-GB" w:eastAsia="zh-CN"/>
        </w:rPr>
      </w:pPr>
      <w:r w:rsidRPr="00B25FDD">
        <w:rPr>
          <w:szCs w:val="24"/>
          <w:lang w:val="en-GB" w:eastAsia="zh-CN"/>
        </w:rPr>
        <w:t>5)</w:t>
      </w:r>
      <w:r w:rsidRPr="00B25FDD">
        <w:rPr>
          <w:szCs w:val="24"/>
          <w:lang w:val="en-GB" w:eastAsia="zh-CN"/>
        </w:rPr>
        <w:tab/>
        <w:t xml:space="preserve">Small areas without any residential buildings are not taken into consideration in the calculation (Fig. </w:t>
      </w:r>
      <w:r w:rsidR="00F80D0E" w:rsidRPr="00B25FDD">
        <w:rPr>
          <w:szCs w:val="24"/>
          <w:lang w:val="en-GB" w:eastAsia="zh-CN"/>
        </w:rPr>
        <w:t>5</w:t>
      </w:r>
      <w:r w:rsidRPr="00B25FDD">
        <w:rPr>
          <w:szCs w:val="24"/>
          <w:lang w:val="en-GB" w:eastAsia="zh-CN"/>
        </w:rPr>
        <w:t>).</w:t>
      </w:r>
    </w:p>
    <w:p w14:paraId="1A877180" w14:textId="7CBE58CD" w:rsidR="00F57191" w:rsidRPr="00B25FDD" w:rsidRDefault="00F57191" w:rsidP="00F57191">
      <w:pPr>
        <w:pStyle w:val="FigureNo"/>
        <w:rPr>
          <w:lang w:val="en-GB" w:eastAsia="zh-CN"/>
        </w:rPr>
      </w:pPr>
      <w:r w:rsidRPr="00B25FDD">
        <w:rPr>
          <w:lang w:val="en-GB" w:eastAsia="zh-CN"/>
        </w:rPr>
        <w:t xml:space="preserve">FIGURE </w:t>
      </w:r>
      <w:r w:rsidR="00F80D0E" w:rsidRPr="00B25FDD">
        <w:rPr>
          <w:lang w:val="en-GB" w:eastAsia="zh-CN"/>
        </w:rPr>
        <w:t>5</w:t>
      </w:r>
    </w:p>
    <w:p w14:paraId="591A083A" w14:textId="77777777" w:rsidR="00F57191" w:rsidRPr="00B25FDD" w:rsidRDefault="00F57191" w:rsidP="00F57191">
      <w:pPr>
        <w:pStyle w:val="Figuretitle"/>
        <w:rPr>
          <w:lang w:val="en-GB" w:eastAsia="zh-CN"/>
        </w:rPr>
      </w:pPr>
      <w:r w:rsidRPr="00B25FDD">
        <w:rPr>
          <w:lang w:val="en-GB"/>
        </w:rPr>
        <w:t>Population coverage measurement results</w:t>
      </w:r>
    </w:p>
    <w:p w14:paraId="56BA72E9" w14:textId="4CDC4B94" w:rsidR="00F57191" w:rsidRPr="00B25FDD" w:rsidRDefault="00010832" w:rsidP="00F57191">
      <w:pPr>
        <w:pStyle w:val="Figure"/>
        <w:rPr>
          <w:lang w:val="en-GB"/>
        </w:rPr>
      </w:pPr>
      <w:r>
        <w:rPr>
          <w:noProof/>
          <w:lang w:val="en-GB"/>
        </w:rPr>
        <w:drawing>
          <wp:inline distT="0" distB="0" distL="0" distR="0" wp14:anchorId="3A4C4435" wp14:editId="46163B4C">
            <wp:extent cx="4550673" cy="3541783"/>
            <wp:effectExtent l="0" t="0" r="0" b="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50673" cy="3541783"/>
                    </a:xfrm>
                    <a:prstGeom prst="rect">
                      <a:avLst/>
                    </a:prstGeom>
                  </pic:spPr>
                </pic:pic>
              </a:graphicData>
            </a:graphic>
          </wp:inline>
        </w:drawing>
      </w:r>
    </w:p>
    <w:p w14:paraId="49D72651" w14:textId="72F2E8B7" w:rsidR="00F57191" w:rsidRPr="00B25FDD" w:rsidRDefault="00F57191" w:rsidP="00F57191">
      <w:pPr>
        <w:pStyle w:val="enumlev1"/>
        <w:keepNext/>
        <w:keepLines/>
        <w:rPr>
          <w:spacing w:val="-2"/>
          <w:szCs w:val="24"/>
          <w:lang w:val="en-GB"/>
        </w:rPr>
      </w:pPr>
      <w:r w:rsidRPr="00B25FDD">
        <w:rPr>
          <w:lang w:val="en-GB" w:eastAsia="zh-CN"/>
        </w:rPr>
        <w:lastRenderedPageBreak/>
        <w:t>6)</w:t>
      </w:r>
      <w:r w:rsidRPr="00B25FDD">
        <w:rPr>
          <w:lang w:val="en-GB" w:eastAsia="zh-CN"/>
        </w:rPr>
        <w:tab/>
        <w:t xml:space="preserve">The total number of covered objects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cov.</m:t>
            </m:r>
          </m:sub>
        </m:sSub>
      </m:oMath>
      <w:r w:rsidRPr="00B25FDD">
        <w:rPr>
          <w:szCs w:val="24"/>
          <w:lang w:val="en-GB" w:eastAsia="zh-CN"/>
        </w:rPr>
        <w:t xml:space="preserve"> is determined and </w:t>
      </w:r>
      <w:r w:rsidRPr="00B25FDD">
        <w:rPr>
          <w:lang w:val="en-GB" w:eastAsia="zh-CN"/>
        </w:rPr>
        <w:t xml:space="preserve">coverage parameter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009C4809" w:rsidRPr="00B25FDD">
        <w:rPr>
          <w:i/>
          <w:lang w:val="en-GB" w:eastAsia="zh-CN"/>
        </w:rPr>
        <w:t xml:space="preserve"> </w:t>
      </w:r>
      <w:r w:rsidRPr="00B25FDD">
        <w:rPr>
          <w:lang w:val="en-GB" w:eastAsia="zh-CN"/>
        </w:rPr>
        <w:t xml:space="preserve">is </w:t>
      </w:r>
      <w:r w:rsidRPr="00B25FDD">
        <w:rPr>
          <w:szCs w:val="24"/>
          <w:lang w:val="en-GB" w:eastAsia="zh-CN"/>
        </w:rPr>
        <w:t>calculat</w:t>
      </w:r>
      <w:r w:rsidRPr="00B25FDD">
        <w:rPr>
          <w:lang w:val="en-GB" w:eastAsia="zh-CN"/>
        </w:rPr>
        <w:t>ed.</w:t>
      </w:r>
      <w:r w:rsidRPr="00B25FDD">
        <w:rPr>
          <w:i/>
          <w:lang w:val="en-GB" w:eastAsia="zh-CN"/>
        </w:rPr>
        <w:t xml:space="preserve"> </w:t>
      </w:r>
    </w:p>
    <w:p w14:paraId="5DE5CAD0" w14:textId="470018AF" w:rsidR="00F57191" w:rsidRPr="00B25FDD" w:rsidRDefault="00F57191" w:rsidP="00F57191">
      <w:pPr>
        <w:rPr>
          <w:lang w:val="en-GB"/>
        </w:rPr>
      </w:pPr>
      <w:r w:rsidRPr="00B25FDD">
        <w:rPr>
          <w:lang w:val="en-GB"/>
        </w:rPr>
        <w:t xml:space="preserve">In this example, the population coverage is estimated for the number of </w:t>
      </w:r>
      <w:r w:rsidRPr="00B25FDD">
        <w:rPr>
          <w:lang w:val="en-GB" w:eastAsia="zh-CN"/>
        </w:rPr>
        <w:t>inhabitants.</w:t>
      </w:r>
      <w:r w:rsidRPr="00B25FDD">
        <w:rPr>
          <w:lang w:val="en-GB"/>
        </w:rPr>
        <w:t xml:space="preserve"> The total population residing in the designated settlements is 2 060. The total number of tested small areas in the designated territory (Fig. </w:t>
      </w:r>
      <w:r w:rsidR="00F80D0E" w:rsidRPr="00B25FDD">
        <w:rPr>
          <w:lang w:val="en-GB"/>
        </w:rPr>
        <w:t>3</w:t>
      </w:r>
      <w:r w:rsidRPr="00B25FDD">
        <w:rPr>
          <w:lang w:val="en-GB"/>
        </w:rPr>
        <w:t>) is 42, and the density of population is 49.05 inhabitants per small area. To determine the total number of the inhabitants residing in the 35 covered small areas (Fig. </w:t>
      </w:r>
      <w:r w:rsidR="00F80D0E" w:rsidRPr="00B25FDD">
        <w:rPr>
          <w:lang w:val="en-GB"/>
        </w:rPr>
        <w:t>4</w:t>
      </w:r>
      <w:r w:rsidRPr="00B25FDD">
        <w:rPr>
          <w:lang w:val="en-GB"/>
        </w:rPr>
        <w:t xml:space="preserve">), use 35 for the variable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cov.</m:t>
            </m:r>
          </m:sub>
        </m:sSub>
      </m:oMath>
      <w:r w:rsidRPr="00B25FDD">
        <w:rPr>
          <w:lang w:val="en-GB"/>
        </w:rPr>
        <w:t>:</w:t>
      </w:r>
    </w:p>
    <w:p w14:paraId="53A28226" w14:textId="3A3AFC9A" w:rsidR="00F57191" w:rsidRPr="00B25FDD" w:rsidRDefault="00F34377" w:rsidP="00F34377">
      <w:pPr>
        <w:pStyle w:val="Equation"/>
        <w:rPr>
          <w:lang w:val="en-GB"/>
        </w:rPr>
      </w:pPr>
      <w:r w:rsidRPr="00B25FDD">
        <w:rPr>
          <w:lang w:val="en-GB"/>
        </w:rPr>
        <w:tab/>
      </w:r>
      <w:r w:rsidR="00F57191" w:rsidRPr="00B25FDD">
        <w:rPr>
          <w:lang w:val="en-GB"/>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cov</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cov</m:t>
            </m:r>
            <m:r>
              <m:rPr>
                <m:sty m:val="p"/>
              </m:rPr>
              <w:rPr>
                <w:rFonts w:ascii="Cambria Math" w:hAnsi="Cambria Math"/>
                <w:lang w:val="en-GB"/>
              </w:rPr>
              <m:t>.</m:t>
            </m:r>
          </m:sub>
        </m:sSub>
        <m:r>
          <m:rPr>
            <m:sty m:val="p"/>
          </m:rPr>
          <w:rPr>
            <w:rFonts w:ascii="Cambria Math" w:hAnsi="Cambria Math"/>
            <w:lang w:val="en-GB"/>
          </w:rPr>
          <m:t>∙49.05=35∙49.05≈1 716</m:t>
        </m:r>
      </m:oMath>
      <w:r w:rsidR="00F57191" w:rsidRPr="00B25FDD">
        <w:rPr>
          <w:lang w:val="en-GB"/>
        </w:rPr>
        <w:t xml:space="preserve"> inhabitants. </w:t>
      </w:r>
    </w:p>
    <w:p w14:paraId="1C67DDEC" w14:textId="77777777" w:rsidR="00F57191" w:rsidRPr="00B25FDD" w:rsidRDefault="00F57191" w:rsidP="00F57191">
      <w:pPr>
        <w:rPr>
          <w:lang w:val="en-GB"/>
        </w:rPr>
      </w:pPr>
      <w:r w:rsidRPr="00B25FDD">
        <w:rPr>
          <w:lang w:val="en-GB"/>
        </w:rPr>
        <w:t xml:space="preserve">Population coverage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B25FDD">
        <w:rPr>
          <w:lang w:val="en-GB"/>
        </w:rPr>
        <w:t xml:space="preserve"> is equal to:</w:t>
      </w:r>
    </w:p>
    <w:p w14:paraId="57B972B6" w14:textId="77777777" w:rsidR="00F57191" w:rsidRPr="00B25FDD" w:rsidRDefault="00F57191" w:rsidP="00F57191">
      <w:pPr>
        <w:pStyle w:val="Equation"/>
        <w:rPr>
          <w:lang w:val="en-GB"/>
        </w:rPr>
      </w:pPr>
      <w:r w:rsidRPr="00B25FDD">
        <w:rPr>
          <w:lang w:val="en-GB"/>
        </w:rPr>
        <w:tab/>
      </w:r>
      <w:r w:rsidRPr="00B25FDD">
        <w:rPr>
          <w:lang w:val="en-GB"/>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1 716</m:t>
            </m:r>
          </m:num>
          <m:den>
            <m:r>
              <w:rPr>
                <w:rFonts w:ascii="Cambria Math" w:hAnsi="Cambria Math"/>
                <w:lang w:val="en-GB"/>
              </w:rPr>
              <m:t>2 060</m:t>
            </m:r>
          </m:den>
        </m:f>
        <m:r>
          <w:rPr>
            <w:rFonts w:ascii="Cambria Math" w:hAnsi="Cambria Math"/>
            <w:lang w:val="en-GB"/>
          </w:rPr>
          <m:t>∙100%≈83.3%</m:t>
        </m:r>
      </m:oMath>
    </w:p>
    <w:p w14:paraId="09974567" w14:textId="77777777" w:rsidR="00C72D76" w:rsidRPr="00B25FDD" w:rsidRDefault="00C72D76" w:rsidP="007362A7">
      <w:pPr>
        <w:rPr>
          <w:lang w:val="en-GB"/>
        </w:rPr>
      </w:pPr>
    </w:p>
    <w:bookmarkEnd w:id="4"/>
    <w:p w14:paraId="7F971C55" w14:textId="114327D7" w:rsidR="00171DEB" w:rsidRPr="00B25FDD" w:rsidRDefault="00171DEB" w:rsidP="004B5E1C">
      <w:pPr>
        <w:pStyle w:val="Line"/>
      </w:pPr>
    </w:p>
    <w:sectPr w:rsidR="00171DEB" w:rsidRPr="00B25FDD" w:rsidSect="007565CC">
      <w:headerReference w:type="even" r:id="rId31"/>
      <w:headerReference w:type="default" r:id="rId3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2559" w14:textId="77777777" w:rsidR="00456660" w:rsidRDefault="00456660">
      <w:r>
        <w:separator/>
      </w:r>
    </w:p>
  </w:endnote>
  <w:endnote w:type="continuationSeparator" w:id="0">
    <w:p w14:paraId="6244E573" w14:textId="77777777" w:rsidR="00456660" w:rsidRDefault="0045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E0EDF" w14:textId="77777777" w:rsidR="00456660" w:rsidRDefault="00456660">
      <w:r>
        <w:separator/>
      </w:r>
    </w:p>
  </w:footnote>
  <w:footnote w:type="continuationSeparator" w:id="0">
    <w:p w14:paraId="431A383C" w14:textId="77777777" w:rsidR="00456660" w:rsidRDefault="00456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1CD5" w14:textId="59AAF67B" w:rsidR="00456660" w:rsidRPr="00E96173" w:rsidRDefault="00456660"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7850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5727D">
      <w:rPr>
        <w:b/>
        <w:bCs/>
        <w:noProof/>
        <w:lang w:val="en-US"/>
      </w:rPr>
      <w:t>ITU-R  SM.2504-0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E851" w14:textId="77777777" w:rsidR="00456660" w:rsidRDefault="00456660" w:rsidP="00B033C8">
    <w:pPr>
      <w:pStyle w:val="Header"/>
      <w:ind w:right="360" w:firstLine="360"/>
    </w:pPr>
    <w:r>
      <w:rPr>
        <w:noProof/>
        <w:lang w:val="en-GB" w:eastAsia="zh-CN"/>
      </w:rPr>
      <w:drawing>
        <wp:anchor distT="0" distB="0" distL="114300" distR="114300" simplePos="0" relativeHeight="251656704" behindDoc="1" locked="0" layoutInCell="1" allowOverlap="1" wp14:anchorId="2CC3EB02" wp14:editId="731B7D65">
          <wp:simplePos x="0" y="0"/>
          <wp:positionH relativeFrom="page">
            <wp:posOffset>0</wp:posOffset>
          </wp:positionH>
          <wp:positionV relativeFrom="page">
            <wp:posOffset>0</wp:posOffset>
          </wp:positionV>
          <wp:extent cx="7592060" cy="10753725"/>
          <wp:effectExtent l="19050" t="0" r="8890" b="0"/>
          <wp:wrapNone/>
          <wp:docPr id="2" name="Picture 2"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961" w14:textId="221FB5BA" w:rsidR="00456660" w:rsidRDefault="00456660"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7A4F79">
      <w:rPr>
        <w:b/>
        <w:bCs/>
      </w:rPr>
      <w:t xml:space="preserve">Rep.  </w:t>
    </w:r>
    <w:r w:rsidRPr="00B21000">
      <w:rPr>
        <w:b/>
        <w:bCs/>
      </w:rPr>
      <w:fldChar w:fldCharType="begin"/>
    </w:r>
    <w:r w:rsidRPr="00B21000">
      <w:rPr>
        <w:b/>
        <w:bCs/>
        <w:lang w:val="en-US"/>
      </w:rPr>
      <w:instrText>styleref href</w:instrText>
    </w:r>
    <w:r w:rsidRPr="00B21000">
      <w:rPr>
        <w:b/>
        <w:bCs/>
      </w:rPr>
      <w:fldChar w:fldCharType="separate"/>
    </w:r>
    <w:r w:rsidR="0055727D">
      <w:rPr>
        <w:b/>
        <w:bCs/>
        <w:noProof/>
        <w:lang w:val="en-US"/>
      </w:rPr>
      <w:t>ITU-R  SM.2504-0</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AEAF" w14:textId="2FB7CADC" w:rsidR="00456660" w:rsidRPr="00B21000" w:rsidRDefault="00456660" w:rsidP="00B21000">
    <w:pPr>
      <w:pStyle w:val="Header"/>
      <w:jc w:val="both"/>
    </w:pPr>
    <w:r w:rsidRPr="00B21000">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55727D">
      <w:rPr>
        <w:b/>
        <w:bCs/>
        <w:noProof/>
        <w:lang w:val="en-US"/>
      </w:rPr>
      <w:t>ITU-R  SM.2504-0</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3"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8"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208590">
    <w:abstractNumId w:val="13"/>
  </w:num>
  <w:num w:numId="2" w16cid:durableId="1258254136">
    <w:abstractNumId w:val="16"/>
  </w:num>
  <w:num w:numId="3" w16cid:durableId="17808783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98827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2325166">
    <w:abstractNumId w:val="18"/>
  </w:num>
  <w:num w:numId="6" w16cid:durableId="207653849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0364168">
    <w:abstractNumId w:val="12"/>
  </w:num>
  <w:num w:numId="8" w16cid:durableId="194834799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3020315">
    <w:abstractNumId w:val="17"/>
  </w:num>
  <w:num w:numId="10" w16cid:durableId="8494903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3064104">
    <w:abstractNumId w:val="9"/>
  </w:num>
  <w:num w:numId="12" w16cid:durableId="958686064">
    <w:abstractNumId w:val="7"/>
  </w:num>
  <w:num w:numId="13" w16cid:durableId="1180240970">
    <w:abstractNumId w:val="6"/>
  </w:num>
  <w:num w:numId="14" w16cid:durableId="1382287971">
    <w:abstractNumId w:val="5"/>
  </w:num>
  <w:num w:numId="15" w16cid:durableId="1959288619">
    <w:abstractNumId w:val="4"/>
  </w:num>
  <w:num w:numId="16" w16cid:durableId="2099249850">
    <w:abstractNumId w:val="8"/>
  </w:num>
  <w:num w:numId="17" w16cid:durableId="85464635">
    <w:abstractNumId w:val="3"/>
  </w:num>
  <w:num w:numId="18" w16cid:durableId="524177850">
    <w:abstractNumId w:val="2"/>
  </w:num>
  <w:num w:numId="19" w16cid:durableId="2133672282">
    <w:abstractNumId w:val="1"/>
  </w:num>
  <w:num w:numId="20" w16cid:durableId="740366780">
    <w:abstractNumId w:val="0"/>
  </w:num>
  <w:num w:numId="21" w16cid:durableId="431434399">
    <w:abstractNumId w:val="10"/>
  </w:num>
  <w:num w:numId="22" w16cid:durableId="787188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512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0832"/>
    <w:rsid w:val="00013002"/>
    <w:rsid w:val="00023E30"/>
    <w:rsid w:val="00035C37"/>
    <w:rsid w:val="00050D41"/>
    <w:rsid w:val="0006030B"/>
    <w:rsid w:val="00072484"/>
    <w:rsid w:val="00081C0B"/>
    <w:rsid w:val="0009150E"/>
    <w:rsid w:val="00096612"/>
    <w:rsid w:val="000B7683"/>
    <w:rsid w:val="000B7B53"/>
    <w:rsid w:val="000C0413"/>
    <w:rsid w:val="000C3624"/>
    <w:rsid w:val="000E2971"/>
    <w:rsid w:val="000E4FD1"/>
    <w:rsid w:val="000F3C25"/>
    <w:rsid w:val="000F6FC4"/>
    <w:rsid w:val="00102934"/>
    <w:rsid w:val="00147110"/>
    <w:rsid w:val="00171DEB"/>
    <w:rsid w:val="001A5259"/>
    <w:rsid w:val="001B0110"/>
    <w:rsid w:val="001C70F6"/>
    <w:rsid w:val="001F2A38"/>
    <w:rsid w:val="00201545"/>
    <w:rsid w:val="002058CE"/>
    <w:rsid w:val="00205EEB"/>
    <w:rsid w:val="002165F1"/>
    <w:rsid w:val="00235A28"/>
    <w:rsid w:val="00247681"/>
    <w:rsid w:val="002555B8"/>
    <w:rsid w:val="002558DC"/>
    <w:rsid w:val="00267ED8"/>
    <w:rsid w:val="0027629B"/>
    <w:rsid w:val="00276D21"/>
    <w:rsid w:val="00280CD5"/>
    <w:rsid w:val="00296D7F"/>
    <w:rsid w:val="00297D43"/>
    <w:rsid w:val="002A1FFD"/>
    <w:rsid w:val="002B32C9"/>
    <w:rsid w:val="002B3CF6"/>
    <w:rsid w:val="002C768A"/>
    <w:rsid w:val="002D1160"/>
    <w:rsid w:val="002D76C4"/>
    <w:rsid w:val="002D77AF"/>
    <w:rsid w:val="00351573"/>
    <w:rsid w:val="003571CE"/>
    <w:rsid w:val="00357282"/>
    <w:rsid w:val="00362ED1"/>
    <w:rsid w:val="00377D55"/>
    <w:rsid w:val="00382E8A"/>
    <w:rsid w:val="0038303E"/>
    <w:rsid w:val="003A6A2B"/>
    <w:rsid w:val="003B4EE8"/>
    <w:rsid w:val="003C49A1"/>
    <w:rsid w:val="003E539C"/>
    <w:rsid w:val="003F1EEF"/>
    <w:rsid w:val="004056F5"/>
    <w:rsid w:val="00420DFD"/>
    <w:rsid w:val="004319C1"/>
    <w:rsid w:val="00456660"/>
    <w:rsid w:val="00470E28"/>
    <w:rsid w:val="004720FC"/>
    <w:rsid w:val="00475B47"/>
    <w:rsid w:val="00482862"/>
    <w:rsid w:val="004934C5"/>
    <w:rsid w:val="004B10D9"/>
    <w:rsid w:val="004B5E1C"/>
    <w:rsid w:val="004C61E8"/>
    <w:rsid w:val="004D54BF"/>
    <w:rsid w:val="00505FB4"/>
    <w:rsid w:val="00526063"/>
    <w:rsid w:val="00542797"/>
    <w:rsid w:val="00544D3F"/>
    <w:rsid w:val="00556548"/>
    <w:rsid w:val="0055727D"/>
    <w:rsid w:val="005600C9"/>
    <w:rsid w:val="00586EF8"/>
    <w:rsid w:val="005A74EA"/>
    <w:rsid w:val="005A791E"/>
    <w:rsid w:val="005B49AB"/>
    <w:rsid w:val="005B50E7"/>
    <w:rsid w:val="005B5721"/>
    <w:rsid w:val="005D3544"/>
    <w:rsid w:val="005E7B4F"/>
    <w:rsid w:val="005F6910"/>
    <w:rsid w:val="00607D68"/>
    <w:rsid w:val="006149B1"/>
    <w:rsid w:val="0063325B"/>
    <w:rsid w:val="0064359D"/>
    <w:rsid w:val="00650A0B"/>
    <w:rsid w:val="00663571"/>
    <w:rsid w:val="00676105"/>
    <w:rsid w:val="00680920"/>
    <w:rsid w:val="00680D2B"/>
    <w:rsid w:val="00681B32"/>
    <w:rsid w:val="00686A84"/>
    <w:rsid w:val="0069286B"/>
    <w:rsid w:val="006A1F02"/>
    <w:rsid w:val="006C1A3F"/>
    <w:rsid w:val="006E2037"/>
    <w:rsid w:val="006F2B77"/>
    <w:rsid w:val="00712870"/>
    <w:rsid w:val="0071424C"/>
    <w:rsid w:val="00720B68"/>
    <w:rsid w:val="007362A7"/>
    <w:rsid w:val="00743D85"/>
    <w:rsid w:val="0074518F"/>
    <w:rsid w:val="00752FD3"/>
    <w:rsid w:val="00753CF4"/>
    <w:rsid w:val="007565CC"/>
    <w:rsid w:val="00763B9A"/>
    <w:rsid w:val="00775E74"/>
    <w:rsid w:val="00785095"/>
    <w:rsid w:val="007A4F79"/>
    <w:rsid w:val="007A6AA8"/>
    <w:rsid w:val="007B203C"/>
    <w:rsid w:val="007B66E6"/>
    <w:rsid w:val="007C2459"/>
    <w:rsid w:val="007F07CA"/>
    <w:rsid w:val="00811FBD"/>
    <w:rsid w:val="008310C9"/>
    <w:rsid w:val="00836298"/>
    <w:rsid w:val="00852A34"/>
    <w:rsid w:val="00870342"/>
    <w:rsid w:val="0087251C"/>
    <w:rsid w:val="008752E2"/>
    <w:rsid w:val="008815AC"/>
    <w:rsid w:val="00892E21"/>
    <w:rsid w:val="008B2CC6"/>
    <w:rsid w:val="008C6D90"/>
    <w:rsid w:val="008C7848"/>
    <w:rsid w:val="008D3D8D"/>
    <w:rsid w:val="008E2BCD"/>
    <w:rsid w:val="009030CC"/>
    <w:rsid w:val="00917AF2"/>
    <w:rsid w:val="0092418A"/>
    <w:rsid w:val="00930DA4"/>
    <w:rsid w:val="00934ED7"/>
    <w:rsid w:val="009474D9"/>
    <w:rsid w:val="009543C3"/>
    <w:rsid w:val="00965A59"/>
    <w:rsid w:val="00966E1B"/>
    <w:rsid w:val="0098030F"/>
    <w:rsid w:val="009A351D"/>
    <w:rsid w:val="009C4809"/>
    <w:rsid w:val="009F2D2C"/>
    <w:rsid w:val="00A00C1E"/>
    <w:rsid w:val="00A06F60"/>
    <w:rsid w:val="00A13D19"/>
    <w:rsid w:val="00A54559"/>
    <w:rsid w:val="00A6617B"/>
    <w:rsid w:val="00A7038B"/>
    <w:rsid w:val="00A71FE5"/>
    <w:rsid w:val="00A7301F"/>
    <w:rsid w:val="00AA3AD8"/>
    <w:rsid w:val="00AB0DC8"/>
    <w:rsid w:val="00AC3946"/>
    <w:rsid w:val="00AD26B8"/>
    <w:rsid w:val="00B033C8"/>
    <w:rsid w:val="00B036D9"/>
    <w:rsid w:val="00B135F6"/>
    <w:rsid w:val="00B21000"/>
    <w:rsid w:val="00B257C1"/>
    <w:rsid w:val="00B25FDD"/>
    <w:rsid w:val="00B31C8C"/>
    <w:rsid w:val="00B33425"/>
    <w:rsid w:val="00B44E24"/>
    <w:rsid w:val="00B47809"/>
    <w:rsid w:val="00B54ECC"/>
    <w:rsid w:val="00B554A4"/>
    <w:rsid w:val="00B567BC"/>
    <w:rsid w:val="00B6131E"/>
    <w:rsid w:val="00B61918"/>
    <w:rsid w:val="00B714F3"/>
    <w:rsid w:val="00B75A37"/>
    <w:rsid w:val="00B81498"/>
    <w:rsid w:val="00BA48E5"/>
    <w:rsid w:val="00BC5D77"/>
    <w:rsid w:val="00BC6FC2"/>
    <w:rsid w:val="00BD3F5C"/>
    <w:rsid w:val="00BE2E24"/>
    <w:rsid w:val="00BE5B84"/>
    <w:rsid w:val="00BF15C3"/>
    <w:rsid w:val="00BF487A"/>
    <w:rsid w:val="00C114A7"/>
    <w:rsid w:val="00C17FDF"/>
    <w:rsid w:val="00C26C7F"/>
    <w:rsid w:val="00C46BD9"/>
    <w:rsid w:val="00C50F9D"/>
    <w:rsid w:val="00C55258"/>
    <w:rsid w:val="00C728FC"/>
    <w:rsid w:val="00C72D76"/>
    <w:rsid w:val="00C73560"/>
    <w:rsid w:val="00C7761D"/>
    <w:rsid w:val="00C93B65"/>
    <w:rsid w:val="00CA4B1B"/>
    <w:rsid w:val="00CA7678"/>
    <w:rsid w:val="00CB0F14"/>
    <w:rsid w:val="00CB1116"/>
    <w:rsid w:val="00CB47A0"/>
    <w:rsid w:val="00CB60A4"/>
    <w:rsid w:val="00CC7172"/>
    <w:rsid w:val="00CD58B5"/>
    <w:rsid w:val="00CD659B"/>
    <w:rsid w:val="00CD7A62"/>
    <w:rsid w:val="00CF0D45"/>
    <w:rsid w:val="00CF34B5"/>
    <w:rsid w:val="00CF7A20"/>
    <w:rsid w:val="00D0034D"/>
    <w:rsid w:val="00D069F2"/>
    <w:rsid w:val="00D10CF1"/>
    <w:rsid w:val="00D503C9"/>
    <w:rsid w:val="00D50B43"/>
    <w:rsid w:val="00D55B55"/>
    <w:rsid w:val="00D57367"/>
    <w:rsid w:val="00D57D48"/>
    <w:rsid w:val="00D652D5"/>
    <w:rsid w:val="00D722EF"/>
    <w:rsid w:val="00D73FBE"/>
    <w:rsid w:val="00D8150A"/>
    <w:rsid w:val="00D825CE"/>
    <w:rsid w:val="00D83331"/>
    <w:rsid w:val="00D84B6A"/>
    <w:rsid w:val="00D91F7F"/>
    <w:rsid w:val="00D92F56"/>
    <w:rsid w:val="00DB4F6A"/>
    <w:rsid w:val="00DF087C"/>
    <w:rsid w:val="00DF4176"/>
    <w:rsid w:val="00E10ECA"/>
    <w:rsid w:val="00E17240"/>
    <w:rsid w:val="00E1785F"/>
    <w:rsid w:val="00E17B7E"/>
    <w:rsid w:val="00E20F62"/>
    <w:rsid w:val="00E32BC4"/>
    <w:rsid w:val="00E4729E"/>
    <w:rsid w:val="00E51F1C"/>
    <w:rsid w:val="00E52342"/>
    <w:rsid w:val="00E7610E"/>
    <w:rsid w:val="00E83CDE"/>
    <w:rsid w:val="00E84492"/>
    <w:rsid w:val="00E96173"/>
    <w:rsid w:val="00EA53CC"/>
    <w:rsid w:val="00EB2B6D"/>
    <w:rsid w:val="00ED683F"/>
    <w:rsid w:val="00ED744D"/>
    <w:rsid w:val="00EE7548"/>
    <w:rsid w:val="00F103A9"/>
    <w:rsid w:val="00F20231"/>
    <w:rsid w:val="00F30C9B"/>
    <w:rsid w:val="00F31762"/>
    <w:rsid w:val="00F34377"/>
    <w:rsid w:val="00F354B1"/>
    <w:rsid w:val="00F545E6"/>
    <w:rsid w:val="00F57191"/>
    <w:rsid w:val="00F72869"/>
    <w:rsid w:val="00F77437"/>
    <w:rsid w:val="00F80D0E"/>
    <w:rsid w:val="00F816CC"/>
    <w:rsid w:val="00F90896"/>
    <w:rsid w:val="00FB0E4E"/>
    <w:rsid w:val="00FE40A1"/>
    <w:rsid w:val="00FE79FE"/>
    <w:rsid w:val="00FF4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colormru v:ext="edit" colors="#d62a47"/>
      <o:colormenu v:ext="edit" strokecolor="#d62a47"/>
    </o:shapedefaults>
    <o:shapelayout v:ext="edit">
      <o:idmap v:ext="edit" data="1"/>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1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57191"/>
    <w:pPr>
      <w:keepNext/>
      <w:keepLines/>
      <w:spacing w:before="480"/>
      <w:ind w:left="794" w:hanging="794"/>
      <w:outlineLvl w:val="0"/>
    </w:pPr>
    <w:rPr>
      <w:b/>
    </w:rPr>
  </w:style>
  <w:style w:type="paragraph" w:styleId="Heading2">
    <w:name w:val="heading 2"/>
    <w:basedOn w:val="Heading1"/>
    <w:next w:val="Normal"/>
    <w:link w:val="Heading2Char"/>
    <w:qFormat/>
    <w:rsid w:val="00F57191"/>
    <w:pPr>
      <w:spacing w:before="320"/>
      <w:outlineLvl w:val="1"/>
    </w:pPr>
  </w:style>
  <w:style w:type="paragraph" w:styleId="Heading3">
    <w:name w:val="heading 3"/>
    <w:basedOn w:val="Heading1"/>
    <w:next w:val="Normal"/>
    <w:link w:val="Heading3Char"/>
    <w:qFormat/>
    <w:rsid w:val="00F57191"/>
    <w:pPr>
      <w:spacing w:before="200"/>
      <w:outlineLvl w:val="2"/>
    </w:pPr>
  </w:style>
  <w:style w:type="paragraph" w:styleId="Heading4">
    <w:name w:val="heading 4"/>
    <w:basedOn w:val="Heading3"/>
    <w:next w:val="Normal"/>
    <w:link w:val="Heading4Char"/>
    <w:qFormat/>
    <w:rsid w:val="00F57191"/>
    <w:pPr>
      <w:tabs>
        <w:tab w:val="clear" w:pos="794"/>
        <w:tab w:val="left" w:pos="992"/>
      </w:tabs>
      <w:ind w:left="992" w:hanging="992"/>
      <w:outlineLvl w:val="3"/>
    </w:pPr>
  </w:style>
  <w:style w:type="paragraph" w:styleId="Heading5">
    <w:name w:val="heading 5"/>
    <w:basedOn w:val="Heading4"/>
    <w:next w:val="Normal"/>
    <w:link w:val="Heading5Char"/>
    <w:qFormat/>
    <w:rsid w:val="00F57191"/>
    <w:pPr>
      <w:outlineLvl w:val="4"/>
    </w:pPr>
  </w:style>
  <w:style w:type="paragraph" w:styleId="Heading6">
    <w:name w:val="heading 6"/>
    <w:basedOn w:val="Heading4"/>
    <w:next w:val="Normal"/>
    <w:link w:val="Heading6Char"/>
    <w:qFormat/>
    <w:rsid w:val="00F57191"/>
    <w:pPr>
      <w:tabs>
        <w:tab w:val="clear" w:pos="992"/>
        <w:tab w:val="clear" w:pos="1191"/>
      </w:tabs>
      <w:ind w:left="1588" w:hanging="1588"/>
      <w:outlineLvl w:val="5"/>
    </w:pPr>
  </w:style>
  <w:style w:type="paragraph" w:styleId="Heading7">
    <w:name w:val="heading 7"/>
    <w:basedOn w:val="Heading6"/>
    <w:next w:val="Normal"/>
    <w:link w:val="Heading7Char"/>
    <w:qFormat/>
    <w:rsid w:val="00F57191"/>
    <w:pPr>
      <w:outlineLvl w:val="6"/>
    </w:pPr>
  </w:style>
  <w:style w:type="paragraph" w:styleId="Heading8">
    <w:name w:val="heading 8"/>
    <w:basedOn w:val="Heading6"/>
    <w:next w:val="Normal"/>
    <w:link w:val="Heading8Char"/>
    <w:qFormat/>
    <w:rsid w:val="00F57191"/>
    <w:pPr>
      <w:outlineLvl w:val="7"/>
    </w:pPr>
  </w:style>
  <w:style w:type="paragraph" w:styleId="Heading9">
    <w:name w:val="heading 9"/>
    <w:basedOn w:val="Heading6"/>
    <w:next w:val="Normal"/>
    <w:link w:val="Heading9Char"/>
    <w:qFormat/>
    <w:rsid w:val="00F5719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57191"/>
    <w:pPr>
      <w:keepNext/>
      <w:keepLines/>
      <w:spacing w:after="280"/>
      <w:jc w:val="center"/>
    </w:pPr>
  </w:style>
  <w:style w:type="paragraph" w:customStyle="1" w:styleId="Blanc">
    <w:name w:val="Blanc"/>
    <w:basedOn w:val="Normal"/>
    <w:next w:val="Tabletext"/>
    <w:rsid w:val="00F5719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F57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F5719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5719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57191"/>
  </w:style>
  <w:style w:type="paragraph" w:customStyle="1" w:styleId="Headingb">
    <w:name w:val="Heading_b"/>
    <w:basedOn w:val="Heading3"/>
    <w:next w:val="Normal"/>
    <w:link w:val="HeadingbChar"/>
    <w:rsid w:val="00F57191"/>
    <w:pPr>
      <w:spacing w:before="160"/>
      <w:ind w:left="0" w:firstLine="0"/>
      <w:outlineLvl w:val="9"/>
    </w:pPr>
  </w:style>
  <w:style w:type="paragraph" w:customStyle="1" w:styleId="Headingi">
    <w:name w:val="Heading_i"/>
    <w:basedOn w:val="Heading3"/>
    <w:next w:val="Normal"/>
    <w:rsid w:val="00F57191"/>
    <w:pPr>
      <w:spacing w:before="160"/>
      <w:ind w:left="0" w:firstLine="0"/>
    </w:pPr>
    <w:rPr>
      <w:b w:val="0"/>
      <w:i/>
    </w:rPr>
  </w:style>
  <w:style w:type="character" w:customStyle="1" w:styleId="href">
    <w:name w:val="href"/>
    <w:basedOn w:val="DefaultParagraphFont"/>
    <w:rsid w:val="00F57191"/>
  </w:style>
  <w:style w:type="paragraph" w:customStyle="1" w:styleId="AnnexNoTitle">
    <w:name w:val="Annex_NoTitle"/>
    <w:basedOn w:val="Normal"/>
    <w:next w:val="Normalaftertitle"/>
    <w:link w:val="AnnexNoTitleChar1"/>
    <w:rsid w:val="00E51F1C"/>
    <w:pPr>
      <w:keepNext/>
      <w:keepLines/>
      <w:spacing w:before="480" w:after="80"/>
      <w:jc w:val="center"/>
      <w:outlineLvl w:val="0"/>
    </w:pPr>
    <w:rPr>
      <w:b/>
      <w:sz w:val="28"/>
    </w:rPr>
  </w:style>
  <w:style w:type="paragraph" w:customStyle="1" w:styleId="enumlev1">
    <w:name w:val="enumlev1"/>
    <w:basedOn w:val="Normal"/>
    <w:link w:val="enumlev1Char"/>
    <w:rsid w:val="00F57191"/>
    <w:pPr>
      <w:spacing w:before="80"/>
      <w:ind w:left="794" w:hanging="794"/>
    </w:pPr>
  </w:style>
  <w:style w:type="paragraph" w:customStyle="1" w:styleId="Equation">
    <w:name w:val="Equation"/>
    <w:basedOn w:val="Normal"/>
    <w:link w:val="EquationChar"/>
    <w:rsid w:val="00F57191"/>
    <w:pPr>
      <w:tabs>
        <w:tab w:val="clear" w:pos="1191"/>
        <w:tab w:val="clear" w:pos="1588"/>
        <w:tab w:val="clear" w:pos="1985"/>
        <w:tab w:val="center" w:pos="4820"/>
        <w:tab w:val="right" w:pos="9639"/>
      </w:tabs>
    </w:pPr>
  </w:style>
  <w:style w:type="paragraph" w:customStyle="1" w:styleId="enumlev2">
    <w:name w:val="enumlev2"/>
    <w:basedOn w:val="enumlev1"/>
    <w:rsid w:val="00F57191"/>
    <w:pPr>
      <w:ind w:left="1191" w:hanging="397"/>
    </w:pPr>
  </w:style>
  <w:style w:type="paragraph" w:styleId="FootnoteText">
    <w:name w:val="footnote text"/>
    <w:basedOn w:val="Normal"/>
    <w:link w:val="FootnoteTextChar"/>
    <w:rsid w:val="00F57191"/>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57191"/>
    <w:pPr>
      <w:spacing w:before="320"/>
    </w:pPr>
  </w:style>
  <w:style w:type="paragraph" w:customStyle="1" w:styleId="enumlev3">
    <w:name w:val="enumlev3"/>
    <w:basedOn w:val="enumlev2"/>
    <w:rsid w:val="00F57191"/>
    <w:pPr>
      <w:ind w:left="1588"/>
    </w:pPr>
  </w:style>
  <w:style w:type="paragraph" w:customStyle="1" w:styleId="Note">
    <w:name w:val="Note"/>
    <w:basedOn w:val="Normal"/>
    <w:link w:val="NoteChar"/>
    <w:rsid w:val="00F57191"/>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5719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57191"/>
    <w:pPr>
      <w:keepNext/>
      <w:keepLines/>
      <w:spacing w:before="240"/>
      <w:jc w:val="center"/>
    </w:pPr>
    <w:rPr>
      <w:b/>
      <w:sz w:val="28"/>
    </w:rPr>
  </w:style>
  <w:style w:type="paragraph" w:customStyle="1" w:styleId="Recref">
    <w:name w:val="Rec_ref"/>
    <w:basedOn w:val="Normal"/>
    <w:next w:val="Recdate"/>
    <w:rsid w:val="00F57191"/>
    <w:pPr>
      <w:jc w:val="center"/>
    </w:pPr>
  </w:style>
  <w:style w:type="paragraph" w:customStyle="1" w:styleId="Recdate">
    <w:name w:val="Rec_date"/>
    <w:basedOn w:val="Recref"/>
    <w:next w:val="Normalaftertitle"/>
    <w:rsid w:val="00F57191"/>
    <w:pPr>
      <w:jc w:val="right"/>
    </w:pPr>
  </w:style>
  <w:style w:type="paragraph" w:customStyle="1" w:styleId="HeadingSum">
    <w:name w:val="Heading_Sum"/>
    <w:basedOn w:val="Headingb"/>
    <w:next w:val="Normal"/>
    <w:autoRedefine/>
    <w:rsid w:val="00F57191"/>
    <w:pPr>
      <w:spacing w:before="240"/>
    </w:pPr>
    <w:rPr>
      <w:sz w:val="22"/>
      <w:lang w:val="es-ES_tradnl"/>
    </w:rPr>
  </w:style>
  <w:style w:type="paragraph" w:customStyle="1" w:styleId="AppendixNoTitle">
    <w:name w:val="Appendix_NoTitle"/>
    <w:basedOn w:val="AnnexNoTitle"/>
    <w:next w:val="Normal"/>
    <w:rsid w:val="00F57191"/>
  </w:style>
  <w:style w:type="paragraph" w:customStyle="1" w:styleId="Tablefin">
    <w:name w:val="Table_fin"/>
    <w:basedOn w:val="Normal"/>
    <w:next w:val="Normal"/>
    <w:rsid w:val="00F57191"/>
    <w:pPr>
      <w:spacing w:before="0"/>
    </w:pPr>
    <w:rPr>
      <w:sz w:val="20"/>
      <w:lang w:val="en-GB"/>
    </w:rPr>
  </w:style>
  <w:style w:type="paragraph" w:customStyle="1" w:styleId="Tablehead">
    <w:name w:val="Table_head"/>
    <w:basedOn w:val="Normal"/>
    <w:next w:val="Normal"/>
    <w:link w:val="TableheadChar"/>
    <w:rsid w:val="00F5719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57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57191"/>
    <w:pPr>
      <w:keepNext/>
      <w:spacing w:before="360" w:after="120"/>
      <w:jc w:val="center"/>
    </w:pPr>
  </w:style>
  <w:style w:type="paragraph" w:customStyle="1" w:styleId="Equationlegend">
    <w:name w:val="Equation_legend"/>
    <w:basedOn w:val="NormalIndent"/>
    <w:link w:val="EquationlegendChar"/>
    <w:rsid w:val="00F5719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57191"/>
    <w:pPr>
      <w:ind w:left="794"/>
    </w:pPr>
  </w:style>
  <w:style w:type="paragraph" w:customStyle="1" w:styleId="Figurelegend">
    <w:name w:val="Figure_legend"/>
    <w:basedOn w:val="Normal"/>
    <w:rsid w:val="00F5719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57191"/>
    <w:pPr>
      <w:keepNext/>
      <w:keepLines/>
      <w:spacing w:before="480" w:after="80"/>
      <w:jc w:val="center"/>
    </w:pPr>
    <w:rPr>
      <w:caps/>
      <w:sz w:val="18"/>
    </w:rPr>
  </w:style>
  <w:style w:type="paragraph" w:customStyle="1" w:styleId="Figuretitle">
    <w:name w:val="Figure_title"/>
    <w:basedOn w:val="Normal"/>
    <w:next w:val="Figure"/>
    <w:link w:val="FiguretitleChar"/>
    <w:rsid w:val="00F57191"/>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57191"/>
    <w:pPr>
      <w:keepNext w:val="0"/>
      <w:spacing w:before="0" w:after="240"/>
    </w:pPr>
  </w:style>
  <w:style w:type="paragraph" w:customStyle="1" w:styleId="tocpart">
    <w:name w:val="tocpart"/>
    <w:basedOn w:val="Normal"/>
    <w:rsid w:val="00F5719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57191"/>
    <w:pPr>
      <w:keepNext/>
      <w:keepLines/>
      <w:spacing w:before="480"/>
      <w:jc w:val="center"/>
    </w:pPr>
    <w:rPr>
      <w:sz w:val="28"/>
    </w:rPr>
  </w:style>
  <w:style w:type="paragraph" w:customStyle="1" w:styleId="Arttitle">
    <w:name w:val="Art_title"/>
    <w:basedOn w:val="Normal"/>
    <w:next w:val="Normalaftertitle"/>
    <w:link w:val="ArttitleCar"/>
    <w:rsid w:val="00F57191"/>
    <w:pPr>
      <w:keepNext/>
      <w:keepLines/>
      <w:spacing w:before="240"/>
      <w:jc w:val="center"/>
    </w:pPr>
    <w:rPr>
      <w:b/>
      <w:sz w:val="28"/>
    </w:rPr>
  </w:style>
  <w:style w:type="paragraph" w:customStyle="1" w:styleId="ASN1">
    <w:name w:val="ASN.1"/>
    <w:basedOn w:val="Normal"/>
    <w:next w:val="Normal"/>
    <w:rsid w:val="00F5719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57191"/>
    <w:pPr>
      <w:keepNext/>
      <w:keepLines/>
      <w:spacing w:before="160"/>
      <w:ind w:left="794"/>
    </w:pPr>
    <w:rPr>
      <w:i/>
    </w:rPr>
  </w:style>
  <w:style w:type="paragraph" w:customStyle="1" w:styleId="ChapNo">
    <w:name w:val="Chap_No"/>
    <w:basedOn w:val="ArtNo"/>
    <w:next w:val="Chaptitle"/>
    <w:rsid w:val="00F57191"/>
    <w:rPr>
      <w:b/>
    </w:rPr>
  </w:style>
  <w:style w:type="character" w:styleId="FootnoteReference">
    <w:name w:val="footnote reference"/>
    <w:basedOn w:val="DefaultParagraphFont"/>
    <w:rsid w:val="00F57191"/>
    <w:rPr>
      <w:position w:val="6"/>
      <w:sz w:val="18"/>
    </w:rPr>
  </w:style>
  <w:style w:type="paragraph" w:styleId="Index1">
    <w:name w:val="index 1"/>
    <w:basedOn w:val="Normal"/>
    <w:next w:val="Normal"/>
    <w:rsid w:val="00F57191"/>
  </w:style>
  <w:style w:type="paragraph" w:styleId="Index2">
    <w:name w:val="index 2"/>
    <w:basedOn w:val="Normal"/>
    <w:next w:val="Normal"/>
    <w:rsid w:val="00F57191"/>
    <w:pPr>
      <w:ind w:left="283"/>
    </w:pPr>
  </w:style>
  <w:style w:type="paragraph" w:styleId="Index3">
    <w:name w:val="index 3"/>
    <w:basedOn w:val="Normal"/>
    <w:next w:val="Normal"/>
    <w:rsid w:val="00F57191"/>
    <w:pPr>
      <w:ind w:left="566"/>
    </w:pPr>
  </w:style>
  <w:style w:type="paragraph" w:styleId="IndexHeading">
    <w:name w:val="index heading"/>
    <w:basedOn w:val="Normal"/>
    <w:next w:val="Index1"/>
    <w:rsid w:val="00F57191"/>
  </w:style>
  <w:style w:type="paragraph" w:customStyle="1" w:styleId="Line">
    <w:name w:val="Line"/>
    <w:basedOn w:val="Normal"/>
    <w:next w:val="Normal"/>
    <w:rsid w:val="00F5719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5719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57191"/>
  </w:style>
  <w:style w:type="paragraph" w:customStyle="1" w:styleId="Partref">
    <w:name w:val="Part_ref"/>
    <w:basedOn w:val="Normal"/>
    <w:next w:val="Normal"/>
    <w:rsid w:val="00F57191"/>
    <w:pPr>
      <w:keepNext/>
      <w:keepLines/>
      <w:spacing w:after="280"/>
      <w:jc w:val="center"/>
    </w:pPr>
  </w:style>
  <w:style w:type="paragraph" w:customStyle="1" w:styleId="Parttitle">
    <w:name w:val="Part_title"/>
    <w:basedOn w:val="Normal"/>
    <w:next w:val="Normalaftertitle"/>
    <w:rsid w:val="00F5719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57191"/>
  </w:style>
  <w:style w:type="paragraph" w:customStyle="1" w:styleId="QuestionNo">
    <w:name w:val="Question_No"/>
    <w:basedOn w:val="RecNo"/>
    <w:next w:val="Normal"/>
    <w:rsid w:val="00F57191"/>
  </w:style>
  <w:style w:type="paragraph" w:customStyle="1" w:styleId="Questionref">
    <w:name w:val="Question_ref"/>
    <w:basedOn w:val="Recref"/>
    <w:next w:val="Questiondate"/>
    <w:rsid w:val="00F57191"/>
  </w:style>
  <w:style w:type="paragraph" w:customStyle="1" w:styleId="Questiontitle">
    <w:name w:val="Question_title"/>
    <w:basedOn w:val="Normal"/>
    <w:next w:val="Questionref"/>
    <w:rsid w:val="00F57191"/>
  </w:style>
  <w:style w:type="paragraph" w:customStyle="1" w:styleId="Reftext">
    <w:name w:val="Ref_text"/>
    <w:basedOn w:val="Normal"/>
    <w:rsid w:val="00F57191"/>
    <w:pPr>
      <w:ind w:left="794" w:hanging="794"/>
    </w:pPr>
    <w:rPr>
      <w:sz w:val="22"/>
    </w:rPr>
  </w:style>
  <w:style w:type="paragraph" w:customStyle="1" w:styleId="Reftitle">
    <w:name w:val="Ref_title"/>
    <w:basedOn w:val="Normal"/>
    <w:next w:val="Reftext"/>
    <w:rsid w:val="00F5719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57191"/>
  </w:style>
  <w:style w:type="paragraph" w:customStyle="1" w:styleId="RepNo">
    <w:name w:val="Rep_No"/>
    <w:basedOn w:val="RecNo"/>
    <w:next w:val="Reptitle"/>
    <w:rsid w:val="00F57191"/>
  </w:style>
  <w:style w:type="paragraph" w:customStyle="1" w:styleId="Reptitle">
    <w:name w:val="Rep_title"/>
    <w:basedOn w:val="Rectitle"/>
    <w:next w:val="Repref"/>
    <w:rsid w:val="00F57191"/>
  </w:style>
  <w:style w:type="paragraph" w:customStyle="1" w:styleId="Repref">
    <w:name w:val="Rep_ref"/>
    <w:basedOn w:val="Recref"/>
    <w:next w:val="Repdate"/>
    <w:rsid w:val="00F57191"/>
  </w:style>
  <w:style w:type="paragraph" w:customStyle="1" w:styleId="Resdate">
    <w:name w:val="Res_date"/>
    <w:basedOn w:val="Recdate"/>
    <w:next w:val="Normalaftertitle"/>
    <w:rsid w:val="00F57191"/>
  </w:style>
  <w:style w:type="paragraph" w:customStyle="1" w:styleId="ResNo">
    <w:name w:val="Res_No"/>
    <w:basedOn w:val="RecNo"/>
    <w:next w:val="Restitle"/>
    <w:link w:val="ResNoChar"/>
    <w:rsid w:val="00F57191"/>
  </w:style>
  <w:style w:type="paragraph" w:customStyle="1" w:styleId="Restitle">
    <w:name w:val="Res_title"/>
    <w:basedOn w:val="Normal"/>
    <w:next w:val="Resref"/>
    <w:link w:val="RestitleChar"/>
    <w:rsid w:val="00F57191"/>
    <w:pPr>
      <w:spacing w:before="240"/>
      <w:jc w:val="center"/>
    </w:pPr>
    <w:rPr>
      <w:b/>
      <w:sz w:val="28"/>
    </w:rPr>
  </w:style>
  <w:style w:type="paragraph" w:customStyle="1" w:styleId="Resref">
    <w:name w:val="Res_ref"/>
    <w:basedOn w:val="Recref"/>
    <w:next w:val="Resdate"/>
    <w:rsid w:val="00F57191"/>
  </w:style>
  <w:style w:type="paragraph" w:customStyle="1" w:styleId="SectionNo">
    <w:name w:val="Section_No"/>
    <w:basedOn w:val="Normal"/>
    <w:next w:val="Normal"/>
    <w:rsid w:val="00F57191"/>
  </w:style>
  <w:style w:type="paragraph" w:customStyle="1" w:styleId="Sectiontitle">
    <w:name w:val="Section_title"/>
    <w:basedOn w:val="Normal"/>
    <w:next w:val="Normalaftertitle"/>
    <w:rsid w:val="00F5719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57191"/>
    <w:pPr>
      <w:tabs>
        <w:tab w:val="clear" w:pos="794"/>
        <w:tab w:val="clear" w:pos="1191"/>
        <w:tab w:val="clear" w:pos="1588"/>
        <w:tab w:val="clear" w:pos="1985"/>
        <w:tab w:val="right" w:pos="9611"/>
      </w:tabs>
    </w:pPr>
    <w:rPr>
      <w:i/>
    </w:rPr>
  </w:style>
  <w:style w:type="paragraph" w:styleId="TOC1">
    <w:name w:val="toc 1"/>
    <w:basedOn w:val="Normal"/>
    <w:rsid w:val="00F5719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57191"/>
    <w:pPr>
      <w:tabs>
        <w:tab w:val="clear" w:pos="567"/>
        <w:tab w:val="left" w:pos="1276"/>
      </w:tabs>
      <w:spacing w:before="160"/>
      <w:ind w:left="1276" w:hanging="709"/>
    </w:pPr>
  </w:style>
  <w:style w:type="paragraph" w:styleId="TOC3">
    <w:name w:val="toc 3"/>
    <w:basedOn w:val="TOC2"/>
    <w:rsid w:val="00F57191"/>
    <w:pPr>
      <w:tabs>
        <w:tab w:val="clear" w:pos="1276"/>
        <w:tab w:val="left" w:pos="2155"/>
      </w:tabs>
      <w:ind w:left="2155" w:hanging="879"/>
    </w:pPr>
  </w:style>
  <w:style w:type="paragraph" w:styleId="TOC4">
    <w:name w:val="toc 4"/>
    <w:basedOn w:val="TOC3"/>
    <w:rsid w:val="00F57191"/>
    <w:pPr>
      <w:tabs>
        <w:tab w:val="left" w:pos="3261"/>
      </w:tabs>
      <w:spacing w:before="80"/>
      <w:ind w:left="3261" w:hanging="993"/>
    </w:pPr>
  </w:style>
  <w:style w:type="paragraph" w:styleId="TOC5">
    <w:name w:val="toc 5"/>
    <w:basedOn w:val="TOC4"/>
    <w:rsid w:val="00F57191"/>
  </w:style>
  <w:style w:type="paragraph" w:styleId="TOC6">
    <w:name w:val="toc 6"/>
    <w:basedOn w:val="TOC4"/>
    <w:rsid w:val="00F57191"/>
  </w:style>
  <w:style w:type="paragraph" w:styleId="TOC7">
    <w:name w:val="toc 7"/>
    <w:basedOn w:val="TOC4"/>
    <w:rsid w:val="00F57191"/>
  </w:style>
  <w:style w:type="paragraph" w:styleId="TOC8">
    <w:name w:val="toc 8"/>
    <w:basedOn w:val="TOC4"/>
    <w:rsid w:val="00F57191"/>
  </w:style>
  <w:style w:type="paragraph" w:customStyle="1" w:styleId="Appendixref">
    <w:name w:val="Appendix_ref"/>
    <w:basedOn w:val="Annexref"/>
    <w:next w:val="Normalaftertitle"/>
    <w:rsid w:val="00F57191"/>
  </w:style>
  <w:style w:type="paragraph" w:customStyle="1" w:styleId="Tabletitle">
    <w:name w:val="Table_title"/>
    <w:basedOn w:val="Normal"/>
    <w:next w:val="Tablehead"/>
    <w:link w:val="TabletitleChar"/>
    <w:rsid w:val="00F57191"/>
    <w:pPr>
      <w:keepNext/>
      <w:spacing w:before="0" w:after="120"/>
      <w:jc w:val="center"/>
    </w:pPr>
    <w:rPr>
      <w:b/>
    </w:rPr>
  </w:style>
  <w:style w:type="paragraph" w:customStyle="1" w:styleId="Summary">
    <w:name w:val="Summary"/>
    <w:basedOn w:val="Normal"/>
    <w:next w:val="Normalaftertitle"/>
    <w:autoRedefine/>
    <w:rsid w:val="00F57191"/>
    <w:rPr>
      <w:sz w:val="22"/>
      <w:lang w:val="es-ES_tradnl"/>
    </w:rPr>
  </w:style>
  <w:style w:type="character" w:styleId="Hyperlink">
    <w:name w:val="Hyperlink"/>
    <w:aliases w:val="CEO_Hyperlink,超级链接,ECC Hyperlink,超?级链,Style 58,超????,하이퍼링크2,超链接1,超?级链?,Style?,S,하이퍼링크21"/>
    <w:basedOn w:val="DefaultParagraphFont"/>
    <w:qFormat/>
    <w:rsid w:val="00934ED7"/>
    <w:rPr>
      <w:color w:val="0000FF"/>
      <w:u w:val="single"/>
    </w:rPr>
  </w:style>
  <w:style w:type="paragraph" w:customStyle="1" w:styleId="Chaptitle">
    <w:name w:val="Chap_title"/>
    <w:basedOn w:val="Arttitle"/>
    <w:next w:val="Normalaftertitle"/>
    <w:rsid w:val="00F57191"/>
  </w:style>
  <w:style w:type="paragraph" w:customStyle="1" w:styleId="TableLegendNote">
    <w:name w:val="Table_Legend_Note"/>
    <w:basedOn w:val="Tablelegend"/>
    <w:next w:val="Tablelegend"/>
    <w:rsid w:val="00F57191"/>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qForma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qFormat/>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qFormat/>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qFormat/>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qFormat/>
    <w:locked/>
    <w:rsid w:val="00EE754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E51F1C"/>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b/>
      <w:sz w:val="24"/>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caps/>
      <w:sz w:val="18"/>
      <w:lang w:val="fr-FR" w:eastAsia="en-US"/>
    </w:rPr>
  </w:style>
  <w:style w:type="paragraph" w:customStyle="1" w:styleId="Tablehead10pt">
    <w:name w:val="Table_head + 10 pt"/>
    <w:basedOn w:val="Tablehead"/>
    <w:rsid w:val="00E10ECA"/>
    <w:rPr>
      <w:rFonts w:ascii="CG Times" w:hAnsi="CG Times"/>
      <w:bCs/>
      <w:sz w:val="20"/>
    </w:rPr>
  </w:style>
  <w:style w:type="paragraph" w:customStyle="1" w:styleId="Tabletext10pt">
    <w:name w:val="Table_text + 10 pt"/>
    <w:basedOn w:val="Tabletext"/>
    <w:rsid w:val="00E10ECA"/>
    <w:rPr>
      <w:rFonts w:ascii="CG Times" w:hAnsi="CG Times"/>
      <w:sz w:val="20"/>
    </w:rPr>
  </w:style>
  <w:style w:type="character" w:customStyle="1" w:styleId="ECCHLbold">
    <w:name w:val="ECC HL bold"/>
    <w:uiPriority w:val="1"/>
    <w:qFormat/>
    <w:rsid w:val="00F5719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www.itu.int/rec/R-REC-P.1546/en"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itu.int/rec/R-REC-V.573/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s://www.itu.int/rec/R-REC-SM.1875/en" TargetMode="External"/><Relationship Id="rId25" Type="http://schemas.openxmlformats.org/officeDocument/2006/relationships/hyperlink" Target="https://www.itu.int/rec/R-REC-SM.1875/e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P.525/en" TargetMode="Externa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tu.int/rec/R-REC-P.525/en"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itu.int/rec/R-REC-P.1812/en" TargetMode="External"/><Relationship Id="rId23" Type="http://schemas.openxmlformats.org/officeDocument/2006/relationships/hyperlink" Target="https://www.itu.int/rec/R-REC-P.1812/en" TargetMode="External"/><Relationship Id="rId28"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https://www.itu.int/rec/R-REC-P.1812/en"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rec/R-REC-P.1546/en" TargetMode="External"/><Relationship Id="rId22" Type="http://schemas.openxmlformats.org/officeDocument/2006/relationships/hyperlink" Target="https://www.itu.int/rec/R-REC-P.1546/en" TargetMode="External"/><Relationship Id="rId27" Type="http://schemas.openxmlformats.org/officeDocument/2006/relationships/hyperlink" Target="https://www.itu.int/rec/R-REC-P.1546/en" TargetMode="External"/><Relationship Id="rId30" Type="http://schemas.openxmlformats.org/officeDocument/2006/relationships/image" Target="media/image7.jpeg"/><Relationship Id="rId8"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F6EDB-BEF7-4215-BBAF-4E9D11177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1245</TotalTime>
  <Pages>15</Pages>
  <Words>4245</Words>
  <Characters>24199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REPORT  ITU-R  SM.2504-0 - Methods for the estimation of coverage  for terrestrial radio services  based on population</vt:lpstr>
    </vt:vector>
  </TitlesOfParts>
  <Manager/>
  <Company>ITU</Company>
  <LinksUpToDate>false</LinksUpToDate>
  <CharactersWithSpaces>28388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SM.2504-0 - Methods for the estimation of coverage  for terrestrial radio services  based on population</dc:title>
  <dc:subject>SM Series = Spectrum management</dc:subject>
  <dc:creator>ITU Radiocommunication Bureau (BR)</dc:creator>
  <cp:keywords>SM,2504-0</cp:keywords>
  <dc:description>Gachetc, 05/08/2022, ITU51013811</dc:description>
  <cp:lastModifiedBy>Gomez, Yoanni</cp:lastModifiedBy>
  <cp:revision>67</cp:revision>
  <cp:lastPrinted>2009-07-02T14:41:00Z</cp:lastPrinted>
  <dcterms:created xsi:type="dcterms:W3CDTF">2010-07-23T08:25:00Z</dcterms:created>
  <dcterms:modified xsi:type="dcterms:W3CDTF">2022-08-08T12:41:00Z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