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0DC3F" w14:textId="77777777" w:rsidR="005632C0" w:rsidRDefault="005632C0" w:rsidP="005632C0">
      <w:bookmarkStart w:id="0" w:name="irecnoe"/>
      <w:bookmarkEnd w:id="0"/>
    </w:p>
    <w:p w14:paraId="7AEE1155" w14:textId="77777777" w:rsidR="005632C0" w:rsidRDefault="005632C0" w:rsidP="005632C0"/>
    <w:p w14:paraId="1A1BEFC7" w14:textId="77777777" w:rsidR="005632C0" w:rsidRDefault="005632C0" w:rsidP="005632C0"/>
    <w:p w14:paraId="3CCA6F8C" w14:textId="77777777" w:rsidR="005632C0" w:rsidRDefault="005632C0" w:rsidP="005632C0"/>
    <w:p w14:paraId="3D2627EC" w14:textId="77777777" w:rsidR="005632C0" w:rsidRDefault="005632C0" w:rsidP="005632C0"/>
    <w:p w14:paraId="7BD66F4F" w14:textId="77777777" w:rsidR="005632C0" w:rsidRDefault="005632C0" w:rsidP="005632C0"/>
    <w:p w14:paraId="6C791D16" w14:textId="77777777" w:rsidR="005632C0" w:rsidRDefault="005632C0" w:rsidP="005632C0"/>
    <w:p w14:paraId="7D5DCAB3" w14:textId="77777777" w:rsidR="005632C0" w:rsidRDefault="005632C0" w:rsidP="005632C0"/>
    <w:p w14:paraId="12364305" w14:textId="77777777" w:rsidR="00F261A0" w:rsidRDefault="00F261A0" w:rsidP="005632C0"/>
    <w:p w14:paraId="61C79CF6" w14:textId="77777777" w:rsidR="005632C0" w:rsidRDefault="005632C0" w:rsidP="005632C0"/>
    <w:p w14:paraId="41DD7EC8" w14:textId="77777777" w:rsidR="005632C0" w:rsidRDefault="005632C0" w:rsidP="005632C0"/>
    <w:p w14:paraId="69558A55" w14:textId="77777777" w:rsidR="005632C0" w:rsidRDefault="005632C0" w:rsidP="005632C0"/>
    <w:tbl>
      <w:tblPr>
        <w:tblW w:w="10089" w:type="dxa"/>
        <w:tblLook w:val="01E0" w:firstRow="1" w:lastRow="1" w:firstColumn="1" w:lastColumn="1" w:noHBand="0" w:noVBand="0"/>
      </w:tblPr>
      <w:tblGrid>
        <w:gridCol w:w="10089"/>
      </w:tblGrid>
      <w:tr w:rsidR="005632C0" w:rsidRPr="00CA109F" w14:paraId="6231E6A4" w14:textId="77777777" w:rsidTr="00CA109F">
        <w:tc>
          <w:tcPr>
            <w:tcW w:w="10089" w:type="dxa"/>
          </w:tcPr>
          <w:p w14:paraId="11A8CA41" w14:textId="77777777" w:rsidR="005632C0" w:rsidRPr="00CA109F" w:rsidRDefault="005632C0" w:rsidP="00CA109F">
            <w:pPr>
              <w:spacing w:before="380" w:line="280" w:lineRule="exact"/>
              <w:jc w:val="right"/>
              <w:rPr>
                <w:rFonts w:ascii="Tahoma" w:hAnsi="Tahoma" w:cs="Tahoma"/>
                <w:b/>
                <w:bCs/>
                <w:iCs/>
                <w:color w:val="509141"/>
                <w:sz w:val="32"/>
                <w:szCs w:val="32"/>
                <w:lang w:val="en-US"/>
              </w:rPr>
            </w:pPr>
          </w:p>
          <w:p w14:paraId="1363DE42" w14:textId="68527F14" w:rsidR="005632C0" w:rsidRPr="005D41C4" w:rsidRDefault="005632C0" w:rsidP="00CA109F">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B25420" w:rsidRPr="00642757">
              <w:rPr>
                <w:rFonts w:ascii="Tahoma" w:hAnsi="Tahoma" w:cs="Tahoma"/>
                <w:b/>
                <w:bCs/>
                <w:iCs/>
                <w:color w:val="509141"/>
                <w:sz w:val="36"/>
                <w:szCs w:val="36"/>
                <w:lang w:val="es-ES"/>
              </w:rPr>
              <w:t>2504-0</w:t>
            </w:r>
            <w:r w:rsidRPr="005D41C4">
              <w:rPr>
                <w:rFonts w:ascii="Tahoma" w:hAnsi="Tahoma" w:cs="Tahoma"/>
                <w:b/>
                <w:bCs/>
                <w:iCs/>
                <w:color w:val="509141"/>
                <w:sz w:val="36"/>
                <w:szCs w:val="36"/>
                <w:lang w:val="fr-CH"/>
              </w:rPr>
              <w:t xml:space="preserve">  </w:t>
            </w:r>
          </w:p>
          <w:p w14:paraId="795237C1" w14:textId="7ED3B230" w:rsidR="005632C0" w:rsidRPr="005D41C4" w:rsidRDefault="005632C0" w:rsidP="00F261A0">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B25420" w:rsidRPr="00642757">
              <w:rPr>
                <w:rFonts w:ascii="Tahoma" w:hAnsi="Tahoma" w:cs="Tahoma"/>
                <w:b/>
                <w:bCs/>
                <w:iCs/>
                <w:color w:val="509141"/>
                <w:szCs w:val="24"/>
                <w:lang w:val="es-ES"/>
              </w:rPr>
              <w:t>07/2022</w:t>
            </w:r>
            <w:r w:rsidRPr="005D41C4">
              <w:rPr>
                <w:rFonts w:ascii="Tahoma" w:hAnsi="Tahoma" w:cs="Tahoma"/>
                <w:b/>
                <w:bCs/>
                <w:iCs/>
                <w:color w:val="509141"/>
                <w:szCs w:val="24"/>
                <w:lang w:val="fr-CH"/>
              </w:rPr>
              <w:t>)</w:t>
            </w:r>
          </w:p>
        </w:tc>
      </w:tr>
      <w:tr w:rsidR="005632C0" w:rsidRPr="005E5A77" w14:paraId="3725EB93" w14:textId="77777777" w:rsidTr="00CA109F">
        <w:tc>
          <w:tcPr>
            <w:tcW w:w="10089" w:type="dxa"/>
          </w:tcPr>
          <w:p w14:paraId="707F0A23" w14:textId="77777777" w:rsidR="00F261A0" w:rsidRPr="005E5A77" w:rsidRDefault="00F261A0" w:rsidP="00CA109F">
            <w:pPr>
              <w:spacing w:before="80" w:line="500" w:lineRule="exact"/>
              <w:jc w:val="right"/>
              <w:rPr>
                <w:rFonts w:ascii="Tahoma" w:hAnsi="Tahoma" w:cs="Tahoma"/>
                <w:b/>
                <w:bCs/>
                <w:iCs/>
                <w:color w:val="509141"/>
                <w:sz w:val="44"/>
                <w:szCs w:val="44"/>
                <w:lang w:val="es-ES"/>
              </w:rPr>
            </w:pPr>
          </w:p>
          <w:p w14:paraId="24DB08B2" w14:textId="77777777" w:rsidR="005632C0" w:rsidRDefault="00B25420" w:rsidP="00BE46FB">
            <w:pPr>
              <w:spacing w:before="80" w:line="500" w:lineRule="exact"/>
              <w:jc w:val="right"/>
              <w:rPr>
                <w:rFonts w:ascii="Tahoma" w:hAnsi="Tahoma" w:cs="Tahoma"/>
                <w:b/>
                <w:bCs/>
                <w:iCs/>
                <w:color w:val="509141"/>
                <w:sz w:val="44"/>
                <w:szCs w:val="44"/>
                <w:lang w:val="es-ES_tradnl"/>
              </w:rPr>
            </w:pPr>
            <w:r w:rsidRPr="00B25420">
              <w:rPr>
                <w:rFonts w:ascii="Tahoma" w:hAnsi="Tahoma" w:cs="Tahoma"/>
                <w:b/>
                <w:bCs/>
                <w:iCs/>
                <w:color w:val="509141"/>
                <w:sz w:val="44"/>
                <w:szCs w:val="44"/>
                <w:lang w:val="es-ES_tradnl"/>
              </w:rPr>
              <w:t>Métodos de estimación de la cobertura de servicios de radiocomunicaciones terrenales basados en la población</w:t>
            </w:r>
          </w:p>
          <w:p w14:paraId="18E976D2" w14:textId="77777777" w:rsidR="00B25420" w:rsidRDefault="00B25420" w:rsidP="00BE46FB">
            <w:pPr>
              <w:spacing w:before="80" w:line="500" w:lineRule="exact"/>
              <w:jc w:val="right"/>
              <w:rPr>
                <w:rFonts w:ascii="Tahoma" w:hAnsi="Tahoma" w:cs="Tahoma"/>
                <w:b/>
                <w:bCs/>
                <w:iCs/>
                <w:color w:val="509141"/>
                <w:sz w:val="44"/>
                <w:szCs w:val="44"/>
                <w:lang w:val="es-ES_tradnl"/>
              </w:rPr>
            </w:pPr>
          </w:p>
          <w:p w14:paraId="54B4CCE9" w14:textId="229DC05D" w:rsidR="0082148C" w:rsidRPr="00CA109F" w:rsidRDefault="0082148C" w:rsidP="00BE46FB">
            <w:pPr>
              <w:spacing w:before="80" w:line="500" w:lineRule="exact"/>
              <w:jc w:val="right"/>
              <w:rPr>
                <w:rFonts w:ascii="Tahoma" w:hAnsi="Tahoma" w:cs="Tahoma"/>
                <w:b/>
                <w:bCs/>
                <w:iCs/>
                <w:color w:val="509141"/>
                <w:sz w:val="44"/>
                <w:szCs w:val="44"/>
                <w:lang w:val="es-ES_tradnl"/>
              </w:rPr>
            </w:pPr>
          </w:p>
        </w:tc>
      </w:tr>
      <w:tr w:rsidR="005632C0" w:rsidRPr="005E5A77" w14:paraId="0F61D433" w14:textId="77777777" w:rsidTr="00CA109F">
        <w:tc>
          <w:tcPr>
            <w:tcW w:w="10089" w:type="dxa"/>
          </w:tcPr>
          <w:p w14:paraId="44CB3394"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4286920D"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3F9DDC08" w14:textId="77777777" w:rsidR="00F261A0" w:rsidRPr="003353FE" w:rsidRDefault="00F261A0" w:rsidP="00F261A0">
            <w:pPr>
              <w:spacing w:before="80" w:line="280" w:lineRule="exact"/>
              <w:ind w:right="640"/>
              <w:rPr>
                <w:rFonts w:ascii="Tahoma" w:hAnsi="Tahoma" w:cs="Tahoma"/>
                <w:b/>
                <w:bCs/>
                <w:iCs/>
                <w:color w:val="509141"/>
                <w:sz w:val="32"/>
                <w:szCs w:val="32"/>
                <w:lang w:val="es-ES_tradnl"/>
              </w:rPr>
            </w:pPr>
          </w:p>
          <w:p w14:paraId="260EFA8C" w14:textId="77777777"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14:paraId="27AE85F5" w14:textId="77777777"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14:paraId="6D55CB36" w14:textId="77777777"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14:paraId="37166C7D" w14:textId="77777777" w:rsidR="005632C0" w:rsidRPr="00AF1597" w:rsidRDefault="005632C0" w:rsidP="005632C0">
      <w:pPr>
        <w:spacing w:before="80"/>
        <w:rPr>
          <w:i/>
          <w:sz w:val="22"/>
          <w:lang w:val="es-ES_tradnl"/>
        </w:rPr>
      </w:pPr>
    </w:p>
    <w:p w14:paraId="724CC795" w14:textId="77777777" w:rsidR="005632C0" w:rsidRPr="00AF1597" w:rsidRDefault="005632C0" w:rsidP="005632C0">
      <w:pPr>
        <w:spacing w:before="80"/>
        <w:rPr>
          <w:i/>
          <w:sz w:val="22"/>
          <w:lang w:val="es-ES_tradnl"/>
        </w:rPr>
      </w:pPr>
    </w:p>
    <w:p w14:paraId="0691869C" w14:textId="77777777" w:rsidR="005632C0" w:rsidRPr="00AF1597" w:rsidRDefault="005632C0" w:rsidP="005632C0">
      <w:pPr>
        <w:spacing w:before="80"/>
        <w:rPr>
          <w:i/>
          <w:sz w:val="22"/>
          <w:lang w:val="es-ES_tradnl"/>
        </w:rPr>
      </w:pPr>
    </w:p>
    <w:p w14:paraId="17E5BC4E" w14:textId="77777777" w:rsidR="005632C0" w:rsidRPr="00AF1597" w:rsidRDefault="005632C0" w:rsidP="005632C0">
      <w:pPr>
        <w:spacing w:before="80"/>
        <w:rPr>
          <w:i/>
          <w:sz w:val="22"/>
          <w:lang w:val="es-ES_tradnl"/>
        </w:rPr>
      </w:pPr>
    </w:p>
    <w:p w14:paraId="6375C790" w14:textId="77777777" w:rsidR="005632C0" w:rsidRPr="00AF1597" w:rsidRDefault="005632C0" w:rsidP="005632C0">
      <w:pPr>
        <w:spacing w:before="80"/>
        <w:rPr>
          <w:i/>
          <w:sz w:val="22"/>
          <w:lang w:val="es-ES_tradnl"/>
        </w:rPr>
      </w:pPr>
    </w:p>
    <w:p w14:paraId="3875C73D" w14:textId="77777777" w:rsidR="005632C0" w:rsidRPr="00AF1597" w:rsidRDefault="005632C0" w:rsidP="005632C0">
      <w:pPr>
        <w:spacing w:before="80"/>
        <w:rPr>
          <w:i/>
          <w:sz w:val="22"/>
          <w:lang w:val="es-ES_tradnl"/>
        </w:rPr>
      </w:pPr>
    </w:p>
    <w:p w14:paraId="19694687" w14:textId="77777777"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headerReference w:type="even" r:id="rId7"/>
          <w:headerReference w:type="default" r:id="rId8"/>
          <w:pgSz w:w="11907" w:h="16840" w:code="9"/>
          <w:pgMar w:top="1089" w:right="1089" w:bottom="284" w:left="1089" w:header="567" w:footer="284" w:gutter="0"/>
          <w:pgNumType w:start="1"/>
          <w:cols w:space="720"/>
        </w:sectPr>
      </w:pPr>
    </w:p>
    <w:p w14:paraId="76C37AF0" w14:textId="77777777"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14:paraId="4450377B" w14:textId="77777777"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46D51E8" w14:textId="2E3B6500"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0EC2486" w14:textId="77777777" w:rsidR="005632C0" w:rsidRDefault="005632C0" w:rsidP="005632C0">
      <w:pPr>
        <w:spacing w:before="0"/>
        <w:rPr>
          <w:sz w:val="20"/>
          <w:lang w:val="es-ES_tradnl"/>
        </w:rPr>
      </w:pPr>
    </w:p>
    <w:p w14:paraId="7E41EA17" w14:textId="77777777" w:rsidR="005632C0" w:rsidRPr="006C718C" w:rsidRDefault="005632C0" w:rsidP="005632C0">
      <w:pPr>
        <w:spacing w:before="0"/>
        <w:rPr>
          <w:sz w:val="20"/>
          <w:lang w:val="es-ES_tradnl"/>
        </w:rPr>
      </w:pPr>
    </w:p>
    <w:p w14:paraId="41BE6426" w14:textId="77777777" w:rsidR="005632C0" w:rsidRPr="00021E8A" w:rsidRDefault="005632C0" w:rsidP="005632C0">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4014EB7C" w14:textId="77777777" w:rsidR="005632C0" w:rsidRPr="00021E8A" w:rsidRDefault="005632C0" w:rsidP="00B0144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7D9ABA2D" w14:textId="77777777" w:rsidR="005632C0" w:rsidRDefault="005632C0" w:rsidP="005632C0">
      <w:pPr>
        <w:spacing w:before="0"/>
        <w:jc w:val="center"/>
        <w:rPr>
          <w:sz w:val="22"/>
          <w:lang w:val="es-ES_tradnl"/>
        </w:rPr>
      </w:pPr>
    </w:p>
    <w:p w14:paraId="33E55127" w14:textId="77777777" w:rsidR="005632C0" w:rsidRPr="007C36CA" w:rsidRDefault="005632C0" w:rsidP="005632C0">
      <w:pPr>
        <w:spacing w:before="0"/>
        <w:jc w:val="center"/>
        <w:rPr>
          <w:sz w:val="22"/>
          <w:lang w:val="es-ES_tradnl"/>
        </w:rPr>
      </w:pPr>
    </w:p>
    <w:p w14:paraId="7F6701EE" w14:textId="77777777"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5E5A77" w14:paraId="0A6C97B6" w14:textId="77777777" w:rsidTr="00474D58">
        <w:tc>
          <w:tcPr>
            <w:tcW w:w="9360" w:type="dxa"/>
            <w:gridSpan w:val="2"/>
          </w:tcPr>
          <w:p w14:paraId="2DC21394" w14:textId="77777777"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0975E205" w14:textId="77777777"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14:paraId="1BEF2241" w14:textId="77777777" w:rsidTr="00EC62B0">
        <w:tc>
          <w:tcPr>
            <w:tcW w:w="1140" w:type="dxa"/>
            <w:tcBorders>
              <w:bottom w:val="nil"/>
            </w:tcBorders>
          </w:tcPr>
          <w:p w14:paraId="0304D5F2" w14:textId="77777777"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14:paraId="6B905A8F" w14:textId="77777777"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14:paraId="21E6167A" w14:textId="77777777" w:rsidTr="00F12544">
        <w:tc>
          <w:tcPr>
            <w:tcW w:w="1140" w:type="dxa"/>
            <w:tcBorders>
              <w:top w:val="nil"/>
              <w:bottom w:val="nil"/>
            </w:tcBorders>
            <w:shd w:val="clear" w:color="auto" w:fill="auto"/>
          </w:tcPr>
          <w:p w14:paraId="4001DD39" w14:textId="77777777"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2290A3BC" w14:textId="77777777"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5E5A77" w14:paraId="41771CA8" w14:textId="77777777" w:rsidTr="00B11D5D">
        <w:tc>
          <w:tcPr>
            <w:tcW w:w="1140" w:type="dxa"/>
            <w:tcBorders>
              <w:top w:val="nil"/>
              <w:bottom w:val="nil"/>
            </w:tcBorders>
            <w:shd w:val="clear" w:color="auto" w:fill="auto"/>
          </w:tcPr>
          <w:p w14:paraId="12F8FC1F" w14:textId="77777777"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74ECF4C5" w14:textId="77777777"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14:paraId="1E5720F7" w14:textId="77777777" w:rsidTr="00D73486">
        <w:tc>
          <w:tcPr>
            <w:tcW w:w="1140" w:type="dxa"/>
            <w:tcBorders>
              <w:top w:val="nil"/>
              <w:bottom w:val="nil"/>
            </w:tcBorders>
            <w:shd w:val="clear" w:color="auto" w:fill="auto"/>
          </w:tcPr>
          <w:p w14:paraId="119332E0" w14:textId="77777777"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571366AF" w14:textId="77777777"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14:paraId="6E8FD174" w14:textId="77777777" w:rsidTr="0064346B">
        <w:tc>
          <w:tcPr>
            <w:tcW w:w="1140" w:type="dxa"/>
            <w:tcBorders>
              <w:top w:val="nil"/>
              <w:bottom w:val="nil"/>
            </w:tcBorders>
            <w:shd w:val="clear" w:color="auto" w:fill="auto"/>
          </w:tcPr>
          <w:p w14:paraId="0F9871F5" w14:textId="77777777"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66588FC1" w14:textId="77777777"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14:paraId="5F13CA8A" w14:textId="77777777" w:rsidTr="00297C87">
        <w:tc>
          <w:tcPr>
            <w:tcW w:w="1140" w:type="dxa"/>
            <w:tcBorders>
              <w:top w:val="nil"/>
              <w:bottom w:val="nil"/>
            </w:tcBorders>
            <w:shd w:val="clear" w:color="auto" w:fill="auto"/>
          </w:tcPr>
          <w:p w14:paraId="1E633006" w14:textId="77777777"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5E362AC6" w14:textId="77777777"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5E5A77" w14:paraId="0308A1F4" w14:textId="77777777" w:rsidTr="00F84F54">
        <w:tc>
          <w:tcPr>
            <w:tcW w:w="1140" w:type="dxa"/>
            <w:tcBorders>
              <w:top w:val="nil"/>
              <w:bottom w:val="nil"/>
            </w:tcBorders>
            <w:shd w:val="clear" w:color="auto" w:fill="auto"/>
          </w:tcPr>
          <w:p w14:paraId="154DFD75" w14:textId="77777777"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6C012580" w14:textId="77777777"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5E5A77" w14:paraId="04B0E12C" w14:textId="77777777" w:rsidTr="00A10F3A">
        <w:tc>
          <w:tcPr>
            <w:tcW w:w="1140" w:type="dxa"/>
            <w:tcBorders>
              <w:top w:val="nil"/>
              <w:bottom w:val="nil"/>
            </w:tcBorders>
            <w:shd w:val="clear" w:color="auto" w:fill="auto"/>
          </w:tcPr>
          <w:p w14:paraId="7D39CA41" w14:textId="77777777"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2D111DCC" w14:textId="77777777"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14:paraId="0E9626D2" w14:textId="77777777" w:rsidTr="007C5CE9">
        <w:tc>
          <w:tcPr>
            <w:tcW w:w="1140" w:type="dxa"/>
            <w:tcBorders>
              <w:top w:val="nil"/>
              <w:bottom w:val="nil"/>
            </w:tcBorders>
            <w:shd w:val="clear" w:color="auto" w:fill="auto"/>
          </w:tcPr>
          <w:p w14:paraId="10BB0218" w14:textId="77777777"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714C1387" w14:textId="77777777"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5E5A77" w14:paraId="60F93B33" w14:textId="77777777" w:rsidTr="00AC1323">
        <w:tc>
          <w:tcPr>
            <w:tcW w:w="1140" w:type="dxa"/>
            <w:tcBorders>
              <w:top w:val="nil"/>
              <w:bottom w:val="nil"/>
            </w:tcBorders>
            <w:shd w:val="clear" w:color="auto" w:fill="auto"/>
          </w:tcPr>
          <w:p w14:paraId="315BF4AC" w14:textId="77777777"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2FC62EAC" w14:textId="77777777"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14:paraId="66FC59D1" w14:textId="77777777" w:rsidTr="00BA28E1">
        <w:tc>
          <w:tcPr>
            <w:tcW w:w="1140" w:type="dxa"/>
            <w:tcBorders>
              <w:top w:val="nil"/>
              <w:bottom w:val="nil"/>
            </w:tcBorders>
            <w:shd w:val="clear" w:color="auto" w:fill="auto"/>
          </w:tcPr>
          <w:p w14:paraId="5460EEA4" w14:textId="77777777"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25AFDEA0" w14:textId="77777777"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14:paraId="2C172E70" w14:textId="77777777" w:rsidTr="003A6B2B">
        <w:tc>
          <w:tcPr>
            <w:tcW w:w="1140" w:type="dxa"/>
            <w:tcBorders>
              <w:top w:val="nil"/>
              <w:bottom w:val="nil"/>
            </w:tcBorders>
            <w:shd w:val="clear" w:color="auto" w:fill="auto"/>
          </w:tcPr>
          <w:p w14:paraId="7A0EA1E1" w14:textId="77777777"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14:paraId="1E6537B7" w14:textId="77777777"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5E5A77" w14:paraId="4D209F1B" w14:textId="77777777" w:rsidTr="003A6B2B">
        <w:tc>
          <w:tcPr>
            <w:tcW w:w="1140" w:type="dxa"/>
            <w:tcBorders>
              <w:top w:val="nil"/>
              <w:bottom w:val="nil"/>
            </w:tcBorders>
            <w:shd w:val="clear" w:color="auto" w:fill="auto"/>
          </w:tcPr>
          <w:p w14:paraId="105D590E" w14:textId="77777777"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14:paraId="682E23CF" w14:textId="77777777"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14:paraId="7E57E27A" w14:textId="77777777" w:rsidTr="003A6B2B">
        <w:tc>
          <w:tcPr>
            <w:tcW w:w="1140" w:type="dxa"/>
            <w:tcBorders>
              <w:top w:val="nil"/>
              <w:bottom w:val="nil"/>
            </w:tcBorders>
            <w:shd w:val="clear" w:color="auto" w:fill="F3F3F3"/>
          </w:tcPr>
          <w:p w14:paraId="77849FA7" w14:textId="77777777"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14:paraId="35EDC97F" w14:textId="77777777"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14:paraId="4C89020F" w14:textId="77777777" w:rsidTr="003A6B2B">
        <w:tc>
          <w:tcPr>
            <w:tcW w:w="1140" w:type="dxa"/>
            <w:tcBorders>
              <w:top w:val="nil"/>
            </w:tcBorders>
            <w:shd w:val="clear" w:color="auto" w:fill="auto"/>
          </w:tcPr>
          <w:p w14:paraId="0C985E41" w14:textId="77777777"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14:paraId="4C64A7DF" w14:textId="77777777" w:rsidR="005632C0" w:rsidRPr="0041026E" w:rsidRDefault="005632C0" w:rsidP="00474D58">
            <w:pPr>
              <w:spacing w:before="0"/>
              <w:jc w:val="left"/>
              <w:rPr>
                <w:b/>
                <w:bCs/>
                <w:color w:val="000080"/>
                <w:sz w:val="20"/>
              </w:rPr>
            </w:pPr>
          </w:p>
        </w:tc>
      </w:tr>
    </w:tbl>
    <w:p w14:paraId="3F20D071" w14:textId="77777777"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14:paraId="5A5A5C21" w14:textId="77777777" w:rsidTr="00474D58">
        <w:tc>
          <w:tcPr>
            <w:tcW w:w="720" w:type="dxa"/>
          </w:tcPr>
          <w:p w14:paraId="68E95478" w14:textId="77777777"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5E5A77" w14:paraId="61839C17" w14:textId="77777777" w:rsidTr="00CA109F">
        <w:tc>
          <w:tcPr>
            <w:tcW w:w="9360" w:type="dxa"/>
          </w:tcPr>
          <w:p w14:paraId="578D4457" w14:textId="77777777"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14:paraId="1107FA12" w14:textId="77777777" w:rsidR="005632C0" w:rsidRPr="00763D08" w:rsidRDefault="005632C0" w:rsidP="005632C0">
      <w:pPr>
        <w:spacing w:before="0"/>
        <w:jc w:val="center"/>
        <w:rPr>
          <w:sz w:val="22"/>
          <w:lang w:val="es-ES_tradnl"/>
        </w:rPr>
      </w:pPr>
    </w:p>
    <w:p w14:paraId="7A114499" w14:textId="77777777" w:rsidR="005632C0" w:rsidRPr="00763D08" w:rsidRDefault="005632C0" w:rsidP="005632C0">
      <w:pPr>
        <w:spacing w:before="60"/>
        <w:jc w:val="right"/>
        <w:rPr>
          <w:i/>
          <w:iCs/>
          <w:sz w:val="20"/>
          <w:lang w:val="es-ES_tradnl"/>
        </w:rPr>
      </w:pPr>
      <w:r w:rsidRPr="00763D08">
        <w:rPr>
          <w:i/>
          <w:iCs/>
          <w:sz w:val="20"/>
          <w:lang w:val="es-ES_tradnl"/>
        </w:rPr>
        <w:t>Publicación electrónica</w:t>
      </w:r>
    </w:p>
    <w:p w14:paraId="0381AD67" w14:textId="424EF105" w:rsidR="005632C0" w:rsidRPr="00763D08" w:rsidRDefault="005632C0" w:rsidP="00B26591">
      <w:pPr>
        <w:spacing w:before="0" w:after="40"/>
        <w:jc w:val="right"/>
        <w:rPr>
          <w:sz w:val="20"/>
          <w:lang w:val="es-ES_tradnl"/>
        </w:rPr>
      </w:pPr>
      <w:r w:rsidRPr="00763D08">
        <w:rPr>
          <w:sz w:val="20"/>
          <w:lang w:val="es-ES_tradnl"/>
        </w:rPr>
        <w:t>Ginebra, 20</w:t>
      </w:r>
      <w:r w:rsidR="00B25420">
        <w:rPr>
          <w:sz w:val="20"/>
          <w:lang w:val="es-ES_tradnl"/>
        </w:rPr>
        <w:t>23</w:t>
      </w:r>
    </w:p>
    <w:p w14:paraId="20E5F9CC" w14:textId="77777777" w:rsidR="005632C0" w:rsidRPr="00763D08" w:rsidRDefault="005632C0" w:rsidP="00B26591">
      <w:pPr>
        <w:spacing w:after="120"/>
        <w:jc w:val="center"/>
        <w:rPr>
          <w:sz w:val="22"/>
          <w:lang w:val="es-ES_tradnl"/>
        </w:rPr>
      </w:pPr>
    </w:p>
    <w:p w14:paraId="31ACD57C" w14:textId="0BDF0716"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B25420">
        <w:rPr>
          <w:sz w:val="20"/>
          <w:lang w:val="es-ES_tradnl"/>
        </w:rPr>
        <w:t>23</w:t>
      </w:r>
    </w:p>
    <w:p w14:paraId="4E86CFBC" w14:textId="77777777"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24DC4966" w14:textId="77777777" w:rsidR="005632C0" w:rsidRPr="006C718C" w:rsidRDefault="005632C0" w:rsidP="005632C0">
      <w:pPr>
        <w:spacing w:before="160"/>
        <w:rPr>
          <w:i/>
          <w:sz w:val="20"/>
          <w:highlight w:val="yellow"/>
          <w:lang w:val="es-ES_tradnl"/>
        </w:rPr>
        <w:sectPr w:rsidR="005632C0" w:rsidRPr="006C718C"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1D9170F5" w14:textId="15520281" w:rsidR="00B25420" w:rsidRPr="005E5A77" w:rsidRDefault="00BE46FB" w:rsidP="00B25420">
      <w:pPr>
        <w:pStyle w:val="RepNo"/>
        <w:spacing w:before="0"/>
        <w:rPr>
          <w:lang w:val="es-ES"/>
        </w:rPr>
      </w:pPr>
      <w:r w:rsidRPr="00BE46FB">
        <w:rPr>
          <w:lang w:val="es-ES_tradnl"/>
        </w:rPr>
        <w:lastRenderedPageBreak/>
        <w:t xml:space="preserve">INFORME  </w:t>
      </w:r>
      <w:r w:rsidRPr="00BE46FB">
        <w:rPr>
          <w:rStyle w:val="href"/>
          <w:lang w:val="es-ES_tradnl"/>
        </w:rPr>
        <w:t>UIT-R  SM.</w:t>
      </w:r>
      <w:r w:rsidR="00B25420">
        <w:rPr>
          <w:rStyle w:val="href"/>
          <w:lang w:val="es-ES_tradnl"/>
        </w:rPr>
        <w:t>2504-0</w:t>
      </w:r>
    </w:p>
    <w:p w14:paraId="0636CD0F" w14:textId="09FAF0BF" w:rsidR="00B25420" w:rsidRPr="005E5A77" w:rsidRDefault="00B25420" w:rsidP="00B25420">
      <w:pPr>
        <w:pStyle w:val="Reptitle"/>
        <w:rPr>
          <w:lang w:val="es-ES"/>
        </w:rPr>
      </w:pPr>
      <w:r w:rsidRPr="005E5A77">
        <w:rPr>
          <w:lang w:val="es-ES"/>
        </w:rPr>
        <w:t>Métodos de estimación de la cobertura de los servicios de radiocomunicaciones terrenales basados en la población</w:t>
      </w:r>
    </w:p>
    <w:p w14:paraId="27490497" w14:textId="77777777" w:rsidR="00B25420" w:rsidRPr="00642757" w:rsidRDefault="00B25420" w:rsidP="00B25420">
      <w:pPr>
        <w:pStyle w:val="Repdate"/>
        <w:rPr>
          <w:lang w:val="es-ES"/>
        </w:rPr>
      </w:pPr>
      <w:r w:rsidRPr="00642757">
        <w:rPr>
          <w:lang w:val="es-ES"/>
        </w:rPr>
        <w:t>(2022)</w:t>
      </w:r>
    </w:p>
    <w:p w14:paraId="4DEC7163" w14:textId="77777777" w:rsidR="006960BC" w:rsidRPr="005E5A77" w:rsidRDefault="006960BC" w:rsidP="005E5A77">
      <w:pPr>
        <w:pStyle w:val="HeadingSum"/>
      </w:pPr>
      <w:bookmarkStart w:id="2" w:name="_Hlk108095852"/>
      <w:r w:rsidRPr="005E5A77">
        <w:t>Resumen</w:t>
      </w:r>
    </w:p>
    <w:p w14:paraId="02C6C520" w14:textId="78775E05" w:rsidR="006960BC" w:rsidRPr="005E5A77" w:rsidRDefault="006960BC" w:rsidP="0082148C">
      <w:pPr>
        <w:pStyle w:val="Summary"/>
        <w:rPr>
          <w:sz w:val="22"/>
          <w:szCs w:val="22"/>
        </w:rPr>
      </w:pPr>
      <w:r w:rsidRPr="005E5A77">
        <w:rPr>
          <w:sz w:val="22"/>
          <w:szCs w:val="22"/>
        </w:rPr>
        <w:t>La prestación de un servicio de calidad a la población en un determinado territorio constituye una de las principales responsabilidades de los operadores de servicios de radiocomunicaciones. En algunos países, una de las condiciones establecidas para obtener una licencia de operador es proporcionar una cobertura mínima determinada previamente, que puede abarcar una proporción de población específica.</w:t>
      </w:r>
    </w:p>
    <w:p w14:paraId="1E850E28" w14:textId="38AC82CA" w:rsidR="006960BC" w:rsidRPr="005E5A77" w:rsidRDefault="006960BC" w:rsidP="0082148C">
      <w:pPr>
        <w:pStyle w:val="Summary"/>
        <w:rPr>
          <w:sz w:val="22"/>
          <w:szCs w:val="22"/>
        </w:rPr>
      </w:pPr>
      <w:bookmarkStart w:id="3" w:name="_Hlk107472989"/>
      <w:r w:rsidRPr="005E5A77">
        <w:rPr>
          <w:sz w:val="22"/>
          <w:szCs w:val="22"/>
        </w:rPr>
        <w:t xml:space="preserve">En el presente </w:t>
      </w:r>
      <w:r w:rsidR="0082148C" w:rsidRPr="005E5A77">
        <w:rPr>
          <w:sz w:val="22"/>
          <w:szCs w:val="22"/>
        </w:rPr>
        <w:t xml:space="preserve">Informe </w:t>
      </w:r>
      <w:r w:rsidRPr="005E5A77">
        <w:rPr>
          <w:sz w:val="22"/>
          <w:szCs w:val="22"/>
        </w:rPr>
        <w:t>se describen varios métodos y técnicas, aplicables a los servicios de radiocomunicaciones terrenales, para estimar la cobertura de población</w:t>
      </w:r>
      <w:bookmarkEnd w:id="3"/>
      <w:r w:rsidRPr="005E5A77">
        <w:rPr>
          <w:sz w:val="22"/>
          <w:szCs w:val="22"/>
        </w:rPr>
        <w:t>.</w:t>
      </w:r>
    </w:p>
    <w:p w14:paraId="717CCA7B" w14:textId="77777777" w:rsidR="006960BC" w:rsidRPr="00642757" w:rsidRDefault="006960BC">
      <w:pPr>
        <w:pStyle w:val="Heading1"/>
        <w:rPr>
          <w:lang w:val="es-ES"/>
        </w:rPr>
      </w:pPr>
      <w:r w:rsidRPr="00642757">
        <w:rPr>
          <w:lang w:val="es-ES"/>
        </w:rPr>
        <w:t>1</w:t>
      </w:r>
      <w:r w:rsidRPr="00642757">
        <w:rPr>
          <w:lang w:val="es-ES"/>
        </w:rPr>
        <w:tab/>
        <w:t>Alcance</w:t>
      </w:r>
    </w:p>
    <w:p w14:paraId="5B70B922" w14:textId="77777777" w:rsidR="006960BC" w:rsidRPr="00642757" w:rsidRDefault="006960BC">
      <w:pPr>
        <w:rPr>
          <w:lang w:val="es-ES" w:eastAsia="zh-CN"/>
        </w:rPr>
      </w:pPr>
      <w:r w:rsidRPr="00642757">
        <w:rPr>
          <w:lang w:val="es-ES" w:eastAsia="zh-CN"/>
        </w:rPr>
        <w:t xml:space="preserve">Abarcar el mayor territorio posible es uno de los objetivos de la planificación de la topología de </w:t>
      </w:r>
      <w:r w:rsidRPr="00642757">
        <w:rPr>
          <w:lang w:val="es-ES"/>
        </w:rPr>
        <w:t xml:space="preserve">un </w:t>
      </w:r>
      <w:r w:rsidRPr="00642757">
        <w:rPr>
          <w:lang w:val="es-ES" w:eastAsia="zh-CN"/>
        </w:rPr>
        <w:t>servicio de radiocomunicaciones terrenales. Los operadores de radiocomunicaciones hacen todo lo posible por prestar servicio al mayor número posible de personas. Entre los motivos por los que es beneficioso estimar la cobertura de población de un servicio de radiocomunicaciones cabe destacar los siguientes:</w:t>
      </w:r>
    </w:p>
    <w:p w14:paraId="0E7B2F49" w14:textId="13248C9D" w:rsidR="006960BC" w:rsidRPr="00642757" w:rsidRDefault="0082148C">
      <w:pPr>
        <w:pStyle w:val="enumlev1"/>
        <w:rPr>
          <w:lang w:val="es-ES" w:eastAsia="zh-CN"/>
        </w:rPr>
      </w:pPr>
      <w:r w:rsidRPr="0082148C">
        <w:rPr>
          <w:lang w:val="es-ES" w:eastAsia="zh-CN"/>
        </w:rPr>
        <w:t>–</w:t>
      </w:r>
      <w:r w:rsidR="006960BC" w:rsidRPr="00642757">
        <w:rPr>
          <w:lang w:val="es-ES" w:eastAsia="zh-CN"/>
        </w:rPr>
        <w:tab/>
        <w:t>permite proporcionar a la autoridad nacional de reglamentación (ANR) información independiente y fidedigna sobre la cobertura de población de cada tecnología radioeléctrica en el país;</w:t>
      </w:r>
    </w:p>
    <w:p w14:paraId="26D1C682" w14:textId="4D4B4E4D" w:rsidR="006960BC" w:rsidRPr="00642757" w:rsidRDefault="0082148C">
      <w:pPr>
        <w:pStyle w:val="enumlev1"/>
        <w:rPr>
          <w:lang w:val="es-ES" w:eastAsia="zh-CN"/>
        </w:rPr>
      </w:pPr>
      <w:r w:rsidRPr="0082148C">
        <w:rPr>
          <w:lang w:val="es-ES" w:eastAsia="zh-CN"/>
        </w:rPr>
        <w:t>–</w:t>
      </w:r>
      <w:r w:rsidR="006960BC" w:rsidRPr="00642757">
        <w:rPr>
          <w:lang w:val="es-ES" w:eastAsia="zh-CN"/>
        </w:rPr>
        <w:tab/>
        <w:t>la ANR suele poner esta información a disposición de consumidores y organizaciones gubernamentales.</w:t>
      </w:r>
    </w:p>
    <w:p w14:paraId="58B92B89" w14:textId="77777777" w:rsidR="006960BC" w:rsidRPr="00642757" w:rsidRDefault="006960BC">
      <w:pPr>
        <w:rPr>
          <w:lang w:val="es-ES"/>
        </w:rPr>
      </w:pPr>
      <w:r w:rsidRPr="00642757">
        <w:rPr>
          <w:lang w:val="es-ES"/>
        </w:rPr>
        <w:t>Cada país aplica políticas diferentes para determinar la cobertura, de ahí la dificultad que reviste armonizar un enfoque común para todos los países. En algunos casos, los derechos de utilización (o condiciones de licencia) de los operadores de redes de radiocomunicaciones incluyen requisitos de cobertura, pero no cobertura de población. Por otro lado, la forma de estimar la cobertura de superficie como de población no está armonizada. Cada país aplica requisitos y criterios de cobertura diferentes.</w:t>
      </w:r>
    </w:p>
    <w:p w14:paraId="52C81D75" w14:textId="77777777" w:rsidR="006960BC" w:rsidRPr="00642757" w:rsidRDefault="006960BC">
      <w:pPr>
        <w:rPr>
          <w:szCs w:val="24"/>
          <w:lang w:val="es-ES" w:eastAsia="zh-CN"/>
        </w:rPr>
      </w:pPr>
      <w:r w:rsidRPr="00642757">
        <w:rPr>
          <w:szCs w:val="24"/>
          <w:lang w:val="es-ES" w:eastAsia="zh-CN"/>
        </w:rPr>
        <w:t xml:space="preserve">Las ANR, los </w:t>
      </w:r>
      <w:r w:rsidRPr="00642757">
        <w:rPr>
          <w:lang w:val="es-ES"/>
        </w:rPr>
        <w:t xml:space="preserve">operadores de redes de telecomunicaciones </w:t>
      </w:r>
      <w:r w:rsidRPr="00642757">
        <w:rPr>
          <w:szCs w:val="24"/>
          <w:lang w:val="es-ES" w:eastAsia="zh-CN"/>
        </w:rPr>
        <w:t xml:space="preserve">(ORT) y los organismos de análisis utilizan con frecuencia enfoques y métodos diferentes para </w:t>
      </w:r>
      <w:r w:rsidRPr="00642757">
        <w:rPr>
          <w:szCs w:val="24"/>
          <w:lang w:val="es-ES"/>
        </w:rPr>
        <w:t xml:space="preserve">estimar la </w:t>
      </w:r>
      <w:r w:rsidRPr="00642757">
        <w:rPr>
          <w:szCs w:val="24"/>
          <w:lang w:val="es-ES" w:eastAsia="zh-CN"/>
        </w:rPr>
        <w:t>cobertura de población, y los resultados de sus mediciones pueden variar en función del enfoque aplicado, de ahí que la comparación de los resultados de dichas mediciones resulte poco útil.</w:t>
      </w:r>
    </w:p>
    <w:p w14:paraId="621EE08D" w14:textId="77777777" w:rsidR="006960BC" w:rsidRPr="00642757" w:rsidRDefault="006960BC">
      <w:pPr>
        <w:rPr>
          <w:szCs w:val="24"/>
          <w:lang w:val="es-ES"/>
        </w:rPr>
      </w:pPr>
      <w:r w:rsidRPr="00642757">
        <w:rPr>
          <w:lang w:val="es-ES"/>
        </w:rPr>
        <w:t>Por lo general, cabe utilizar</w:t>
      </w:r>
      <w:r w:rsidRPr="00642757">
        <w:rPr>
          <w:szCs w:val="24"/>
          <w:lang w:val="es-ES"/>
        </w:rPr>
        <w:t xml:space="preserve"> dos tipos de criterios de cobertura:</w:t>
      </w:r>
    </w:p>
    <w:p w14:paraId="55997343" w14:textId="6DF757C5" w:rsidR="006960BC" w:rsidRPr="00642757" w:rsidRDefault="0082148C">
      <w:pPr>
        <w:pStyle w:val="enumlev1"/>
        <w:rPr>
          <w:b/>
          <w:bCs/>
          <w:lang w:val="es-ES"/>
        </w:rPr>
      </w:pPr>
      <w:r w:rsidRPr="0082148C">
        <w:rPr>
          <w:lang w:val="es-ES" w:eastAsia="zh-CN"/>
        </w:rPr>
        <w:t>–</w:t>
      </w:r>
      <w:r w:rsidR="006960BC" w:rsidRPr="00642757">
        <w:rPr>
          <w:b/>
          <w:lang w:val="es-ES"/>
        </w:rPr>
        <w:tab/>
      </w:r>
      <w:r w:rsidR="006960BC" w:rsidRPr="00642757">
        <w:rPr>
          <w:bCs/>
          <w:lang w:val="es-ES"/>
        </w:rPr>
        <w:t>Cobertura de zona</w:t>
      </w:r>
      <w:r w:rsidR="006960BC" w:rsidRPr="00642757">
        <w:rPr>
          <w:lang w:val="es-ES"/>
        </w:rPr>
        <w:t>: el operador debe abarcar una proporción de territorio</w:t>
      </w:r>
      <w:r>
        <w:rPr>
          <w:lang w:val="es-ES"/>
        </w:rPr>
        <w:t>.</w:t>
      </w:r>
    </w:p>
    <w:p w14:paraId="7AE7BCB5" w14:textId="16F8A928" w:rsidR="006960BC" w:rsidRPr="00642757" w:rsidRDefault="0082148C">
      <w:pPr>
        <w:pStyle w:val="enumlev1"/>
        <w:rPr>
          <w:lang w:val="es-ES"/>
        </w:rPr>
      </w:pPr>
      <w:r w:rsidRPr="0082148C">
        <w:rPr>
          <w:lang w:val="es-ES" w:eastAsia="zh-CN"/>
        </w:rPr>
        <w:t>–</w:t>
      </w:r>
      <w:r w:rsidR="006960BC" w:rsidRPr="00642757">
        <w:rPr>
          <w:b/>
          <w:lang w:val="es-ES"/>
        </w:rPr>
        <w:tab/>
      </w:r>
      <w:r w:rsidR="006960BC" w:rsidRPr="00642757">
        <w:rPr>
          <w:bCs/>
          <w:lang w:val="es-ES"/>
        </w:rPr>
        <w:t>Cobertura de población</w:t>
      </w:r>
      <w:r w:rsidR="006960BC" w:rsidRPr="00642757">
        <w:rPr>
          <w:lang w:val="es-ES"/>
        </w:rPr>
        <w:t>: el operador debe abarcar una proporción de población.</w:t>
      </w:r>
    </w:p>
    <w:p w14:paraId="273F771F" w14:textId="2F1529A8" w:rsidR="006960BC" w:rsidRPr="00642757" w:rsidRDefault="006960BC">
      <w:pPr>
        <w:rPr>
          <w:lang w:val="es-ES" w:eastAsia="zh-CN"/>
        </w:rPr>
      </w:pPr>
      <w:bookmarkStart w:id="4" w:name="_Hlk82430359"/>
      <w:r w:rsidRPr="00642757">
        <w:rPr>
          <w:lang w:val="es-ES"/>
        </w:rPr>
        <w:t xml:space="preserve">Esos </w:t>
      </w:r>
      <w:r w:rsidRPr="00642757">
        <w:rPr>
          <w:lang w:val="es-ES" w:eastAsia="zh-CN"/>
        </w:rPr>
        <w:t xml:space="preserve">métodos y procedimientos pueden aplicarse ampliamente a la estimación de la cobertura de población para muchos tipos de redes </w:t>
      </w:r>
      <w:r w:rsidRPr="00642757">
        <w:rPr>
          <w:lang w:val="es-ES"/>
        </w:rPr>
        <w:t>de radiocomunicaciones terrenales</w:t>
      </w:r>
      <w:r w:rsidRPr="00642757">
        <w:rPr>
          <w:lang w:val="es-ES" w:eastAsia="zh-CN"/>
        </w:rPr>
        <w:t>.</w:t>
      </w:r>
    </w:p>
    <w:p w14:paraId="48C9B468" w14:textId="77777777" w:rsidR="006960BC" w:rsidRPr="00642757" w:rsidRDefault="006960BC">
      <w:pPr>
        <w:pStyle w:val="Heading1"/>
        <w:rPr>
          <w:lang w:val="es-ES"/>
        </w:rPr>
      </w:pPr>
      <w:bookmarkStart w:id="5" w:name="_Toc55378802"/>
      <w:bookmarkEnd w:id="4"/>
      <w:r w:rsidRPr="00642757">
        <w:rPr>
          <w:lang w:val="es-ES"/>
        </w:rPr>
        <w:t>2</w:t>
      </w:r>
      <w:r w:rsidRPr="00642757">
        <w:rPr>
          <w:lang w:val="es-ES"/>
        </w:rPr>
        <w:tab/>
        <w:t>Términos, definiciones y abreviaturas</w:t>
      </w:r>
      <w:bookmarkEnd w:id="5"/>
    </w:p>
    <w:p w14:paraId="7D1AD2F1" w14:textId="3001EAE2" w:rsidR="006960BC" w:rsidRPr="0082148C" w:rsidRDefault="006960BC">
      <w:pPr>
        <w:rPr>
          <w:lang w:val="es-ES" w:eastAsia="uk-UA"/>
        </w:rPr>
      </w:pPr>
      <w:r w:rsidRPr="0082148C">
        <w:rPr>
          <w:lang w:val="es-ES" w:eastAsia="uk-UA"/>
        </w:rPr>
        <w:t>La zona de cobertura (de una estación transmisora terrenal) es la zona asociada a un servicio determinado en la que, para una frecuencia específica, pueden establecerse radiocomunicaciones con estaciones receptoras en condiciones técnicas determinadas [1].</w:t>
      </w:r>
    </w:p>
    <w:p w14:paraId="091B6D9A" w14:textId="77777777" w:rsidR="006960BC" w:rsidRPr="00642757" w:rsidRDefault="006960BC">
      <w:pPr>
        <w:rPr>
          <w:lang w:val="es-ES" w:eastAsia="uk-UA"/>
        </w:rPr>
      </w:pPr>
      <w:bookmarkStart w:id="6" w:name="_Hlk82430568"/>
      <w:r w:rsidRPr="00642757">
        <w:rPr>
          <w:lang w:val="es-ES" w:eastAsia="uk-UA"/>
        </w:rPr>
        <w:lastRenderedPageBreak/>
        <w:t xml:space="preserve">La zona de servicio es el zona en la que una estación móvil puede acceder al servicio de radiocomunicaciones. Una zona de servicio puede contener varias redes. Una zona de servicio puede abarcar un país, parte del mismo, o estar formada por varios países </w:t>
      </w:r>
      <w:r w:rsidRPr="00642757">
        <w:rPr>
          <w:shd w:val="clear" w:color="auto" w:fill="FFFFFF"/>
          <w:lang w:val="es-ES"/>
        </w:rPr>
        <w:t>[1].</w:t>
      </w:r>
    </w:p>
    <w:bookmarkEnd w:id="6"/>
    <w:p w14:paraId="7C485EC5" w14:textId="733DCF18" w:rsidR="006960BC" w:rsidRPr="00642757" w:rsidRDefault="006960BC">
      <w:pPr>
        <w:rPr>
          <w:lang w:val="es-ES" w:eastAsia="zh-CN"/>
        </w:rPr>
      </w:pPr>
      <w:r w:rsidRPr="00642757">
        <w:rPr>
          <w:bCs/>
          <w:lang w:val="es-ES"/>
        </w:rPr>
        <w:t xml:space="preserve">En determinados casos, cabe utilizar el término </w:t>
      </w:r>
      <w:r w:rsidR="0082148C">
        <w:rPr>
          <w:bCs/>
          <w:lang w:val="es-ES"/>
        </w:rPr>
        <w:t>«</w:t>
      </w:r>
      <w:r w:rsidRPr="00642757">
        <w:rPr>
          <w:bCs/>
          <w:lang w:val="es-ES"/>
        </w:rPr>
        <w:t>cobertura geográfica</w:t>
      </w:r>
      <w:r w:rsidR="0082148C">
        <w:rPr>
          <w:bCs/>
          <w:lang w:val="es-ES"/>
        </w:rPr>
        <w:t>»</w:t>
      </w:r>
      <w:r w:rsidRPr="00642757">
        <w:rPr>
          <w:bCs/>
          <w:lang w:val="es-ES"/>
        </w:rPr>
        <w:t xml:space="preserve"> en lugar del término </w:t>
      </w:r>
      <w:r w:rsidR="0082148C">
        <w:rPr>
          <w:bCs/>
          <w:lang w:val="es-ES"/>
        </w:rPr>
        <w:t>«</w:t>
      </w:r>
      <w:r w:rsidRPr="00642757">
        <w:rPr>
          <w:bCs/>
          <w:lang w:val="es-ES"/>
        </w:rPr>
        <w:t>cobertura de zona</w:t>
      </w:r>
      <w:r w:rsidR="0082148C">
        <w:rPr>
          <w:bCs/>
          <w:lang w:val="es-ES"/>
        </w:rPr>
        <w:t>»</w:t>
      </w:r>
      <w:r w:rsidRPr="00642757">
        <w:rPr>
          <w:bCs/>
          <w:lang w:val="es-ES"/>
        </w:rPr>
        <w:t xml:space="preserve">. </w:t>
      </w:r>
      <w:r w:rsidRPr="00642757">
        <w:rPr>
          <w:lang w:val="es-ES"/>
        </w:rPr>
        <w:t>Se entiende por cobertura geográfica la proporción de la superficie del territorio</w:t>
      </w:r>
      <w:r w:rsidRPr="00642757">
        <w:rPr>
          <w:color w:val="000000"/>
          <w:lang w:val="es-ES"/>
        </w:rPr>
        <w:t xml:space="preserve"> en la que el servicio está disponible.</w:t>
      </w:r>
    </w:p>
    <w:p w14:paraId="7F68A3BF" w14:textId="1EFCE8DF" w:rsidR="006960BC" w:rsidRPr="00642757" w:rsidRDefault="006960BC">
      <w:pPr>
        <w:rPr>
          <w:lang w:val="es-ES" w:eastAsia="zh-CN"/>
        </w:rPr>
      </w:pPr>
      <w:r w:rsidRPr="00642757">
        <w:rPr>
          <w:lang w:val="es-ES" w:eastAsia="zh-CN"/>
        </w:rPr>
        <w:t xml:space="preserve">Se entiende por </w:t>
      </w:r>
      <w:r w:rsidR="0082148C">
        <w:rPr>
          <w:bCs/>
          <w:lang w:val="es-ES"/>
        </w:rPr>
        <w:t>«</w:t>
      </w:r>
      <w:r w:rsidRPr="00642757">
        <w:rPr>
          <w:lang w:val="es-ES" w:eastAsia="zh-CN"/>
        </w:rPr>
        <w:t>cobertura de población</w:t>
      </w:r>
      <w:r w:rsidR="0082148C">
        <w:rPr>
          <w:bCs/>
          <w:lang w:val="es-ES"/>
        </w:rPr>
        <w:t>»</w:t>
      </w:r>
      <w:r w:rsidRPr="00642757">
        <w:rPr>
          <w:lang w:val="es-ES" w:eastAsia="zh-CN"/>
        </w:rPr>
        <w:t xml:space="preserve"> la proporción de</w:t>
      </w:r>
      <w:r w:rsidRPr="00642757">
        <w:rPr>
          <w:color w:val="000000"/>
          <w:lang w:val="es-ES"/>
        </w:rPr>
        <w:t xml:space="preserve"> población que puede acceder al servicio.</w:t>
      </w:r>
    </w:p>
    <w:p w14:paraId="6C5EE413" w14:textId="02E31589" w:rsidR="006960BC" w:rsidRPr="00642757" w:rsidRDefault="006960BC">
      <w:pPr>
        <w:rPr>
          <w:lang w:val="es-ES" w:eastAsia="zh-CN"/>
        </w:rPr>
      </w:pPr>
      <w:r w:rsidRPr="00642757">
        <w:rPr>
          <w:lang w:val="es-ES" w:eastAsia="zh-CN"/>
        </w:rPr>
        <w:t xml:space="preserve">El término </w:t>
      </w:r>
      <w:r w:rsidR="0082148C">
        <w:rPr>
          <w:bCs/>
          <w:lang w:val="es-ES"/>
        </w:rPr>
        <w:t>«</w:t>
      </w:r>
      <w:r w:rsidRPr="00642757">
        <w:rPr>
          <w:lang w:val="es-ES" w:eastAsia="zh-CN"/>
        </w:rPr>
        <w:t>población abarcada</w:t>
      </w:r>
      <w:r w:rsidR="0082148C">
        <w:rPr>
          <w:bCs/>
          <w:lang w:val="es-ES"/>
        </w:rPr>
        <w:t>»</w:t>
      </w:r>
      <w:r w:rsidRPr="00642757">
        <w:rPr>
          <w:lang w:val="es-ES" w:eastAsia="zh-CN"/>
        </w:rPr>
        <w:t xml:space="preserve"> guarda relación con el contexto de </w:t>
      </w:r>
      <w:r w:rsidRPr="00642757">
        <w:rPr>
          <w:lang w:val="es-ES"/>
        </w:rPr>
        <w:t xml:space="preserve">servicios y redes </w:t>
      </w:r>
      <w:r w:rsidRPr="00642757">
        <w:rPr>
          <w:lang w:val="es-ES" w:eastAsia="zh-CN"/>
        </w:rPr>
        <w:t>de radiocomunicaciones terrenales específicos, y en particular:</w:t>
      </w:r>
    </w:p>
    <w:p w14:paraId="0F609954" w14:textId="20FA1F2C" w:rsidR="006960BC" w:rsidRPr="00642757" w:rsidRDefault="0082148C" w:rsidP="00052395">
      <w:pPr>
        <w:rPr>
          <w:lang w:val="es-ES" w:eastAsia="zh-CN"/>
        </w:rPr>
      </w:pPr>
      <w:r>
        <w:rPr>
          <w:bCs/>
          <w:lang w:val="es-ES"/>
        </w:rPr>
        <w:t>«</w:t>
      </w:r>
      <w:r w:rsidR="006960BC" w:rsidRPr="00642757">
        <w:rPr>
          <w:lang w:val="es-ES" w:eastAsia="zh-CN"/>
        </w:rPr>
        <w:t xml:space="preserve">Se entiende por </w:t>
      </w:r>
      <w:r>
        <w:rPr>
          <w:lang w:val="es-ES" w:eastAsia="zh-CN"/>
        </w:rPr>
        <w:t>'</w:t>
      </w:r>
      <w:r w:rsidR="006960BC" w:rsidRPr="00642757">
        <w:rPr>
          <w:lang w:val="es-ES" w:eastAsia="zh-CN"/>
        </w:rPr>
        <w:t>población abarcada</w:t>
      </w:r>
      <w:r>
        <w:rPr>
          <w:lang w:val="es-ES" w:eastAsia="zh-CN"/>
        </w:rPr>
        <w:t>'</w:t>
      </w:r>
      <w:r w:rsidR="006960BC" w:rsidRPr="00642757">
        <w:rPr>
          <w:lang w:val="es-ES" w:eastAsia="zh-CN"/>
        </w:rPr>
        <w:t xml:space="preserve"> el número de </w:t>
      </w:r>
      <w:r>
        <w:rPr>
          <w:lang w:val="es-ES" w:eastAsia="zh-CN"/>
        </w:rPr>
        <w:t>'</w:t>
      </w:r>
      <w:r w:rsidR="006960BC" w:rsidRPr="00642757">
        <w:rPr>
          <w:lang w:val="es-ES" w:eastAsia="zh-CN"/>
        </w:rPr>
        <w:t>objetos</w:t>
      </w:r>
      <w:r>
        <w:rPr>
          <w:lang w:val="es-ES" w:eastAsia="zh-CN"/>
        </w:rPr>
        <w:t>'</w:t>
      </w:r>
      <w:r w:rsidR="006960BC" w:rsidRPr="00642757">
        <w:rPr>
          <w:lang w:val="es-ES" w:eastAsia="zh-CN"/>
        </w:rPr>
        <w:t xml:space="preserve"> situados en la zona abarcada con acceso al servicio </w:t>
      </w:r>
      <w:r w:rsidR="006960BC" w:rsidRPr="00642757">
        <w:rPr>
          <w:lang w:val="es-ES"/>
        </w:rPr>
        <w:t>prestado por una red de radiocomunicaciones terrenales</w:t>
      </w:r>
      <w:r>
        <w:rPr>
          <w:bCs/>
          <w:lang w:val="es-ES"/>
        </w:rPr>
        <w:t>»</w:t>
      </w:r>
      <w:r w:rsidR="006960BC" w:rsidRPr="00642757">
        <w:rPr>
          <w:lang w:val="es-ES" w:eastAsia="zh-CN"/>
        </w:rPr>
        <w:t xml:space="preserve">. La definición del término </w:t>
      </w:r>
      <w:r>
        <w:rPr>
          <w:bCs/>
          <w:lang w:val="es-ES"/>
        </w:rPr>
        <w:t>«</w:t>
      </w:r>
      <w:r w:rsidR="006960BC" w:rsidRPr="00642757">
        <w:rPr>
          <w:lang w:val="es-ES" w:eastAsia="zh-CN"/>
        </w:rPr>
        <w:t>objeto</w:t>
      </w:r>
      <w:r>
        <w:rPr>
          <w:bCs/>
          <w:lang w:val="es-ES"/>
        </w:rPr>
        <w:t>»</w:t>
      </w:r>
      <w:r w:rsidR="006960BC" w:rsidRPr="00642757">
        <w:rPr>
          <w:lang w:val="es-ES" w:eastAsia="zh-CN"/>
        </w:rPr>
        <w:t xml:space="preserve"> se aborda en el §</w:t>
      </w:r>
      <w:r>
        <w:rPr>
          <w:lang w:val="es-ES" w:eastAsia="zh-CN"/>
        </w:rPr>
        <w:t> </w:t>
      </w:r>
      <w:r w:rsidR="006960BC" w:rsidRPr="00642757">
        <w:rPr>
          <w:lang w:val="es-ES" w:eastAsia="zh-CN"/>
        </w:rPr>
        <w:t xml:space="preserve">3 del presente </w:t>
      </w:r>
      <w:r w:rsidRPr="00642757">
        <w:rPr>
          <w:lang w:val="es-ES" w:eastAsia="zh-CN"/>
        </w:rPr>
        <w:t>Informe</w:t>
      </w:r>
      <w:r w:rsidR="006960BC" w:rsidRPr="00642757">
        <w:rPr>
          <w:lang w:val="es-ES" w:eastAsia="zh-CN"/>
        </w:rPr>
        <w:t>.</w:t>
      </w:r>
    </w:p>
    <w:p w14:paraId="07E6D8B3" w14:textId="37CD7860" w:rsidR="006960BC" w:rsidRPr="00642757" w:rsidRDefault="006960BC">
      <w:pPr>
        <w:pStyle w:val="Headingb"/>
        <w:rPr>
          <w:lang w:val="es-ES"/>
        </w:rPr>
      </w:pPr>
      <w:r w:rsidRPr="00642757">
        <w:rPr>
          <w:lang w:val="es-ES"/>
        </w:rPr>
        <w:t>Abreviaturas</w:t>
      </w:r>
    </w:p>
    <w:p w14:paraId="2E576E87" w14:textId="41B712C8" w:rsidR="00052395" w:rsidRPr="00642757" w:rsidRDefault="00052395" w:rsidP="00052395">
      <w:pPr>
        <w:tabs>
          <w:tab w:val="clear" w:pos="794"/>
          <w:tab w:val="clear" w:pos="1191"/>
          <w:tab w:val="clear" w:pos="1588"/>
          <w:tab w:val="left" w:pos="1418"/>
        </w:tabs>
        <w:rPr>
          <w:lang w:val="es-ES"/>
        </w:rPr>
      </w:pPr>
      <w:r w:rsidRPr="00642757">
        <w:rPr>
          <w:iCs/>
          <w:shd w:val="clear" w:color="auto" w:fill="FFFFFF"/>
          <w:lang w:val="es-ES"/>
        </w:rPr>
        <w:t>ANR</w:t>
      </w:r>
      <w:r w:rsidRPr="00642757">
        <w:rPr>
          <w:iCs/>
          <w:shd w:val="clear" w:color="auto" w:fill="FFFFFF"/>
          <w:lang w:val="es-ES"/>
        </w:rPr>
        <w:tab/>
      </w:r>
      <w:r w:rsidRPr="00642757">
        <w:rPr>
          <w:lang w:val="es-ES"/>
        </w:rPr>
        <w:t xml:space="preserve">Autoridad </w:t>
      </w:r>
      <w:r w:rsidR="008253BD" w:rsidRPr="00642757">
        <w:rPr>
          <w:lang w:val="es-ES"/>
        </w:rPr>
        <w:t xml:space="preserve">nacional </w:t>
      </w:r>
      <w:r w:rsidRPr="00642757">
        <w:rPr>
          <w:lang w:val="es-ES"/>
        </w:rPr>
        <w:t xml:space="preserve">de </w:t>
      </w:r>
      <w:r w:rsidR="008253BD" w:rsidRPr="00642757">
        <w:rPr>
          <w:lang w:val="es-ES"/>
        </w:rPr>
        <w:t>reglamentación</w:t>
      </w:r>
    </w:p>
    <w:p w14:paraId="3E1412CF" w14:textId="598066B5" w:rsidR="006960BC" w:rsidRPr="00642757" w:rsidRDefault="006960BC" w:rsidP="00052395">
      <w:pPr>
        <w:tabs>
          <w:tab w:val="clear" w:pos="794"/>
          <w:tab w:val="clear" w:pos="1191"/>
          <w:tab w:val="clear" w:pos="1588"/>
          <w:tab w:val="left" w:pos="1418"/>
        </w:tabs>
        <w:rPr>
          <w:b/>
          <w:lang w:val="es-ES" w:bidi="he-IL"/>
        </w:rPr>
      </w:pPr>
      <w:r w:rsidRPr="00642757">
        <w:rPr>
          <w:lang w:val="es-ES" w:eastAsia="zh-CN"/>
        </w:rPr>
        <w:t>DPSA</w:t>
      </w:r>
      <w:r w:rsidRPr="00642757">
        <w:rPr>
          <w:b/>
          <w:lang w:val="es-ES" w:bidi="he-IL"/>
        </w:rPr>
        <w:tab/>
      </w:r>
      <w:r w:rsidRPr="00642757">
        <w:rPr>
          <w:lang w:val="es-ES" w:eastAsia="zh-CN"/>
        </w:rPr>
        <w:t>Zona de servicio digital preferente</w:t>
      </w:r>
      <w:r w:rsidR="008253BD">
        <w:rPr>
          <w:lang w:val="es-ES" w:eastAsia="zh-CN"/>
        </w:rPr>
        <w:t xml:space="preserve"> (</w:t>
      </w:r>
      <w:r w:rsidR="008253BD" w:rsidRPr="005E5A77">
        <w:rPr>
          <w:i/>
          <w:iCs/>
          <w:lang w:val="es-ES" w:eastAsia="zh-CN"/>
        </w:rPr>
        <w:t>digital preferred service area</w:t>
      </w:r>
      <w:r w:rsidR="008253BD" w:rsidRPr="005E5A77">
        <w:rPr>
          <w:lang w:val="es-ES" w:eastAsia="zh-CN"/>
        </w:rPr>
        <w:t>)</w:t>
      </w:r>
    </w:p>
    <w:p w14:paraId="2322697D" w14:textId="33B36F05" w:rsidR="006960BC" w:rsidRPr="00642757" w:rsidRDefault="006960BC" w:rsidP="00052395">
      <w:pPr>
        <w:tabs>
          <w:tab w:val="clear" w:pos="794"/>
          <w:tab w:val="clear" w:pos="1191"/>
          <w:tab w:val="clear" w:pos="1588"/>
          <w:tab w:val="left" w:pos="1418"/>
        </w:tabs>
        <w:rPr>
          <w:b/>
          <w:lang w:val="es-ES" w:eastAsia="zh-CN"/>
        </w:rPr>
      </w:pPr>
      <w:r w:rsidRPr="00642757">
        <w:rPr>
          <w:lang w:val="es-ES" w:eastAsia="zh-CN"/>
        </w:rPr>
        <w:t>DTBN</w:t>
      </w:r>
      <w:r w:rsidRPr="00642757">
        <w:rPr>
          <w:b/>
          <w:lang w:val="es-ES" w:eastAsia="zh-CN"/>
        </w:rPr>
        <w:tab/>
      </w:r>
      <w:r w:rsidRPr="00642757">
        <w:rPr>
          <w:lang w:val="es-ES" w:eastAsia="zh-CN"/>
        </w:rPr>
        <w:t>Red de radiodifusión digital terrenal</w:t>
      </w:r>
      <w:r w:rsidR="008253BD">
        <w:rPr>
          <w:lang w:val="es-ES" w:eastAsia="zh-CN"/>
        </w:rPr>
        <w:t xml:space="preserve"> (</w:t>
      </w:r>
      <w:r w:rsidR="008253BD" w:rsidRPr="005E5A77">
        <w:rPr>
          <w:i/>
          <w:iCs/>
          <w:lang w:val="es-ES" w:eastAsia="zh-CN"/>
        </w:rPr>
        <w:t>digital terrestrial broadcasting network</w:t>
      </w:r>
      <w:r w:rsidR="008253BD" w:rsidRPr="005E5A77">
        <w:rPr>
          <w:lang w:val="es-ES" w:eastAsia="zh-CN"/>
        </w:rPr>
        <w:t>)</w:t>
      </w:r>
    </w:p>
    <w:p w14:paraId="7A35B587" w14:textId="57D0B68F" w:rsidR="006960BC" w:rsidRPr="00642757" w:rsidRDefault="006960BC" w:rsidP="00052395">
      <w:pPr>
        <w:tabs>
          <w:tab w:val="clear" w:pos="794"/>
          <w:tab w:val="clear" w:pos="1191"/>
          <w:tab w:val="clear" w:pos="1588"/>
          <w:tab w:val="left" w:pos="1418"/>
        </w:tabs>
        <w:rPr>
          <w:lang w:val="es-ES" w:eastAsia="zh-CN"/>
        </w:rPr>
      </w:pPr>
      <w:r w:rsidRPr="00642757">
        <w:rPr>
          <w:lang w:val="es-ES" w:eastAsia="zh-CN"/>
        </w:rPr>
        <w:t>DVB-T</w:t>
      </w:r>
      <w:r w:rsidRPr="00642757">
        <w:rPr>
          <w:lang w:val="es-ES" w:eastAsia="zh-CN"/>
        </w:rPr>
        <w:tab/>
      </w:r>
      <w:r w:rsidRPr="00642757">
        <w:rPr>
          <w:lang w:val="es-ES"/>
        </w:rPr>
        <w:t>Radiodifusión de vídeo digital terrenal</w:t>
      </w:r>
      <w:r w:rsidR="008253BD">
        <w:rPr>
          <w:lang w:val="es-ES"/>
        </w:rPr>
        <w:t xml:space="preserve"> (</w:t>
      </w:r>
      <w:r w:rsidR="008253BD" w:rsidRPr="005E5A77">
        <w:rPr>
          <w:i/>
          <w:iCs/>
          <w:lang w:val="es-ES"/>
        </w:rPr>
        <w:t>digital video broadcast – terrestrial</w:t>
      </w:r>
      <w:r w:rsidR="008253BD" w:rsidRPr="005E5A77">
        <w:rPr>
          <w:lang w:val="es-ES"/>
        </w:rPr>
        <w:t>)</w:t>
      </w:r>
    </w:p>
    <w:p w14:paraId="7981E311" w14:textId="082012AD" w:rsidR="006960BC" w:rsidRPr="00642757" w:rsidRDefault="006960BC" w:rsidP="008253BD">
      <w:pPr>
        <w:tabs>
          <w:tab w:val="clear" w:pos="794"/>
          <w:tab w:val="clear" w:pos="1191"/>
          <w:tab w:val="clear" w:pos="1588"/>
          <w:tab w:val="left" w:pos="1418"/>
        </w:tabs>
        <w:ind w:left="1418" w:hanging="1418"/>
        <w:rPr>
          <w:lang w:val="es-ES"/>
        </w:rPr>
      </w:pPr>
      <w:r w:rsidRPr="00642757">
        <w:rPr>
          <w:lang w:val="es-ES" w:eastAsia="zh-CN"/>
        </w:rPr>
        <w:t>DVB-T2</w:t>
      </w:r>
      <w:r w:rsidRPr="00642757">
        <w:rPr>
          <w:lang w:val="es-ES" w:eastAsia="zh-CN"/>
        </w:rPr>
        <w:tab/>
      </w:r>
      <w:r w:rsidRPr="00642757">
        <w:rPr>
          <w:lang w:val="es-ES"/>
        </w:rPr>
        <w:t>Radiodifusión de vídeo digital terrenal de segunda generación</w:t>
      </w:r>
      <w:r w:rsidR="008253BD">
        <w:rPr>
          <w:lang w:val="es-ES"/>
        </w:rPr>
        <w:t xml:space="preserve"> (</w:t>
      </w:r>
      <w:r w:rsidR="008253BD" w:rsidRPr="005E5A77">
        <w:rPr>
          <w:i/>
          <w:iCs/>
          <w:lang w:val="es-ES"/>
        </w:rPr>
        <w:t>digital video broadcasting – second generation terrestrial</w:t>
      </w:r>
      <w:r w:rsidR="008253BD" w:rsidRPr="005E5A77">
        <w:rPr>
          <w:lang w:val="es-ES"/>
        </w:rPr>
        <w:t>)</w:t>
      </w:r>
    </w:p>
    <w:p w14:paraId="043FD02F" w14:textId="26BEE1B1" w:rsidR="00052395" w:rsidRPr="00642757" w:rsidRDefault="00052395" w:rsidP="00052395">
      <w:pPr>
        <w:tabs>
          <w:tab w:val="clear" w:pos="794"/>
          <w:tab w:val="clear" w:pos="1191"/>
          <w:tab w:val="clear" w:pos="1588"/>
          <w:tab w:val="left" w:pos="1418"/>
        </w:tabs>
        <w:ind w:left="1418" w:hanging="1418"/>
        <w:rPr>
          <w:lang w:val="es-ES" w:eastAsia="de-DE"/>
        </w:rPr>
      </w:pPr>
      <w:r w:rsidRPr="00642757">
        <w:rPr>
          <w:iCs/>
          <w:shd w:val="clear" w:color="auto" w:fill="FFFFFF"/>
          <w:lang w:val="es-ES"/>
        </w:rPr>
        <w:t>NUTS</w:t>
      </w:r>
      <w:r w:rsidRPr="00642757">
        <w:rPr>
          <w:rStyle w:val="ECCHLbold"/>
          <w:rFonts w:asciiTheme="majorBidi" w:hAnsiTheme="majorBidi"/>
          <w:bCs/>
          <w:szCs w:val="24"/>
          <w:lang w:val="es-ES" w:eastAsia="de-DE"/>
        </w:rPr>
        <w:tab/>
      </w:r>
      <w:r w:rsidRPr="00642757">
        <w:rPr>
          <w:iCs/>
          <w:shd w:val="clear" w:color="auto" w:fill="FFFFFF"/>
          <w:lang w:val="es-ES"/>
        </w:rPr>
        <w:t>Nomenclatura de unidades territoriales estadísticas (</w:t>
      </w:r>
      <w:r w:rsidR="008253BD" w:rsidRPr="009622E0">
        <w:rPr>
          <w:i/>
          <w:shd w:val="clear" w:color="auto" w:fill="FFFFFF"/>
          <w:lang w:val="es-ES"/>
        </w:rPr>
        <w:t xml:space="preserve">nomenclature </w:t>
      </w:r>
      <w:r w:rsidRPr="009622E0">
        <w:rPr>
          <w:i/>
          <w:shd w:val="clear" w:color="auto" w:fill="FFFFFF"/>
          <w:lang w:val="es-ES"/>
        </w:rPr>
        <w:t>des unités territoriales statistiques</w:t>
      </w:r>
      <w:r w:rsidRPr="00642757">
        <w:rPr>
          <w:iCs/>
          <w:shd w:val="clear" w:color="auto" w:fill="FFFFFF"/>
          <w:lang w:val="es-ES"/>
        </w:rPr>
        <w:t xml:space="preserve"> (</w:t>
      </w:r>
      <w:r w:rsidRPr="00642757">
        <w:rPr>
          <w:i/>
          <w:iCs/>
          <w:shd w:val="clear" w:color="auto" w:fill="FFFFFF"/>
          <w:lang w:val="es-ES"/>
        </w:rPr>
        <w:t>fr.</w:t>
      </w:r>
      <w:r w:rsidRPr="00642757">
        <w:rPr>
          <w:iCs/>
          <w:shd w:val="clear" w:color="auto" w:fill="FFFFFF"/>
          <w:lang w:val="es-ES"/>
        </w:rPr>
        <w:t>))</w:t>
      </w:r>
    </w:p>
    <w:p w14:paraId="43FD907A" w14:textId="5F2807A8" w:rsidR="008253BD" w:rsidRDefault="008253BD" w:rsidP="00052395">
      <w:pPr>
        <w:tabs>
          <w:tab w:val="clear" w:pos="794"/>
          <w:tab w:val="clear" w:pos="1191"/>
          <w:tab w:val="clear" w:pos="1588"/>
          <w:tab w:val="left" w:pos="1418"/>
        </w:tabs>
        <w:rPr>
          <w:lang w:val="es-ES"/>
        </w:rPr>
      </w:pPr>
      <w:r w:rsidRPr="008253BD">
        <w:rPr>
          <w:lang w:val="es-ES"/>
        </w:rPr>
        <w:t>ORT</w:t>
      </w:r>
      <w:r>
        <w:rPr>
          <w:lang w:val="es-ES"/>
        </w:rPr>
        <w:tab/>
      </w:r>
      <w:r w:rsidRPr="008253BD">
        <w:rPr>
          <w:lang w:val="es-ES"/>
        </w:rPr>
        <w:t>Operador de redes de telecomunicaciones</w:t>
      </w:r>
    </w:p>
    <w:p w14:paraId="0A9A051A" w14:textId="0454CB07" w:rsidR="00052395" w:rsidRPr="00642757" w:rsidRDefault="00052395" w:rsidP="00052395">
      <w:pPr>
        <w:tabs>
          <w:tab w:val="clear" w:pos="794"/>
          <w:tab w:val="clear" w:pos="1191"/>
          <w:tab w:val="clear" w:pos="1588"/>
          <w:tab w:val="left" w:pos="1418"/>
        </w:tabs>
        <w:rPr>
          <w:lang w:val="es-ES"/>
        </w:rPr>
      </w:pPr>
      <w:r w:rsidRPr="00642757">
        <w:rPr>
          <w:lang w:val="es-ES"/>
        </w:rPr>
        <w:t>QoS</w:t>
      </w:r>
      <w:r w:rsidRPr="00642757">
        <w:rPr>
          <w:rStyle w:val="ECCHLbold"/>
          <w:rFonts w:asciiTheme="majorBidi" w:hAnsiTheme="majorBidi"/>
          <w:bCs/>
          <w:szCs w:val="24"/>
          <w:lang w:val="es-ES"/>
        </w:rPr>
        <w:tab/>
      </w:r>
      <w:r w:rsidRPr="00642757">
        <w:rPr>
          <w:lang w:val="es-ES"/>
        </w:rPr>
        <w:t>Calidad del servicio</w:t>
      </w:r>
      <w:r w:rsidR="008253BD">
        <w:rPr>
          <w:lang w:val="es-ES"/>
        </w:rPr>
        <w:t xml:space="preserve"> (</w:t>
      </w:r>
      <w:r w:rsidR="008253BD" w:rsidRPr="005E5A77">
        <w:rPr>
          <w:i/>
          <w:iCs/>
          <w:lang w:val="es-ES"/>
        </w:rPr>
        <w:t>quality of service</w:t>
      </w:r>
      <w:r w:rsidR="008253BD" w:rsidRPr="005E5A77">
        <w:rPr>
          <w:lang w:val="es-ES"/>
        </w:rPr>
        <w:t>)</w:t>
      </w:r>
    </w:p>
    <w:p w14:paraId="02213E77" w14:textId="0A6AA260" w:rsidR="00052395" w:rsidRPr="00642757" w:rsidRDefault="00052395" w:rsidP="00052395">
      <w:pPr>
        <w:tabs>
          <w:tab w:val="clear" w:pos="794"/>
          <w:tab w:val="clear" w:pos="1191"/>
          <w:tab w:val="clear" w:pos="1588"/>
          <w:tab w:val="left" w:pos="1418"/>
        </w:tabs>
        <w:rPr>
          <w:bdr w:val="none" w:sz="0" w:space="0" w:color="auto" w:frame="1"/>
          <w:lang w:val="es-ES"/>
        </w:rPr>
      </w:pPr>
      <w:r w:rsidRPr="00642757">
        <w:rPr>
          <w:lang w:val="es-ES"/>
        </w:rPr>
        <w:t>RF</w:t>
      </w:r>
      <w:r w:rsidRPr="00642757">
        <w:rPr>
          <w:lang w:val="es-ES"/>
        </w:rPr>
        <w:tab/>
        <w:t>Frecuencias de radiocomunicaciones</w:t>
      </w:r>
      <w:r w:rsidR="008253BD">
        <w:rPr>
          <w:lang w:val="es-ES"/>
        </w:rPr>
        <w:t xml:space="preserve"> (</w:t>
      </w:r>
      <w:r w:rsidR="008253BD" w:rsidRPr="005E5A77">
        <w:rPr>
          <w:i/>
          <w:iCs/>
          <w:lang w:val="es-ES"/>
        </w:rPr>
        <w:t>radio frequencies</w:t>
      </w:r>
      <w:r w:rsidR="008253BD" w:rsidRPr="005E5A77">
        <w:rPr>
          <w:lang w:val="es-ES"/>
        </w:rPr>
        <w:t>)</w:t>
      </w:r>
    </w:p>
    <w:p w14:paraId="06F0FA17" w14:textId="77777777" w:rsidR="006960BC" w:rsidRPr="00642757" w:rsidRDefault="006960BC" w:rsidP="00052395">
      <w:pPr>
        <w:tabs>
          <w:tab w:val="clear" w:pos="794"/>
          <w:tab w:val="clear" w:pos="1191"/>
          <w:tab w:val="clear" w:pos="1588"/>
          <w:tab w:val="left" w:pos="1418"/>
        </w:tabs>
        <w:rPr>
          <w:lang w:val="es-ES"/>
        </w:rPr>
      </w:pPr>
      <w:r w:rsidRPr="00642757">
        <w:rPr>
          <w:lang w:val="es-ES" w:eastAsia="zh-CN"/>
        </w:rPr>
        <w:t>UE</w:t>
      </w:r>
      <w:r w:rsidRPr="00642757">
        <w:rPr>
          <w:lang w:val="es-ES"/>
        </w:rPr>
        <w:tab/>
      </w:r>
      <w:r w:rsidRPr="00642757">
        <w:rPr>
          <w:lang w:val="es-ES" w:eastAsia="zh-CN"/>
        </w:rPr>
        <w:t>Unión Europea</w:t>
      </w:r>
    </w:p>
    <w:p w14:paraId="63D95C78" w14:textId="77777777" w:rsidR="006960BC" w:rsidRPr="00642757" w:rsidRDefault="006960BC">
      <w:pPr>
        <w:pStyle w:val="Heading1"/>
        <w:rPr>
          <w:lang w:val="es-ES"/>
        </w:rPr>
      </w:pPr>
      <w:bookmarkStart w:id="7" w:name="_Toc55378804"/>
      <w:r w:rsidRPr="00642757">
        <w:rPr>
          <w:lang w:val="es-ES"/>
        </w:rPr>
        <w:t>3</w:t>
      </w:r>
      <w:r w:rsidRPr="00642757">
        <w:rPr>
          <w:lang w:val="es-ES"/>
        </w:rPr>
        <w:tab/>
        <w:t>Objetos y parámetros de medición para estimar la cobertura de población</w:t>
      </w:r>
      <w:bookmarkEnd w:id="7"/>
      <w:r w:rsidRPr="00642757">
        <w:rPr>
          <w:lang w:val="es-ES"/>
        </w:rPr>
        <w:t xml:space="preserve"> </w:t>
      </w:r>
    </w:p>
    <w:p w14:paraId="24BD610E" w14:textId="779ACB28" w:rsidR="006960BC" w:rsidRPr="00642757" w:rsidRDefault="006960BC">
      <w:pPr>
        <w:rPr>
          <w:lang w:val="es-ES" w:eastAsia="zh-CN"/>
        </w:rPr>
      </w:pPr>
      <w:bookmarkStart w:id="8" w:name="_Toc55378805"/>
      <w:r w:rsidRPr="00642757">
        <w:rPr>
          <w:bCs/>
          <w:lang w:val="es-ES" w:eastAsia="zh-CN"/>
        </w:rPr>
        <w:t>La estimación de la cobertura de población debe realizarse teniendo en cuenta que la clasificación de</w:t>
      </w:r>
      <w:bookmarkEnd w:id="8"/>
      <w:r w:rsidRPr="00642757">
        <w:rPr>
          <w:lang w:val="es-ES" w:eastAsia="zh-CN"/>
        </w:rPr>
        <w:t xml:space="preserve"> la población con respecto a las tecnologías de radiocomunicaciones varía de un país a otro. Las clases de población utilizadas a los efectos de estimación</w:t>
      </w:r>
      <w:bookmarkStart w:id="9" w:name="_Toc55378806"/>
      <w:r w:rsidRPr="00642757">
        <w:rPr>
          <w:lang w:val="es-ES" w:eastAsia="zh-CN"/>
        </w:rPr>
        <w:t xml:space="preserve"> de cobertura de población</w:t>
      </w:r>
      <w:bookmarkEnd w:id="9"/>
      <w:r w:rsidRPr="00642757">
        <w:rPr>
          <w:lang w:val="es-ES" w:eastAsia="zh-CN"/>
        </w:rPr>
        <w:t xml:space="preserve"> se denominan </w:t>
      </w:r>
      <w:r w:rsidR="008253BD">
        <w:rPr>
          <w:lang w:val="es-ES" w:eastAsia="zh-CN"/>
        </w:rPr>
        <w:t>«</w:t>
      </w:r>
      <w:r w:rsidRPr="00642757">
        <w:rPr>
          <w:bCs/>
          <w:iCs/>
          <w:lang w:val="es-ES" w:eastAsia="zh-CN"/>
        </w:rPr>
        <w:t>objetos</w:t>
      </w:r>
      <w:r w:rsidR="008253BD">
        <w:rPr>
          <w:bCs/>
          <w:iCs/>
          <w:lang w:val="es-ES" w:eastAsia="zh-CN"/>
        </w:rPr>
        <w:t>»</w:t>
      </w:r>
      <w:r w:rsidRPr="00642757">
        <w:rPr>
          <w:bCs/>
          <w:iCs/>
          <w:lang w:val="es-ES" w:eastAsia="zh-CN"/>
        </w:rPr>
        <w:t>, según se</w:t>
      </w:r>
      <w:r w:rsidRPr="00642757">
        <w:rPr>
          <w:lang w:val="es-ES" w:eastAsia="zh-CN"/>
        </w:rPr>
        <w:t xml:space="preserve"> enumeran a continuación:</w:t>
      </w:r>
    </w:p>
    <w:p w14:paraId="10411A6C" w14:textId="5B7F4F06" w:rsidR="006960BC" w:rsidRPr="005E5A77" w:rsidRDefault="006960BC" w:rsidP="008253BD">
      <w:pPr>
        <w:pStyle w:val="enumlev1"/>
        <w:rPr>
          <w:lang w:val="es-ES"/>
        </w:rPr>
      </w:pPr>
      <w:r w:rsidRPr="005E5A77">
        <w:rPr>
          <w:lang w:val="es-ES"/>
        </w:rPr>
        <w:t>–</w:t>
      </w:r>
      <w:r w:rsidRPr="005E5A77">
        <w:rPr>
          <w:lang w:val="es-ES"/>
        </w:rPr>
        <w:tab/>
        <w:t>habitantes</w:t>
      </w:r>
    </w:p>
    <w:p w14:paraId="2C9F6DE3" w14:textId="7168C5F5" w:rsidR="006960BC" w:rsidRPr="005E5A77" w:rsidRDefault="006960BC" w:rsidP="008253BD">
      <w:pPr>
        <w:pStyle w:val="enumlev1"/>
        <w:rPr>
          <w:lang w:val="es-ES"/>
        </w:rPr>
      </w:pPr>
      <w:r w:rsidRPr="005E5A77">
        <w:rPr>
          <w:lang w:val="es-ES"/>
        </w:rPr>
        <w:t>–</w:t>
      </w:r>
      <w:r w:rsidRPr="005E5A77">
        <w:rPr>
          <w:lang w:val="es-ES"/>
        </w:rPr>
        <w:tab/>
        <w:t>hogares</w:t>
      </w:r>
    </w:p>
    <w:p w14:paraId="7B477055" w14:textId="0DD2F760" w:rsidR="006960BC" w:rsidRPr="005E5A77" w:rsidRDefault="006960BC" w:rsidP="008253BD">
      <w:pPr>
        <w:pStyle w:val="enumlev1"/>
        <w:rPr>
          <w:lang w:val="es-ES"/>
        </w:rPr>
      </w:pPr>
      <w:r w:rsidRPr="005E5A77">
        <w:rPr>
          <w:lang w:val="es-ES"/>
        </w:rPr>
        <w:t>–</w:t>
      </w:r>
      <w:r w:rsidRPr="005E5A77">
        <w:rPr>
          <w:lang w:val="es-ES"/>
        </w:rPr>
        <w:tab/>
        <w:t>viviendas</w:t>
      </w:r>
    </w:p>
    <w:p w14:paraId="7EAD6908" w14:textId="7ED1DFA7" w:rsidR="006960BC" w:rsidRPr="005E5A77" w:rsidRDefault="006960BC" w:rsidP="008253BD">
      <w:pPr>
        <w:pStyle w:val="enumlev1"/>
        <w:rPr>
          <w:lang w:val="es-ES"/>
        </w:rPr>
      </w:pPr>
      <w:r w:rsidRPr="005E5A77">
        <w:rPr>
          <w:lang w:val="es-ES"/>
        </w:rPr>
        <w:t>–</w:t>
      </w:r>
      <w:r w:rsidRPr="005E5A77">
        <w:rPr>
          <w:lang w:val="es-ES"/>
        </w:rPr>
        <w:tab/>
        <w:t>usuarios</w:t>
      </w:r>
    </w:p>
    <w:p w14:paraId="5DA3575C" w14:textId="22EBD9D9" w:rsidR="006960BC" w:rsidRPr="005E5A77" w:rsidRDefault="008253BD" w:rsidP="008253BD">
      <w:pPr>
        <w:pStyle w:val="enumlev1"/>
        <w:rPr>
          <w:lang w:val="es-ES"/>
        </w:rPr>
      </w:pPr>
      <w:r w:rsidRPr="005E5A77">
        <w:rPr>
          <w:lang w:val="es-ES"/>
        </w:rPr>
        <w:t>–</w:t>
      </w:r>
      <w:r w:rsidRPr="005E5A77">
        <w:rPr>
          <w:lang w:val="es-ES"/>
        </w:rPr>
        <w:tab/>
      </w:r>
      <w:r w:rsidR="006960BC" w:rsidRPr="005E5A77">
        <w:rPr>
          <w:lang w:val="es-ES"/>
        </w:rPr>
        <w:t>abonados.</w:t>
      </w:r>
    </w:p>
    <w:p w14:paraId="5E5B3D36" w14:textId="77777777" w:rsidR="006960BC" w:rsidRPr="00642757" w:rsidRDefault="006960BC">
      <w:pPr>
        <w:rPr>
          <w:lang w:val="es-ES" w:eastAsia="zh-CN"/>
        </w:rPr>
      </w:pPr>
      <w:r w:rsidRPr="00642757">
        <w:rPr>
          <w:lang w:val="es-ES" w:eastAsia="zh-CN"/>
        </w:rPr>
        <w:t>La medición de la cobertura de población puede realizarse con arreglo a las siguientes características de servicio:</w:t>
      </w:r>
    </w:p>
    <w:p w14:paraId="6D4823D2" w14:textId="4EC63C64" w:rsidR="006960BC" w:rsidRPr="005E5A77" w:rsidRDefault="006960BC" w:rsidP="008253BD">
      <w:pPr>
        <w:pStyle w:val="enumlev1"/>
        <w:rPr>
          <w:lang w:val="es-ES"/>
        </w:rPr>
      </w:pPr>
      <w:r w:rsidRPr="005E5A77">
        <w:rPr>
          <w:lang w:val="es-ES"/>
        </w:rPr>
        <w:t>–</w:t>
      </w:r>
      <w:r w:rsidRPr="005E5A77">
        <w:rPr>
          <w:lang w:val="es-ES"/>
        </w:rPr>
        <w:tab/>
        <w:t>Propiedades de radiofrecuencia</w:t>
      </w:r>
      <w:r w:rsidR="008253BD" w:rsidRPr="005E5A77">
        <w:rPr>
          <w:lang w:val="es-ES"/>
        </w:rPr>
        <w:t>.</w:t>
      </w:r>
    </w:p>
    <w:p w14:paraId="03931C04" w14:textId="4A29CD92" w:rsidR="006960BC" w:rsidRPr="005E5A77" w:rsidRDefault="008253BD" w:rsidP="008253BD">
      <w:pPr>
        <w:pStyle w:val="enumlev1"/>
        <w:rPr>
          <w:lang w:val="es-ES"/>
        </w:rPr>
      </w:pPr>
      <w:r w:rsidRPr="005E5A77">
        <w:rPr>
          <w:lang w:val="es-ES"/>
        </w:rPr>
        <w:t>–</w:t>
      </w:r>
      <w:r w:rsidRPr="005E5A77">
        <w:rPr>
          <w:lang w:val="es-ES"/>
        </w:rPr>
        <w:tab/>
      </w:r>
      <w:r w:rsidR="006960BC" w:rsidRPr="005E5A77">
        <w:rPr>
          <w:lang w:val="es-ES"/>
        </w:rPr>
        <w:t>Calidad del servicio.</w:t>
      </w:r>
    </w:p>
    <w:p w14:paraId="3DA66825" w14:textId="24656286" w:rsidR="006960BC" w:rsidRPr="00642757" w:rsidRDefault="006960BC">
      <w:pPr>
        <w:rPr>
          <w:bCs/>
          <w:lang w:val="es-ES"/>
        </w:rPr>
      </w:pPr>
      <w:r w:rsidRPr="00642757">
        <w:rPr>
          <w:lang w:val="es-ES"/>
        </w:rPr>
        <w:lastRenderedPageBreak/>
        <w:t xml:space="preserve">Las propiedades de radiofrecuencia suelen guardar relación con la potencia de la señal recibida en un emplazamiento de medición específico. En la mayoría de los casos, la potencia de la señal recibida determina la zona de cobertura. Sin embargo, la calidad de servicio </w:t>
      </w:r>
      <w:r w:rsidRPr="00642757">
        <w:rPr>
          <w:bCs/>
          <w:lang w:val="es-ES"/>
        </w:rPr>
        <w:t>determina la zona de servicio.</w:t>
      </w:r>
    </w:p>
    <w:p w14:paraId="33F6311A" w14:textId="77777777" w:rsidR="006960BC" w:rsidRPr="00642757" w:rsidRDefault="006960BC">
      <w:pPr>
        <w:rPr>
          <w:lang w:val="es-ES" w:eastAsia="zh-CN"/>
        </w:rPr>
      </w:pPr>
      <w:r w:rsidRPr="00642757">
        <w:rPr>
          <w:lang w:val="es-ES" w:eastAsia="zh-CN"/>
        </w:rPr>
        <w:t>A nivel cuantitativo, la cobertura de población en una zona de prueba puede estimarse mediante los siguientes parámetros:</w:t>
      </w:r>
    </w:p>
    <w:p w14:paraId="06C68E3C" w14:textId="75EB85AD" w:rsidR="006960BC" w:rsidRDefault="006960BC" w:rsidP="008253BD">
      <w:pPr>
        <w:pStyle w:val="enumlev1"/>
        <w:rPr>
          <w:lang w:val="es-ES" w:eastAsia="zh-CN"/>
        </w:rPr>
      </w:pPr>
      <w:r w:rsidRPr="005E5A77">
        <w:rPr>
          <w:lang w:val="es-ES" w:eastAsia="zh-CN"/>
        </w:rPr>
        <w:t>–</w:t>
      </w:r>
      <w:r w:rsidRPr="005E5A77">
        <w:rPr>
          <w:lang w:val="es-ES" w:eastAsia="zh-CN"/>
        </w:rPr>
        <w:tab/>
      </w:r>
      <w:r w:rsidRPr="005E5A77">
        <w:rPr>
          <w:lang w:val="es-ES"/>
        </w:rPr>
        <w:t>número</w:t>
      </w:r>
      <w:r w:rsidRPr="00642757">
        <w:rPr>
          <w:lang w:val="es-ES" w:eastAsia="zh-CN"/>
        </w:rPr>
        <w:t xml:space="preserve"> total de objetos</w:t>
      </w:r>
      <w:r w:rsidR="008253BD">
        <w:rPr>
          <w:lang w:val="es-ES" w:eastAsia="zh-CN"/>
        </w:rPr>
        <w:t>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cov.</m:t>
            </m:r>
          </m:sub>
        </m:sSub>
        <m:r>
          <w:rPr>
            <w:rFonts w:ascii="Cambria Math" w:hAnsi="Cambria Math"/>
            <w:lang w:val="es-ES"/>
          </w:rPr>
          <m:t xml:space="preserve">  </m:t>
        </m:r>
      </m:oMath>
      <w:r w:rsidR="008253BD" w:rsidRPr="005E5A77">
        <w:rPr>
          <w:lang w:val="es-ES" w:eastAsia="zh-CN"/>
        </w:rPr>
        <w:t> i</w:t>
      </w:r>
      <w:r w:rsidRPr="00642757">
        <w:rPr>
          <w:lang w:val="es-ES" w:eastAsia="zh-CN"/>
        </w:rPr>
        <w:t>nscritos en la zona de prueba con servicios de radiocomunicaciones</w:t>
      </w:r>
    </w:p>
    <w:p w14:paraId="0A4B5AD5" w14:textId="51FE6E16" w:rsidR="006960BC" w:rsidRPr="00642757" w:rsidRDefault="006960BC" w:rsidP="008253BD">
      <w:pPr>
        <w:pStyle w:val="enumlev1"/>
        <w:rPr>
          <w:lang w:val="es-ES" w:eastAsia="zh-CN"/>
        </w:rPr>
      </w:pPr>
      <w:r w:rsidRPr="005E5A77">
        <w:rPr>
          <w:lang w:val="es-ES" w:eastAsia="zh-CN"/>
        </w:rPr>
        <w:t>–</w:t>
      </w:r>
      <w:r w:rsidRPr="005E5A77">
        <w:rPr>
          <w:lang w:val="es-ES" w:eastAsia="zh-CN"/>
        </w:rPr>
        <w:tab/>
      </w:r>
      <w:r w:rsidRPr="005E5A77">
        <w:rPr>
          <w:lang w:val="es-ES"/>
        </w:rPr>
        <w:t>número</w:t>
      </w:r>
      <w:r w:rsidRPr="00642757">
        <w:rPr>
          <w:lang w:val="es-ES" w:eastAsia="zh-CN"/>
        </w:rPr>
        <w:t xml:space="preserve"> total de objetos en la zona de prueba,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tot.</m:t>
            </m:r>
          </m:sub>
        </m:sSub>
      </m:oMath>
    </w:p>
    <w:p w14:paraId="07E8585A" w14:textId="2E3A4C06" w:rsidR="006960BC" w:rsidRPr="00642757" w:rsidRDefault="008253BD" w:rsidP="008253BD">
      <w:pPr>
        <w:pStyle w:val="enumlev1"/>
        <w:rPr>
          <w:lang w:val="es-ES" w:eastAsia="zh-CN"/>
        </w:rPr>
      </w:pPr>
      <w:r w:rsidRPr="005E5A77">
        <w:rPr>
          <w:lang w:val="es-ES" w:eastAsia="zh-CN"/>
        </w:rPr>
        <w:t>–</w:t>
      </w:r>
      <w:r w:rsidRPr="005E5A77">
        <w:rPr>
          <w:lang w:val="es-ES" w:eastAsia="zh-CN"/>
        </w:rPr>
        <w:tab/>
      </w:r>
      <w:r w:rsidR="006960BC" w:rsidRPr="005E5A77">
        <w:rPr>
          <w:lang w:val="es-ES"/>
        </w:rPr>
        <w:t>parámetro</w:t>
      </w:r>
      <w:r w:rsidR="006960BC" w:rsidRPr="00642757">
        <w:rPr>
          <w:lang w:val="es-ES" w:eastAsia="zh-CN"/>
        </w:rPr>
        <w:t xml:space="preserve"> de cobertura, </w:t>
      </w:r>
      <m:oMath>
        <m:sSub>
          <m:sSubPr>
            <m:ctrlPr>
              <w:rPr>
                <w:rFonts w:ascii="Cambria Math" w:hAnsi="Cambria Math"/>
                <w:i/>
                <w:lang w:val="es-ES" w:eastAsia="zh-CN"/>
              </w:rPr>
            </m:ctrlPr>
          </m:sSubPr>
          <m:e>
            <m:r>
              <w:rPr>
                <w:rFonts w:ascii="Cambria Math" w:hAnsi="Cambria Math"/>
                <w:lang w:val="es-ES" w:eastAsia="zh-CN"/>
              </w:rPr>
              <m:t>C</m:t>
            </m:r>
          </m:e>
          <m:sub>
            <m:r>
              <w:rPr>
                <w:rFonts w:ascii="Cambria Math" w:hAnsi="Cambria Math"/>
                <w:lang w:val="es-ES" w:eastAsia="zh-CN"/>
              </w:rPr>
              <m:t>%</m:t>
            </m:r>
          </m:sub>
        </m:sSub>
        <m:r>
          <w:rPr>
            <w:rFonts w:ascii="Cambria Math" w:hAnsi="Cambria Math"/>
            <w:lang w:val="es-ES" w:eastAsia="zh-CN"/>
          </w:rPr>
          <m:t>,</m:t>
        </m:r>
      </m:oMath>
      <w:r w:rsidR="006960BC" w:rsidRPr="00642757">
        <w:rPr>
          <w:lang w:val="es-ES" w:eastAsia="zh-CN"/>
        </w:rPr>
        <w:t xml:space="preserve"> </w:t>
      </w:r>
      <w:r w:rsidR="006960BC" w:rsidRPr="00642757">
        <w:rPr>
          <w:lang w:val="es-ES"/>
        </w:rPr>
        <w:t xml:space="preserve">porcentaje de </w:t>
      </w:r>
      <w:r w:rsidR="006960BC" w:rsidRPr="00642757">
        <w:rPr>
          <w:lang w:val="es-ES" w:eastAsia="zh-CN"/>
        </w:rPr>
        <w:t xml:space="preserve">objetos </w:t>
      </w:r>
      <w:r w:rsidR="006960BC" w:rsidRPr="00642757">
        <w:rPr>
          <w:lang w:val="es-ES"/>
        </w:rPr>
        <w:t>en la zona abarcada.</w:t>
      </w:r>
    </w:p>
    <w:p w14:paraId="7792264B" w14:textId="44C1C5D4" w:rsidR="006960BC" w:rsidRPr="00642757" w:rsidRDefault="006960BC">
      <w:pPr>
        <w:rPr>
          <w:lang w:val="es-ES" w:eastAsia="zh-CN"/>
        </w:rPr>
      </w:pPr>
      <w:r w:rsidRPr="00642757">
        <w:rPr>
          <w:lang w:val="es-ES"/>
        </w:rPr>
        <w:t xml:space="preserve">El </w:t>
      </w:r>
      <w:r w:rsidRPr="00642757">
        <w:rPr>
          <w:lang w:val="es-ES" w:eastAsia="zh-CN"/>
        </w:rPr>
        <w:t xml:space="preserve">parámetro </w:t>
      </w:r>
      <m:oMath>
        <m:sSub>
          <m:sSubPr>
            <m:ctrlPr>
              <w:rPr>
                <w:rFonts w:ascii="Cambria Math" w:hAnsi="Cambria Math"/>
                <w:i/>
                <w:lang w:val="es-ES" w:eastAsia="zh-CN"/>
              </w:rPr>
            </m:ctrlPr>
          </m:sSubPr>
          <m:e>
            <m:r>
              <w:rPr>
                <w:rFonts w:ascii="Cambria Math" w:hAnsi="Cambria Math"/>
                <w:lang w:val="es-ES" w:eastAsia="zh-CN"/>
              </w:rPr>
              <m:t>C</m:t>
            </m:r>
          </m:e>
          <m:sub>
            <m:r>
              <w:rPr>
                <w:rFonts w:ascii="Cambria Math" w:hAnsi="Cambria Math"/>
                <w:lang w:val="es-ES" w:eastAsia="zh-CN"/>
              </w:rPr>
              <m:t>%</m:t>
            </m:r>
          </m:sub>
        </m:sSub>
      </m:oMath>
      <w:r w:rsidRPr="00642757">
        <w:rPr>
          <w:lang w:val="es-ES"/>
        </w:rPr>
        <w:t xml:space="preserve"> se calcula dividiendo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cov.</m:t>
            </m:r>
          </m:sub>
        </m:sSub>
      </m:oMath>
      <w:r w:rsidRPr="00642757">
        <w:rPr>
          <w:lang w:val="es-ES"/>
        </w:rPr>
        <w:t xml:space="preserve"> por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tot.</m:t>
            </m:r>
          </m:sub>
        </m:sSub>
      </m:oMath>
      <w:r w:rsidRPr="00642757">
        <w:rPr>
          <w:lang w:val="es-ES" w:eastAsia="zh-CN"/>
        </w:rPr>
        <w:t xml:space="preserve"> en la zona de prueba:</w:t>
      </w:r>
    </w:p>
    <w:p w14:paraId="0CB20279" w14:textId="77777777" w:rsidR="008253BD" w:rsidRPr="005E5A77" w:rsidRDefault="008253BD" w:rsidP="008253BD">
      <w:pPr>
        <w:pStyle w:val="Blanc"/>
        <w:rPr>
          <w:lang w:val="es-ES" w:eastAsia="zh-CN"/>
        </w:rPr>
      </w:pPr>
    </w:p>
    <w:p w14:paraId="3CD414E4" w14:textId="2A940C8B"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i/>
                <w:lang w:val="es-ES" w:eastAsia="zh-CN"/>
              </w:rPr>
            </m:ctrlPr>
          </m:sSubPr>
          <m:e>
            <m:r>
              <w:rPr>
                <w:rFonts w:ascii="Cambria Math" w:hAnsi="Cambria Math"/>
                <w:lang w:val="es-ES" w:eastAsia="zh-CN"/>
              </w:rPr>
              <m:t>C</m:t>
            </m:r>
          </m:e>
          <m:sub>
            <m:r>
              <w:rPr>
                <w:rFonts w:ascii="Cambria Math" w:hAnsi="Cambria Math"/>
                <w:lang w:val="es-ES" w:eastAsia="zh-CN"/>
              </w:rPr>
              <m:t>%</m:t>
            </m:r>
          </m:sub>
        </m:sSub>
        <m:r>
          <w:rPr>
            <w:rFonts w:ascii="Cambria Math" w:hAnsi="Cambria Math"/>
            <w:lang w:val="es-ES" w:eastAsia="zh-CN"/>
          </w:rPr>
          <m:t>=</m:t>
        </m:r>
        <m:f>
          <m:fPr>
            <m:ctrlPr>
              <w:rPr>
                <w:rFonts w:ascii="Cambria Math" w:hAnsi="Cambria Math"/>
                <w:i/>
                <w:lang w:val="es-ES" w:eastAsia="zh-CN"/>
              </w:rPr>
            </m:ctrlPr>
          </m:fPr>
          <m:num>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cov.</m:t>
                </m:r>
              </m:sub>
            </m:sSub>
          </m:num>
          <m:den>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tot.</m:t>
                </m:r>
              </m:sub>
            </m:sSub>
          </m:den>
        </m:f>
        <m:r>
          <w:rPr>
            <w:rFonts w:ascii="Cambria Math" w:hAnsi="Cambria Math"/>
            <w:lang w:val="es-ES" w:eastAsia="zh-CN"/>
          </w:rPr>
          <m:t>∙100%</m:t>
        </m:r>
      </m:oMath>
      <w:r w:rsidRPr="00642757">
        <w:rPr>
          <w:lang w:val="es-ES" w:eastAsia="zh-CN"/>
        </w:rPr>
        <w:tab/>
        <w:t>(1)</w:t>
      </w:r>
    </w:p>
    <w:p w14:paraId="04D022EE" w14:textId="77777777" w:rsidR="008253BD" w:rsidRPr="005E5A77" w:rsidRDefault="008253BD" w:rsidP="008253BD">
      <w:pPr>
        <w:pStyle w:val="Blanc"/>
        <w:rPr>
          <w:lang w:val="es-ES" w:eastAsia="zh-CN"/>
        </w:rPr>
      </w:pPr>
    </w:p>
    <w:p w14:paraId="2F323C3B" w14:textId="4757AEDD" w:rsidR="006960BC" w:rsidRPr="00642757" w:rsidRDefault="006960BC">
      <w:pPr>
        <w:rPr>
          <w:szCs w:val="24"/>
          <w:lang w:val="es-ES" w:eastAsia="zh-CN"/>
        </w:rPr>
      </w:pPr>
      <w:r w:rsidRPr="00642757">
        <w:rPr>
          <w:lang w:val="es-ES" w:eastAsia="zh-CN"/>
        </w:rPr>
        <w:t xml:space="preserve">En la práctica, la estimación del número de </w:t>
      </w:r>
      <w:r w:rsidRPr="00642757">
        <w:rPr>
          <w:szCs w:val="24"/>
          <w:lang w:val="es-ES" w:eastAsia="zh-CN"/>
        </w:rPr>
        <w:t xml:space="preserve">objetos </w:t>
      </w:r>
      <w:r w:rsidRPr="00642757">
        <w:rPr>
          <w:lang w:val="es-ES" w:eastAsia="zh-CN"/>
        </w:rPr>
        <w:t>en territorios extensos es un problema muy complejo. En esos casos</w:t>
      </w:r>
      <w:r w:rsidRPr="00642757">
        <w:rPr>
          <w:i/>
          <w:lang w:val="es-ES" w:eastAsia="zh-CN"/>
        </w:rPr>
        <w:t>,</w:t>
      </w:r>
      <w:r w:rsidRPr="00642757">
        <w:rPr>
          <w:lang w:val="es-ES" w:eastAsia="zh-CN"/>
        </w:rPr>
        <w:t xml:space="preserve"> la cobertura de </w:t>
      </w:r>
      <w:r w:rsidRPr="00642757">
        <w:rPr>
          <w:szCs w:val="24"/>
          <w:lang w:val="es-ES" w:eastAsia="zh-CN"/>
        </w:rPr>
        <w:t xml:space="preserve">población </w:t>
      </w:r>
      <m:oMath>
        <m:sSub>
          <m:sSubPr>
            <m:ctrlPr>
              <w:rPr>
                <w:rFonts w:ascii="Cambria Math" w:hAnsi="Cambria Math"/>
                <w:i/>
                <w:lang w:val="es-ES" w:eastAsia="zh-CN"/>
              </w:rPr>
            </m:ctrlPr>
          </m:sSubPr>
          <m:e>
            <m:r>
              <w:rPr>
                <w:rFonts w:ascii="Cambria Math" w:hAnsi="Cambria Math"/>
                <w:lang w:val="es-ES" w:eastAsia="zh-CN"/>
              </w:rPr>
              <m:t>C</m:t>
            </m:r>
          </m:e>
          <m:sub>
            <m:r>
              <w:rPr>
                <w:rFonts w:ascii="Cambria Math" w:hAnsi="Cambria Math"/>
                <w:lang w:val="es-ES" w:eastAsia="zh-CN"/>
              </w:rPr>
              <m:t>%</m:t>
            </m:r>
          </m:sub>
        </m:sSub>
      </m:oMath>
      <w:r w:rsidR="008253BD">
        <w:rPr>
          <w:lang w:val="es-ES" w:eastAsia="zh-CN"/>
        </w:rPr>
        <w:t xml:space="preserve"> p</w:t>
      </w:r>
      <w:r w:rsidRPr="00642757">
        <w:rPr>
          <w:lang w:val="es-ES" w:eastAsia="zh-CN"/>
        </w:rPr>
        <w:t>uede calcularse por medio de la ecuación (2):</w:t>
      </w:r>
    </w:p>
    <w:p w14:paraId="28CBFF49" w14:textId="77777777" w:rsidR="00EF7305" w:rsidRPr="005E5A77" w:rsidRDefault="00EF7305" w:rsidP="00EF7305">
      <w:pPr>
        <w:pStyle w:val="Blanc"/>
        <w:rPr>
          <w:lang w:val="es-ES" w:eastAsia="zh-CN"/>
        </w:rPr>
      </w:pPr>
    </w:p>
    <w:p w14:paraId="353D6F43" w14:textId="77777777"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i/>
                <w:lang w:val="es-ES" w:eastAsia="zh-CN"/>
              </w:rPr>
            </m:ctrlPr>
          </m:sSubPr>
          <m:e>
            <m:r>
              <w:rPr>
                <w:rFonts w:ascii="Cambria Math"/>
                <w:lang w:val="es-ES" w:eastAsia="zh-CN"/>
              </w:rPr>
              <m:t>C</m:t>
            </m:r>
          </m:e>
          <m:sub>
            <m:r>
              <w:rPr>
                <w:rFonts w:ascii="Cambria Math"/>
                <w:lang w:val="es-ES" w:eastAsia="zh-CN"/>
              </w:rPr>
              <m:t>%</m:t>
            </m:r>
          </m:sub>
        </m:sSub>
        <m:r>
          <w:rPr>
            <w:rFonts w:ascii="Cambria Math"/>
            <w:lang w:val="es-ES" w:eastAsia="zh-CN"/>
          </w:rPr>
          <m:t>=</m:t>
        </m:r>
        <m:f>
          <m:fPr>
            <m:ctrlPr>
              <w:rPr>
                <w:rFonts w:ascii="Cambria Math" w:hAnsi="Cambria Math"/>
                <w:i/>
                <w:lang w:val="es-ES" w:eastAsia="zh-CN"/>
              </w:rPr>
            </m:ctrlPr>
          </m:fPr>
          <m:num>
            <m:r>
              <w:rPr>
                <w:rFonts w:ascii="Cambria Math"/>
                <w:lang w:val="es-ES" w:eastAsia="zh-CN"/>
              </w:rPr>
              <m:t>DP</m:t>
            </m:r>
            <m:r>
              <w:rPr>
                <w:rFonts w:ascii="Cambria Math" w:hAnsi="Cambria Math" w:cs="Cambria Math"/>
                <w:lang w:val="es-ES" w:eastAsia="zh-CN"/>
              </w:rPr>
              <m:t>⋅</m:t>
            </m:r>
            <m:sSub>
              <m:sSubPr>
                <m:ctrlPr>
                  <w:rPr>
                    <w:rFonts w:ascii="Cambria Math" w:hAnsi="Cambria Math"/>
                    <w:i/>
                    <w:szCs w:val="24"/>
                    <w:lang w:val="es-ES" w:eastAsia="zh-CN"/>
                  </w:rPr>
                </m:ctrlPr>
              </m:sSubPr>
              <m:e>
                <m:r>
                  <w:rPr>
                    <w:rFonts w:ascii="Cambria Math" w:hAnsi="Cambria Math"/>
                    <w:szCs w:val="24"/>
                    <w:lang w:val="es-ES" w:eastAsia="zh-CN"/>
                  </w:rPr>
                  <m:t>S</m:t>
                </m:r>
              </m:e>
              <m:sub>
                <m:r>
                  <w:rPr>
                    <w:rFonts w:ascii="Cambria Math" w:hAnsi="Cambria Math"/>
                    <w:szCs w:val="24"/>
                    <w:lang w:val="es-ES" w:eastAsia="zh-CN"/>
                  </w:rPr>
                  <m:t>cov.</m:t>
                </m:r>
              </m:sub>
            </m:sSub>
          </m:num>
          <m:den>
            <m:sSub>
              <m:sSubPr>
                <m:ctrlPr>
                  <w:rPr>
                    <w:rFonts w:ascii="Cambria Math" w:hAnsi="Cambria Math"/>
                    <w:i/>
                    <w:lang w:val="es-ES" w:eastAsia="zh-CN"/>
                  </w:rPr>
                </m:ctrlPr>
              </m:sSubPr>
              <m:e>
                <m:r>
                  <w:rPr>
                    <w:rFonts w:ascii="Cambria Math"/>
                    <w:lang w:val="es-ES" w:eastAsia="zh-CN"/>
                  </w:rPr>
                  <m:t>N</m:t>
                </m:r>
              </m:e>
              <m:sub>
                <m:r>
                  <w:rPr>
                    <w:rFonts w:ascii="Cambria Math"/>
                    <w:lang w:val="es-ES" w:eastAsia="zh-CN"/>
                  </w:rPr>
                  <m:t>tot.</m:t>
                </m:r>
              </m:sub>
            </m:sSub>
          </m:den>
        </m:f>
        <m:r>
          <w:rPr>
            <w:rFonts w:ascii="Cambria Math" w:hAnsi="Cambria Math" w:cs="Cambria Math"/>
            <w:lang w:val="es-ES" w:eastAsia="zh-CN"/>
          </w:rPr>
          <m:t>⋅</m:t>
        </m:r>
        <m:r>
          <w:rPr>
            <w:rFonts w:ascii="Cambria Math"/>
            <w:lang w:val="es-ES" w:eastAsia="zh-CN"/>
          </w:rPr>
          <m:t>100%</m:t>
        </m:r>
      </m:oMath>
      <w:r w:rsidRPr="00642757">
        <w:rPr>
          <w:lang w:val="es-ES" w:eastAsia="zh-CN"/>
        </w:rPr>
        <w:tab/>
        <w:t>(2)</w:t>
      </w:r>
    </w:p>
    <w:p w14:paraId="10E2304A" w14:textId="7C623BF8" w:rsidR="006960BC" w:rsidRPr="00642757" w:rsidRDefault="006960BC">
      <w:pPr>
        <w:rPr>
          <w:lang w:val="es-ES" w:eastAsia="zh-CN"/>
        </w:rPr>
      </w:pPr>
      <w:r w:rsidRPr="00642757">
        <w:rPr>
          <w:lang w:val="es-ES" w:eastAsia="zh-CN"/>
        </w:rPr>
        <w:t>siendo:</w:t>
      </w:r>
    </w:p>
    <w:p w14:paraId="50633D48" w14:textId="77777777" w:rsidR="006960BC" w:rsidRPr="00642757" w:rsidRDefault="006960BC">
      <w:pPr>
        <w:pStyle w:val="Equationlegend"/>
        <w:rPr>
          <w:szCs w:val="24"/>
          <w:lang w:val="es-ES" w:eastAsia="zh-CN"/>
        </w:rPr>
      </w:pPr>
      <w:r w:rsidRPr="00642757">
        <w:rPr>
          <w:i/>
          <w:szCs w:val="24"/>
          <w:lang w:val="es-ES" w:eastAsia="zh-CN"/>
        </w:rPr>
        <w:tab/>
        <w:t xml:space="preserve">DP </w:t>
      </w:r>
      <w:r w:rsidRPr="00642757">
        <w:rPr>
          <w:szCs w:val="24"/>
          <w:lang w:val="es-ES" w:eastAsia="zh-CN"/>
        </w:rPr>
        <w:t>:</w:t>
      </w:r>
      <w:r w:rsidRPr="00642757">
        <w:rPr>
          <w:szCs w:val="24"/>
          <w:lang w:val="es-ES" w:eastAsia="zh-CN"/>
        </w:rPr>
        <w:tab/>
      </w:r>
      <w:r w:rsidRPr="00642757">
        <w:rPr>
          <w:lang w:val="es-ES" w:eastAsia="zh-CN"/>
        </w:rPr>
        <w:t>densidad de población (</w:t>
      </w:r>
      <w:r w:rsidRPr="00642757">
        <w:rPr>
          <w:szCs w:val="24"/>
          <w:lang w:val="es-ES" w:eastAsia="zh-CN"/>
        </w:rPr>
        <w:t xml:space="preserve">densidad de objetos) en el territorio </w:t>
      </w:r>
      <m:oMath>
        <m:sSub>
          <m:sSubPr>
            <m:ctrlPr>
              <w:rPr>
                <w:rFonts w:ascii="Cambria Math" w:hAnsi="Cambria Math"/>
                <w:i/>
                <w:szCs w:val="24"/>
                <w:lang w:val="es-ES" w:eastAsia="zh-CN"/>
              </w:rPr>
            </m:ctrlPr>
          </m:sSubPr>
          <m:e>
            <m:r>
              <w:rPr>
                <w:rFonts w:ascii="Cambria Math" w:hAnsi="Cambria Math"/>
                <w:szCs w:val="24"/>
                <w:lang w:val="es-ES" w:eastAsia="zh-CN"/>
              </w:rPr>
              <m:t>S</m:t>
            </m:r>
          </m:e>
          <m:sub>
            <m:r>
              <w:rPr>
                <w:rFonts w:ascii="Cambria Math" w:hAnsi="Cambria Math"/>
                <w:szCs w:val="24"/>
                <w:lang w:val="es-ES" w:eastAsia="zh-CN"/>
              </w:rPr>
              <m:t>tot.</m:t>
            </m:r>
          </m:sub>
        </m:sSub>
      </m:oMath>
    </w:p>
    <w:p w14:paraId="0A32C80E" w14:textId="10D77D2E" w:rsidR="006960BC" w:rsidRPr="00642757" w:rsidRDefault="006960BC">
      <w:pPr>
        <w:pStyle w:val="Equationlegend"/>
        <w:rPr>
          <w:szCs w:val="24"/>
          <w:lang w:val="es-ES" w:eastAsia="zh-CN"/>
        </w:rPr>
      </w:pPr>
      <w:r w:rsidRPr="00642757">
        <w:rPr>
          <w:i/>
          <w:szCs w:val="24"/>
          <w:lang w:val="es-ES" w:eastAsia="zh-CN"/>
        </w:rPr>
        <w:tab/>
      </w:r>
      <m:oMath>
        <m:sSub>
          <m:sSubPr>
            <m:ctrlPr>
              <w:rPr>
                <w:rFonts w:ascii="Cambria Math" w:hAnsi="Cambria Math"/>
                <w:i/>
                <w:szCs w:val="24"/>
                <w:lang w:val="es-ES" w:eastAsia="zh-CN"/>
              </w:rPr>
            </m:ctrlPr>
          </m:sSubPr>
          <m:e>
            <m:r>
              <w:rPr>
                <w:rFonts w:ascii="Cambria Math" w:hAnsi="Cambria Math"/>
                <w:szCs w:val="24"/>
                <w:lang w:val="es-ES" w:eastAsia="zh-CN"/>
              </w:rPr>
              <m:t>S</m:t>
            </m:r>
          </m:e>
          <m:sub>
            <m:r>
              <w:rPr>
                <w:rFonts w:ascii="Cambria Math" w:hAnsi="Cambria Math"/>
                <w:szCs w:val="24"/>
                <w:lang w:val="es-ES" w:eastAsia="zh-CN"/>
              </w:rPr>
              <m:t>cov.</m:t>
            </m:r>
          </m:sub>
        </m:sSub>
      </m:oMath>
      <w:r w:rsidRPr="00642757">
        <w:rPr>
          <w:szCs w:val="24"/>
          <w:lang w:val="es-ES" w:eastAsia="zh-CN"/>
        </w:rPr>
        <w:t xml:space="preserve"> :</w:t>
      </w:r>
      <w:r w:rsidRPr="00642757">
        <w:rPr>
          <w:szCs w:val="24"/>
          <w:lang w:val="es-ES" w:eastAsia="zh-CN"/>
        </w:rPr>
        <w:tab/>
        <w:t xml:space="preserve">zona de cobertura en el territorio </w:t>
      </w:r>
      <m:oMath>
        <m:sSub>
          <m:sSubPr>
            <m:ctrlPr>
              <w:rPr>
                <w:rFonts w:ascii="Cambria Math" w:hAnsi="Cambria Math"/>
                <w:i/>
                <w:szCs w:val="24"/>
                <w:lang w:val="es-ES" w:eastAsia="zh-CN"/>
              </w:rPr>
            </m:ctrlPr>
          </m:sSubPr>
          <m:e>
            <m:r>
              <w:rPr>
                <w:rFonts w:ascii="Cambria Math" w:hAnsi="Cambria Math"/>
                <w:szCs w:val="24"/>
                <w:lang w:val="es-ES" w:eastAsia="zh-CN"/>
              </w:rPr>
              <m:t>S</m:t>
            </m:r>
          </m:e>
          <m:sub>
            <m:r>
              <w:rPr>
                <w:rFonts w:ascii="Cambria Math" w:hAnsi="Cambria Math"/>
                <w:szCs w:val="24"/>
                <w:lang w:val="es-ES" w:eastAsia="zh-CN"/>
              </w:rPr>
              <m:t>tot.</m:t>
            </m:r>
          </m:sub>
        </m:sSub>
      </m:oMath>
      <w:r w:rsidRPr="00642757">
        <w:rPr>
          <w:szCs w:val="24"/>
          <w:lang w:val="es-ES" w:eastAsia="zh-CN"/>
        </w:rPr>
        <w:t>.</w:t>
      </w:r>
    </w:p>
    <w:p w14:paraId="59316CD8" w14:textId="77777777" w:rsidR="006960BC" w:rsidRPr="00642757" w:rsidRDefault="006960BC">
      <w:pPr>
        <w:rPr>
          <w:lang w:val="es-ES" w:eastAsia="zh-CN"/>
        </w:rPr>
      </w:pPr>
      <w:r w:rsidRPr="00642757">
        <w:rPr>
          <w:lang w:val="es-ES" w:eastAsia="zh-CN"/>
        </w:rPr>
        <w:t xml:space="preserve">Con objeto de definir el parámetro </w:t>
      </w:r>
      <w:r w:rsidRPr="00642757">
        <w:rPr>
          <w:i/>
          <w:lang w:val="es-ES" w:eastAsia="zh-CN"/>
        </w:rPr>
        <w:t xml:space="preserve">DP </w:t>
      </w:r>
      <w:r w:rsidRPr="00642757">
        <w:rPr>
          <w:lang w:val="es-ES" w:eastAsia="zh-CN"/>
        </w:rPr>
        <w:t>es necesario contar con datos sobre densidad de población. Afortunadamente, esa información suele estar a disposición a través de las autoridades nacionales.</w:t>
      </w:r>
    </w:p>
    <w:p w14:paraId="5829774E" w14:textId="7B80DA1E" w:rsidR="006960BC" w:rsidRPr="00642757" w:rsidRDefault="006960BC">
      <w:pPr>
        <w:rPr>
          <w:lang w:val="es-ES"/>
        </w:rPr>
      </w:pPr>
      <w:r w:rsidRPr="00642757">
        <w:rPr>
          <w:szCs w:val="24"/>
          <w:lang w:val="es-ES" w:eastAsia="zh-CN"/>
        </w:rPr>
        <w:t xml:space="preserve">Los métodos para estimar la zona de cobertura </w:t>
      </w:r>
      <w:r w:rsidRPr="00642757">
        <w:rPr>
          <w:lang w:val="es-ES"/>
        </w:rPr>
        <w:t xml:space="preserve">en territorios rurales y urbanos (o suburbanos) son diferentes. Por ejemplo, en Europa se ha desarrollado una nueva metodología para clasificar los tipos de terreno. Una zona con hogares que constituyan una población inferior a cien habitantes por kilómetro cuadrado se considera </w:t>
      </w:r>
      <w:r w:rsidR="00EF7305">
        <w:rPr>
          <w:lang w:val="es-ES"/>
        </w:rPr>
        <w:t>«</w:t>
      </w:r>
      <w:r w:rsidRPr="00642757">
        <w:rPr>
          <w:lang w:val="es-ES"/>
        </w:rPr>
        <w:t>rural</w:t>
      </w:r>
      <w:r w:rsidR="00EF7305">
        <w:rPr>
          <w:lang w:val="es-ES"/>
        </w:rPr>
        <w:t>»</w:t>
      </w:r>
      <w:r w:rsidRPr="00642757">
        <w:rPr>
          <w:lang w:val="es-ES"/>
        </w:rPr>
        <w:t>. La utilización clasificaciones diferentes dará lugar a resultados diferentes.</w:t>
      </w:r>
    </w:p>
    <w:p w14:paraId="49D2C733" w14:textId="77777777" w:rsidR="006960BC" w:rsidRPr="00642757" w:rsidRDefault="006960BC">
      <w:pPr>
        <w:pStyle w:val="Heading1"/>
        <w:rPr>
          <w:lang w:val="es-ES"/>
        </w:rPr>
      </w:pPr>
      <w:r w:rsidRPr="00642757">
        <w:rPr>
          <w:lang w:val="es-ES"/>
        </w:rPr>
        <w:t>4</w:t>
      </w:r>
      <w:r w:rsidRPr="00642757">
        <w:rPr>
          <w:lang w:val="es-ES"/>
        </w:rPr>
        <w:tab/>
        <w:t>Antecedentes</w:t>
      </w:r>
    </w:p>
    <w:p w14:paraId="3630BD87" w14:textId="77777777" w:rsidR="006960BC" w:rsidRPr="00642757" w:rsidRDefault="006960BC">
      <w:pPr>
        <w:pStyle w:val="Heading2"/>
        <w:rPr>
          <w:lang w:val="es-ES" w:eastAsia="zh-CN"/>
        </w:rPr>
      </w:pPr>
      <w:bookmarkStart w:id="10" w:name="_Toc55378810"/>
      <w:r w:rsidRPr="00642757">
        <w:rPr>
          <w:lang w:val="es-ES" w:eastAsia="zh-CN"/>
        </w:rPr>
        <w:t>4.1</w:t>
      </w:r>
      <w:r w:rsidRPr="00642757">
        <w:rPr>
          <w:lang w:val="es-ES" w:eastAsia="zh-CN"/>
        </w:rPr>
        <w:tab/>
        <w:t>Enfoques diferentes</w:t>
      </w:r>
      <w:bookmarkEnd w:id="10"/>
    </w:p>
    <w:p w14:paraId="06E3C142" w14:textId="77777777" w:rsidR="006960BC" w:rsidRPr="00642757" w:rsidRDefault="006960BC">
      <w:pPr>
        <w:rPr>
          <w:lang w:val="es-ES" w:eastAsia="zh-CN"/>
        </w:rPr>
      </w:pPr>
      <w:r w:rsidRPr="00642757">
        <w:rPr>
          <w:lang w:val="es-ES" w:eastAsia="zh-CN"/>
        </w:rPr>
        <w:t>Los enfoques para estimar la cobertura de población varían sustancialmente de un país a otro. Las principales diferencias radican en la aplicación de:</w:t>
      </w:r>
    </w:p>
    <w:p w14:paraId="6A79B2F4" w14:textId="670C39AD" w:rsidR="006960BC" w:rsidRPr="00642757" w:rsidRDefault="006960BC">
      <w:pPr>
        <w:pStyle w:val="enumlev1"/>
        <w:rPr>
          <w:lang w:val="es-ES" w:eastAsia="zh-CN"/>
        </w:rPr>
      </w:pPr>
      <w:r w:rsidRPr="00642757">
        <w:rPr>
          <w:lang w:val="es-ES" w:eastAsia="zh-CN"/>
        </w:rPr>
        <w:t>–</w:t>
      </w:r>
      <w:r w:rsidRPr="00642757">
        <w:rPr>
          <w:lang w:val="es-ES" w:eastAsia="zh-CN"/>
        </w:rPr>
        <w:tab/>
        <w:t>las tecnologías de radiocomunicaciones</w:t>
      </w:r>
      <w:r w:rsidR="00EF7305">
        <w:rPr>
          <w:lang w:val="es-ES" w:eastAsia="zh-CN"/>
        </w:rPr>
        <w:t>;</w:t>
      </w:r>
    </w:p>
    <w:p w14:paraId="59D31A66" w14:textId="1510828C" w:rsidR="006960BC" w:rsidRPr="00642757" w:rsidRDefault="006960BC">
      <w:pPr>
        <w:pStyle w:val="enumlev1"/>
        <w:rPr>
          <w:lang w:val="es-ES" w:eastAsia="zh-CN"/>
        </w:rPr>
      </w:pPr>
      <w:r w:rsidRPr="00642757">
        <w:rPr>
          <w:lang w:val="es-ES" w:eastAsia="zh-CN"/>
        </w:rPr>
        <w:t>–</w:t>
      </w:r>
      <w:r w:rsidRPr="00642757">
        <w:rPr>
          <w:lang w:val="es-ES" w:eastAsia="zh-CN"/>
        </w:rPr>
        <w:tab/>
        <w:t>los objetos</w:t>
      </w:r>
      <w:r w:rsidR="00EF7305">
        <w:rPr>
          <w:lang w:val="es-ES" w:eastAsia="zh-CN"/>
        </w:rPr>
        <w:t>;</w:t>
      </w:r>
    </w:p>
    <w:p w14:paraId="12A89A24" w14:textId="7D3F7FB3" w:rsidR="006960BC" w:rsidRPr="00642757" w:rsidRDefault="00EF7305" w:rsidP="00EF7305">
      <w:pPr>
        <w:pStyle w:val="enumlev1"/>
        <w:rPr>
          <w:lang w:val="es-ES" w:eastAsia="zh-CN"/>
        </w:rPr>
      </w:pPr>
      <w:r w:rsidRPr="00642757">
        <w:rPr>
          <w:lang w:val="es-ES" w:eastAsia="zh-CN"/>
        </w:rPr>
        <w:t>–</w:t>
      </w:r>
      <w:r w:rsidRPr="00642757">
        <w:rPr>
          <w:lang w:val="es-ES" w:eastAsia="zh-CN"/>
        </w:rPr>
        <w:tab/>
      </w:r>
      <w:r w:rsidR="006960BC" w:rsidRPr="00642757">
        <w:rPr>
          <w:lang w:val="es-ES" w:eastAsia="zh-CN"/>
        </w:rPr>
        <w:t>los parámetros y los sistemas de medición.</w:t>
      </w:r>
    </w:p>
    <w:p w14:paraId="692E1DCF" w14:textId="35EB33EF" w:rsidR="006960BC" w:rsidRPr="00642757" w:rsidRDefault="006960BC" w:rsidP="005E5A77">
      <w:pPr>
        <w:rPr>
          <w:lang w:val="es-ES" w:eastAsia="zh-CN"/>
        </w:rPr>
      </w:pPr>
      <w:bookmarkStart w:id="11" w:name="_Toc55378811"/>
      <w:r w:rsidRPr="00642757">
        <w:rPr>
          <w:lang w:val="es-ES" w:eastAsia="zh-CN"/>
        </w:rPr>
        <w:t>También es necesario aplicar enfoques diferentes en función del tamaño de la zona de cobertura de cada servicio (sobre la base del radio de cobertura medido desde un único transmisor). Por ejemplo, el alcance de transmisión de una red de radiodifusión puede rebasar los 100</w:t>
      </w:r>
      <w:r w:rsidR="00EF7305">
        <w:rPr>
          <w:lang w:val="es-ES" w:eastAsia="zh-CN"/>
        </w:rPr>
        <w:t> </w:t>
      </w:r>
      <w:r w:rsidRPr="00642757">
        <w:rPr>
          <w:lang w:val="es-ES" w:eastAsia="zh-CN"/>
        </w:rPr>
        <w:t>km, al tiempo que el de las redes de banda ancha puede ser inferior a varios kilómetros. Con objeto de determinar la cobertura, pueden ser necesarios varios parámetros de medición o clases de objetos que requieran un enfoque diferente.</w:t>
      </w:r>
    </w:p>
    <w:p w14:paraId="293A7A06" w14:textId="77777777" w:rsidR="006960BC" w:rsidRPr="00642757" w:rsidRDefault="006960BC">
      <w:pPr>
        <w:rPr>
          <w:lang w:val="es-ES"/>
        </w:rPr>
      </w:pPr>
      <w:r w:rsidRPr="00642757">
        <w:rPr>
          <w:lang w:val="es-ES"/>
        </w:rPr>
        <w:lastRenderedPageBreak/>
        <w:t xml:space="preserve">En todo caso, cabe considerar dos aspectos fundamentales en relación con el proceso de medición, estimación y suministro de información con respecto a la cobertura de </w:t>
      </w:r>
      <w:r w:rsidRPr="00642757">
        <w:rPr>
          <w:lang w:val="es-ES" w:eastAsia="zh-CN"/>
        </w:rPr>
        <w:t>población</w:t>
      </w:r>
      <w:r w:rsidRPr="00642757">
        <w:rPr>
          <w:lang w:val="es-ES"/>
        </w:rPr>
        <w:t>:</w:t>
      </w:r>
    </w:p>
    <w:p w14:paraId="4367FA44" w14:textId="2C9C7A98" w:rsidR="006960BC" w:rsidRPr="005E5A77" w:rsidRDefault="006960BC" w:rsidP="00EF7305">
      <w:pPr>
        <w:pStyle w:val="enumlev1"/>
        <w:rPr>
          <w:lang w:val="es-ES"/>
        </w:rPr>
      </w:pPr>
      <w:r w:rsidRPr="005E5A77">
        <w:rPr>
          <w:lang w:val="es-ES"/>
        </w:rPr>
        <w:t>–</w:t>
      </w:r>
      <w:r w:rsidRPr="005E5A77">
        <w:rPr>
          <w:lang w:val="es-ES"/>
        </w:rPr>
        <w:tab/>
        <w:t>parámetros sobre calidad de funcionamiento del servicio de radiocomunicaciones</w:t>
      </w:r>
      <w:r w:rsidR="00EF7305" w:rsidRPr="005E5A77">
        <w:rPr>
          <w:lang w:val="es-ES"/>
        </w:rPr>
        <w:t>;</w:t>
      </w:r>
    </w:p>
    <w:p w14:paraId="06F8E47D" w14:textId="32E0DDFB" w:rsidR="006960BC" w:rsidRPr="005E5A77" w:rsidRDefault="00EF7305" w:rsidP="00EF7305">
      <w:pPr>
        <w:pStyle w:val="enumlev1"/>
        <w:rPr>
          <w:lang w:val="es-ES"/>
        </w:rPr>
      </w:pPr>
      <w:r w:rsidRPr="005E5A77">
        <w:rPr>
          <w:lang w:val="es-ES"/>
        </w:rPr>
        <w:t>–</w:t>
      </w:r>
      <w:r w:rsidRPr="005E5A77">
        <w:rPr>
          <w:lang w:val="es-ES"/>
        </w:rPr>
        <w:tab/>
      </w:r>
      <w:r w:rsidR="006960BC" w:rsidRPr="005E5A77">
        <w:rPr>
          <w:lang w:val="es-ES"/>
        </w:rPr>
        <w:t>presentación de la cobertura de población</w:t>
      </w:r>
      <w:bookmarkEnd w:id="11"/>
      <w:r w:rsidRPr="005E5A77">
        <w:rPr>
          <w:lang w:val="es-ES"/>
        </w:rPr>
        <w:t>.</w:t>
      </w:r>
    </w:p>
    <w:p w14:paraId="15624476" w14:textId="77777777" w:rsidR="006960BC" w:rsidRPr="00642757" w:rsidRDefault="006960BC">
      <w:pPr>
        <w:rPr>
          <w:lang w:val="es-ES" w:eastAsia="zh-CN"/>
        </w:rPr>
      </w:pPr>
      <w:r w:rsidRPr="00642757">
        <w:rPr>
          <w:lang w:val="es-ES" w:eastAsia="zh-CN"/>
        </w:rPr>
        <w:t>Las estimaciones sobre cobertura de población debe realizarlas un equipo especializado que cuente con la experiencia necesaria y utilice los datos más recientes disponibles.</w:t>
      </w:r>
    </w:p>
    <w:p w14:paraId="75E92D6B" w14:textId="77777777" w:rsidR="006960BC" w:rsidRPr="00642757" w:rsidRDefault="006960BC">
      <w:pPr>
        <w:pStyle w:val="Heading2"/>
        <w:rPr>
          <w:lang w:val="es-ES" w:eastAsia="zh-CN"/>
        </w:rPr>
      </w:pPr>
      <w:r w:rsidRPr="00642757">
        <w:rPr>
          <w:lang w:val="es-ES" w:eastAsia="zh-CN"/>
        </w:rPr>
        <w:t>4.2</w:t>
      </w:r>
      <w:r w:rsidRPr="00642757">
        <w:rPr>
          <w:lang w:val="es-ES" w:eastAsia="zh-CN"/>
        </w:rPr>
        <w:tab/>
        <w:t>Base a escalas mundial y local</w:t>
      </w:r>
    </w:p>
    <w:p w14:paraId="0D8057D0" w14:textId="77777777" w:rsidR="006960BC" w:rsidRPr="00642757" w:rsidRDefault="006960BC">
      <w:pPr>
        <w:rPr>
          <w:lang w:val="es-ES" w:eastAsia="zh-CN"/>
        </w:rPr>
      </w:pPr>
      <w:r w:rsidRPr="00642757">
        <w:rPr>
          <w:lang w:val="es-ES" w:eastAsia="zh-CN"/>
        </w:rPr>
        <w:t>La cobertura de población puede estimarse con arreglo a una base:</w:t>
      </w:r>
    </w:p>
    <w:p w14:paraId="0FB57672" w14:textId="6D5FC8BA" w:rsidR="006960BC" w:rsidRPr="005E5A77" w:rsidRDefault="006960BC" w:rsidP="00EF7305">
      <w:pPr>
        <w:pStyle w:val="enumlev1"/>
        <w:rPr>
          <w:lang w:val="es-ES"/>
        </w:rPr>
      </w:pPr>
      <w:r w:rsidRPr="005E5A77">
        <w:rPr>
          <w:lang w:val="es-ES"/>
        </w:rPr>
        <w:t>–</w:t>
      </w:r>
      <w:r w:rsidRPr="005E5A77">
        <w:rPr>
          <w:lang w:val="es-ES"/>
        </w:rPr>
        <w:tab/>
        <w:t>a escala mundial</w:t>
      </w:r>
      <w:r w:rsidR="00EF7305" w:rsidRPr="005E5A77">
        <w:rPr>
          <w:lang w:val="es-ES"/>
        </w:rPr>
        <w:t>;</w:t>
      </w:r>
    </w:p>
    <w:p w14:paraId="3F8DA983" w14:textId="60F19638" w:rsidR="006960BC" w:rsidRPr="005E5A77" w:rsidRDefault="00EF7305" w:rsidP="00EF7305">
      <w:pPr>
        <w:pStyle w:val="enumlev1"/>
        <w:rPr>
          <w:lang w:val="es-ES"/>
        </w:rPr>
      </w:pPr>
      <w:r w:rsidRPr="005E5A77">
        <w:rPr>
          <w:lang w:val="es-ES"/>
        </w:rPr>
        <w:t>–</w:t>
      </w:r>
      <w:r w:rsidRPr="005E5A77">
        <w:rPr>
          <w:lang w:val="es-ES"/>
        </w:rPr>
        <w:tab/>
      </w:r>
      <w:r w:rsidR="006960BC" w:rsidRPr="005E5A77">
        <w:rPr>
          <w:lang w:val="es-ES"/>
        </w:rPr>
        <w:t>a escala local.</w:t>
      </w:r>
    </w:p>
    <w:p w14:paraId="38ACE5F9" w14:textId="77777777" w:rsidR="006960BC" w:rsidRPr="00642757" w:rsidRDefault="006960BC">
      <w:pPr>
        <w:rPr>
          <w:lang w:val="es-ES"/>
        </w:rPr>
      </w:pPr>
      <w:r w:rsidRPr="00642757">
        <w:rPr>
          <w:lang w:val="es-ES" w:eastAsia="zh-CN"/>
        </w:rPr>
        <w:t xml:space="preserve">La base a escala mundial permite analizar el índice de penetración de </w:t>
      </w:r>
      <w:r w:rsidRPr="00642757">
        <w:rPr>
          <w:lang w:val="es-ES"/>
        </w:rPr>
        <w:t>determinadas tecnologías de radiocomunicaciones en infraestructuras de todo el mundo (o de un país específico) e identificar territorios que aún carecen de cobertura.</w:t>
      </w:r>
    </w:p>
    <w:p w14:paraId="5BFF6410" w14:textId="77777777" w:rsidR="006960BC" w:rsidRPr="00642757" w:rsidRDefault="006960BC">
      <w:pPr>
        <w:rPr>
          <w:lang w:val="es-ES" w:eastAsia="zh-CN"/>
        </w:rPr>
      </w:pPr>
      <w:r w:rsidRPr="00642757">
        <w:rPr>
          <w:lang w:val="es-ES" w:eastAsia="zh-CN"/>
        </w:rPr>
        <w:t xml:space="preserve">La estimación de cobertura de población </w:t>
      </w:r>
      <w:r w:rsidRPr="00642757">
        <w:rPr>
          <w:spacing w:val="-1"/>
          <w:lang w:val="es-ES" w:eastAsia="zh-CN"/>
        </w:rPr>
        <w:t>a escala mundial se lleva a cabo para determinar:</w:t>
      </w:r>
    </w:p>
    <w:p w14:paraId="6FAE9526" w14:textId="0168B94B" w:rsidR="006960BC" w:rsidRPr="005E5A77" w:rsidRDefault="006960BC" w:rsidP="00EF7305">
      <w:pPr>
        <w:pStyle w:val="enumlev1"/>
        <w:rPr>
          <w:lang w:val="es-ES"/>
        </w:rPr>
      </w:pPr>
      <w:r w:rsidRPr="005E5A77">
        <w:rPr>
          <w:lang w:val="es-ES"/>
        </w:rPr>
        <w:t>–</w:t>
      </w:r>
      <w:r w:rsidRPr="005E5A77">
        <w:rPr>
          <w:lang w:val="es-ES"/>
        </w:rPr>
        <w:tab/>
        <w:t>la cobertura de población por tecnología (cobertura tecnológica de población)</w:t>
      </w:r>
      <w:r w:rsidR="00EF7305" w:rsidRPr="005E5A77">
        <w:rPr>
          <w:lang w:val="es-ES"/>
        </w:rPr>
        <w:t>;</w:t>
      </w:r>
    </w:p>
    <w:p w14:paraId="179CBCC2" w14:textId="2DE159D2" w:rsidR="006960BC" w:rsidRPr="005E5A77" w:rsidRDefault="00EF7305" w:rsidP="00EF7305">
      <w:pPr>
        <w:pStyle w:val="enumlev1"/>
        <w:rPr>
          <w:lang w:val="es-ES"/>
        </w:rPr>
      </w:pPr>
      <w:r w:rsidRPr="005E5A77">
        <w:rPr>
          <w:lang w:val="es-ES"/>
        </w:rPr>
        <w:t>–</w:t>
      </w:r>
      <w:r w:rsidRPr="005E5A77">
        <w:rPr>
          <w:lang w:val="es-ES"/>
        </w:rPr>
        <w:tab/>
      </w:r>
      <w:r w:rsidR="006960BC" w:rsidRPr="005E5A77">
        <w:rPr>
          <w:lang w:val="es-ES"/>
        </w:rPr>
        <w:t>la cobertura de población en una determinada región (cobertura regional de población).</w:t>
      </w:r>
    </w:p>
    <w:p w14:paraId="73020BF5" w14:textId="7A42F6D1" w:rsidR="006960BC" w:rsidRPr="00642757" w:rsidRDefault="006960BC">
      <w:pPr>
        <w:rPr>
          <w:lang w:val="es-ES"/>
        </w:rPr>
      </w:pPr>
      <w:r w:rsidRPr="00642757">
        <w:rPr>
          <w:spacing w:val="-1"/>
          <w:lang w:val="es-ES"/>
        </w:rPr>
        <w:t xml:space="preserve">En la mayoría de los casos, las estimaciones de </w:t>
      </w:r>
      <w:r w:rsidRPr="00642757">
        <w:rPr>
          <w:lang w:val="es-ES" w:eastAsia="zh-CN"/>
        </w:rPr>
        <w:t xml:space="preserve">cobertura </w:t>
      </w:r>
      <w:r w:rsidRPr="00642757">
        <w:rPr>
          <w:lang w:val="es-ES"/>
        </w:rPr>
        <w:t>tecnológica</w:t>
      </w:r>
      <w:r w:rsidRPr="00642757">
        <w:rPr>
          <w:lang w:val="es-ES" w:eastAsia="zh-CN"/>
        </w:rPr>
        <w:t xml:space="preserve"> de población a escalas mundial </w:t>
      </w:r>
      <w:r w:rsidRPr="00642757">
        <w:rPr>
          <w:lang w:val="es-ES"/>
        </w:rPr>
        <w:t xml:space="preserve">y regional </w:t>
      </w:r>
      <w:r w:rsidRPr="00642757">
        <w:rPr>
          <w:lang w:val="es-ES" w:eastAsia="zh-CN"/>
        </w:rPr>
        <w:t>se basan en encuestas a los operadores y a la ANR pertinente</w:t>
      </w:r>
      <w:r w:rsidRPr="00642757">
        <w:rPr>
          <w:lang w:val="es-ES"/>
        </w:rPr>
        <w:t>.</w:t>
      </w:r>
    </w:p>
    <w:p w14:paraId="309199A9" w14:textId="77777777" w:rsidR="006960BC" w:rsidRPr="00642757" w:rsidRDefault="006960BC">
      <w:pPr>
        <w:rPr>
          <w:lang w:val="es-ES" w:eastAsia="zh-CN"/>
        </w:rPr>
      </w:pPr>
      <w:r w:rsidRPr="00642757">
        <w:rPr>
          <w:lang w:val="es-ES" w:eastAsia="zh-CN"/>
        </w:rPr>
        <w:t>Por ejemplo, en la UE y el Reino Unido, la clasificación NUTS (Nomenclatura de unidades territoriales estadísticas) se estableció como sistema jerárquico para dividir un territorio económico a los efectos de:</w:t>
      </w:r>
    </w:p>
    <w:p w14:paraId="5CC0B259" w14:textId="1E35C38A" w:rsidR="006960BC" w:rsidRPr="005E5A77" w:rsidRDefault="006960BC" w:rsidP="00EF7305">
      <w:pPr>
        <w:pStyle w:val="enumlev1"/>
        <w:rPr>
          <w:lang w:val="es-ES"/>
        </w:rPr>
      </w:pPr>
      <w:r w:rsidRPr="005E5A77">
        <w:rPr>
          <w:lang w:val="es-ES"/>
        </w:rPr>
        <w:t>–</w:t>
      </w:r>
      <w:r w:rsidRPr="005E5A77">
        <w:rPr>
          <w:lang w:val="es-ES"/>
        </w:rPr>
        <w:tab/>
        <w:t>obtención, elaboración y armonización de datos estadísticos regionales europeos</w:t>
      </w:r>
      <w:r w:rsidR="00EF7305" w:rsidRPr="005E5A77">
        <w:rPr>
          <w:lang w:val="es-ES"/>
        </w:rPr>
        <w:t>;</w:t>
      </w:r>
    </w:p>
    <w:p w14:paraId="6786E4E2" w14:textId="1DF8AB79" w:rsidR="006960BC" w:rsidRPr="005E5A77" w:rsidRDefault="006960BC" w:rsidP="00EF7305">
      <w:pPr>
        <w:pStyle w:val="enumlev1"/>
        <w:rPr>
          <w:lang w:val="es-ES"/>
        </w:rPr>
      </w:pPr>
      <w:r w:rsidRPr="005E5A77">
        <w:rPr>
          <w:lang w:val="es-ES"/>
        </w:rPr>
        <w:t>–</w:t>
      </w:r>
      <w:r w:rsidRPr="005E5A77">
        <w:rPr>
          <w:lang w:val="es-ES"/>
        </w:rPr>
        <w:tab/>
        <w:t>análisis socioeconómico de las regiones siguientes:</w:t>
      </w:r>
    </w:p>
    <w:p w14:paraId="3D07A92A" w14:textId="0775719C" w:rsidR="006960BC" w:rsidRPr="00642757" w:rsidRDefault="006960BC">
      <w:pPr>
        <w:pStyle w:val="enumlev2"/>
        <w:rPr>
          <w:lang w:val="es-ES" w:eastAsia="zh-CN"/>
        </w:rPr>
      </w:pPr>
      <w:r w:rsidRPr="00642757">
        <w:rPr>
          <w:lang w:val="es-ES" w:eastAsia="zh-CN"/>
        </w:rPr>
        <w:t>NUTS 1: principales regiones socioeconómicas</w:t>
      </w:r>
    </w:p>
    <w:p w14:paraId="69F17BC9" w14:textId="14D0836F" w:rsidR="006960BC" w:rsidRPr="00642757" w:rsidRDefault="006960BC">
      <w:pPr>
        <w:pStyle w:val="enumlev2"/>
        <w:rPr>
          <w:lang w:val="es-ES" w:eastAsia="zh-CN"/>
        </w:rPr>
      </w:pPr>
      <w:r w:rsidRPr="00642757">
        <w:rPr>
          <w:lang w:val="es-ES" w:eastAsia="zh-CN"/>
        </w:rPr>
        <w:t>NUTS 2: regiones de base para la aplicación de políticas regionales</w:t>
      </w:r>
    </w:p>
    <w:p w14:paraId="7026AB74" w14:textId="02C69DFF" w:rsidR="006960BC" w:rsidRPr="00642757" w:rsidRDefault="006960BC">
      <w:pPr>
        <w:pStyle w:val="enumlev2"/>
        <w:rPr>
          <w:lang w:val="es-ES" w:eastAsia="zh-CN"/>
        </w:rPr>
      </w:pPr>
      <w:r w:rsidRPr="00642757">
        <w:rPr>
          <w:lang w:val="es-ES" w:eastAsia="zh-CN"/>
        </w:rPr>
        <w:t>NUTS 3: regiones de pequeño tamaño para diagnósticos específicos</w:t>
      </w:r>
      <w:r w:rsidR="00EF7305">
        <w:rPr>
          <w:lang w:val="es-ES" w:eastAsia="zh-CN"/>
        </w:rPr>
        <w:t>.</w:t>
      </w:r>
    </w:p>
    <w:p w14:paraId="168C6E64" w14:textId="77777777" w:rsidR="006960BC" w:rsidRPr="00EF7305" w:rsidRDefault="006960BC">
      <w:pPr>
        <w:rPr>
          <w:spacing w:val="-2"/>
          <w:lang w:val="es-ES" w:eastAsia="zh-CN"/>
        </w:rPr>
      </w:pPr>
      <w:r w:rsidRPr="00EF7305">
        <w:rPr>
          <w:spacing w:val="-2"/>
          <w:lang w:val="es-ES" w:eastAsia="zh-CN"/>
        </w:rPr>
        <w:t>La cobertura preliminar de población sobre una base mundial corresponde al nivel NUTS 3. Eurostat publica anualmente datos sobre el número promedio de hogares de cada país y sobre población. Ese enfoque permite a un equipo de analistas mantener una metodología de cobertura de población coherente para todos los países analizados mediante una única fuente de datos. Con objeto de facilitar a los encuestados la determinación del número de hogares analizados en cada región NUTS 3, el equipo de investigación ofrece orientación mediante la inclusión del número total de hogares en cada zona.</w:t>
      </w:r>
    </w:p>
    <w:p w14:paraId="24739F83" w14:textId="77777777" w:rsidR="006960BC" w:rsidRPr="00EF7305" w:rsidRDefault="006960BC">
      <w:pPr>
        <w:rPr>
          <w:spacing w:val="-2"/>
          <w:lang w:val="es-ES" w:eastAsia="zh-CN"/>
        </w:rPr>
      </w:pPr>
      <w:r w:rsidRPr="00EF7305">
        <w:rPr>
          <w:spacing w:val="-2"/>
          <w:lang w:val="es-ES" w:eastAsia="zh-CN"/>
        </w:rPr>
        <w:t>Las estimaciones sobre cobertura de población se efectúan a escala local a fin de verificar la correspondencia entre las obligaciones de servicio de radiocomunicaciones y las zonas de cobertura efectiva. También se realizan para determinar las diferencias entre las coberturas de población rural y urbana, las zonas sin cobertura y los principales sentidos de expansión de la población a escala nacional.</w:t>
      </w:r>
    </w:p>
    <w:p w14:paraId="02BB2C60" w14:textId="77777777" w:rsidR="006960BC" w:rsidRPr="00642757" w:rsidRDefault="006960BC">
      <w:pPr>
        <w:pStyle w:val="Heading1"/>
        <w:rPr>
          <w:lang w:val="es-ES"/>
        </w:rPr>
      </w:pPr>
      <w:r w:rsidRPr="00642757">
        <w:rPr>
          <w:lang w:val="es-ES"/>
        </w:rPr>
        <w:t>5</w:t>
      </w:r>
      <w:r w:rsidRPr="00642757">
        <w:rPr>
          <w:lang w:val="es-ES"/>
        </w:rPr>
        <w:tab/>
        <w:t>Métodos de estimación de la cobertura de población</w:t>
      </w:r>
    </w:p>
    <w:p w14:paraId="61A212CC" w14:textId="77777777" w:rsidR="006960BC" w:rsidRPr="00642757" w:rsidRDefault="006960BC">
      <w:pPr>
        <w:rPr>
          <w:lang w:val="es-ES" w:eastAsia="zh-CN"/>
        </w:rPr>
      </w:pPr>
      <w:r w:rsidRPr="00642757">
        <w:rPr>
          <w:lang w:val="es-ES" w:eastAsia="zh-CN"/>
        </w:rPr>
        <w:t>Los principales métodos utilizados para estimar la cobertura de población son los siguientes:</w:t>
      </w:r>
    </w:p>
    <w:p w14:paraId="21B81799" w14:textId="38176E73" w:rsidR="006960BC" w:rsidRPr="005E5A77" w:rsidRDefault="006960BC" w:rsidP="00A97FA3">
      <w:pPr>
        <w:pStyle w:val="enumlev1"/>
        <w:spacing w:before="40"/>
        <w:rPr>
          <w:lang w:val="es-ES"/>
        </w:rPr>
      </w:pPr>
      <w:r w:rsidRPr="005E5A77">
        <w:rPr>
          <w:lang w:val="es-ES"/>
        </w:rPr>
        <w:t>–</w:t>
      </w:r>
      <w:r w:rsidRPr="005E5A77">
        <w:rPr>
          <w:lang w:val="es-ES"/>
        </w:rPr>
        <w:tab/>
        <w:t>predicción basada en modelos matemáticos</w:t>
      </w:r>
      <w:r w:rsidR="00BC6186" w:rsidRPr="005E5A77">
        <w:rPr>
          <w:lang w:val="es-ES"/>
        </w:rPr>
        <w:t>;</w:t>
      </w:r>
    </w:p>
    <w:p w14:paraId="2E6DF9E3" w14:textId="610CC66B" w:rsidR="006960BC" w:rsidRPr="005E5A77" w:rsidRDefault="006960BC" w:rsidP="00A97FA3">
      <w:pPr>
        <w:pStyle w:val="enumlev1"/>
        <w:spacing w:before="40"/>
        <w:rPr>
          <w:lang w:val="es-ES"/>
        </w:rPr>
      </w:pPr>
      <w:r w:rsidRPr="005E5A77">
        <w:rPr>
          <w:lang w:val="es-ES"/>
        </w:rPr>
        <w:t>–</w:t>
      </w:r>
      <w:r w:rsidRPr="005E5A77">
        <w:rPr>
          <w:lang w:val="es-ES"/>
        </w:rPr>
        <w:tab/>
        <w:t>realización de mediciones</w:t>
      </w:r>
      <w:r w:rsidR="00BC6186" w:rsidRPr="005E5A77">
        <w:rPr>
          <w:lang w:val="es-ES"/>
        </w:rPr>
        <w:t>;</w:t>
      </w:r>
    </w:p>
    <w:p w14:paraId="4C1840DF" w14:textId="77777777" w:rsidR="006960BC" w:rsidRPr="005E5A77" w:rsidRDefault="006960BC" w:rsidP="00A97FA3">
      <w:pPr>
        <w:pStyle w:val="enumlev1"/>
        <w:spacing w:before="40"/>
        <w:rPr>
          <w:lang w:val="es-ES"/>
        </w:rPr>
      </w:pPr>
      <w:r w:rsidRPr="005E5A77">
        <w:rPr>
          <w:lang w:val="es-ES"/>
        </w:rPr>
        <w:t>–</w:t>
      </w:r>
      <w:r w:rsidRPr="005E5A77">
        <w:rPr>
          <w:lang w:val="es-ES"/>
        </w:rPr>
        <w:tab/>
        <w:t>realización de sondeos (mediante encuestas).</w:t>
      </w:r>
    </w:p>
    <w:p w14:paraId="597D88D2" w14:textId="48EDADCC" w:rsidR="006960BC" w:rsidRPr="00642757" w:rsidRDefault="006960BC">
      <w:pPr>
        <w:pStyle w:val="Heading2"/>
        <w:rPr>
          <w:lang w:val="es-ES" w:eastAsia="zh-CN"/>
        </w:rPr>
      </w:pPr>
      <w:r w:rsidRPr="00642757">
        <w:rPr>
          <w:lang w:val="es-ES" w:eastAsia="zh-CN"/>
        </w:rPr>
        <w:lastRenderedPageBreak/>
        <w:t>5.1</w:t>
      </w:r>
      <w:r w:rsidRPr="00642757">
        <w:rPr>
          <w:lang w:val="es-ES" w:eastAsia="zh-CN"/>
        </w:rPr>
        <w:tab/>
        <w:t>Predicción</w:t>
      </w:r>
    </w:p>
    <w:p w14:paraId="3FF6CA03" w14:textId="77777777" w:rsidR="006960BC" w:rsidRPr="00642757" w:rsidRDefault="006960BC">
      <w:pPr>
        <w:rPr>
          <w:szCs w:val="24"/>
          <w:lang w:val="es-ES" w:eastAsia="zh-CN"/>
        </w:rPr>
      </w:pPr>
      <w:r w:rsidRPr="00642757">
        <w:rPr>
          <w:szCs w:val="24"/>
          <w:lang w:val="es-ES" w:eastAsia="zh-CN"/>
        </w:rPr>
        <w:t>La predicción de cobertura de población se basa en el establecimiento de modelos de la zona de cobertura. Los métodos para predecir las zonas de cobertura se describen en Recomendaciones e Informes del UIT-R, en particular:</w:t>
      </w:r>
    </w:p>
    <w:p w14:paraId="79B0BA3D" w14:textId="30F58EAA" w:rsidR="006960BC" w:rsidRPr="00642757" w:rsidRDefault="006960BC">
      <w:pPr>
        <w:pStyle w:val="enumlev1"/>
        <w:rPr>
          <w:lang w:val="es-ES"/>
        </w:rPr>
      </w:pPr>
      <w:r w:rsidRPr="00642757">
        <w:rPr>
          <w:lang w:val="es-ES"/>
        </w:rPr>
        <w:t>–</w:t>
      </w:r>
      <w:r w:rsidRPr="00642757">
        <w:rPr>
          <w:lang w:val="es-ES"/>
        </w:rPr>
        <w:tab/>
      </w:r>
      <w:r w:rsidR="00BC6186" w:rsidRPr="00642757">
        <w:rPr>
          <w:lang w:val="es-ES"/>
        </w:rPr>
        <w:t xml:space="preserve">La </w:t>
      </w:r>
      <w:r w:rsidRPr="00642757">
        <w:rPr>
          <w:lang w:val="es-ES"/>
        </w:rPr>
        <w:t xml:space="preserve">Recomendación UIT-R </w:t>
      </w:r>
      <w:hyperlink r:id="rId13" w:history="1">
        <w:r w:rsidRPr="00642757">
          <w:rPr>
            <w:rStyle w:val="Hyperlink"/>
            <w:color w:val="auto"/>
            <w:u w:val="none"/>
            <w:lang w:val="es-ES"/>
          </w:rPr>
          <w:t>P.1546</w:t>
        </w:r>
      </w:hyperlink>
      <w:r w:rsidRPr="00642757">
        <w:rPr>
          <w:lang w:val="es-ES" w:eastAsia="zh-CN"/>
        </w:rPr>
        <w:t xml:space="preserve"> [2], en la que se </w:t>
      </w:r>
      <w:r w:rsidRPr="00642757">
        <w:rPr>
          <w:lang w:val="es-ES"/>
        </w:rPr>
        <w:t xml:space="preserve">describe el método </w:t>
      </w:r>
      <w:r w:rsidRPr="00642757">
        <w:rPr>
          <w:lang w:val="es-ES" w:eastAsia="zh-CN"/>
        </w:rPr>
        <w:t xml:space="preserve">de cálculo de la intensidad de campo prevista </w:t>
      </w:r>
      <w:r w:rsidRPr="00642757">
        <w:rPr>
          <w:lang w:val="es-ES"/>
        </w:rPr>
        <w:t>para servicios terrenales punto a zona en la gama de frecuencias de 30 MHz a 3 GHz</w:t>
      </w:r>
      <w:r w:rsidR="00BC6186">
        <w:rPr>
          <w:lang w:val="es-ES"/>
        </w:rPr>
        <w:t>.</w:t>
      </w:r>
    </w:p>
    <w:p w14:paraId="0BE5BE9C" w14:textId="26A477F2" w:rsidR="006960BC" w:rsidRPr="00642757" w:rsidRDefault="006960BC">
      <w:pPr>
        <w:pStyle w:val="enumlev1"/>
        <w:rPr>
          <w:lang w:val="es-ES"/>
        </w:rPr>
      </w:pPr>
      <w:r w:rsidRPr="00642757">
        <w:rPr>
          <w:lang w:val="es-ES"/>
        </w:rPr>
        <w:t>–</w:t>
      </w:r>
      <w:r w:rsidRPr="00642757">
        <w:rPr>
          <w:lang w:val="es-ES"/>
        </w:rPr>
        <w:tab/>
      </w:r>
      <w:r w:rsidR="00BC6186" w:rsidRPr="00642757">
        <w:rPr>
          <w:lang w:val="es-ES"/>
        </w:rPr>
        <w:t xml:space="preserve">La </w:t>
      </w:r>
      <w:r w:rsidRPr="00642757">
        <w:rPr>
          <w:lang w:val="es-ES"/>
        </w:rPr>
        <w:t xml:space="preserve">Recomendación UIT-R </w:t>
      </w:r>
      <w:hyperlink r:id="rId14" w:history="1">
        <w:r w:rsidRPr="00642757">
          <w:rPr>
            <w:rStyle w:val="Hyperlink"/>
            <w:color w:val="auto"/>
            <w:u w:val="none"/>
            <w:lang w:val="es-ES"/>
          </w:rPr>
          <w:t>P.1812</w:t>
        </w:r>
      </w:hyperlink>
      <w:r w:rsidRPr="00642757">
        <w:rPr>
          <w:lang w:val="es-ES" w:eastAsia="zh-CN"/>
        </w:rPr>
        <w:t xml:space="preserve"> [3], en la que </w:t>
      </w:r>
      <w:r w:rsidRPr="00642757">
        <w:rPr>
          <w:lang w:val="es-ES"/>
        </w:rPr>
        <w:t xml:space="preserve">describe el método de predicción </w:t>
      </w:r>
      <w:r w:rsidRPr="00642757">
        <w:rPr>
          <w:lang w:val="es-ES" w:eastAsia="zh-CN"/>
        </w:rPr>
        <w:t xml:space="preserve">para el cálculo de una </w:t>
      </w:r>
      <w:r w:rsidRPr="00642757">
        <w:rPr>
          <w:lang w:val="es-ES"/>
        </w:rPr>
        <w:t>propagación específica del trayecto para servicios terrenales punto a zona en las bandas de ondas métricas y decimétricas</w:t>
      </w:r>
      <w:r w:rsidR="00BC6186">
        <w:rPr>
          <w:lang w:val="es-ES"/>
        </w:rPr>
        <w:t>.</w:t>
      </w:r>
    </w:p>
    <w:p w14:paraId="07CE114F" w14:textId="699AF13C" w:rsidR="006960BC" w:rsidRPr="00642757" w:rsidRDefault="006960BC">
      <w:pPr>
        <w:pStyle w:val="enumlev1"/>
        <w:rPr>
          <w:lang w:val="es-ES"/>
        </w:rPr>
      </w:pPr>
      <w:r w:rsidRPr="00642757">
        <w:rPr>
          <w:lang w:val="es-ES"/>
        </w:rPr>
        <w:t>–</w:t>
      </w:r>
      <w:r w:rsidRPr="00642757">
        <w:rPr>
          <w:lang w:val="es-ES"/>
        </w:rPr>
        <w:tab/>
      </w:r>
      <w:r w:rsidR="00BC6186" w:rsidRPr="00642757">
        <w:rPr>
          <w:lang w:val="es-ES" w:eastAsia="zh-CN"/>
        </w:rPr>
        <w:t xml:space="preserve">La </w:t>
      </w:r>
      <w:r w:rsidRPr="00642757">
        <w:rPr>
          <w:lang w:val="es-ES" w:eastAsia="zh-CN"/>
        </w:rPr>
        <w:t xml:space="preserve">Recomendación UIT-R </w:t>
      </w:r>
      <w:hyperlink r:id="rId15" w:history="1">
        <w:r w:rsidRPr="00642757">
          <w:rPr>
            <w:rStyle w:val="Hyperlink"/>
            <w:color w:val="auto"/>
            <w:u w:val="none"/>
            <w:lang w:val="es-ES" w:eastAsia="zh-CN"/>
          </w:rPr>
          <w:t>P.525</w:t>
        </w:r>
      </w:hyperlink>
      <w:r w:rsidRPr="00642757">
        <w:rPr>
          <w:lang w:val="es-ES" w:eastAsia="zh-CN"/>
        </w:rPr>
        <w:t xml:space="preserve"> [4], en la que se </w:t>
      </w:r>
      <w:r w:rsidRPr="00642757">
        <w:rPr>
          <w:lang w:val="es-ES"/>
        </w:rPr>
        <w:t xml:space="preserve">describe el método </w:t>
      </w:r>
      <w:r w:rsidRPr="00642757">
        <w:rPr>
          <w:lang w:val="es-ES" w:eastAsia="zh-CN"/>
        </w:rPr>
        <w:t>de cálculo de la atenuación en el espacio libre.</w:t>
      </w:r>
    </w:p>
    <w:p w14:paraId="077AC4BE" w14:textId="68C3AF95" w:rsidR="006960BC" w:rsidRPr="00642757" w:rsidRDefault="006960BC">
      <w:pPr>
        <w:pStyle w:val="Heading2"/>
        <w:rPr>
          <w:lang w:val="es-ES" w:eastAsia="zh-CN"/>
        </w:rPr>
      </w:pPr>
      <w:r w:rsidRPr="00642757">
        <w:rPr>
          <w:lang w:val="es-ES" w:eastAsia="zh-CN"/>
        </w:rPr>
        <w:t>5.2</w:t>
      </w:r>
      <w:r w:rsidRPr="00642757">
        <w:rPr>
          <w:lang w:val="es-ES" w:eastAsia="zh-CN"/>
        </w:rPr>
        <w:tab/>
        <w:t>Medición</w:t>
      </w:r>
    </w:p>
    <w:p w14:paraId="0BDA539D" w14:textId="59F1A13C" w:rsidR="006960BC" w:rsidRPr="00642757" w:rsidRDefault="006960BC">
      <w:pPr>
        <w:rPr>
          <w:lang w:val="es-ES" w:eastAsia="zh-CN"/>
        </w:rPr>
      </w:pPr>
      <w:r w:rsidRPr="00642757">
        <w:rPr>
          <w:szCs w:val="24"/>
          <w:lang w:val="es-ES" w:eastAsia="zh-CN"/>
        </w:rPr>
        <w:t xml:space="preserve">La medición de la cobertura de población </w:t>
      </w:r>
      <w:r w:rsidRPr="00642757">
        <w:rPr>
          <w:lang w:val="es-ES" w:eastAsia="zh-CN"/>
        </w:rPr>
        <w:t xml:space="preserve">se </w:t>
      </w:r>
      <w:r w:rsidRPr="00642757">
        <w:rPr>
          <w:szCs w:val="24"/>
          <w:lang w:val="es-ES" w:eastAsia="zh-CN"/>
        </w:rPr>
        <w:t xml:space="preserve">lleva a cabo en una zona de cobertura específica y se aplica a escala local. Por ejemplo, </w:t>
      </w:r>
      <w:r w:rsidRPr="00642757">
        <w:rPr>
          <w:lang w:val="es-ES" w:eastAsia="zh-CN"/>
        </w:rPr>
        <w:t xml:space="preserve">el término </w:t>
      </w:r>
      <w:r w:rsidR="00201643">
        <w:rPr>
          <w:lang w:val="es-ES" w:eastAsia="zh-CN"/>
        </w:rPr>
        <w:t>«</w:t>
      </w:r>
      <w:r w:rsidRPr="00642757">
        <w:rPr>
          <w:lang w:val="es-ES" w:eastAsia="zh-CN"/>
        </w:rPr>
        <w:t>con cobertura</w:t>
      </w:r>
      <w:r w:rsidR="00201643">
        <w:rPr>
          <w:lang w:val="es-ES" w:eastAsia="zh-CN"/>
        </w:rPr>
        <w:t>»</w:t>
      </w:r>
      <w:r w:rsidRPr="00642757">
        <w:rPr>
          <w:lang w:val="es-ES" w:eastAsia="zh-CN"/>
        </w:rPr>
        <w:t xml:space="preserve"> se define para las </w:t>
      </w:r>
      <w:r w:rsidRPr="00642757">
        <w:rPr>
          <w:szCs w:val="24"/>
          <w:lang w:val="es-ES"/>
        </w:rPr>
        <w:t xml:space="preserve">redes </w:t>
      </w:r>
      <w:r w:rsidRPr="00642757">
        <w:rPr>
          <w:lang w:val="es-ES" w:eastAsia="zh-CN"/>
        </w:rPr>
        <w:t xml:space="preserve">DVB-T/T2 de la forma siguiente: </w:t>
      </w:r>
      <w:r w:rsidR="00201643">
        <w:rPr>
          <w:lang w:val="es-ES" w:eastAsia="zh-CN"/>
        </w:rPr>
        <w:t>«</w:t>
      </w:r>
      <w:r w:rsidRPr="00642757">
        <w:rPr>
          <w:lang w:val="es-ES" w:eastAsia="zh-CN"/>
        </w:rPr>
        <w:t xml:space="preserve">Se considera que una zona específica cuenta con </w:t>
      </w:r>
      <w:r w:rsidR="00201643">
        <w:rPr>
          <w:lang w:val="es-ES" w:eastAsia="zh-CN"/>
        </w:rPr>
        <w:t>«</w:t>
      </w:r>
      <w:r w:rsidRPr="00642757">
        <w:rPr>
          <w:lang w:val="es-ES" w:eastAsia="zh-CN"/>
        </w:rPr>
        <w:t>cobertura</w:t>
      </w:r>
      <w:r w:rsidR="00201643">
        <w:rPr>
          <w:lang w:val="es-ES" w:eastAsia="zh-CN"/>
        </w:rPr>
        <w:t>»</w:t>
      </w:r>
      <w:r w:rsidRPr="00642757">
        <w:rPr>
          <w:lang w:val="es-ES" w:eastAsia="zh-CN"/>
        </w:rPr>
        <w:t xml:space="preserve"> DVB-T/T2 si la intensidad de campo promedio para un emplazamiento de recepción particular a una altura específica sobre el suelo (por lo general, 10 m) y el valor del índice de protección alcanzan o rebasan los valores indicados en los documentos de planificación pertinentes</w:t>
      </w:r>
      <w:r w:rsidR="00201643">
        <w:rPr>
          <w:lang w:val="es-ES" w:eastAsia="zh-CN"/>
        </w:rPr>
        <w:t>»</w:t>
      </w:r>
      <w:r w:rsidRPr="00642757">
        <w:rPr>
          <w:lang w:val="es-ES" w:eastAsia="zh-CN"/>
        </w:rPr>
        <w:t xml:space="preserve"> [5].</w:t>
      </w:r>
    </w:p>
    <w:p w14:paraId="51C6766A" w14:textId="3067514E" w:rsidR="006960BC" w:rsidRPr="00642757" w:rsidRDefault="006960BC">
      <w:pPr>
        <w:rPr>
          <w:lang w:val="es-ES" w:eastAsia="zh-CN"/>
        </w:rPr>
      </w:pPr>
      <w:r w:rsidRPr="00642757">
        <w:rPr>
          <w:spacing w:val="-2"/>
          <w:lang w:val="es-ES"/>
        </w:rPr>
        <w:t xml:space="preserve">En la Recomendación UIT-R </w:t>
      </w:r>
      <w:hyperlink r:id="rId16" w:history="1">
        <w:r w:rsidRPr="00642757">
          <w:rPr>
            <w:rStyle w:val="Hyperlink"/>
            <w:color w:val="auto"/>
            <w:spacing w:val="-2"/>
            <w:u w:val="none"/>
            <w:lang w:val="es-ES"/>
          </w:rPr>
          <w:t>SM.1875</w:t>
        </w:r>
      </w:hyperlink>
      <w:r w:rsidRPr="00642757">
        <w:rPr>
          <w:lang w:val="es-ES" w:eastAsia="zh-CN"/>
        </w:rPr>
        <w:t xml:space="preserve"> [5] </w:t>
      </w:r>
      <w:r w:rsidRPr="00642757">
        <w:rPr>
          <w:spacing w:val="-2"/>
          <w:lang w:val="es-ES"/>
        </w:rPr>
        <w:t xml:space="preserve">se describen los </w:t>
      </w:r>
      <w:r w:rsidRPr="00642757">
        <w:rPr>
          <w:lang w:val="es-ES" w:eastAsia="zh-CN"/>
        </w:rPr>
        <w:t xml:space="preserve">principios y procedimientos </w:t>
      </w:r>
      <w:r w:rsidRPr="00642757">
        <w:rPr>
          <w:spacing w:val="-2"/>
          <w:lang w:val="es-ES"/>
        </w:rPr>
        <w:t xml:space="preserve">fundamentales </w:t>
      </w:r>
      <w:r w:rsidRPr="00642757">
        <w:rPr>
          <w:lang w:val="es-ES" w:eastAsia="zh-CN"/>
        </w:rPr>
        <w:t>para estimar la cobertura de zona de los servicios fijo y móvil con arreglo a las normas DVB-T/T2 mediante datos de medición.</w:t>
      </w:r>
    </w:p>
    <w:p w14:paraId="45B9AC2E" w14:textId="681F64A0" w:rsidR="006960BC" w:rsidRPr="00642757" w:rsidRDefault="006960BC">
      <w:pPr>
        <w:pStyle w:val="Heading2"/>
        <w:rPr>
          <w:lang w:val="es-ES"/>
        </w:rPr>
      </w:pPr>
      <w:r w:rsidRPr="00642757">
        <w:rPr>
          <w:lang w:val="es-ES"/>
        </w:rPr>
        <w:t>5.3</w:t>
      </w:r>
      <w:r w:rsidRPr="00642757">
        <w:rPr>
          <w:lang w:val="es-ES"/>
        </w:rPr>
        <w:tab/>
        <w:t>Sondeos</w:t>
      </w:r>
    </w:p>
    <w:p w14:paraId="7F0F3B39" w14:textId="77777777" w:rsidR="006960BC" w:rsidRPr="00642757" w:rsidRDefault="006960BC">
      <w:pPr>
        <w:rPr>
          <w:lang w:val="es-ES" w:eastAsia="zh-CN"/>
        </w:rPr>
      </w:pPr>
      <w:r w:rsidRPr="00642757">
        <w:rPr>
          <w:lang w:val="es-ES"/>
        </w:rPr>
        <w:t xml:space="preserve">Los sondeos </w:t>
      </w:r>
      <w:r w:rsidRPr="00642757">
        <w:rPr>
          <w:lang w:val="es-ES" w:eastAsia="zh-CN"/>
        </w:rPr>
        <w:t>se utilizan ampliamente para estimar la cobertura de población a escala mundial.</w:t>
      </w:r>
    </w:p>
    <w:p w14:paraId="065FE3BC" w14:textId="77777777" w:rsidR="006960BC" w:rsidRPr="005E5A77" w:rsidRDefault="006960BC" w:rsidP="00201643">
      <w:pPr>
        <w:pStyle w:val="Heading1"/>
        <w:rPr>
          <w:lang w:val="es-ES"/>
        </w:rPr>
      </w:pPr>
      <w:r w:rsidRPr="005E5A77">
        <w:rPr>
          <w:lang w:val="es-ES"/>
        </w:rPr>
        <w:t>6</w:t>
      </w:r>
      <w:r w:rsidRPr="005E5A77">
        <w:rPr>
          <w:lang w:val="es-ES"/>
        </w:rPr>
        <w:tab/>
        <w:t>Cálculo de los parámetros de cobertura de población</w:t>
      </w:r>
    </w:p>
    <w:p w14:paraId="27B057AC" w14:textId="77777777" w:rsidR="006960BC" w:rsidRPr="00642757" w:rsidRDefault="006960BC">
      <w:pPr>
        <w:rPr>
          <w:lang w:val="es-ES"/>
        </w:rPr>
      </w:pPr>
      <w:r w:rsidRPr="00642757">
        <w:rPr>
          <w:lang w:val="es-ES"/>
        </w:rPr>
        <w:t>Entre los parámetros utilizados para calcular la zona de cobertura y la cobertura de población cabe destacar los siguientes:</w:t>
      </w:r>
    </w:p>
    <w:p w14:paraId="33203A0D" w14:textId="68C8DBE4" w:rsidR="006960BC" w:rsidRPr="005E5A77" w:rsidRDefault="006960BC" w:rsidP="00201643">
      <w:pPr>
        <w:pStyle w:val="enumlev1"/>
        <w:rPr>
          <w:lang w:val="es-ES"/>
        </w:rPr>
      </w:pPr>
      <w:r w:rsidRPr="005E5A77">
        <w:rPr>
          <w:lang w:val="es-ES"/>
        </w:rPr>
        <w:t>–</w:t>
      </w:r>
      <w:r w:rsidRPr="005E5A77">
        <w:rPr>
          <w:lang w:val="es-ES"/>
        </w:rPr>
        <w:tab/>
        <w:t>cobertura tecnológica de población</w:t>
      </w:r>
      <w:r w:rsidR="00201643" w:rsidRPr="005E5A77">
        <w:rPr>
          <w:lang w:val="es-ES"/>
        </w:rPr>
        <w:t>;</w:t>
      </w:r>
    </w:p>
    <w:p w14:paraId="765FD305" w14:textId="287CBFCC" w:rsidR="006960BC" w:rsidRPr="005E5A77" w:rsidRDefault="006960BC" w:rsidP="00201643">
      <w:pPr>
        <w:pStyle w:val="enumlev1"/>
        <w:rPr>
          <w:lang w:val="es-ES"/>
        </w:rPr>
      </w:pPr>
      <w:r w:rsidRPr="005E5A77">
        <w:rPr>
          <w:lang w:val="es-ES"/>
        </w:rPr>
        <w:t>–</w:t>
      </w:r>
      <w:r w:rsidRPr="005E5A77">
        <w:rPr>
          <w:lang w:val="es-ES"/>
        </w:rPr>
        <w:tab/>
        <w:t>cobertura de población a escala regional</w:t>
      </w:r>
      <w:r w:rsidR="00201643" w:rsidRPr="005E5A77">
        <w:rPr>
          <w:lang w:val="es-ES"/>
        </w:rPr>
        <w:t>;</w:t>
      </w:r>
    </w:p>
    <w:p w14:paraId="552F5FE6" w14:textId="1B1265D5" w:rsidR="006960BC" w:rsidRPr="005E5A77" w:rsidRDefault="006960BC" w:rsidP="00201643">
      <w:pPr>
        <w:pStyle w:val="enumlev1"/>
        <w:rPr>
          <w:lang w:val="es-ES"/>
        </w:rPr>
      </w:pPr>
      <w:r w:rsidRPr="005E5A77">
        <w:rPr>
          <w:lang w:val="es-ES"/>
        </w:rPr>
        <w:t>–</w:t>
      </w:r>
      <w:r w:rsidRPr="005E5A77">
        <w:rPr>
          <w:lang w:val="es-ES"/>
        </w:rPr>
        <w:tab/>
        <w:t>cobertura de población a escalas rural o urbana</w:t>
      </w:r>
      <w:r w:rsidR="00201643" w:rsidRPr="005E5A77">
        <w:rPr>
          <w:lang w:val="es-ES"/>
        </w:rPr>
        <w:t>;</w:t>
      </w:r>
    </w:p>
    <w:p w14:paraId="157EE8C7" w14:textId="7DFEB389" w:rsidR="006960BC" w:rsidRPr="005E5A77" w:rsidRDefault="00201643" w:rsidP="00201643">
      <w:pPr>
        <w:pStyle w:val="enumlev1"/>
        <w:rPr>
          <w:lang w:val="es-ES"/>
        </w:rPr>
      </w:pPr>
      <w:r w:rsidRPr="005E5A77">
        <w:rPr>
          <w:lang w:val="es-ES"/>
        </w:rPr>
        <w:t>–</w:t>
      </w:r>
      <w:r w:rsidRPr="005E5A77">
        <w:rPr>
          <w:lang w:val="es-ES"/>
        </w:rPr>
        <w:tab/>
      </w:r>
      <w:r w:rsidR="006960BC" w:rsidRPr="005E5A77">
        <w:rPr>
          <w:lang w:val="es-ES"/>
        </w:rPr>
        <w:t>cobertura en cuanto a velocidad del servicio o a velocidad de transmisión de datos.</w:t>
      </w:r>
    </w:p>
    <w:p w14:paraId="40B4D530" w14:textId="77777777" w:rsidR="006960BC" w:rsidRPr="00642757" w:rsidRDefault="006960BC">
      <w:pPr>
        <w:rPr>
          <w:lang w:val="es-ES"/>
        </w:rPr>
      </w:pPr>
      <w:r w:rsidRPr="00642757">
        <w:rPr>
          <w:lang w:val="es-ES"/>
        </w:rPr>
        <w:t>La cobertura tecnológica de población se estima por medio del número de objetos por tecnología que utilizan todos los operadores del país de que se trate.</w:t>
      </w:r>
    </w:p>
    <w:p w14:paraId="7463636F" w14:textId="77777777" w:rsidR="006960BC" w:rsidRPr="00642757" w:rsidRDefault="006960BC">
      <w:pPr>
        <w:rPr>
          <w:lang w:val="es-ES"/>
        </w:rPr>
      </w:pPr>
      <w:r w:rsidRPr="00642757">
        <w:rPr>
          <w:lang w:val="es-ES"/>
        </w:rPr>
        <w:t>La cobertura de la población a escala regional corresponde al número de objetos por región a los que se presta servicio mediante una única tecnología o una combinación de varias tecnologías por un operador o varios.</w:t>
      </w:r>
    </w:p>
    <w:p w14:paraId="23EA80BA" w14:textId="77777777" w:rsidR="006960BC" w:rsidRPr="00642757" w:rsidRDefault="006960BC">
      <w:pPr>
        <w:rPr>
          <w:bCs/>
          <w:lang w:val="es-ES" w:eastAsia="zh-CN"/>
        </w:rPr>
      </w:pPr>
      <w:r w:rsidRPr="00642757">
        <w:rPr>
          <w:rFonts w:asciiTheme="majorBidi" w:hAnsiTheme="majorBidi"/>
          <w:bCs/>
          <w:szCs w:val="24"/>
          <w:lang w:val="es-ES"/>
        </w:rPr>
        <w:t xml:space="preserve">La cobertura </w:t>
      </w:r>
      <w:r w:rsidRPr="00642757">
        <w:rPr>
          <w:bCs/>
          <w:lang w:val="es-ES" w:eastAsia="zh-CN"/>
        </w:rPr>
        <w:t xml:space="preserve">en cuanto a velocidad del servicio </w:t>
      </w:r>
      <w:r w:rsidRPr="00642757">
        <w:rPr>
          <w:rFonts w:asciiTheme="majorBidi" w:hAnsiTheme="majorBidi"/>
          <w:bCs/>
          <w:szCs w:val="24"/>
          <w:lang w:val="es-ES"/>
        </w:rPr>
        <w:t xml:space="preserve">se estima mediante </w:t>
      </w:r>
      <w:r w:rsidRPr="00642757">
        <w:rPr>
          <w:bCs/>
          <w:lang w:val="es-ES" w:eastAsia="zh-CN"/>
        </w:rPr>
        <w:t>el número de objetos a los que se presta servicio mediante varias tecnologías con arreglo a una velocidad de servicio no inferior al umbral de calidad de funcionamiento establecido.</w:t>
      </w:r>
    </w:p>
    <w:p w14:paraId="76592C85" w14:textId="09133D65" w:rsidR="006960BC" w:rsidRPr="00642757" w:rsidRDefault="006960BC">
      <w:pPr>
        <w:rPr>
          <w:lang w:val="es-ES" w:eastAsia="zh-CN"/>
        </w:rPr>
      </w:pPr>
      <w:r w:rsidRPr="00642757">
        <w:rPr>
          <w:lang w:val="es-ES" w:eastAsia="zh-CN"/>
        </w:rPr>
        <w:t>En todos los casos, la cobertura de población viene determinada por el número de objetos situados en la zona de cobertura.</w:t>
      </w:r>
    </w:p>
    <w:p w14:paraId="560DD90F" w14:textId="77777777" w:rsidR="006960BC" w:rsidRPr="00642757" w:rsidRDefault="006960BC">
      <w:pPr>
        <w:rPr>
          <w:lang w:val="es-ES" w:eastAsia="zh-CN"/>
        </w:rPr>
      </w:pPr>
      <w:r w:rsidRPr="00642757">
        <w:rPr>
          <w:lang w:val="es-ES" w:eastAsia="zh-CN"/>
        </w:rPr>
        <w:lastRenderedPageBreak/>
        <w:t>La cobertura de población puede determinarse mediante:</w:t>
      </w:r>
    </w:p>
    <w:p w14:paraId="6C4D0045" w14:textId="15B9C0E4" w:rsidR="006960BC" w:rsidRPr="005E5A77" w:rsidRDefault="006960BC" w:rsidP="00201643">
      <w:pPr>
        <w:pStyle w:val="enumlev1"/>
        <w:rPr>
          <w:lang w:val="es-ES"/>
        </w:rPr>
      </w:pPr>
      <w:r w:rsidRPr="005E5A77">
        <w:rPr>
          <w:lang w:val="es-ES"/>
        </w:rPr>
        <w:t>–</w:t>
      </w:r>
      <w:r w:rsidR="00201643" w:rsidRPr="005E5A77">
        <w:rPr>
          <w:lang w:val="es-ES"/>
        </w:rPr>
        <w:tab/>
      </w:r>
      <w:r w:rsidRPr="005E5A77">
        <w:rPr>
          <w:lang w:val="es-ES"/>
        </w:rPr>
        <w:t>el cálculo pormenorizado del número de objetos situados en la zona de cobertura;</w:t>
      </w:r>
    </w:p>
    <w:p w14:paraId="61103F84" w14:textId="560A4A48" w:rsidR="006960BC" w:rsidRPr="005E5A77" w:rsidRDefault="006960BC" w:rsidP="00201643">
      <w:pPr>
        <w:pStyle w:val="enumlev1"/>
        <w:rPr>
          <w:lang w:val="es-ES"/>
        </w:rPr>
      </w:pPr>
      <w:r w:rsidRPr="005E5A77">
        <w:rPr>
          <w:lang w:val="es-ES"/>
        </w:rPr>
        <w:t>–</w:t>
      </w:r>
      <w:r w:rsidR="00201643" w:rsidRPr="005E5A77">
        <w:rPr>
          <w:lang w:val="es-ES"/>
        </w:rPr>
        <w:tab/>
      </w:r>
      <w:r w:rsidRPr="005E5A77">
        <w:rPr>
          <w:lang w:val="es-ES"/>
        </w:rPr>
        <w:t>la estimación del número de objetos situados en la zona de cobertura.</w:t>
      </w:r>
    </w:p>
    <w:p w14:paraId="47618CE2" w14:textId="77777777" w:rsidR="006960BC" w:rsidRPr="00642757" w:rsidRDefault="006960BC">
      <w:pPr>
        <w:pStyle w:val="Heading2"/>
        <w:rPr>
          <w:lang w:val="es-ES" w:eastAsia="zh-CN"/>
        </w:rPr>
      </w:pPr>
      <w:r w:rsidRPr="00642757">
        <w:rPr>
          <w:lang w:val="es-ES" w:eastAsia="zh-CN"/>
        </w:rPr>
        <w:t>6.1</w:t>
      </w:r>
      <w:r w:rsidRPr="00642757">
        <w:rPr>
          <w:lang w:val="es-ES" w:eastAsia="zh-CN"/>
        </w:rPr>
        <w:tab/>
        <w:t>Cálculo del número de objetos</w:t>
      </w:r>
    </w:p>
    <w:p w14:paraId="0466A374" w14:textId="77777777" w:rsidR="006960BC" w:rsidRPr="00642757" w:rsidRDefault="006960BC">
      <w:pPr>
        <w:rPr>
          <w:lang w:val="es-ES" w:eastAsia="zh-CN"/>
        </w:rPr>
      </w:pPr>
      <w:r w:rsidRPr="00642757">
        <w:rPr>
          <w:lang w:val="es-ES" w:eastAsia="zh-CN"/>
        </w:rPr>
        <w:t>En el primer caso, se aplican los siguientes procedimientos para estimar la cobertura de población mediante el cálculo del número de objetos:</w:t>
      </w:r>
    </w:p>
    <w:p w14:paraId="70995B73" w14:textId="77777777" w:rsidR="006960BC" w:rsidRPr="00642757" w:rsidRDefault="006960BC">
      <w:pPr>
        <w:pStyle w:val="enumlev1"/>
        <w:rPr>
          <w:lang w:val="es-ES" w:eastAsia="zh-CN"/>
        </w:rPr>
      </w:pPr>
      <w:r w:rsidRPr="00642757">
        <w:rPr>
          <w:lang w:val="es-ES" w:eastAsia="zh-CN"/>
        </w:rPr>
        <w:t>1)</w:t>
      </w:r>
      <w:r w:rsidRPr="00642757">
        <w:rPr>
          <w:lang w:val="es-ES" w:eastAsia="zh-CN"/>
        </w:rPr>
        <w:tab/>
        <w:t>En el territorio analizado, se determina la zona de cobertura mediante una tecnología de radiocomunicaciones determinada.</w:t>
      </w:r>
    </w:p>
    <w:p w14:paraId="46564177" w14:textId="3CE9EBE9" w:rsidR="006960BC" w:rsidRPr="00642757" w:rsidRDefault="006960BC">
      <w:pPr>
        <w:pStyle w:val="enumlev1"/>
        <w:rPr>
          <w:lang w:val="es-ES" w:eastAsia="zh-CN"/>
        </w:rPr>
      </w:pPr>
      <w:r w:rsidRPr="00642757">
        <w:rPr>
          <w:lang w:val="es-ES" w:eastAsia="zh-CN"/>
        </w:rPr>
        <w:t>2)</w:t>
      </w:r>
      <w:r w:rsidRPr="00642757">
        <w:rPr>
          <w:lang w:val="es-ES" w:eastAsia="zh-CN"/>
        </w:rPr>
        <w:tab/>
        <w:t xml:space="preserve">El número de objetos </w:t>
      </w:r>
      <w:r w:rsidRPr="00642757">
        <w:rPr>
          <w:i/>
          <w:lang w:val="es-ES" w:eastAsia="zh-CN"/>
        </w:rPr>
        <w:t>N</w:t>
      </w:r>
      <w:r w:rsidRPr="00642757">
        <w:rPr>
          <w:i/>
          <w:vertAlign w:val="subscript"/>
          <w:lang w:val="es-ES" w:eastAsia="zh-CN"/>
        </w:rPr>
        <w:t>i</w:t>
      </w:r>
      <w:r w:rsidRPr="00642757">
        <w:rPr>
          <w:lang w:val="es-ES" w:eastAsia="zh-CN"/>
        </w:rPr>
        <w:t xml:space="preserve"> en cada emplazamiento de población </w:t>
      </w:r>
      <w:r w:rsidRPr="00642757">
        <w:rPr>
          <w:i/>
          <w:iCs/>
          <w:lang w:val="es-ES" w:eastAsia="zh-CN"/>
        </w:rPr>
        <w:t>i-ésimo</w:t>
      </w:r>
      <w:r w:rsidRPr="00642757">
        <w:rPr>
          <w:lang w:val="es-ES" w:eastAsia="zh-CN"/>
        </w:rPr>
        <w:t xml:space="preserve"> del territorio analizado se determina con arreglo a información oficial sobre población, o mediante una referencia estadística.</w:t>
      </w:r>
    </w:p>
    <w:p w14:paraId="761A4147" w14:textId="77777777" w:rsidR="006960BC" w:rsidRPr="00642757" w:rsidRDefault="006960BC">
      <w:pPr>
        <w:pStyle w:val="enumlev1"/>
        <w:rPr>
          <w:lang w:val="es-ES" w:eastAsia="zh-CN"/>
        </w:rPr>
      </w:pPr>
      <w:r w:rsidRPr="00642757">
        <w:rPr>
          <w:lang w:val="es-ES" w:eastAsia="zh-CN"/>
        </w:rPr>
        <w:t>3)</w:t>
      </w:r>
      <w:r w:rsidRPr="00642757">
        <w:rPr>
          <w:lang w:val="es-ES" w:eastAsia="zh-CN"/>
        </w:rPr>
        <w:tab/>
        <w:t xml:space="preserve">El número total de objetos </w:t>
      </w:r>
      <m:oMath>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tot</m:t>
            </m:r>
            <m:r>
              <m:rPr>
                <m:sty m:val="p"/>
              </m:rPr>
              <w:rPr>
                <w:rFonts w:ascii="Cambria Math" w:hAnsi="Cambria Math"/>
                <w:lang w:val="es-ES" w:eastAsia="zh-CN"/>
              </w:rPr>
              <m:t>.</m:t>
            </m:r>
          </m:sub>
        </m:sSub>
      </m:oMath>
      <w:r w:rsidRPr="00642757">
        <w:rPr>
          <w:lang w:val="es-ES" w:eastAsia="zh-CN"/>
        </w:rPr>
        <w:t xml:space="preserve"> inscritos en el territorio analizado en </w:t>
      </w:r>
      <w:r w:rsidRPr="00642757">
        <w:rPr>
          <w:i/>
          <w:lang w:val="es-ES" w:eastAsia="zh-CN"/>
        </w:rPr>
        <w:t xml:space="preserve">n </w:t>
      </w:r>
      <w:r w:rsidRPr="00642757">
        <w:rPr>
          <w:lang w:val="es-ES" w:eastAsia="zh-CN"/>
        </w:rPr>
        <w:t>emplazamientos de población se determina del siguiente modo:</w:t>
      </w:r>
    </w:p>
    <w:p w14:paraId="72A50228" w14:textId="77777777" w:rsidR="00201643" w:rsidRPr="005E5A77" w:rsidRDefault="00201643" w:rsidP="00201643">
      <w:pPr>
        <w:pStyle w:val="Blanc"/>
        <w:rPr>
          <w:lang w:val="es-ES" w:eastAsia="zh-CN"/>
        </w:rPr>
      </w:pPr>
    </w:p>
    <w:p w14:paraId="684732D5" w14:textId="46958F3D"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tot</m:t>
            </m:r>
            <m:r>
              <m:rPr>
                <m:sty m:val="p"/>
              </m:rPr>
              <w:rPr>
                <w:rFonts w:ascii="Cambria Math" w:hAnsi="Cambria Math"/>
                <w:lang w:val="es-ES" w:eastAsia="zh-CN"/>
              </w:rPr>
              <m:t>.</m:t>
            </m:r>
          </m:sub>
        </m:sSub>
        <m:r>
          <m:rPr>
            <m:sty m:val="p"/>
          </m:rPr>
          <w:rPr>
            <w:rFonts w:ascii="Cambria Math" w:hAnsi="Cambria Math"/>
            <w:lang w:val="es-ES" w:eastAsia="zh-CN"/>
          </w:rPr>
          <m:t>=</m:t>
        </m:r>
        <m:nary>
          <m:naryPr>
            <m:chr m:val="∑"/>
            <m:limLoc m:val="undOvr"/>
            <m:ctrlPr>
              <w:rPr>
                <w:rFonts w:ascii="Cambria Math" w:hAnsi="Cambria Math"/>
                <w:lang w:val="es-ES" w:eastAsia="zh-CN"/>
              </w:rPr>
            </m:ctrlPr>
          </m:naryPr>
          <m:sub>
            <m:r>
              <w:rPr>
                <w:rFonts w:ascii="Cambria Math" w:hAnsi="Cambria Math"/>
                <w:lang w:val="es-ES" w:eastAsia="zh-CN"/>
              </w:rPr>
              <m:t>i</m:t>
            </m:r>
            <m:r>
              <m:rPr>
                <m:sty m:val="p"/>
              </m:rPr>
              <w:rPr>
                <w:rFonts w:ascii="Cambria Math" w:hAnsi="Cambria Math"/>
                <w:lang w:val="es-ES" w:eastAsia="zh-CN"/>
              </w:rPr>
              <m:t>=1</m:t>
            </m:r>
          </m:sub>
          <m:sup>
            <m:r>
              <w:rPr>
                <w:rFonts w:ascii="Cambria Math" w:hAnsi="Cambria Math"/>
                <w:lang w:val="es-ES" w:eastAsia="zh-CN"/>
              </w:rPr>
              <m:t>n</m:t>
            </m:r>
          </m:sup>
          <m:e>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i</m:t>
                </m:r>
              </m:sub>
            </m:sSub>
          </m:e>
        </m:nary>
      </m:oMath>
      <w:r w:rsidRPr="00642757">
        <w:rPr>
          <w:lang w:val="es-ES" w:eastAsia="zh-CN"/>
        </w:rPr>
        <w:tab/>
        <w:t>(3)</w:t>
      </w:r>
    </w:p>
    <w:p w14:paraId="2BFC46EA" w14:textId="77777777" w:rsidR="00201643" w:rsidRPr="005E5A77" w:rsidRDefault="00201643" w:rsidP="00201643">
      <w:pPr>
        <w:pStyle w:val="Blanc"/>
        <w:rPr>
          <w:lang w:val="es-ES" w:eastAsia="zh-CN"/>
        </w:rPr>
      </w:pPr>
    </w:p>
    <w:p w14:paraId="0E7600E8" w14:textId="3342D01E" w:rsidR="006960BC" w:rsidRPr="00642757" w:rsidRDefault="006960BC">
      <w:pPr>
        <w:pStyle w:val="enumlev1"/>
        <w:rPr>
          <w:lang w:val="es-ES" w:eastAsia="zh-CN"/>
        </w:rPr>
      </w:pPr>
      <w:r w:rsidRPr="00642757">
        <w:rPr>
          <w:lang w:val="es-ES" w:eastAsia="zh-CN"/>
        </w:rPr>
        <w:t>4)</w:t>
      </w:r>
      <w:r w:rsidRPr="00642757">
        <w:rPr>
          <w:lang w:val="es-ES" w:eastAsia="zh-CN"/>
        </w:rPr>
        <w:tab/>
        <w:t xml:space="preserve">La zona de cobertura determinada (calculada o medida) se representa en un mapa digital y se determinan los emplazamientos de población situados íntegramente en esa zona de cobertura, es decir, los que cuentan con cobertura íntegra de un servicio </w:t>
      </w:r>
      <w:r w:rsidRPr="00642757">
        <w:rPr>
          <w:szCs w:val="24"/>
          <w:lang w:val="es-ES" w:eastAsia="zh-CN"/>
        </w:rPr>
        <w:t>de radiocomunicaciones</w:t>
      </w:r>
      <w:r w:rsidRPr="00642757">
        <w:rPr>
          <w:lang w:val="es-ES" w:eastAsia="zh-CN"/>
        </w:rPr>
        <w:t xml:space="preserve"> específico</w:t>
      </w:r>
      <w:r w:rsidRPr="00642757">
        <w:rPr>
          <w:szCs w:val="24"/>
          <w:lang w:val="es-ES" w:eastAsia="zh-CN"/>
        </w:rPr>
        <w:t>.</w:t>
      </w:r>
    </w:p>
    <w:p w14:paraId="600D6A7E" w14:textId="77777777" w:rsidR="006960BC" w:rsidRPr="00642757" w:rsidRDefault="006960BC">
      <w:pPr>
        <w:pStyle w:val="enumlev1"/>
        <w:rPr>
          <w:lang w:val="es-ES" w:eastAsia="zh-CN"/>
        </w:rPr>
      </w:pPr>
      <w:r w:rsidRPr="00642757">
        <w:rPr>
          <w:lang w:val="es-ES" w:eastAsia="zh-CN"/>
        </w:rPr>
        <w:t>5)</w:t>
      </w:r>
      <w:r w:rsidRPr="00642757">
        <w:rPr>
          <w:lang w:val="es-ES" w:eastAsia="zh-CN"/>
        </w:rPr>
        <w:tab/>
        <w:t xml:space="preserve">El número total de objetos </w:t>
      </w:r>
      <m:oMath>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tot</m:t>
            </m:r>
            <m:r>
              <m:rPr>
                <m:sty m:val="p"/>
              </m:rPr>
              <w:rPr>
                <w:rFonts w:ascii="Cambria Math" w:hAnsi="Cambria Math"/>
                <w:lang w:val="es-ES" w:eastAsia="zh-CN"/>
              </w:rPr>
              <m:t>.</m:t>
            </m:r>
            <m:r>
              <w:rPr>
                <w:rFonts w:ascii="Cambria Math" w:hAnsi="Cambria Math"/>
                <w:lang w:val="es-ES" w:eastAsia="zh-CN"/>
              </w:rPr>
              <m:t>cov.</m:t>
            </m:r>
          </m:sub>
        </m:sSub>
      </m:oMath>
      <w:r w:rsidRPr="00642757">
        <w:rPr>
          <w:lang w:val="es-ES" w:eastAsia="zh-CN"/>
        </w:rPr>
        <w:t xml:space="preserve"> inscritos en la zona de cobertura se determina mediante la siguiente ecuación:</w:t>
      </w:r>
    </w:p>
    <w:p w14:paraId="7DBB5609" w14:textId="77777777"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tot</m:t>
            </m:r>
            <m:r>
              <m:rPr>
                <m:sty m:val="p"/>
              </m:rPr>
              <w:rPr>
                <w:rFonts w:ascii="Cambria Math" w:hAnsi="Cambria Math"/>
                <w:lang w:val="es-ES" w:eastAsia="zh-CN"/>
              </w:rPr>
              <m:t>.</m:t>
            </m:r>
            <m:r>
              <w:rPr>
                <w:rFonts w:ascii="Cambria Math" w:hAnsi="Cambria Math"/>
                <w:lang w:val="es-ES" w:eastAsia="zh-CN"/>
              </w:rPr>
              <m:t>cov.</m:t>
            </m:r>
          </m:sub>
        </m:sSub>
        <m:r>
          <m:rPr>
            <m:sty m:val="p"/>
          </m:rPr>
          <w:rPr>
            <w:rFonts w:ascii="Cambria Math" w:hAnsi="Cambria Math"/>
            <w:lang w:val="es-ES" w:eastAsia="zh-CN"/>
          </w:rPr>
          <m:t>=</m:t>
        </m:r>
        <m:nary>
          <m:naryPr>
            <m:chr m:val="∑"/>
            <m:limLoc m:val="undOvr"/>
            <m:ctrlPr>
              <w:rPr>
                <w:rFonts w:ascii="Cambria Math" w:hAnsi="Cambria Math"/>
                <w:lang w:val="es-ES" w:eastAsia="zh-CN"/>
              </w:rPr>
            </m:ctrlPr>
          </m:naryPr>
          <m:sub>
            <m:r>
              <w:rPr>
                <w:rFonts w:ascii="Cambria Math" w:hAnsi="Cambria Math"/>
                <w:lang w:val="es-ES" w:eastAsia="zh-CN"/>
              </w:rPr>
              <m:t>j</m:t>
            </m:r>
            <m:r>
              <m:rPr>
                <m:sty m:val="p"/>
              </m:rPr>
              <w:rPr>
                <w:rFonts w:ascii="Cambria Math" w:hAnsi="Cambria Math"/>
                <w:lang w:val="es-ES" w:eastAsia="zh-CN"/>
              </w:rPr>
              <m:t>=1</m:t>
            </m:r>
          </m:sub>
          <m:sup>
            <m:r>
              <w:rPr>
                <w:rFonts w:ascii="Cambria Math" w:hAnsi="Cambria Math"/>
                <w:lang w:val="es-ES" w:eastAsia="zh-CN"/>
              </w:rPr>
              <m:t>m</m:t>
            </m:r>
          </m:sup>
          <m:e>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j</m:t>
                </m:r>
              </m:sub>
            </m:sSub>
          </m:e>
        </m:nary>
      </m:oMath>
      <w:r w:rsidRPr="00642757">
        <w:rPr>
          <w:lang w:val="es-ES" w:eastAsia="zh-CN"/>
        </w:rPr>
        <w:tab/>
        <w:t>(4)</w:t>
      </w:r>
    </w:p>
    <w:p w14:paraId="16E0978D" w14:textId="77777777" w:rsidR="006960BC" w:rsidRPr="00642757" w:rsidRDefault="006960BC">
      <w:pPr>
        <w:rPr>
          <w:lang w:val="es-ES" w:eastAsia="zh-CN"/>
        </w:rPr>
      </w:pPr>
      <w:r w:rsidRPr="00642757">
        <w:rPr>
          <w:lang w:val="es-ES" w:eastAsia="zh-CN"/>
        </w:rPr>
        <w:t>siendo:</w:t>
      </w:r>
    </w:p>
    <w:p w14:paraId="4122AE80" w14:textId="6AD0110C" w:rsidR="006960BC" w:rsidRPr="00642757" w:rsidRDefault="006960BC">
      <w:pPr>
        <w:pStyle w:val="Equationlegend"/>
        <w:rPr>
          <w:lang w:val="es-ES" w:eastAsia="zh-CN"/>
        </w:rPr>
      </w:pPr>
      <w:r w:rsidRPr="00642757">
        <w:rPr>
          <w:i/>
          <w:lang w:val="es-ES" w:eastAsia="zh-CN"/>
        </w:rPr>
        <w:tab/>
        <w:t xml:space="preserve">m </w:t>
      </w:r>
      <w:r w:rsidRPr="00642757">
        <w:rPr>
          <w:lang w:val="es-ES" w:eastAsia="zh-CN"/>
        </w:rPr>
        <w:t>:</w:t>
      </w:r>
      <w:r w:rsidRPr="00642757">
        <w:rPr>
          <w:lang w:val="es-ES" w:eastAsia="zh-CN"/>
        </w:rPr>
        <w:tab/>
        <w:t>número de emplazamientos de población con plena cobertura de servicio</w:t>
      </w:r>
    </w:p>
    <w:p w14:paraId="6A8D39C4" w14:textId="77777777" w:rsidR="006960BC" w:rsidRPr="00642757" w:rsidRDefault="006960BC">
      <w:pPr>
        <w:pStyle w:val="Equationlegend"/>
        <w:rPr>
          <w:lang w:val="es-ES" w:eastAsia="zh-CN"/>
        </w:rPr>
      </w:pPr>
      <w:r w:rsidRPr="00642757">
        <w:rPr>
          <w:i/>
          <w:lang w:val="es-ES" w:eastAsia="zh-CN"/>
        </w:rPr>
        <w:tab/>
        <w:t>N</w:t>
      </w:r>
      <w:r w:rsidRPr="00642757">
        <w:rPr>
          <w:i/>
          <w:vertAlign w:val="subscript"/>
          <w:lang w:val="es-ES" w:eastAsia="zh-CN"/>
        </w:rPr>
        <w:t>j</w:t>
      </w:r>
      <w:r w:rsidRPr="00642757">
        <w:rPr>
          <w:lang w:val="es-ES" w:eastAsia="zh-CN"/>
        </w:rPr>
        <w:t xml:space="preserve"> :</w:t>
      </w:r>
      <w:r w:rsidRPr="00642757">
        <w:rPr>
          <w:lang w:val="es-ES" w:eastAsia="zh-CN"/>
        </w:rPr>
        <w:tab/>
        <w:t xml:space="preserve">número de objetos inscritos en el </w:t>
      </w:r>
      <w:r w:rsidRPr="00642757">
        <w:rPr>
          <w:i/>
          <w:iCs/>
          <w:lang w:val="es-ES" w:eastAsia="zh-CN"/>
        </w:rPr>
        <w:t>j-ésimo</w:t>
      </w:r>
      <w:r w:rsidRPr="00642757">
        <w:rPr>
          <w:lang w:val="es-ES" w:eastAsia="zh-CN"/>
        </w:rPr>
        <w:t xml:space="preserve"> emplazamiento de población con plena cobertura de servicio.</w:t>
      </w:r>
    </w:p>
    <w:p w14:paraId="46EE092B" w14:textId="77777777" w:rsidR="006960BC" w:rsidRPr="00642757" w:rsidRDefault="006960BC">
      <w:pPr>
        <w:pStyle w:val="enumlev1"/>
        <w:rPr>
          <w:lang w:val="es-ES" w:eastAsia="zh-CN"/>
        </w:rPr>
      </w:pPr>
      <w:r w:rsidRPr="00642757">
        <w:rPr>
          <w:lang w:val="es-ES" w:eastAsia="zh-CN"/>
        </w:rPr>
        <w:t>6)</w:t>
      </w:r>
      <w:r w:rsidRPr="00642757">
        <w:rPr>
          <w:lang w:val="es-ES" w:eastAsia="zh-CN"/>
        </w:rPr>
        <w:tab/>
        <w:t xml:space="preserve">Si únicamente una parte de un emplazamiento de población cuenta con cobertura de servicio, el número aproximado de objetos </w:t>
      </w:r>
      <m:oMath>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obj</m:t>
            </m:r>
            <m:r>
              <m:rPr>
                <m:sty m:val="p"/>
              </m:rPr>
              <w:rPr>
                <w:rFonts w:ascii="Cambria Math" w:hAnsi="Cambria Math"/>
                <w:lang w:val="es-ES" w:eastAsia="zh-CN"/>
              </w:rPr>
              <m:t>.</m:t>
            </m:r>
            <m:r>
              <w:rPr>
                <w:rFonts w:ascii="Cambria Math" w:hAnsi="Cambria Math"/>
                <w:lang w:val="es-ES" w:eastAsia="zh-CN"/>
              </w:rPr>
              <m:t>cov.</m:t>
            </m:r>
          </m:sub>
        </m:sSub>
      </m:oMath>
      <w:r w:rsidRPr="00642757">
        <w:rPr>
          <w:lang w:val="es-ES" w:eastAsia="zh-CN"/>
        </w:rPr>
        <w:t xml:space="preserve"> en el territorio que cuenta con dicha cobertura, de superficie </w:t>
      </w:r>
      <m:oMath>
        <m:sSub>
          <m:sSubPr>
            <m:ctrlPr>
              <w:rPr>
                <w:rFonts w:ascii="Cambria Math" w:hAnsi="Cambria Math"/>
                <w:lang w:val="es-ES" w:eastAsia="zh-CN"/>
              </w:rPr>
            </m:ctrlPr>
          </m:sSubPr>
          <m:e>
            <m:r>
              <w:rPr>
                <w:rFonts w:ascii="Cambria Math" w:hAnsi="Cambria Math"/>
                <w:lang w:val="es-ES" w:eastAsia="zh-CN"/>
              </w:rPr>
              <m:t>S</m:t>
            </m:r>
          </m:e>
          <m:sub>
            <m:r>
              <w:rPr>
                <w:rFonts w:ascii="Cambria Math" w:hAnsi="Cambria Math"/>
                <w:lang w:val="es-ES" w:eastAsia="zh-CN"/>
              </w:rPr>
              <m:t>cov.</m:t>
            </m:r>
          </m:sub>
        </m:sSub>
      </m:oMath>
      <w:r w:rsidRPr="00642757">
        <w:rPr>
          <w:lang w:val="es-ES" w:eastAsia="zh-CN"/>
        </w:rPr>
        <w:t>, se calcula mediante la siguiente ecuación:</w:t>
      </w:r>
    </w:p>
    <w:p w14:paraId="654D540A" w14:textId="77777777" w:rsidR="00201643" w:rsidRPr="005E5A77" w:rsidRDefault="00201643" w:rsidP="00201643">
      <w:pPr>
        <w:pStyle w:val="Blanc"/>
        <w:rPr>
          <w:lang w:val="es-ES" w:eastAsia="zh-CN"/>
        </w:rPr>
      </w:pPr>
    </w:p>
    <w:p w14:paraId="34E27EDA" w14:textId="77777777" w:rsidR="006960BC" w:rsidRPr="00642757" w:rsidRDefault="006960BC" w:rsidP="00201643">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obj.cov.</m:t>
            </m:r>
          </m:sub>
        </m:sSub>
        <m:r>
          <w:rPr>
            <w:rFonts w:ascii="Cambria Math" w:hAnsi="Cambria Math"/>
            <w:lang w:val="es-ES" w:eastAsia="zh-CN"/>
          </w:rPr>
          <m:t>=</m:t>
        </m:r>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obj.</m:t>
            </m:r>
          </m:sub>
        </m:sSub>
        <m:r>
          <w:rPr>
            <w:rFonts w:ascii="Cambria Math" w:hAnsi="Cambria Math"/>
            <w:lang w:val="es-ES" w:eastAsia="zh-CN"/>
          </w:rPr>
          <m:t>∙</m:t>
        </m:r>
        <m:f>
          <m:fPr>
            <m:ctrlPr>
              <w:rPr>
                <w:rFonts w:ascii="Cambria Math" w:hAnsi="Cambria Math"/>
                <w:i/>
                <w:lang w:val="es-ES" w:eastAsia="zh-CN"/>
              </w:rPr>
            </m:ctrlPr>
          </m:fPr>
          <m:num>
            <m:sSub>
              <m:sSubPr>
                <m:ctrlPr>
                  <w:rPr>
                    <w:rFonts w:ascii="Cambria Math" w:hAnsi="Cambria Math"/>
                    <w:i/>
                    <w:lang w:val="es-ES" w:eastAsia="zh-CN"/>
                  </w:rPr>
                </m:ctrlPr>
              </m:sSubPr>
              <m:e>
                <m:r>
                  <w:rPr>
                    <w:rFonts w:ascii="Cambria Math" w:hAnsi="Cambria Math"/>
                    <w:lang w:val="es-ES" w:eastAsia="zh-CN"/>
                  </w:rPr>
                  <m:t>S</m:t>
                </m:r>
              </m:e>
              <m:sub>
                <m:r>
                  <w:rPr>
                    <w:rFonts w:ascii="Cambria Math" w:hAnsi="Cambria Math"/>
                    <w:lang w:val="es-ES" w:eastAsia="zh-CN"/>
                  </w:rPr>
                  <m:t>cov.</m:t>
                </m:r>
              </m:sub>
            </m:sSub>
          </m:num>
          <m:den>
            <m:sSub>
              <m:sSubPr>
                <m:ctrlPr>
                  <w:rPr>
                    <w:rFonts w:ascii="Cambria Math" w:hAnsi="Cambria Math"/>
                    <w:i/>
                    <w:lang w:val="es-ES" w:eastAsia="zh-CN"/>
                  </w:rPr>
                </m:ctrlPr>
              </m:sSubPr>
              <m:e>
                <m:r>
                  <w:rPr>
                    <w:rFonts w:ascii="Cambria Math" w:hAnsi="Cambria Math"/>
                    <w:lang w:val="es-ES" w:eastAsia="zh-CN"/>
                  </w:rPr>
                  <m:t>S</m:t>
                </m:r>
              </m:e>
              <m:sub>
                <m:r>
                  <w:rPr>
                    <w:rFonts w:ascii="Cambria Math" w:hAnsi="Cambria Math"/>
                    <w:lang w:val="es-ES" w:eastAsia="zh-CN"/>
                  </w:rPr>
                  <m:t>settl.</m:t>
                </m:r>
              </m:sub>
            </m:sSub>
          </m:den>
        </m:f>
      </m:oMath>
      <w:r w:rsidRPr="00642757">
        <w:rPr>
          <w:lang w:val="es-ES" w:eastAsia="zh-CN"/>
        </w:rPr>
        <w:tab/>
        <w:t>(5)</w:t>
      </w:r>
    </w:p>
    <w:p w14:paraId="70294EEE" w14:textId="0923F5FA" w:rsidR="006960BC" w:rsidRPr="00642757" w:rsidRDefault="006960BC">
      <w:pPr>
        <w:rPr>
          <w:lang w:val="es-ES" w:eastAsia="zh-CN"/>
        </w:rPr>
      </w:pPr>
      <w:r w:rsidRPr="00642757">
        <w:rPr>
          <w:lang w:val="es-ES" w:eastAsia="zh-CN"/>
        </w:rPr>
        <w:t>siendo:</w:t>
      </w:r>
    </w:p>
    <w:p w14:paraId="7BC5E337" w14:textId="6486D612" w:rsidR="006960BC" w:rsidRPr="00642757" w:rsidRDefault="006960BC">
      <w:pPr>
        <w:pStyle w:val="Equationlegend"/>
        <w:rPr>
          <w:lang w:val="es-ES" w:eastAsia="zh-CN"/>
        </w:rPr>
      </w:pPr>
      <w:r w:rsidRPr="00642757">
        <w:rPr>
          <w:i/>
          <w:lang w:val="es-ES" w:eastAsia="zh-CN"/>
        </w:rPr>
        <w:tab/>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obj.</m:t>
            </m:r>
          </m:sub>
        </m:sSub>
      </m:oMath>
      <w:r w:rsidRPr="00642757">
        <w:rPr>
          <w:lang w:val="es-ES" w:eastAsia="zh-CN"/>
        </w:rPr>
        <w:tab/>
        <w:t>número total de objetos en el emplazamiento de población analizado</w:t>
      </w:r>
    </w:p>
    <w:p w14:paraId="71AA9E67" w14:textId="77777777" w:rsidR="006960BC" w:rsidRPr="00642757" w:rsidRDefault="006960BC">
      <w:pPr>
        <w:pStyle w:val="Equationlegend"/>
        <w:rPr>
          <w:lang w:val="es-ES" w:eastAsia="zh-CN"/>
        </w:rPr>
      </w:pPr>
      <w:r w:rsidRPr="00642757">
        <w:rPr>
          <w:i/>
          <w:lang w:val="es-ES" w:eastAsia="zh-CN"/>
        </w:rPr>
        <w:tab/>
      </w:r>
      <m:oMath>
        <m:sSub>
          <m:sSubPr>
            <m:ctrlPr>
              <w:rPr>
                <w:rFonts w:ascii="Cambria Math" w:hAnsi="Cambria Math"/>
                <w:i/>
                <w:lang w:val="es-ES" w:eastAsia="zh-CN"/>
              </w:rPr>
            </m:ctrlPr>
          </m:sSubPr>
          <m:e>
            <m:r>
              <w:rPr>
                <w:rFonts w:ascii="Cambria Math" w:hAnsi="Cambria Math"/>
                <w:lang w:val="es-ES" w:eastAsia="zh-CN"/>
              </w:rPr>
              <m:t>S</m:t>
            </m:r>
          </m:e>
          <m:sub>
            <m:r>
              <w:rPr>
                <w:rFonts w:ascii="Cambria Math" w:hAnsi="Cambria Math"/>
                <w:lang w:val="es-ES" w:eastAsia="zh-CN"/>
              </w:rPr>
              <m:t>settl.</m:t>
            </m:r>
          </m:sub>
        </m:sSub>
      </m:oMath>
      <w:r w:rsidRPr="00642757">
        <w:rPr>
          <w:lang w:val="es-ES" w:eastAsia="zh-CN"/>
        </w:rPr>
        <w:t xml:space="preserve"> :</w:t>
      </w:r>
      <w:r w:rsidRPr="00642757">
        <w:rPr>
          <w:lang w:val="es-ES" w:eastAsia="zh-CN"/>
        </w:rPr>
        <w:tab/>
        <w:t>superficie total del emplazamiento de población analizado.</w:t>
      </w:r>
    </w:p>
    <w:p w14:paraId="398BC523" w14:textId="1827B257" w:rsidR="006960BC" w:rsidRPr="00642757" w:rsidRDefault="006960BC">
      <w:pPr>
        <w:pStyle w:val="enumlev1"/>
        <w:rPr>
          <w:lang w:val="es-ES" w:eastAsia="zh-CN"/>
        </w:rPr>
      </w:pPr>
      <w:r w:rsidRPr="00642757">
        <w:rPr>
          <w:lang w:val="es-ES" w:eastAsia="zh-CN"/>
        </w:rPr>
        <w:t>7)</w:t>
      </w:r>
      <w:r w:rsidRPr="00642757">
        <w:rPr>
          <w:lang w:val="es-ES" w:eastAsia="zh-CN"/>
        </w:rPr>
        <w:tab/>
        <w:t xml:space="preserve">El número total de objetos </w:t>
      </w:r>
      <m:oMath>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part</m:t>
            </m:r>
            <m:r>
              <m:rPr>
                <m:sty m:val="p"/>
              </m:rPr>
              <w:rPr>
                <w:rFonts w:ascii="Cambria Math" w:hAnsi="Cambria Math"/>
                <w:lang w:val="es-ES" w:eastAsia="zh-CN"/>
              </w:rPr>
              <m:t>.</m:t>
            </m:r>
            <m:r>
              <w:rPr>
                <w:rFonts w:ascii="Cambria Math" w:hAnsi="Cambria Math"/>
                <w:lang w:val="es-ES" w:eastAsia="zh-CN"/>
              </w:rPr>
              <m:t>cov.</m:t>
            </m:r>
          </m:sub>
        </m:sSub>
      </m:oMath>
      <w:r w:rsidR="00201643" w:rsidRPr="00642757">
        <w:rPr>
          <w:lang w:val="es-ES" w:eastAsia="zh-CN"/>
        </w:rPr>
        <w:t xml:space="preserve"> </w:t>
      </w:r>
      <w:r w:rsidR="00201643">
        <w:rPr>
          <w:lang w:val="es-ES" w:eastAsia="zh-CN"/>
        </w:rPr>
        <w:t>i</w:t>
      </w:r>
      <w:r w:rsidRPr="00642757">
        <w:rPr>
          <w:lang w:val="es-ES" w:eastAsia="zh-CN"/>
        </w:rPr>
        <w:t xml:space="preserve">nscritos en </w:t>
      </w:r>
      <w:r w:rsidRPr="00642757">
        <w:rPr>
          <w:i/>
          <w:lang w:val="es-ES" w:eastAsia="zh-CN"/>
        </w:rPr>
        <w:t xml:space="preserve">l </w:t>
      </w:r>
      <w:r w:rsidRPr="00642757">
        <w:rPr>
          <w:lang w:val="es-ES" w:eastAsia="zh-CN"/>
        </w:rPr>
        <w:t xml:space="preserve">emplazamientos de población que cuentan con cobertura </w:t>
      </w:r>
      <w:r w:rsidR="00201643">
        <w:rPr>
          <w:lang w:val="es-ES" w:eastAsia="zh-CN"/>
        </w:rPr>
        <w:t>«</w:t>
      </w:r>
      <w:r w:rsidRPr="00642757">
        <w:rPr>
          <w:lang w:val="es-ES" w:eastAsia="zh-CN"/>
        </w:rPr>
        <w:t>parcial</w:t>
      </w:r>
      <w:r w:rsidR="00201643">
        <w:rPr>
          <w:lang w:val="es-ES" w:eastAsia="zh-CN"/>
        </w:rPr>
        <w:t>»</w:t>
      </w:r>
      <w:r w:rsidRPr="00642757">
        <w:rPr>
          <w:szCs w:val="24"/>
          <w:lang w:val="es-ES" w:eastAsia="zh-CN"/>
        </w:rPr>
        <w:t xml:space="preserve"> </w:t>
      </w:r>
      <w:r w:rsidRPr="00642757">
        <w:rPr>
          <w:lang w:val="es-ES" w:eastAsia="zh-CN"/>
        </w:rPr>
        <w:t>se calcula mediante la ecuación siguiente:</w:t>
      </w:r>
    </w:p>
    <w:p w14:paraId="09B27966" w14:textId="77777777" w:rsidR="00201643" w:rsidRPr="005E5A77" w:rsidRDefault="00201643" w:rsidP="00201643">
      <w:pPr>
        <w:pStyle w:val="Blanc"/>
        <w:rPr>
          <w:lang w:val="es-ES" w:eastAsia="zh-CN"/>
        </w:rPr>
      </w:pPr>
    </w:p>
    <w:p w14:paraId="4216A2F6" w14:textId="77777777"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part</m:t>
            </m:r>
            <m:r>
              <m:rPr>
                <m:sty m:val="p"/>
              </m:rPr>
              <w:rPr>
                <w:rFonts w:ascii="Cambria Math" w:hAnsi="Cambria Math"/>
                <w:lang w:val="es-ES" w:eastAsia="zh-CN"/>
              </w:rPr>
              <m:t>.</m:t>
            </m:r>
            <m:r>
              <w:rPr>
                <w:rFonts w:ascii="Cambria Math" w:hAnsi="Cambria Math"/>
                <w:lang w:val="es-ES" w:eastAsia="zh-CN"/>
              </w:rPr>
              <m:t>cov.</m:t>
            </m:r>
          </m:sub>
        </m:sSub>
        <m:r>
          <m:rPr>
            <m:sty m:val="p"/>
          </m:rPr>
          <w:rPr>
            <w:rFonts w:ascii="Cambria Math" w:hAnsi="Cambria Math"/>
            <w:lang w:val="es-ES" w:eastAsia="zh-CN"/>
          </w:rPr>
          <m:t>=</m:t>
        </m:r>
        <m:nary>
          <m:naryPr>
            <m:chr m:val="∑"/>
            <m:limLoc m:val="undOvr"/>
            <m:ctrlPr>
              <w:rPr>
                <w:rFonts w:ascii="Cambria Math" w:hAnsi="Cambria Math"/>
                <w:lang w:val="es-ES" w:eastAsia="zh-CN"/>
              </w:rPr>
            </m:ctrlPr>
          </m:naryPr>
          <m:sub>
            <m:r>
              <w:rPr>
                <w:rFonts w:ascii="Cambria Math" w:hAnsi="Cambria Math"/>
                <w:lang w:val="es-ES" w:eastAsia="zh-CN"/>
              </w:rPr>
              <m:t>j</m:t>
            </m:r>
            <m:r>
              <m:rPr>
                <m:sty m:val="p"/>
              </m:rPr>
              <w:rPr>
                <w:rFonts w:ascii="Cambria Math" w:hAnsi="Cambria Math"/>
                <w:lang w:val="es-ES" w:eastAsia="zh-CN"/>
              </w:rPr>
              <m:t>=1</m:t>
            </m:r>
          </m:sub>
          <m:sup>
            <m:r>
              <w:rPr>
                <w:rFonts w:ascii="Cambria Math" w:hAnsi="Cambria Math"/>
                <w:lang w:val="es-ES" w:eastAsia="zh-CN"/>
              </w:rPr>
              <m:t>l</m:t>
            </m:r>
          </m:sup>
          <m:e>
            <m:sSub>
              <m:sSubPr>
                <m:ctrlPr>
                  <w:rPr>
                    <w:rFonts w:ascii="Cambria Math" w:hAnsi="Cambria Math"/>
                    <w:lang w:val="es-ES" w:eastAsia="zh-CN"/>
                  </w:rPr>
                </m:ctrlPr>
              </m:sSubPr>
              <m:e>
                <m:r>
                  <w:rPr>
                    <w:rFonts w:ascii="Cambria Math" w:hAnsi="Cambria Math"/>
                    <w:lang w:val="es-ES" w:eastAsia="zh-CN"/>
                  </w:rPr>
                  <m:t>N</m:t>
                </m:r>
              </m:e>
              <m:sub>
                <m:r>
                  <w:rPr>
                    <w:rFonts w:ascii="Cambria Math" w:hAnsi="Cambria Math"/>
                    <w:lang w:val="es-ES" w:eastAsia="zh-CN"/>
                  </w:rPr>
                  <m:t>obj.cov.j</m:t>
                </m:r>
              </m:sub>
            </m:sSub>
          </m:e>
        </m:nary>
      </m:oMath>
      <w:r w:rsidRPr="00642757">
        <w:rPr>
          <w:lang w:val="es-ES" w:eastAsia="zh-CN"/>
        </w:rPr>
        <w:tab/>
        <w:t>(6)</w:t>
      </w:r>
    </w:p>
    <w:p w14:paraId="1F74A6D2" w14:textId="77777777" w:rsidR="00201643" w:rsidRPr="005E5A77" w:rsidRDefault="00201643" w:rsidP="00201643">
      <w:pPr>
        <w:pStyle w:val="Blanc"/>
        <w:rPr>
          <w:lang w:val="es-ES" w:eastAsia="zh-CN"/>
        </w:rPr>
      </w:pPr>
    </w:p>
    <w:p w14:paraId="797689A3" w14:textId="77777777" w:rsidR="006960BC" w:rsidRPr="00642757" w:rsidRDefault="006960BC">
      <w:pPr>
        <w:pStyle w:val="enumlev1"/>
        <w:rPr>
          <w:i/>
          <w:lang w:val="es-ES" w:eastAsia="zh-CN"/>
        </w:rPr>
      </w:pPr>
      <w:r w:rsidRPr="00642757">
        <w:rPr>
          <w:lang w:val="es-ES" w:eastAsia="zh-CN"/>
        </w:rPr>
        <w:t>8)</w:t>
      </w:r>
      <w:r w:rsidRPr="00642757">
        <w:rPr>
          <w:lang w:val="es-ES" w:eastAsia="zh-CN"/>
        </w:rPr>
        <w:tab/>
        <w:t xml:space="preserve">El número total de objetos </w:t>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cov.</m:t>
            </m:r>
          </m:sub>
        </m:sSub>
      </m:oMath>
      <w:r w:rsidRPr="00642757">
        <w:rPr>
          <w:lang w:val="es-ES" w:eastAsia="zh-CN"/>
        </w:rPr>
        <w:t xml:space="preserve"> inscritos en la zona con cobertura se determina mediante la siguiente ecuación:</w:t>
      </w:r>
    </w:p>
    <w:p w14:paraId="789ACD19" w14:textId="77777777" w:rsidR="00201643" w:rsidRPr="005E5A77" w:rsidRDefault="00201643" w:rsidP="00201643">
      <w:pPr>
        <w:pStyle w:val="Blanc"/>
        <w:rPr>
          <w:lang w:val="es-ES" w:eastAsia="zh-CN"/>
        </w:rPr>
      </w:pPr>
    </w:p>
    <w:p w14:paraId="538B1CFD" w14:textId="77777777"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cov.</m:t>
            </m:r>
          </m:sub>
        </m:sSub>
        <m:r>
          <w:rPr>
            <w:rFonts w:ascii="Cambria Math" w:hAnsi="Cambria Math"/>
            <w:lang w:val="es-ES" w:eastAsia="zh-CN"/>
          </w:rPr>
          <m:t>=</m:t>
        </m:r>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tot.cov.</m:t>
            </m:r>
          </m:sub>
        </m:sSub>
        <m:r>
          <w:rPr>
            <w:rFonts w:ascii="Cambria Math" w:hAnsi="Cambria Math"/>
            <w:lang w:val="es-ES" w:eastAsia="zh-CN"/>
          </w:rPr>
          <m:t>+</m:t>
        </m:r>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part.cov.</m:t>
            </m:r>
          </m:sub>
        </m:sSub>
      </m:oMath>
      <w:r w:rsidRPr="00642757">
        <w:rPr>
          <w:lang w:val="es-ES" w:eastAsia="zh-CN"/>
        </w:rPr>
        <w:tab/>
        <w:t>(7)</w:t>
      </w:r>
    </w:p>
    <w:p w14:paraId="5F7829FA" w14:textId="77777777" w:rsidR="00201643" w:rsidRPr="005E5A77" w:rsidRDefault="00201643" w:rsidP="00201643">
      <w:pPr>
        <w:pStyle w:val="Blanc"/>
        <w:rPr>
          <w:lang w:val="es-ES" w:eastAsia="zh-CN"/>
        </w:rPr>
      </w:pPr>
    </w:p>
    <w:p w14:paraId="1AE3E99C" w14:textId="77777777" w:rsidR="006960BC" w:rsidRPr="00642757" w:rsidRDefault="006960BC">
      <w:pPr>
        <w:rPr>
          <w:position w:val="-30"/>
          <w:lang w:val="es-ES" w:eastAsia="zh-CN"/>
        </w:rPr>
      </w:pPr>
      <w:r w:rsidRPr="00642757">
        <w:rPr>
          <w:lang w:val="es-ES" w:eastAsia="zh-CN"/>
        </w:rPr>
        <w:t xml:space="preserve">El parámetro de cobertura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oMath>
      <w:r w:rsidRPr="00642757">
        <w:rPr>
          <w:lang w:val="es-ES" w:eastAsia="zh-CN"/>
        </w:rPr>
        <w:t xml:space="preserve"> se calcula por medio de la ecuación (1). </w:t>
      </w:r>
    </w:p>
    <w:p w14:paraId="3485B507" w14:textId="44C8ED15" w:rsidR="006960BC" w:rsidRPr="00642757" w:rsidRDefault="006960BC">
      <w:pPr>
        <w:pStyle w:val="Heading2"/>
        <w:rPr>
          <w:lang w:val="es-ES" w:eastAsia="zh-CN"/>
        </w:rPr>
      </w:pPr>
      <w:r w:rsidRPr="00642757">
        <w:rPr>
          <w:lang w:val="es-ES" w:eastAsia="zh-CN"/>
        </w:rPr>
        <w:t>6.2</w:t>
      </w:r>
      <w:r w:rsidRPr="00642757">
        <w:rPr>
          <w:lang w:val="es-ES" w:eastAsia="zh-CN"/>
        </w:rPr>
        <w:tab/>
        <w:t>Estimación del número de objetos</w:t>
      </w:r>
    </w:p>
    <w:p w14:paraId="087E9F98" w14:textId="77777777" w:rsidR="006960BC" w:rsidRPr="00642757" w:rsidRDefault="006960BC">
      <w:pPr>
        <w:rPr>
          <w:lang w:val="es-ES" w:eastAsia="zh-CN"/>
        </w:rPr>
      </w:pPr>
      <w:r w:rsidRPr="00642757">
        <w:rPr>
          <w:lang w:val="es-ES" w:eastAsia="zh-CN"/>
        </w:rPr>
        <w:t>En el segundo caso, la estimación de la cobertura de población se realiza con respecto a las poblaciones urbana o rural con cobertura de servicio.</w:t>
      </w:r>
    </w:p>
    <w:p w14:paraId="7CBD39B8" w14:textId="77777777" w:rsidR="006960BC" w:rsidRPr="00642757" w:rsidRDefault="006960BC">
      <w:pPr>
        <w:rPr>
          <w:lang w:val="es-ES" w:eastAsia="zh-CN"/>
        </w:rPr>
      </w:pPr>
      <w:r w:rsidRPr="00642757">
        <w:rPr>
          <w:lang w:val="es-ES" w:eastAsia="zh-CN"/>
        </w:rPr>
        <w:t>Una vez que se ha establecido la zona de cobertura en el territorio analizado, se representa en un mapa digital y se aplican los siguientes procedimientos:</w:t>
      </w:r>
    </w:p>
    <w:p w14:paraId="025C4E32" w14:textId="77777777" w:rsidR="006960BC" w:rsidRPr="00642757" w:rsidRDefault="006960BC">
      <w:pPr>
        <w:pStyle w:val="enumlev1"/>
        <w:rPr>
          <w:lang w:val="es-ES" w:eastAsia="zh-CN"/>
        </w:rPr>
      </w:pPr>
      <w:r w:rsidRPr="00642757">
        <w:rPr>
          <w:lang w:val="es-ES" w:eastAsia="zh-CN"/>
        </w:rPr>
        <w:t>1)</w:t>
      </w:r>
      <w:r w:rsidRPr="00642757">
        <w:rPr>
          <w:lang w:val="es-ES" w:eastAsia="zh-CN"/>
        </w:rPr>
        <w:tab/>
        <w:t xml:space="preserve">El número de objetos </w:t>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urb.</m:t>
            </m:r>
          </m:sub>
        </m:sSub>
      </m:oMath>
      <w:r w:rsidRPr="00642757">
        <w:rPr>
          <w:lang w:val="es-ES" w:eastAsia="zh-CN"/>
        </w:rPr>
        <w:t xml:space="preserve"> inscritos en </w:t>
      </w:r>
      <w:r w:rsidRPr="00642757">
        <w:rPr>
          <w:i/>
          <w:lang w:val="es-ES" w:eastAsia="zh-CN"/>
        </w:rPr>
        <w:t xml:space="preserve">m </w:t>
      </w:r>
      <w:r w:rsidRPr="00642757">
        <w:rPr>
          <w:lang w:val="es-ES" w:eastAsia="zh-CN"/>
        </w:rPr>
        <w:t>grandes ciudades en la zona de cobertura se estima con arreglo a información oficial sobre población o mediante una referencia estadística para cada ciudad, y su valor total se calcula de la siguiente manera:</w:t>
      </w:r>
    </w:p>
    <w:p w14:paraId="3B4FE247" w14:textId="77777777" w:rsidR="00201643" w:rsidRPr="005E5A77" w:rsidRDefault="00201643" w:rsidP="00201643">
      <w:pPr>
        <w:pStyle w:val="Blanc"/>
        <w:rPr>
          <w:lang w:val="es-ES" w:eastAsia="zh-CN"/>
        </w:rPr>
      </w:pPr>
    </w:p>
    <w:p w14:paraId="2A307B81" w14:textId="77777777"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urb.</m:t>
            </m:r>
          </m:sub>
        </m:sSub>
        <m:r>
          <w:rPr>
            <w:rFonts w:ascii="Cambria Math" w:hAnsi="Cambria Math"/>
            <w:lang w:val="es-ES" w:eastAsia="zh-CN"/>
          </w:rPr>
          <m:t>=</m:t>
        </m:r>
        <m:nary>
          <m:naryPr>
            <m:chr m:val="∑"/>
            <m:limLoc m:val="undOvr"/>
            <m:ctrlPr>
              <w:rPr>
                <w:rFonts w:ascii="Cambria Math" w:hAnsi="Cambria Math"/>
                <w:i/>
                <w:lang w:val="es-ES" w:eastAsia="zh-CN"/>
              </w:rPr>
            </m:ctrlPr>
          </m:naryPr>
          <m:sub>
            <m:r>
              <w:rPr>
                <w:rFonts w:ascii="Cambria Math" w:hAnsi="Cambria Math"/>
                <w:lang w:val="es-ES" w:eastAsia="zh-CN"/>
              </w:rPr>
              <m:t>j=1</m:t>
            </m:r>
          </m:sub>
          <m:sup>
            <m:r>
              <w:rPr>
                <w:rFonts w:ascii="Cambria Math" w:hAnsi="Cambria Math"/>
                <w:lang w:val="es-ES" w:eastAsia="zh-CN"/>
              </w:rPr>
              <m:t>m</m:t>
            </m:r>
          </m:sup>
          <m:e>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urb. j</m:t>
                </m:r>
              </m:sub>
            </m:sSub>
          </m:e>
        </m:nary>
      </m:oMath>
      <w:r w:rsidRPr="00642757">
        <w:rPr>
          <w:lang w:val="es-ES" w:eastAsia="zh-CN"/>
        </w:rPr>
        <w:tab/>
        <w:t>(8)</w:t>
      </w:r>
    </w:p>
    <w:p w14:paraId="312563DC" w14:textId="77777777" w:rsidR="00201643" w:rsidRPr="005E5A77" w:rsidRDefault="00201643" w:rsidP="00201643">
      <w:pPr>
        <w:pStyle w:val="Blanc"/>
        <w:rPr>
          <w:lang w:val="es-ES" w:eastAsia="zh-CN"/>
        </w:rPr>
      </w:pPr>
    </w:p>
    <w:p w14:paraId="20FEC535" w14:textId="77777777" w:rsidR="006960BC" w:rsidRPr="00642757" w:rsidRDefault="006960BC">
      <w:pPr>
        <w:pStyle w:val="enumlev1"/>
        <w:rPr>
          <w:lang w:val="es-ES" w:eastAsia="zh-CN"/>
        </w:rPr>
      </w:pPr>
      <w:r w:rsidRPr="00642757">
        <w:rPr>
          <w:lang w:val="es-ES" w:eastAsia="zh-CN"/>
        </w:rPr>
        <w:t>2)</w:t>
      </w:r>
      <w:r w:rsidRPr="00642757">
        <w:rPr>
          <w:lang w:val="es-ES" w:eastAsia="zh-CN"/>
        </w:rPr>
        <w:tab/>
        <w:t xml:space="preserve">Se determina la superficie total del territorio rural con cobertura de servicio (excluida la zona de las grandes ciudades) </w:t>
      </w:r>
      <m:oMath>
        <m:sSub>
          <m:sSubPr>
            <m:ctrlPr>
              <w:rPr>
                <w:rFonts w:ascii="Cambria Math" w:hAnsi="Cambria Math"/>
                <w:i/>
                <w:lang w:val="es-ES" w:eastAsia="zh-CN"/>
              </w:rPr>
            </m:ctrlPr>
          </m:sSubPr>
          <m:e>
            <m:r>
              <w:rPr>
                <w:rFonts w:ascii="Cambria Math" w:hAnsi="Cambria Math"/>
                <w:lang w:val="es-ES" w:eastAsia="zh-CN"/>
              </w:rPr>
              <m:t>S</m:t>
            </m:r>
          </m:e>
          <m:sub>
            <m:r>
              <w:rPr>
                <w:rFonts w:ascii="Cambria Math" w:hAnsi="Cambria Math"/>
                <w:lang w:val="es-ES" w:eastAsia="zh-CN"/>
              </w:rPr>
              <m:t>cov.rur.</m:t>
            </m:r>
          </m:sub>
        </m:sSub>
      </m:oMath>
    </w:p>
    <w:p w14:paraId="68E0355A" w14:textId="77777777" w:rsidR="006960BC" w:rsidRPr="00642757" w:rsidRDefault="006960BC">
      <w:pPr>
        <w:pStyle w:val="enumlev1"/>
        <w:rPr>
          <w:lang w:val="es-ES" w:eastAsia="zh-CN"/>
        </w:rPr>
      </w:pPr>
      <w:r w:rsidRPr="00642757">
        <w:rPr>
          <w:lang w:val="es-ES" w:eastAsia="zh-CN"/>
        </w:rPr>
        <w:t>3)</w:t>
      </w:r>
      <w:r w:rsidRPr="00642757">
        <w:rPr>
          <w:lang w:val="es-ES" w:eastAsia="zh-CN"/>
        </w:rPr>
        <w:tab/>
        <w:t xml:space="preserve">El número total de </w:t>
      </w:r>
      <w:r w:rsidRPr="00642757">
        <w:rPr>
          <w:i/>
          <w:lang w:val="es-ES" w:eastAsia="zh-CN"/>
        </w:rPr>
        <w:t xml:space="preserve">objetos </w:t>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rur.cov.</m:t>
            </m:r>
          </m:sub>
        </m:sSub>
      </m:oMath>
      <w:r w:rsidRPr="00642757">
        <w:rPr>
          <w:lang w:val="es-ES" w:eastAsia="zh-CN"/>
        </w:rPr>
        <w:t xml:space="preserve"> inscritos en la zona rural con cobertura de servicio en el territorio analizado se estima mediante la siguiente ecuación:</w:t>
      </w:r>
    </w:p>
    <w:p w14:paraId="0AE62C72" w14:textId="77777777" w:rsidR="00201643" w:rsidRPr="005E5A77" w:rsidRDefault="00201643" w:rsidP="00201643">
      <w:pPr>
        <w:pStyle w:val="Blanc"/>
        <w:rPr>
          <w:lang w:val="es-ES" w:eastAsia="zh-CN"/>
        </w:rPr>
      </w:pPr>
    </w:p>
    <w:p w14:paraId="7C6BB940" w14:textId="77777777"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rur.cov.</m:t>
            </m:r>
          </m:sub>
        </m:sSub>
        <m:r>
          <w:rPr>
            <w:rFonts w:ascii="Cambria Math" w:hAnsi="Cambria Math"/>
            <w:lang w:val="es-ES" w:eastAsia="zh-CN"/>
          </w:rPr>
          <m:t>=</m:t>
        </m:r>
        <m:sSub>
          <m:sSubPr>
            <m:ctrlPr>
              <w:rPr>
                <w:rFonts w:ascii="Cambria Math" w:hAnsi="Cambria Math"/>
                <w:i/>
                <w:lang w:val="es-ES" w:eastAsia="zh-CN"/>
              </w:rPr>
            </m:ctrlPr>
          </m:sSubPr>
          <m:e>
            <m:r>
              <w:rPr>
                <w:rFonts w:ascii="Cambria Math" w:hAnsi="Cambria Math"/>
                <w:lang w:val="es-ES" w:eastAsia="zh-CN"/>
              </w:rPr>
              <m:t>DP</m:t>
            </m:r>
          </m:e>
          <m:sub>
            <m:r>
              <w:rPr>
                <w:rFonts w:ascii="Cambria Math" w:hAnsi="Cambria Math"/>
                <w:lang w:val="es-ES" w:eastAsia="zh-CN"/>
              </w:rPr>
              <m:t>rur.</m:t>
            </m:r>
          </m:sub>
        </m:sSub>
        <m:r>
          <w:rPr>
            <w:rFonts w:ascii="Cambria Math" w:hAnsi="Cambria Math"/>
            <w:lang w:val="es-ES" w:eastAsia="zh-CN"/>
          </w:rPr>
          <m:t>×</m:t>
        </m:r>
        <m:sSub>
          <m:sSubPr>
            <m:ctrlPr>
              <w:rPr>
                <w:rFonts w:ascii="Cambria Math" w:hAnsi="Cambria Math"/>
                <w:i/>
                <w:lang w:val="es-ES" w:eastAsia="zh-CN"/>
              </w:rPr>
            </m:ctrlPr>
          </m:sSubPr>
          <m:e>
            <m:r>
              <w:rPr>
                <w:rFonts w:ascii="Cambria Math" w:hAnsi="Cambria Math"/>
                <w:lang w:val="es-ES" w:eastAsia="zh-CN"/>
              </w:rPr>
              <m:t>S</m:t>
            </m:r>
          </m:e>
          <m:sub>
            <m:r>
              <w:rPr>
                <w:rFonts w:ascii="Cambria Math" w:hAnsi="Cambria Math"/>
                <w:lang w:val="es-ES" w:eastAsia="zh-CN"/>
              </w:rPr>
              <m:t>cov.rur.</m:t>
            </m:r>
          </m:sub>
        </m:sSub>
      </m:oMath>
      <w:r w:rsidRPr="00642757">
        <w:rPr>
          <w:lang w:val="es-ES" w:eastAsia="zh-CN"/>
        </w:rPr>
        <w:tab/>
        <w:t>(9)</w:t>
      </w:r>
    </w:p>
    <w:p w14:paraId="51A64CEE" w14:textId="77777777" w:rsidR="00201643" w:rsidRPr="005E5A77" w:rsidRDefault="00201643" w:rsidP="00201643">
      <w:pPr>
        <w:pStyle w:val="Blanc"/>
        <w:rPr>
          <w:lang w:val="es-ES" w:eastAsia="zh-CN"/>
        </w:rPr>
      </w:pPr>
    </w:p>
    <w:p w14:paraId="4BAEBA3F" w14:textId="77777777" w:rsidR="006960BC" w:rsidRPr="00642757" w:rsidRDefault="006960BC">
      <w:pPr>
        <w:pStyle w:val="enumlev1"/>
        <w:rPr>
          <w:i/>
          <w:lang w:val="es-ES" w:eastAsia="zh-CN"/>
        </w:rPr>
      </w:pPr>
      <w:r w:rsidRPr="00642757">
        <w:rPr>
          <w:lang w:val="es-ES" w:eastAsia="zh-CN"/>
        </w:rPr>
        <w:t>4)</w:t>
      </w:r>
      <w:r w:rsidRPr="00642757">
        <w:rPr>
          <w:lang w:val="es-ES" w:eastAsia="zh-CN"/>
        </w:rPr>
        <w:tab/>
        <w:t xml:space="preserve">El número aproximado de objetos </w:t>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cov.</m:t>
            </m:r>
          </m:sub>
        </m:sSub>
      </m:oMath>
      <w:r w:rsidRPr="00642757">
        <w:rPr>
          <w:lang w:val="es-ES" w:eastAsia="zh-CN"/>
        </w:rPr>
        <w:t xml:space="preserve"> inscrito en la zona con cobertura de servicio se determina mediante la siguiente ecuación:</w:t>
      </w:r>
    </w:p>
    <w:p w14:paraId="1A7BE2A6" w14:textId="77777777" w:rsidR="00201643" w:rsidRPr="005E5A77" w:rsidRDefault="00201643" w:rsidP="00201643">
      <w:pPr>
        <w:pStyle w:val="Blanc"/>
        <w:rPr>
          <w:lang w:val="es-ES" w:eastAsia="zh-CN"/>
        </w:rPr>
      </w:pPr>
    </w:p>
    <w:p w14:paraId="092BCF3E" w14:textId="77777777" w:rsidR="006960BC" w:rsidRPr="00642757" w:rsidRDefault="006960BC">
      <w:pPr>
        <w:pStyle w:val="Equation"/>
        <w:rPr>
          <w:lang w:val="es-ES" w:eastAsia="zh-CN"/>
        </w:rPr>
      </w:pPr>
      <w:r w:rsidRPr="00642757">
        <w:rPr>
          <w:lang w:val="es-ES" w:eastAsia="zh-CN"/>
        </w:rPr>
        <w:tab/>
      </w:r>
      <w:r w:rsidRPr="00642757">
        <w:rPr>
          <w:lang w:val="es-ES" w:eastAsia="zh-CN"/>
        </w:rPr>
        <w:tab/>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cov.</m:t>
            </m:r>
          </m:sub>
        </m:sSub>
        <m:r>
          <w:rPr>
            <w:rFonts w:ascii="Cambria Math" w:hAnsi="Cambria Math"/>
            <w:lang w:val="es-ES" w:eastAsia="zh-CN"/>
          </w:rPr>
          <m:t>=</m:t>
        </m:r>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rur.cov.</m:t>
            </m:r>
          </m:sub>
        </m:sSub>
        <m:r>
          <w:rPr>
            <w:rFonts w:ascii="Cambria Math" w:hAnsi="Cambria Math"/>
            <w:lang w:val="es-ES" w:eastAsia="zh-CN"/>
          </w:rPr>
          <m:t>+</m:t>
        </m:r>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urb.cov.</m:t>
            </m:r>
          </m:sub>
        </m:sSub>
      </m:oMath>
      <w:r w:rsidRPr="00642757">
        <w:rPr>
          <w:lang w:val="es-ES" w:eastAsia="zh-CN"/>
        </w:rPr>
        <w:tab/>
        <w:t>(10)</w:t>
      </w:r>
    </w:p>
    <w:p w14:paraId="3E884D2C" w14:textId="77777777" w:rsidR="00201643" w:rsidRPr="005E5A77" w:rsidRDefault="00201643" w:rsidP="00201643">
      <w:pPr>
        <w:pStyle w:val="Blanc"/>
        <w:rPr>
          <w:lang w:val="es-ES" w:eastAsia="zh-CN"/>
        </w:rPr>
      </w:pPr>
    </w:p>
    <w:p w14:paraId="70BA3485" w14:textId="42CA14F4" w:rsidR="006960BC" w:rsidRPr="00642757" w:rsidRDefault="006960BC">
      <w:pPr>
        <w:rPr>
          <w:position w:val="-30"/>
          <w:lang w:val="es-ES" w:eastAsia="zh-CN"/>
        </w:rPr>
      </w:pPr>
      <w:r w:rsidRPr="00642757">
        <w:rPr>
          <w:lang w:val="es-ES" w:eastAsia="zh-CN"/>
        </w:rPr>
        <w:t xml:space="preserve">El parámetro de cobertura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oMath>
      <w:r w:rsidRPr="00642757">
        <w:rPr>
          <w:lang w:val="es-ES" w:eastAsia="zh-CN"/>
        </w:rPr>
        <w:t xml:space="preserve"> se calcula por medio de la ecuación (1).</w:t>
      </w:r>
    </w:p>
    <w:p w14:paraId="327DB898" w14:textId="661D7028" w:rsidR="006960BC" w:rsidRPr="00642757" w:rsidRDefault="006960BC">
      <w:pPr>
        <w:rPr>
          <w:lang w:val="es-ES" w:eastAsia="zh-CN"/>
        </w:rPr>
      </w:pPr>
      <w:r w:rsidRPr="00642757">
        <w:rPr>
          <w:lang w:val="es-ES" w:eastAsia="zh-CN"/>
        </w:rPr>
        <w:t>En el Anexo 1 se proporciona un ejemplo de estimación de la cobertura de población mediante las etapas anteriormente enumeradas para varias zonas y en los casos en que sólo una parte del territorio analizado cuenta con cobertura de servicio.</w:t>
      </w:r>
    </w:p>
    <w:p w14:paraId="1C1F76D0" w14:textId="77777777" w:rsidR="006960BC" w:rsidRPr="00642757" w:rsidRDefault="006960BC" w:rsidP="00201643">
      <w:pPr>
        <w:pStyle w:val="Heading1"/>
        <w:rPr>
          <w:lang w:val="es-ES"/>
        </w:rPr>
      </w:pPr>
      <w:r w:rsidRPr="00642757">
        <w:rPr>
          <w:lang w:val="es-ES"/>
        </w:rPr>
        <w:t>7</w:t>
      </w:r>
      <w:r w:rsidRPr="00642757">
        <w:rPr>
          <w:lang w:val="es-ES"/>
        </w:rPr>
        <w:tab/>
        <w:t>Otros aspectos</w:t>
      </w:r>
    </w:p>
    <w:p w14:paraId="7E1DC9FF" w14:textId="77777777" w:rsidR="006960BC" w:rsidRPr="00642757" w:rsidRDefault="006960BC">
      <w:pPr>
        <w:pStyle w:val="Heading2"/>
        <w:rPr>
          <w:lang w:val="es-ES" w:eastAsia="zh-CN"/>
        </w:rPr>
      </w:pPr>
      <w:r w:rsidRPr="00642757">
        <w:rPr>
          <w:lang w:val="es-ES" w:eastAsia="zh-CN"/>
        </w:rPr>
        <w:t>7.1</w:t>
      </w:r>
      <w:r w:rsidRPr="00642757">
        <w:rPr>
          <w:lang w:val="es-ES" w:eastAsia="zh-CN"/>
        </w:rPr>
        <w:tab/>
        <w:t>Servicios de radiodifusión</w:t>
      </w:r>
    </w:p>
    <w:p w14:paraId="57DB43EE" w14:textId="363D6973" w:rsidR="006960BC" w:rsidRPr="00642757" w:rsidRDefault="006960BC">
      <w:pPr>
        <w:rPr>
          <w:lang w:val="es-ES" w:eastAsia="zh-CN"/>
        </w:rPr>
      </w:pPr>
      <w:r w:rsidRPr="00642757">
        <w:rPr>
          <w:lang w:val="es-ES" w:eastAsia="zh-CN"/>
        </w:rPr>
        <w:t xml:space="preserve">Habida cuenta de que en la mayoría de los casos no se puede estimar el número real de usuarios del servicio de radiodifusión terrenal, se entiende por </w:t>
      </w:r>
      <w:r w:rsidR="00201643">
        <w:rPr>
          <w:lang w:val="es-ES" w:eastAsia="zh-CN"/>
        </w:rPr>
        <w:t>«</w:t>
      </w:r>
      <w:r w:rsidRPr="00642757">
        <w:rPr>
          <w:lang w:val="es-ES" w:eastAsia="zh-CN"/>
        </w:rPr>
        <w:t xml:space="preserve">población con cobertura de servicio </w:t>
      </w:r>
      <w:r w:rsidRPr="00642757">
        <w:rPr>
          <w:szCs w:val="24"/>
          <w:lang w:val="es-ES" w:eastAsia="zh-CN"/>
        </w:rPr>
        <w:t xml:space="preserve">el número de </w:t>
      </w:r>
      <w:r w:rsidRPr="00642757">
        <w:rPr>
          <w:lang w:val="es-ES" w:eastAsia="zh-CN"/>
        </w:rPr>
        <w:t xml:space="preserve">objetos inscritos </w:t>
      </w:r>
      <w:r w:rsidRPr="00642757">
        <w:rPr>
          <w:szCs w:val="24"/>
          <w:lang w:val="es-ES" w:eastAsia="zh-CN"/>
        </w:rPr>
        <w:t xml:space="preserve">en la zona con cobertura con capacidad para utilizar los servicios de </w:t>
      </w:r>
      <w:r w:rsidRPr="00642757">
        <w:rPr>
          <w:szCs w:val="24"/>
          <w:lang w:val="es-ES"/>
        </w:rPr>
        <w:t xml:space="preserve">la </w:t>
      </w:r>
      <w:r w:rsidRPr="00642757">
        <w:rPr>
          <w:szCs w:val="24"/>
          <w:lang w:val="es-ES" w:eastAsia="zh-CN"/>
        </w:rPr>
        <w:t xml:space="preserve">red de radiodifusión </w:t>
      </w:r>
      <w:r w:rsidRPr="00642757">
        <w:rPr>
          <w:lang w:val="es-ES" w:eastAsia="zh-CN"/>
        </w:rPr>
        <w:t>digital terrenal (DTBN)</w:t>
      </w:r>
      <w:r w:rsidR="00201643">
        <w:rPr>
          <w:lang w:val="es-ES" w:eastAsia="zh-CN"/>
        </w:rPr>
        <w:t>»</w:t>
      </w:r>
      <w:r w:rsidRPr="00642757">
        <w:rPr>
          <w:lang w:val="es-ES" w:eastAsia="zh-CN"/>
        </w:rPr>
        <w:t xml:space="preserve">. Por lo general, la cobertura de población de una DTBN se estima mediante el número de </w:t>
      </w:r>
      <w:r w:rsidRPr="00642757">
        <w:rPr>
          <w:szCs w:val="24"/>
          <w:lang w:val="es-ES" w:eastAsia="zh-CN"/>
        </w:rPr>
        <w:t>objetos situados en una zona de cobertura determinada.</w:t>
      </w:r>
    </w:p>
    <w:p w14:paraId="11C9EAE3" w14:textId="77777777" w:rsidR="006960BC" w:rsidRPr="00642757" w:rsidRDefault="006960BC">
      <w:pPr>
        <w:rPr>
          <w:lang w:val="es-ES" w:eastAsia="zh-CN"/>
        </w:rPr>
      </w:pPr>
      <w:r w:rsidRPr="00642757">
        <w:rPr>
          <w:lang w:val="es-ES" w:eastAsia="zh-CN"/>
        </w:rPr>
        <w:t>La estimación de la cobertura de población de una DTBN puede realizarse para las siguientes clases de objetos:</w:t>
      </w:r>
    </w:p>
    <w:p w14:paraId="0A44CFC0" w14:textId="26EB36A6" w:rsidR="006960BC" w:rsidRPr="005E5A77" w:rsidRDefault="006960BC" w:rsidP="003B783B">
      <w:pPr>
        <w:pStyle w:val="enumlev1"/>
        <w:rPr>
          <w:lang w:val="es-ES"/>
        </w:rPr>
      </w:pPr>
      <w:r w:rsidRPr="005E5A77">
        <w:rPr>
          <w:lang w:val="es-ES"/>
        </w:rPr>
        <w:t>–</w:t>
      </w:r>
      <w:r w:rsidR="003B783B" w:rsidRPr="005E5A77">
        <w:rPr>
          <w:lang w:val="es-ES"/>
        </w:rPr>
        <w:tab/>
      </w:r>
      <w:r w:rsidRPr="005E5A77">
        <w:rPr>
          <w:lang w:val="es-ES"/>
        </w:rPr>
        <w:t>habitantes;</w:t>
      </w:r>
    </w:p>
    <w:p w14:paraId="0CE29E98" w14:textId="39271BA9" w:rsidR="006960BC" w:rsidRPr="005E5A77" w:rsidRDefault="006960BC" w:rsidP="003B783B">
      <w:pPr>
        <w:pStyle w:val="enumlev1"/>
        <w:rPr>
          <w:lang w:val="es-ES"/>
        </w:rPr>
      </w:pPr>
      <w:r w:rsidRPr="005E5A77">
        <w:rPr>
          <w:lang w:val="es-ES"/>
        </w:rPr>
        <w:t>–</w:t>
      </w:r>
      <w:r w:rsidR="003B783B" w:rsidRPr="005E5A77">
        <w:rPr>
          <w:lang w:val="es-ES"/>
        </w:rPr>
        <w:tab/>
      </w:r>
      <w:r w:rsidRPr="005E5A77">
        <w:rPr>
          <w:lang w:val="es-ES"/>
        </w:rPr>
        <w:t>hogares;</w:t>
      </w:r>
    </w:p>
    <w:p w14:paraId="6CEAD647" w14:textId="3FFC9D8B" w:rsidR="006960BC" w:rsidRPr="005E5A77" w:rsidRDefault="006960BC" w:rsidP="003B783B">
      <w:pPr>
        <w:pStyle w:val="enumlev1"/>
        <w:rPr>
          <w:lang w:val="es-ES"/>
        </w:rPr>
      </w:pPr>
      <w:r w:rsidRPr="005E5A77">
        <w:rPr>
          <w:lang w:val="es-ES"/>
        </w:rPr>
        <w:t>–</w:t>
      </w:r>
      <w:r w:rsidR="003B783B" w:rsidRPr="005E5A77">
        <w:rPr>
          <w:lang w:val="es-ES"/>
        </w:rPr>
        <w:tab/>
      </w:r>
      <w:r w:rsidRPr="005E5A77">
        <w:rPr>
          <w:lang w:val="es-ES"/>
        </w:rPr>
        <w:t>viviendas.</w:t>
      </w:r>
    </w:p>
    <w:p w14:paraId="082B5051" w14:textId="52AEE11B" w:rsidR="006960BC" w:rsidRPr="00642757" w:rsidRDefault="006960BC">
      <w:pPr>
        <w:rPr>
          <w:lang w:val="es-ES" w:eastAsia="zh-CN"/>
        </w:rPr>
      </w:pPr>
      <w:r w:rsidRPr="00642757">
        <w:rPr>
          <w:lang w:val="es-ES" w:eastAsia="zh-CN"/>
        </w:rPr>
        <w:lastRenderedPageBreak/>
        <w:t xml:space="preserve">El término </w:t>
      </w:r>
      <w:r w:rsidR="003B783B">
        <w:rPr>
          <w:lang w:val="es-ES" w:eastAsia="zh-CN"/>
        </w:rPr>
        <w:t>«</w:t>
      </w:r>
      <w:r w:rsidRPr="00642757">
        <w:rPr>
          <w:lang w:val="es-ES" w:eastAsia="zh-CN"/>
        </w:rPr>
        <w:t>inscrito</w:t>
      </w:r>
      <w:r w:rsidR="003B783B">
        <w:rPr>
          <w:lang w:val="es-ES" w:eastAsia="zh-CN"/>
        </w:rPr>
        <w:t>»</w:t>
      </w:r>
      <w:r w:rsidRPr="00642757">
        <w:rPr>
          <w:lang w:val="es-ES" w:eastAsia="zh-CN"/>
        </w:rPr>
        <w:t>, anteriormente utilizado, se refiere a:</w:t>
      </w:r>
    </w:p>
    <w:p w14:paraId="00B4E3E9" w14:textId="769A26FC" w:rsidR="006960BC" w:rsidRPr="005E5A77" w:rsidRDefault="006960BC" w:rsidP="003B783B">
      <w:pPr>
        <w:pStyle w:val="enumlev1"/>
        <w:rPr>
          <w:lang w:val="es-ES"/>
        </w:rPr>
      </w:pPr>
      <w:r w:rsidRPr="005E5A77">
        <w:rPr>
          <w:lang w:val="es-ES"/>
        </w:rPr>
        <w:t>–</w:t>
      </w:r>
      <w:r w:rsidR="003B783B" w:rsidRPr="005E5A77">
        <w:rPr>
          <w:lang w:val="es-ES"/>
        </w:rPr>
        <w:tab/>
      </w:r>
      <w:r w:rsidRPr="005E5A77">
        <w:rPr>
          <w:lang w:val="es-ES"/>
        </w:rPr>
        <w:t>todos los habitantes que residen en la zona con cobertura;</w:t>
      </w:r>
    </w:p>
    <w:p w14:paraId="369802C4" w14:textId="1CE577D0" w:rsidR="006960BC" w:rsidRPr="005E5A77" w:rsidRDefault="003B783B" w:rsidP="003B783B">
      <w:pPr>
        <w:pStyle w:val="enumlev1"/>
        <w:rPr>
          <w:lang w:val="es-ES"/>
        </w:rPr>
      </w:pPr>
      <w:r w:rsidRPr="005E5A77">
        <w:rPr>
          <w:lang w:val="es-ES"/>
        </w:rPr>
        <w:t>–</w:t>
      </w:r>
      <w:r w:rsidRPr="005E5A77">
        <w:rPr>
          <w:lang w:val="es-ES"/>
        </w:rPr>
        <w:tab/>
      </w:r>
      <w:r w:rsidR="006960BC" w:rsidRPr="005E5A77">
        <w:rPr>
          <w:lang w:val="es-ES"/>
        </w:rPr>
        <w:t>todos los hogares o viviendas situados en la zona con cobertura.</w:t>
      </w:r>
    </w:p>
    <w:p w14:paraId="00AED7A0" w14:textId="77777777" w:rsidR="006960BC" w:rsidRPr="00642757" w:rsidRDefault="006960BC">
      <w:pPr>
        <w:rPr>
          <w:lang w:val="es-ES"/>
        </w:rPr>
      </w:pPr>
      <w:r w:rsidRPr="00642757">
        <w:rPr>
          <w:lang w:val="es-ES"/>
        </w:rPr>
        <w:t>En la mayoría de los casos, no se puede determinar cuantitativamente de forma exacta el número de hogares con acceso a servicios de radiodifusión de un transmisor específico, y en consecuencia, es difícil precisar el número de hogares a los que se presta servicio a escala local. Para afrontar esa situación, cabe considerar dos parámetros [6]:</w:t>
      </w:r>
    </w:p>
    <w:p w14:paraId="4E92B977" w14:textId="01BBDFE6" w:rsidR="006960BC" w:rsidRPr="005E5A77" w:rsidRDefault="006960BC" w:rsidP="003B783B">
      <w:pPr>
        <w:pStyle w:val="enumlev1"/>
        <w:rPr>
          <w:lang w:val="es-ES"/>
        </w:rPr>
      </w:pPr>
      <w:r w:rsidRPr="005E5A77">
        <w:rPr>
          <w:lang w:val="es-ES"/>
        </w:rPr>
        <w:t>–</w:t>
      </w:r>
      <w:r w:rsidRPr="005E5A77">
        <w:rPr>
          <w:lang w:val="es-ES"/>
        </w:rPr>
        <w:tab/>
        <w:t>el valor total de población;</w:t>
      </w:r>
    </w:p>
    <w:p w14:paraId="6DE1E7BD" w14:textId="71850511" w:rsidR="006960BC" w:rsidRPr="005E5A77" w:rsidRDefault="003B783B" w:rsidP="003B783B">
      <w:pPr>
        <w:pStyle w:val="enumlev1"/>
        <w:rPr>
          <w:lang w:val="es-ES"/>
        </w:rPr>
      </w:pPr>
      <w:r w:rsidRPr="005E5A77">
        <w:rPr>
          <w:lang w:val="es-ES"/>
        </w:rPr>
        <w:t>–</w:t>
      </w:r>
      <w:r w:rsidRPr="005E5A77">
        <w:rPr>
          <w:lang w:val="es-ES"/>
        </w:rPr>
        <w:tab/>
      </w:r>
      <w:r w:rsidR="006960BC" w:rsidRPr="005E5A77">
        <w:rPr>
          <w:lang w:val="es-ES"/>
        </w:rPr>
        <w:t>la zona de servicio digital preferente (DPSA).</w:t>
      </w:r>
    </w:p>
    <w:p w14:paraId="0E843D57" w14:textId="45793FB3" w:rsidR="006960BC" w:rsidRPr="00642757" w:rsidRDefault="006960BC">
      <w:pPr>
        <w:rPr>
          <w:lang w:val="es-ES"/>
        </w:rPr>
      </w:pPr>
      <w:r w:rsidRPr="00642757">
        <w:rPr>
          <w:lang w:val="es-ES"/>
        </w:rPr>
        <w:t>El número total de población representa el número total de hogares que tendrían acceso a servicios locales si su antena se orientara hacia el transmisor adecuado. En la práctica, la cobertura total de transmisores adyacentes se solapa en cierta medida, de ahí que los hogares puedan elegir en qué dirección orientar su antena. En consecuencia, la cobertura total se basa casi en todos los casos en una sobreestimación del número de hogares que utilizan un transmisor específico, puesto que cabe esperar que algunos hogares en la zona de cobertura total se orienten a transmisores diferentes. En las zonas en las que se proponen dos transmisores adyacentes, el valor total de población se basa únicamente en la cobertura total del mayor transmisor.</w:t>
      </w:r>
    </w:p>
    <w:p w14:paraId="0231F9DE" w14:textId="77777777" w:rsidR="006960BC" w:rsidRPr="003B783B" w:rsidRDefault="006960BC">
      <w:pPr>
        <w:rPr>
          <w:lang w:val="es-ES"/>
        </w:rPr>
      </w:pPr>
      <w:r w:rsidRPr="003B783B">
        <w:rPr>
          <w:lang w:val="es-ES"/>
        </w:rPr>
        <w:t xml:space="preserve">La DPSA </w:t>
      </w:r>
      <w:r w:rsidRPr="00642757">
        <w:rPr>
          <w:lang w:val="es-ES"/>
        </w:rPr>
        <w:t xml:space="preserve">tiene por objeto proporcionar una estimación más eficaz del número de hogares que pueden tener acceso a servicios locales </w:t>
      </w:r>
      <w:r w:rsidRPr="003B783B">
        <w:rPr>
          <w:lang w:val="es-ES"/>
        </w:rPr>
        <w:t>con respecto a la población total</w:t>
      </w:r>
      <w:r w:rsidRPr="00642757">
        <w:rPr>
          <w:lang w:val="es-ES"/>
        </w:rPr>
        <w:t xml:space="preserve">. La DPSA se basa en una predicción de las zonas en las que es probable que un transmisor específico proporcione mejor calidad de señal que otros transmisores. </w:t>
      </w:r>
      <w:bookmarkStart w:id="12" w:name="_Toc55378821"/>
      <w:r w:rsidRPr="00642757">
        <w:rPr>
          <w:lang w:val="es-ES"/>
        </w:rPr>
        <w:t>En esas zonas, cabe esperar que los hogares cuya antena esté orientada hacia dicho transmisor puedan acceder a servicios locales a través de ese transmisor. Pese a que el método DPSA constituye una predicción numérica no puede tener en cuenta las preferencias de los usuarios en los hogares, que pueden escoger servicios de un transmisor diferente. En los lugares en los que existen dos transmisores, el grado de cobertura DPSA corresponde a la suma de la contribución de ambos transmisores.</w:t>
      </w:r>
    </w:p>
    <w:p w14:paraId="524B6328" w14:textId="42B54914" w:rsidR="006960BC" w:rsidRPr="00642757" w:rsidRDefault="006960BC">
      <w:pPr>
        <w:rPr>
          <w:lang w:val="es-ES" w:eastAsia="zh-CN"/>
        </w:rPr>
      </w:pPr>
      <w:r w:rsidRPr="00642757">
        <w:rPr>
          <w:lang w:val="es-ES" w:eastAsia="zh-CN"/>
        </w:rPr>
        <w:t>La cobertura de la población</w:t>
      </w:r>
      <w:bookmarkEnd w:id="12"/>
      <w:r w:rsidRPr="00642757">
        <w:rPr>
          <w:szCs w:val="24"/>
          <w:lang w:val="es-ES" w:eastAsia="zh-CN"/>
        </w:rPr>
        <w:t xml:space="preserve"> de una </w:t>
      </w:r>
      <w:r w:rsidRPr="00642757">
        <w:rPr>
          <w:lang w:val="es-ES" w:eastAsia="zh-CN"/>
        </w:rPr>
        <w:t>DTBN puede determinarse mediante predicción o medición.</w:t>
      </w:r>
    </w:p>
    <w:p w14:paraId="3127E780" w14:textId="0E73F2B2" w:rsidR="006960BC" w:rsidRPr="00642757" w:rsidRDefault="006960BC">
      <w:pPr>
        <w:rPr>
          <w:spacing w:val="-2"/>
          <w:szCs w:val="24"/>
          <w:lang w:val="es-ES"/>
        </w:rPr>
      </w:pPr>
      <w:r w:rsidRPr="00642757">
        <w:rPr>
          <w:szCs w:val="24"/>
          <w:lang w:val="es-ES" w:eastAsia="zh-CN"/>
        </w:rPr>
        <w:t xml:space="preserve">La zona con cobertura prevista puede determinarse mediante los métodos que se describen en las Recomendaciones </w:t>
      </w:r>
      <w:r w:rsidRPr="00642757">
        <w:rPr>
          <w:spacing w:val="-2"/>
          <w:szCs w:val="24"/>
          <w:lang w:val="es-ES"/>
        </w:rPr>
        <w:t xml:space="preserve">UIT-R </w:t>
      </w:r>
      <w:hyperlink r:id="rId17" w:history="1">
        <w:r w:rsidRPr="00642757">
          <w:rPr>
            <w:rStyle w:val="Hyperlink"/>
            <w:color w:val="auto"/>
            <w:u w:val="none"/>
            <w:lang w:val="es-ES"/>
          </w:rPr>
          <w:t>P.1546</w:t>
        </w:r>
      </w:hyperlink>
      <w:r w:rsidRPr="00642757">
        <w:rPr>
          <w:lang w:val="es-ES" w:eastAsia="zh-CN"/>
        </w:rPr>
        <w:t xml:space="preserve"> [2] </w:t>
      </w:r>
      <w:r w:rsidRPr="00642757">
        <w:rPr>
          <w:spacing w:val="-2"/>
          <w:szCs w:val="24"/>
          <w:lang w:val="es-ES"/>
        </w:rPr>
        <w:t xml:space="preserve">y </w:t>
      </w:r>
      <w:r w:rsidRPr="00642757">
        <w:rPr>
          <w:lang w:val="es-ES"/>
        </w:rPr>
        <w:t xml:space="preserve">UIT-R </w:t>
      </w:r>
      <w:hyperlink r:id="rId18" w:history="1">
        <w:r w:rsidRPr="00642757">
          <w:rPr>
            <w:rStyle w:val="Hyperlink"/>
            <w:color w:val="auto"/>
            <w:u w:val="none"/>
            <w:lang w:val="es-ES"/>
          </w:rPr>
          <w:t>P.1812</w:t>
        </w:r>
      </w:hyperlink>
      <w:r w:rsidRPr="00642757">
        <w:rPr>
          <w:lang w:val="es-ES" w:eastAsia="zh-CN"/>
        </w:rPr>
        <w:t xml:space="preserve"> [3]</w:t>
      </w:r>
      <w:r w:rsidRPr="00642757">
        <w:rPr>
          <w:spacing w:val="-2"/>
          <w:szCs w:val="24"/>
          <w:lang w:val="es-ES"/>
        </w:rPr>
        <w:t>.</w:t>
      </w:r>
    </w:p>
    <w:p w14:paraId="62E8EE8B" w14:textId="77777777" w:rsidR="006960BC" w:rsidRPr="00642757" w:rsidRDefault="006960BC">
      <w:pPr>
        <w:rPr>
          <w:lang w:val="es-ES" w:eastAsia="zh-CN"/>
        </w:rPr>
      </w:pPr>
      <w:r w:rsidRPr="00642757">
        <w:rPr>
          <w:szCs w:val="24"/>
          <w:lang w:val="es-ES" w:eastAsia="zh-CN"/>
        </w:rPr>
        <w:t>Cabe aplicar los procedimientos enumerados a continuación para determinar la cobertura de población</w:t>
      </w:r>
      <w:r w:rsidRPr="00642757">
        <w:rPr>
          <w:lang w:val="es-ES" w:eastAsia="zh-CN"/>
        </w:rPr>
        <w:t>:</w:t>
      </w:r>
    </w:p>
    <w:p w14:paraId="1D142A8E" w14:textId="77777777" w:rsidR="006960BC" w:rsidRPr="00642757" w:rsidRDefault="006960BC">
      <w:pPr>
        <w:pStyle w:val="enumlev1"/>
        <w:rPr>
          <w:lang w:val="es-ES" w:eastAsia="zh-CN"/>
        </w:rPr>
      </w:pPr>
      <w:r w:rsidRPr="00642757">
        <w:rPr>
          <w:lang w:val="es-ES" w:eastAsia="zh-CN"/>
        </w:rPr>
        <w:t>1)</w:t>
      </w:r>
      <w:r w:rsidRPr="00642757">
        <w:rPr>
          <w:lang w:val="es-ES" w:eastAsia="zh-CN"/>
        </w:rPr>
        <w:tab/>
        <w:t>La zona de cobertura calculada se representa en el mapa digital del territorio objeto de análisis.</w:t>
      </w:r>
    </w:p>
    <w:p w14:paraId="29B15E2F" w14:textId="77777777" w:rsidR="006960BC" w:rsidRPr="00642757" w:rsidRDefault="006960BC">
      <w:pPr>
        <w:pStyle w:val="enumlev1"/>
        <w:rPr>
          <w:lang w:val="es-ES" w:eastAsia="zh-CN"/>
        </w:rPr>
      </w:pPr>
      <w:r w:rsidRPr="00642757">
        <w:rPr>
          <w:lang w:val="es-ES" w:eastAsia="zh-CN"/>
        </w:rPr>
        <w:t>2)</w:t>
      </w:r>
      <w:r w:rsidRPr="00642757">
        <w:rPr>
          <w:lang w:val="es-ES" w:eastAsia="zh-CN"/>
        </w:rPr>
        <w:tab/>
        <w:t xml:space="preserve">En el territorio analizado, se determinan los emplazamientos de población situados íntegramente en la zona de cobertura y en cada </w:t>
      </w:r>
      <w:r w:rsidRPr="00642757">
        <w:rPr>
          <w:i/>
          <w:iCs/>
          <w:lang w:val="es-ES" w:eastAsia="zh-CN"/>
        </w:rPr>
        <w:t>i-ésimo</w:t>
      </w:r>
      <w:r w:rsidRPr="00642757">
        <w:rPr>
          <w:lang w:val="es-ES" w:eastAsia="zh-CN"/>
        </w:rPr>
        <w:t xml:space="preserve"> emplazamiento de población se calcula el número de objetos.</w:t>
      </w:r>
    </w:p>
    <w:p w14:paraId="1476E753" w14:textId="77777777" w:rsidR="006960BC" w:rsidRPr="003B783B" w:rsidRDefault="006960BC">
      <w:pPr>
        <w:pStyle w:val="enumlev1"/>
        <w:rPr>
          <w:lang w:val="es-ES" w:eastAsia="zh-CN"/>
        </w:rPr>
      </w:pPr>
      <w:r w:rsidRPr="00642757">
        <w:rPr>
          <w:lang w:val="es-ES" w:eastAsia="zh-CN"/>
        </w:rPr>
        <w:t>3)</w:t>
      </w:r>
      <w:r w:rsidRPr="00642757">
        <w:rPr>
          <w:lang w:val="es-ES" w:eastAsia="zh-CN"/>
        </w:rPr>
        <w:tab/>
        <w:t xml:space="preserve">Se determinan los emplazamientos de población situados parcialmente en la zona de cobertura, y se calcula el número </w:t>
      </w:r>
      <w:r w:rsidRPr="003B783B">
        <w:rPr>
          <w:lang w:val="es-ES" w:eastAsia="zh-CN"/>
        </w:rPr>
        <w:t>de objetos con cobertura en esas zonas con arreglo a lo establecido en el apartado 6) del § 6.1.</w:t>
      </w:r>
    </w:p>
    <w:p w14:paraId="3095221C" w14:textId="738CEB2C" w:rsidR="006960BC" w:rsidRPr="00642757" w:rsidRDefault="006960BC">
      <w:pPr>
        <w:pStyle w:val="enumlev1"/>
        <w:rPr>
          <w:spacing w:val="-2"/>
          <w:lang w:val="es-ES"/>
        </w:rPr>
      </w:pPr>
      <w:r w:rsidRPr="00642757">
        <w:rPr>
          <w:lang w:val="es-ES" w:eastAsia="zh-CN"/>
        </w:rPr>
        <w:t>4)</w:t>
      </w:r>
      <w:r w:rsidRPr="00642757">
        <w:rPr>
          <w:lang w:val="es-ES" w:eastAsia="zh-CN"/>
        </w:rPr>
        <w:tab/>
        <w:t xml:space="preserve">Se calculan el número total de objetos con cobertura y el parámetro de cobertura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oMath>
      <w:r w:rsidRPr="003B783B">
        <w:rPr>
          <w:iCs/>
          <w:lang w:val="es-ES" w:eastAsia="zh-CN"/>
        </w:rPr>
        <w:t>.</w:t>
      </w:r>
    </w:p>
    <w:p w14:paraId="644A6689" w14:textId="1235A373" w:rsidR="006960BC" w:rsidRPr="00642757" w:rsidRDefault="006960BC">
      <w:pPr>
        <w:rPr>
          <w:szCs w:val="24"/>
          <w:lang w:val="es-ES" w:eastAsia="zh-CN"/>
        </w:rPr>
      </w:pPr>
      <w:r w:rsidRPr="00642757">
        <w:rPr>
          <w:szCs w:val="24"/>
          <w:lang w:val="es-ES" w:eastAsia="zh-CN"/>
        </w:rPr>
        <w:t xml:space="preserve">El número de objetos (habitantes, hogares o viviendas) puede determinarse sobre la base de información oficial sobre población o mediante </w:t>
      </w:r>
      <w:r w:rsidRPr="00642757">
        <w:rPr>
          <w:lang w:val="es-ES" w:eastAsia="zh-CN"/>
        </w:rPr>
        <w:t xml:space="preserve">referencias </w:t>
      </w:r>
      <w:r w:rsidRPr="00642757">
        <w:rPr>
          <w:szCs w:val="24"/>
          <w:lang w:val="es-ES" w:eastAsia="zh-CN"/>
        </w:rPr>
        <w:t>estadísticas</w:t>
      </w:r>
      <w:r w:rsidRPr="00642757">
        <w:rPr>
          <w:lang w:val="es-ES" w:eastAsia="zh-CN"/>
        </w:rPr>
        <w:t xml:space="preserve">. No obstante, puesto que los territorios objeto de análisis de las </w:t>
      </w:r>
      <w:r w:rsidRPr="00642757">
        <w:rPr>
          <w:szCs w:val="24"/>
          <w:lang w:val="es-ES" w:eastAsia="zh-CN"/>
        </w:rPr>
        <w:t xml:space="preserve">redes de radiodifusión </w:t>
      </w:r>
      <w:r w:rsidRPr="00642757">
        <w:rPr>
          <w:lang w:val="es-ES" w:eastAsia="zh-CN"/>
        </w:rPr>
        <w:t xml:space="preserve">son muy extensos, el cálculo del número total y del número de habitantes con cobertura </w:t>
      </w:r>
      <w:r w:rsidRPr="00642757">
        <w:rPr>
          <w:szCs w:val="24"/>
          <w:lang w:val="es-ES" w:eastAsia="zh-CN"/>
        </w:rPr>
        <w:t>es complejo, tanto para la ANR como para los operadores de servicio.</w:t>
      </w:r>
    </w:p>
    <w:p w14:paraId="154C71DC" w14:textId="77777777" w:rsidR="006960BC" w:rsidRPr="00642757" w:rsidRDefault="006960BC">
      <w:pPr>
        <w:pStyle w:val="Heading2"/>
        <w:rPr>
          <w:lang w:val="es-ES" w:eastAsia="zh-CN"/>
        </w:rPr>
      </w:pPr>
      <w:r w:rsidRPr="00642757">
        <w:rPr>
          <w:lang w:val="es-ES" w:eastAsia="zh-CN"/>
        </w:rPr>
        <w:lastRenderedPageBreak/>
        <w:t>7.2</w:t>
      </w:r>
      <w:r w:rsidRPr="00642757">
        <w:rPr>
          <w:lang w:val="es-ES" w:eastAsia="zh-CN"/>
        </w:rPr>
        <w:tab/>
        <w:t>Efectos del terreno</w:t>
      </w:r>
    </w:p>
    <w:p w14:paraId="30B8C177" w14:textId="77777777" w:rsidR="006960BC" w:rsidRPr="00642757" w:rsidRDefault="006960BC" w:rsidP="003B783B">
      <w:pPr>
        <w:rPr>
          <w:lang w:val="es-ES" w:eastAsia="zh-CN"/>
        </w:rPr>
      </w:pPr>
      <w:r w:rsidRPr="003B783B">
        <w:rPr>
          <w:lang w:val="es-ES" w:eastAsia="zh-CN"/>
        </w:rPr>
        <w:t xml:space="preserve">El terreno constituye un factor que determina en gran medida la cobertura de los servicios terrenales. Debido al terreno, es </w:t>
      </w:r>
      <w:r w:rsidRPr="00642757">
        <w:rPr>
          <w:lang w:val="es-ES" w:eastAsia="zh-CN"/>
        </w:rPr>
        <w:t xml:space="preserve">posible que determinados emplazamientos de población únicamente cuenten con cobertura parcial, aunque se encuentren en la zona de cobertura calculada. Para verificar la zona de cobertura real, </w:t>
      </w:r>
      <w:r w:rsidRPr="003B783B">
        <w:rPr>
          <w:lang w:val="es-ES" w:eastAsia="zh-CN"/>
        </w:rPr>
        <w:t xml:space="preserve">pueden aplicarse </w:t>
      </w:r>
      <w:r w:rsidRPr="00642757">
        <w:rPr>
          <w:lang w:val="es-ES" w:eastAsia="zh-CN"/>
        </w:rPr>
        <w:t>mediciones en emplazamientos de población que hayan sido objeto de análisis.</w:t>
      </w:r>
    </w:p>
    <w:p w14:paraId="3AE2C314" w14:textId="77777777" w:rsidR="006960BC" w:rsidRPr="00642757" w:rsidRDefault="006960BC">
      <w:pPr>
        <w:rPr>
          <w:lang w:val="es-ES" w:eastAsia="zh-CN"/>
        </w:rPr>
      </w:pPr>
      <w:r w:rsidRPr="00642757">
        <w:rPr>
          <w:lang w:val="es-ES" w:eastAsia="zh-CN"/>
        </w:rPr>
        <w:t>Los procedimientos de medición para estimar la cobertura de población que se enumeran a continuación pueden aplicarse a terrenos susceptibles de dar lugar a zonas sin cobertura de servicio:</w:t>
      </w:r>
    </w:p>
    <w:p w14:paraId="2862AFBB" w14:textId="0333164F" w:rsidR="006960BC" w:rsidRPr="00642757" w:rsidRDefault="006960BC">
      <w:pPr>
        <w:pStyle w:val="enumlev1"/>
        <w:rPr>
          <w:lang w:val="es-ES" w:eastAsia="zh-CN"/>
        </w:rPr>
      </w:pPr>
      <w:r w:rsidRPr="00642757">
        <w:rPr>
          <w:lang w:val="es-ES" w:eastAsia="zh-CN"/>
        </w:rPr>
        <w:t>1)</w:t>
      </w:r>
      <w:r w:rsidRPr="00642757">
        <w:rPr>
          <w:lang w:val="es-ES" w:eastAsia="zh-CN"/>
        </w:rPr>
        <w:tab/>
        <w:t xml:space="preserve">La zona de cobertura calculada se representa en un mapa digital del territorio analizado (de pequeño tamaño). Se determinan y resaltan las zonas sin cobertura, también denominadas </w:t>
      </w:r>
      <w:r w:rsidR="003B783B">
        <w:rPr>
          <w:lang w:val="es-ES" w:eastAsia="zh-CN"/>
        </w:rPr>
        <w:t>«</w:t>
      </w:r>
      <w:r w:rsidRPr="00642757">
        <w:rPr>
          <w:lang w:val="es-ES" w:eastAsia="zh-CN"/>
        </w:rPr>
        <w:t>puntos blancos</w:t>
      </w:r>
      <w:r w:rsidR="003B783B">
        <w:rPr>
          <w:lang w:val="es-ES" w:eastAsia="zh-CN"/>
        </w:rPr>
        <w:t>»</w:t>
      </w:r>
      <w:r w:rsidRPr="00642757">
        <w:rPr>
          <w:lang w:val="es-ES" w:eastAsia="zh-CN"/>
        </w:rPr>
        <w:t>, en la zona de cobertura calculada.</w:t>
      </w:r>
    </w:p>
    <w:p w14:paraId="6CFC6E20" w14:textId="77777777" w:rsidR="006960BC" w:rsidRPr="00642757" w:rsidRDefault="006960BC">
      <w:pPr>
        <w:pStyle w:val="enumlev1"/>
        <w:rPr>
          <w:lang w:val="es-ES" w:eastAsia="zh-CN"/>
        </w:rPr>
      </w:pPr>
      <w:r w:rsidRPr="00642757">
        <w:rPr>
          <w:lang w:val="es-ES" w:eastAsia="zh-CN"/>
        </w:rPr>
        <w:t>2)</w:t>
      </w:r>
      <w:r w:rsidRPr="00642757">
        <w:rPr>
          <w:lang w:val="es-ES" w:eastAsia="zh-CN"/>
        </w:rPr>
        <w:tab/>
        <w:t xml:space="preserve">El número total de objetos (hogares, viviendas o habitantes)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tot.</m:t>
            </m:r>
          </m:sub>
        </m:sSub>
      </m:oMath>
      <w:r w:rsidRPr="00642757">
        <w:rPr>
          <w:lang w:val="es-ES" w:eastAsia="zh-CN"/>
        </w:rPr>
        <w:t xml:space="preserve"> en los emplazamientos de población analizados se determina mediante una referencia adecuada. Cabe tener en cuenta que las zonas rurales y urbanas (en particular ciudades y distritos) tienen densidades de población diferentes, de ahí que el número total de objetos para cada territorio varíe sustancialmente.</w:t>
      </w:r>
    </w:p>
    <w:p w14:paraId="2B19AF9F" w14:textId="3C40B41F" w:rsidR="006960BC" w:rsidRPr="00642757" w:rsidRDefault="006960BC">
      <w:pPr>
        <w:pStyle w:val="enumlev1"/>
        <w:rPr>
          <w:lang w:val="es-ES" w:eastAsia="zh-CN"/>
        </w:rPr>
      </w:pPr>
      <w:r w:rsidRPr="00642757">
        <w:rPr>
          <w:lang w:val="es-ES" w:eastAsia="zh-CN"/>
        </w:rPr>
        <w:t xml:space="preserve">3) </w:t>
      </w:r>
      <w:r w:rsidRPr="00642757">
        <w:rPr>
          <w:lang w:val="es-ES" w:eastAsia="zh-CN"/>
        </w:rPr>
        <w:tab/>
        <w:t xml:space="preserve">Se representan puntos de medición adecuados en el territorio designado, con arreglo a una cuadrícula de 500 metros, sobre los emplazamientos de población. </w:t>
      </w:r>
      <w:r w:rsidRPr="00642757">
        <w:rPr>
          <w:spacing w:val="-1"/>
          <w:lang w:val="es-ES" w:eastAsia="zh-CN"/>
        </w:rPr>
        <w:t xml:space="preserve">El territorio delimitado por cada cuadrícula se denomina </w:t>
      </w:r>
      <w:r w:rsidR="003B783B">
        <w:rPr>
          <w:spacing w:val="-1"/>
          <w:lang w:val="es-ES" w:eastAsia="zh-CN"/>
        </w:rPr>
        <w:t>«</w:t>
      </w:r>
      <w:r w:rsidRPr="00642757">
        <w:rPr>
          <w:spacing w:val="-1"/>
          <w:lang w:val="es-ES" w:eastAsia="zh-CN"/>
        </w:rPr>
        <w:t>zona de pequeño tamaño</w:t>
      </w:r>
      <w:r w:rsidR="003B783B">
        <w:rPr>
          <w:spacing w:val="-1"/>
          <w:lang w:val="es-ES" w:eastAsia="zh-CN"/>
        </w:rPr>
        <w:t>»</w:t>
      </w:r>
      <w:r w:rsidRPr="00642757">
        <w:rPr>
          <w:lang w:val="es-ES" w:eastAsia="zh-CN"/>
        </w:rPr>
        <w:t>.</w:t>
      </w:r>
    </w:p>
    <w:p w14:paraId="1373331E" w14:textId="1B02A54A" w:rsidR="006960BC" w:rsidRPr="00642757" w:rsidRDefault="006960BC">
      <w:pPr>
        <w:pStyle w:val="enumlev1"/>
        <w:rPr>
          <w:lang w:val="es-ES" w:eastAsia="zh-CN"/>
        </w:rPr>
      </w:pPr>
      <w:r w:rsidRPr="00642757">
        <w:rPr>
          <w:lang w:val="es-ES" w:eastAsia="zh-CN"/>
        </w:rPr>
        <w:t>4)</w:t>
      </w:r>
      <w:r w:rsidRPr="00642757">
        <w:rPr>
          <w:lang w:val="es-ES" w:eastAsia="zh-CN"/>
        </w:rPr>
        <w:tab/>
        <w:t xml:space="preserve">La intensidad de campo del servicio se mide en cada </w:t>
      </w:r>
      <w:r w:rsidRPr="00642757">
        <w:rPr>
          <w:spacing w:val="-1"/>
          <w:lang w:val="es-ES" w:eastAsia="zh-CN"/>
        </w:rPr>
        <w:t>zona de pequeño tamaño</w:t>
      </w:r>
      <w:r w:rsidRPr="00642757" w:rsidDel="00037CC8">
        <w:rPr>
          <w:lang w:val="es-ES" w:eastAsia="zh-CN"/>
        </w:rPr>
        <w:t>.</w:t>
      </w:r>
    </w:p>
    <w:p w14:paraId="457CBCE5" w14:textId="378DE7A5" w:rsidR="006960BC" w:rsidRPr="00642757" w:rsidRDefault="006960BC">
      <w:pPr>
        <w:pStyle w:val="enumlev1"/>
        <w:rPr>
          <w:b/>
          <w:sz w:val="20"/>
          <w:lang w:val="es-ES" w:eastAsia="zh-CN"/>
        </w:rPr>
      </w:pPr>
      <w:r w:rsidRPr="00642757">
        <w:rPr>
          <w:lang w:val="es-ES"/>
        </w:rPr>
        <w:t>5)</w:t>
      </w:r>
      <w:r w:rsidRPr="00642757">
        <w:rPr>
          <w:lang w:val="es-ES"/>
        </w:rPr>
        <w:tab/>
        <w:t xml:space="preserve">Se considera que una </w:t>
      </w:r>
      <w:r w:rsidRPr="00642757">
        <w:rPr>
          <w:spacing w:val="-1"/>
          <w:lang w:val="es-ES" w:eastAsia="zh-CN"/>
        </w:rPr>
        <w:t>zona de pequeño tamaño</w:t>
      </w:r>
      <w:r w:rsidRPr="00642757">
        <w:rPr>
          <w:lang w:val="es-ES"/>
        </w:rPr>
        <w:t xml:space="preserve"> posee </w:t>
      </w:r>
      <w:r w:rsidR="003B783B">
        <w:rPr>
          <w:lang w:val="es-ES"/>
        </w:rPr>
        <w:t>«</w:t>
      </w:r>
      <w:r w:rsidRPr="00642757">
        <w:rPr>
          <w:lang w:val="es-ES"/>
        </w:rPr>
        <w:t>cobertura</w:t>
      </w:r>
      <w:r w:rsidR="003B783B">
        <w:rPr>
          <w:lang w:val="es-ES"/>
        </w:rPr>
        <w:t>»</w:t>
      </w:r>
      <w:r w:rsidRPr="00642757">
        <w:rPr>
          <w:lang w:val="es-ES"/>
        </w:rPr>
        <w:t xml:space="preserve"> </w:t>
      </w:r>
      <w:r w:rsidRPr="00642757">
        <w:rPr>
          <w:lang w:val="es-ES" w:eastAsia="zh-CN"/>
        </w:rPr>
        <w:t xml:space="preserve">si la </w:t>
      </w:r>
      <w:r w:rsidRPr="00642757">
        <w:rPr>
          <w:spacing w:val="-1"/>
          <w:lang w:val="es-ES" w:eastAsia="zh-CN"/>
        </w:rPr>
        <w:t xml:space="preserve">intensidad de campo medida es igual o </w:t>
      </w:r>
      <w:r w:rsidRPr="00642757">
        <w:rPr>
          <w:lang w:val="es-ES" w:eastAsia="zh-CN"/>
        </w:rPr>
        <w:t xml:space="preserve">superior al </w:t>
      </w:r>
      <w:r w:rsidRPr="00642757">
        <w:rPr>
          <w:lang w:val="es-ES"/>
        </w:rPr>
        <w:t>valor mínimo promedio de intensidad de campo equivalente</w:t>
      </w:r>
      <w:r w:rsidRPr="00642757">
        <w:rPr>
          <w:spacing w:val="-2"/>
          <w:lang w:val="es-ES"/>
        </w:rPr>
        <w:t>.</w:t>
      </w:r>
    </w:p>
    <w:p w14:paraId="5D678378" w14:textId="77777777" w:rsidR="006960BC" w:rsidRPr="00642757" w:rsidRDefault="006960BC">
      <w:pPr>
        <w:pStyle w:val="enumlev1"/>
        <w:rPr>
          <w:strike/>
          <w:lang w:val="es-ES" w:eastAsia="zh-CN"/>
        </w:rPr>
      </w:pPr>
      <w:r w:rsidRPr="00642757">
        <w:rPr>
          <w:lang w:val="es-ES"/>
        </w:rPr>
        <w:t>6)</w:t>
      </w:r>
      <w:r w:rsidRPr="00642757">
        <w:rPr>
          <w:lang w:val="es-ES"/>
        </w:rPr>
        <w:tab/>
        <w:t xml:space="preserve">Las zonas </w:t>
      </w:r>
      <w:r w:rsidRPr="00642757">
        <w:rPr>
          <w:spacing w:val="-1"/>
          <w:lang w:val="es-ES" w:eastAsia="zh-CN"/>
        </w:rPr>
        <w:t>de pequeño tamaño</w:t>
      </w:r>
      <w:r w:rsidRPr="00642757">
        <w:rPr>
          <w:lang w:val="es-ES"/>
        </w:rPr>
        <w:t xml:space="preserve"> con edificios deshabitados no se tienen en cuenta para el cálculo</w:t>
      </w:r>
      <w:r w:rsidRPr="00642757">
        <w:rPr>
          <w:lang w:val="es-ES" w:eastAsia="zh-CN"/>
        </w:rPr>
        <w:t>.</w:t>
      </w:r>
    </w:p>
    <w:p w14:paraId="672B6A1C" w14:textId="421A1192" w:rsidR="006960BC" w:rsidRPr="00642757" w:rsidRDefault="006960BC">
      <w:pPr>
        <w:pStyle w:val="enumlev1"/>
        <w:rPr>
          <w:spacing w:val="-2"/>
          <w:lang w:val="es-ES"/>
        </w:rPr>
      </w:pPr>
      <w:r w:rsidRPr="00642757">
        <w:rPr>
          <w:lang w:val="es-ES" w:eastAsia="zh-CN"/>
        </w:rPr>
        <w:t>7)</w:t>
      </w:r>
      <w:r w:rsidRPr="00642757">
        <w:rPr>
          <w:lang w:val="es-ES" w:eastAsia="zh-CN"/>
        </w:rPr>
        <w:tab/>
        <w:t xml:space="preserve">Se determina el número total de objetos con cobertura </w:t>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cov.</m:t>
            </m:r>
          </m:sub>
        </m:sSub>
      </m:oMath>
      <w:r w:rsidRPr="00642757">
        <w:rPr>
          <w:lang w:val="es-ES" w:eastAsia="zh-CN"/>
        </w:rPr>
        <w:t xml:space="preserve"> y se calcula el parámetro de cobertura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oMath>
      <w:r w:rsidRPr="003B783B">
        <w:rPr>
          <w:iCs/>
          <w:lang w:val="es-ES" w:eastAsia="zh-CN"/>
        </w:rPr>
        <w:t>.</w:t>
      </w:r>
    </w:p>
    <w:p w14:paraId="07929402" w14:textId="0695CF0A" w:rsidR="006960BC" w:rsidRPr="00642757" w:rsidRDefault="006960BC">
      <w:pPr>
        <w:rPr>
          <w:lang w:val="es-ES" w:eastAsia="zh-CN"/>
        </w:rPr>
      </w:pPr>
      <w:r w:rsidRPr="00642757">
        <w:rPr>
          <w:lang w:val="es-ES" w:eastAsia="zh-CN"/>
        </w:rPr>
        <w:t>En el Anexo</w:t>
      </w:r>
      <w:r w:rsidR="003B783B">
        <w:rPr>
          <w:lang w:val="es-ES" w:eastAsia="zh-CN"/>
        </w:rPr>
        <w:t> </w:t>
      </w:r>
      <w:r w:rsidRPr="00642757">
        <w:rPr>
          <w:lang w:val="es-ES" w:eastAsia="zh-CN"/>
        </w:rPr>
        <w:t>1 se presenta un ejemplo de estimación de cobertura de población en los casos en los que únicamente algunas partes de determinados emplazamientos de población posean cobertura de un servicio de radiodifusión de televisión terrenal digital (en la zona de cobertura).</w:t>
      </w:r>
    </w:p>
    <w:p w14:paraId="1D44D06B" w14:textId="77777777" w:rsidR="006960BC" w:rsidRPr="00642757" w:rsidRDefault="006960BC">
      <w:pPr>
        <w:pStyle w:val="Heading1"/>
        <w:rPr>
          <w:lang w:val="es-ES" w:eastAsia="zh-CN"/>
        </w:rPr>
      </w:pPr>
      <w:bookmarkStart w:id="13" w:name="_Toc55378822"/>
      <w:r w:rsidRPr="00642757">
        <w:rPr>
          <w:lang w:val="es-ES" w:eastAsia="zh-CN"/>
        </w:rPr>
        <w:t>8</w:t>
      </w:r>
      <w:r w:rsidRPr="00642757">
        <w:rPr>
          <w:lang w:val="es-ES" w:eastAsia="zh-CN"/>
        </w:rPr>
        <w:tab/>
        <w:t>Presentación de resultados</w:t>
      </w:r>
    </w:p>
    <w:p w14:paraId="73FC5B7B" w14:textId="14C45C9D" w:rsidR="006960BC" w:rsidRPr="00642757" w:rsidRDefault="006960BC">
      <w:pPr>
        <w:rPr>
          <w:lang w:val="es-ES" w:eastAsia="zh-CN"/>
        </w:rPr>
      </w:pPr>
      <w:r w:rsidRPr="00642757">
        <w:rPr>
          <w:lang w:val="es-ES" w:eastAsia="zh-CN"/>
        </w:rPr>
        <w:t xml:space="preserve">La cobertura de población viene determinada por parámetros cuantitativos, a saber, el número total de objetos con cobertura </w:t>
      </w:r>
      <m:oMath>
        <m:sSub>
          <m:sSubPr>
            <m:ctrlPr>
              <w:rPr>
                <w:rFonts w:ascii="Cambria Math" w:hAnsi="Cambria Math"/>
                <w:i/>
                <w:lang w:val="es-ES" w:eastAsia="zh-CN"/>
              </w:rPr>
            </m:ctrlPr>
          </m:sSubPr>
          <m:e>
            <m:r>
              <w:rPr>
                <w:rFonts w:ascii="Cambria Math" w:hAnsi="Cambria Math"/>
                <w:lang w:val="es-ES" w:eastAsia="zh-CN"/>
              </w:rPr>
              <m:t>N</m:t>
            </m:r>
          </m:e>
          <m:sub>
            <m:r>
              <w:rPr>
                <w:rFonts w:ascii="Cambria Math" w:hAnsi="Cambria Math"/>
                <w:lang w:val="es-ES" w:eastAsia="zh-CN"/>
              </w:rPr>
              <m:t>cov.</m:t>
            </m:r>
          </m:sub>
        </m:sSub>
      </m:oMath>
      <w:r w:rsidRPr="00642757">
        <w:rPr>
          <w:lang w:val="es-ES" w:eastAsia="zh-CN"/>
        </w:rPr>
        <w:t xml:space="preserve"> y el parámetro de cobertura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oMath>
      <w:r w:rsidRPr="00642757">
        <w:rPr>
          <w:lang w:val="es-ES" w:eastAsia="zh-CN"/>
        </w:rPr>
        <w:t xml:space="preserve">. Ambos se aplican </w:t>
      </w:r>
      <w:bookmarkEnd w:id="13"/>
      <w:r w:rsidRPr="00642757">
        <w:rPr>
          <w:lang w:val="es-ES" w:eastAsia="zh-CN"/>
        </w:rPr>
        <w:t>a un territorio determinado.</w:t>
      </w:r>
    </w:p>
    <w:p w14:paraId="334E69E2" w14:textId="77777777" w:rsidR="006960BC" w:rsidRPr="00642757" w:rsidRDefault="006960BC" w:rsidP="003B783B">
      <w:pPr>
        <w:keepNext/>
        <w:keepLines/>
        <w:rPr>
          <w:lang w:val="es-ES" w:eastAsia="zh-CN"/>
        </w:rPr>
      </w:pPr>
      <w:r w:rsidRPr="00642757">
        <w:rPr>
          <w:lang w:val="es-ES" w:eastAsia="zh-CN"/>
        </w:rPr>
        <w:t>En la práctica, los datos de cobertura de población pueden presentarse mediante:</w:t>
      </w:r>
    </w:p>
    <w:p w14:paraId="6240C1AA" w14:textId="77777777" w:rsidR="006960BC" w:rsidRPr="005E5A77" w:rsidRDefault="006960BC" w:rsidP="003B783B">
      <w:pPr>
        <w:pStyle w:val="enumlev1"/>
        <w:keepNext/>
        <w:keepLines/>
        <w:rPr>
          <w:lang w:val="es-ES"/>
        </w:rPr>
      </w:pPr>
      <w:r w:rsidRPr="005E5A77">
        <w:rPr>
          <w:lang w:val="es-ES"/>
        </w:rPr>
        <w:t>–</w:t>
      </w:r>
      <w:r w:rsidRPr="005E5A77">
        <w:rPr>
          <w:lang w:val="es-ES"/>
        </w:rPr>
        <w:tab/>
        <w:t>cuadros</w:t>
      </w:r>
      <w:r w:rsidRPr="005E5A77">
        <w:rPr>
          <w:lang w:val="es-ES"/>
        </w:rPr>
        <w:tab/>
        <w:t>(véase el Cuadro 1);</w:t>
      </w:r>
    </w:p>
    <w:p w14:paraId="69528A4C" w14:textId="77777777" w:rsidR="006960BC" w:rsidRPr="005E5A77" w:rsidRDefault="006960BC" w:rsidP="003B783B">
      <w:pPr>
        <w:pStyle w:val="enumlev1"/>
        <w:rPr>
          <w:lang w:val="es-ES"/>
        </w:rPr>
      </w:pPr>
      <w:r w:rsidRPr="005E5A77">
        <w:rPr>
          <w:lang w:val="es-ES"/>
        </w:rPr>
        <w:t>–</w:t>
      </w:r>
      <w:r w:rsidRPr="005E5A77">
        <w:rPr>
          <w:lang w:val="es-ES"/>
        </w:rPr>
        <w:tab/>
        <w:t>diagramas;</w:t>
      </w:r>
    </w:p>
    <w:p w14:paraId="1E9062E6" w14:textId="1B2EDAA7" w:rsidR="006960BC" w:rsidRPr="005E5A77" w:rsidRDefault="006960BC" w:rsidP="003B783B">
      <w:pPr>
        <w:pStyle w:val="enumlev1"/>
        <w:rPr>
          <w:lang w:val="es-ES"/>
        </w:rPr>
      </w:pPr>
      <w:r w:rsidRPr="005E5A77">
        <w:rPr>
          <w:lang w:val="es-ES"/>
        </w:rPr>
        <w:t>–</w:t>
      </w:r>
      <w:r w:rsidRPr="005E5A77">
        <w:rPr>
          <w:lang w:val="es-ES"/>
        </w:rPr>
        <w:tab/>
        <w:t>mapas de zona de cobertura.</w:t>
      </w:r>
    </w:p>
    <w:p w14:paraId="242ECA81" w14:textId="77777777" w:rsidR="006960BC" w:rsidRPr="00642757" w:rsidRDefault="006960BC">
      <w:pPr>
        <w:pStyle w:val="TableNo"/>
        <w:rPr>
          <w:lang w:val="es-ES"/>
        </w:rPr>
      </w:pPr>
      <w:r w:rsidRPr="00642757">
        <w:rPr>
          <w:lang w:val="es-ES"/>
        </w:rPr>
        <w:lastRenderedPageBreak/>
        <w:t>CUADRO 1</w:t>
      </w:r>
    </w:p>
    <w:p w14:paraId="321B6C23" w14:textId="77777777" w:rsidR="006960BC" w:rsidRPr="00642757" w:rsidRDefault="006960BC">
      <w:pPr>
        <w:pStyle w:val="Tabletitle"/>
        <w:rPr>
          <w:lang w:val="es-ES"/>
        </w:rPr>
      </w:pPr>
      <w:bookmarkStart w:id="14" w:name="_Toc55378823"/>
      <w:r w:rsidRPr="00642757">
        <w:rPr>
          <w:lang w:val="es-ES"/>
        </w:rPr>
        <w:t>Resultados de medición de la cobertura de población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3"/>
        <w:gridCol w:w="1902"/>
        <w:gridCol w:w="1790"/>
        <w:gridCol w:w="2083"/>
        <w:gridCol w:w="1851"/>
      </w:tblGrid>
      <w:tr w:rsidR="006960BC" w:rsidRPr="00642757" w14:paraId="740C1E72" w14:textId="77777777" w:rsidTr="00456660">
        <w:trPr>
          <w:jc w:val="center"/>
        </w:trPr>
        <w:tc>
          <w:tcPr>
            <w:tcW w:w="2041" w:type="dxa"/>
            <w:vAlign w:val="center"/>
          </w:tcPr>
          <w:p w14:paraId="61105A2C" w14:textId="77777777" w:rsidR="006960BC" w:rsidRPr="00642757" w:rsidRDefault="006960BC">
            <w:pPr>
              <w:pStyle w:val="Tablehead"/>
              <w:rPr>
                <w:rFonts w:eastAsia="SimSun"/>
                <w:lang w:val="es-ES"/>
              </w:rPr>
            </w:pPr>
            <w:r w:rsidRPr="00642757">
              <w:rPr>
                <w:rFonts w:eastAsia="SimSun"/>
                <w:lang w:val="es-ES"/>
              </w:rPr>
              <w:t>País o territorio analizado</w:t>
            </w:r>
          </w:p>
        </w:tc>
        <w:tc>
          <w:tcPr>
            <w:tcW w:w="1928" w:type="dxa"/>
            <w:vAlign w:val="center"/>
            <w:hideMark/>
          </w:tcPr>
          <w:p w14:paraId="4B60338F" w14:textId="77777777" w:rsidR="006960BC" w:rsidRPr="00642757" w:rsidRDefault="006960BC">
            <w:pPr>
              <w:pStyle w:val="Tablehead"/>
              <w:rPr>
                <w:rFonts w:eastAsia="SimSun"/>
                <w:lang w:val="es-ES"/>
              </w:rPr>
            </w:pPr>
            <w:r w:rsidRPr="00642757">
              <w:rPr>
                <w:rFonts w:eastAsia="SimSun"/>
                <w:lang w:val="es-ES"/>
              </w:rPr>
              <w:t>Tecnología</w:t>
            </w:r>
          </w:p>
        </w:tc>
        <w:tc>
          <w:tcPr>
            <w:tcW w:w="1814" w:type="dxa"/>
            <w:vAlign w:val="center"/>
            <w:hideMark/>
          </w:tcPr>
          <w:p w14:paraId="44A6CC2A" w14:textId="593BE382" w:rsidR="006960BC" w:rsidRPr="00642757" w:rsidRDefault="006960BC">
            <w:pPr>
              <w:pStyle w:val="Tablehead"/>
              <w:rPr>
                <w:rFonts w:eastAsia="SimSun"/>
                <w:lang w:val="es-ES"/>
              </w:rPr>
            </w:pPr>
            <w:r w:rsidRPr="00642757">
              <w:rPr>
                <w:lang w:val="es-ES" w:eastAsia="zh-CN"/>
              </w:rPr>
              <w:t xml:space="preserve">Número total </w:t>
            </w:r>
            <w:r w:rsidR="003B783B">
              <w:rPr>
                <w:lang w:val="es-ES" w:eastAsia="zh-CN"/>
              </w:rPr>
              <w:br/>
            </w:r>
            <w:r w:rsidRPr="00642757">
              <w:rPr>
                <w:lang w:val="es-ES" w:eastAsia="zh-CN"/>
              </w:rPr>
              <w:t>de objetos</w:t>
            </w:r>
          </w:p>
        </w:tc>
        <w:tc>
          <w:tcPr>
            <w:tcW w:w="2112" w:type="dxa"/>
            <w:vAlign w:val="center"/>
            <w:hideMark/>
          </w:tcPr>
          <w:p w14:paraId="4DF35195" w14:textId="77777777" w:rsidR="006960BC" w:rsidRPr="00642757" w:rsidRDefault="006960BC">
            <w:pPr>
              <w:pStyle w:val="Tablehead"/>
              <w:rPr>
                <w:rFonts w:eastAsia="SimSun"/>
                <w:lang w:val="es-ES"/>
              </w:rPr>
            </w:pPr>
            <w:r w:rsidRPr="00642757">
              <w:rPr>
                <w:lang w:val="es-ES" w:eastAsia="zh-CN"/>
              </w:rPr>
              <w:t>Número total de objetos con cobertura</w:t>
            </w:r>
          </w:p>
        </w:tc>
        <w:tc>
          <w:tcPr>
            <w:tcW w:w="1876" w:type="dxa"/>
            <w:vAlign w:val="center"/>
            <w:hideMark/>
          </w:tcPr>
          <w:p w14:paraId="0A8D914E" w14:textId="77777777" w:rsidR="006960BC" w:rsidRPr="00642757" w:rsidRDefault="006960BC">
            <w:pPr>
              <w:pStyle w:val="Tablehead"/>
              <w:rPr>
                <w:rFonts w:eastAsia="SimSun"/>
                <w:lang w:val="es-ES"/>
              </w:rPr>
            </w:pPr>
            <w:r w:rsidRPr="00642757">
              <w:rPr>
                <w:szCs w:val="24"/>
                <w:lang w:val="es-ES" w:eastAsia="zh-CN"/>
              </w:rPr>
              <w:t xml:space="preserve">Cobertura de población, </w:t>
            </w:r>
            <w:r w:rsidRPr="00642757">
              <w:rPr>
                <w:i/>
                <w:szCs w:val="24"/>
                <w:lang w:val="es-ES" w:eastAsia="zh-CN"/>
              </w:rPr>
              <w:t>C</w:t>
            </w:r>
            <w:r w:rsidRPr="00642757">
              <w:rPr>
                <w:i/>
                <w:szCs w:val="24"/>
                <w:vertAlign w:val="subscript"/>
                <w:lang w:val="es-ES" w:eastAsia="zh-CN"/>
              </w:rPr>
              <w:t>%</w:t>
            </w:r>
          </w:p>
        </w:tc>
      </w:tr>
      <w:tr w:rsidR="006960BC" w:rsidRPr="00642757" w14:paraId="4B7D289D" w14:textId="77777777" w:rsidTr="00456660">
        <w:trPr>
          <w:jc w:val="center"/>
        </w:trPr>
        <w:tc>
          <w:tcPr>
            <w:tcW w:w="2041" w:type="dxa"/>
          </w:tcPr>
          <w:p w14:paraId="0FF8F5B3" w14:textId="77777777" w:rsidR="006960BC" w:rsidRPr="00642757" w:rsidRDefault="006960BC" w:rsidP="00456660">
            <w:pPr>
              <w:pStyle w:val="Tabletext"/>
              <w:rPr>
                <w:rFonts w:eastAsia="SimSun"/>
                <w:lang w:val="es-ES"/>
              </w:rPr>
            </w:pPr>
          </w:p>
        </w:tc>
        <w:tc>
          <w:tcPr>
            <w:tcW w:w="1928" w:type="dxa"/>
          </w:tcPr>
          <w:p w14:paraId="5CF69849" w14:textId="77777777" w:rsidR="006960BC" w:rsidRPr="00642757" w:rsidRDefault="006960BC" w:rsidP="00456660">
            <w:pPr>
              <w:pStyle w:val="Tabletext"/>
              <w:rPr>
                <w:rFonts w:eastAsia="SimSun"/>
                <w:lang w:val="es-ES"/>
              </w:rPr>
            </w:pPr>
          </w:p>
        </w:tc>
        <w:tc>
          <w:tcPr>
            <w:tcW w:w="1814" w:type="dxa"/>
          </w:tcPr>
          <w:p w14:paraId="7B3D1490" w14:textId="77777777" w:rsidR="006960BC" w:rsidRPr="00642757" w:rsidRDefault="006960BC" w:rsidP="00456660">
            <w:pPr>
              <w:pStyle w:val="Tabletext"/>
              <w:rPr>
                <w:rFonts w:eastAsia="SimSun"/>
                <w:lang w:val="es-ES"/>
              </w:rPr>
            </w:pPr>
          </w:p>
        </w:tc>
        <w:tc>
          <w:tcPr>
            <w:tcW w:w="2112" w:type="dxa"/>
          </w:tcPr>
          <w:p w14:paraId="714AD5AA" w14:textId="77777777" w:rsidR="006960BC" w:rsidRPr="00642757" w:rsidRDefault="006960BC" w:rsidP="00456660">
            <w:pPr>
              <w:pStyle w:val="Tabletext"/>
              <w:rPr>
                <w:rFonts w:eastAsia="SimSun"/>
                <w:lang w:val="es-ES"/>
              </w:rPr>
            </w:pPr>
          </w:p>
        </w:tc>
        <w:tc>
          <w:tcPr>
            <w:tcW w:w="1876" w:type="dxa"/>
          </w:tcPr>
          <w:p w14:paraId="5EF3D69D" w14:textId="77777777" w:rsidR="006960BC" w:rsidRPr="00642757" w:rsidRDefault="006960BC" w:rsidP="00456660">
            <w:pPr>
              <w:pStyle w:val="Tabletext"/>
              <w:rPr>
                <w:rFonts w:eastAsia="SimSun"/>
                <w:lang w:val="es-ES"/>
              </w:rPr>
            </w:pPr>
          </w:p>
        </w:tc>
      </w:tr>
      <w:tr w:rsidR="006960BC" w:rsidRPr="00642757" w14:paraId="3F0AA033" w14:textId="77777777" w:rsidTr="00456660">
        <w:trPr>
          <w:jc w:val="center"/>
        </w:trPr>
        <w:tc>
          <w:tcPr>
            <w:tcW w:w="2041" w:type="dxa"/>
          </w:tcPr>
          <w:p w14:paraId="1B8BF83D" w14:textId="77777777" w:rsidR="006960BC" w:rsidRPr="00642757" w:rsidRDefault="006960BC" w:rsidP="00456660">
            <w:pPr>
              <w:pStyle w:val="Tabletext"/>
              <w:rPr>
                <w:rFonts w:eastAsia="SimSun"/>
                <w:lang w:val="es-ES"/>
              </w:rPr>
            </w:pPr>
          </w:p>
        </w:tc>
        <w:tc>
          <w:tcPr>
            <w:tcW w:w="1928" w:type="dxa"/>
          </w:tcPr>
          <w:p w14:paraId="63BEF088" w14:textId="77777777" w:rsidR="006960BC" w:rsidRPr="00642757" w:rsidRDefault="006960BC" w:rsidP="00456660">
            <w:pPr>
              <w:pStyle w:val="Tabletext"/>
              <w:rPr>
                <w:rFonts w:eastAsia="SimSun"/>
                <w:lang w:val="es-ES"/>
              </w:rPr>
            </w:pPr>
          </w:p>
        </w:tc>
        <w:tc>
          <w:tcPr>
            <w:tcW w:w="1814" w:type="dxa"/>
          </w:tcPr>
          <w:p w14:paraId="2F1E9056" w14:textId="77777777" w:rsidR="006960BC" w:rsidRPr="00642757" w:rsidRDefault="006960BC" w:rsidP="00456660">
            <w:pPr>
              <w:pStyle w:val="Tabletext"/>
              <w:rPr>
                <w:rFonts w:eastAsia="SimSun"/>
                <w:lang w:val="es-ES"/>
              </w:rPr>
            </w:pPr>
          </w:p>
        </w:tc>
        <w:tc>
          <w:tcPr>
            <w:tcW w:w="2112" w:type="dxa"/>
          </w:tcPr>
          <w:p w14:paraId="4294018B" w14:textId="77777777" w:rsidR="006960BC" w:rsidRPr="00642757" w:rsidRDefault="006960BC" w:rsidP="00456660">
            <w:pPr>
              <w:pStyle w:val="Tabletext"/>
              <w:rPr>
                <w:rFonts w:eastAsia="SimSun"/>
                <w:lang w:val="es-ES"/>
              </w:rPr>
            </w:pPr>
          </w:p>
        </w:tc>
        <w:tc>
          <w:tcPr>
            <w:tcW w:w="1876" w:type="dxa"/>
          </w:tcPr>
          <w:p w14:paraId="430C0438" w14:textId="77777777" w:rsidR="006960BC" w:rsidRPr="00642757" w:rsidRDefault="006960BC" w:rsidP="00456660">
            <w:pPr>
              <w:pStyle w:val="Tabletext"/>
              <w:rPr>
                <w:rFonts w:eastAsia="SimSun"/>
                <w:lang w:val="es-ES"/>
              </w:rPr>
            </w:pPr>
          </w:p>
        </w:tc>
      </w:tr>
      <w:tr w:rsidR="006960BC" w:rsidRPr="00642757" w14:paraId="279B79EB" w14:textId="77777777" w:rsidTr="00456660">
        <w:trPr>
          <w:jc w:val="center"/>
        </w:trPr>
        <w:tc>
          <w:tcPr>
            <w:tcW w:w="2041" w:type="dxa"/>
          </w:tcPr>
          <w:p w14:paraId="15B0A5CA" w14:textId="77777777" w:rsidR="006960BC" w:rsidRPr="00642757" w:rsidRDefault="006960BC" w:rsidP="00456660">
            <w:pPr>
              <w:pStyle w:val="Tabletext"/>
              <w:rPr>
                <w:rFonts w:eastAsia="SimSun"/>
                <w:lang w:val="es-ES"/>
              </w:rPr>
            </w:pPr>
          </w:p>
        </w:tc>
        <w:tc>
          <w:tcPr>
            <w:tcW w:w="1928" w:type="dxa"/>
          </w:tcPr>
          <w:p w14:paraId="34D4E105" w14:textId="77777777" w:rsidR="006960BC" w:rsidRPr="00642757" w:rsidRDefault="006960BC" w:rsidP="00456660">
            <w:pPr>
              <w:pStyle w:val="Tabletext"/>
              <w:rPr>
                <w:rFonts w:eastAsia="SimSun"/>
                <w:lang w:val="es-ES"/>
              </w:rPr>
            </w:pPr>
          </w:p>
        </w:tc>
        <w:tc>
          <w:tcPr>
            <w:tcW w:w="1814" w:type="dxa"/>
          </w:tcPr>
          <w:p w14:paraId="65C93DDA" w14:textId="77777777" w:rsidR="006960BC" w:rsidRPr="00642757" w:rsidRDefault="006960BC" w:rsidP="00456660">
            <w:pPr>
              <w:pStyle w:val="Tabletext"/>
              <w:rPr>
                <w:rFonts w:eastAsia="SimSun"/>
                <w:lang w:val="es-ES"/>
              </w:rPr>
            </w:pPr>
          </w:p>
        </w:tc>
        <w:tc>
          <w:tcPr>
            <w:tcW w:w="2112" w:type="dxa"/>
          </w:tcPr>
          <w:p w14:paraId="7456C782" w14:textId="77777777" w:rsidR="006960BC" w:rsidRPr="00642757" w:rsidRDefault="006960BC" w:rsidP="00456660">
            <w:pPr>
              <w:pStyle w:val="Tabletext"/>
              <w:rPr>
                <w:rFonts w:eastAsia="SimSun"/>
                <w:lang w:val="es-ES"/>
              </w:rPr>
            </w:pPr>
          </w:p>
        </w:tc>
        <w:tc>
          <w:tcPr>
            <w:tcW w:w="1876" w:type="dxa"/>
          </w:tcPr>
          <w:p w14:paraId="4030B4F9" w14:textId="77777777" w:rsidR="006960BC" w:rsidRPr="00642757" w:rsidRDefault="006960BC" w:rsidP="00456660">
            <w:pPr>
              <w:pStyle w:val="Tabletext"/>
              <w:rPr>
                <w:rFonts w:eastAsia="SimSun"/>
                <w:lang w:val="es-ES"/>
              </w:rPr>
            </w:pPr>
          </w:p>
        </w:tc>
      </w:tr>
    </w:tbl>
    <w:p w14:paraId="12A0EE76" w14:textId="77777777" w:rsidR="006960BC" w:rsidRPr="00642757" w:rsidRDefault="006960BC" w:rsidP="00F57191">
      <w:pPr>
        <w:pStyle w:val="Tablefin"/>
        <w:rPr>
          <w:lang w:val="es-ES"/>
        </w:rPr>
      </w:pPr>
    </w:p>
    <w:p w14:paraId="42E8E049" w14:textId="77777777" w:rsidR="006960BC" w:rsidRPr="00642757" w:rsidRDefault="006960BC">
      <w:pPr>
        <w:rPr>
          <w:lang w:val="es-ES"/>
        </w:rPr>
      </w:pPr>
      <w:r w:rsidRPr="00642757">
        <w:rPr>
          <w:lang w:val="es-ES"/>
        </w:rPr>
        <w:t xml:space="preserve">Los </w:t>
      </w:r>
      <w:r w:rsidRPr="00642757">
        <w:rPr>
          <w:lang w:val="es-ES" w:eastAsia="zh-CN"/>
        </w:rPr>
        <w:t>resultados de la estimación de cobertura de población</w:t>
      </w:r>
      <w:bookmarkEnd w:id="14"/>
      <w:r w:rsidRPr="00642757">
        <w:rPr>
          <w:lang w:val="es-ES" w:eastAsia="zh-CN"/>
        </w:rPr>
        <w:t xml:space="preserve"> pueden presentarse en forma de gráfico de paridad a fin de proporcionar la evolución interanual de los datos. </w:t>
      </w:r>
      <w:r w:rsidRPr="00642757">
        <w:rPr>
          <w:lang w:val="es-ES"/>
        </w:rPr>
        <w:t xml:space="preserve">En la Figura 1 se muestra, a modo de ejemplo, un gráfico de paridad de </w:t>
      </w:r>
      <w:r w:rsidRPr="00642757">
        <w:rPr>
          <w:lang w:val="es-ES" w:eastAsia="zh-CN"/>
        </w:rPr>
        <w:t xml:space="preserve">cobertura de población </w:t>
      </w:r>
      <w:r w:rsidRPr="00642757">
        <w:rPr>
          <w:lang w:val="es-ES"/>
        </w:rPr>
        <w:t>por tecnología.</w:t>
      </w:r>
    </w:p>
    <w:p w14:paraId="7AF12BEE" w14:textId="77777777" w:rsidR="006960BC" w:rsidRPr="00642757" w:rsidRDefault="006960BC">
      <w:pPr>
        <w:pStyle w:val="FigureNo"/>
        <w:rPr>
          <w:lang w:val="es-ES" w:eastAsia="zh-CN"/>
        </w:rPr>
      </w:pPr>
      <w:r w:rsidRPr="00642757">
        <w:rPr>
          <w:lang w:val="es-ES" w:eastAsia="zh-CN"/>
        </w:rPr>
        <w:t>FIGURA 1</w:t>
      </w:r>
    </w:p>
    <w:p w14:paraId="112F3A62" w14:textId="4FA5B9FF" w:rsidR="006960BC" w:rsidRPr="005E5A77" w:rsidRDefault="006960BC">
      <w:pPr>
        <w:pStyle w:val="Figuretitle"/>
        <w:rPr>
          <w:rStyle w:val="FigureChar"/>
          <w:lang w:val="es-ES"/>
        </w:rPr>
      </w:pPr>
      <w:r w:rsidRPr="00642757">
        <w:rPr>
          <w:lang w:val="es-ES"/>
        </w:rPr>
        <w:t>Cobertura de población por tecnología en zo</w:t>
      </w:r>
      <w:r w:rsidR="006411A7" w:rsidRPr="00642757">
        <w:rPr>
          <w:lang w:val="es-ES"/>
        </w:rPr>
        <w:t>nas rurales para 28 países de la UE</w:t>
      </w:r>
      <w:r w:rsidR="006411A7">
        <w:rPr>
          <w:lang w:val="es-ES"/>
        </w:rPr>
        <w:t xml:space="preserve"> </w:t>
      </w:r>
    </w:p>
    <w:p w14:paraId="530010E0" w14:textId="561E9DD7" w:rsidR="006411A7" w:rsidRPr="006411A7" w:rsidRDefault="006411A7" w:rsidP="006411A7">
      <w:pPr>
        <w:pStyle w:val="Figure"/>
      </w:pPr>
      <w:r>
        <w:rPr>
          <w:noProof/>
        </w:rPr>
        <w:drawing>
          <wp:inline distT="0" distB="0" distL="0" distR="0" wp14:anchorId="6F9A2176" wp14:editId="7BC794C4">
            <wp:extent cx="5419725" cy="2994778"/>
            <wp:effectExtent l="0" t="0" r="0" b="0"/>
            <wp:docPr id="28" name="Picture 28" descr="A graph of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graph of a number of dat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26553" cy="2998551"/>
                    </a:xfrm>
                    <a:prstGeom prst="rect">
                      <a:avLst/>
                    </a:prstGeom>
                  </pic:spPr>
                </pic:pic>
              </a:graphicData>
            </a:graphic>
          </wp:inline>
        </w:drawing>
      </w:r>
    </w:p>
    <w:p w14:paraId="25146387" w14:textId="4DFFB82F" w:rsidR="006960BC" w:rsidRPr="00642757" w:rsidRDefault="006960BC" w:rsidP="00121B2C">
      <w:pPr>
        <w:pStyle w:val="AnnexNoTitle"/>
        <w:rPr>
          <w:lang w:val="es-ES"/>
        </w:rPr>
      </w:pPr>
      <w:bookmarkStart w:id="15" w:name="_Toc55378834"/>
      <w:r w:rsidRPr="00642757">
        <w:rPr>
          <w:lang w:val="es-ES"/>
        </w:rPr>
        <w:t>Referencias</w:t>
      </w:r>
      <w:bookmarkEnd w:id="15"/>
    </w:p>
    <w:p w14:paraId="1A3AFC73" w14:textId="275737E6" w:rsidR="006960BC" w:rsidRPr="00642757" w:rsidRDefault="006960BC">
      <w:pPr>
        <w:pStyle w:val="Reftext"/>
        <w:spacing w:before="360"/>
        <w:rPr>
          <w:lang w:val="es-ES"/>
        </w:rPr>
      </w:pPr>
      <w:r w:rsidRPr="00642757">
        <w:rPr>
          <w:szCs w:val="24"/>
          <w:shd w:val="clear" w:color="auto" w:fill="FFFFFF"/>
          <w:lang w:val="es-ES"/>
        </w:rPr>
        <w:t>[1]</w:t>
      </w:r>
      <w:r w:rsidRPr="00642757">
        <w:rPr>
          <w:szCs w:val="24"/>
          <w:shd w:val="clear" w:color="auto" w:fill="FFFFFF"/>
          <w:lang w:val="es-ES"/>
        </w:rPr>
        <w:tab/>
      </w:r>
      <w:r w:rsidRPr="00642757">
        <w:rPr>
          <w:lang w:val="es-ES"/>
        </w:rPr>
        <w:t xml:space="preserve">Recomendación </w:t>
      </w:r>
      <w:r w:rsidRPr="00642757">
        <w:rPr>
          <w:lang w:val="es-ES" w:eastAsia="zh-CN"/>
        </w:rPr>
        <w:t xml:space="preserve">UIT-R </w:t>
      </w:r>
      <w:hyperlink r:id="rId20" w:history="1">
        <w:r w:rsidRPr="00642757">
          <w:rPr>
            <w:rStyle w:val="Hyperlink"/>
            <w:color w:val="auto"/>
            <w:u w:val="none"/>
            <w:lang w:val="es-ES" w:eastAsia="zh-CN"/>
          </w:rPr>
          <w:t>V.573</w:t>
        </w:r>
      </w:hyperlink>
      <w:r w:rsidRPr="00642757">
        <w:rPr>
          <w:lang w:val="es-ES" w:eastAsia="zh-CN"/>
        </w:rPr>
        <w:t xml:space="preserve"> </w:t>
      </w:r>
      <w:r w:rsidR="003B783B" w:rsidRPr="003B783B">
        <w:rPr>
          <w:lang w:val="es-ES" w:eastAsia="zh-CN"/>
        </w:rPr>
        <w:t>–</w:t>
      </w:r>
      <w:r w:rsidRPr="00642757">
        <w:rPr>
          <w:lang w:val="es-ES" w:eastAsia="zh-CN"/>
        </w:rPr>
        <w:t xml:space="preserve"> </w:t>
      </w:r>
      <w:r w:rsidRPr="00642757">
        <w:rPr>
          <w:lang w:val="es-ES"/>
        </w:rPr>
        <w:t>Vocabulario de radiocomunicaciones</w:t>
      </w:r>
    </w:p>
    <w:p w14:paraId="63F3896A" w14:textId="6D183356" w:rsidR="006960BC" w:rsidRPr="00642757" w:rsidRDefault="006960BC">
      <w:pPr>
        <w:pStyle w:val="Reftext"/>
        <w:rPr>
          <w:lang w:val="es-ES" w:eastAsia="zh-CN"/>
        </w:rPr>
      </w:pPr>
      <w:r w:rsidRPr="00642757">
        <w:rPr>
          <w:lang w:val="es-ES" w:eastAsia="zh-CN"/>
        </w:rPr>
        <w:t>[2]</w:t>
      </w:r>
      <w:r w:rsidRPr="00642757">
        <w:rPr>
          <w:lang w:val="es-ES" w:eastAsia="zh-CN"/>
        </w:rPr>
        <w:tab/>
        <w:t xml:space="preserve">Recomendación UIT-R </w:t>
      </w:r>
      <w:hyperlink r:id="rId21" w:history="1">
        <w:r w:rsidRPr="00642757">
          <w:rPr>
            <w:rStyle w:val="Hyperlink"/>
            <w:color w:val="auto"/>
            <w:u w:val="none"/>
            <w:lang w:val="es-ES"/>
          </w:rPr>
          <w:t>P.1546</w:t>
        </w:r>
      </w:hyperlink>
      <w:r w:rsidRPr="00642757">
        <w:rPr>
          <w:lang w:val="es-ES" w:eastAsia="zh-CN"/>
        </w:rPr>
        <w:t xml:space="preserve"> </w:t>
      </w:r>
      <w:r w:rsidR="003B783B" w:rsidRPr="003B783B">
        <w:rPr>
          <w:lang w:val="es-ES" w:eastAsia="zh-CN"/>
        </w:rPr>
        <w:t>–</w:t>
      </w:r>
      <w:r w:rsidRPr="00642757">
        <w:rPr>
          <w:lang w:val="es-ES" w:eastAsia="zh-CN"/>
        </w:rPr>
        <w:t xml:space="preserve"> Métodos de predicción punto a zona para servicios terrenales en la gama de frecuencias de 30 MHz a 3 000 MHz</w:t>
      </w:r>
    </w:p>
    <w:p w14:paraId="10EB85D9" w14:textId="597187F2" w:rsidR="006960BC" w:rsidRPr="00642757" w:rsidRDefault="006960BC">
      <w:pPr>
        <w:pStyle w:val="Reftext"/>
        <w:rPr>
          <w:lang w:val="es-ES"/>
        </w:rPr>
      </w:pPr>
      <w:r w:rsidRPr="00642757">
        <w:rPr>
          <w:lang w:val="es-ES" w:eastAsia="zh-CN"/>
        </w:rPr>
        <w:t>[3]</w:t>
      </w:r>
      <w:r w:rsidRPr="00642757">
        <w:rPr>
          <w:lang w:val="es-ES" w:eastAsia="zh-CN"/>
        </w:rPr>
        <w:tab/>
      </w:r>
      <w:r w:rsidRPr="00642757">
        <w:rPr>
          <w:lang w:val="es-ES"/>
        </w:rPr>
        <w:t xml:space="preserve">Recomendación UIT-R </w:t>
      </w:r>
      <w:hyperlink r:id="rId22" w:history="1">
        <w:r w:rsidRPr="00642757">
          <w:rPr>
            <w:rStyle w:val="Hyperlink"/>
            <w:color w:val="auto"/>
            <w:u w:val="none"/>
            <w:lang w:val="es-ES"/>
          </w:rPr>
          <w:t>P.1812</w:t>
        </w:r>
      </w:hyperlink>
      <w:r w:rsidRPr="00642757">
        <w:rPr>
          <w:lang w:val="es-ES" w:eastAsia="zh-CN"/>
        </w:rPr>
        <w:t xml:space="preserve"> </w:t>
      </w:r>
      <w:r w:rsidR="003B783B" w:rsidRPr="003B783B">
        <w:rPr>
          <w:lang w:val="es-ES" w:eastAsia="zh-CN"/>
        </w:rPr>
        <w:t>–</w:t>
      </w:r>
      <w:r w:rsidRPr="00642757">
        <w:rPr>
          <w:lang w:val="es-ES" w:eastAsia="zh-CN"/>
        </w:rPr>
        <w:t xml:space="preserve"> </w:t>
      </w:r>
      <w:r w:rsidRPr="00642757">
        <w:rPr>
          <w:lang w:val="es-ES"/>
        </w:rPr>
        <w:t>Método de predicción de la propagación específico del trayecto para servicios terrenales punto a zona en la gama de frecuencias de 30 MHz a 6 000 MHz</w:t>
      </w:r>
    </w:p>
    <w:p w14:paraId="367A7D3F" w14:textId="247D9EE4" w:rsidR="006960BC" w:rsidRPr="00642757" w:rsidRDefault="006960BC">
      <w:pPr>
        <w:pStyle w:val="Reftext"/>
        <w:rPr>
          <w:lang w:val="es-ES" w:eastAsia="zh-CN"/>
        </w:rPr>
      </w:pPr>
      <w:r w:rsidRPr="00642757">
        <w:rPr>
          <w:lang w:val="es-ES" w:eastAsia="zh-CN"/>
        </w:rPr>
        <w:t>[4]</w:t>
      </w:r>
      <w:r w:rsidRPr="00642757">
        <w:rPr>
          <w:lang w:val="es-ES" w:eastAsia="zh-CN"/>
        </w:rPr>
        <w:tab/>
        <w:t xml:space="preserve">Recomendación UIT-R </w:t>
      </w:r>
      <w:hyperlink r:id="rId23" w:history="1">
        <w:r w:rsidRPr="00642757">
          <w:rPr>
            <w:rStyle w:val="Hyperlink"/>
            <w:color w:val="auto"/>
            <w:u w:val="none"/>
            <w:lang w:val="es-ES" w:eastAsia="zh-CN"/>
          </w:rPr>
          <w:t>P.525</w:t>
        </w:r>
      </w:hyperlink>
      <w:r w:rsidRPr="00642757">
        <w:rPr>
          <w:lang w:val="es-ES" w:eastAsia="zh-CN"/>
        </w:rPr>
        <w:t xml:space="preserve"> </w:t>
      </w:r>
      <w:r w:rsidR="003B783B" w:rsidRPr="003B783B">
        <w:rPr>
          <w:lang w:val="es-ES" w:eastAsia="zh-CN"/>
        </w:rPr>
        <w:t>–</w:t>
      </w:r>
      <w:r w:rsidRPr="00642757">
        <w:rPr>
          <w:lang w:val="es-ES" w:eastAsia="zh-CN"/>
        </w:rPr>
        <w:t xml:space="preserve"> Cálculo de la atenuación en el espacio libre</w:t>
      </w:r>
    </w:p>
    <w:p w14:paraId="1423A232" w14:textId="037E6222" w:rsidR="006960BC" w:rsidRPr="00642757" w:rsidRDefault="006960BC">
      <w:pPr>
        <w:pStyle w:val="Reftext"/>
        <w:rPr>
          <w:lang w:val="es-ES" w:eastAsia="zh-CN"/>
        </w:rPr>
      </w:pPr>
      <w:r w:rsidRPr="00642757">
        <w:rPr>
          <w:lang w:val="es-ES" w:eastAsia="zh-CN"/>
        </w:rPr>
        <w:t>[5]</w:t>
      </w:r>
      <w:r w:rsidRPr="00642757">
        <w:rPr>
          <w:lang w:val="es-ES" w:eastAsia="zh-CN"/>
        </w:rPr>
        <w:tab/>
        <w:t xml:space="preserve">Recomendación UIT-R </w:t>
      </w:r>
      <w:hyperlink r:id="rId24" w:history="1">
        <w:r w:rsidRPr="00642757">
          <w:rPr>
            <w:rStyle w:val="Hyperlink"/>
            <w:color w:val="auto"/>
            <w:spacing w:val="-2"/>
            <w:u w:val="none"/>
            <w:lang w:val="es-ES"/>
          </w:rPr>
          <w:t>SM.1875</w:t>
        </w:r>
      </w:hyperlink>
      <w:r w:rsidRPr="00642757">
        <w:rPr>
          <w:lang w:val="es-ES" w:eastAsia="zh-CN"/>
        </w:rPr>
        <w:t xml:space="preserve"> – Mediciones de cobertura DVB-T/T2 y verificación de los criterios de planificación</w:t>
      </w:r>
    </w:p>
    <w:p w14:paraId="36121681" w14:textId="77777777" w:rsidR="006960BC" w:rsidRPr="00642757" w:rsidRDefault="006960BC">
      <w:pPr>
        <w:pStyle w:val="Reftext"/>
        <w:rPr>
          <w:lang w:val="es-ES"/>
        </w:rPr>
      </w:pPr>
      <w:r w:rsidRPr="00642757">
        <w:rPr>
          <w:szCs w:val="24"/>
          <w:lang w:val="es-ES" w:eastAsia="zh-CN"/>
        </w:rPr>
        <w:t>[6]</w:t>
      </w:r>
      <w:r w:rsidRPr="00642757">
        <w:rPr>
          <w:szCs w:val="24"/>
          <w:lang w:val="es-ES" w:eastAsia="zh-CN"/>
        </w:rPr>
        <w:tab/>
      </w:r>
      <w:r w:rsidRPr="00642757">
        <w:rPr>
          <w:lang w:val="es-ES"/>
        </w:rPr>
        <w:t>Nota para solicitantes de cobertura de servicio de televisión local. Requisitos mínimos de cobertura y disposiciones sobre transmisión. OFCOM, 10 de mayo de 2012</w:t>
      </w:r>
    </w:p>
    <w:p w14:paraId="2405035B" w14:textId="7D9F2AB4" w:rsidR="006960BC" w:rsidRPr="005E5A77" w:rsidRDefault="003B783B" w:rsidP="003B783B">
      <w:pPr>
        <w:pStyle w:val="AnnexNoTitle"/>
        <w:rPr>
          <w:lang w:val="es-ES"/>
        </w:rPr>
      </w:pPr>
      <w:r w:rsidRPr="005E5A77">
        <w:rPr>
          <w:lang w:val="es-ES"/>
        </w:rPr>
        <w:lastRenderedPageBreak/>
        <w:t xml:space="preserve">Anexo </w:t>
      </w:r>
      <w:r w:rsidR="006960BC" w:rsidRPr="005E5A77">
        <w:rPr>
          <w:lang w:val="es-ES"/>
        </w:rPr>
        <w:t>1</w:t>
      </w:r>
      <w:r w:rsidR="006960BC" w:rsidRPr="005E5A77">
        <w:rPr>
          <w:lang w:val="es-ES"/>
        </w:rPr>
        <w:br/>
      </w:r>
      <w:r w:rsidR="006960BC" w:rsidRPr="005E5A77">
        <w:rPr>
          <w:lang w:val="es-ES"/>
        </w:rPr>
        <w:br/>
        <w:t>Estudio de caso</w:t>
      </w:r>
    </w:p>
    <w:p w14:paraId="6F5E87E8" w14:textId="396D81B1" w:rsidR="006960BC" w:rsidRPr="00642757" w:rsidRDefault="006960BC">
      <w:pPr>
        <w:pStyle w:val="Heading1"/>
        <w:rPr>
          <w:lang w:val="es-ES" w:eastAsia="zh-CN"/>
        </w:rPr>
      </w:pPr>
      <w:bookmarkStart w:id="16" w:name="_Toc55378836"/>
      <w:r w:rsidRPr="00642757">
        <w:rPr>
          <w:lang w:val="es-ES" w:eastAsia="zh-CN"/>
        </w:rPr>
        <w:t>1</w:t>
      </w:r>
      <w:r w:rsidRPr="00642757">
        <w:rPr>
          <w:lang w:val="es-ES" w:eastAsia="zh-CN"/>
        </w:rPr>
        <w:tab/>
        <w:t>Estimación relativa al caso de territorios con cobertura de servicio parcial</w:t>
      </w:r>
      <w:bookmarkEnd w:id="16"/>
    </w:p>
    <w:p w14:paraId="1890C4EC" w14:textId="77777777" w:rsidR="006960BC" w:rsidRPr="00642757" w:rsidRDefault="006960BC">
      <w:pPr>
        <w:pStyle w:val="FigureNo"/>
        <w:rPr>
          <w:lang w:val="es-ES" w:eastAsia="zh-CN"/>
        </w:rPr>
      </w:pPr>
      <w:r w:rsidRPr="00642757">
        <w:rPr>
          <w:lang w:val="es-ES" w:eastAsia="zh-CN"/>
        </w:rPr>
        <w:t>FIGURA 2</w:t>
      </w:r>
    </w:p>
    <w:p w14:paraId="04DF4C1C" w14:textId="77777777" w:rsidR="006960BC" w:rsidRPr="00642757" w:rsidRDefault="006960BC">
      <w:pPr>
        <w:pStyle w:val="Figuretitle"/>
        <w:rPr>
          <w:lang w:val="es-ES" w:eastAsia="zh-CN"/>
        </w:rPr>
      </w:pPr>
      <w:r w:rsidRPr="00642757">
        <w:rPr>
          <w:lang w:val="es-ES" w:eastAsia="zh-CN"/>
        </w:rPr>
        <w:t>Zonas de cobertura DVB-T2 sobre la base de mediciones</w:t>
      </w:r>
    </w:p>
    <w:p w14:paraId="05776E65" w14:textId="18D1C728" w:rsidR="006960BC" w:rsidRPr="00642757" w:rsidRDefault="006960BC" w:rsidP="00F57191">
      <w:pPr>
        <w:pStyle w:val="Figure"/>
        <w:rPr>
          <w:szCs w:val="24"/>
          <w:lang w:val="es-ES"/>
        </w:rPr>
      </w:pPr>
      <w:r w:rsidRPr="00642757">
        <w:rPr>
          <w:noProof/>
          <w:szCs w:val="24"/>
          <w:lang w:val="es-ES"/>
        </w:rPr>
        <w:drawing>
          <wp:inline distT="0" distB="0" distL="0" distR="0" wp14:anchorId="31FE8D02" wp14:editId="42D1FF7B">
            <wp:extent cx="4504953" cy="3648463"/>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4953" cy="3648463"/>
                    </a:xfrm>
                    <a:prstGeom prst="rect">
                      <a:avLst/>
                    </a:prstGeom>
                  </pic:spPr>
                </pic:pic>
              </a:graphicData>
            </a:graphic>
          </wp:inline>
        </w:drawing>
      </w:r>
    </w:p>
    <w:p w14:paraId="51D2D036" w14:textId="45CA3523" w:rsidR="006960BC" w:rsidRPr="00642757" w:rsidRDefault="006960BC">
      <w:pPr>
        <w:pStyle w:val="Normalaftertitle"/>
        <w:rPr>
          <w:lang w:val="es-ES"/>
        </w:rPr>
      </w:pPr>
      <w:r w:rsidRPr="00642757">
        <w:rPr>
          <w:lang w:val="es-ES" w:eastAsia="zh-CN"/>
        </w:rPr>
        <w:t xml:space="preserve">De conformidad con el Libro de referencia sobre estadísticas vitales, todo el territorio analizado </w:t>
      </w:r>
      <w:r w:rsidRPr="00642757">
        <w:rPr>
          <w:lang w:val="es-ES"/>
        </w:rPr>
        <w:t>abarca 543 emplazamientos con una población total de alrededor de 682</w:t>
      </w:r>
      <w:r w:rsidR="006E5A5A">
        <w:rPr>
          <w:lang w:val="es-ES"/>
        </w:rPr>
        <w:t> </w:t>
      </w:r>
      <w:r w:rsidRPr="00642757">
        <w:rPr>
          <w:lang w:val="es-ES"/>
        </w:rPr>
        <w:t>350 habitantes.</w:t>
      </w:r>
    </w:p>
    <w:p w14:paraId="1F8A9850" w14:textId="3851467C" w:rsidR="006960BC" w:rsidRPr="00642757" w:rsidRDefault="006960BC">
      <w:pPr>
        <w:rPr>
          <w:lang w:val="es-ES"/>
        </w:rPr>
      </w:pPr>
      <w:r w:rsidRPr="00642757">
        <w:rPr>
          <w:lang w:val="es-ES"/>
        </w:rPr>
        <w:t>Existen 328 emplazamientos de población en los que residen</w:t>
      </w:r>
      <w:r w:rsidRPr="00642757">
        <w:rPr>
          <w:lang w:val="es-ES" w:eastAsia="zh-CN"/>
        </w:rPr>
        <w:t xml:space="preserve"> 562</w:t>
      </w:r>
      <w:r w:rsidR="006E5A5A">
        <w:rPr>
          <w:lang w:val="es-ES" w:eastAsia="zh-CN"/>
        </w:rPr>
        <w:t> </w:t>
      </w:r>
      <w:r w:rsidRPr="00642757">
        <w:rPr>
          <w:lang w:val="es-ES" w:eastAsia="zh-CN"/>
        </w:rPr>
        <w:t xml:space="preserve">600 habitantes, con cobertura de </w:t>
      </w:r>
      <w:r w:rsidRPr="00642757">
        <w:rPr>
          <w:lang w:val="es-ES"/>
        </w:rPr>
        <w:t>servicio DVB-T2, y 215 emplazamientos con una población de 119</w:t>
      </w:r>
      <w:r w:rsidR="006E5A5A">
        <w:rPr>
          <w:lang w:val="es-ES"/>
        </w:rPr>
        <w:t> </w:t>
      </w:r>
      <w:r w:rsidRPr="00642757">
        <w:rPr>
          <w:lang w:val="es-ES"/>
        </w:rPr>
        <w:t xml:space="preserve">750 habitantes sin cobertura de servicio. Habida cuenta de ello, la cobertura de población en el territorio designado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oMath>
      <w:r w:rsidRPr="00642757">
        <w:rPr>
          <w:lang w:val="es-ES"/>
        </w:rPr>
        <w:t xml:space="preserve"> puede determinarse mediante la expresión siguiente:</w:t>
      </w:r>
    </w:p>
    <w:p w14:paraId="57C307E8" w14:textId="77777777" w:rsidR="006411A7" w:rsidRPr="005E5A77" w:rsidRDefault="006411A7" w:rsidP="006411A7">
      <w:pPr>
        <w:pStyle w:val="Blanc"/>
        <w:rPr>
          <w:lang w:val="es-ES" w:eastAsia="zh-CN"/>
        </w:rPr>
      </w:pPr>
    </w:p>
    <w:p w14:paraId="2301EFBC" w14:textId="77777777" w:rsidR="006960BC" w:rsidRPr="00642757" w:rsidRDefault="006960BC">
      <w:pPr>
        <w:pStyle w:val="Equation"/>
        <w:rPr>
          <w:lang w:val="es-ES"/>
        </w:rPr>
      </w:pPr>
      <w:r w:rsidRPr="00642757">
        <w:rPr>
          <w:lang w:val="es-ES"/>
        </w:rPr>
        <w:tab/>
      </w:r>
      <w:r w:rsidRPr="00642757">
        <w:rPr>
          <w:lang w:val="es-ES"/>
        </w:rPr>
        <w:tab/>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562 600</m:t>
            </m:r>
          </m:num>
          <m:den>
            <m:r>
              <w:rPr>
                <w:rFonts w:ascii="Cambria Math" w:hAnsi="Cambria Math"/>
                <w:lang w:val="es-ES"/>
              </w:rPr>
              <m:t>682 350</m:t>
            </m:r>
          </m:den>
        </m:f>
        <m:r>
          <w:rPr>
            <w:rFonts w:ascii="Cambria Math" w:hAnsi="Cambria Math"/>
            <w:lang w:val="es-ES"/>
          </w:rPr>
          <m:t>∙100%≈82,45%</m:t>
        </m:r>
      </m:oMath>
    </w:p>
    <w:p w14:paraId="1C56BB64" w14:textId="77777777" w:rsidR="006960BC" w:rsidRPr="00642757" w:rsidRDefault="006960BC">
      <w:pPr>
        <w:pStyle w:val="Heading1"/>
        <w:rPr>
          <w:lang w:val="es-ES" w:eastAsia="zh-CN"/>
        </w:rPr>
      </w:pPr>
      <w:r w:rsidRPr="00642757">
        <w:rPr>
          <w:lang w:val="es-ES" w:eastAsia="zh-CN"/>
        </w:rPr>
        <w:t>2</w:t>
      </w:r>
      <w:r w:rsidRPr="00642757">
        <w:rPr>
          <w:lang w:val="es-ES" w:eastAsia="zh-CN"/>
        </w:rPr>
        <w:tab/>
        <w:t xml:space="preserve">Estimación en emplazamientos de población con cobertura parcial </w:t>
      </w:r>
    </w:p>
    <w:p w14:paraId="465FB8BB" w14:textId="77777777" w:rsidR="006960BC" w:rsidRPr="00642757" w:rsidRDefault="006960BC">
      <w:pPr>
        <w:rPr>
          <w:lang w:val="es-ES" w:eastAsia="zh-CN"/>
        </w:rPr>
      </w:pPr>
      <w:r w:rsidRPr="00642757">
        <w:rPr>
          <w:lang w:val="es-ES" w:eastAsia="zh-CN"/>
        </w:rPr>
        <w:t>En los casos en los que el terreno dificulte la cobertura radioeléctrica, es posible que determinados emplazamientos no tengan acceso a servicios de radiodifusión aunque se encuentren en la zona de cobertura calculada. Para examinar la zona de cobertura real pueden realizarse mediciones en cuadrícula en dichos asentamientos.</w:t>
      </w:r>
    </w:p>
    <w:p w14:paraId="613EA9C2" w14:textId="77777777" w:rsidR="006960BC" w:rsidRPr="00642757" w:rsidRDefault="006960BC">
      <w:pPr>
        <w:rPr>
          <w:lang w:val="es-ES" w:eastAsia="zh-CN"/>
        </w:rPr>
      </w:pPr>
      <w:r w:rsidRPr="00642757">
        <w:rPr>
          <w:lang w:val="es-ES" w:eastAsia="zh-CN"/>
        </w:rPr>
        <w:t>A tal efecto, cabe aplicar los procedimientos siguientes para estimar la cobertura de población:</w:t>
      </w:r>
    </w:p>
    <w:p w14:paraId="3C0370C9" w14:textId="6030C4D4" w:rsidR="006960BC" w:rsidRPr="00642757" w:rsidRDefault="006960BC">
      <w:pPr>
        <w:pStyle w:val="enumlev1"/>
        <w:rPr>
          <w:lang w:val="es-ES" w:eastAsia="zh-CN"/>
        </w:rPr>
      </w:pPr>
      <w:r w:rsidRPr="00642757">
        <w:rPr>
          <w:lang w:val="es-ES" w:eastAsia="zh-CN"/>
        </w:rPr>
        <w:lastRenderedPageBreak/>
        <w:t>1)</w:t>
      </w:r>
      <w:r w:rsidRPr="00642757">
        <w:rPr>
          <w:lang w:val="es-ES" w:eastAsia="zh-CN"/>
        </w:rPr>
        <w:tab/>
        <w:t xml:space="preserve">La zona de cobertura calculada se representa en el mapa digital del territorio de pequeño tamaño. En la </w:t>
      </w:r>
      <w:r w:rsidR="006411A7" w:rsidRPr="00642757">
        <w:rPr>
          <w:lang w:val="es-ES" w:eastAsia="zh-CN"/>
        </w:rPr>
        <w:t>Fig</w:t>
      </w:r>
      <w:r w:rsidR="006411A7">
        <w:rPr>
          <w:lang w:val="es-ES" w:eastAsia="zh-CN"/>
        </w:rPr>
        <w:t>. </w:t>
      </w:r>
      <w:r w:rsidRPr="00642757">
        <w:rPr>
          <w:lang w:val="es-ES" w:eastAsia="zh-CN"/>
        </w:rPr>
        <w:t xml:space="preserve">3 se representa la zona de cobertura calculada para dicho territorio, incluidos tres pequeños emplazamientos de población. La zona de cobertura se resalta en color azul, y los edificios residenciales se representan mediante figuras geométricas de color marrón. La zona de cobertura puede calcularse mediante un </w:t>
      </w:r>
      <w:r w:rsidRPr="00642757">
        <w:rPr>
          <w:lang w:val="es-ES"/>
        </w:rPr>
        <w:t xml:space="preserve">modelo de propagación conforme a la Recomendación UIT-R </w:t>
      </w:r>
      <w:hyperlink r:id="rId26" w:history="1">
        <w:r w:rsidRPr="00642757">
          <w:rPr>
            <w:rStyle w:val="Hyperlink"/>
            <w:color w:val="auto"/>
            <w:u w:val="none"/>
            <w:lang w:val="es-ES"/>
          </w:rPr>
          <w:t>P.1546</w:t>
        </w:r>
      </w:hyperlink>
      <w:r w:rsidRPr="00642757">
        <w:rPr>
          <w:lang w:val="es-ES"/>
        </w:rPr>
        <w:t xml:space="preserve">. Las </w:t>
      </w:r>
      <w:r w:rsidRPr="00642757">
        <w:rPr>
          <w:lang w:val="es-ES" w:eastAsia="zh-CN"/>
        </w:rPr>
        <w:t>zonas sin cobertura en la zona de cobertura calculada se representan en color blanco.</w:t>
      </w:r>
    </w:p>
    <w:p w14:paraId="6B0AABC7" w14:textId="3E47680B" w:rsidR="006960BC" w:rsidRPr="00642757" w:rsidRDefault="006960BC">
      <w:pPr>
        <w:pStyle w:val="enumlev1"/>
        <w:rPr>
          <w:lang w:val="es-ES" w:eastAsia="zh-CN"/>
        </w:rPr>
      </w:pPr>
      <w:r w:rsidRPr="00642757">
        <w:rPr>
          <w:lang w:val="es-ES" w:eastAsia="zh-CN"/>
        </w:rPr>
        <w:t>2)</w:t>
      </w:r>
      <w:r w:rsidRPr="00642757">
        <w:rPr>
          <w:lang w:val="es-ES" w:eastAsia="zh-CN"/>
        </w:rPr>
        <w:tab/>
        <w:t xml:space="preserve">Se determina el número total de objetos (hogares, viviendas o habitantes)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tot.</m:t>
            </m:r>
          </m:sub>
        </m:sSub>
      </m:oMath>
      <w:r w:rsidRPr="00642757">
        <w:rPr>
          <w:lang w:val="es-ES" w:eastAsia="zh-CN"/>
        </w:rPr>
        <w:t xml:space="preserve"> En los emplazamientos de población analizados. El número de objetos puede determinarse mediante la fuente de referencia. Cabe tener en cuenta que la densidad de población de cada región rural y zona urbana (en particular, ciudades y distritos) es diferente, y que los valores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tot.</m:t>
            </m:r>
          </m:sub>
        </m:sSub>
      </m:oMath>
      <w:r w:rsidRPr="00642757">
        <w:rPr>
          <w:lang w:val="es-ES" w:eastAsia="zh-CN"/>
        </w:rPr>
        <w:t xml:space="preserve"> y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cov.</m:t>
            </m:r>
          </m:sub>
        </m:sSub>
      </m:oMath>
      <w:r w:rsidRPr="00642757">
        <w:rPr>
          <w:lang w:val="es-ES" w:eastAsia="zh-CN"/>
        </w:rPr>
        <w:t xml:space="preserve"> pueden variar sustancialmente en función del territorio de que se trate.</w:t>
      </w:r>
    </w:p>
    <w:p w14:paraId="136CEC8E" w14:textId="41C94ECD" w:rsidR="006960BC" w:rsidRPr="00642757" w:rsidRDefault="006960BC">
      <w:pPr>
        <w:pStyle w:val="enumlev1"/>
        <w:rPr>
          <w:lang w:val="es-ES" w:eastAsia="zh-CN"/>
        </w:rPr>
      </w:pPr>
      <w:r w:rsidRPr="00642757">
        <w:rPr>
          <w:lang w:val="es-ES" w:eastAsia="zh-CN"/>
        </w:rPr>
        <w:t>3)</w:t>
      </w:r>
      <w:r w:rsidRPr="00642757">
        <w:rPr>
          <w:lang w:val="es-ES" w:eastAsia="zh-CN"/>
        </w:rPr>
        <w:tab/>
        <w:t>Con objeto de identificar los lugares de medición adecuados en el territorio objeto de análisis, se superpone una cuadrícula de 500</w:t>
      </w:r>
      <w:r w:rsidR="006411A7">
        <w:rPr>
          <w:lang w:val="es-ES" w:eastAsia="zh-CN"/>
        </w:rPr>
        <w:t> </w:t>
      </w:r>
      <w:r w:rsidRPr="00642757">
        <w:rPr>
          <w:lang w:val="es-ES" w:eastAsia="zh-CN"/>
        </w:rPr>
        <w:t>metros de longitud sobre los emplazamientos de población. Los lugares de medición en cada zona de pequeño tamaño se señalan mediante cuadrados de color amarillo. La intensidad de campo del servicio objeto de estudio se mide en cada zona pequeña.</w:t>
      </w:r>
    </w:p>
    <w:p w14:paraId="54BBAF6B" w14:textId="77777777" w:rsidR="006960BC" w:rsidRPr="00642757" w:rsidRDefault="006960BC" w:rsidP="00FA6275">
      <w:pPr>
        <w:pStyle w:val="FigureNo"/>
        <w:spacing w:before="120"/>
        <w:rPr>
          <w:lang w:val="es-ES" w:eastAsia="zh-CN"/>
        </w:rPr>
      </w:pPr>
      <w:r w:rsidRPr="00642757">
        <w:rPr>
          <w:lang w:val="es-ES" w:eastAsia="zh-CN"/>
        </w:rPr>
        <w:t>FIGURA 3</w:t>
      </w:r>
    </w:p>
    <w:p w14:paraId="3F457FAD" w14:textId="2DAFBBCA" w:rsidR="006960BC" w:rsidRPr="00642757" w:rsidRDefault="006960BC">
      <w:pPr>
        <w:pStyle w:val="Figuretitle"/>
        <w:rPr>
          <w:lang w:val="es-ES" w:eastAsia="zh-CN"/>
        </w:rPr>
      </w:pPr>
      <w:r w:rsidRPr="00642757">
        <w:rPr>
          <w:lang w:val="es-ES"/>
        </w:rPr>
        <w:t>Determinación de zonas de pequeño tamaño y lugares de recepción</w:t>
      </w:r>
    </w:p>
    <w:p w14:paraId="683FE796" w14:textId="32982DB6" w:rsidR="006960BC" w:rsidRPr="00E50617" w:rsidRDefault="006411A7" w:rsidP="006411A7">
      <w:pPr>
        <w:pStyle w:val="Figure"/>
        <w:rPr>
          <w:lang w:val="es-ES"/>
        </w:rPr>
      </w:pPr>
      <w:r>
        <w:rPr>
          <w:noProof/>
          <w:lang w:val="es-ES"/>
        </w:rPr>
        <w:drawing>
          <wp:inline distT="0" distB="0" distL="0" distR="0" wp14:anchorId="131E687A" wp14:editId="7A71CD9D">
            <wp:extent cx="4320000" cy="3333600"/>
            <wp:effectExtent l="0" t="0" r="4445" b="635"/>
            <wp:docPr id="29" name="Picture 29" descr="A map of a land with blue and yellow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map of a land with blue and yellow square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000" cy="3333600"/>
                    </a:xfrm>
                    <a:prstGeom prst="rect">
                      <a:avLst/>
                    </a:prstGeom>
                  </pic:spPr>
                </pic:pic>
              </a:graphicData>
            </a:graphic>
          </wp:inline>
        </w:drawing>
      </w:r>
    </w:p>
    <w:p w14:paraId="76A45A3A" w14:textId="424F6163" w:rsidR="006960BC" w:rsidRPr="00642757" w:rsidRDefault="006960BC" w:rsidP="00FA6275">
      <w:pPr>
        <w:pStyle w:val="enumlev1"/>
        <w:rPr>
          <w:b/>
          <w:sz w:val="20"/>
          <w:lang w:val="es-ES" w:eastAsia="zh-CN"/>
        </w:rPr>
      </w:pPr>
      <w:r w:rsidRPr="00642757">
        <w:rPr>
          <w:lang w:val="es-ES" w:eastAsia="zh-CN"/>
        </w:rPr>
        <w:t>4)</w:t>
      </w:r>
      <w:r w:rsidRPr="00642757">
        <w:rPr>
          <w:lang w:val="es-ES" w:eastAsia="zh-CN"/>
        </w:rPr>
        <w:tab/>
        <w:t xml:space="preserve">En los casos en los que el valor medido rebase el </w:t>
      </w:r>
      <w:r w:rsidRPr="00642757">
        <w:rPr>
          <w:lang w:val="es-ES"/>
        </w:rPr>
        <w:t>valor mediano mínimo de intensidad de campo equivalente, se señalará una zona de pequeño tamaño mediante un cuadrado de color verde. En los demás casos, se marca la zona correspondiente mediante un cuadrado de color rojo (Fig.</w:t>
      </w:r>
      <w:r w:rsidR="001F1AC7">
        <w:rPr>
          <w:lang w:val="es-ES"/>
        </w:rPr>
        <w:t> </w:t>
      </w:r>
      <w:r w:rsidRPr="00642757">
        <w:rPr>
          <w:lang w:val="es-ES"/>
        </w:rPr>
        <w:t>4).</w:t>
      </w:r>
    </w:p>
    <w:p w14:paraId="1A266320" w14:textId="77777777" w:rsidR="006960BC" w:rsidRPr="00642757" w:rsidRDefault="006960BC">
      <w:pPr>
        <w:pStyle w:val="FigureNo"/>
        <w:rPr>
          <w:lang w:val="es-ES" w:eastAsia="zh-CN"/>
        </w:rPr>
      </w:pPr>
      <w:r w:rsidRPr="00642757">
        <w:rPr>
          <w:lang w:val="es-ES" w:eastAsia="zh-CN"/>
        </w:rPr>
        <w:lastRenderedPageBreak/>
        <w:t>FIGURA 4</w:t>
      </w:r>
    </w:p>
    <w:p w14:paraId="4DB5866F" w14:textId="77777777" w:rsidR="006960BC" w:rsidRPr="00642757" w:rsidRDefault="006960BC">
      <w:pPr>
        <w:pStyle w:val="Figuretitle"/>
        <w:rPr>
          <w:lang w:val="es-ES" w:eastAsia="zh-CN"/>
        </w:rPr>
      </w:pPr>
      <w:r w:rsidRPr="00642757">
        <w:rPr>
          <w:lang w:val="es-ES"/>
        </w:rPr>
        <w:t>Resultados de la medición de la zona de cobertura</w:t>
      </w:r>
    </w:p>
    <w:p w14:paraId="47F338ED" w14:textId="7E716994" w:rsidR="006960BC" w:rsidRPr="00642757" w:rsidRDefault="001F1AC7" w:rsidP="00F57191">
      <w:pPr>
        <w:pStyle w:val="Figure"/>
        <w:rPr>
          <w:lang w:val="es-ES"/>
        </w:rPr>
      </w:pPr>
      <w:r>
        <w:rPr>
          <w:noProof/>
          <w:lang w:val="es-ES"/>
        </w:rPr>
        <w:drawing>
          <wp:inline distT="0" distB="0" distL="0" distR="0" wp14:anchorId="5FEC4840" wp14:editId="2A6BDD9E">
            <wp:extent cx="4320000" cy="3402000"/>
            <wp:effectExtent l="0" t="0" r="4445" b="8255"/>
            <wp:docPr id="30" name="Picture 30"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map of a city&#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3402000"/>
                    </a:xfrm>
                    <a:prstGeom prst="rect">
                      <a:avLst/>
                    </a:prstGeom>
                  </pic:spPr>
                </pic:pic>
              </a:graphicData>
            </a:graphic>
          </wp:inline>
        </w:drawing>
      </w:r>
    </w:p>
    <w:p w14:paraId="58DBA574" w14:textId="1CE4D866" w:rsidR="006960BC" w:rsidRPr="00642757" w:rsidRDefault="006960BC" w:rsidP="001F1AC7">
      <w:pPr>
        <w:pStyle w:val="enumlev1"/>
        <w:spacing w:before="240"/>
        <w:rPr>
          <w:strike/>
          <w:lang w:val="es-ES" w:eastAsia="zh-CN"/>
        </w:rPr>
      </w:pPr>
      <w:r w:rsidRPr="00642757">
        <w:rPr>
          <w:szCs w:val="24"/>
          <w:lang w:val="es-ES" w:eastAsia="zh-CN"/>
        </w:rPr>
        <w:t>5)</w:t>
      </w:r>
      <w:r w:rsidRPr="00642757">
        <w:rPr>
          <w:szCs w:val="24"/>
          <w:lang w:val="es-ES" w:eastAsia="zh-CN"/>
        </w:rPr>
        <w:tab/>
        <w:t>Las zonas de pequeño tamaño sin edificios residenciales no se tienen en cuenta en el cálculo (Fig.</w:t>
      </w:r>
      <w:r w:rsidR="001F1AC7">
        <w:rPr>
          <w:szCs w:val="24"/>
          <w:lang w:val="es-ES" w:eastAsia="zh-CN"/>
        </w:rPr>
        <w:t> </w:t>
      </w:r>
      <w:r w:rsidRPr="00642757">
        <w:rPr>
          <w:szCs w:val="24"/>
          <w:lang w:val="es-ES" w:eastAsia="zh-CN"/>
        </w:rPr>
        <w:t>5).</w:t>
      </w:r>
    </w:p>
    <w:p w14:paraId="7D67264F" w14:textId="77777777" w:rsidR="006960BC" w:rsidRPr="00642757" w:rsidRDefault="006960BC">
      <w:pPr>
        <w:pStyle w:val="FigureNo"/>
        <w:rPr>
          <w:lang w:val="es-ES" w:eastAsia="zh-CN"/>
        </w:rPr>
      </w:pPr>
      <w:r w:rsidRPr="00642757">
        <w:rPr>
          <w:lang w:val="es-ES" w:eastAsia="zh-CN"/>
        </w:rPr>
        <w:t>FIGURA 5</w:t>
      </w:r>
    </w:p>
    <w:p w14:paraId="7935965D" w14:textId="77777777" w:rsidR="006960BC" w:rsidRPr="00642757" w:rsidRDefault="006960BC">
      <w:pPr>
        <w:pStyle w:val="Figuretitle"/>
        <w:rPr>
          <w:lang w:val="es-ES" w:eastAsia="zh-CN"/>
        </w:rPr>
      </w:pPr>
      <w:r w:rsidRPr="00642757">
        <w:rPr>
          <w:lang w:val="es-ES"/>
        </w:rPr>
        <w:t>Resultados de la medición de la cobertura de población</w:t>
      </w:r>
    </w:p>
    <w:p w14:paraId="17D65CC2" w14:textId="3E85B0C5" w:rsidR="006960BC" w:rsidRPr="00642757" w:rsidRDefault="00F02839" w:rsidP="00F57191">
      <w:pPr>
        <w:pStyle w:val="Figure"/>
        <w:rPr>
          <w:lang w:val="es-ES"/>
        </w:rPr>
      </w:pPr>
      <w:r>
        <w:rPr>
          <w:noProof/>
          <w:lang w:val="es-ES"/>
        </w:rPr>
        <w:drawing>
          <wp:inline distT="0" distB="0" distL="0" distR="0" wp14:anchorId="29DB5986" wp14:editId="0217A955">
            <wp:extent cx="4320000" cy="3362400"/>
            <wp:effectExtent l="0" t="0" r="4445" b="9525"/>
            <wp:docPr id="31" name="Picture 3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map of a cit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3362400"/>
                    </a:xfrm>
                    <a:prstGeom prst="rect">
                      <a:avLst/>
                    </a:prstGeom>
                  </pic:spPr>
                </pic:pic>
              </a:graphicData>
            </a:graphic>
          </wp:inline>
        </w:drawing>
      </w:r>
    </w:p>
    <w:p w14:paraId="15B13268" w14:textId="1399501F" w:rsidR="006960BC" w:rsidRPr="00642757" w:rsidRDefault="006960BC">
      <w:pPr>
        <w:pStyle w:val="enumlev1"/>
        <w:keepNext/>
        <w:keepLines/>
        <w:rPr>
          <w:spacing w:val="-2"/>
          <w:szCs w:val="24"/>
          <w:lang w:val="es-ES"/>
        </w:rPr>
      </w:pPr>
      <w:r w:rsidRPr="00642757">
        <w:rPr>
          <w:lang w:val="es-ES" w:eastAsia="zh-CN"/>
        </w:rPr>
        <w:lastRenderedPageBreak/>
        <w:t>6)</w:t>
      </w:r>
      <w:r w:rsidRPr="00642757">
        <w:rPr>
          <w:lang w:val="es-ES" w:eastAsia="zh-CN"/>
        </w:rPr>
        <w:tab/>
        <w:t xml:space="preserve">Se determina </w:t>
      </w:r>
      <w:r w:rsidRPr="00642757">
        <w:rPr>
          <w:lang w:val="es-ES" w:eastAsia="zh-CN"/>
        </w:rPr>
        <w:tab/>
        <w:t xml:space="preserve">el número total de objetos con cobertura </w:t>
      </w:r>
      <m:oMath>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cov.</m:t>
            </m:r>
          </m:sub>
        </m:sSub>
      </m:oMath>
      <w:r w:rsidRPr="00642757">
        <w:rPr>
          <w:szCs w:val="24"/>
          <w:lang w:val="es-ES" w:eastAsia="zh-CN"/>
        </w:rPr>
        <w:t xml:space="preserve"> y se calcula el </w:t>
      </w:r>
      <w:r w:rsidRPr="00642757">
        <w:rPr>
          <w:lang w:val="es-ES" w:eastAsia="zh-CN"/>
        </w:rPr>
        <w:t xml:space="preserve">parámetro de cobertura </w:t>
      </w:r>
      <m:oMath>
        <m:sSub>
          <m:sSubPr>
            <m:ctrlPr>
              <w:rPr>
                <w:rFonts w:ascii="Cambria Math" w:hAnsi="Cambria Math"/>
                <w:i/>
                <w:lang w:val="es-ES" w:eastAsia="zh-CN"/>
              </w:rPr>
            </m:ctrlPr>
          </m:sSubPr>
          <m:e>
            <m:r>
              <w:rPr>
                <w:rFonts w:ascii="Cambria Math" w:hAnsi="Cambria Math"/>
                <w:lang w:val="es-ES" w:eastAsia="zh-CN"/>
              </w:rPr>
              <m:t>C</m:t>
            </m:r>
          </m:e>
          <m:sub>
            <m:r>
              <w:rPr>
                <w:rFonts w:ascii="Cambria Math" w:hAnsi="Cambria Math"/>
                <w:lang w:val="es-ES" w:eastAsia="zh-CN"/>
              </w:rPr>
              <m:t>%</m:t>
            </m:r>
          </m:sub>
        </m:sSub>
      </m:oMath>
      <w:r w:rsidRPr="00F02839">
        <w:rPr>
          <w:iCs/>
          <w:lang w:val="es-ES" w:eastAsia="zh-CN"/>
        </w:rPr>
        <w:t>.</w:t>
      </w:r>
    </w:p>
    <w:p w14:paraId="49E76E89" w14:textId="33EAC165" w:rsidR="006960BC" w:rsidRPr="00642757" w:rsidRDefault="006960BC">
      <w:pPr>
        <w:rPr>
          <w:lang w:val="es-ES"/>
        </w:rPr>
      </w:pPr>
      <w:r w:rsidRPr="00642757">
        <w:rPr>
          <w:lang w:val="es-ES"/>
        </w:rPr>
        <w:t xml:space="preserve">En este ejemplo, la cobertura de población se estima en función del número de </w:t>
      </w:r>
      <w:r w:rsidRPr="00642757">
        <w:rPr>
          <w:lang w:val="es-ES" w:eastAsia="zh-CN"/>
        </w:rPr>
        <w:t>habitantes.</w:t>
      </w:r>
      <w:r w:rsidRPr="00642757">
        <w:rPr>
          <w:lang w:val="es-ES"/>
        </w:rPr>
        <w:t xml:space="preserve"> La</w:t>
      </w:r>
      <w:r w:rsidR="00F02839">
        <w:rPr>
          <w:lang w:val="es-ES"/>
        </w:rPr>
        <w:t> </w:t>
      </w:r>
      <w:r w:rsidRPr="00642757">
        <w:rPr>
          <w:lang w:val="es-ES"/>
        </w:rPr>
        <w:t>población total residente en los emplazamientos de población analizados es de 2</w:t>
      </w:r>
      <w:r w:rsidR="00F02839">
        <w:rPr>
          <w:lang w:val="es-ES"/>
        </w:rPr>
        <w:t> </w:t>
      </w:r>
      <w:r w:rsidRPr="00642757">
        <w:rPr>
          <w:lang w:val="es-ES"/>
        </w:rPr>
        <w:t>060 habitantes. El número total de zonas de pequeño tamaño analizadas en el territorio objeto de estudio (Fig.</w:t>
      </w:r>
      <w:r w:rsidR="00F02839">
        <w:rPr>
          <w:lang w:val="es-ES"/>
        </w:rPr>
        <w:t> </w:t>
      </w:r>
      <w:r w:rsidRPr="00642757">
        <w:rPr>
          <w:lang w:val="es-ES"/>
        </w:rPr>
        <w:t>3) es de 42, y la densidad de población es de 49,05 habitantes por zona de pequeño tamaño. Con objeto de determinar el número total de habitantes que residen en las 35 zonas de pequeño tamaño con cobertura (Fig.</w:t>
      </w:r>
      <w:r w:rsidR="00F02839">
        <w:rPr>
          <w:lang w:val="es-ES"/>
        </w:rPr>
        <w:t> </w:t>
      </w:r>
      <w:r w:rsidRPr="00642757">
        <w:rPr>
          <w:lang w:val="es-ES"/>
        </w:rPr>
        <w:t xml:space="preserve">4), se asigna el valor 35 a la variable </w:t>
      </w:r>
      <m:oMath>
        <m:sSub>
          <m:sSubPr>
            <m:ctrlPr>
              <w:rPr>
                <w:rFonts w:ascii="Cambria Math" w:hAnsi="Cambria Math"/>
                <w:i/>
                <w:lang w:val="es-ES"/>
              </w:rPr>
            </m:ctrlPr>
          </m:sSubPr>
          <m:e>
            <m:r>
              <w:rPr>
                <w:rFonts w:ascii="Cambria Math" w:hAnsi="Cambria Math"/>
                <w:lang w:val="es-ES"/>
              </w:rPr>
              <m:t>m</m:t>
            </m:r>
          </m:e>
          <m:sub>
            <m:r>
              <w:rPr>
                <w:rFonts w:ascii="Cambria Math" w:hAnsi="Cambria Math"/>
                <w:lang w:val="es-ES"/>
              </w:rPr>
              <m:t>cov.</m:t>
            </m:r>
          </m:sub>
        </m:sSub>
      </m:oMath>
      <w:r w:rsidRPr="00642757">
        <w:rPr>
          <w:lang w:val="es-ES"/>
        </w:rPr>
        <w:t>:</w:t>
      </w:r>
    </w:p>
    <w:p w14:paraId="7A1406F0" w14:textId="77777777" w:rsidR="00F02839" w:rsidRPr="005E5A77" w:rsidRDefault="00F02839" w:rsidP="00F02839">
      <w:pPr>
        <w:pStyle w:val="Blanc"/>
        <w:rPr>
          <w:lang w:val="es-ES" w:eastAsia="zh-CN"/>
        </w:rPr>
      </w:pPr>
    </w:p>
    <w:p w14:paraId="4E8864CC" w14:textId="24CF160F" w:rsidR="006960BC" w:rsidRPr="00642757" w:rsidRDefault="006960BC">
      <w:pPr>
        <w:pStyle w:val="Equation"/>
        <w:rPr>
          <w:lang w:val="es-ES"/>
        </w:rPr>
      </w:pPr>
      <w:r w:rsidRPr="00642757">
        <w:rPr>
          <w:lang w:val="es-ES"/>
        </w:rPr>
        <w:tab/>
      </w:r>
      <w:r w:rsidRPr="00642757">
        <w:rPr>
          <w:lang w:val="es-ES"/>
        </w:rPr>
        <w:tab/>
      </w:r>
      <m:oMath>
        <m:sSub>
          <m:sSubPr>
            <m:ctrlPr>
              <w:rPr>
                <w:rFonts w:ascii="Cambria Math" w:hAnsi="Cambria Math"/>
                <w:lang w:val="es-ES"/>
              </w:rPr>
            </m:ctrlPr>
          </m:sSubPr>
          <m:e>
            <m:r>
              <w:rPr>
                <w:rFonts w:ascii="Cambria Math" w:hAnsi="Cambria Math"/>
                <w:lang w:val="es-ES"/>
              </w:rPr>
              <m:t>N</m:t>
            </m:r>
          </m:e>
          <m:sub>
            <m:r>
              <w:rPr>
                <w:rFonts w:ascii="Cambria Math" w:hAnsi="Cambria Math"/>
                <w:lang w:val="es-ES"/>
              </w:rPr>
              <m:t>cov</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es-ES"/>
              </w:rPr>
            </m:ctrlPr>
          </m:sSubPr>
          <m:e>
            <m:r>
              <w:rPr>
                <w:rFonts w:ascii="Cambria Math" w:hAnsi="Cambria Math"/>
                <w:lang w:val="es-ES"/>
              </w:rPr>
              <m:t>m</m:t>
            </m:r>
          </m:e>
          <m:sub>
            <m:r>
              <w:rPr>
                <w:rFonts w:ascii="Cambria Math" w:hAnsi="Cambria Math"/>
                <w:lang w:val="es-ES"/>
              </w:rPr>
              <m:t>cov</m:t>
            </m:r>
            <m:r>
              <m:rPr>
                <m:sty m:val="p"/>
              </m:rPr>
              <w:rPr>
                <w:rFonts w:ascii="Cambria Math" w:hAnsi="Cambria Math"/>
                <w:lang w:val="es-ES"/>
              </w:rPr>
              <m:t>.</m:t>
            </m:r>
          </m:sub>
        </m:sSub>
        <m:r>
          <m:rPr>
            <m:sty m:val="p"/>
          </m:rPr>
          <w:rPr>
            <w:rFonts w:ascii="Cambria Math" w:hAnsi="Cambria Math"/>
            <w:lang w:val="es-ES"/>
          </w:rPr>
          <m:t>∙49,05=35∙49,05≈1 716</m:t>
        </m:r>
      </m:oMath>
      <w:r w:rsidRPr="00642757">
        <w:rPr>
          <w:lang w:val="es-ES"/>
        </w:rPr>
        <w:t xml:space="preserve"> habitantes.</w:t>
      </w:r>
    </w:p>
    <w:p w14:paraId="12539DBB" w14:textId="77777777" w:rsidR="00F02839" w:rsidRPr="005E5A77" w:rsidRDefault="00F02839" w:rsidP="00F02839">
      <w:pPr>
        <w:pStyle w:val="Blanc"/>
        <w:rPr>
          <w:lang w:val="es-ES" w:eastAsia="zh-CN"/>
        </w:rPr>
      </w:pPr>
    </w:p>
    <w:p w14:paraId="618FB695" w14:textId="77777777" w:rsidR="006960BC" w:rsidRPr="00642757" w:rsidRDefault="006960BC">
      <w:pPr>
        <w:rPr>
          <w:lang w:val="es-ES"/>
        </w:rPr>
      </w:pPr>
      <w:r w:rsidRPr="00642757">
        <w:rPr>
          <w:lang w:val="es-ES"/>
        </w:rPr>
        <w:t xml:space="preserve">La cobertura de población </w:t>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oMath>
      <w:r w:rsidRPr="00642757">
        <w:rPr>
          <w:lang w:val="es-ES"/>
        </w:rPr>
        <w:t xml:space="preserve"> resultante será la siguiente:</w:t>
      </w:r>
    </w:p>
    <w:p w14:paraId="1DEA97DB" w14:textId="77777777" w:rsidR="00F02839" w:rsidRPr="005E5A77" w:rsidRDefault="00F02839" w:rsidP="00F02839">
      <w:pPr>
        <w:pStyle w:val="Blanc"/>
        <w:rPr>
          <w:lang w:val="es-ES" w:eastAsia="zh-CN"/>
        </w:rPr>
      </w:pPr>
    </w:p>
    <w:p w14:paraId="615C4F1D" w14:textId="77777777" w:rsidR="006960BC" w:rsidRPr="00642757" w:rsidRDefault="006960BC">
      <w:pPr>
        <w:pStyle w:val="Equation"/>
        <w:rPr>
          <w:lang w:val="es-ES"/>
        </w:rPr>
      </w:pPr>
      <w:r w:rsidRPr="00642757">
        <w:rPr>
          <w:lang w:val="es-ES"/>
        </w:rPr>
        <w:tab/>
      </w:r>
      <w:r w:rsidRPr="00642757">
        <w:rPr>
          <w:lang w:val="es-ES"/>
        </w:rPr>
        <w:tab/>
      </w:r>
      <m:oMath>
        <m:sSub>
          <m:sSubPr>
            <m:ctrlPr>
              <w:rPr>
                <w:rFonts w:ascii="Cambria Math" w:hAnsi="Cambria Math"/>
                <w:i/>
                <w:lang w:val="es-ES"/>
              </w:rPr>
            </m:ctrlPr>
          </m:sSubPr>
          <m:e>
            <m:r>
              <w:rPr>
                <w:rFonts w:ascii="Cambria Math" w:hAnsi="Cambria Math"/>
                <w:lang w:val="es-ES"/>
              </w:rPr>
              <m:t>C</m:t>
            </m:r>
          </m:e>
          <m:sub>
            <m:r>
              <w:rPr>
                <w:rFonts w:ascii="Cambria Math" w:hAnsi="Cambria Math"/>
                <w:lang w:val="es-ES"/>
              </w:rPr>
              <m:t>%</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1 716</m:t>
            </m:r>
          </m:num>
          <m:den>
            <m:r>
              <w:rPr>
                <w:rFonts w:ascii="Cambria Math" w:hAnsi="Cambria Math"/>
                <w:lang w:val="es-ES"/>
              </w:rPr>
              <m:t>2 060</m:t>
            </m:r>
          </m:den>
        </m:f>
        <m:r>
          <w:rPr>
            <w:rFonts w:ascii="Cambria Math" w:hAnsi="Cambria Math"/>
            <w:lang w:val="es-ES"/>
          </w:rPr>
          <m:t>∙100%≈83,3%</m:t>
        </m:r>
      </m:oMath>
    </w:p>
    <w:p w14:paraId="2D53F556" w14:textId="77777777" w:rsidR="006960BC" w:rsidRPr="00642757" w:rsidRDefault="006960BC" w:rsidP="007362A7">
      <w:pPr>
        <w:rPr>
          <w:lang w:val="es-ES"/>
        </w:rPr>
      </w:pPr>
    </w:p>
    <w:bookmarkEnd w:id="2"/>
    <w:p w14:paraId="08F7AA01" w14:textId="77777777" w:rsidR="006960BC" w:rsidRPr="00642757" w:rsidRDefault="006960BC" w:rsidP="004B5E1C">
      <w:pPr>
        <w:pStyle w:val="Line"/>
        <w:rPr>
          <w:lang w:val="es-ES"/>
        </w:rPr>
      </w:pPr>
    </w:p>
    <w:sectPr w:rsidR="006960BC" w:rsidRPr="00642757" w:rsidSect="007565CC">
      <w:headerReference w:type="even" r:id="rId30"/>
      <w:headerReference w:type="default" r:id="rId31"/>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6EE42" w14:textId="77777777" w:rsidR="00CA109F" w:rsidRDefault="00CA109F">
      <w:r>
        <w:separator/>
      </w:r>
    </w:p>
  </w:endnote>
  <w:endnote w:type="continuationSeparator" w:id="0">
    <w:p w14:paraId="1BF06F75" w14:textId="77777777" w:rsidR="00CA109F" w:rsidRDefault="00CA1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02A1" w14:textId="77777777" w:rsidR="00CA109F" w:rsidRDefault="00CA109F">
      <w:r>
        <w:separator/>
      </w:r>
    </w:p>
  </w:footnote>
  <w:footnote w:type="continuationSeparator" w:id="0">
    <w:p w14:paraId="6F529857" w14:textId="77777777" w:rsidR="00CA109F" w:rsidRDefault="00CA1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23CE5" w14:textId="77777777" w:rsidR="005632C0" w:rsidRDefault="005632C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CD08" w14:textId="77777777" w:rsidR="005632C0" w:rsidRDefault="004E123E" w:rsidP="00B033C8">
    <w:pPr>
      <w:pStyle w:val="Header"/>
      <w:ind w:right="360" w:firstLine="360"/>
    </w:pPr>
    <w:r>
      <w:rPr>
        <w:noProof/>
        <w:lang w:val="en-GB" w:eastAsia="en-GB"/>
      </w:rPr>
      <w:drawing>
        <wp:anchor distT="0" distB="0" distL="114300" distR="114300" simplePos="0" relativeHeight="251656704" behindDoc="1" locked="0" layoutInCell="1" allowOverlap="1" wp14:anchorId="7CFA4DCB" wp14:editId="29876360">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5B9AB" w14:textId="04058571" w:rsidR="00A56CDD" w:rsidRPr="00A56CDD" w:rsidRDefault="002D5579" w:rsidP="00A56CDD">
    <w:pPr>
      <w:pStyle w:val="Header"/>
      <w:jc w:val="both"/>
      <w:rPr>
        <w:lang w:val="en-US"/>
      </w:rPr>
    </w:pPr>
    <w:r w:rsidRPr="00A56CDD">
      <w:rPr>
        <w:b/>
        <w:bCs/>
      </w:rPr>
      <w:fldChar w:fldCharType="begin"/>
    </w:r>
    <w:r w:rsidR="00A56CDD" w:rsidRPr="00A56CDD">
      <w:rPr>
        <w:b/>
        <w:bCs/>
        <w:lang w:val="en-US"/>
      </w:rPr>
      <w:instrText xml:space="preserve"> PAGE </w:instrText>
    </w:r>
    <w:r w:rsidRPr="00A56CDD">
      <w:rPr>
        <w:b/>
        <w:bCs/>
      </w:rPr>
      <w:fldChar w:fldCharType="separate"/>
    </w:r>
    <w:r w:rsidR="00B01444">
      <w:rPr>
        <w:b/>
        <w:bCs/>
        <w:noProof/>
        <w:lang w:val="en-US"/>
      </w:rPr>
      <w:t>ii</w:t>
    </w:r>
    <w:r w:rsidRPr="00A56CDD">
      <w:fldChar w:fldCharType="end"/>
    </w:r>
    <w:r w:rsidR="00A56CDD" w:rsidRPr="00A56CDD">
      <w:rPr>
        <w:lang w:val="en-US"/>
      </w:rPr>
      <w:tab/>
    </w:r>
    <w:r w:rsidR="005B5AAF">
      <w:fldChar w:fldCharType="begin"/>
    </w:r>
    <w:r w:rsidR="005B5AAF" w:rsidRPr="00BE46FB">
      <w:rPr>
        <w:lang w:val="en-US"/>
      </w:rPr>
      <w:instrText xml:space="preserve"> DOCPROPERTY "Header 3" \* MERGEFORMAT </w:instrText>
    </w:r>
    <w:r w:rsidR="005B5AAF">
      <w:fldChar w:fldCharType="separate"/>
    </w:r>
    <w:r w:rsidR="00437F3B" w:rsidRPr="00437F3B">
      <w:rPr>
        <w:b/>
        <w:bCs/>
        <w:lang w:val="en-US"/>
      </w:rPr>
      <w:t xml:space="preserve">I. </w:t>
    </w:r>
    <w:r w:rsidR="005B5AAF">
      <w:rPr>
        <w:b/>
        <w:bCs/>
        <w:lang w:val="en-US"/>
      </w:rPr>
      <w:fldChar w:fldCharType="end"/>
    </w:r>
    <w:r w:rsidR="00A56CDD" w:rsidRPr="00BE46FB">
      <w:rPr>
        <w:b/>
        <w:bCs/>
        <w:lang w:val="en-US"/>
      </w:rPr>
      <w:t xml:space="preserve"> </w:t>
    </w:r>
    <w:r w:rsidRPr="00A56CDD">
      <w:rPr>
        <w:b/>
        <w:bCs/>
      </w:rPr>
      <w:fldChar w:fldCharType="begin"/>
    </w:r>
    <w:r w:rsidR="00A56CDD" w:rsidRPr="00A56CDD">
      <w:rPr>
        <w:b/>
        <w:bCs/>
        <w:lang w:val="en-US"/>
      </w:rPr>
      <w:instrText>styleref href</w:instrText>
    </w:r>
    <w:r w:rsidRPr="00A56CDD">
      <w:rPr>
        <w:b/>
        <w:bCs/>
      </w:rPr>
      <w:fldChar w:fldCharType="separate"/>
    </w:r>
    <w:r w:rsidR="00437F3B">
      <w:rPr>
        <w:b/>
        <w:bCs/>
        <w:noProof/>
        <w:lang w:val="en-US"/>
      </w:rPr>
      <w:t>UIT-R  SM.2504-0</w:t>
    </w:r>
    <w:r w:rsidRPr="00A56CD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D5925" w14:textId="6EAB742E" w:rsidR="005632C0" w:rsidRPr="005E5A77" w:rsidRDefault="005632C0">
    <w:pPr>
      <w:pStyle w:val="Header"/>
      <w:rPr>
        <w:lang w:val="en-GB"/>
      </w:rPr>
    </w:pPr>
    <w:r>
      <w:tab/>
    </w:r>
    <w:r w:rsidR="00B01444">
      <w:rPr>
        <w:b/>
        <w:bCs/>
      </w:rPr>
      <w:fldChar w:fldCharType="begin"/>
    </w:r>
    <w:r w:rsidR="00B01444">
      <w:rPr>
        <w:b/>
        <w:bCs/>
      </w:rPr>
      <w:instrText xml:space="preserve"> DOCPROPERTY "Header" \* MERGEFORMAT </w:instrText>
    </w:r>
    <w:r w:rsidR="00B01444">
      <w:rPr>
        <w:b/>
        <w:bCs/>
      </w:rPr>
      <w:fldChar w:fldCharType="separate"/>
    </w:r>
    <w:r w:rsidR="00437F3B" w:rsidRPr="00437F3B">
      <w:rPr>
        <w:b/>
        <w:bCs/>
        <w:lang w:val="en-GB"/>
      </w:rPr>
      <w:t xml:space="preserve">Rec. </w:t>
    </w:r>
    <w:r w:rsidR="00B01444">
      <w:rPr>
        <w:b/>
        <w:bCs/>
      </w:rPr>
      <w:fldChar w:fldCharType="end"/>
    </w:r>
    <w:r w:rsidRPr="005E5A77">
      <w:rPr>
        <w:b/>
        <w:bCs/>
        <w:lang w:val="en-GB"/>
      </w:rPr>
      <w:t xml:space="preserve"> </w:t>
    </w:r>
    <w:r w:rsidR="002D5579">
      <w:rPr>
        <w:b/>
        <w:bCs/>
      </w:rPr>
      <w:fldChar w:fldCharType="begin"/>
    </w:r>
    <w:r w:rsidRPr="005E5A77">
      <w:rPr>
        <w:b/>
        <w:bCs/>
        <w:lang w:val="en-GB"/>
      </w:rPr>
      <w:instrText>styleref href</w:instrText>
    </w:r>
    <w:r w:rsidR="002D5579">
      <w:rPr>
        <w:b/>
        <w:bCs/>
      </w:rPr>
      <w:fldChar w:fldCharType="separate"/>
    </w:r>
    <w:r w:rsidR="00437F3B">
      <w:rPr>
        <w:b/>
        <w:bCs/>
        <w:noProof/>
        <w:lang w:val="en-GB"/>
      </w:rPr>
      <w:t>UIT-R  SM.2504-0</w:t>
    </w:r>
    <w:r w:rsidR="002D5579">
      <w:rPr>
        <w:b/>
        <w:bCs/>
      </w:rPr>
      <w:fldChar w:fldCharType="end"/>
    </w:r>
    <w:r w:rsidRPr="005E5A77">
      <w:rPr>
        <w:lang w:val="en-GB"/>
      </w:rPr>
      <w:tab/>
    </w:r>
    <w:r w:rsidR="002D5579">
      <w:rPr>
        <w:rStyle w:val="PageNumber"/>
        <w:b/>
        <w:bCs/>
      </w:rPr>
      <w:fldChar w:fldCharType="begin"/>
    </w:r>
    <w:r w:rsidRPr="005E5A77">
      <w:rPr>
        <w:rStyle w:val="PageNumber"/>
        <w:b/>
        <w:bCs/>
        <w:lang w:val="en-GB"/>
      </w:rPr>
      <w:instrText xml:space="preserve"> PAGE </w:instrText>
    </w:r>
    <w:r w:rsidR="002D5579">
      <w:rPr>
        <w:rStyle w:val="PageNumber"/>
        <w:b/>
        <w:bCs/>
      </w:rPr>
      <w:fldChar w:fldCharType="separate"/>
    </w:r>
    <w:r w:rsidR="00B26591" w:rsidRPr="005E5A77">
      <w:rPr>
        <w:rStyle w:val="PageNumber"/>
        <w:b/>
        <w:bCs/>
        <w:noProof/>
        <w:lang w:val="en-GB"/>
      </w:rPr>
      <w:t>iii</w:t>
    </w:r>
    <w:r w:rsidR="002D5579">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A90F" w14:textId="2CF79FFA" w:rsidR="002B32C9" w:rsidRDefault="002D5579" w:rsidP="007A4F79">
    <w:pPr>
      <w:pStyle w:val="Header"/>
      <w:jc w:val="left"/>
      <w:rPr>
        <w:lang w:val="en-US"/>
      </w:rPr>
    </w:pPr>
    <w:r>
      <w:rPr>
        <w:rStyle w:val="PageNumber"/>
        <w:b/>
        <w:bCs/>
      </w:rPr>
      <w:fldChar w:fldCharType="begin"/>
    </w:r>
    <w:r w:rsidR="002B32C9">
      <w:rPr>
        <w:rStyle w:val="PageNumber"/>
        <w:b/>
        <w:bCs/>
        <w:lang w:val="en-US"/>
      </w:rPr>
      <w:instrText xml:space="preserve"> PAGE </w:instrText>
    </w:r>
    <w:r>
      <w:rPr>
        <w:rStyle w:val="PageNumber"/>
        <w:b/>
        <w:bCs/>
      </w:rPr>
      <w:fldChar w:fldCharType="separate"/>
    </w:r>
    <w:r w:rsidR="00505B99">
      <w:rPr>
        <w:rStyle w:val="PageNumber"/>
        <w:b/>
        <w:bCs/>
        <w:noProof/>
        <w:lang w:val="en-US"/>
      </w:rPr>
      <w:t>18</w:t>
    </w:r>
    <w:r>
      <w:rPr>
        <w:rStyle w:val="PageNumber"/>
        <w:b/>
        <w:bCs/>
      </w:rPr>
      <w:fldChar w:fldCharType="end"/>
    </w:r>
    <w:r w:rsidR="002B32C9">
      <w:rPr>
        <w:lang w:val="en-US"/>
      </w:rPr>
      <w:tab/>
    </w:r>
    <w:r w:rsidR="009E2B82">
      <w:fldChar w:fldCharType="begin"/>
    </w:r>
    <w:r w:rsidR="009E2B82">
      <w:instrText xml:space="preserve"> DOCPROPERTY "Header 3" \* MERGEFORMAT </w:instrText>
    </w:r>
    <w:r w:rsidR="009E2B82">
      <w:fldChar w:fldCharType="separate"/>
    </w:r>
    <w:r w:rsidR="00437F3B" w:rsidRPr="00437F3B">
      <w:rPr>
        <w:b/>
        <w:bCs/>
        <w:lang w:val="en-US"/>
      </w:rPr>
      <w:t xml:space="preserve">I. </w:t>
    </w:r>
    <w:r w:rsidR="009E2B82">
      <w:rPr>
        <w:b/>
        <w:bCs/>
        <w:lang w:val="en-US"/>
      </w:rPr>
      <w:fldChar w:fldCharType="end"/>
    </w:r>
    <w:r w:rsidR="00EF7305" w:rsidRPr="00A56CDD">
      <w:rPr>
        <w:b/>
        <w:bCs/>
      </w:rPr>
      <w:t xml:space="preserve"> </w:t>
    </w:r>
    <w:r w:rsidR="00EF7305" w:rsidRPr="00A56CDD">
      <w:rPr>
        <w:b/>
        <w:bCs/>
      </w:rPr>
      <w:fldChar w:fldCharType="begin"/>
    </w:r>
    <w:r w:rsidR="00EF7305" w:rsidRPr="00A56CDD">
      <w:rPr>
        <w:b/>
        <w:bCs/>
        <w:lang w:val="en-US"/>
      </w:rPr>
      <w:instrText>styleref href</w:instrText>
    </w:r>
    <w:r w:rsidR="00EF7305" w:rsidRPr="00A56CDD">
      <w:rPr>
        <w:b/>
        <w:bCs/>
      </w:rPr>
      <w:fldChar w:fldCharType="separate"/>
    </w:r>
    <w:r w:rsidR="009E2B82">
      <w:rPr>
        <w:b/>
        <w:bCs/>
        <w:noProof/>
        <w:lang w:val="en-US"/>
      </w:rPr>
      <w:t>UIT-R  SM.2504-0</w:t>
    </w:r>
    <w:r w:rsidR="00EF7305" w:rsidRPr="00A56CDD">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DE66" w14:textId="361BD2FB" w:rsidR="00A56CDD" w:rsidRPr="00A56CDD" w:rsidRDefault="00A56CDD" w:rsidP="00A56CDD">
    <w:pPr>
      <w:pStyle w:val="Header"/>
      <w:jc w:val="both"/>
    </w:pPr>
    <w:r w:rsidRPr="00A56CDD">
      <w:tab/>
    </w:r>
    <w:r w:rsidR="009E2B82">
      <w:fldChar w:fldCharType="begin"/>
    </w:r>
    <w:r w:rsidR="009E2B82">
      <w:instrText xml:space="preserve"> DOCPROPERTY "Header 3" \* MERGEFORMAT </w:instrText>
    </w:r>
    <w:r w:rsidR="009E2B82">
      <w:fldChar w:fldCharType="separate"/>
    </w:r>
    <w:r w:rsidR="00437F3B" w:rsidRPr="00437F3B">
      <w:rPr>
        <w:b/>
        <w:bCs/>
        <w:lang w:val="en-US"/>
      </w:rPr>
      <w:t xml:space="preserve">I. </w:t>
    </w:r>
    <w:r w:rsidR="009E2B82">
      <w:rPr>
        <w:b/>
        <w:bCs/>
        <w:lang w:val="en-US"/>
      </w:rPr>
      <w:fldChar w:fldCharType="end"/>
    </w:r>
    <w:r w:rsidRPr="00A56CDD">
      <w:rPr>
        <w:b/>
        <w:bCs/>
      </w:rPr>
      <w:t xml:space="preserve"> </w:t>
    </w:r>
    <w:r w:rsidR="002D5579" w:rsidRPr="00A56CDD">
      <w:rPr>
        <w:b/>
        <w:bCs/>
      </w:rPr>
      <w:fldChar w:fldCharType="begin"/>
    </w:r>
    <w:r w:rsidRPr="00A56CDD">
      <w:rPr>
        <w:b/>
        <w:bCs/>
        <w:lang w:val="en-US"/>
      </w:rPr>
      <w:instrText>styleref href</w:instrText>
    </w:r>
    <w:r w:rsidR="002D5579" w:rsidRPr="00A56CDD">
      <w:rPr>
        <w:b/>
        <w:bCs/>
      </w:rPr>
      <w:fldChar w:fldCharType="separate"/>
    </w:r>
    <w:r w:rsidR="009E2B82">
      <w:rPr>
        <w:b/>
        <w:bCs/>
        <w:noProof/>
        <w:lang w:val="en-US"/>
      </w:rPr>
      <w:t>UIT-R  SM.2504-0</w:t>
    </w:r>
    <w:r w:rsidR="002D5579" w:rsidRPr="00A56CDD">
      <w:fldChar w:fldCharType="end"/>
    </w:r>
    <w:r w:rsidRPr="00A56CDD">
      <w:tab/>
    </w:r>
    <w:r w:rsidR="002D5579" w:rsidRPr="00A56CDD">
      <w:rPr>
        <w:b/>
        <w:bCs/>
      </w:rPr>
      <w:fldChar w:fldCharType="begin"/>
    </w:r>
    <w:r w:rsidRPr="00A56CDD">
      <w:rPr>
        <w:b/>
        <w:bCs/>
      </w:rPr>
      <w:instrText xml:space="preserve"> PAGE </w:instrText>
    </w:r>
    <w:r w:rsidR="002D5579" w:rsidRPr="00A56CDD">
      <w:rPr>
        <w:b/>
        <w:bCs/>
      </w:rPr>
      <w:fldChar w:fldCharType="separate"/>
    </w:r>
    <w:r w:rsidR="00B01444">
      <w:rPr>
        <w:b/>
        <w:bCs/>
        <w:noProof/>
      </w:rPr>
      <w:t>1</w:t>
    </w:r>
    <w:r w:rsidR="002D5579" w:rsidRPr="00A56CDD">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3"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5"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8"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9" w15:restartNumberingAfterBreak="0">
    <w:nsid w:val="56030498"/>
    <w:multiLevelType w:val="hybridMultilevel"/>
    <w:tmpl w:val="0318269C"/>
    <w:lvl w:ilvl="0" w:tplc="0D34C966">
      <w:start w:val="3"/>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1"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045080">
    <w:abstractNumId w:val="13"/>
  </w:num>
  <w:num w:numId="2" w16cid:durableId="171917324">
    <w:abstractNumId w:val="16"/>
  </w:num>
  <w:num w:numId="3" w16cid:durableId="17808783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988279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0026095">
    <w:abstractNumId w:val="18"/>
  </w:num>
  <w:num w:numId="6" w16cid:durableId="207653849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0741713">
    <w:abstractNumId w:val="12"/>
  </w:num>
  <w:num w:numId="8" w16cid:durableId="194834799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91190215">
    <w:abstractNumId w:val="17"/>
  </w:num>
  <w:num w:numId="10" w16cid:durableId="8494903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76853345">
    <w:abstractNumId w:val="9"/>
  </w:num>
  <w:num w:numId="12" w16cid:durableId="1107506048">
    <w:abstractNumId w:val="7"/>
  </w:num>
  <w:num w:numId="13" w16cid:durableId="1838492179">
    <w:abstractNumId w:val="6"/>
  </w:num>
  <w:num w:numId="14" w16cid:durableId="1381855625">
    <w:abstractNumId w:val="5"/>
  </w:num>
  <w:num w:numId="15" w16cid:durableId="1547257251">
    <w:abstractNumId w:val="4"/>
  </w:num>
  <w:num w:numId="16" w16cid:durableId="835921390">
    <w:abstractNumId w:val="8"/>
  </w:num>
  <w:num w:numId="17" w16cid:durableId="1397430933">
    <w:abstractNumId w:val="3"/>
  </w:num>
  <w:num w:numId="18" w16cid:durableId="47151073">
    <w:abstractNumId w:val="2"/>
  </w:num>
  <w:num w:numId="19" w16cid:durableId="1235967161">
    <w:abstractNumId w:val="1"/>
  </w:num>
  <w:num w:numId="20" w16cid:durableId="1567951180">
    <w:abstractNumId w:val="0"/>
  </w:num>
  <w:num w:numId="21" w16cid:durableId="1701205793">
    <w:abstractNumId w:val="10"/>
  </w:num>
  <w:num w:numId="22" w16cid:durableId="1537809122">
    <w:abstractNumId w:val="21"/>
  </w:num>
  <w:num w:numId="23" w16cid:durableId="3808300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fr-CH"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3E30"/>
    <w:rsid w:val="00031299"/>
    <w:rsid w:val="0004250D"/>
    <w:rsid w:val="00050D41"/>
    <w:rsid w:val="00052395"/>
    <w:rsid w:val="00072484"/>
    <w:rsid w:val="00081C0B"/>
    <w:rsid w:val="0009150E"/>
    <w:rsid w:val="00096612"/>
    <w:rsid w:val="000A1326"/>
    <w:rsid w:val="000B7683"/>
    <w:rsid w:val="000B7B53"/>
    <w:rsid w:val="000C0413"/>
    <w:rsid w:val="000C3624"/>
    <w:rsid w:val="000E4FD1"/>
    <w:rsid w:val="000F3C25"/>
    <w:rsid w:val="000F6FC4"/>
    <w:rsid w:val="00102934"/>
    <w:rsid w:val="00121B2C"/>
    <w:rsid w:val="00135F00"/>
    <w:rsid w:val="00143718"/>
    <w:rsid w:val="00147110"/>
    <w:rsid w:val="00183256"/>
    <w:rsid w:val="001950C6"/>
    <w:rsid w:val="001A5259"/>
    <w:rsid w:val="001C70F6"/>
    <w:rsid w:val="001F136C"/>
    <w:rsid w:val="001F1AC7"/>
    <w:rsid w:val="00201545"/>
    <w:rsid w:val="00201643"/>
    <w:rsid w:val="002058CE"/>
    <w:rsid w:val="002165F1"/>
    <w:rsid w:val="00247681"/>
    <w:rsid w:val="002558DC"/>
    <w:rsid w:val="00276D21"/>
    <w:rsid w:val="00280CD5"/>
    <w:rsid w:val="00296D7F"/>
    <w:rsid w:val="00297C87"/>
    <w:rsid w:val="00297D43"/>
    <w:rsid w:val="002B32C9"/>
    <w:rsid w:val="002B3CF6"/>
    <w:rsid w:val="002C768A"/>
    <w:rsid w:val="002D1160"/>
    <w:rsid w:val="002D5579"/>
    <w:rsid w:val="002D76C4"/>
    <w:rsid w:val="00343309"/>
    <w:rsid w:val="00351573"/>
    <w:rsid w:val="003571CE"/>
    <w:rsid w:val="00357282"/>
    <w:rsid w:val="00362ED1"/>
    <w:rsid w:val="00382E8A"/>
    <w:rsid w:val="003A4A65"/>
    <w:rsid w:val="003A6B2B"/>
    <w:rsid w:val="003B783B"/>
    <w:rsid w:val="00420DFD"/>
    <w:rsid w:val="004319C1"/>
    <w:rsid w:val="004342B6"/>
    <w:rsid w:val="00437F3B"/>
    <w:rsid w:val="004605D4"/>
    <w:rsid w:val="00470E28"/>
    <w:rsid w:val="004720FC"/>
    <w:rsid w:val="00474D58"/>
    <w:rsid w:val="004934C5"/>
    <w:rsid w:val="004A2B9D"/>
    <w:rsid w:val="004A76A0"/>
    <w:rsid w:val="004B233A"/>
    <w:rsid w:val="004B7B45"/>
    <w:rsid w:val="004E123E"/>
    <w:rsid w:val="00505B99"/>
    <w:rsid w:val="00505FB4"/>
    <w:rsid w:val="00526063"/>
    <w:rsid w:val="005406C6"/>
    <w:rsid w:val="00556548"/>
    <w:rsid w:val="005600C9"/>
    <w:rsid w:val="005632C0"/>
    <w:rsid w:val="00586EF8"/>
    <w:rsid w:val="005A2989"/>
    <w:rsid w:val="005A791E"/>
    <w:rsid w:val="005B49AB"/>
    <w:rsid w:val="005B50E7"/>
    <w:rsid w:val="005B5AAF"/>
    <w:rsid w:val="005D41C4"/>
    <w:rsid w:val="005D58F4"/>
    <w:rsid w:val="005E5A77"/>
    <w:rsid w:val="005E7B4F"/>
    <w:rsid w:val="00607D68"/>
    <w:rsid w:val="00612ECF"/>
    <w:rsid w:val="006149B1"/>
    <w:rsid w:val="006411A7"/>
    <w:rsid w:val="0064346B"/>
    <w:rsid w:val="00680D2B"/>
    <w:rsid w:val="00681B32"/>
    <w:rsid w:val="006960BC"/>
    <w:rsid w:val="006A1F02"/>
    <w:rsid w:val="006E2037"/>
    <w:rsid w:val="006E5A5A"/>
    <w:rsid w:val="00712870"/>
    <w:rsid w:val="00743D85"/>
    <w:rsid w:val="0074518F"/>
    <w:rsid w:val="00752FD3"/>
    <w:rsid w:val="00753CF4"/>
    <w:rsid w:val="007565CC"/>
    <w:rsid w:val="00763B9A"/>
    <w:rsid w:val="007A4F79"/>
    <w:rsid w:val="007A57F4"/>
    <w:rsid w:val="007A6AA8"/>
    <w:rsid w:val="007B203C"/>
    <w:rsid w:val="007C2459"/>
    <w:rsid w:val="007C5CE9"/>
    <w:rsid w:val="00811FBD"/>
    <w:rsid w:val="008211E9"/>
    <w:rsid w:val="0082148C"/>
    <w:rsid w:val="008253BD"/>
    <w:rsid w:val="008310C9"/>
    <w:rsid w:val="00836298"/>
    <w:rsid w:val="008500CF"/>
    <w:rsid w:val="00870342"/>
    <w:rsid w:val="0087251C"/>
    <w:rsid w:val="00880306"/>
    <w:rsid w:val="008815AC"/>
    <w:rsid w:val="008934F4"/>
    <w:rsid w:val="008B2CC6"/>
    <w:rsid w:val="008C7848"/>
    <w:rsid w:val="008D3D8D"/>
    <w:rsid w:val="008F05EE"/>
    <w:rsid w:val="009030CC"/>
    <w:rsid w:val="00917AF2"/>
    <w:rsid w:val="0092418A"/>
    <w:rsid w:val="00934ED7"/>
    <w:rsid w:val="00936035"/>
    <w:rsid w:val="009474D9"/>
    <w:rsid w:val="009543C3"/>
    <w:rsid w:val="00966E1B"/>
    <w:rsid w:val="009A351D"/>
    <w:rsid w:val="009E2B82"/>
    <w:rsid w:val="009F2D2C"/>
    <w:rsid w:val="00A10F3A"/>
    <w:rsid w:val="00A54559"/>
    <w:rsid w:val="00A56CDD"/>
    <w:rsid w:val="00A6617B"/>
    <w:rsid w:val="00A71FE5"/>
    <w:rsid w:val="00A727E4"/>
    <w:rsid w:val="00A91362"/>
    <w:rsid w:val="00A91C64"/>
    <w:rsid w:val="00A9486A"/>
    <w:rsid w:val="00A97FA3"/>
    <w:rsid w:val="00AA3AD8"/>
    <w:rsid w:val="00AB0DC8"/>
    <w:rsid w:val="00AB17C7"/>
    <w:rsid w:val="00AB5FAB"/>
    <w:rsid w:val="00AC1323"/>
    <w:rsid w:val="00AC3946"/>
    <w:rsid w:val="00AD26B8"/>
    <w:rsid w:val="00B01444"/>
    <w:rsid w:val="00B033C8"/>
    <w:rsid w:val="00B036D9"/>
    <w:rsid w:val="00B11D5D"/>
    <w:rsid w:val="00B25420"/>
    <w:rsid w:val="00B257C1"/>
    <w:rsid w:val="00B26591"/>
    <w:rsid w:val="00B33425"/>
    <w:rsid w:val="00B44E24"/>
    <w:rsid w:val="00B47809"/>
    <w:rsid w:val="00B54ECC"/>
    <w:rsid w:val="00B567BC"/>
    <w:rsid w:val="00B61918"/>
    <w:rsid w:val="00B714F3"/>
    <w:rsid w:val="00B75A37"/>
    <w:rsid w:val="00B77CA1"/>
    <w:rsid w:val="00BA28E1"/>
    <w:rsid w:val="00BB0C80"/>
    <w:rsid w:val="00BC5D77"/>
    <w:rsid w:val="00BC6186"/>
    <w:rsid w:val="00BC6FC2"/>
    <w:rsid w:val="00BD3F5C"/>
    <w:rsid w:val="00BE46FB"/>
    <w:rsid w:val="00BE5B84"/>
    <w:rsid w:val="00BF15C3"/>
    <w:rsid w:val="00BF487A"/>
    <w:rsid w:val="00C21C42"/>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503C9"/>
    <w:rsid w:val="00D50B43"/>
    <w:rsid w:val="00D521A4"/>
    <w:rsid w:val="00D57367"/>
    <w:rsid w:val="00D722EF"/>
    <w:rsid w:val="00D73486"/>
    <w:rsid w:val="00D73FBE"/>
    <w:rsid w:val="00D8150A"/>
    <w:rsid w:val="00D83331"/>
    <w:rsid w:val="00D91F7F"/>
    <w:rsid w:val="00DB4F6A"/>
    <w:rsid w:val="00DF087C"/>
    <w:rsid w:val="00DF4176"/>
    <w:rsid w:val="00E17240"/>
    <w:rsid w:val="00E1785F"/>
    <w:rsid w:val="00E24E66"/>
    <w:rsid w:val="00E444FD"/>
    <w:rsid w:val="00E7610E"/>
    <w:rsid w:val="00E83CDE"/>
    <w:rsid w:val="00EC0FF4"/>
    <w:rsid w:val="00EC62B0"/>
    <w:rsid w:val="00ED683F"/>
    <w:rsid w:val="00EF3EB8"/>
    <w:rsid w:val="00EF7305"/>
    <w:rsid w:val="00F02839"/>
    <w:rsid w:val="00F103A9"/>
    <w:rsid w:val="00F12544"/>
    <w:rsid w:val="00F20231"/>
    <w:rsid w:val="00F261A0"/>
    <w:rsid w:val="00F27103"/>
    <w:rsid w:val="00F30C9B"/>
    <w:rsid w:val="00F354B1"/>
    <w:rsid w:val="00F36316"/>
    <w:rsid w:val="00F545E6"/>
    <w:rsid w:val="00F72869"/>
    <w:rsid w:val="00F77437"/>
    <w:rsid w:val="00F84F54"/>
    <w:rsid w:val="00F90896"/>
    <w:rsid w:val="00FA6275"/>
    <w:rsid w:val="00FB0E4E"/>
    <w:rsid w:val="00FE1CED"/>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colormru v:ext="edit" colors="#d62a47"/>
      <o:colormenu v:ext="edit" strokecolor="#d62a47"/>
    </o:shapedefaults>
    <o:shapelayout v:ext="edit">
      <o:idmap v:ext="edit" data="1"/>
    </o:shapelayout>
  </w:shapeDefaults>
  <w:decimalSymbol w:val="."/>
  <w:listSeparator w:val=","/>
  <w14:docId w14:val="6B3646B4"/>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05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F05EE"/>
    <w:pPr>
      <w:keepNext/>
      <w:keepLines/>
      <w:spacing w:before="480"/>
      <w:ind w:left="794" w:hanging="794"/>
      <w:outlineLvl w:val="0"/>
    </w:pPr>
    <w:rPr>
      <w:b/>
    </w:rPr>
  </w:style>
  <w:style w:type="paragraph" w:styleId="Heading2">
    <w:name w:val="heading 2"/>
    <w:basedOn w:val="Heading1"/>
    <w:next w:val="Normal"/>
    <w:link w:val="Heading2Char"/>
    <w:qFormat/>
    <w:rsid w:val="008F05EE"/>
    <w:pPr>
      <w:spacing w:before="320"/>
      <w:outlineLvl w:val="1"/>
    </w:pPr>
  </w:style>
  <w:style w:type="paragraph" w:styleId="Heading3">
    <w:name w:val="heading 3"/>
    <w:basedOn w:val="Heading1"/>
    <w:next w:val="Normal"/>
    <w:link w:val="Heading3Char"/>
    <w:qFormat/>
    <w:rsid w:val="008F05EE"/>
    <w:pPr>
      <w:spacing w:before="200"/>
      <w:outlineLvl w:val="2"/>
    </w:pPr>
  </w:style>
  <w:style w:type="paragraph" w:styleId="Heading4">
    <w:name w:val="heading 4"/>
    <w:basedOn w:val="Heading3"/>
    <w:next w:val="Normal"/>
    <w:link w:val="Heading4Char"/>
    <w:qFormat/>
    <w:rsid w:val="008F05EE"/>
    <w:pPr>
      <w:tabs>
        <w:tab w:val="clear" w:pos="794"/>
        <w:tab w:val="left" w:pos="992"/>
      </w:tabs>
      <w:ind w:left="992" w:hanging="992"/>
      <w:outlineLvl w:val="3"/>
    </w:pPr>
  </w:style>
  <w:style w:type="paragraph" w:styleId="Heading5">
    <w:name w:val="heading 5"/>
    <w:basedOn w:val="Heading4"/>
    <w:next w:val="Normal"/>
    <w:link w:val="Heading5Char"/>
    <w:qFormat/>
    <w:rsid w:val="008F05EE"/>
    <w:pPr>
      <w:outlineLvl w:val="4"/>
    </w:pPr>
  </w:style>
  <w:style w:type="paragraph" w:styleId="Heading6">
    <w:name w:val="heading 6"/>
    <w:basedOn w:val="Heading4"/>
    <w:next w:val="Normal"/>
    <w:link w:val="Heading6Char"/>
    <w:qFormat/>
    <w:rsid w:val="008F05EE"/>
    <w:pPr>
      <w:tabs>
        <w:tab w:val="clear" w:pos="992"/>
        <w:tab w:val="clear" w:pos="1191"/>
      </w:tabs>
      <w:ind w:left="1588" w:hanging="1588"/>
      <w:outlineLvl w:val="5"/>
    </w:pPr>
  </w:style>
  <w:style w:type="paragraph" w:styleId="Heading7">
    <w:name w:val="heading 7"/>
    <w:basedOn w:val="Heading6"/>
    <w:next w:val="Normal"/>
    <w:link w:val="Heading7Char"/>
    <w:qFormat/>
    <w:rsid w:val="008F05EE"/>
    <w:pPr>
      <w:outlineLvl w:val="6"/>
    </w:pPr>
  </w:style>
  <w:style w:type="paragraph" w:styleId="Heading8">
    <w:name w:val="heading 8"/>
    <w:basedOn w:val="Heading6"/>
    <w:next w:val="Normal"/>
    <w:link w:val="Heading8Char"/>
    <w:qFormat/>
    <w:rsid w:val="008F05EE"/>
    <w:pPr>
      <w:outlineLvl w:val="7"/>
    </w:pPr>
  </w:style>
  <w:style w:type="paragraph" w:styleId="Heading9">
    <w:name w:val="heading 9"/>
    <w:basedOn w:val="Heading6"/>
    <w:next w:val="Normal"/>
    <w:link w:val="Heading9Char"/>
    <w:qFormat/>
    <w:rsid w:val="008F05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F05EE"/>
    <w:pPr>
      <w:keepNext/>
      <w:keepLines/>
      <w:spacing w:after="280"/>
      <w:jc w:val="center"/>
    </w:pPr>
  </w:style>
  <w:style w:type="paragraph" w:customStyle="1" w:styleId="Blanc">
    <w:name w:val="Blanc"/>
    <w:basedOn w:val="Normal"/>
    <w:next w:val="Tabletext"/>
    <w:rsid w:val="008F05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F05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F05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05EE"/>
  </w:style>
  <w:style w:type="paragraph" w:customStyle="1" w:styleId="Headingb">
    <w:name w:val="Heading_b"/>
    <w:basedOn w:val="Heading3"/>
    <w:next w:val="Normal"/>
    <w:link w:val="HeadingbChar"/>
    <w:rsid w:val="008F05EE"/>
    <w:pPr>
      <w:spacing w:before="160"/>
      <w:ind w:left="0" w:firstLine="0"/>
      <w:outlineLvl w:val="9"/>
    </w:pPr>
  </w:style>
  <w:style w:type="paragraph" w:customStyle="1" w:styleId="Headingi">
    <w:name w:val="Heading_i"/>
    <w:basedOn w:val="Heading3"/>
    <w:next w:val="Normal"/>
    <w:rsid w:val="008F05EE"/>
    <w:pPr>
      <w:spacing w:before="160"/>
      <w:ind w:left="0" w:firstLine="0"/>
    </w:pPr>
    <w:rPr>
      <w:b w:val="0"/>
      <w:i/>
    </w:rPr>
  </w:style>
  <w:style w:type="character" w:customStyle="1" w:styleId="href">
    <w:name w:val="href"/>
    <w:basedOn w:val="DefaultParagraphFont"/>
    <w:rsid w:val="008F05EE"/>
  </w:style>
  <w:style w:type="paragraph" w:customStyle="1" w:styleId="AnnexNoTitle">
    <w:name w:val="Annex_NoTitle"/>
    <w:basedOn w:val="Normal"/>
    <w:next w:val="Normalaftertitle"/>
    <w:link w:val="AnnexNoTitleChar"/>
    <w:rsid w:val="008F05EE"/>
    <w:pPr>
      <w:keepNext/>
      <w:keepLines/>
      <w:spacing w:before="480" w:after="80"/>
      <w:jc w:val="center"/>
    </w:pPr>
    <w:rPr>
      <w:b/>
      <w:sz w:val="28"/>
    </w:rPr>
  </w:style>
  <w:style w:type="paragraph" w:customStyle="1" w:styleId="enumlev1">
    <w:name w:val="enumlev1"/>
    <w:basedOn w:val="Normal"/>
    <w:link w:val="enumlev1Char"/>
    <w:rsid w:val="008F05EE"/>
    <w:pPr>
      <w:spacing w:before="80"/>
      <w:ind w:left="794" w:hanging="794"/>
    </w:pPr>
  </w:style>
  <w:style w:type="paragraph" w:customStyle="1" w:styleId="Equation">
    <w:name w:val="Equation"/>
    <w:basedOn w:val="Normal"/>
    <w:link w:val="EquationChar"/>
    <w:rsid w:val="008F05EE"/>
    <w:pPr>
      <w:tabs>
        <w:tab w:val="clear" w:pos="1191"/>
        <w:tab w:val="clear" w:pos="1588"/>
        <w:tab w:val="clear" w:pos="1985"/>
        <w:tab w:val="center" w:pos="4820"/>
        <w:tab w:val="right" w:pos="9639"/>
      </w:tabs>
    </w:pPr>
  </w:style>
  <w:style w:type="paragraph" w:customStyle="1" w:styleId="enumlev2">
    <w:name w:val="enumlev2"/>
    <w:basedOn w:val="enumlev1"/>
    <w:rsid w:val="008F05EE"/>
    <w:pPr>
      <w:ind w:left="1191" w:hanging="397"/>
    </w:p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rsid w:val="008F05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F05EE"/>
    <w:pPr>
      <w:spacing w:before="320"/>
    </w:pPr>
  </w:style>
  <w:style w:type="paragraph" w:customStyle="1" w:styleId="enumlev3">
    <w:name w:val="enumlev3"/>
    <w:basedOn w:val="enumlev2"/>
    <w:rsid w:val="008F05EE"/>
    <w:pPr>
      <w:ind w:left="1588"/>
    </w:pPr>
  </w:style>
  <w:style w:type="paragraph" w:customStyle="1" w:styleId="Note">
    <w:name w:val="Note"/>
    <w:basedOn w:val="Normal"/>
    <w:link w:val="NoteChar"/>
    <w:rsid w:val="008F05E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8F05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F05EE"/>
    <w:pPr>
      <w:keepNext/>
      <w:keepLines/>
      <w:spacing w:before="240"/>
      <w:jc w:val="center"/>
    </w:pPr>
    <w:rPr>
      <w:b/>
      <w:sz w:val="28"/>
    </w:rPr>
  </w:style>
  <w:style w:type="paragraph" w:customStyle="1" w:styleId="Recref">
    <w:name w:val="Rec_ref"/>
    <w:basedOn w:val="Normal"/>
    <w:next w:val="Recdate"/>
    <w:rsid w:val="008F05EE"/>
    <w:pPr>
      <w:jc w:val="center"/>
    </w:pPr>
  </w:style>
  <w:style w:type="paragraph" w:customStyle="1" w:styleId="Recdate">
    <w:name w:val="Rec_date"/>
    <w:basedOn w:val="Recref"/>
    <w:next w:val="Normalaftertitle"/>
    <w:rsid w:val="008F05EE"/>
    <w:pPr>
      <w:jc w:val="right"/>
    </w:pPr>
  </w:style>
  <w:style w:type="paragraph" w:customStyle="1" w:styleId="HeadingSum">
    <w:name w:val="Heading_Sum"/>
    <w:basedOn w:val="Headingb"/>
    <w:next w:val="Normal"/>
    <w:autoRedefine/>
    <w:rsid w:val="005E5A77"/>
    <w:pPr>
      <w:spacing w:before="240"/>
    </w:pPr>
    <w:rPr>
      <w:sz w:val="22"/>
      <w:szCs w:val="22"/>
      <w:lang w:val="es-ES"/>
    </w:rPr>
  </w:style>
  <w:style w:type="paragraph" w:customStyle="1" w:styleId="AppendixNoTitle">
    <w:name w:val="Appendix_NoTitle"/>
    <w:basedOn w:val="AnnexNoTitle"/>
    <w:next w:val="Normal"/>
    <w:rsid w:val="008F05EE"/>
  </w:style>
  <w:style w:type="paragraph" w:customStyle="1" w:styleId="Tablefin">
    <w:name w:val="Table_fin"/>
    <w:basedOn w:val="Normal"/>
    <w:next w:val="Normal"/>
    <w:rsid w:val="008F05EE"/>
    <w:pPr>
      <w:spacing w:before="0"/>
    </w:pPr>
    <w:rPr>
      <w:sz w:val="20"/>
      <w:lang w:val="en-GB"/>
    </w:rPr>
  </w:style>
  <w:style w:type="paragraph" w:customStyle="1" w:styleId="Tablehead">
    <w:name w:val="Table_head"/>
    <w:basedOn w:val="Normal"/>
    <w:next w:val="Normal"/>
    <w:link w:val="TableheadChar"/>
    <w:rsid w:val="008F05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F05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F05EE"/>
    <w:pPr>
      <w:keepNext/>
      <w:spacing w:before="360" w:after="120"/>
      <w:jc w:val="center"/>
    </w:pPr>
  </w:style>
  <w:style w:type="paragraph" w:customStyle="1" w:styleId="Equationlegend">
    <w:name w:val="Equation_legend"/>
    <w:basedOn w:val="NormalIndent"/>
    <w:link w:val="EquationlegendChar"/>
    <w:rsid w:val="008F05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05EE"/>
    <w:pPr>
      <w:ind w:left="794"/>
    </w:pPr>
  </w:style>
  <w:style w:type="paragraph" w:customStyle="1" w:styleId="Figurelegend">
    <w:name w:val="Figure_legend"/>
    <w:basedOn w:val="Normal"/>
    <w:rsid w:val="008F05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05EE"/>
    <w:pPr>
      <w:keepNext/>
      <w:keepLines/>
      <w:spacing w:before="480" w:after="80"/>
      <w:jc w:val="center"/>
    </w:pPr>
    <w:rPr>
      <w:caps/>
      <w:sz w:val="18"/>
    </w:rPr>
  </w:style>
  <w:style w:type="paragraph" w:customStyle="1" w:styleId="Figuretitle">
    <w:name w:val="Figure_title"/>
    <w:basedOn w:val="Normal"/>
    <w:next w:val="Figure"/>
    <w:link w:val="FiguretitleChar"/>
    <w:rsid w:val="008F05E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F05EE"/>
    <w:pPr>
      <w:keepNext w:val="0"/>
      <w:spacing w:before="0" w:after="240"/>
    </w:pPr>
  </w:style>
  <w:style w:type="paragraph" w:customStyle="1" w:styleId="tocpart">
    <w:name w:val="tocpart"/>
    <w:basedOn w:val="Normal"/>
    <w:rsid w:val="008F05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8F05EE"/>
    <w:pPr>
      <w:keepNext/>
      <w:keepLines/>
      <w:spacing w:before="480"/>
      <w:jc w:val="center"/>
    </w:pPr>
    <w:rPr>
      <w:sz w:val="28"/>
    </w:rPr>
  </w:style>
  <w:style w:type="paragraph" w:customStyle="1" w:styleId="Arttitle">
    <w:name w:val="Art_title"/>
    <w:basedOn w:val="Normal"/>
    <w:next w:val="Normalaftertitle"/>
    <w:link w:val="ArttitleCar"/>
    <w:rsid w:val="008F05EE"/>
    <w:pPr>
      <w:keepNext/>
      <w:keepLines/>
      <w:spacing w:before="240"/>
      <w:jc w:val="center"/>
    </w:pPr>
    <w:rPr>
      <w:b/>
      <w:sz w:val="28"/>
    </w:rPr>
  </w:style>
  <w:style w:type="paragraph" w:customStyle="1" w:styleId="ASN1">
    <w:name w:val="ASN.1"/>
    <w:basedOn w:val="Normal"/>
    <w:next w:val="Normal"/>
    <w:rsid w:val="008F05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F05EE"/>
    <w:pPr>
      <w:keepNext/>
      <w:keepLines/>
      <w:spacing w:before="160"/>
      <w:ind w:left="794"/>
    </w:pPr>
    <w:rPr>
      <w:i/>
    </w:rPr>
  </w:style>
  <w:style w:type="paragraph" w:customStyle="1" w:styleId="ChapNo">
    <w:name w:val="Chap_No"/>
    <w:basedOn w:val="ArtNo"/>
    <w:next w:val="Chaptitle"/>
    <w:rsid w:val="008F05EE"/>
    <w:rPr>
      <w:b/>
    </w:rPr>
  </w:style>
  <w:style w:type="character" w:styleId="FootnoteReference">
    <w:name w:val="footnote reference"/>
    <w:aliases w:val="Footnote Reference/,Appel note de bas de p"/>
    <w:basedOn w:val="DefaultParagraphFont"/>
    <w:rsid w:val="008F05EE"/>
    <w:rPr>
      <w:position w:val="6"/>
      <w:sz w:val="18"/>
    </w:rPr>
  </w:style>
  <w:style w:type="paragraph" w:styleId="Index1">
    <w:name w:val="index 1"/>
    <w:basedOn w:val="Normal"/>
    <w:next w:val="Normal"/>
    <w:rsid w:val="008F05EE"/>
  </w:style>
  <w:style w:type="paragraph" w:styleId="Index2">
    <w:name w:val="index 2"/>
    <w:basedOn w:val="Normal"/>
    <w:next w:val="Normal"/>
    <w:rsid w:val="008F05EE"/>
    <w:pPr>
      <w:ind w:left="283"/>
    </w:pPr>
  </w:style>
  <w:style w:type="paragraph" w:styleId="Index3">
    <w:name w:val="index 3"/>
    <w:basedOn w:val="Normal"/>
    <w:next w:val="Normal"/>
    <w:rsid w:val="008F05EE"/>
    <w:pPr>
      <w:ind w:left="566"/>
    </w:pPr>
  </w:style>
  <w:style w:type="paragraph" w:styleId="IndexHeading">
    <w:name w:val="index heading"/>
    <w:basedOn w:val="Normal"/>
    <w:next w:val="Index1"/>
    <w:rsid w:val="008F05EE"/>
  </w:style>
  <w:style w:type="paragraph" w:customStyle="1" w:styleId="Line">
    <w:name w:val="Line"/>
    <w:basedOn w:val="Normal"/>
    <w:next w:val="Normal"/>
    <w:rsid w:val="008F05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05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05EE"/>
  </w:style>
  <w:style w:type="paragraph" w:customStyle="1" w:styleId="Partref">
    <w:name w:val="Part_ref"/>
    <w:basedOn w:val="Normal"/>
    <w:next w:val="Normal"/>
    <w:rsid w:val="008F05EE"/>
    <w:pPr>
      <w:keepNext/>
      <w:keepLines/>
      <w:spacing w:after="280"/>
      <w:jc w:val="center"/>
    </w:pPr>
  </w:style>
  <w:style w:type="paragraph" w:customStyle="1" w:styleId="Parttitle">
    <w:name w:val="Part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F05EE"/>
  </w:style>
  <w:style w:type="paragraph" w:customStyle="1" w:styleId="QuestionNo">
    <w:name w:val="Question_No"/>
    <w:basedOn w:val="RecNo"/>
    <w:next w:val="Normal"/>
    <w:rsid w:val="008F05EE"/>
  </w:style>
  <w:style w:type="paragraph" w:customStyle="1" w:styleId="Questionref">
    <w:name w:val="Question_ref"/>
    <w:basedOn w:val="Recref"/>
    <w:next w:val="Questiondate"/>
    <w:rsid w:val="008F05EE"/>
  </w:style>
  <w:style w:type="paragraph" w:customStyle="1" w:styleId="Questiontitle">
    <w:name w:val="Question_title"/>
    <w:basedOn w:val="Normal"/>
    <w:next w:val="Questionref"/>
    <w:rsid w:val="008F05EE"/>
  </w:style>
  <w:style w:type="paragraph" w:customStyle="1" w:styleId="Reftext">
    <w:name w:val="Ref_text"/>
    <w:basedOn w:val="Normal"/>
    <w:rsid w:val="008F05EE"/>
    <w:pPr>
      <w:ind w:left="794" w:hanging="794"/>
    </w:pPr>
    <w:rPr>
      <w:sz w:val="22"/>
    </w:rPr>
  </w:style>
  <w:style w:type="paragraph" w:customStyle="1" w:styleId="Reftitle">
    <w:name w:val="Ref_title"/>
    <w:basedOn w:val="Normal"/>
    <w:next w:val="Reftext"/>
    <w:rsid w:val="008F05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F05EE"/>
  </w:style>
  <w:style w:type="paragraph" w:customStyle="1" w:styleId="RepNo">
    <w:name w:val="Rep_No"/>
    <w:basedOn w:val="RecNo"/>
    <w:next w:val="Reptitle"/>
    <w:rsid w:val="008F05EE"/>
  </w:style>
  <w:style w:type="paragraph" w:customStyle="1" w:styleId="Reptitle">
    <w:name w:val="Rep_title"/>
    <w:basedOn w:val="Rectitle"/>
    <w:next w:val="Repref"/>
    <w:rsid w:val="008F05EE"/>
  </w:style>
  <w:style w:type="paragraph" w:customStyle="1" w:styleId="Repref">
    <w:name w:val="Rep_ref"/>
    <w:basedOn w:val="Recref"/>
    <w:next w:val="Repdate"/>
    <w:rsid w:val="008F05EE"/>
  </w:style>
  <w:style w:type="paragraph" w:customStyle="1" w:styleId="Resdate">
    <w:name w:val="Res_date"/>
    <w:basedOn w:val="Recdate"/>
    <w:next w:val="Normalaftertitle"/>
    <w:rsid w:val="008F05EE"/>
  </w:style>
  <w:style w:type="paragraph" w:customStyle="1" w:styleId="ResNo">
    <w:name w:val="Res_No"/>
    <w:basedOn w:val="RecNo"/>
    <w:next w:val="Restitle"/>
    <w:link w:val="ResNoChar"/>
    <w:rsid w:val="008F05EE"/>
  </w:style>
  <w:style w:type="paragraph" w:customStyle="1" w:styleId="Restitle">
    <w:name w:val="Res_title"/>
    <w:basedOn w:val="Normal"/>
    <w:next w:val="Resref"/>
    <w:link w:val="RestitleChar"/>
    <w:rsid w:val="008F05EE"/>
    <w:pPr>
      <w:spacing w:before="240"/>
      <w:jc w:val="center"/>
    </w:pPr>
    <w:rPr>
      <w:b/>
      <w:sz w:val="28"/>
    </w:rPr>
  </w:style>
  <w:style w:type="paragraph" w:customStyle="1" w:styleId="Resref">
    <w:name w:val="Res_ref"/>
    <w:basedOn w:val="Recref"/>
    <w:next w:val="Resdate"/>
    <w:rsid w:val="008F05EE"/>
  </w:style>
  <w:style w:type="paragraph" w:customStyle="1" w:styleId="SectionNo">
    <w:name w:val="Section_No"/>
    <w:basedOn w:val="Normal"/>
    <w:next w:val="Normal"/>
    <w:rsid w:val="008F05EE"/>
  </w:style>
  <w:style w:type="paragraph" w:customStyle="1" w:styleId="Sectiontitle">
    <w:name w:val="Section_title"/>
    <w:basedOn w:val="Normal"/>
    <w:next w:val="Normalaftertitle"/>
    <w:rsid w:val="008F05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F05EE"/>
    <w:pPr>
      <w:tabs>
        <w:tab w:val="clear" w:pos="794"/>
        <w:tab w:val="clear" w:pos="1191"/>
        <w:tab w:val="clear" w:pos="1588"/>
        <w:tab w:val="clear" w:pos="1985"/>
        <w:tab w:val="right" w:pos="9611"/>
      </w:tabs>
    </w:pPr>
    <w:rPr>
      <w:i/>
    </w:rPr>
  </w:style>
  <w:style w:type="paragraph" w:styleId="TOC1">
    <w:name w:val="toc 1"/>
    <w:basedOn w:val="Normal"/>
    <w:rsid w:val="008F05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F05EE"/>
    <w:pPr>
      <w:tabs>
        <w:tab w:val="clear" w:pos="567"/>
        <w:tab w:val="left" w:pos="1276"/>
      </w:tabs>
      <w:spacing w:before="160"/>
      <w:ind w:left="1276" w:hanging="709"/>
    </w:pPr>
  </w:style>
  <w:style w:type="paragraph" w:styleId="TOC3">
    <w:name w:val="toc 3"/>
    <w:basedOn w:val="TOC2"/>
    <w:rsid w:val="008F05EE"/>
    <w:pPr>
      <w:tabs>
        <w:tab w:val="clear" w:pos="1276"/>
        <w:tab w:val="left" w:pos="2155"/>
      </w:tabs>
      <w:ind w:left="2155" w:hanging="879"/>
    </w:pPr>
  </w:style>
  <w:style w:type="paragraph" w:styleId="TOC4">
    <w:name w:val="toc 4"/>
    <w:basedOn w:val="TOC3"/>
    <w:rsid w:val="008F05EE"/>
    <w:pPr>
      <w:tabs>
        <w:tab w:val="left" w:pos="3261"/>
      </w:tabs>
      <w:spacing w:before="80"/>
      <w:ind w:left="3261" w:hanging="993"/>
    </w:pPr>
  </w:style>
  <w:style w:type="paragraph" w:styleId="TOC5">
    <w:name w:val="toc 5"/>
    <w:basedOn w:val="TOC4"/>
    <w:rsid w:val="008F05EE"/>
  </w:style>
  <w:style w:type="paragraph" w:styleId="TOC6">
    <w:name w:val="toc 6"/>
    <w:basedOn w:val="TOC4"/>
    <w:rsid w:val="008F05EE"/>
  </w:style>
  <w:style w:type="paragraph" w:styleId="TOC7">
    <w:name w:val="toc 7"/>
    <w:basedOn w:val="TOC4"/>
    <w:rsid w:val="008F05EE"/>
  </w:style>
  <w:style w:type="paragraph" w:styleId="TOC8">
    <w:name w:val="toc 8"/>
    <w:basedOn w:val="TOC4"/>
    <w:rsid w:val="008F05EE"/>
  </w:style>
  <w:style w:type="paragraph" w:customStyle="1" w:styleId="Appendixref">
    <w:name w:val="Appendix_ref"/>
    <w:basedOn w:val="Annexref"/>
    <w:next w:val="Normalaftertitle"/>
    <w:rsid w:val="008F05EE"/>
  </w:style>
  <w:style w:type="paragraph" w:customStyle="1" w:styleId="Tabletitle">
    <w:name w:val="Table_title"/>
    <w:basedOn w:val="Normal"/>
    <w:next w:val="Tablehead"/>
    <w:link w:val="TabletitleChar"/>
    <w:rsid w:val="008F05EE"/>
    <w:pPr>
      <w:keepNext/>
      <w:spacing w:before="0" w:after="120"/>
      <w:jc w:val="center"/>
    </w:pPr>
    <w:rPr>
      <w:b/>
    </w:rPr>
  </w:style>
  <w:style w:type="paragraph" w:customStyle="1" w:styleId="Summary">
    <w:name w:val="Summary"/>
    <w:basedOn w:val="Normal"/>
    <w:next w:val="Normalaftertitle"/>
    <w:autoRedefine/>
    <w:rsid w:val="0082148C"/>
    <w:rPr>
      <w:lang w:val="es-ES_tradnl"/>
    </w:rPr>
  </w:style>
  <w:style w:type="character" w:styleId="Hyperlink">
    <w:name w:val="Hyperlink"/>
    <w:aliases w:val="CEO_Hyperlink,超级链接,ECC Hyperlink,超?级链,Style 58,超????,하이퍼링크2,超链接1,超?级链?,Style?,S,하이퍼링크21"/>
    <w:basedOn w:val="DefaultParagraphFont"/>
    <w:qFormat/>
    <w:rsid w:val="00934ED7"/>
    <w:rPr>
      <w:color w:val="0000FF"/>
      <w:u w:val="single"/>
    </w:rPr>
  </w:style>
  <w:style w:type="paragraph" w:customStyle="1" w:styleId="Chaptitle">
    <w:name w:val="Chap_title"/>
    <w:basedOn w:val="Arttitle"/>
    <w:next w:val="Normalaftertitle"/>
    <w:rsid w:val="008F05EE"/>
  </w:style>
  <w:style w:type="table" w:styleId="TableGrid">
    <w:name w:val="Table Grid"/>
    <w:basedOn w:val="TableNormal"/>
    <w:qFormat/>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F05EE"/>
    <w:pPr>
      <w:ind w:left="-85" w:firstLine="0"/>
    </w:pPr>
    <w:rPr>
      <w:lang w:val="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qFormat/>
    <w:rsid w:val="00BE46FB"/>
    <w:rPr>
      <w:sz w:val="22"/>
      <w:lang w:val="fr-FR" w:eastAsia="en-US"/>
    </w:rPr>
  </w:style>
  <w:style w:type="character" w:customStyle="1" w:styleId="Heading1Char">
    <w:name w:val="Heading 1 Char"/>
    <w:basedOn w:val="DefaultParagraphFont"/>
    <w:link w:val="Heading1"/>
    <w:qFormat/>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qFormat/>
    <w:rsid w:val="00BE46FB"/>
    <w:rPr>
      <w:sz w:val="22"/>
      <w:lang w:val="fr-FR" w:eastAsia="en-US"/>
    </w:rPr>
  </w:style>
  <w:style w:type="character" w:customStyle="1" w:styleId="HeadingbChar">
    <w:name w:val="Heading_b Char"/>
    <w:basedOn w:val="DefaultParagraphFont"/>
    <w:link w:val="Headingb"/>
    <w:qFormat/>
    <w:locked/>
    <w:rsid w:val="00BE46FB"/>
    <w:rPr>
      <w:b/>
      <w:sz w:val="24"/>
      <w:lang w:val="fr-FR" w:eastAsia="en-US"/>
    </w:rPr>
  </w:style>
  <w:style w:type="character" w:customStyle="1" w:styleId="AnnexNoTitleChar">
    <w:name w:val="Annex_NoTitle Char"/>
    <w:basedOn w:val="DefaultParagraphFont"/>
    <w:link w:val="AnnexNoTitle"/>
    <w:rsid w:val="00BE46FB"/>
    <w:rPr>
      <w:b/>
      <w:sz w:val="28"/>
      <w:lang w:val="fr-FR" w:eastAsia="en-US"/>
    </w:rPr>
  </w:style>
  <w:style w:type="character" w:customStyle="1" w:styleId="enumlev1Char">
    <w:name w:val="enumlev1 Char"/>
    <w:basedOn w:val="DefaultParagraphFont"/>
    <w:link w:val="enumlev1"/>
    <w:qFormat/>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unhideWhenUsed/>
    <w:rsid w:val="00BE46FB"/>
    <w:rPr>
      <w:sz w:val="16"/>
      <w:szCs w:val="16"/>
    </w:rPr>
  </w:style>
  <w:style w:type="paragraph" w:styleId="CommentText">
    <w:name w:val="annotation text"/>
    <w:basedOn w:val="Normal"/>
    <w:link w:val="CommentTextChar"/>
    <w:unhideWhenUsed/>
    <w:rsid w:val="00BE46FB"/>
    <w:rPr>
      <w:sz w:val="20"/>
    </w:rPr>
  </w:style>
  <w:style w:type="character" w:customStyle="1" w:styleId="CommentTextChar">
    <w:name w:val="Comment Text Char"/>
    <w:basedOn w:val="DefaultParagraphFont"/>
    <w:link w:val="CommentText"/>
    <w:rsid w:val="00BE46FB"/>
    <w:rPr>
      <w:lang w:val="fr-FR" w:eastAsia="en-US"/>
    </w:rPr>
  </w:style>
  <w:style w:type="paragraph" w:styleId="CommentSubject">
    <w:name w:val="annotation subject"/>
    <w:basedOn w:val="CommentText"/>
    <w:next w:val="CommentText"/>
    <w:link w:val="CommentSubjectChar"/>
    <w:unhideWhenUsed/>
    <w:rsid w:val="00BE46FB"/>
    <w:rPr>
      <w:b/>
      <w:bCs/>
    </w:rPr>
  </w:style>
  <w:style w:type="character" w:customStyle="1" w:styleId="CommentSubjectChar">
    <w:name w:val="Comment Subject Char"/>
    <w:basedOn w:val="CommentTextChar"/>
    <w:link w:val="CommentSubject"/>
    <w:rsid w:val="00BE46FB"/>
    <w:rPr>
      <w:b/>
      <w:bCs/>
      <w:lang w:val="fr-FR" w:eastAsia="en-US"/>
    </w:rPr>
  </w:style>
  <w:style w:type="paragraph" w:customStyle="1" w:styleId="Artheading">
    <w:name w:val="Art_heading"/>
    <w:basedOn w:val="Normal"/>
    <w:next w:val="Normal"/>
    <w:rsid w:val="006960B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6960BC"/>
    <w:rPr>
      <w:vertAlign w:val="superscript"/>
    </w:rPr>
  </w:style>
  <w:style w:type="paragraph" w:customStyle="1" w:styleId="Figurewithouttitle">
    <w:name w:val="Figure_without_title"/>
    <w:basedOn w:val="FigureNo"/>
    <w:next w:val="Normal"/>
    <w:rsid w:val="006960B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6960B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6960B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6960B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6960B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6960BC"/>
    <w:pPr>
      <w:tabs>
        <w:tab w:val="left" w:pos="567"/>
        <w:tab w:val="left" w:pos="1701"/>
        <w:tab w:val="left" w:pos="2835"/>
      </w:tabs>
      <w:spacing w:before="240"/>
    </w:pPr>
    <w:rPr>
      <w:b w:val="0"/>
      <w:caps/>
    </w:rPr>
  </w:style>
  <w:style w:type="paragraph" w:customStyle="1" w:styleId="Title2">
    <w:name w:val="Title 2"/>
    <w:basedOn w:val="Source"/>
    <w:next w:val="Normal"/>
    <w:rsid w:val="006960BC"/>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6960BC"/>
    <w:pPr>
      <w:spacing w:before="240"/>
    </w:pPr>
    <w:rPr>
      <w:caps w:val="0"/>
    </w:rPr>
  </w:style>
  <w:style w:type="paragraph" w:customStyle="1" w:styleId="Title4">
    <w:name w:val="Title 4"/>
    <w:basedOn w:val="Title3"/>
    <w:next w:val="Heading1"/>
    <w:rsid w:val="006960BC"/>
    <w:rPr>
      <w:b/>
    </w:rPr>
  </w:style>
  <w:style w:type="character" w:customStyle="1" w:styleId="Appdef">
    <w:name w:val="App_def"/>
    <w:basedOn w:val="DefaultParagraphFont"/>
    <w:rsid w:val="006960BC"/>
    <w:rPr>
      <w:rFonts w:ascii="Times New Roman" w:hAnsi="Times New Roman"/>
      <w:b/>
    </w:rPr>
  </w:style>
  <w:style w:type="character" w:customStyle="1" w:styleId="Appref">
    <w:name w:val="App_ref"/>
    <w:basedOn w:val="DefaultParagraphFont"/>
    <w:rsid w:val="006960BC"/>
  </w:style>
  <w:style w:type="character" w:customStyle="1" w:styleId="Artdef">
    <w:name w:val="Art_def"/>
    <w:basedOn w:val="DefaultParagraphFont"/>
    <w:rsid w:val="006960BC"/>
    <w:rPr>
      <w:rFonts w:ascii="Times New Roman" w:hAnsi="Times New Roman"/>
      <w:b/>
    </w:rPr>
  </w:style>
  <w:style w:type="character" w:customStyle="1" w:styleId="Artref">
    <w:name w:val="Art_ref"/>
    <w:basedOn w:val="DefaultParagraphFont"/>
    <w:rsid w:val="006960BC"/>
  </w:style>
  <w:style w:type="character" w:customStyle="1" w:styleId="Recdef">
    <w:name w:val="Rec_def"/>
    <w:basedOn w:val="DefaultParagraphFont"/>
    <w:rsid w:val="006960BC"/>
    <w:rPr>
      <w:b/>
    </w:rPr>
  </w:style>
  <w:style w:type="character" w:customStyle="1" w:styleId="Resdef">
    <w:name w:val="Res_def"/>
    <w:basedOn w:val="DefaultParagraphFont"/>
    <w:rsid w:val="006960BC"/>
    <w:rPr>
      <w:rFonts w:ascii="Times New Roman" w:hAnsi="Times New Roman"/>
      <w:b/>
    </w:rPr>
  </w:style>
  <w:style w:type="character" w:customStyle="1" w:styleId="Tablefreq">
    <w:name w:val="Table_freq"/>
    <w:basedOn w:val="DefaultParagraphFont"/>
    <w:rsid w:val="006960BC"/>
    <w:rPr>
      <w:b/>
      <w:color w:val="auto"/>
      <w:sz w:val="20"/>
    </w:rPr>
  </w:style>
  <w:style w:type="paragraph" w:customStyle="1" w:styleId="Formal">
    <w:name w:val="Formal"/>
    <w:basedOn w:val="ASN1"/>
    <w:rsid w:val="006960BC"/>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6960B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6960BC"/>
    <w:rPr>
      <w:b w:val="0"/>
      <w:i/>
    </w:rPr>
  </w:style>
  <w:style w:type="paragraph" w:customStyle="1" w:styleId="AnnexNo">
    <w:name w:val="Annex_No"/>
    <w:basedOn w:val="Normal"/>
    <w:next w:val="Normal"/>
    <w:link w:val="AnnexNoCar"/>
    <w:rsid w:val="006960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6960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960BC"/>
  </w:style>
  <w:style w:type="paragraph" w:customStyle="1" w:styleId="Appendixtitle">
    <w:name w:val="Appendix_title"/>
    <w:basedOn w:val="Annextitle"/>
    <w:next w:val="Normal"/>
    <w:rsid w:val="006960BC"/>
  </w:style>
  <w:style w:type="paragraph" w:customStyle="1" w:styleId="Border">
    <w:name w:val="Border"/>
    <w:basedOn w:val="Normal"/>
    <w:rsid w:val="006960B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6960B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6960B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6960B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6960B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6960BC"/>
  </w:style>
  <w:style w:type="paragraph" w:customStyle="1" w:styleId="Normalaftertitle0">
    <w:name w:val="Normal after title"/>
    <w:basedOn w:val="Normal"/>
    <w:next w:val="Normal"/>
    <w:link w:val="NormalaftertitleChar0"/>
    <w:rsid w:val="006960B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6960B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6960BC"/>
    <w:rPr>
      <w:b w:val="0"/>
    </w:rPr>
  </w:style>
  <w:style w:type="paragraph" w:customStyle="1" w:styleId="TableTextS5">
    <w:name w:val="Table_TextS5"/>
    <w:basedOn w:val="Normal"/>
    <w:link w:val="TableTextS5Char"/>
    <w:rsid w:val="006960B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6960B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960B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960B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960BC"/>
  </w:style>
  <w:style w:type="paragraph" w:customStyle="1" w:styleId="Committee">
    <w:name w:val="Committee"/>
    <w:basedOn w:val="Normal"/>
    <w:qFormat/>
    <w:rsid w:val="006960B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6960B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960BC"/>
  </w:style>
  <w:style w:type="paragraph" w:customStyle="1" w:styleId="Subsection1">
    <w:name w:val="Subsection_1"/>
    <w:basedOn w:val="Section1"/>
    <w:next w:val="Normalaftertitle0"/>
    <w:qFormat/>
    <w:rsid w:val="006960BC"/>
  </w:style>
  <w:style w:type="paragraph" w:customStyle="1" w:styleId="Volumetitle">
    <w:name w:val="Volume_title"/>
    <w:basedOn w:val="Normal"/>
    <w:qFormat/>
    <w:rsid w:val="006960B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6960BC"/>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6960BC"/>
    <w:pPr>
      <w:spacing w:before="120" w:after="120"/>
    </w:pPr>
    <w:rPr>
      <w:lang w:eastAsia="en-US"/>
    </w:rPr>
  </w:style>
  <w:style w:type="character" w:customStyle="1" w:styleId="Title1Char">
    <w:name w:val="Title 1 Char"/>
    <w:link w:val="Title1"/>
    <w:locked/>
    <w:rsid w:val="006960BC"/>
    <w:rPr>
      <w:caps/>
      <w:sz w:val="28"/>
      <w:lang w:val="en-GB" w:eastAsia="en-US"/>
    </w:rPr>
  </w:style>
  <w:style w:type="character" w:customStyle="1" w:styleId="Title3Char">
    <w:name w:val="Title 3 Char"/>
    <w:basedOn w:val="DefaultParagraphFont"/>
    <w:link w:val="Title3"/>
    <w:locked/>
    <w:rsid w:val="006960BC"/>
    <w:rPr>
      <w:sz w:val="28"/>
      <w:lang w:val="en-GB" w:eastAsia="en-US"/>
    </w:rPr>
  </w:style>
  <w:style w:type="character" w:customStyle="1" w:styleId="NormalaftertitleChar0">
    <w:name w:val="Normal after title Char"/>
    <w:basedOn w:val="DefaultParagraphFont"/>
    <w:link w:val="Normalaftertitle0"/>
    <w:locked/>
    <w:rsid w:val="006960BC"/>
    <w:rPr>
      <w:sz w:val="24"/>
      <w:lang w:val="en-GB" w:eastAsia="en-US"/>
    </w:rPr>
  </w:style>
  <w:style w:type="character" w:customStyle="1" w:styleId="ArtNoChar">
    <w:name w:val="Art_No Char"/>
    <w:basedOn w:val="DefaultParagraphFont"/>
    <w:link w:val="ArtNo"/>
    <w:locked/>
    <w:rsid w:val="006960BC"/>
    <w:rPr>
      <w:sz w:val="28"/>
      <w:lang w:val="fr-FR" w:eastAsia="en-US"/>
    </w:rPr>
  </w:style>
  <w:style w:type="character" w:customStyle="1" w:styleId="Section1Char">
    <w:name w:val="Section_1 Char"/>
    <w:basedOn w:val="DefaultParagraphFont"/>
    <w:link w:val="Section1"/>
    <w:locked/>
    <w:rsid w:val="006960BC"/>
    <w:rPr>
      <w:b/>
      <w:sz w:val="24"/>
      <w:lang w:val="en-GB" w:eastAsia="en-US"/>
    </w:rPr>
  </w:style>
  <w:style w:type="character" w:customStyle="1" w:styleId="ProposalChar">
    <w:name w:val="Proposal Char"/>
    <w:basedOn w:val="DefaultParagraphFont"/>
    <w:link w:val="Proposal"/>
    <w:locked/>
    <w:rsid w:val="006960BC"/>
    <w:rPr>
      <w:rFonts w:hAnsi="Times New Roman Bold"/>
      <w:b/>
      <w:sz w:val="24"/>
      <w:lang w:val="en-GB" w:eastAsia="en-US"/>
    </w:rPr>
  </w:style>
  <w:style w:type="character" w:customStyle="1" w:styleId="TableTextS5Char">
    <w:name w:val="Table_TextS5 Char"/>
    <w:basedOn w:val="DefaultParagraphFont"/>
    <w:link w:val="TableTextS5"/>
    <w:rsid w:val="006960BC"/>
    <w:rPr>
      <w:lang w:val="en-GB" w:eastAsia="en-US"/>
    </w:rPr>
  </w:style>
  <w:style w:type="character" w:customStyle="1" w:styleId="SourceChar">
    <w:name w:val="Source Char"/>
    <w:link w:val="Source"/>
    <w:locked/>
    <w:rsid w:val="006960BC"/>
    <w:rPr>
      <w:b/>
      <w:sz w:val="28"/>
      <w:lang w:val="en-GB" w:eastAsia="en-US"/>
    </w:rPr>
  </w:style>
  <w:style w:type="paragraph" w:customStyle="1" w:styleId="Default">
    <w:name w:val="Default"/>
    <w:uiPriority w:val="99"/>
    <w:rsid w:val="006960BC"/>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6960BC"/>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34"/>
    <w:locked/>
    <w:rsid w:val="006960BC"/>
    <w:rPr>
      <w:rFonts w:eastAsia="Batang"/>
      <w:sz w:val="24"/>
      <w:lang w:val="en-GB" w:eastAsia="en-US"/>
    </w:rPr>
  </w:style>
  <w:style w:type="paragraph" w:styleId="NormalWeb">
    <w:name w:val="Normal (Web)"/>
    <w:basedOn w:val="Normal"/>
    <w:uiPriority w:val="99"/>
    <w:unhideWhenUsed/>
    <w:rsid w:val="006960BC"/>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locked/>
    <w:rsid w:val="006960BC"/>
    <w:rPr>
      <w:rFonts w:ascii="Times New Roman Bold" w:hAnsi="Times New Roman Bold"/>
      <w:b/>
      <w:sz w:val="28"/>
      <w:lang w:val="en-GB" w:eastAsia="en-US"/>
    </w:rPr>
  </w:style>
  <w:style w:type="character" w:customStyle="1" w:styleId="CommentTextChar1">
    <w:name w:val="Comment Text Char1"/>
    <w:basedOn w:val="DefaultParagraphFont"/>
    <w:semiHidden/>
    <w:rsid w:val="006960BC"/>
    <w:rPr>
      <w:rFonts w:ascii="Times New Roman" w:hAnsi="Times New Roman"/>
      <w:lang w:val="en-GB" w:eastAsia="en-US"/>
    </w:rPr>
  </w:style>
  <w:style w:type="character" w:customStyle="1" w:styleId="CommentSubjectChar1">
    <w:name w:val="Comment Subject Char1"/>
    <w:basedOn w:val="CommentTextChar1"/>
    <w:semiHidden/>
    <w:rsid w:val="006960BC"/>
    <w:rPr>
      <w:rFonts w:ascii="Times New Roman" w:hAnsi="Times New Roman"/>
      <w:b/>
      <w:bCs/>
      <w:lang w:val="en-GB" w:eastAsia="en-US"/>
    </w:rPr>
  </w:style>
  <w:style w:type="paragraph" w:styleId="Revision">
    <w:name w:val="Revision"/>
    <w:hidden/>
    <w:uiPriority w:val="99"/>
    <w:semiHidden/>
    <w:rsid w:val="006960BC"/>
    <w:rPr>
      <w:rFonts w:eastAsia="Batang"/>
      <w:sz w:val="24"/>
      <w:lang w:val="en-GB" w:eastAsia="en-US"/>
    </w:rPr>
  </w:style>
  <w:style w:type="table" w:customStyle="1" w:styleId="TableGrid1">
    <w:name w:val="Table Grid1"/>
    <w:basedOn w:val="TableNormal"/>
    <w:next w:val="TableGrid"/>
    <w:uiPriority w:val="99"/>
    <w:rsid w:val="006960BC"/>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legendChar">
    <w:name w:val="Equation_legend Char"/>
    <w:link w:val="Equationlegend"/>
    <w:locked/>
    <w:rsid w:val="006960BC"/>
    <w:rPr>
      <w:sz w:val="24"/>
      <w:lang w:eastAsia="en-US"/>
    </w:rPr>
  </w:style>
  <w:style w:type="character" w:customStyle="1" w:styleId="AnnexNoCar">
    <w:name w:val="Annex_No Car"/>
    <w:link w:val="AnnexNo"/>
    <w:locked/>
    <w:rsid w:val="006960BC"/>
    <w:rPr>
      <w:caps/>
      <w:sz w:val="28"/>
      <w:lang w:val="en-GB" w:eastAsia="en-US"/>
    </w:rPr>
  </w:style>
  <w:style w:type="character" w:customStyle="1" w:styleId="RecNoChar">
    <w:name w:val="Rec_No Char"/>
    <w:link w:val="RecNo"/>
    <w:locked/>
    <w:rsid w:val="006960BC"/>
    <w:rPr>
      <w:sz w:val="28"/>
      <w:lang w:val="fr-FR" w:eastAsia="en-US"/>
    </w:rPr>
  </w:style>
  <w:style w:type="paragraph" w:styleId="DocumentMap">
    <w:name w:val="Document Map"/>
    <w:basedOn w:val="Normal"/>
    <w:link w:val="DocumentMapChar"/>
    <w:rsid w:val="006960BC"/>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6960BC"/>
    <w:rPr>
      <w:rFonts w:ascii="Tahoma" w:eastAsia="Batang" w:hAnsi="Tahoma"/>
      <w:sz w:val="22"/>
      <w:shd w:val="clear" w:color="auto" w:fill="000080"/>
      <w:lang w:val="nb-NO" w:eastAsia="de-DE"/>
    </w:rPr>
  </w:style>
  <w:style w:type="paragraph" w:styleId="Title">
    <w:name w:val="Title"/>
    <w:basedOn w:val="Normal"/>
    <w:link w:val="TitleChar"/>
    <w:qFormat/>
    <w:rsid w:val="006960BC"/>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6960BC"/>
    <w:rPr>
      <w:rFonts w:ascii="Arial" w:eastAsia="Batang" w:hAnsi="Arial"/>
      <w:b/>
      <w:sz w:val="28"/>
      <w:lang w:val="de-DE" w:eastAsia="de-DE"/>
    </w:rPr>
  </w:style>
  <w:style w:type="paragraph" w:customStyle="1" w:styleId="Header1">
    <w:name w:val="Header1"/>
    <w:basedOn w:val="Header"/>
    <w:link w:val="HeaderZchnZchn"/>
    <w:rsid w:val="006960BC"/>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6960BC"/>
    <w:rPr>
      <w:rFonts w:ascii="Arial" w:eastAsia="Batang" w:hAnsi="Arial"/>
      <w:b/>
      <w:sz w:val="22"/>
      <w:lang w:val="nb-NO" w:eastAsia="de-DE"/>
    </w:rPr>
  </w:style>
  <w:style w:type="paragraph" w:customStyle="1" w:styleId="TableHead0">
    <w:name w:val="Table_Head"/>
    <w:basedOn w:val="Tabletext"/>
    <w:uiPriority w:val="99"/>
    <w:rsid w:val="006960BC"/>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6960BC"/>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6960BC"/>
    <w:rPr>
      <w:rFonts w:eastAsia="SimSun"/>
      <w:sz w:val="24"/>
      <w:szCs w:val="24"/>
      <w:lang w:eastAsia="en-US"/>
    </w:rPr>
  </w:style>
  <w:style w:type="paragraph" w:styleId="BodyText">
    <w:name w:val="Body Text"/>
    <w:basedOn w:val="Normal"/>
    <w:link w:val="BodyTextChar"/>
    <w:uiPriority w:val="99"/>
    <w:rsid w:val="006960BC"/>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6960BC"/>
    <w:rPr>
      <w:rFonts w:eastAsia="MS Mincho"/>
      <w:kern w:val="2"/>
      <w:sz w:val="22"/>
      <w:szCs w:val="24"/>
      <w:lang w:eastAsia="ja-JP"/>
    </w:rPr>
  </w:style>
  <w:style w:type="character" w:customStyle="1" w:styleId="AnnexNoTitleChar1">
    <w:name w:val="Annex_NoTitle Char1"/>
    <w:locked/>
    <w:rsid w:val="006960BC"/>
    <w:rPr>
      <w:b/>
      <w:sz w:val="28"/>
      <w:lang w:val="fr-FR" w:eastAsia="en-US"/>
    </w:rPr>
  </w:style>
  <w:style w:type="paragraph" w:customStyle="1" w:styleId="RecNoBR">
    <w:name w:val="Rec_No_BR"/>
    <w:basedOn w:val="Normal"/>
    <w:next w:val="Normal"/>
    <w:uiPriority w:val="99"/>
    <w:rsid w:val="006960BC"/>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6960B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6960BC"/>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6960BC"/>
    <w:rPr>
      <w:rFonts w:eastAsia="Batang"/>
      <w:sz w:val="16"/>
      <w:szCs w:val="16"/>
      <w:lang w:val="en-GB" w:eastAsia="en-US"/>
    </w:rPr>
  </w:style>
  <w:style w:type="paragraph" w:customStyle="1" w:styleId="ECCParagraph">
    <w:name w:val="ECC Paragraph"/>
    <w:basedOn w:val="Normal"/>
    <w:uiPriority w:val="99"/>
    <w:rsid w:val="006960BC"/>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6960BC"/>
  </w:style>
  <w:style w:type="table" w:customStyle="1" w:styleId="TableGrid2">
    <w:name w:val="Table Grid2"/>
    <w:basedOn w:val="TableNormal"/>
    <w:next w:val="TableGrid"/>
    <w:uiPriority w:val="59"/>
    <w:rsid w:val="006960BC"/>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6960BC"/>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6960BC"/>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6960B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6960BC"/>
    <w:rPr>
      <w:rFonts w:ascii="Times" w:eastAsia="Batang" w:hAnsi="Times"/>
      <w:szCs w:val="24"/>
      <w:lang w:eastAsia="en-US"/>
    </w:rPr>
  </w:style>
  <w:style w:type="character" w:customStyle="1" w:styleId="apple-style-span">
    <w:name w:val="apple-style-span"/>
    <w:uiPriority w:val="99"/>
    <w:rsid w:val="006960BC"/>
  </w:style>
  <w:style w:type="character" w:customStyle="1" w:styleId="info2">
    <w:name w:val="info2"/>
    <w:basedOn w:val="DefaultParagraphFont"/>
    <w:rsid w:val="006960BC"/>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6960BC"/>
    <w:rPr>
      <w:rFonts w:cs="Times New Roman"/>
      <w:b/>
    </w:rPr>
  </w:style>
  <w:style w:type="table" w:customStyle="1" w:styleId="GridTable4-Accent11">
    <w:name w:val="Grid Table 4 - Accent 11"/>
    <w:basedOn w:val="TableNormal"/>
    <w:uiPriority w:val="49"/>
    <w:rsid w:val="006960BC"/>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6960B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6960BC"/>
    <w:rPr>
      <w:rFonts w:ascii="Courier New" w:hAnsi="Courier New" w:cs="Courier New"/>
      <w:lang w:val="ru-RU" w:eastAsia="ru-RU"/>
    </w:rPr>
  </w:style>
  <w:style w:type="character" w:customStyle="1" w:styleId="yt-dictionary-meaning">
    <w:name w:val="yt-dictionary-meaning"/>
    <w:basedOn w:val="DefaultParagraphFont"/>
    <w:rsid w:val="006960BC"/>
  </w:style>
  <w:style w:type="character" w:customStyle="1" w:styleId="hps">
    <w:name w:val="hps"/>
    <w:basedOn w:val="DefaultParagraphFont"/>
    <w:rsid w:val="006960BC"/>
  </w:style>
  <w:style w:type="character" w:customStyle="1" w:styleId="1">
    <w:name w:val="Заголовок 1 Знак"/>
    <w:basedOn w:val="DefaultParagraphFont"/>
    <w:rsid w:val="006960BC"/>
    <w:rPr>
      <w:rFonts w:ascii="Times New Roman" w:hAnsi="Times New Roman"/>
      <w:b/>
      <w:sz w:val="28"/>
      <w:lang w:val="en-GB" w:eastAsia="en-US"/>
    </w:rPr>
  </w:style>
  <w:style w:type="character" w:customStyle="1" w:styleId="2">
    <w:name w:val="Заголовок 2 Знак"/>
    <w:basedOn w:val="DefaultParagraphFont"/>
    <w:uiPriority w:val="99"/>
    <w:rsid w:val="006960BC"/>
    <w:rPr>
      <w:rFonts w:ascii="Times New Roman" w:hAnsi="Times New Roman"/>
      <w:b/>
      <w:sz w:val="24"/>
      <w:lang w:val="en-GB" w:eastAsia="en-US"/>
    </w:rPr>
  </w:style>
  <w:style w:type="character" w:customStyle="1" w:styleId="shorttext">
    <w:name w:val="short_text"/>
    <w:basedOn w:val="DefaultParagraphFont"/>
    <w:rsid w:val="006960BC"/>
  </w:style>
  <w:style w:type="table" w:styleId="LightGrid-Accent1">
    <w:name w:val="Light Grid Accent 1"/>
    <w:basedOn w:val="TableNormal"/>
    <w:uiPriority w:val="62"/>
    <w:rsid w:val="006960BC"/>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6960B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960B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960BC"/>
    <w:rPr>
      <w:rFonts w:ascii="Times New Roman" w:hAnsi="Times New Roman"/>
      <w:b w:val="0"/>
    </w:rPr>
  </w:style>
  <w:style w:type="paragraph" w:customStyle="1" w:styleId="Tablesplit">
    <w:name w:val="Table_split"/>
    <w:basedOn w:val="Tabletext"/>
    <w:qFormat/>
    <w:rsid w:val="006960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960B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960B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960B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960B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960BC"/>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6960BC"/>
    <w:rPr>
      <w:color w:val="605E5C"/>
      <w:shd w:val="clear" w:color="auto" w:fill="E1DFDD"/>
    </w:rPr>
  </w:style>
  <w:style w:type="paragraph" w:customStyle="1" w:styleId="EditorsNote">
    <w:name w:val="EditorsNote"/>
    <w:basedOn w:val="Normal"/>
    <w:rsid w:val="006960BC"/>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6960BC"/>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6960BC"/>
  </w:style>
  <w:style w:type="paragraph" w:styleId="Signature">
    <w:name w:val="Signature"/>
    <w:basedOn w:val="Normal"/>
    <w:link w:val="SignatureChar"/>
    <w:unhideWhenUsed/>
    <w:rsid w:val="006960BC"/>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6960BC"/>
    <w:rPr>
      <w:rFonts w:eastAsia="MS Mincho"/>
      <w:sz w:val="24"/>
      <w:lang w:val="en-GB" w:eastAsia="en-US"/>
    </w:rPr>
  </w:style>
  <w:style w:type="character" w:customStyle="1" w:styleId="10">
    <w:name w:val="未解決のメンション1"/>
    <w:basedOn w:val="DefaultParagraphFont"/>
    <w:uiPriority w:val="99"/>
    <w:semiHidden/>
    <w:unhideWhenUsed/>
    <w:rsid w:val="006960BC"/>
    <w:rPr>
      <w:color w:val="605E5C"/>
      <w:shd w:val="clear" w:color="auto" w:fill="E1DFDD"/>
    </w:rPr>
  </w:style>
  <w:style w:type="paragraph" w:styleId="Date">
    <w:name w:val="Date"/>
    <w:basedOn w:val="Normal"/>
    <w:next w:val="Normal"/>
    <w:link w:val="DateChar"/>
    <w:rsid w:val="006960BC"/>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6960BC"/>
    <w:rPr>
      <w:rFonts w:eastAsia="MS Mincho"/>
      <w:sz w:val="24"/>
      <w:lang w:val="en-GB" w:eastAsia="en-US"/>
    </w:rPr>
  </w:style>
  <w:style w:type="table" w:customStyle="1" w:styleId="9">
    <w:name w:val="表 (格子)9"/>
    <w:basedOn w:val="TableNormal"/>
    <w:next w:val="TableGrid"/>
    <w:uiPriority w:val="59"/>
    <w:rsid w:val="006960BC"/>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6960BC"/>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960BC"/>
    <w:rPr>
      <w:color w:val="605E5C"/>
      <w:shd w:val="clear" w:color="auto" w:fill="E1DFDD"/>
    </w:rPr>
  </w:style>
  <w:style w:type="paragraph" w:styleId="EndnoteText">
    <w:name w:val="endnote text"/>
    <w:basedOn w:val="Normal"/>
    <w:link w:val="EndnoteTextChar"/>
    <w:semiHidden/>
    <w:unhideWhenUsed/>
    <w:rsid w:val="006960BC"/>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6960BC"/>
    <w:rPr>
      <w:rFonts w:eastAsia="MS Mincho"/>
      <w:lang w:val="en-GB" w:eastAsia="en-US"/>
    </w:rPr>
  </w:style>
  <w:style w:type="paragraph" w:customStyle="1" w:styleId="Figurewithlegend">
    <w:name w:val="Figure_with_legend"/>
    <w:basedOn w:val="Figure"/>
    <w:rsid w:val="006960BC"/>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6960BC"/>
    <w:rPr>
      <w:caps/>
      <w:sz w:val="18"/>
      <w:lang w:val="fr-FR" w:eastAsia="en-US"/>
    </w:rPr>
  </w:style>
  <w:style w:type="paragraph" w:customStyle="1" w:styleId="Tablehead10pt">
    <w:name w:val="Table_head + 10 pt"/>
    <w:basedOn w:val="Tablehead"/>
    <w:rsid w:val="006960BC"/>
    <w:rPr>
      <w:rFonts w:ascii="CG Times" w:hAnsi="CG Times"/>
      <w:bCs/>
      <w:sz w:val="20"/>
    </w:rPr>
  </w:style>
  <w:style w:type="paragraph" w:customStyle="1" w:styleId="Tabletext10pt">
    <w:name w:val="Table_text + 10 pt"/>
    <w:basedOn w:val="Tabletext"/>
    <w:rsid w:val="006960BC"/>
    <w:rPr>
      <w:rFonts w:ascii="CG Times" w:hAnsi="CG Times"/>
      <w:sz w:val="20"/>
    </w:rPr>
  </w:style>
  <w:style w:type="character" w:customStyle="1" w:styleId="ECCHLbold">
    <w:name w:val="ECC HL bold"/>
    <w:uiPriority w:val="1"/>
    <w:qFormat/>
    <w:rsid w:val="006960B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P.1546/es" TargetMode="External"/><Relationship Id="rId18" Type="http://schemas.openxmlformats.org/officeDocument/2006/relationships/hyperlink" Target="https://www.itu.int/rec/R-REC-P.1812/es" TargetMode="External"/><Relationship Id="rId26" Type="http://schemas.openxmlformats.org/officeDocument/2006/relationships/hyperlink" Target="https://www.itu.int/rec/R-REC-P.1546/es" TargetMode="External"/><Relationship Id="rId3" Type="http://schemas.openxmlformats.org/officeDocument/2006/relationships/settings" Target="settings.xml"/><Relationship Id="rId21" Type="http://schemas.openxmlformats.org/officeDocument/2006/relationships/hyperlink" Target="https://www.itu.int/rec/R-REC-P.1546/es" TargetMode="Externa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P.1546/es"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tu.int/rec/R-REC-SM.1875/es" TargetMode="External"/><Relationship Id="rId20" Type="http://schemas.openxmlformats.org/officeDocument/2006/relationships/hyperlink" Target="https://www.itu.int/rec/R-REC-V.573/es"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itu.int/rec/R-REC-SM.1875/es"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rec/R-REC-P.525/es" TargetMode="External"/><Relationship Id="rId23" Type="http://schemas.openxmlformats.org/officeDocument/2006/relationships/hyperlink" Target="https://www.itu.int/rec/R-REC-P.525/es" TargetMode="External"/><Relationship Id="rId28" Type="http://schemas.openxmlformats.org/officeDocument/2006/relationships/image" Target="media/image5.jpeg"/><Relationship Id="rId10" Type="http://schemas.openxmlformats.org/officeDocument/2006/relationships/hyperlink" Target="http://www.itu.int/publ/R-REP/es" TargetMode="External"/><Relationship Id="rId19" Type="http://schemas.openxmlformats.org/officeDocument/2006/relationships/image" Target="media/image2.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rec/R-REC-P.1812/es" TargetMode="External"/><Relationship Id="rId22" Type="http://schemas.openxmlformats.org/officeDocument/2006/relationships/hyperlink" Target="https://www.itu.int/rec/R-REC-P.1812/es" TargetMode="External"/><Relationship Id="rId27" Type="http://schemas.openxmlformats.org/officeDocument/2006/relationships/image" Target="media/image4.jpeg"/><Relationship Id="rId30" Type="http://schemas.openxmlformats.org/officeDocument/2006/relationships/header" Target="header5.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361</TotalTime>
  <Pages>16</Pages>
  <Words>4904</Words>
  <Characters>28621</Characters>
  <Application>Microsoft Office Word</Application>
  <DocSecurity>0</DocSecurity>
  <Lines>238</Lines>
  <Paragraphs>66</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33459</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Catalano Moreira, Rossana</cp:lastModifiedBy>
  <cp:revision>27</cp:revision>
  <cp:lastPrinted>2023-07-19T13:26:00Z</cp:lastPrinted>
  <dcterms:created xsi:type="dcterms:W3CDTF">2023-07-17T10:04:00Z</dcterms:created>
  <dcterms:modified xsi:type="dcterms:W3CDTF">2023-07-19T13:39:00Z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