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F09" w:rsidRPr="007152AA" w:rsidRDefault="008427B4" w:rsidP="00AB6727">
      <w:pPr>
        <w:pStyle w:val="ResNo"/>
      </w:pPr>
      <w:bookmarkStart w:id="0" w:name="_GoBack"/>
      <w:bookmarkEnd w:id="0"/>
      <w:r w:rsidRPr="007152AA">
        <w:t>Resolution ITU</w:t>
      </w:r>
      <w:r w:rsidRPr="007152AA">
        <w:noBreakHyphen/>
        <w:t>R 15-</w:t>
      </w:r>
      <w:r w:rsidR="00AB6727" w:rsidRPr="007152AA">
        <w:t>5</w:t>
      </w:r>
    </w:p>
    <w:p w:rsidR="00985C30" w:rsidRPr="007152AA" w:rsidRDefault="008427B4" w:rsidP="008427B4">
      <w:pPr>
        <w:pStyle w:val="Restitle"/>
      </w:pPr>
      <w:r w:rsidRPr="007152AA">
        <w:t>Appointment and maximum term of office for Chairmen and Vice</w:t>
      </w:r>
      <w:r w:rsidRPr="007152AA">
        <w:noBreakHyphen/>
        <w:t xml:space="preserve">Chairmen of </w:t>
      </w:r>
      <w:r w:rsidR="00AB6727" w:rsidRPr="007152AA">
        <w:br/>
      </w:r>
      <w:r w:rsidRPr="007152AA">
        <w:t xml:space="preserve">Radiocommunication Study Groups, the Coordination Committee for </w:t>
      </w:r>
      <w:r w:rsidR="00AB6727" w:rsidRPr="007152AA">
        <w:br/>
      </w:r>
      <w:r w:rsidRPr="007152AA">
        <w:t>Vocabulary and of the Radiocommunication Advisory Group</w:t>
      </w:r>
    </w:p>
    <w:p w:rsidR="00FB38D9" w:rsidRPr="007152AA" w:rsidRDefault="008427B4" w:rsidP="00701AFF">
      <w:pPr>
        <w:pStyle w:val="Resdate"/>
        <w:rPr>
          <w:rStyle w:val="Resdef"/>
        </w:rPr>
      </w:pPr>
      <w:bookmarkStart w:id="1" w:name="dbreak"/>
      <w:bookmarkStart w:id="2" w:name="_Toc180532854"/>
      <w:bookmarkStart w:id="3" w:name="_Toc180537885"/>
      <w:bookmarkEnd w:id="1"/>
      <w:r w:rsidRPr="007152AA">
        <w:t xml:space="preserve"> </w:t>
      </w:r>
      <w:r w:rsidR="00FB38D9" w:rsidRPr="007152AA">
        <w:t>(1993-1995-1997-2000-2007</w:t>
      </w:r>
      <w:r w:rsidRPr="007152AA">
        <w:t>-2012</w:t>
      </w:r>
      <w:r w:rsidR="00FB38D9" w:rsidRPr="007152AA">
        <w:t>)</w:t>
      </w:r>
    </w:p>
    <w:p w:rsidR="00FB38D9" w:rsidRPr="007152AA" w:rsidRDefault="00FB38D9" w:rsidP="00701AFF">
      <w:pPr>
        <w:pStyle w:val="Normalaftertitle"/>
      </w:pPr>
      <w:r w:rsidRPr="007152AA">
        <w:t>The ITU Radiocommunication Assembly,</w:t>
      </w:r>
    </w:p>
    <w:p w:rsidR="00FB38D9" w:rsidRPr="007152AA" w:rsidRDefault="00FB38D9" w:rsidP="00701AFF">
      <w:pPr>
        <w:pStyle w:val="Call"/>
      </w:pPr>
      <w:r w:rsidRPr="007152AA">
        <w:t>considering</w:t>
      </w:r>
    </w:p>
    <w:p w:rsidR="00FB38D9" w:rsidRPr="007152AA" w:rsidRDefault="00FB38D9" w:rsidP="00E607C4">
      <w:r w:rsidRPr="007152AA">
        <w:rPr>
          <w:i/>
          <w:iCs/>
        </w:rPr>
        <w:t>a)</w:t>
      </w:r>
      <w:r w:rsidRPr="007152AA">
        <w:tab/>
        <w:t xml:space="preserve">that </w:t>
      </w:r>
      <w:r w:rsidR="00E607C4" w:rsidRPr="007152AA">
        <w:t>Article </w:t>
      </w:r>
      <w:r w:rsidRPr="007152AA">
        <w:t>12 of the ITU Constitution sets out the functions and structure of the Radiocommunication Sector</w:t>
      </w:r>
      <w:r w:rsidR="00AB6727" w:rsidRPr="007152AA">
        <w:t>,</w:t>
      </w:r>
      <w:r w:rsidRPr="007152AA">
        <w:t xml:space="preserve"> including references in </w:t>
      </w:r>
      <w:r w:rsidR="00E607C4" w:rsidRPr="007152AA">
        <w:t>Nos. </w:t>
      </w:r>
      <w:r w:rsidRPr="007152AA">
        <w:t>84 and 84A to work through Study Groups and the Radiocommunication Advisory Group;</w:t>
      </w:r>
    </w:p>
    <w:p w:rsidR="00FB38D9" w:rsidRPr="007152AA" w:rsidRDefault="00FB38D9" w:rsidP="00AB6727">
      <w:r w:rsidRPr="007152AA">
        <w:rPr>
          <w:i/>
          <w:iCs/>
        </w:rPr>
        <w:t>b)</w:t>
      </w:r>
      <w:r w:rsidRPr="007152AA">
        <w:tab/>
        <w:t>that No. 133 and No. 148 of the Convention provide for the establishment of Radiocommunication Study Groups;</w:t>
      </w:r>
    </w:p>
    <w:p w:rsidR="00FB38D9" w:rsidRPr="007152AA" w:rsidRDefault="00FB38D9" w:rsidP="00701AFF">
      <w:r w:rsidRPr="007152AA">
        <w:rPr>
          <w:i/>
          <w:iCs/>
        </w:rPr>
        <w:t>c)</w:t>
      </w:r>
      <w:r w:rsidRPr="007152AA">
        <w:tab/>
        <w:t>that No. 149 of the Convention and other related provisions indicate the nature of the work of the Study Groups;</w:t>
      </w:r>
    </w:p>
    <w:p w:rsidR="00FB38D9" w:rsidRPr="007152AA" w:rsidRDefault="00FB38D9" w:rsidP="00701AFF">
      <w:r w:rsidRPr="007152AA">
        <w:rPr>
          <w:i/>
          <w:iCs/>
        </w:rPr>
        <w:t>d)</w:t>
      </w:r>
      <w:r w:rsidRPr="007152AA">
        <w:tab/>
        <w:t>that No. 242 of the Convention requires the Radiocommunication Assembly to appoint Chairmen and Vice-Chairmen of Study Groups, taking account of competence and equitable geographical distribution and the need to promote more efficient participation by the developing countries;</w:t>
      </w:r>
    </w:p>
    <w:p w:rsidR="00FB38D9" w:rsidRPr="007152AA" w:rsidRDefault="00FB38D9" w:rsidP="00701AFF">
      <w:r w:rsidRPr="007152AA">
        <w:rPr>
          <w:i/>
          <w:iCs/>
        </w:rPr>
        <w:t>e)</w:t>
      </w:r>
      <w:r w:rsidRPr="007152AA">
        <w:tab/>
        <w:t>that a specific time-limit on the term of office would permit the introduction of new ideas on a periodic basis, while at the same time give an opportunity for Study Group Chairmen and Vice</w:t>
      </w:r>
      <w:r w:rsidRPr="007152AA">
        <w:noBreakHyphen/>
        <w:t>Chairmen to be appointed from different Member States;</w:t>
      </w:r>
    </w:p>
    <w:p w:rsidR="00FB38D9" w:rsidRPr="007152AA" w:rsidRDefault="00FB38D9" w:rsidP="00701AFF">
      <w:r w:rsidRPr="007152AA">
        <w:rPr>
          <w:i/>
          <w:iCs/>
        </w:rPr>
        <w:t>f)</w:t>
      </w:r>
      <w:r w:rsidRPr="007152AA">
        <w:tab/>
        <w:t>that No. 244 of the Convention provides a procedure for a Study Group to elect a Chairman in the interval between two assemblies or conferences when a Chairman is unable to carry out his duties;</w:t>
      </w:r>
    </w:p>
    <w:p w:rsidR="00FB38D9" w:rsidRPr="007152AA" w:rsidRDefault="00FB38D9" w:rsidP="00DD52D7">
      <w:r w:rsidRPr="007152AA">
        <w:rPr>
          <w:i/>
          <w:iCs/>
        </w:rPr>
        <w:t>g)</w:t>
      </w:r>
      <w:r w:rsidRPr="007152AA">
        <w:tab/>
        <w:t xml:space="preserve">that provisions for the Radiocommunication Advisory Group (RAG) have been incorporated into </w:t>
      </w:r>
      <w:r w:rsidR="00E607C4" w:rsidRPr="007152AA">
        <w:t>Article </w:t>
      </w:r>
      <w:r w:rsidRPr="007152AA">
        <w:t>11A of the Convention;</w:t>
      </w:r>
    </w:p>
    <w:p w:rsidR="00FB38D9" w:rsidRPr="007152AA" w:rsidRDefault="00FB38D9" w:rsidP="00DD52D7">
      <w:r w:rsidRPr="007152AA">
        <w:rPr>
          <w:i/>
          <w:iCs/>
        </w:rPr>
        <w:t>h)</w:t>
      </w:r>
      <w:r w:rsidRPr="007152AA">
        <w:tab/>
        <w:t>that No. 160G of the Convention states that RAG shall adopt its own working procedures compatible with those adopted by the Radiocommunication Assembly,</w:t>
      </w:r>
    </w:p>
    <w:p w:rsidR="00FB38D9" w:rsidRPr="007152AA" w:rsidRDefault="00FB38D9" w:rsidP="00736A62">
      <w:pPr>
        <w:pStyle w:val="Call"/>
      </w:pPr>
      <w:r w:rsidRPr="007152AA">
        <w:t>pursuant to</w:t>
      </w:r>
    </w:p>
    <w:p w:rsidR="00FB38D9" w:rsidRPr="007152AA" w:rsidRDefault="00FB38D9" w:rsidP="00736A62">
      <w:r w:rsidRPr="007152AA">
        <w:t xml:space="preserve">Resolution 166 (Guadalajara, 2010) of the Plenipotentiary Conference, on the number of Vice-Chairmen of Sector Advisory Groups, Study Groups and other groups, </w:t>
      </w:r>
    </w:p>
    <w:p w:rsidR="00FB38D9" w:rsidRPr="007152AA" w:rsidRDefault="00FB38D9" w:rsidP="00736A62">
      <w:pPr>
        <w:pStyle w:val="Call"/>
      </w:pPr>
      <w:r w:rsidRPr="007152AA">
        <w:t>noting</w:t>
      </w:r>
    </w:p>
    <w:p w:rsidR="00FB38D9" w:rsidRPr="007152AA" w:rsidRDefault="00FB38D9" w:rsidP="00DD52D7">
      <w:pPr>
        <w:rPr>
          <w:i/>
          <w:iCs/>
        </w:rPr>
      </w:pPr>
      <w:r w:rsidRPr="007152AA">
        <w:rPr>
          <w:i/>
          <w:iCs/>
        </w:rPr>
        <w:t>a)</w:t>
      </w:r>
      <w:r w:rsidRPr="007152AA">
        <w:rPr>
          <w:i/>
          <w:iCs/>
        </w:rPr>
        <w:tab/>
      </w:r>
      <w:r w:rsidR="00E607C4" w:rsidRPr="007152AA">
        <w:t>Article </w:t>
      </w:r>
      <w:r w:rsidRPr="007152AA">
        <w:t>19 of the Convention “Participation of Entities and Organizations in the Union’s Activities”;</w:t>
      </w:r>
    </w:p>
    <w:p w:rsidR="00FB38D9" w:rsidRPr="007152AA" w:rsidRDefault="00FB38D9">
      <w:r w:rsidRPr="007152AA">
        <w:rPr>
          <w:i/>
          <w:iCs/>
        </w:rPr>
        <w:t>b)</w:t>
      </w:r>
      <w:r w:rsidRPr="007152AA">
        <w:rPr>
          <w:i/>
          <w:iCs/>
        </w:rPr>
        <w:tab/>
      </w:r>
      <w:r w:rsidRPr="007152AA">
        <w:t>Resolution 58 (Rev. Guadalajara, 2010) of the Plenipotentiary Conference</w:t>
      </w:r>
      <w:r w:rsidR="00AB6727" w:rsidRPr="007152AA">
        <w:t>,</w:t>
      </w:r>
      <w:r w:rsidRPr="007152AA">
        <w:t xml:space="preserve"> on strengthening of relations between ITU and regional telecommunication organizations and regional preparations for the Plenipotentiary Conference;</w:t>
      </w:r>
    </w:p>
    <w:p w:rsidR="00FB38D9" w:rsidRPr="007152AA" w:rsidRDefault="00FB38D9" w:rsidP="00AB6727">
      <w:r w:rsidRPr="007152AA">
        <w:rPr>
          <w:i/>
          <w:iCs/>
        </w:rPr>
        <w:t>c)</w:t>
      </w:r>
      <w:r w:rsidRPr="007152AA">
        <w:rPr>
          <w:i/>
          <w:iCs/>
        </w:rPr>
        <w:tab/>
      </w:r>
      <w:r w:rsidRPr="007152AA">
        <w:t>in particular</w:t>
      </w:r>
      <w:r w:rsidR="00AB6727" w:rsidRPr="007152AA">
        <w:t>,</w:t>
      </w:r>
      <w:r w:rsidRPr="007152AA">
        <w:t xml:space="preserve"> </w:t>
      </w:r>
      <w:r w:rsidRPr="007152AA">
        <w:rPr>
          <w:i/>
          <w:iCs/>
        </w:rPr>
        <w:t>resolves</w:t>
      </w:r>
      <w:r w:rsidR="00E607C4" w:rsidRPr="007152AA">
        <w:t> </w:t>
      </w:r>
      <w:r w:rsidRPr="007152AA">
        <w:t>2 of Resolution 58 (Rev. Guadalajara, 2010);</w:t>
      </w:r>
    </w:p>
    <w:p w:rsidR="00FB38D9" w:rsidRPr="007152AA" w:rsidRDefault="00FB38D9" w:rsidP="00AB6727">
      <w:r w:rsidRPr="007152AA">
        <w:rPr>
          <w:i/>
          <w:iCs/>
        </w:rPr>
        <w:lastRenderedPageBreak/>
        <w:t>d)</w:t>
      </w:r>
      <w:r w:rsidRPr="007152AA">
        <w:rPr>
          <w:i/>
          <w:iCs/>
        </w:rPr>
        <w:tab/>
      </w:r>
      <w:r w:rsidRPr="007152AA">
        <w:t>Resolution ITU</w:t>
      </w:r>
      <w:r w:rsidRPr="007152AA">
        <w:noBreakHyphen/>
        <w:t>R 48, on strengthening the regional presence in radiocommunication study group work,</w:t>
      </w:r>
    </w:p>
    <w:p w:rsidR="00FB38D9" w:rsidRPr="007152AA" w:rsidRDefault="00FB38D9" w:rsidP="00701AFF">
      <w:pPr>
        <w:pStyle w:val="Call"/>
      </w:pPr>
      <w:r w:rsidRPr="007152AA">
        <w:t>taking into account</w:t>
      </w:r>
    </w:p>
    <w:p w:rsidR="00FB38D9" w:rsidRPr="007152AA" w:rsidRDefault="00AB6727" w:rsidP="00AB6727">
      <w:r w:rsidRPr="007152AA">
        <w:rPr>
          <w:i/>
          <w:iCs/>
        </w:rPr>
        <w:t>a)</w:t>
      </w:r>
      <w:r w:rsidRPr="007152AA">
        <w:tab/>
      </w:r>
      <w:r w:rsidR="00FB38D9" w:rsidRPr="007152AA">
        <w:t>that a maximum time in office of two terms for Chairmen and Vice-Chairmen for the Study Groups, the Coordination Committee for Vocabulary (CCV) and RAG (hereinafter referred to as Chairmen and Vice-Chairmen) provides for a reasonable amount of stability while providing the opportunity for different individuals to serve in these capacities</w:t>
      </w:r>
      <w:r w:rsidRPr="007152AA">
        <w:t>;</w:t>
      </w:r>
    </w:p>
    <w:p w:rsidR="00FB38D9" w:rsidRPr="007152AA" w:rsidRDefault="00AB6727" w:rsidP="00701AFF">
      <w:r w:rsidRPr="007152AA">
        <w:rPr>
          <w:i/>
          <w:iCs/>
        </w:rPr>
        <w:t>b)</w:t>
      </w:r>
      <w:r w:rsidRPr="007152AA">
        <w:tab/>
      </w:r>
      <w:r w:rsidR="00FB38D9" w:rsidRPr="007152AA">
        <w:t xml:space="preserve">item 6) under </w:t>
      </w:r>
      <w:r w:rsidR="00FB38D9" w:rsidRPr="007152AA">
        <w:rPr>
          <w:i/>
          <w:iCs/>
        </w:rPr>
        <w:t>resolves</w:t>
      </w:r>
      <w:r w:rsidR="00FB38D9" w:rsidRPr="007152AA">
        <w:t xml:space="preserve"> in Resolution 166 (Guadalajara, 2010), concerning the application of the guidelines mentioned in that resolution, to the extent practicable, to the Conference Preparatory Meeting (CPM) and Special Committee on Regulatory/Procedural Matters (SC</w:t>
      </w:r>
      <w:r w:rsidR="00FB38D9" w:rsidRPr="007152AA">
        <w:noBreakHyphen/>
        <w:t>RPM) in ITU</w:t>
      </w:r>
      <w:r w:rsidR="00FB38D9" w:rsidRPr="007152AA">
        <w:noBreakHyphen/>
        <w:t>R,</w:t>
      </w:r>
    </w:p>
    <w:p w:rsidR="00FB38D9" w:rsidRPr="007152AA" w:rsidRDefault="00FB38D9" w:rsidP="00701AFF">
      <w:pPr>
        <w:pStyle w:val="Call"/>
      </w:pPr>
      <w:r w:rsidRPr="007152AA">
        <w:t>resolves</w:t>
      </w:r>
    </w:p>
    <w:p w:rsidR="00FB38D9" w:rsidRPr="007152AA" w:rsidRDefault="00FB38D9" w:rsidP="00AB6727">
      <w:r w:rsidRPr="007152AA">
        <w:t>1</w:t>
      </w:r>
      <w:r w:rsidRPr="007152AA">
        <w:tab/>
        <w:t xml:space="preserve">that candidates for the posts of Chairmen and Vice-Chairmen should be identified, by Member States of ITU and by Radiocommunication Sector Members; the procedures to be followed should be as given in Annex 1, in particular </w:t>
      </w:r>
      <w:r w:rsidR="00AB6727" w:rsidRPr="007152AA">
        <w:t>§ </w:t>
      </w:r>
      <w:r w:rsidRPr="007152AA">
        <w:t>3; the qualifications required for such posts are given in Annex 2</w:t>
      </w:r>
      <w:r w:rsidR="00AB6727" w:rsidRPr="007152AA">
        <w:t>,</w:t>
      </w:r>
      <w:r w:rsidRPr="007152AA">
        <w:t xml:space="preserve"> and the guidelines for appointment of the optimum numbers of Vice-Chairmen of the Radiocommunication Study Groups, Coordination Committee for Vocabulary and Radiocommunication Advisory Group are given in Annex</w:t>
      </w:r>
      <w:r w:rsidR="00AB6727" w:rsidRPr="007152AA">
        <w:t> </w:t>
      </w:r>
      <w:r w:rsidRPr="007152AA">
        <w:t>3;</w:t>
      </w:r>
    </w:p>
    <w:p w:rsidR="00FB38D9" w:rsidRPr="007152AA" w:rsidRDefault="00FB38D9" w:rsidP="00701AFF">
      <w:r w:rsidRPr="007152AA">
        <w:t>2</w:t>
      </w:r>
      <w:r w:rsidRPr="007152AA">
        <w:tab/>
        <w:t>that candidates for the posts of Chairmen and Vice-Chairmen should be identified, taking into account that for each post the Assembly will appoint the Chairman and those Vice-Chairmen deemed necessary;</w:t>
      </w:r>
    </w:p>
    <w:p w:rsidR="00FB38D9" w:rsidRPr="007152AA" w:rsidRDefault="00FB38D9" w:rsidP="00AB6727">
      <w:r w:rsidRPr="007152AA">
        <w:t>3</w:t>
      </w:r>
      <w:r w:rsidRPr="007152AA">
        <w:tab/>
        <w:t>that nominations for the posts of Chairmen and Vice-Chairmen should be accompanied by a biographical profile highlighting the qualifications of the individuals proposed</w:t>
      </w:r>
      <w:r w:rsidRPr="007152AA">
        <w:rPr>
          <w:iCs/>
        </w:rPr>
        <w:t>, including the information requested in Annex</w:t>
      </w:r>
      <w:r w:rsidR="00AB6727" w:rsidRPr="007152AA">
        <w:rPr>
          <w:iCs/>
        </w:rPr>
        <w:t> </w:t>
      </w:r>
      <w:r w:rsidRPr="007152AA">
        <w:rPr>
          <w:iCs/>
        </w:rPr>
        <w:t>2</w:t>
      </w:r>
      <w:r w:rsidRPr="007152AA">
        <w:t>; the Director will circulate the profiles to the Heads of Delegation present at the Assembly;</w:t>
      </w:r>
    </w:p>
    <w:p w:rsidR="00FB38D9" w:rsidRPr="007152AA" w:rsidRDefault="00FB38D9" w:rsidP="003249F4">
      <w:r w:rsidRPr="007152AA">
        <w:t>4</w:t>
      </w:r>
      <w:r w:rsidRPr="007152AA">
        <w:tab/>
        <w:t>that the term of office for Chairmen or Vice-Chairmen should not exceed two intervals between consecutive assemblies;</w:t>
      </w:r>
    </w:p>
    <w:p w:rsidR="00FB38D9" w:rsidRPr="007152AA" w:rsidRDefault="00FB38D9" w:rsidP="00AB6727">
      <w:r w:rsidRPr="007152AA">
        <w:rPr>
          <w:bCs/>
        </w:rPr>
        <w:t>5</w:t>
      </w:r>
      <w:r w:rsidRPr="007152AA">
        <w:tab/>
        <w:t>that the interval between assemblies during which a Chairman or Vice-Chairman is elected under No.</w:t>
      </w:r>
      <w:r w:rsidR="00AB6727" w:rsidRPr="007152AA">
        <w:t> </w:t>
      </w:r>
      <w:r w:rsidRPr="007152AA">
        <w:t xml:space="preserve">244 </w:t>
      </w:r>
      <w:r w:rsidR="00AB6727" w:rsidRPr="007152AA">
        <w:t xml:space="preserve">of the Convention </w:t>
      </w:r>
      <w:r w:rsidRPr="007152AA">
        <w:t>does not count towards the term of office;</w:t>
      </w:r>
    </w:p>
    <w:p w:rsidR="00FB38D9" w:rsidRPr="007152AA" w:rsidRDefault="00FB38D9" w:rsidP="00701AFF">
      <w:r w:rsidRPr="007152AA">
        <w:t>6</w:t>
      </w:r>
      <w:r w:rsidRPr="007152AA">
        <w:tab/>
        <w:t>that the period in office in one appointment (e.g. as a Vice-Chairman) does not count towards the period in office for another appointment (e.g. as a Chairman) and that steps should be taken to provide some continuity between Chairmen and Vice-Chairmen.</w:t>
      </w:r>
    </w:p>
    <w:p w:rsidR="00E607C4" w:rsidRPr="007152AA" w:rsidRDefault="00E607C4" w:rsidP="00701AFF"/>
    <w:p w:rsidR="00FB38D9" w:rsidRPr="007152AA" w:rsidRDefault="00FB38D9" w:rsidP="003249F4">
      <w:pPr>
        <w:pStyle w:val="AnnexNo"/>
      </w:pPr>
      <w:r w:rsidRPr="007152AA">
        <w:t>Annex 1</w:t>
      </w:r>
    </w:p>
    <w:p w:rsidR="00FB38D9" w:rsidRPr="007152AA" w:rsidRDefault="00FB38D9" w:rsidP="00701AFF">
      <w:pPr>
        <w:pStyle w:val="Annextitle"/>
      </w:pPr>
      <w:r w:rsidRPr="007152AA">
        <w:t xml:space="preserve">Procedure for the appointment of Chairmen and Vice-Chairmen of the </w:t>
      </w:r>
      <w:r w:rsidR="00AB6727" w:rsidRPr="007152AA">
        <w:br/>
      </w:r>
      <w:r w:rsidRPr="007152AA">
        <w:t xml:space="preserve">Radiocommunication Study Groups, the Coordination Committee for </w:t>
      </w:r>
      <w:r w:rsidR="00AB6727" w:rsidRPr="007152AA">
        <w:br/>
      </w:r>
      <w:r w:rsidRPr="007152AA">
        <w:t>Vocabulary and the Radiocommunication Advisory Group</w:t>
      </w:r>
    </w:p>
    <w:p w:rsidR="00FB38D9" w:rsidRPr="007152AA" w:rsidRDefault="00FB38D9" w:rsidP="00701AFF">
      <w:pPr>
        <w:pStyle w:val="Normalaftertitle"/>
      </w:pPr>
      <w:r w:rsidRPr="007152AA">
        <w:t>1</w:t>
      </w:r>
      <w:r w:rsidRPr="007152AA">
        <w:tab/>
        <w:t>The Director of the Radiocommunication Bureau will request Member States and Sector Members to submit proposals for candidates for the posts of the Chairmen and Vice-Chairmen of the Study Groups, and the Coordination Committee for Vocabulary (CCV) and the Radiocommunication Advisory Group (RAG).</w:t>
      </w:r>
    </w:p>
    <w:p w:rsidR="00FB38D9" w:rsidRPr="007152AA" w:rsidRDefault="00FB38D9" w:rsidP="00AB6727">
      <w:r w:rsidRPr="007152AA">
        <w:lastRenderedPageBreak/>
        <w:t>2</w:t>
      </w:r>
      <w:r w:rsidRPr="007152AA">
        <w:tab/>
        <w:t xml:space="preserve">In order to help the Radiocommunication Assembly appoint Chairmen/Vice-Chairmen, Member States and Sector Members are to indicate suitable candidates to the Director of the Radiocommunication Bureau preferably three months, but no later than </w:t>
      </w:r>
      <w:r w:rsidR="00AB6727" w:rsidRPr="007152AA">
        <w:t>two weeks,</w:t>
      </w:r>
      <w:r w:rsidRPr="007152AA">
        <w:t xml:space="preserve"> before the opening of the Radiocommunication Assembly.</w:t>
      </w:r>
    </w:p>
    <w:p w:rsidR="00FB38D9" w:rsidRPr="007152AA" w:rsidRDefault="00FB38D9" w:rsidP="00701AFF">
      <w:r w:rsidRPr="007152AA">
        <w:t>3</w:t>
      </w:r>
      <w:r w:rsidRPr="007152AA">
        <w:tab/>
        <w:t>In nominating suitable candidates, ITU</w:t>
      </w:r>
      <w:r w:rsidRPr="007152AA">
        <w:noBreakHyphen/>
        <w:t>R Sector Members should carry out prior consultations with the administration/Member State concerned, in order to avoid any possible disagreement in regard to such nomination.</w:t>
      </w:r>
    </w:p>
    <w:p w:rsidR="00FB38D9" w:rsidRPr="007152AA" w:rsidRDefault="00FB38D9" w:rsidP="00701AFF">
      <w:r w:rsidRPr="007152AA">
        <w:t>4</w:t>
      </w:r>
      <w:r w:rsidRPr="007152AA">
        <w:tab/>
        <w:t>On the basis of proposals received, the Director will circulate to members the list of candidates. The list of candidates should be accompanied by an indication of the qualifications of each candidate as given in Annex 2.</w:t>
      </w:r>
    </w:p>
    <w:p w:rsidR="00FB38D9" w:rsidRPr="007152AA" w:rsidRDefault="00FB38D9" w:rsidP="00701AFF">
      <w:r w:rsidRPr="007152AA">
        <w:t>5</w:t>
      </w:r>
      <w:r w:rsidRPr="007152AA">
        <w:tab/>
        <w:t>On the basis of this document and any relevant comments received, the Heads of Delegation, at a suitable time during the Assembly, should be invited to prepare, in consultation with the Director, a consolidated list of designated Study Group Chairmen and Vice-Chairmen to be submitted in a document to the Radiocommunication Assembly for final approval.</w:t>
      </w:r>
    </w:p>
    <w:p w:rsidR="00FB38D9" w:rsidRPr="007152AA" w:rsidRDefault="00FB38D9" w:rsidP="00701AFF"/>
    <w:p w:rsidR="00FB38D9" w:rsidRPr="007152AA" w:rsidRDefault="00FB38D9" w:rsidP="00701AFF">
      <w:pPr>
        <w:pStyle w:val="AnnexNo"/>
      </w:pPr>
      <w:r w:rsidRPr="007152AA">
        <w:t>Annex 2</w:t>
      </w:r>
    </w:p>
    <w:p w:rsidR="00FB38D9" w:rsidRPr="007152AA" w:rsidRDefault="00FB38D9" w:rsidP="00701AFF">
      <w:pPr>
        <w:pStyle w:val="Annextitle"/>
      </w:pPr>
      <w:r w:rsidRPr="007152AA">
        <w:t>Qualifications of the Chairmen and Vice-Chairmen</w:t>
      </w:r>
    </w:p>
    <w:p w:rsidR="00FB38D9" w:rsidRPr="007152AA" w:rsidRDefault="00FB38D9" w:rsidP="00701AFF">
      <w:pPr>
        <w:pStyle w:val="Normalaftertitle"/>
        <w:keepNext/>
      </w:pPr>
      <w:r w:rsidRPr="007152AA">
        <w:t xml:space="preserve">As regards competence, the following qualifications </w:t>
      </w:r>
      <w:r w:rsidRPr="007152AA">
        <w:rPr>
          <w:i/>
          <w:iCs/>
        </w:rPr>
        <w:t>inter alia</w:t>
      </w:r>
      <w:r w:rsidRPr="007152AA">
        <w:t xml:space="preserve"> appear to be of paramount importance when appointing Chairmen and Vice-Chairmen:</w:t>
      </w:r>
    </w:p>
    <w:p w:rsidR="00FB38D9" w:rsidRPr="007152AA" w:rsidRDefault="00FB38D9" w:rsidP="00701AFF">
      <w:pPr>
        <w:pStyle w:val="enumlev1"/>
      </w:pPr>
      <w:r w:rsidRPr="007152AA">
        <w:t>–</w:t>
      </w:r>
      <w:r w:rsidRPr="007152AA">
        <w:tab/>
        <w:t>knowledge and experience;</w:t>
      </w:r>
    </w:p>
    <w:p w:rsidR="00FB38D9" w:rsidRPr="007152AA" w:rsidRDefault="00FB38D9" w:rsidP="00701AFF">
      <w:pPr>
        <w:pStyle w:val="enumlev1"/>
      </w:pPr>
      <w:r w:rsidRPr="007152AA">
        <w:t>–</w:t>
      </w:r>
      <w:r w:rsidRPr="007152AA">
        <w:tab/>
        <w:t>continuity in participation in the relevant Study Group or, for Chairmen and Vice-Chairmen of the Coordination Committee for Vocabulary and of the Radiocommunication Advisory Group, in the ITU Radiocommunication Sector;</w:t>
      </w:r>
    </w:p>
    <w:p w:rsidR="00FB38D9" w:rsidRPr="007152AA" w:rsidRDefault="00FB38D9" w:rsidP="00701AFF">
      <w:pPr>
        <w:pStyle w:val="enumlev1"/>
      </w:pPr>
      <w:r w:rsidRPr="007152AA">
        <w:t>–</w:t>
      </w:r>
      <w:r w:rsidRPr="007152AA">
        <w:tab/>
        <w:t xml:space="preserve">managerial skills; </w:t>
      </w:r>
    </w:p>
    <w:p w:rsidR="00FB38D9" w:rsidRPr="007152AA" w:rsidRDefault="00FB38D9" w:rsidP="00701AFF">
      <w:pPr>
        <w:pStyle w:val="enumlev1"/>
      </w:pPr>
      <w:r w:rsidRPr="007152AA">
        <w:t>_</w:t>
      </w:r>
      <w:r w:rsidRPr="007152AA">
        <w:tab/>
        <w:t>availability.</w:t>
      </w:r>
    </w:p>
    <w:p w:rsidR="00FB38D9" w:rsidRPr="007152AA" w:rsidRDefault="00FB38D9" w:rsidP="00701AFF">
      <w:r w:rsidRPr="007152AA">
        <w:t>Particular reference to the above qualifications should be included in the biographical profile to be circulated by the Director.</w:t>
      </w:r>
    </w:p>
    <w:p w:rsidR="00E607C4" w:rsidRPr="007152AA" w:rsidRDefault="00E607C4" w:rsidP="00701AFF"/>
    <w:bookmarkEnd w:id="2"/>
    <w:bookmarkEnd w:id="3"/>
    <w:p w:rsidR="00FB38D9" w:rsidRPr="007152AA" w:rsidRDefault="00FB38D9" w:rsidP="005520CE">
      <w:pPr>
        <w:pStyle w:val="AnnexNo"/>
      </w:pPr>
      <w:r w:rsidRPr="007152AA">
        <w:lastRenderedPageBreak/>
        <w:t>Annex 3</w:t>
      </w:r>
    </w:p>
    <w:p w:rsidR="00FB38D9" w:rsidRPr="007152AA" w:rsidRDefault="00FB38D9" w:rsidP="00AB6727">
      <w:pPr>
        <w:pStyle w:val="Annextitle"/>
      </w:pPr>
      <w:r w:rsidRPr="007152AA">
        <w:t xml:space="preserve">Guidelines for appointment of the optimum numbers of Vice-Chairmen for the </w:t>
      </w:r>
      <w:r w:rsidR="00AB6727" w:rsidRPr="007152AA">
        <w:br/>
        <w:t xml:space="preserve">Radiocommunication </w:t>
      </w:r>
      <w:r w:rsidRPr="007152AA">
        <w:t xml:space="preserve">Advisory Group, the Coordination Committee </w:t>
      </w:r>
      <w:r w:rsidR="00AB6727" w:rsidRPr="007152AA">
        <w:br/>
      </w:r>
      <w:r w:rsidRPr="007152AA">
        <w:t>for Vocabulary and Study Groups</w:t>
      </w:r>
    </w:p>
    <w:p w:rsidR="00FB38D9" w:rsidRPr="007152AA" w:rsidRDefault="00FB38D9" w:rsidP="00AB6727">
      <w:pPr>
        <w:pStyle w:val="Normalaftertitle"/>
        <w:keepLines/>
        <w:rPr>
          <w:color w:val="000000"/>
        </w:rPr>
      </w:pPr>
      <w:r w:rsidRPr="007152AA">
        <w:t>1</w:t>
      </w:r>
      <w:r w:rsidRPr="007152AA">
        <w:tab/>
      </w:r>
      <w:r w:rsidR="00AB6727" w:rsidRPr="007152AA">
        <w:t>Pursuant to Resolution 166 (Guadalajara, 2010) and No. 242 of the Convention, e</w:t>
      </w:r>
      <w:r w:rsidRPr="007152AA">
        <w:t>quitable geographical distribution among ITU regions and the need to promote more effective participation by the developing countries, gender balance and expertise should be taken into account</w:t>
      </w:r>
      <w:r w:rsidR="00E607C4" w:rsidRPr="007152AA">
        <w:rPr>
          <w:rStyle w:val="FootnoteReference"/>
        </w:rPr>
        <w:footnoteReference w:customMarkFollows="1" w:id="1"/>
        <w:t>1</w:t>
      </w:r>
      <w:r w:rsidRPr="007152AA">
        <w:rPr>
          <w:rFonts w:eastAsia="MS Mincho"/>
          <w:lang w:eastAsia="ja-JP"/>
        </w:rPr>
        <w:t>.</w:t>
      </w:r>
    </w:p>
    <w:p w:rsidR="00FB38D9" w:rsidRPr="007152AA" w:rsidRDefault="00FB38D9" w:rsidP="00701AFF">
      <w:pPr>
        <w:tabs>
          <w:tab w:val="clear" w:pos="1134"/>
          <w:tab w:val="clear" w:pos="1871"/>
          <w:tab w:val="clear" w:pos="2268"/>
          <w:tab w:val="left" w:pos="851"/>
          <w:tab w:val="left" w:pos="1191"/>
          <w:tab w:val="left" w:pos="1588"/>
          <w:tab w:val="left" w:pos="1985"/>
        </w:tabs>
        <w:overflowPunct/>
        <w:textAlignment w:val="auto"/>
      </w:pPr>
      <w:r w:rsidRPr="007152AA">
        <w:t>2</w:t>
      </w:r>
      <w:r w:rsidRPr="007152AA">
        <w:tab/>
        <w:t xml:space="preserve">The workload should be a factor in determining the appropriate number of Vice-Chairmen to ensure that every aspect within the purview of </w:t>
      </w:r>
      <w:r w:rsidR="00AB6727" w:rsidRPr="007152AA">
        <w:t xml:space="preserve">RAG, CCV and </w:t>
      </w:r>
      <w:r w:rsidRPr="007152AA">
        <w:t>the Study Group is fully managed.</w:t>
      </w:r>
    </w:p>
    <w:p w:rsidR="00FB38D9" w:rsidRPr="007152AA" w:rsidRDefault="00FB38D9" w:rsidP="00701AFF">
      <w:pPr>
        <w:tabs>
          <w:tab w:val="clear" w:pos="1134"/>
          <w:tab w:val="clear" w:pos="1871"/>
          <w:tab w:val="clear" w:pos="2268"/>
          <w:tab w:val="left" w:pos="851"/>
          <w:tab w:val="left" w:pos="1191"/>
          <w:tab w:val="left" w:pos="1588"/>
          <w:tab w:val="left" w:pos="1985"/>
        </w:tabs>
        <w:overflowPunct/>
        <w:textAlignment w:val="auto"/>
        <w:rPr>
          <w:color w:val="000000"/>
        </w:rPr>
      </w:pPr>
      <w:r w:rsidRPr="007152AA">
        <w:t>3</w:t>
      </w:r>
      <w:r w:rsidRPr="007152AA">
        <w:tab/>
        <w:t>The total number of Vice-Chairmen proposed by any administration should be fairly reasonable, so as to observe the principle of equitable distribution of posts among the Member States concerned.</w:t>
      </w:r>
    </w:p>
    <w:p w:rsidR="00FB38D9" w:rsidRPr="007152AA" w:rsidRDefault="00FB38D9" w:rsidP="00701AFF">
      <w:pPr>
        <w:tabs>
          <w:tab w:val="clear" w:pos="1134"/>
          <w:tab w:val="clear" w:pos="1871"/>
          <w:tab w:val="clear" w:pos="2268"/>
          <w:tab w:val="left" w:pos="851"/>
          <w:tab w:val="left" w:pos="1191"/>
          <w:tab w:val="left" w:pos="1588"/>
          <w:tab w:val="left" w:pos="1985"/>
        </w:tabs>
        <w:overflowPunct/>
        <w:textAlignment w:val="auto"/>
      </w:pPr>
      <w:r w:rsidRPr="007152AA">
        <w:t>4</w:t>
      </w:r>
      <w:r w:rsidRPr="007152AA">
        <w:tab/>
        <w:t>Member States in each ITU region</w:t>
      </w:r>
      <w:r w:rsidR="00E607C4" w:rsidRPr="007152AA">
        <w:rPr>
          <w:rStyle w:val="FootnoteReference"/>
        </w:rPr>
        <w:footnoteReference w:customMarkFollows="1" w:id="2"/>
        <w:t>2</w:t>
      </w:r>
      <w:r w:rsidRPr="007152AA">
        <w:t xml:space="preserve"> are encouraged, when </w:t>
      </w:r>
      <w:r w:rsidRPr="007152AA">
        <w:rPr>
          <w:lang w:eastAsia="ko-KR"/>
        </w:rPr>
        <w:t xml:space="preserve">proposing </w:t>
      </w:r>
      <w:r w:rsidRPr="007152AA">
        <w:t>individual experienced professionals for the positions, to fully observe the principle of equitable geographical distribution among ITU regions, and the need to promote more efficient participation by the developing countries.</w:t>
      </w:r>
    </w:p>
    <w:p w:rsidR="00FB38D9" w:rsidRPr="007152AA" w:rsidRDefault="00FB38D9" w:rsidP="00B15A6D">
      <w:pPr>
        <w:tabs>
          <w:tab w:val="clear" w:pos="1134"/>
          <w:tab w:val="clear" w:pos="1871"/>
          <w:tab w:val="clear" w:pos="2268"/>
          <w:tab w:val="left" w:pos="851"/>
          <w:tab w:val="left" w:pos="1191"/>
          <w:tab w:val="left" w:pos="1588"/>
          <w:tab w:val="left" w:pos="1985"/>
        </w:tabs>
        <w:overflowPunct/>
        <w:textAlignment w:val="auto"/>
        <w:rPr>
          <w:color w:val="000000"/>
        </w:rPr>
      </w:pPr>
      <w:r w:rsidRPr="007152AA">
        <w:t>5</w:t>
      </w:r>
      <w:r w:rsidRPr="007152AA">
        <w:tab/>
        <w:t>Regional representation in the Advisory Groups, Study Groups and other groups of all three Sectors should be taken into account, such that no single individual may hold more than one vice-chairmanship position in these groups in any one Sector, and only in exceptional cases hold such a position in more than one Sector</w:t>
      </w:r>
      <w:r w:rsidR="00E607C4" w:rsidRPr="007152AA">
        <w:rPr>
          <w:rStyle w:val="FootnoteReference"/>
        </w:rPr>
        <w:footnoteReference w:customMarkFollows="1" w:id="3"/>
        <w:t>3</w:t>
      </w:r>
      <w:r w:rsidRPr="007152AA">
        <w:t>.</w:t>
      </w:r>
    </w:p>
    <w:p w:rsidR="00985C30" w:rsidRPr="007152AA" w:rsidRDefault="00985C30" w:rsidP="00985C30"/>
    <w:sectPr w:rsidR="00985C30" w:rsidRPr="007152AA" w:rsidSect="009447A3">
      <w:headerReference w:type="default" r:id="rId8"/>
      <w:footerReference w:type="even"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591" w:rsidRDefault="003A0591">
      <w:r>
        <w:separator/>
      </w:r>
    </w:p>
  </w:endnote>
  <w:endnote w:type="continuationSeparator" w:id="0">
    <w:p w:rsidR="003A0591" w:rsidRDefault="003A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81A10" w:rsidRDefault="009447A3">
    <w:pPr>
      <w:rPr>
        <w:lang w:val="en-US"/>
      </w:rPr>
    </w:pPr>
    <w:r>
      <w:fldChar w:fldCharType="begin"/>
    </w:r>
    <w:r w:rsidRPr="00981A10">
      <w:rPr>
        <w:lang w:val="en-US"/>
      </w:rPr>
      <w:instrText xml:space="preserve"> FILENAME \p  \* MERGEFORMAT </w:instrText>
    </w:r>
    <w:r>
      <w:fldChar w:fldCharType="separate"/>
    </w:r>
    <w:r w:rsidR="00E21FF8">
      <w:rPr>
        <w:noProof/>
        <w:lang w:val="en-US"/>
      </w:rPr>
      <w:t>C:\Users\gomezy\Documents\BR\AR RES Previous\015E.DOCX</w:t>
    </w:r>
    <w:r>
      <w:fldChar w:fldCharType="end"/>
    </w:r>
    <w:r w:rsidRPr="00981A10">
      <w:rPr>
        <w:lang w:val="en-US"/>
      </w:rPr>
      <w:tab/>
    </w:r>
    <w:r>
      <w:fldChar w:fldCharType="begin"/>
    </w:r>
    <w:r>
      <w:instrText xml:space="preserve"> SAVEDATE \@ DD.MM.YY </w:instrText>
    </w:r>
    <w:r>
      <w:fldChar w:fldCharType="separate"/>
    </w:r>
    <w:r w:rsidR="00E21FF8">
      <w:rPr>
        <w:noProof/>
      </w:rPr>
      <w:t>09.11.15</w:t>
    </w:r>
    <w:r>
      <w:fldChar w:fldCharType="end"/>
    </w:r>
    <w:r w:rsidRPr="00981A10">
      <w:rPr>
        <w:lang w:val="en-US"/>
      </w:rPr>
      <w:tab/>
    </w:r>
    <w:r>
      <w:fldChar w:fldCharType="begin"/>
    </w:r>
    <w:r>
      <w:instrText xml:space="preserve"> PRINTDATE \@ DD.MM.YY </w:instrText>
    </w:r>
    <w:r>
      <w:fldChar w:fldCharType="separate"/>
    </w:r>
    <w:r w:rsidR="00E21FF8">
      <w:rPr>
        <w:noProof/>
      </w:rPr>
      <w:t>09.11.15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591" w:rsidRDefault="003A0591">
      <w:r>
        <w:rPr>
          <w:b/>
        </w:rPr>
        <w:t>_______________</w:t>
      </w:r>
    </w:p>
  </w:footnote>
  <w:footnote w:type="continuationSeparator" w:id="0">
    <w:p w:rsidR="003A0591" w:rsidRDefault="003A0591">
      <w:r>
        <w:continuationSeparator/>
      </w:r>
    </w:p>
  </w:footnote>
  <w:footnote w:id="1">
    <w:p w:rsidR="00E607C4" w:rsidRPr="00EB5120" w:rsidRDefault="00E607C4" w:rsidP="00701AFF">
      <w:pPr>
        <w:pStyle w:val="FootnoteText"/>
      </w:pPr>
      <w:r>
        <w:rPr>
          <w:rStyle w:val="FootnoteReference"/>
        </w:rPr>
        <w:t>1</w:t>
      </w:r>
      <w:r>
        <w:t xml:space="preserve"> </w:t>
      </w:r>
      <w:r>
        <w:tab/>
      </w:r>
      <w:r w:rsidRPr="00EB5120">
        <w:t>For those regions consisting of numerous administrations and with diverse economic and technological developments within the region, to the extent possible the number of representatives of those regions may be increased, as appropriate.</w:t>
      </w:r>
    </w:p>
  </w:footnote>
  <w:footnote w:id="2">
    <w:p w:rsidR="00E607C4" w:rsidRPr="00A93C79" w:rsidRDefault="00E607C4" w:rsidP="00AB6727">
      <w:pPr>
        <w:pStyle w:val="FootnoteText"/>
      </w:pPr>
      <w:r>
        <w:rPr>
          <w:rStyle w:val="FootnoteReference"/>
        </w:rPr>
        <w:t>2</w:t>
      </w:r>
      <w:r>
        <w:t xml:space="preserve"> </w:t>
      </w:r>
      <w:r>
        <w:tab/>
        <w:t>Taking into account Resolution</w:t>
      </w:r>
      <w:r w:rsidR="00AB6727">
        <w:t> </w:t>
      </w:r>
      <w:r>
        <w:t>58 (Rev.</w:t>
      </w:r>
      <w:r w:rsidR="00AB6727">
        <w:t> </w:t>
      </w:r>
      <w:r>
        <w:t>Guadalajara, 2010) of the Plenipotentiary Conference regarding the six principal regional telecommunication organizations, namely the Asia-Pacific Telecommunity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w:t>
      </w:r>
    </w:p>
  </w:footnote>
  <w:footnote w:id="3">
    <w:p w:rsidR="00E607C4" w:rsidRPr="003D3282" w:rsidRDefault="00E607C4" w:rsidP="00736A62">
      <w:pPr>
        <w:pStyle w:val="FootnoteText"/>
      </w:pPr>
      <w:r>
        <w:rPr>
          <w:rStyle w:val="FootnoteReference"/>
        </w:rPr>
        <w:t>3</w:t>
      </w:r>
      <w:r w:rsidRPr="00376F67">
        <w:rPr>
          <w:rStyle w:val="FootnoteReference"/>
        </w:rPr>
        <w:t xml:space="preserve"> </w:t>
      </w:r>
      <w:r>
        <w:tab/>
      </w:r>
      <w:r w:rsidRPr="00376F67">
        <w:rPr>
          <w:rStyle w:val="FootnoteTextChar"/>
        </w:rPr>
        <w:t xml:space="preserve">The criterion mentioned in this paragraph should not prevent a Vice-Chairman of a given </w:t>
      </w:r>
      <w:r>
        <w:rPr>
          <w:rStyle w:val="FootnoteTextChar"/>
        </w:rPr>
        <w:t>A</w:t>
      </w:r>
      <w:r w:rsidRPr="00376F67">
        <w:rPr>
          <w:rStyle w:val="FootnoteTextChar"/>
        </w:rPr>
        <w:t xml:space="preserve">dvisory </w:t>
      </w:r>
      <w:r>
        <w:rPr>
          <w:rStyle w:val="FootnoteTextChar"/>
        </w:rPr>
        <w:t>G</w:t>
      </w:r>
      <w:r w:rsidRPr="00376F67">
        <w:rPr>
          <w:rStyle w:val="FootnoteTextChar"/>
        </w:rPr>
        <w:t xml:space="preserve">roup or a Vice-Chairman of a given </w:t>
      </w:r>
      <w:r>
        <w:rPr>
          <w:rStyle w:val="FootnoteTextChar"/>
        </w:rPr>
        <w:t>S</w:t>
      </w:r>
      <w:r w:rsidRPr="00376F67">
        <w:rPr>
          <w:rStyle w:val="FootnoteTextChar"/>
        </w:rPr>
        <w:t xml:space="preserve">tudy </w:t>
      </w:r>
      <w:r>
        <w:rPr>
          <w:rStyle w:val="FootnoteTextChar"/>
        </w:rPr>
        <w:t>G</w:t>
      </w:r>
      <w:r w:rsidRPr="00376F67">
        <w:rPr>
          <w:rStyle w:val="FootnoteTextChar"/>
        </w:rPr>
        <w:t xml:space="preserve">roup from holding positions of Chairman or Vice-Chairman of a given working party or as </w:t>
      </w:r>
      <w:r>
        <w:rPr>
          <w:rStyle w:val="FootnoteTextChar"/>
        </w:rPr>
        <w:t>R</w:t>
      </w:r>
      <w:r w:rsidRPr="00376F67">
        <w:rPr>
          <w:rStyle w:val="FootnoteTextChar"/>
        </w:rPr>
        <w:t xml:space="preserve">apporteur or </w:t>
      </w:r>
      <w:r>
        <w:rPr>
          <w:rStyle w:val="FootnoteTextChar"/>
        </w:rPr>
        <w:t>A</w:t>
      </w:r>
      <w:r w:rsidRPr="00376F67">
        <w:rPr>
          <w:rStyle w:val="FootnoteTextChar"/>
        </w:rPr>
        <w:t xml:space="preserve">ssociate </w:t>
      </w:r>
      <w:r>
        <w:rPr>
          <w:rStyle w:val="FootnoteTextChar"/>
        </w:rPr>
        <w:t>R</w:t>
      </w:r>
      <w:r w:rsidRPr="00376F67">
        <w:rPr>
          <w:rStyle w:val="FootnoteTextChar"/>
        </w:rPr>
        <w:t>apporteur for any group under the mandate of that Sector group.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22831"/>
      <w:docPartObj>
        <w:docPartGallery w:val="Page Numbers (Top of Page)"/>
        <w:docPartUnique/>
      </w:docPartObj>
    </w:sdtPr>
    <w:sdtEndPr>
      <w:rPr>
        <w:noProof/>
      </w:rPr>
    </w:sdtEndPr>
    <w:sdtContent>
      <w:p w:rsidR="00845695" w:rsidRDefault="00845695">
        <w:pPr>
          <w:pStyle w:val="Header"/>
        </w:pPr>
        <w:r>
          <w:fldChar w:fldCharType="begin"/>
        </w:r>
        <w:r>
          <w:instrText xml:space="preserve"> PAGE   \* MERGEFORMAT </w:instrText>
        </w:r>
        <w:r>
          <w:fldChar w:fldCharType="separate"/>
        </w:r>
        <w:r w:rsidR="00E21FF8">
          <w:rPr>
            <w:noProof/>
          </w:rPr>
          <w:t>2</w:t>
        </w:r>
        <w:r>
          <w:rPr>
            <w:noProof/>
          </w:rPr>
          <w:fldChar w:fldCharType="end"/>
        </w:r>
      </w:p>
    </w:sdtContent>
  </w:sdt>
  <w:p w:rsidR="00845695" w:rsidRDefault="008456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F81"/>
    <w:rsid w:val="000817BD"/>
    <w:rsid w:val="000D1293"/>
    <w:rsid w:val="001609F6"/>
    <w:rsid w:val="00182DA4"/>
    <w:rsid w:val="001B225D"/>
    <w:rsid w:val="001E226F"/>
    <w:rsid w:val="001F5015"/>
    <w:rsid w:val="00206408"/>
    <w:rsid w:val="002249B1"/>
    <w:rsid w:val="00236A02"/>
    <w:rsid w:val="003A0591"/>
    <w:rsid w:val="00425F3D"/>
    <w:rsid w:val="004844C1"/>
    <w:rsid w:val="004D6FFE"/>
    <w:rsid w:val="005117D6"/>
    <w:rsid w:val="005514DD"/>
    <w:rsid w:val="005E0BE1"/>
    <w:rsid w:val="00654ADA"/>
    <w:rsid w:val="0071246B"/>
    <w:rsid w:val="007152AA"/>
    <w:rsid w:val="00736A62"/>
    <w:rsid w:val="00756B1C"/>
    <w:rsid w:val="007C6911"/>
    <w:rsid w:val="0083116B"/>
    <w:rsid w:val="008427B4"/>
    <w:rsid w:val="00845695"/>
    <w:rsid w:val="00880578"/>
    <w:rsid w:val="008A7B8E"/>
    <w:rsid w:val="008F4F09"/>
    <w:rsid w:val="008F5D84"/>
    <w:rsid w:val="00911135"/>
    <w:rsid w:val="00921788"/>
    <w:rsid w:val="009447A3"/>
    <w:rsid w:val="00981A10"/>
    <w:rsid w:val="00985C30"/>
    <w:rsid w:val="00992F81"/>
    <w:rsid w:val="00993768"/>
    <w:rsid w:val="009E375D"/>
    <w:rsid w:val="00A05CE9"/>
    <w:rsid w:val="00AB6727"/>
    <w:rsid w:val="00B15C62"/>
    <w:rsid w:val="00B85D80"/>
    <w:rsid w:val="00BB03AF"/>
    <w:rsid w:val="00BE5003"/>
    <w:rsid w:val="00BF5E61"/>
    <w:rsid w:val="00C46060"/>
    <w:rsid w:val="00D471A9"/>
    <w:rsid w:val="00D50D44"/>
    <w:rsid w:val="00DA716F"/>
    <w:rsid w:val="00E21FF8"/>
    <w:rsid w:val="00E424C3"/>
    <w:rsid w:val="00E607C4"/>
    <w:rsid w:val="00EE1A06"/>
    <w:rsid w:val="00EE4AD6"/>
    <w:rsid w:val="00F329B0"/>
    <w:rsid w:val="00FB38D9"/>
    <w:rsid w:val="00FD4869"/>
    <w:rsid w:val="00FD7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918835E-E3C8-4A11-A8AB-CFEF7DF5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link w:val="Heading2Char"/>
    <w:qFormat/>
    <w:rsid w:val="00FD4869"/>
    <w:pPr>
      <w:spacing w:before="200"/>
      <w:outlineLvl w:val="1"/>
    </w:pPr>
    <w:rPr>
      <w:sz w:val="24"/>
    </w:rPr>
  </w:style>
  <w:style w:type="paragraph" w:styleId="Heading3">
    <w:name w:val="heading 3"/>
    <w:basedOn w:val="Heading1"/>
    <w:next w:val="Normal"/>
    <w:link w:val="Heading3Char"/>
    <w:qFormat/>
    <w:rsid w:val="00FD4869"/>
    <w:pPr>
      <w:tabs>
        <w:tab w:val="clear" w:pos="1134"/>
      </w:tabs>
      <w:spacing w:before="200"/>
      <w:outlineLvl w:val="2"/>
    </w:pPr>
    <w:rPr>
      <w:sz w:val="24"/>
    </w:rPr>
  </w:style>
  <w:style w:type="paragraph" w:styleId="Heading4">
    <w:name w:val="heading 4"/>
    <w:basedOn w:val="Heading3"/>
    <w:next w:val="Normal"/>
    <w:link w:val="Heading4Char"/>
    <w:qFormat/>
    <w:rsid w:val="00FD4869"/>
    <w:pPr>
      <w:outlineLvl w:val="3"/>
    </w:pPr>
  </w:style>
  <w:style w:type="paragraph" w:styleId="Heading5">
    <w:name w:val="heading 5"/>
    <w:basedOn w:val="Heading4"/>
    <w:next w:val="Normal"/>
    <w:link w:val="Heading5Char"/>
    <w:qFormat/>
    <w:rsid w:val="00FD4869"/>
    <w:pPr>
      <w:outlineLvl w:val="4"/>
    </w:pPr>
  </w:style>
  <w:style w:type="paragraph" w:styleId="Heading6">
    <w:name w:val="heading 6"/>
    <w:basedOn w:val="Heading4"/>
    <w:next w:val="Normal"/>
    <w:link w:val="Heading6Char"/>
    <w:qFormat/>
    <w:rsid w:val="00FD4869"/>
    <w:pPr>
      <w:outlineLvl w:val="5"/>
    </w:pPr>
  </w:style>
  <w:style w:type="paragraph" w:styleId="Heading7">
    <w:name w:val="heading 7"/>
    <w:basedOn w:val="Heading6"/>
    <w:next w:val="Normal"/>
    <w:link w:val="Heading7Char"/>
    <w:qFormat/>
    <w:rsid w:val="00FD4869"/>
    <w:pPr>
      <w:outlineLvl w:val="6"/>
    </w:pPr>
  </w:style>
  <w:style w:type="paragraph" w:styleId="Heading8">
    <w:name w:val="heading 8"/>
    <w:basedOn w:val="Heading6"/>
    <w:next w:val="Normal"/>
    <w:link w:val="Heading8Char"/>
    <w:qFormat/>
    <w:rsid w:val="00FD4869"/>
    <w:pPr>
      <w:outlineLvl w:val="7"/>
    </w:pPr>
  </w:style>
  <w:style w:type="paragraph" w:styleId="Heading9">
    <w:name w:val="heading 9"/>
    <w:basedOn w:val="Heading6"/>
    <w:next w:val="Normal"/>
    <w:link w:val="Heading9Char"/>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aliases w:val="pie de página"/>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aliases w:val="encabezado"/>
    <w:basedOn w:val="Normal"/>
    <w:link w:val="HeaderChar"/>
    <w:rsid w:val="00FD4869"/>
    <w:pPr>
      <w:spacing w:before="0"/>
      <w:jc w:val="center"/>
    </w:pPr>
    <w:rPr>
      <w:sz w:val="18"/>
    </w:rPr>
  </w:style>
  <w:style w:type="character" w:customStyle="1" w:styleId="HeaderChar">
    <w:name w:val="Header Char"/>
    <w:aliases w:val="encabezado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CallChar">
    <w:name w:val="Call Char"/>
    <w:basedOn w:val="DefaultParagraphFont"/>
    <w:link w:val="Call"/>
    <w:locked/>
    <w:rsid w:val="00236A02"/>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236A02"/>
    <w:rPr>
      <w:rFonts w:ascii="Times New Roman" w:hAnsi="Times New Roman"/>
      <w:sz w:val="24"/>
      <w:lang w:val="en-GB" w:eastAsia="en-US"/>
    </w:rPr>
  </w:style>
  <w:style w:type="table" w:styleId="TableGrid">
    <w:name w:val="Table Grid"/>
    <w:basedOn w:val="TableNormal"/>
    <w:rsid w:val="00236A0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rsid w:val="008F4F09"/>
    <w:rPr>
      <w:rFonts w:ascii="Times New Roman" w:hAnsi="Times New Roman"/>
      <w:sz w:val="24"/>
      <w:lang w:val="en-GB" w:eastAsia="en-US"/>
    </w:rPr>
  </w:style>
  <w:style w:type="paragraph" w:styleId="ListParagraph">
    <w:name w:val="List Paragraph"/>
    <w:basedOn w:val="Normal"/>
    <w:uiPriority w:val="34"/>
    <w:qFormat/>
    <w:rsid w:val="008F4F09"/>
    <w:pPr>
      <w:ind w:leftChars="400" w:left="840"/>
    </w:pPr>
    <w:rPr>
      <w:rFonts w:eastAsia="MS Mincho"/>
    </w:rPr>
  </w:style>
  <w:style w:type="character" w:customStyle="1" w:styleId="Heading1Char">
    <w:name w:val="Heading 1 Char"/>
    <w:basedOn w:val="DefaultParagraphFont"/>
    <w:link w:val="Heading1"/>
    <w:rsid w:val="008F4F09"/>
    <w:rPr>
      <w:rFonts w:ascii="Times New Roman" w:hAnsi="Times New Roman"/>
      <w:b/>
      <w:sz w:val="28"/>
      <w:lang w:val="en-GB" w:eastAsia="en-US"/>
    </w:rPr>
  </w:style>
  <w:style w:type="character" w:customStyle="1" w:styleId="Heading2Char">
    <w:name w:val="Heading 2 Char"/>
    <w:basedOn w:val="DefaultParagraphFont"/>
    <w:link w:val="Heading2"/>
    <w:rsid w:val="008F4F09"/>
    <w:rPr>
      <w:rFonts w:ascii="Times New Roman" w:hAnsi="Times New Roman"/>
      <w:b/>
      <w:sz w:val="24"/>
      <w:lang w:val="en-GB" w:eastAsia="en-US"/>
    </w:rPr>
  </w:style>
  <w:style w:type="character" w:customStyle="1" w:styleId="Heading3Char">
    <w:name w:val="Heading 3 Char"/>
    <w:basedOn w:val="DefaultParagraphFont"/>
    <w:link w:val="Heading3"/>
    <w:rsid w:val="008F4F09"/>
    <w:rPr>
      <w:rFonts w:ascii="Times New Roman" w:hAnsi="Times New Roman"/>
      <w:b/>
      <w:sz w:val="24"/>
      <w:lang w:val="en-GB" w:eastAsia="en-US"/>
    </w:rPr>
  </w:style>
  <w:style w:type="character" w:customStyle="1" w:styleId="Heading4Char">
    <w:name w:val="Heading 4 Char"/>
    <w:basedOn w:val="DefaultParagraphFont"/>
    <w:link w:val="Heading4"/>
    <w:rsid w:val="008F4F09"/>
    <w:rPr>
      <w:rFonts w:ascii="Times New Roman" w:hAnsi="Times New Roman"/>
      <w:b/>
      <w:sz w:val="24"/>
      <w:lang w:val="en-GB" w:eastAsia="en-US"/>
    </w:rPr>
  </w:style>
  <w:style w:type="character" w:customStyle="1" w:styleId="Heading5Char">
    <w:name w:val="Heading 5 Char"/>
    <w:basedOn w:val="DefaultParagraphFont"/>
    <w:link w:val="Heading5"/>
    <w:rsid w:val="008F4F09"/>
    <w:rPr>
      <w:rFonts w:ascii="Times New Roman" w:hAnsi="Times New Roman"/>
      <w:b/>
      <w:sz w:val="24"/>
      <w:lang w:val="en-GB" w:eastAsia="en-US"/>
    </w:rPr>
  </w:style>
  <w:style w:type="character" w:customStyle="1" w:styleId="Heading6Char">
    <w:name w:val="Heading 6 Char"/>
    <w:basedOn w:val="DefaultParagraphFont"/>
    <w:link w:val="Heading6"/>
    <w:rsid w:val="008F4F09"/>
    <w:rPr>
      <w:rFonts w:ascii="Times New Roman" w:hAnsi="Times New Roman"/>
      <w:b/>
      <w:sz w:val="24"/>
      <w:lang w:val="en-GB" w:eastAsia="en-US"/>
    </w:rPr>
  </w:style>
  <w:style w:type="character" w:customStyle="1" w:styleId="Heading7Char">
    <w:name w:val="Heading 7 Char"/>
    <w:basedOn w:val="DefaultParagraphFont"/>
    <w:link w:val="Heading7"/>
    <w:rsid w:val="008F4F09"/>
    <w:rPr>
      <w:rFonts w:ascii="Times New Roman" w:hAnsi="Times New Roman"/>
      <w:b/>
      <w:sz w:val="24"/>
      <w:lang w:val="en-GB" w:eastAsia="en-US"/>
    </w:rPr>
  </w:style>
  <w:style w:type="character" w:customStyle="1" w:styleId="Heading8Char">
    <w:name w:val="Heading 8 Char"/>
    <w:basedOn w:val="DefaultParagraphFont"/>
    <w:link w:val="Heading8"/>
    <w:rsid w:val="008F4F09"/>
    <w:rPr>
      <w:rFonts w:ascii="Times New Roman" w:hAnsi="Times New Roman"/>
      <w:b/>
      <w:sz w:val="24"/>
      <w:lang w:val="en-GB" w:eastAsia="en-US"/>
    </w:rPr>
  </w:style>
  <w:style w:type="character" w:customStyle="1" w:styleId="Heading9Char">
    <w:name w:val="Heading 9 Char"/>
    <w:basedOn w:val="DefaultParagraphFont"/>
    <w:link w:val="Heading9"/>
    <w:rsid w:val="008F4F09"/>
    <w:rPr>
      <w:rFonts w:ascii="Times New Roman" w:hAnsi="Times New Roman"/>
      <w:b/>
      <w:sz w:val="24"/>
      <w:lang w:val="en-GB" w:eastAsia="en-US"/>
    </w:rPr>
  </w:style>
  <w:style w:type="paragraph" w:customStyle="1" w:styleId="toctemp">
    <w:name w:val="toctemp"/>
    <w:basedOn w:val="Normal"/>
    <w:next w:val="FootnoteText"/>
    <w:rsid w:val="008F4F09"/>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rPr>
  </w:style>
  <w:style w:type="character" w:styleId="Strong">
    <w:name w:val="Strong"/>
    <w:basedOn w:val="DefaultParagraphFont"/>
    <w:qFormat/>
    <w:rsid w:val="008F4F09"/>
    <w:rPr>
      <w:b/>
      <w:bCs/>
    </w:rPr>
  </w:style>
  <w:style w:type="paragraph" w:customStyle="1" w:styleId="Normalaftertitle0">
    <w:name w:val="Normal_after_title"/>
    <w:basedOn w:val="Normal"/>
    <w:next w:val="Normal"/>
    <w:rsid w:val="008F4F09"/>
    <w:pPr>
      <w:tabs>
        <w:tab w:val="clear" w:pos="1134"/>
        <w:tab w:val="clear" w:pos="1871"/>
        <w:tab w:val="clear" w:pos="2268"/>
        <w:tab w:val="left" w:pos="794"/>
        <w:tab w:val="left" w:pos="1191"/>
        <w:tab w:val="left" w:pos="1588"/>
        <w:tab w:val="left" w:pos="1985"/>
      </w:tabs>
      <w:spacing w:before="360"/>
    </w:pPr>
  </w:style>
  <w:style w:type="paragraph" w:styleId="PlainText">
    <w:name w:val="Plain Text"/>
    <w:basedOn w:val="Normal"/>
    <w:link w:val="PlainTextChar"/>
    <w:rsid w:val="008F4F09"/>
    <w:pPr>
      <w:tabs>
        <w:tab w:val="clear" w:pos="1134"/>
        <w:tab w:val="clear" w:pos="1871"/>
        <w:tab w:val="clear" w:pos="2268"/>
      </w:tabs>
      <w:overflowPunct/>
      <w:autoSpaceDE/>
      <w:autoSpaceDN/>
      <w:adjustRightInd/>
      <w:spacing w:before="0"/>
      <w:textAlignment w:val="auto"/>
    </w:pPr>
    <w:rPr>
      <w:rFonts w:ascii="Courier New" w:hAnsi="Courier New" w:cs="Courier New"/>
      <w:sz w:val="20"/>
      <w:lang w:val="en-US"/>
    </w:rPr>
  </w:style>
  <w:style w:type="character" w:customStyle="1" w:styleId="PlainTextChar">
    <w:name w:val="Plain Text Char"/>
    <w:basedOn w:val="DefaultParagraphFont"/>
    <w:link w:val="PlainText"/>
    <w:rsid w:val="008F4F09"/>
    <w:rPr>
      <w:rFonts w:ascii="Courier New" w:hAnsi="Courier New" w:cs="Courier New"/>
      <w:lang w:eastAsia="en-US"/>
    </w:rPr>
  </w:style>
  <w:style w:type="character" w:styleId="Hyperlink">
    <w:name w:val="Hyperlink"/>
    <w:basedOn w:val="DefaultParagraphFont"/>
    <w:unhideWhenUsed/>
    <w:rsid w:val="008F4F09"/>
    <w:rPr>
      <w:color w:val="0000FF"/>
      <w:u w:val="single"/>
    </w:rPr>
  </w:style>
  <w:style w:type="character" w:styleId="FollowedHyperlink">
    <w:name w:val="FollowedHyperlink"/>
    <w:basedOn w:val="DefaultParagraphFont"/>
    <w:uiPriority w:val="99"/>
    <w:unhideWhenUsed/>
    <w:rsid w:val="008F4F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6479C-18F8-4AB5-BA1E-7F910FAA2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PE_RA12.dotm</Template>
  <TotalTime>11</TotalTime>
  <Pages>4</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8336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turnbulk</dc:creator>
  <cp:keywords/>
  <dc:description>PE_RA12.dotm  For: _x000d_Document date: _x000d_Saved by MM-106465 at 11:44:53 on 04/04/11</dc:description>
  <cp:lastModifiedBy>Gomez, Yoanni</cp:lastModifiedBy>
  <cp:revision>8</cp:revision>
  <cp:lastPrinted>2015-11-09T08:07:00Z</cp:lastPrinted>
  <dcterms:created xsi:type="dcterms:W3CDTF">2012-01-20T16:47:00Z</dcterms:created>
  <dcterms:modified xsi:type="dcterms:W3CDTF">2015-11-09T08:07:00Z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