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10031"/>
      </w:tblGrid>
      <w:tr w:rsidR="0075573C">
        <w:trPr>
          <w:cantSplit/>
        </w:trPr>
        <w:tc>
          <w:tcPr>
            <w:tcW w:w="10031" w:type="dxa"/>
          </w:tcPr>
          <w:p w:rsidR="0075573C" w:rsidRPr="009B0298" w:rsidRDefault="003F6553" w:rsidP="008913C8">
            <w:pPr>
              <w:pStyle w:val="ResNo"/>
            </w:pPr>
            <w:bookmarkStart w:id="0" w:name="dtitle1" w:colFirst="0" w:colLast="0"/>
            <w:r w:rsidRPr="009B0298">
              <w:t>la RESOLUCIÓN UIT-R 56-</w:t>
            </w:r>
            <w:r w:rsidR="009B0298">
              <w:t>2</w:t>
            </w:r>
            <w:r w:rsidRPr="009B0298">
              <w:rPr>
                <w:rStyle w:val="FootnoteReference"/>
                <w:lang w:eastAsia="zh-CN"/>
              </w:rPr>
              <w:footnoteReference w:customMarkFollows="1" w:id="1"/>
              <w:t>*</w:t>
            </w:r>
          </w:p>
        </w:tc>
      </w:tr>
      <w:tr w:rsidR="0075573C">
        <w:trPr>
          <w:cantSplit/>
        </w:trPr>
        <w:tc>
          <w:tcPr>
            <w:tcW w:w="10031" w:type="dxa"/>
          </w:tcPr>
          <w:p w:rsidR="0075573C" w:rsidRPr="003F6553" w:rsidRDefault="003F6553" w:rsidP="003F6553">
            <w:pPr>
              <w:pStyle w:val="Restitle"/>
              <w:rPr>
                <w:lang w:val="es-ES"/>
              </w:rPr>
            </w:pPr>
            <w:bookmarkStart w:id="1" w:name="dtitle2" w:colFirst="0" w:colLast="0"/>
            <w:bookmarkEnd w:id="0"/>
            <w:r w:rsidRPr="0050791B">
              <w:rPr>
                <w:lang w:val="es-ES"/>
              </w:rPr>
              <w:t xml:space="preserve">Denominación de </w:t>
            </w:r>
            <w:r w:rsidRPr="003F6553">
              <w:rPr>
                <w:lang w:val="es-ES"/>
              </w:rPr>
              <w:t>las</w:t>
            </w:r>
            <w:r w:rsidRPr="0050791B">
              <w:rPr>
                <w:lang w:val="es-ES"/>
              </w:rPr>
              <w:t xml:space="preserve"> telecomunicaciones móviles internacionales</w:t>
            </w:r>
          </w:p>
        </w:tc>
      </w:tr>
    </w:tbl>
    <w:bookmarkEnd w:id="1"/>
    <w:p w:rsidR="003F6553" w:rsidRPr="00247813" w:rsidRDefault="003F6553" w:rsidP="003F6553">
      <w:pPr>
        <w:pStyle w:val="Resdate"/>
        <w:rPr>
          <w:lang w:eastAsia="zh-CN"/>
        </w:rPr>
      </w:pPr>
      <w:r w:rsidRPr="00247813">
        <w:rPr>
          <w:lang w:eastAsia="zh-CN"/>
        </w:rPr>
        <w:t>(2007-2012</w:t>
      </w:r>
      <w:r w:rsidR="002D475A">
        <w:rPr>
          <w:lang w:eastAsia="zh-CN"/>
        </w:rPr>
        <w:t>-2015</w:t>
      </w:r>
      <w:r w:rsidRPr="00247813">
        <w:rPr>
          <w:lang w:eastAsia="zh-CN"/>
        </w:rPr>
        <w:t>)</w:t>
      </w:r>
    </w:p>
    <w:p w:rsidR="003F6553" w:rsidRPr="00247813" w:rsidRDefault="003F6553" w:rsidP="003F6553">
      <w:pPr>
        <w:pStyle w:val="Headingb"/>
        <w:rPr>
          <w:lang w:eastAsia="zh-CN"/>
        </w:rPr>
      </w:pPr>
      <w:r w:rsidRPr="00247813">
        <w:rPr>
          <w:lang w:eastAsia="zh-CN"/>
        </w:rPr>
        <w:t>Introducción</w:t>
      </w:r>
    </w:p>
    <w:p w:rsidR="003F6553" w:rsidRPr="00676997" w:rsidRDefault="003F6553" w:rsidP="003F6553">
      <w:pPr>
        <w:tabs>
          <w:tab w:val="clear" w:pos="1134"/>
          <w:tab w:val="clear" w:pos="1871"/>
          <w:tab w:val="clear" w:pos="2268"/>
          <w:tab w:val="left" w:pos="794"/>
          <w:tab w:val="left" w:pos="1191"/>
          <w:tab w:val="left" w:pos="1588"/>
          <w:tab w:val="left" w:pos="1985"/>
        </w:tabs>
        <w:rPr>
          <w:lang w:val="es-ES"/>
        </w:rPr>
      </w:pPr>
      <w:r w:rsidRPr="00676997">
        <w:rPr>
          <w:lang w:val="es-ES"/>
        </w:rPr>
        <w:t>Esta Resolución aclara la relación entre los términos «IMT</w:t>
      </w:r>
      <w:r w:rsidRPr="00676997">
        <w:rPr>
          <w:lang w:val="es-ES"/>
        </w:rPr>
        <w:noBreakHyphen/>
        <w:t>2000» e IMT</w:t>
      </w:r>
      <w:r w:rsidRPr="00247813">
        <w:rPr>
          <w:lang w:val="es-ES"/>
        </w:rPr>
        <w:t>-</w:t>
      </w:r>
      <w:r w:rsidRPr="00676997">
        <w:rPr>
          <w:lang w:val="es-ES"/>
        </w:rPr>
        <w:t>Avanzadas» y asigna un nombre</w:t>
      </w:r>
      <w:r w:rsidR="006E7725">
        <w:rPr>
          <w:lang w:val="es-ES"/>
        </w:rPr>
        <w:t xml:space="preserve"> a los sistemas, componentes de</w:t>
      </w:r>
      <w:r w:rsidRPr="00676997">
        <w:rPr>
          <w:lang w:val="es-ES"/>
        </w:rPr>
        <w:t xml:space="preserve"> sistema y aspectos conexos que incluyen a las nuevas interfaces radioeléctricas que soportan las nuevas capacidades de los sistemas </w:t>
      </w:r>
      <w:r w:rsidRPr="00247813">
        <w:rPr>
          <w:lang w:val="es-ES"/>
        </w:rPr>
        <w:t>«</w:t>
      </w:r>
      <w:r w:rsidRPr="00676997">
        <w:rPr>
          <w:lang w:val="es-ES"/>
        </w:rPr>
        <w:t>IMT</w:t>
      </w:r>
      <w:r w:rsidRPr="00247813">
        <w:rPr>
          <w:lang w:val="es-ES"/>
        </w:rPr>
        <w:noBreakHyphen/>
      </w:r>
      <w:r w:rsidRPr="00676997">
        <w:rPr>
          <w:lang w:val="es-ES"/>
        </w:rPr>
        <w:t>2020 y posteriores</w:t>
      </w:r>
      <w:r w:rsidRPr="00247813">
        <w:rPr>
          <w:lang w:val="es-ES"/>
        </w:rPr>
        <w:t>»</w:t>
      </w:r>
      <w:r w:rsidRPr="00676997">
        <w:rPr>
          <w:lang w:val="es-ES"/>
        </w:rPr>
        <w:t xml:space="preserve">. </w:t>
      </w:r>
    </w:p>
    <w:p w:rsidR="003F6553" w:rsidRPr="005117D6" w:rsidRDefault="003F6553" w:rsidP="003F6553">
      <w:pPr>
        <w:pStyle w:val="Headingb"/>
        <w:rPr>
          <w:lang w:eastAsia="zh-CN"/>
        </w:rPr>
      </w:pPr>
      <w:r w:rsidRPr="00247813">
        <w:rPr>
          <w:lang w:eastAsia="zh-CN"/>
        </w:rPr>
        <w:t>Recomendaciones conexas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3"/>
      </w:tblGrid>
      <w:tr w:rsidR="003F6553" w:rsidRPr="005117D6" w:rsidTr="00F752EA">
        <w:trPr>
          <w:cantSplit/>
        </w:trPr>
        <w:tc>
          <w:tcPr>
            <w:tcW w:w="3828" w:type="dxa"/>
          </w:tcPr>
          <w:p w:rsidR="003F6553" w:rsidRPr="00676997" w:rsidRDefault="003F6553" w:rsidP="0050791B">
            <w:pPr>
              <w:tabs>
                <w:tab w:val="clear" w:pos="1134"/>
                <w:tab w:val="clear" w:pos="1871"/>
                <w:tab w:val="clear" w:pos="2268"/>
              </w:tabs>
              <w:rPr>
                <w:lang w:val="es-ES"/>
              </w:rPr>
            </w:pPr>
            <w:r w:rsidRPr="00676997">
              <w:rPr>
                <w:lang w:val="es-ES"/>
              </w:rPr>
              <w:t>Recomendación UIT-R M.687:</w:t>
            </w:r>
          </w:p>
        </w:tc>
        <w:tc>
          <w:tcPr>
            <w:tcW w:w="5953" w:type="dxa"/>
          </w:tcPr>
          <w:p w:rsidR="003F6553" w:rsidRPr="00676997" w:rsidRDefault="003F6553" w:rsidP="0050791B">
            <w:pPr>
              <w:tabs>
                <w:tab w:val="clear" w:pos="1134"/>
                <w:tab w:val="clear" w:pos="1871"/>
                <w:tab w:val="clear" w:pos="2268"/>
              </w:tabs>
              <w:rPr>
                <w:lang w:val="es-ES"/>
              </w:rPr>
            </w:pPr>
            <w:r w:rsidRPr="00676997">
              <w:rPr>
                <w:lang w:val="es-ES"/>
              </w:rPr>
              <w:t>Telecomunicaciones móviles internacionales-2000 (IMT</w:t>
            </w:r>
            <w:r>
              <w:rPr>
                <w:lang w:val="es-ES"/>
              </w:rPr>
              <w:noBreakHyphen/>
            </w:r>
            <w:r w:rsidRPr="00676997">
              <w:rPr>
                <w:lang w:val="es-ES"/>
              </w:rPr>
              <w:t>2000)</w:t>
            </w:r>
          </w:p>
        </w:tc>
      </w:tr>
      <w:tr w:rsidR="003F6553" w:rsidRPr="00140A01" w:rsidTr="00F752EA">
        <w:trPr>
          <w:cantSplit/>
        </w:trPr>
        <w:tc>
          <w:tcPr>
            <w:tcW w:w="3828" w:type="dxa"/>
          </w:tcPr>
          <w:p w:rsidR="003F6553" w:rsidRPr="00676997" w:rsidRDefault="003F6553" w:rsidP="0050791B">
            <w:pPr>
              <w:tabs>
                <w:tab w:val="clear" w:pos="1134"/>
                <w:tab w:val="clear" w:pos="1871"/>
                <w:tab w:val="clear" w:pos="2268"/>
              </w:tabs>
              <w:rPr>
                <w:lang w:val="es-ES"/>
              </w:rPr>
            </w:pPr>
            <w:r w:rsidRPr="00676997">
              <w:rPr>
                <w:lang w:val="es-ES"/>
              </w:rPr>
              <w:t>Recomendación UIT-R M.1457:</w:t>
            </w:r>
          </w:p>
        </w:tc>
        <w:tc>
          <w:tcPr>
            <w:tcW w:w="5953" w:type="dxa"/>
          </w:tcPr>
          <w:p w:rsidR="003F6553" w:rsidRPr="00676997" w:rsidRDefault="003F6553" w:rsidP="0050791B">
            <w:pPr>
              <w:tabs>
                <w:tab w:val="clear" w:pos="1134"/>
                <w:tab w:val="clear" w:pos="1871"/>
                <w:tab w:val="clear" w:pos="2268"/>
              </w:tabs>
              <w:rPr>
                <w:lang w:val="es-ES"/>
              </w:rPr>
            </w:pPr>
            <w:r w:rsidRPr="00676997">
              <w:rPr>
                <w:lang w:val="es-ES"/>
              </w:rPr>
              <w:t>Especificaciones detalladas de las interfaces radioeléctricas terrenales de las telecomunicaciones móviles internacionales</w:t>
            </w:r>
            <w:r w:rsidRPr="00676997">
              <w:rPr>
                <w:lang w:val="es-ES"/>
              </w:rPr>
              <w:noBreakHyphen/>
              <w:t>2000 (IMT</w:t>
            </w:r>
            <w:r w:rsidRPr="00676997">
              <w:rPr>
                <w:lang w:val="es-ES"/>
              </w:rPr>
              <w:noBreakHyphen/>
              <w:t>2000).</w:t>
            </w:r>
          </w:p>
        </w:tc>
      </w:tr>
      <w:tr w:rsidR="003F6553" w:rsidRPr="00140A01" w:rsidTr="00F752EA">
        <w:trPr>
          <w:cantSplit/>
        </w:trPr>
        <w:tc>
          <w:tcPr>
            <w:tcW w:w="3828" w:type="dxa"/>
          </w:tcPr>
          <w:p w:rsidR="003F6553" w:rsidRPr="00676997" w:rsidRDefault="003F6553" w:rsidP="0050791B">
            <w:pPr>
              <w:tabs>
                <w:tab w:val="clear" w:pos="1134"/>
                <w:tab w:val="clear" w:pos="1871"/>
                <w:tab w:val="clear" w:pos="2268"/>
              </w:tabs>
              <w:rPr>
                <w:lang w:val="es-ES"/>
              </w:rPr>
            </w:pPr>
            <w:r w:rsidRPr="00676997">
              <w:rPr>
                <w:lang w:val="es-ES"/>
              </w:rPr>
              <w:t>Recomendación UIT-R M.1645:</w:t>
            </w:r>
          </w:p>
        </w:tc>
        <w:tc>
          <w:tcPr>
            <w:tcW w:w="5953" w:type="dxa"/>
          </w:tcPr>
          <w:p w:rsidR="003F6553" w:rsidRPr="00676997" w:rsidRDefault="003F6553" w:rsidP="0050791B">
            <w:pPr>
              <w:tabs>
                <w:tab w:val="clear" w:pos="1134"/>
                <w:tab w:val="clear" w:pos="1871"/>
                <w:tab w:val="clear" w:pos="2268"/>
              </w:tabs>
              <w:rPr>
                <w:lang w:val="es-ES"/>
              </w:rPr>
            </w:pPr>
            <w:r w:rsidRPr="00676997">
              <w:rPr>
                <w:lang w:val="es-ES"/>
              </w:rPr>
              <w:t>Marco y objetivos generales del desarrollo futuro de las IMT</w:t>
            </w:r>
            <w:r w:rsidRPr="00676997">
              <w:rPr>
                <w:lang w:val="es-ES"/>
              </w:rPr>
              <w:noBreakHyphen/>
              <w:t>2000 y de los sistemas posteriores.</w:t>
            </w:r>
          </w:p>
        </w:tc>
      </w:tr>
      <w:tr w:rsidR="003F6553" w:rsidRPr="00140A01" w:rsidTr="00F752EA">
        <w:tc>
          <w:tcPr>
            <w:tcW w:w="3828" w:type="dxa"/>
          </w:tcPr>
          <w:p w:rsidR="003F6553" w:rsidRPr="00676997" w:rsidRDefault="003F6553" w:rsidP="0050791B">
            <w:pPr>
              <w:tabs>
                <w:tab w:val="clear" w:pos="1134"/>
                <w:tab w:val="clear" w:pos="1871"/>
                <w:tab w:val="clear" w:pos="2268"/>
              </w:tabs>
              <w:rPr>
                <w:lang w:val="es-ES"/>
              </w:rPr>
            </w:pPr>
            <w:r w:rsidRPr="00676997">
              <w:rPr>
                <w:lang w:val="es-ES"/>
              </w:rPr>
              <w:t>Recomendación UIT-R M.1850:</w:t>
            </w:r>
          </w:p>
        </w:tc>
        <w:tc>
          <w:tcPr>
            <w:tcW w:w="5953" w:type="dxa"/>
          </w:tcPr>
          <w:p w:rsidR="003F6553" w:rsidRPr="00676997" w:rsidRDefault="003F6553" w:rsidP="0050791B">
            <w:pPr>
              <w:tabs>
                <w:tab w:val="clear" w:pos="1134"/>
                <w:tab w:val="clear" w:pos="1871"/>
                <w:tab w:val="clear" w:pos="2268"/>
              </w:tabs>
              <w:rPr>
                <w:lang w:val="es-ES"/>
              </w:rPr>
            </w:pPr>
            <w:r w:rsidRPr="00676997">
              <w:rPr>
                <w:lang w:val="es-ES"/>
              </w:rPr>
              <w:t>Especificaciones detalladas de las interfaces radioeléctricas de la componente de satélite de las telecomunicaciones móviles internacionales (IMT-2000).</w:t>
            </w:r>
          </w:p>
        </w:tc>
      </w:tr>
      <w:tr w:rsidR="003F6553" w:rsidRPr="00140A01" w:rsidTr="00F752EA">
        <w:tc>
          <w:tcPr>
            <w:tcW w:w="3828" w:type="dxa"/>
          </w:tcPr>
          <w:p w:rsidR="003F6553" w:rsidRPr="00676997" w:rsidRDefault="003F6553" w:rsidP="0050791B">
            <w:pPr>
              <w:tabs>
                <w:tab w:val="clear" w:pos="1134"/>
                <w:tab w:val="clear" w:pos="1871"/>
                <w:tab w:val="clear" w:pos="2268"/>
              </w:tabs>
              <w:rPr>
                <w:lang w:val="es-ES"/>
              </w:rPr>
            </w:pPr>
            <w:r w:rsidRPr="00676997">
              <w:rPr>
                <w:lang w:val="es-ES"/>
              </w:rPr>
              <w:t>Recomendación UIT-R M.2012:</w:t>
            </w:r>
          </w:p>
        </w:tc>
        <w:tc>
          <w:tcPr>
            <w:tcW w:w="5953" w:type="dxa"/>
          </w:tcPr>
          <w:p w:rsidR="003F6553" w:rsidRPr="00676997" w:rsidRDefault="003F6553" w:rsidP="0050791B">
            <w:pPr>
              <w:tabs>
                <w:tab w:val="clear" w:pos="1134"/>
                <w:tab w:val="clear" w:pos="1871"/>
                <w:tab w:val="clear" w:pos="2268"/>
              </w:tabs>
              <w:rPr>
                <w:lang w:val="es-ES"/>
              </w:rPr>
            </w:pPr>
            <w:r w:rsidRPr="00676997">
              <w:rPr>
                <w:lang w:val="es-ES"/>
              </w:rPr>
              <w:t>Especificaciones detalladas de las interfaces radioeléctricas terrenales de las telecomunicaciones móviles internacionales</w:t>
            </w:r>
            <w:r w:rsidRPr="00676997">
              <w:rPr>
                <w:lang w:val="es-ES"/>
              </w:rPr>
              <w:noBreakHyphen/>
              <w:t>avanzadas (IMT-Avanzadas).</w:t>
            </w:r>
          </w:p>
        </w:tc>
      </w:tr>
      <w:tr w:rsidR="003F6553" w:rsidRPr="00140A01" w:rsidTr="00F752EA">
        <w:tc>
          <w:tcPr>
            <w:tcW w:w="3828" w:type="dxa"/>
          </w:tcPr>
          <w:p w:rsidR="003F6553" w:rsidRPr="00676997" w:rsidRDefault="003F6553" w:rsidP="0050791B">
            <w:pPr>
              <w:tabs>
                <w:tab w:val="clear" w:pos="1134"/>
                <w:tab w:val="clear" w:pos="1871"/>
                <w:tab w:val="clear" w:pos="2268"/>
              </w:tabs>
              <w:rPr>
                <w:lang w:val="es-ES"/>
              </w:rPr>
            </w:pPr>
            <w:r w:rsidRPr="00676997">
              <w:rPr>
                <w:lang w:val="es-ES"/>
              </w:rPr>
              <w:t>Recomendación UIT-R M.2047:</w:t>
            </w:r>
          </w:p>
        </w:tc>
        <w:tc>
          <w:tcPr>
            <w:tcW w:w="5953" w:type="dxa"/>
          </w:tcPr>
          <w:p w:rsidR="003F6553" w:rsidRPr="00676997" w:rsidRDefault="003F6553" w:rsidP="0050791B">
            <w:pPr>
              <w:tabs>
                <w:tab w:val="clear" w:pos="1134"/>
                <w:tab w:val="clear" w:pos="1871"/>
                <w:tab w:val="clear" w:pos="2268"/>
              </w:tabs>
              <w:rPr>
                <w:lang w:val="es-ES"/>
              </w:rPr>
            </w:pPr>
            <w:r w:rsidRPr="00676997">
              <w:rPr>
                <w:lang w:val="es-ES"/>
              </w:rPr>
              <w:t>Especificaciones detalladas de las interfaces radioeléctricas de satélite de las telecomunicaciones móviles internacionales-avanzadas</w:t>
            </w:r>
            <w:r>
              <w:rPr>
                <w:lang w:val="es-ES"/>
              </w:rPr>
              <w:t xml:space="preserve"> </w:t>
            </w:r>
            <w:r w:rsidRPr="00676997">
              <w:rPr>
                <w:lang w:val="es-ES"/>
              </w:rPr>
              <w:t>(IMT-Avanzadas).</w:t>
            </w:r>
          </w:p>
        </w:tc>
      </w:tr>
      <w:tr w:rsidR="003F6553" w:rsidRPr="00140A01" w:rsidTr="00F752EA">
        <w:tc>
          <w:tcPr>
            <w:tcW w:w="3828" w:type="dxa"/>
          </w:tcPr>
          <w:p w:rsidR="003F6553" w:rsidRPr="00676997" w:rsidRDefault="003F6553" w:rsidP="0050791B">
            <w:pPr>
              <w:tabs>
                <w:tab w:val="clear" w:pos="1134"/>
                <w:tab w:val="clear" w:pos="1871"/>
                <w:tab w:val="clear" w:pos="2268"/>
              </w:tabs>
              <w:rPr>
                <w:lang w:val="es-ES"/>
              </w:rPr>
            </w:pPr>
            <w:r w:rsidRPr="00676997">
              <w:rPr>
                <w:lang w:val="es-ES"/>
              </w:rPr>
              <w:t>Recomendación UIT-R M.2083</w:t>
            </w:r>
            <w:r w:rsidR="004F7A98">
              <w:rPr>
                <w:lang w:val="es-ES"/>
              </w:rPr>
              <w:t>-0</w:t>
            </w:r>
            <w:r w:rsidRPr="00676997">
              <w:rPr>
                <w:lang w:val="es-ES"/>
              </w:rPr>
              <w:t>:</w:t>
            </w:r>
          </w:p>
        </w:tc>
        <w:tc>
          <w:tcPr>
            <w:tcW w:w="5953" w:type="dxa"/>
          </w:tcPr>
          <w:p w:rsidR="003F6553" w:rsidRPr="00676997" w:rsidRDefault="003F6553" w:rsidP="0050791B">
            <w:pPr>
              <w:tabs>
                <w:tab w:val="clear" w:pos="1134"/>
                <w:tab w:val="clear" w:pos="1871"/>
                <w:tab w:val="clear" w:pos="2268"/>
              </w:tabs>
              <w:rPr>
                <w:lang w:val="es-ES"/>
              </w:rPr>
            </w:pPr>
            <w:r w:rsidRPr="00676997">
              <w:rPr>
                <w:lang w:val="es-ES"/>
              </w:rPr>
              <w:t>IMT Visión – «Marco y objetivos generales de la futura evolución</w:t>
            </w:r>
            <w:r>
              <w:rPr>
                <w:lang w:val="es-ES"/>
              </w:rPr>
              <w:t xml:space="preserve"> </w:t>
            </w:r>
            <w:r w:rsidRPr="00676997">
              <w:rPr>
                <w:lang w:val="es-ES"/>
              </w:rPr>
              <w:t>de las IMT antes y después de 2020»</w:t>
            </w:r>
            <w:r>
              <w:rPr>
                <w:lang w:val="es-ES"/>
              </w:rPr>
              <w:t>.</w:t>
            </w:r>
          </w:p>
        </w:tc>
      </w:tr>
    </w:tbl>
    <w:p w:rsidR="003F6553" w:rsidRPr="00676997" w:rsidRDefault="003F6553" w:rsidP="00782BE2">
      <w:pPr>
        <w:pStyle w:val="Normalaftertitle"/>
        <w:rPr>
          <w:lang w:eastAsia="zh-CN"/>
        </w:rPr>
      </w:pPr>
      <w:r w:rsidRPr="00676997">
        <w:rPr>
          <w:lang w:eastAsia="zh-CN"/>
        </w:rPr>
        <w:t>La Asamblea de Radiocomunicaciones de la UIT,</w:t>
      </w:r>
    </w:p>
    <w:p w:rsidR="003F6553" w:rsidRPr="00676997" w:rsidRDefault="003F6553" w:rsidP="003F6553">
      <w:pPr>
        <w:keepNext/>
        <w:keepLines/>
        <w:spacing w:before="160"/>
        <w:ind w:left="1134"/>
        <w:rPr>
          <w:i/>
          <w:lang w:val="es-ES"/>
        </w:rPr>
      </w:pPr>
      <w:r w:rsidRPr="00676997">
        <w:rPr>
          <w:i/>
          <w:lang w:val="es-ES"/>
        </w:rPr>
        <w:t>considerando</w:t>
      </w:r>
    </w:p>
    <w:p w:rsidR="003F6553" w:rsidRPr="00676997" w:rsidRDefault="003F6553" w:rsidP="003F6553">
      <w:pPr>
        <w:rPr>
          <w:lang w:val="es-ES"/>
        </w:rPr>
      </w:pPr>
      <w:r w:rsidRPr="00676997">
        <w:rPr>
          <w:i/>
          <w:iCs/>
          <w:lang w:val="es-ES"/>
        </w:rPr>
        <w:t>a)</w:t>
      </w:r>
      <w:r w:rsidRPr="00676997">
        <w:rPr>
          <w:lang w:val="es-ES"/>
        </w:rPr>
        <w:tab/>
        <w:t xml:space="preserve">que la visión declarada de la UIT es </w:t>
      </w:r>
      <w:r w:rsidRPr="00140A01">
        <w:rPr>
          <w:lang w:val="es-ES"/>
        </w:rPr>
        <w:t>«</w:t>
      </w:r>
      <w:r w:rsidRPr="00676997">
        <w:rPr>
          <w:lang w:val="es-ES"/>
        </w:rPr>
        <w:t>Comprometida para conectar al mundo</w:t>
      </w:r>
      <w:r w:rsidRPr="00140A01">
        <w:rPr>
          <w:lang w:val="es-ES"/>
        </w:rPr>
        <w:t>»</w:t>
      </w:r>
      <w:r w:rsidRPr="00676997">
        <w:rPr>
          <w:rStyle w:val="FootnoteReference"/>
          <w:lang w:val="es-ES"/>
        </w:rPr>
        <w:footnoteReference w:id="2"/>
      </w:r>
      <w:r w:rsidRPr="00676997">
        <w:rPr>
          <w:lang w:val="es-ES"/>
        </w:rPr>
        <w:t>;</w:t>
      </w:r>
    </w:p>
    <w:p w:rsidR="003F6553" w:rsidRPr="00676997" w:rsidRDefault="003F6553" w:rsidP="003F6553">
      <w:pPr>
        <w:rPr>
          <w:lang w:val="es-ES"/>
        </w:rPr>
      </w:pPr>
      <w:r w:rsidRPr="00676997">
        <w:rPr>
          <w:i/>
          <w:iCs/>
          <w:lang w:val="es-ES"/>
        </w:rPr>
        <w:t>b)</w:t>
      </w:r>
      <w:r w:rsidRPr="00676997">
        <w:rPr>
          <w:lang w:val="es-ES"/>
        </w:rPr>
        <w:tab/>
        <w:t xml:space="preserve">que los sistemas de Telecomunicaciones Móviles Internacionales-2000 (IMT-2000) se pusieron en servicio en torno al año 2000, y desde entonces se han mejorado </w:t>
      </w:r>
      <w:r w:rsidRPr="00140A01">
        <w:rPr>
          <w:lang w:val="es-ES"/>
        </w:rPr>
        <w:t>continuamente</w:t>
      </w:r>
      <w:r w:rsidRPr="00676997">
        <w:rPr>
          <w:lang w:val="es-ES"/>
        </w:rPr>
        <w:t>;</w:t>
      </w:r>
    </w:p>
    <w:p w:rsidR="003F6553" w:rsidRPr="00676997" w:rsidRDefault="003F6553" w:rsidP="003F6553">
      <w:pPr>
        <w:rPr>
          <w:lang w:val="es-ES"/>
        </w:rPr>
      </w:pPr>
      <w:r w:rsidRPr="00676997">
        <w:rPr>
          <w:i/>
          <w:iCs/>
          <w:lang w:val="es-ES"/>
        </w:rPr>
        <w:t>c)</w:t>
      </w:r>
      <w:r w:rsidRPr="00676997">
        <w:rPr>
          <w:lang w:val="es-ES"/>
        </w:rPr>
        <w:tab/>
        <w:t>que los sistemas de las IMT-Avanzadas se desarrollaron para ofrecer nuevas capacidades, descritas en la Recomendación UIT-R M.1645, más avanzadas que las que ofrecen las IMT-2000;</w:t>
      </w:r>
    </w:p>
    <w:p w:rsidR="003F6553" w:rsidRPr="00676997" w:rsidRDefault="003F6553" w:rsidP="003F6553">
      <w:pPr>
        <w:rPr>
          <w:lang w:val="es-ES"/>
        </w:rPr>
      </w:pPr>
      <w:r w:rsidRPr="00676997">
        <w:rPr>
          <w:i/>
          <w:iCs/>
          <w:lang w:val="es-ES"/>
        </w:rPr>
        <w:lastRenderedPageBreak/>
        <w:t>d)</w:t>
      </w:r>
      <w:r w:rsidRPr="00676997">
        <w:rPr>
          <w:lang w:val="es-ES"/>
        </w:rPr>
        <w:tab/>
        <w:t>que los sistemas de las IMT-Avanzadas se pusieron en servicio en torno al año 2013 y desde entonces se han mejorado continuamente;</w:t>
      </w:r>
    </w:p>
    <w:p w:rsidR="003F6553" w:rsidRPr="00676997" w:rsidRDefault="003F6553" w:rsidP="003F6553">
      <w:pPr>
        <w:rPr>
          <w:lang w:val="es-ES"/>
        </w:rPr>
      </w:pPr>
      <w:r w:rsidRPr="00676997">
        <w:rPr>
          <w:i/>
          <w:iCs/>
          <w:lang w:val="es-ES"/>
        </w:rPr>
        <w:t>e)</w:t>
      </w:r>
      <w:r w:rsidRPr="00676997">
        <w:rPr>
          <w:lang w:val="es-ES"/>
        </w:rPr>
        <w:tab/>
        <w:t>que para atender a la evolución de las necesidades de los usuarios, el UIT</w:t>
      </w:r>
      <w:r w:rsidRPr="00140A01">
        <w:rPr>
          <w:lang w:val="es-ES"/>
        </w:rPr>
        <w:noBreakHyphen/>
      </w:r>
      <w:r w:rsidRPr="00676997">
        <w:rPr>
          <w:lang w:val="es-ES"/>
        </w:rPr>
        <w:t xml:space="preserve">R trabaja actualmente en el desarrollo futuro de las </w:t>
      </w:r>
      <w:r w:rsidRPr="00140A01">
        <w:rPr>
          <w:lang w:val="es-ES"/>
        </w:rPr>
        <w:t>«</w:t>
      </w:r>
      <w:r w:rsidRPr="00676997">
        <w:rPr>
          <w:lang w:val="es-ES"/>
        </w:rPr>
        <w:t>IMT</w:t>
      </w:r>
      <w:r w:rsidR="00DE7C98">
        <w:rPr>
          <w:lang w:val="es-ES"/>
        </w:rPr>
        <w:t xml:space="preserve"> para </w:t>
      </w:r>
      <w:r w:rsidRPr="00676997">
        <w:rPr>
          <w:lang w:val="es-ES"/>
        </w:rPr>
        <w:t>2020 y sistemas posteriores</w:t>
      </w:r>
      <w:r w:rsidRPr="00140A01">
        <w:rPr>
          <w:lang w:val="es-ES"/>
        </w:rPr>
        <w:t>»</w:t>
      </w:r>
      <w:r w:rsidRPr="00676997">
        <w:rPr>
          <w:lang w:val="es-ES"/>
        </w:rPr>
        <w:t>,</w:t>
      </w:r>
    </w:p>
    <w:p w:rsidR="003F6553" w:rsidRPr="00676997" w:rsidRDefault="003F6553" w:rsidP="003F6553">
      <w:pPr>
        <w:keepNext/>
        <w:keepLines/>
        <w:spacing w:before="160"/>
        <w:ind w:left="1134"/>
        <w:rPr>
          <w:i/>
          <w:lang w:val="es-ES"/>
        </w:rPr>
      </w:pPr>
      <w:r w:rsidRPr="00676997">
        <w:rPr>
          <w:i/>
          <w:lang w:val="es-ES"/>
        </w:rPr>
        <w:t>reconociendo</w:t>
      </w:r>
    </w:p>
    <w:p w:rsidR="003F6553" w:rsidRPr="00676997" w:rsidRDefault="003F6553" w:rsidP="003F6553">
      <w:pPr>
        <w:rPr>
          <w:lang w:val="es-ES"/>
        </w:rPr>
      </w:pPr>
      <w:r w:rsidRPr="00676997">
        <w:rPr>
          <w:i/>
          <w:iCs/>
          <w:lang w:val="es-ES"/>
        </w:rPr>
        <w:t>a)</w:t>
      </w:r>
      <w:r w:rsidRPr="00676997">
        <w:rPr>
          <w:i/>
          <w:iCs/>
          <w:lang w:val="es-ES"/>
        </w:rPr>
        <w:tab/>
      </w:r>
      <w:r w:rsidRPr="00676997">
        <w:rPr>
          <w:lang w:val="es-ES"/>
        </w:rPr>
        <w:t>que la UIT es la entidad reconocida internacionalmente que tiene la responsabilidad exclusiva de definir y recomendar las normas y disposiciones de radiofrecuencias para los sistemas IMT, con la colaboración de otros organismos tales como las organizaciones de elaboración de normas, universidades y organizaciones empresariales, y asociándose a proyectos, foros, consorcios y entidades de investigación;</w:t>
      </w:r>
    </w:p>
    <w:p w:rsidR="003F6553" w:rsidRPr="00676997" w:rsidRDefault="003F6553" w:rsidP="003F6553">
      <w:pPr>
        <w:rPr>
          <w:lang w:val="es-ES"/>
        </w:rPr>
      </w:pPr>
      <w:r w:rsidRPr="00676997">
        <w:rPr>
          <w:i/>
          <w:iCs/>
          <w:lang w:val="es-ES"/>
        </w:rPr>
        <w:t>b)</w:t>
      </w:r>
      <w:r w:rsidRPr="00676997">
        <w:rPr>
          <w:i/>
          <w:iCs/>
          <w:lang w:val="es-ES"/>
        </w:rPr>
        <w:tab/>
      </w:r>
      <w:r w:rsidRPr="00676997">
        <w:rPr>
          <w:lang w:val="es-ES"/>
        </w:rPr>
        <w:t>que la UIT trabaja a escala mundial de conformidad con la Resolución UIT</w:t>
      </w:r>
      <w:r w:rsidRPr="00676997">
        <w:rPr>
          <w:lang w:val="es-ES"/>
        </w:rPr>
        <w:noBreakHyphen/>
        <w:t>R 9 para crear en el futuro un sistema de comunicaciones móviles inalámbricas unificado;</w:t>
      </w:r>
    </w:p>
    <w:p w:rsidR="003F6553" w:rsidRPr="00676997" w:rsidRDefault="00A95D57" w:rsidP="00A95D57">
      <w:pPr>
        <w:rPr>
          <w:lang w:val="es-ES"/>
        </w:rPr>
      </w:pPr>
      <w:r w:rsidRPr="00676997">
        <w:rPr>
          <w:i/>
          <w:iCs/>
          <w:lang w:val="es-ES"/>
        </w:rPr>
        <w:t>c</w:t>
      </w:r>
      <w:r w:rsidR="003F6553" w:rsidRPr="00676997">
        <w:rPr>
          <w:i/>
          <w:iCs/>
          <w:lang w:val="es-ES"/>
        </w:rPr>
        <w:t>)</w:t>
      </w:r>
      <w:r w:rsidR="003F6553" w:rsidRPr="00676997">
        <w:rPr>
          <w:i/>
          <w:iCs/>
          <w:lang w:val="es-ES"/>
        </w:rPr>
        <w:tab/>
      </w:r>
      <w:r w:rsidR="003F6553" w:rsidRPr="00676997">
        <w:rPr>
          <w:lang w:val="es-ES"/>
        </w:rPr>
        <w:t>que la UIT puede especificar sus procesos y principios para el desarrollo de sistemas;</w:t>
      </w:r>
    </w:p>
    <w:p w:rsidR="003F6553" w:rsidRPr="00676997" w:rsidRDefault="003F6553" w:rsidP="003F6553">
      <w:pPr>
        <w:rPr>
          <w:lang w:val="es-ES"/>
        </w:rPr>
      </w:pPr>
      <w:r w:rsidRPr="00676997">
        <w:rPr>
          <w:i/>
          <w:iCs/>
          <w:lang w:val="es-ES"/>
        </w:rPr>
        <w:t>d)</w:t>
      </w:r>
      <w:r w:rsidRPr="00676997">
        <w:rPr>
          <w:lang w:val="es-ES"/>
        </w:rPr>
        <w:tab/>
        <w:t>que las Recomendaciones UIT-R M.1457 y UIT-R M.2012 son dos Recomendaciones distintas, independientes y autónomas, cada una de ellas con un objetivo diferente, que ambas Recomendaciones se desarrollarán de forma independiente y que su contenido podría solaparse parcialmente por tener ciertos elementos en común;</w:t>
      </w:r>
    </w:p>
    <w:p w:rsidR="003F6553" w:rsidRPr="00676997" w:rsidRDefault="003F6553" w:rsidP="003F6553">
      <w:pPr>
        <w:rPr>
          <w:lang w:val="es-ES"/>
        </w:rPr>
      </w:pPr>
      <w:r w:rsidRPr="00676997">
        <w:rPr>
          <w:i/>
          <w:iCs/>
          <w:lang w:val="es-ES"/>
        </w:rPr>
        <w:t>e)</w:t>
      </w:r>
      <w:r w:rsidRPr="00676997">
        <w:rPr>
          <w:lang w:val="es-ES"/>
        </w:rPr>
        <w:tab/>
        <w:t xml:space="preserve">que el punto de vista señalado en el </w:t>
      </w:r>
      <w:r w:rsidRPr="00676997">
        <w:rPr>
          <w:i/>
          <w:iCs/>
          <w:lang w:val="es-ES"/>
        </w:rPr>
        <w:t>reconociendo d)</w:t>
      </w:r>
      <w:r w:rsidRPr="00676997">
        <w:rPr>
          <w:lang w:val="es-ES"/>
        </w:rPr>
        <w:t xml:space="preserve"> también podría adoptarse en el futuro en relación con las Recomendaciones y los Informes sobre el desarrollo de las interfaces radioeléctricas para las </w:t>
      </w:r>
      <w:r w:rsidRPr="00140A01">
        <w:rPr>
          <w:lang w:val="es-ES"/>
        </w:rPr>
        <w:t>«</w:t>
      </w:r>
      <w:r w:rsidRPr="00676997">
        <w:rPr>
          <w:lang w:val="es-ES"/>
        </w:rPr>
        <w:t>IMT</w:t>
      </w:r>
      <w:r w:rsidR="00DE7C98">
        <w:rPr>
          <w:lang w:val="es-ES"/>
        </w:rPr>
        <w:t xml:space="preserve"> para </w:t>
      </w:r>
      <w:r w:rsidRPr="00676997">
        <w:rPr>
          <w:lang w:val="es-ES"/>
        </w:rPr>
        <w:t>2020 y sistemas posteriores</w:t>
      </w:r>
      <w:r w:rsidRPr="00140A01">
        <w:rPr>
          <w:lang w:val="es-ES"/>
        </w:rPr>
        <w:t>»</w:t>
      </w:r>
      <w:r w:rsidRPr="00676997">
        <w:rPr>
          <w:lang w:val="es-ES"/>
        </w:rPr>
        <w:t>;</w:t>
      </w:r>
    </w:p>
    <w:p w:rsidR="003F6553" w:rsidRPr="00676997" w:rsidRDefault="003F6553" w:rsidP="003F6553">
      <w:pPr>
        <w:rPr>
          <w:lang w:val="es-ES"/>
        </w:rPr>
      </w:pPr>
      <w:r w:rsidRPr="00676997">
        <w:rPr>
          <w:i/>
          <w:iCs/>
          <w:lang w:val="es-ES"/>
        </w:rPr>
        <w:t>f)</w:t>
      </w:r>
      <w:r w:rsidRPr="00676997">
        <w:rPr>
          <w:lang w:val="es-ES"/>
        </w:rPr>
        <w:tab/>
        <w:t>que existe la necesidad de una denominación de base que abarque todos los sistemas IMT y su desarrollo futuro, de forma colectiva;</w:t>
      </w:r>
    </w:p>
    <w:p w:rsidR="003F6553" w:rsidRPr="00676997" w:rsidRDefault="003F6553" w:rsidP="003F6553">
      <w:pPr>
        <w:rPr>
          <w:lang w:val="es-ES"/>
        </w:rPr>
      </w:pPr>
      <w:r w:rsidRPr="00676997">
        <w:rPr>
          <w:i/>
          <w:iCs/>
          <w:lang w:val="es-ES"/>
        </w:rPr>
        <w:t>g)</w:t>
      </w:r>
      <w:r w:rsidRPr="00676997">
        <w:rPr>
          <w:lang w:val="es-ES"/>
        </w:rPr>
        <w:tab/>
        <w:t>que para las IMT-2000:</w:t>
      </w:r>
    </w:p>
    <w:p w:rsidR="003F6553" w:rsidRPr="00676997" w:rsidRDefault="003F6553" w:rsidP="003F6553">
      <w:pPr>
        <w:tabs>
          <w:tab w:val="clear" w:pos="2268"/>
          <w:tab w:val="left" w:pos="2608"/>
          <w:tab w:val="left" w:pos="3345"/>
        </w:tabs>
        <w:spacing w:before="80"/>
        <w:ind w:left="1134" w:hanging="1134"/>
        <w:rPr>
          <w:lang w:val="es-ES"/>
        </w:rPr>
      </w:pPr>
      <w:r w:rsidRPr="00676997">
        <w:rPr>
          <w:lang w:val="es-ES"/>
        </w:rPr>
        <w:t>–</w:t>
      </w:r>
      <w:r w:rsidRPr="00676997">
        <w:rPr>
          <w:lang w:val="es-ES"/>
        </w:rPr>
        <w:tab/>
        <w:t>el término actual IMT-2000 sigue siendo pertinente y debería seguir utilizándose;</w:t>
      </w:r>
    </w:p>
    <w:p w:rsidR="003F6553" w:rsidRPr="00676997" w:rsidRDefault="003F6553" w:rsidP="003F6553">
      <w:pPr>
        <w:tabs>
          <w:tab w:val="clear" w:pos="2268"/>
          <w:tab w:val="left" w:pos="2608"/>
          <w:tab w:val="left" w:pos="3345"/>
        </w:tabs>
        <w:spacing w:before="80"/>
        <w:ind w:left="1134" w:hanging="1134"/>
        <w:rPr>
          <w:lang w:val="es-ES"/>
        </w:rPr>
      </w:pPr>
      <w:r w:rsidRPr="00676997">
        <w:rPr>
          <w:lang w:val="es-ES"/>
        </w:rPr>
        <w:t>–</w:t>
      </w:r>
      <w:r w:rsidRPr="00676997">
        <w:rPr>
          <w:lang w:val="es-ES"/>
        </w:rPr>
        <w:tab/>
      </w:r>
      <w:r w:rsidRPr="00140A01">
        <w:rPr>
          <w:lang w:val="es-ES"/>
        </w:rPr>
        <w:t>que en la Recomendación UIT</w:t>
      </w:r>
      <w:r w:rsidRPr="00140A01">
        <w:rPr>
          <w:lang w:val="es-ES"/>
        </w:rPr>
        <w:noBreakHyphen/>
        <w:t>R M.687 se definen los objetivos de las IMT</w:t>
      </w:r>
      <w:r w:rsidRPr="00140A01">
        <w:rPr>
          <w:lang w:val="es-ES"/>
        </w:rPr>
        <w:noBreakHyphen/>
        <w:t>2000 y</w:t>
      </w:r>
      <w:r w:rsidR="00DE7C98">
        <w:rPr>
          <w:lang w:val="es-ES"/>
        </w:rPr>
        <w:t>,</w:t>
      </w:r>
      <w:r w:rsidRPr="00140A01">
        <w:rPr>
          <w:lang w:val="es-ES"/>
        </w:rPr>
        <w:t xml:space="preserve"> posteriormente</w:t>
      </w:r>
      <w:r w:rsidR="00DE7C98">
        <w:rPr>
          <w:lang w:val="es-ES"/>
        </w:rPr>
        <w:t>,</w:t>
      </w:r>
      <w:r w:rsidRPr="00140A01">
        <w:rPr>
          <w:lang w:val="es-ES"/>
        </w:rPr>
        <w:t xml:space="preserve"> </w:t>
      </w:r>
      <w:r w:rsidRPr="00676997">
        <w:rPr>
          <w:lang w:val="es-ES"/>
        </w:rPr>
        <w:t>en la Recomendación UIT-R M.1645 se define</w:t>
      </w:r>
      <w:r w:rsidR="00DE7C98">
        <w:rPr>
          <w:lang w:val="es-ES"/>
        </w:rPr>
        <w:t>n</w:t>
      </w:r>
      <w:r w:rsidRPr="00676997">
        <w:rPr>
          <w:lang w:val="es-ES"/>
        </w:rPr>
        <w:t xml:space="preserve"> el marco y los objetivos generales del desarrollo futuro de las IMT-2000;</w:t>
      </w:r>
    </w:p>
    <w:p w:rsidR="003F6553" w:rsidRPr="00676997" w:rsidRDefault="003F6553" w:rsidP="003F6553">
      <w:pPr>
        <w:tabs>
          <w:tab w:val="clear" w:pos="2268"/>
          <w:tab w:val="left" w:pos="2608"/>
          <w:tab w:val="left" w:pos="3345"/>
        </w:tabs>
        <w:spacing w:before="80"/>
        <w:ind w:left="1134" w:hanging="1134"/>
        <w:rPr>
          <w:lang w:val="es-ES"/>
        </w:rPr>
      </w:pPr>
      <w:r w:rsidRPr="00676997">
        <w:rPr>
          <w:lang w:val="es-ES"/>
        </w:rPr>
        <w:t>–</w:t>
      </w:r>
      <w:r w:rsidRPr="00676997">
        <w:rPr>
          <w:lang w:val="es-ES"/>
        </w:rPr>
        <w:tab/>
        <w:t>que las especificaciones detalladas de las interfaces radioeléctricas terrenales de las IMT</w:t>
      </w:r>
      <w:r w:rsidRPr="00140A01">
        <w:rPr>
          <w:lang w:val="es-ES"/>
        </w:rPr>
        <w:t>-</w:t>
      </w:r>
      <w:r w:rsidRPr="00676997">
        <w:rPr>
          <w:lang w:val="es-ES"/>
        </w:rPr>
        <w:t>2000 se definen en la Recomendación UIT</w:t>
      </w:r>
      <w:r w:rsidRPr="00140A01">
        <w:rPr>
          <w:lang w:val="es-ES"/>
        </w:rPr>
        <w:t>-</w:t>
      </w:r>
      <w:r w:rsidRPr="00676997">
        <w:rPr>
          <w:lang w:val="es-ES"/>
        </w:rPr>
        <w:t xml:space="preserve">R M.1457 y que en </w:t>
      </w:r>
      <w:r w:rsidRPr="00140A01">
        <w:rPr>
          <w:lang w:val="es-ES"/>
        </w:rPr>
        <w:t xml:space="preserve">las </w:t>
      </w:r>
      <w:r w:rsidRPr="00676997">
        <w:rPr>
          <w:lang w:val="es-ES"/>
        </w:rPr>
        <w:t xml:space="preserve">revisiones de dicha Recomendación también debería definirse </w:t>
      </w:r>
      <w:r w:rsidRPr="00140A01">
        <w:rPr>
          <w:lang w:val="es-ES"/>
        </w:rPr>
        <w:t xml:space="preserve">el futuro </w:t>
      </w:r>
      <w:r w:rsidRPr="00676997">
        <w:rPr>
          <w:lang w:val="es-ES"/>
        </w:rPr>
        <w:t>desarrollo de las interfaces radioeléctricas terrenales de las IMT</w:t>
      </w:r>
      <w:r w:rsidRPr="00140A01">
        <w:rPr>
          <w:lang w:val="es-ES"/>
        </w:rPr>
        <w:t>-</w:t>
      </w:r>
      <w:r w:rsidRPr="00676997">
        <w:rPr>
          <w:lang w:val="es-ES"/>
        </w:rPr>
        <w:t>2000;</w:t>
      </w:r>
    </w:p>
    <w:p w:rsidR="003F6553" w:rsidRPr="00676997" w:rsidRDefault="003F6553" w:rsidP="003F6553">
      <w:pPr>
        <w:tabs>
          <w:tab w:val="clear" w:pos="2268"/>
          <w:tab w:val="left" w:pos="2608"/>
          <w:tab w:val="left" w:pos="3345"/>
        </w:tabs>
        <w:spacing w:before="80"/>
        <w:ind w:left="1134" w:hanging="1134"/>
        <w:rPr>
          <w:lang w:val="es-ES"/>
        </w:rPr>
      </w:pPr>
      <w:r w:rsidRPr="00676997">
        <w:rPr>
          <w:lang w:val="es-ES"/>
        </w:rPr>
        <w:t>–</w:t>
      </w:r>
      <w:r w:rsidRPr="00676997">
        <w:rPr>
          <w:lang w:val="es-ES"/>
        </w:rPr>
        <w:tab/>
        <w:t>que las especificaciones detalladas de las interfaces radioeléctricas de la componente de satélite de las IMT-2000 se definen en la Recomendación UIT-R M.1850, y que las revisiones de esta Recomendación deberían definir también el futuro desarrollo de la componente de satélite de las IMT</w:t>
      </w:r>
      <w:r w:rsidRPr="00140A01">
        <w:rPr>
          <w:lang w:val="es-ES"/>
        </w:rPr>
        <w:noBreakHyphen/>
      </w:r>
      <w:r w:rsidRPr="00676997">
        <w:rPr>
          <w:lang w:val="es-ES"/>
        </w:rPr>
        <w:t>2000;</w:t>
      </w:r>
    </w:p>
    <w:p w:rsidR="003F6553" w:rsidRPr="00676997" w:rsidRDefault="003F6553" w:rsidP="003F6553">
      <w:pPr>
        <w:tabs>
          <w:tab w:val="clear" w:pos="2268"/>
          <w:tab w:val="left" w:pos="2608"/>
          <w:tab w:val="left" w:pos="3345"/>
        </w:tabs>
        <w:spacing w:before="80"/>
        <w:ind w:left="1134" w:hanging="1134"/>
        <w:rPr>
          <w:lang w:val="es-ES"/>
        </w:rPr>
      </w:pPr>
      <w:r w:rsidRPr="00676997">
        <w:rPr>
          <w:lang w:val="es-ES"/>
        </w:rPr>
        <w:t>–</w:t>
      </w:r>
      <w:r w:rsidRPr="00676997">
        <w:rPr>
          <w:lang w:val="es-ES"/>
        </w:rPr>
        <w:tab/>
        <w:t>que los procedimientos y los procesos basados en la Resolución UIT-R 57 se han aplicado satisfactoriamente al desarrollo en curso de las IMT-2000 terrenales desde 2013 y siguen utilizándose para el desarrollo futuro de las IMT-2000 en la revisión de la Recomendación UIT-R M.1457;</w:t>
      </w:r>
    </w:p>
    <w:p w:rsidR="003F6553" w:rsidRPr="00676997" w:rsidRDefault="003F6553" w:rsidP="003F6553">
      <w:pPr>
        <w:rPr>
          <w:lang w:val="es-ES"/>
        </w:rPr>
      </w:pPr>
      <w:r w:rsidRPr="00676997">
        <w:rPr>
          <w:i/>
          <w:iCs/>
          <w:lang w:val="es-ES"/>
        </w:rPr>
        <w:t>h)</w:t>
      </w:r>
      <w:r w:rsidRPr="00676997">
        <w:rPr>
          <w:lang w:val="es-ES"/>
        </w:rPr>
        <w:tab/>
        <w:t>que para las IMT-Avanzadas:</w:t>
      </w:r>
    </w:p>
    <w:p w:rsidR="003F6553" w:rsidRPr="00676997" w:rsidRDefault="003F6553" w:rsidP="003F6553">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el término actual </w:t>
      </w:r>
      <w:r w:rsidRPr="00140A01">
        <w:rPr>
          <w:lang w:val="es-ES"/>
        </w:rPr>
        <w:t>«</w:t>
      </w:r>
      <w:r w:rsidRPr="00676997">
        <w:rPr>
          <w:lang w:val="es-ES"/>
        </w:rPr>
        <w:t>IMT-Avanzadas</w:t>
      </w:r>
      <w:r w:rsidRPr="00140A01">
        <w:rPr>
          <w:lang w:val="es-ES"/>
        </w:rPr>
        <w:t>»</w:t>
      </w:r>
      <w:r w:rsidRPr="00676997">
        <w:rPr>
          <w:lang w:val="es-ES"/>
        </w:rPr>
        <w:t xml:space="preserve"> sigue siendo pertinente y que debería seguir utilizándose;</w:t>
      </w:r>
    </w:p>
    <w:p w:rsidR="003F6553" w:rsidRPr="00676997" w:rsidRDefault="003F6553" w:rsidP="003F6553">
      <w:pPr>
        <w:tabs>
          <w:tab w:val="clear" w:pos="2268"/>
          <w:tab w:val="left" w:pos="2608"/>
          <w:tab w:val="left" w:pos="3345"/>
        </w:tabs>
        <w:spacing w:before="80"/>
        <w:ind w:left="1134" w:hanging="1134"/>
        <w:rPr>
          <w:lang w:val="es-ES"/>
        </w:rPr>
      </w:pPr>
      <w:r w:rsidRPr="00676997">
        <w:rPr>
          <w:lang w:val="es-ES"/>
        </w:rPr>
        <w:t>–</w:t>
      </w:r>
      <w:r w:rsidRPr="00676997">
        <w:rPr>
          <w:lang w:val="es-ES"/>
        </w:rPr>
        <w:tab/>
        <w:t>la Recomendación UIT R M.1645 define el marco y los objetivos generales del desarrollo de los sistemas posteriores a las IMT-2000 (es decir, las IMT-Avanzadas);</w:t>
      </w:r>
    </w:p>
    <w:p w:rsidR="003F6553" w:rsidRPr="00676997" w:rsidRDefault="003F6553" w:rsidP="003F6553">
      <w:pPr>
        <w:tabs>
          <w:tab w:val="clear" w:pos="2268"/>
          <w:tab w:val="left" w:pos="2608"/>
          <w:tab w:val="left" w:pos="3345"/>
        </w:tabs>
        <w:spacing w:before="80"/>
        <w:ind w:left="1134" w:hanging="1134"/>
        <w:rPr>
          <w:lang w:val="es-ES"/>
        </w:rPr>
      </w:pPr>
      <w:r w:rsidRPr="00676997">
        <w:rPr>
          <w:lang w:val="es-ES"/>
        </w:rPr>
        <w:lastRenderedPageBreak/>
        <w:t>–</w:t>
      </w:r>
      <w:r w:rsidRPr="00676997">
        <w:rPr>
          <w:lang w:val="es-ES"/>
        </w:rPr>
        <w:tab/>
        <w:t>las especificaciones detalladas de las interfaces radioeléctricas terrenales de las IMT</w:t>
      </w:r>
      <w:r w:rsidRPr="00140A01">
        <w:rPr>
          <w:lang w:val="es-ES"/>
        </w:rPr>
        <w:noBreakHyphen/>
      </w:r>
      <w:r w:rsidRPr="00676997">
        <w:rPr>
          <w:lang w:val="es-ES"/>
        </w:rPr>
        <w:t xml:space="preserve">Avanzadas se definen en la Recomendación UIT-R M.2012 y </w:t>
      </w:r>
      <w:r w:rsidR="00011F88">
        <w:rPr>
          <w:lang w:val="es-ES"/>
        </w:rPr>
        <w:t xml:space="preserve">las </w:t>
      </w:r>
      <w:r w:rsidRPr="00676997">
        <w:rPr>
          <w:lang w:val="es-ES"/>
        </w:rPr>
        <w:t xml:space="preserve">revisiones de esta Recomendación o nuevas Recomendaciones deberían definir el futuro desarrollo de las interfaces radioeléctricas terrenales de las IMT-Avanzadas; </w:t>
      </w:r>
    </w:p>
    <w:p w:rsidR="003F6553" w:rsidRPr="00676997" w:rsidRDefault="003F6553" w:rsidP="003F6553">
      <w:pPr>
        <w:tabs>
          <w:tab w:val="clear" w:pos="2268"/>
          <w:tab w:val="left" w:pos="2608"/>
          <w:tab w:val="left" w:pos="3345"/>
        </w:tabs>
        <w:spacing w:before="80"/>
        <w:ind w:left="1134" w:hanging="1134"/>
        <w:rPr>
          <w:lang w:val="es-ES"/>
        </w:rPr>
      </w:pPr>
      <w:r w:rsidRPr="00676997">
        <w:rPr>
          <w:lang w:val="es-ES"/>
        </w:rPr>
        <w:t>–</w:t>
      </w:r>
      <w:r w:rsidRPr="00676997">
        <w:rPr>
          <w:lang w:val="es-ES"/>
        </w:rPr>
        <w:tab/>
        <w:t>las especificaciones detalladas de las interfaces radioeléctricas de satélite de las IMT</w:t>
      </w:r>
      <w:r w:rsidRPr="00140A01">
        <w:rPr>
          <w:lang w:val="es-ES"/>
        </w:rPr>
        <w:noBreakHyphen/>
        <w:t>A</w:t>
      </w:r>
      <w:r w:rsidRPr="00676997">
        <w:rPr>
          <w:lang w:val="es-ES"/>
        </w:rPr>
        <w:t>vanzadas</w:t>
      </w:r>
      <w:r w:rsidRPr="00676997" w:rsidDel="00984C64">
        <w:rPr>
          <w:lang w:val="es-ES"/>
        </w:rPr>
        <w:t xml:space="preserve"> </w:t>
      </w:r>
      <w:r w:rsidRPr="00676997">
        <w:rPr>
          <w:lang w:val="es-ES"/>
        </w:rPr>
        <w:t>se definen en la Recomendación UIT-R M.2047 y que las revisiones de esta Recomendación deberían definir asimismo el desarrollo futuro de las interfaces radioeléctricas de satélite de las IMT-</w:t>
      </w:r>
      <w:r w:rsidRPr="00140A01">
        <w:rPr>
          <w:lang w:val="es-ES"/>
        </w:rPr>
        <w:t>A</w:t>
      </w:r>
      <w:r w:rsidRPr="00676997">
        <w:rPr>
          <w:lang w:val="es-ES"/>
        </w:rPr>
        <w:t>vanzadas;</w:t>
      </w:r>
    </w:p>
    <w:p w:rsidR="003F6553" w:rsidRPr="00676997" w:rsidRDefault="003F6553" w:rsidP="003F6553">
      <w:pPr>
        <w:tabs>
          <w:tab w:val="clear" w:pos="2268"/>
          <w:tab w:val="left" w:pos="2608"/>
          <w:tab w:val="left" w:pos="3345"/>
        </w:tabs>
        <w:spacing w:before="80"/>
        <w:ind w:left="1134" w:hanging="1134"/>
        <w:rPr>
          <w:lang w:val="es-ES"/>
        </w:rPr>
      </w:pPr>
      <w:r w:rsidRPr="00676997">
        <w:rPr>
          <w:lang w:val="es-ES"/>
        </w:rPr>
        <w:t>–</w:t>
      </w:r>
      <w:r w:rsidRPr="00676997">
        <w:rPr>
          <w:lang w:val="es-ES"/>
        </w:rPr>
        <w:tab/>
        <w:t>los procedimientos y los procesos desarrollados para las IMT-Avanzadas sobre la base de la Resolución UIT-R 57</w:t>
      </w:r>
      <w:r w:rsidRPr="00140A01">
        <w:rPr>
          <w:lang w:val="es-ES"/>
        </w:rPr>
        <w:t xml:space="preserve"> </w:t>
      </w:r>
      <w:r w:rsidRPr="00676997">
        <w:rPr>
          <w:lang w:val="es-ES"/>
        </w:rPr>
        <w:t xml:space="preserve">se están aplicando y siguen utilizándose para el desarrollo futuro de las IMT-Avanzadas; </w:t>
      </w:r>
    </w:p>
    <w:p w:rsidR="003F6553" w:rsidRPr="00676997" w:rsidRDefault="003F6553" w:rsidP="00436F54">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las mejoras y el desarrollo ulterior de las IMT-2000 que cumplen los criterios definidos por el UIT-R para las IMT-Avanzadas también podrían </w:t>
      </w:r>
      <w:r w:rsidR="00436F54">
        <w:rPr>
          <w:lang w:val="es-ES"/>
        </w:rPr>
        <w:t>formar parte de</w:t>
      </w:r>
      <w:r w:rsidRPr="00676997">
        <w:rPr>
          <w:lang w:val="es-ES"/>
        </w:rPr>
        <w:t xml:space="preserve"> las </w:t>
      </w:r>
      <w:r w:rsidRPr="00140A01">
        <w:rPr>
          <w:lang w:val="es-ES"/>
        </w:rPr>
        <w:t>«</w:t>
      </w:r>
      <w:r w:rsidRPr="00676997">
        <w:rPr>
          <w:lang w:val="es-ES"/>
        </w:rPr>
        <w:t>IMT</w:t>
      </w:r>
      <w:r w:rsidRPr="00140A01">
        <w:rPr>
          <w:lang w:val="es-ES"/>
        </w:rPr>
        <w:noBreakHyphen/>
      </w:r>
      <w:r w:rsidRPr="00676997">
        <w:rPr>
          <w:lang w:val="es-ES"/>
        </w:rPr>
        <w:t>Avanzadas</w:t>
      </w:r>
      <w:r w:rsidRPr="00140A01">
        <w:rPr>
          <w:lang w:val="es-ES"/>
        </w:rPr>
        <w:t>»</w:t>
      </w:r>
      <w:r w:rsidRPr="00676997">
        <w:rPr>
          <w:lang w:val="es-ES"/>
        </w:rPr>
        <w:t>;</w:t>
      </w:r>
    </w:p>
    <w:p w:rsidR="003F6553" w:rsidRPr="00676997" w:rsidRDefault="003F6553" w:rsidP="003F6553">
      <w:pPr>
        <w:rPr>
          <w:lang w:val="es-ES"/>
        </w:rPr>
      </w:pPr>
      <w:r w:rsidRPr="00676997">
        <w:rPr>
          <w:i/>
          <w:iCs/>
          <w:lang w:val="es-ES"/>
        </w:rPr>
        <w:t>i)</w:t>
      </w:r>
      <w:r w:rsidRPr="00676997">
        <w:rPr>
          <w:lang w:val="es-ES"/>
        </w:rPr>
        <w:tab/>
        <w:t xml:space="preserve">que para las </w:t>
      </w:r>
      <w:r w:rsidRPr="00140A01">
        <w:rPr>
          <w:lang w:val="es-ES"/>
        </w:rPr>
        <w:t>«</w:t>
      </w:r>
      <w:r w:rsidRPr="00676997">
        <w:rPr>
          <w:lang w:val="es-ES"/>
        </w:rPr>
        <w:t>IMT</w:t>
      </w:r>
      <w:r w:rsidR="00A44FBE">
        <w:rPr>
          <w:lang w:val="es-ES"/>
        </w:rPr>
        <w:t xml:space="preserve"> para </w:t>
      </w:r>
      <w:r w:rsidRPr="00676997">
        <w:rPr>
          <w:lang w:val="es-ES"/>
        </w:rPr>
        <w:t>2020 y sistemas posteriores</w:t>
      </w:r>
      <w:r w:rsidRPr="00140A01">
        <w:rPr>
          <w:lang w:val="es-ES"/>
        </w:rPr>
        <w:t>»</w:t>
      </w:r>
      <w:r w:rsidRPr="00676997">
        <w:rPr>
          <w:lang w:val="es-ES"/>
        </w:rPr>
        <w:t>:</w:t>
      </w:r>
    </w:p>
    <w:p w:rsidR="003F6553" w:rsidRPr="00676997" w:rsidRDefault="003F6553" w:rsidP="00207C1D">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el marco y los objetivos generales para el desarrollo futuro de las </w:t>
      </w:r>
      <w:r w:rsidRPr="00140A01">
        <w:rPr>
          <w:lang w:val="es-ES"/>
        </w:rPr>
        <w:t>«</w:t>
      </w:r>
      <w:r w:rsidRPr="00676997">
        <w:rPr>
          <w:lang w:val="es-ES"/>
        </w:rPr>
        <w:t>IMT</w:t>
      </w:r>
      <w:r w:rsidR="00165A0B">
        <w:rPr>
          <w:lang w:val="es-ES"/>
        </w:rPr>
        <w:t xml:space="preserve"> para </w:t>
      </w:r>
      <w:r w:rsidRPr="00676997">
        <w:rPr>
          <w:lang w:val="es-ES"/>
        </w:rPr>
        <w:t>2020 y sistemas posteriores</w:t>
      </w:r>
      <w:r w:rsidRPr="00140A01">
        <w:rPr>
          <w:lang w:val="es-ES"/>
        </w:rPr>
        <w:t>»</w:t>
      </w:r>
      <w:r w:rsidRPr="00676997">
        <w:rPr>
          <w:lang w:val="es-ES"/>
        </w:rPr>
        <w:t xml:space="preserve"> se describen en la Recomendación </w:t>
      </w:r>
      <w:r w:rsidRPr="00140A01">
        <w:rPr>
          <w:lang w:val="es-ES"/>
        </w:rPr>
        <w:t>UIT</w:t>
      </w:r>
      <w:r w:rsidRPr="00676997">
        <w:rPr>
          <w:lang w:val="es-ES"/>
        </w:rPr>
        <w:t>-R M.</w:t>
      </w:r>
      <w:r w:rsidR="00165A0B">
        <w:rPr>
          <w:lang w:val="es-ES"/>
        </w:rPr>
        <w:t>2083</w:t>
      </w:r>
      <w:r w:rsidRPr="00676997">
        <w:rPr>
          <w:lang w:val="es-ES"/>
        </w:rPr>
        <w:t>;</w:t>
      </w:r>
    </w:p>
    <w:p w:rsidR="003F6553" w:rsidRPr="00676997" w:rsidRDefault="003F6553" w:rsidP="00464981">
      <w:pPr>
        <w:tabs>
          <w:tab w:val="clear" w:pos="2268"/>
          <w:tab w:val="left" w:pos="2608"/>
          <w:tab w:val="left" w:pos="3345"/>
        </w:tabs>
        <w:spacing w:before="80"/>
        <w:ind w:left="1134" w:hanging="1134"/>
        <w:rPr>
          <w:lang w:val="es-ES"/>
        </w:rPr>
      </w:pPr>
      <w:r w:rsidRPr="00676997">
        <w:rPr>
          <w:lang w:val="es-ES"/>
        </w:rPr>
        <w:t>–</w:t>
      </w:r>
      <w:r w:rsidRPr="00676997">
        <w:rPr>
          <w:lang w:val="es-ES"/>
        </w:rPr>
        <w:tab/>
        <w:t>son aplicables los procedimientos y los procesos basados en la Resolución UIT</w:t>
      </w:r>
      <w:r w:rsidRPr="00140A01">
        <w:rPr>
          <w:lang w:val="es-ES"/>
        </w:rPr>
        <w:t>-</w:t>
      </w:r>
      <w:r w:rsidRPr="00676997">
        <w:rPr>
          <w:lang w:val="es-ES"/>
        </w:rPr>
        <w:t>R</w:t>
      </w:r>
      <w:r w:rsidR="00464981">
        <w:rPr>
          <w:lang w:val="es-ES"/>
        </w:rPr>
        <w:t xml:space="preserve"> 65</w:t>
      </w:r>
      <w:r w:rsidRPr="00676997">
        <w:rPr>
          <w:lang w:val="es-ES"/>
        </w:rPr>
        <w:t>;</w:t>
      </w:r>
    </w:p>
    <w:p w:rsidR="003F6553" w:rsidRPr="00676997" w:rsidRDefault="003F6553" w:rsidP="00207C1D">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las Recomendaciones e Informes relacionados con las interfaces radioeléctricas de las </w:t>
      </w:r>
      <w:r w:rsidRPr="00140A01">
        <w:rPr>
          <w:lang w:val="es-ES"/>
        </w:rPr>
        <w:t>«</w:t>
      </w:r>
      <w:r w:rsidRPr="00676997">
        <w:rPr>
          <w:lang w:val="es-ES"/>
        </w:rPr>
        <w:t>IMT</w:t>
      </w:r>
      <w:r w:rsidR="00207C1D">
        <w:rPr>
          <w:lang w:val="es-ES"/>
        </w:rPr>
        <w:t xml:space="preserve"> para </w:t>
      </w:r>
      <w:r w:rsidRPr="00140A01">
        <w:rPr>
          <w:lang w:val="es-ES"/>
        </w:rPr>
        <w:t>2020 y sistemas posteriores»</w:t>
      </w:r>
      <w:r w:rsidRPr="00676997">
        <w:rPr>
          <w:lang w:val="es-ES"/>
        </w:rPr>
        <w:t>, deben tener en cuenta el marco establecido por la</w:t>
      </w:r>
      <w:r w:rsidR="00207C1D">
        <w:rPr>
          <w:lang w:val="es-ES"/>
        </w:rPr>
        <w:t>s</w:t>
      </w:r>
      <w:r w:rsidRPr="00676997">
        <w:rPr>
          <w:lang w:val="es-ES"/>
        </w:rPr>
        <w:t xml:space="preserve"> Recomendaci</w:t>
      </w:r>
      <w:r w:rsidR="00207C1D">
        <w:rPr>
          <w:lang w:val="es-ES"/>
        </w:rPr>
        <w:t>o</w:t>
      </w:r>
      <w:r w:rsidRPr="00676997">
        <w:rPr>
          <w:lang w:val="es-ES"/>
        </w:rPr>
        <w:t>n</w:t>
      </w:r>
      <w:r w:rsidR="00207C1D">
        <w:rPr>
          <w:lang w:val="es-ES"/>
        </w:rPr>
        <w:t>es</w:t>
      </w:r>
      <w:r w:rsidRPr="00676997">
        <w:rPr>
          <w:lang w:val="es-ES"/>
        </w:rPr>
        <w:t xml:space="preserve"> UIT</w:t>
      </w:r>
      <w:r w:rsidRPr="00140A01">
        <w:rPr>
          <w:lang w:val="es-ES"/>
        </w:rPr>
        <w:t>-</w:t>
      </w:r>
      <w:r w:rsidRPr="00676997">
        <w:rPr>
          <w:lang w:val="es-ES"/>
        </w:rPr>
        <w:t>R M.1645</w:t>
      </w:r>
      <w:r w:rsidRPr="00140A01">
        <w:rPr>
          <w:lang w:val="es-ES"/>
        </w:rPr>
        <w:t xml:space="preserve"> y UIT-R M.</w:t>
      </w:r>
      <w:r w:rsidR="00207C1D">
        <w:rPr>
          <w:lang w:val="es-ES"/>
        </w:rPr>
        <w:t>2083</w:t>
      </w:r>
      <w:r w:rsidRPr="00676997">
        <w:rPr>
          <w:lang w:val="es-ES"/>
        </w:rPr>
        <w:t xml:space="preserve">, y otras Recomendaciones e Informes </w:t>
      </w:r>
      <w:r w:rsidRPr="00140A01">
        <w:rPr>
          <w:lang w:val="es-ES"/>
        </w:rPr>
        <w:t xml:space="preserve">adicionales </w:t>
      </w:r>
      <w:r w:rsidRPr="00676997">
        <w:rPr>
          <w:lang w:val="es-ES"/>
        </w:rPr>
        <w:t>que aborden el futuro desarrollo de las IMT;</w:t>
      </w:r>
    </w:p>
    <w:p w:rsidR="003F6553" w:rsidRPr="00676997" w:rsidRDefault="003F6553" w:rsidP="009407E0">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las mejoras y el desarrollo ulterior de las IMT-2000 o IMT-Avanzadas que cumplen los criterios definidos por el UIT-R para el desarrollo de las </w:t>
      </w:r>
      <w:r w:rsidRPr="00140A01">
        <w:rPr>
          <w:lang w:val="es-ES"/>
        </w:rPr>
        <w:t>«</w:t>
      </w:r>
      <w:r w:rsidRPr="00676997">
        <w:rPr>
          <w:lang w:val="es-ES"/>
        </w:rPr>
        <w:t>IMT</w:t>
      </w:r>
      <w:r w:rsidR="009407E0">
        <w:rPr>
          <w:lang w:val="es-ES"/>
        </w:rPr>
        <w:t xml:space="preserve"> para </w:t>
      </w:r>
      <w:r w:rsidRPr="00676997">
        <w:rPr>
          <w:lang w:val="es-ES"/>
        </w:rPr>
        <w:t>2020 y sistemas posteriores</w:t>
      </w:r>
      <w:r w:rsidRPr="00140A01">
        <w:rPr>
          <w:lang w:val="es-ES"/>
        </w:rPr>
        <w:t>»</w:t>
      </w:r>
      <w:r w:rsidRPr="00676997">
        <w:rPr>
          <w:lang w:val="es-ES"/>
        </w:rPr>
        <w:t xml:space="preserve"> también podrían</w:t>
      </w:r>
      <w:r w:rsidR="009407E0">
        <w:rPr>
          <w:lang w:val="es-ES"/>
        </w:rPr>
        <w:t xml:space="preserve"> formar parte de</w:t>
      </w:r>
      <w:r w:rsidRPr="00676997">
        <w:rPr>
          <w:lang w:val="es-ES"/>
        </w:rPr>
        <w:t xml:space="preserve"> las </w:t>
      </w:r>
      <w:r w:rsidRPr="00140A01">
        <w:rPr>
          <w:lang w:val="es-ES"/>
        </w:rPr>
        <w:t>«</w:t>
      </w:r>
      <w:r w:rsidRPr="00676997">
        <w:rPr>
          <w:lang w:val="es-ES"/>
        </w:rPr>
        <w:t>IMT</w:t>
      </w:r>
      <w:r w:rsidR="00C37F38">
        <w:rPr>
          <w:lang w:val="es-ES"/>
        </w:rPr>
        <w:t xml:space="preserve"> para </w:t>
      </w:r>
      <w:r w:rsidRPr="00676997">
        <w:rPr>
          <w:lang w:val="es-ES"/>
        </w:rPr>
        <w:t>2020 y sistemas posteriores</w:t>
      </w:r>
      <w:r w:rsidRPr="00140A01">
        <w:rPr>
          <w:lang w:val="es-ES"/>
        </w:rPr>
        <w:t>»</w:t>
      </w:r>
      <w:r w:rsidRPr="00676997">
        <w:rPr>
          <w:lang w:val="es-ES"/>
        </w:rPr>
        <w:t>,</w:t>
      </w:r>
    </w:p>
    <w:p w:rsidR="003F6553" w:rsidRPr="00676997" w:rsidRDefault="003F6553" w:rsidP="003F6553">
      <w:pPr>
        <w:keepNext/>
        <w:keepLines/>
        <w:spacing w:before="160"/>
        <w:ind w:left="1134"/>
        <w:rPr>
          <w:i/>
          <w:lang w:val="es-ES"/>
        </w:rPr>
      </w:pPr>
      <w:r w:rsidRPr="00676997">
        <w:rPr>
          <w:i/>
          <w:lang w:val="es-ES"/>
        </w:rPr>
        <w:t>resuelve</w:t>
      </w:r>
    </w:p>
    <w:p w:rsidR="003F6553" w:rsidRPr="00676997" w:rsidRDefault="003F6553" w:rsidP="003F6553">
      <w:pPr>
        <w:rPr>
          <w:lang w:val="es-ES"/>
        </w:rPr>
      </w:pPr>
      <w:r w:rsidRPr="00676997">
        <w:rPr>
          <w:lang w:val="es-ES"/>
        </w:rPr>
        <w:t>1</w:t>
      </w:r>
      <w:r w:rsidRPr="00676997">
        <w:rPr>
          <w:b/>
          <w:bCs/>
          <w:lang w:val="es-ES"/>
        </w:rPr>
        <w:tab/>
      </w:r>
      <w:r w:rsidRPr="00676997">
        <w:rPr>
          <w:lang w:val="es-ES"/>
        </w:rPr>
        <w:t>que el término «IMT</w:t>
      </w:r>
      <w:r w:rsidRPr="00676997">
        <w:rPr>
          <w:lang w:val="es-ES"/>
        </w:rPr>
        <w:noBreakHyphen/>
        <w:t xml:space="preserve">2000» </w:t>
      </w:r>
      <w:r w:rsidRPr="00140A01">
        <w:rPr>
          <w:lang w:val="es-ES"/>
        </w:rPr>
        <w:t xml:space="preserve">abarque </w:t>
      </w:r>
      <w:r w:rsidRPr="00676997">
        <w:rPr>
          <w:lang w:val="es-ES"/>
        </w:rPr>
        <w:t xml:space="preserve">también </w:t>
      </w:r>
      <w:r w:rsidRPr="00140A01">
        <w:rPr>
          <w:lang w:val="es-ES"/>
        </w:rPr>
        <w:t xml:space="preserve">sus </w:t>
      </w:r>
      <w:r w:rsidRPr="00676997">
        <w:rPr>
          <w:lang w:val="es-ES"/>
        </w:rPr>
        <w:t>mejoras y futuras evoluciones</w:t>
      </w:r>
      <w:r w:rsidRPr="00140A01">
        <w:rPr>
          <w:lang w:val="es-ES"/>
        </w:rPr>
        <w:t xml:space="preserve">, y que los conceptos del </w:t>
      </w:r>
      <w:r w:rsidRPr="00140A01">
        <w:rPr>
          <w:i/>
          <w:iCs/>
          <w:lang w:val="es-ES"/>
        </w:rPr>
        <w:t xml:space="preserve">reconociendo g) </w:t>
      </w:r>
      <w:r w:rsidRPr="00140A01">
        <w:rPr>
          <w:lang w:val="es-ES"/>
        </w:rPr>
        <w:t>se apliquen a las IMT</w:t>
      </w:r>
      <w:r w:rsidRPr="00140A01">
        <w:rPr>
          <w:lang w:val="es-ES"/>
        </w:rPr>
        <w:noBreakHyphen/>
        <w:t>2000</w:t>
      </w:r>
      <w:r w:rsidRPr="00676997">
        <w:rPr>
          <w:lang w:val="es-ES"/>
        </w:rPr>
        <w:t>;</w:t>
      </w:r>
    </w:p>
    <w:p w:rsidR="003F6553" w:rsidRPr="00676997" w:rsidRDefault="003F6553" w:rsidP="00676997">
      <w:pPr>
        <w:rPr>
          <w:lang w:val="es-ES"/>
        </w:rPr>
      </w:pPr>
      <w:r w:rsidRPr="00676997">
        <w:rPr>
          <w:b/>
          <w:bCs/>
          <w:lang w:val="es-ES"/>
        </w:rPr>
        <w:tab/>
      </w:r>
      <w:r w:rsidRPr="00676997">
        <w:rPr>
          <w:lang w:val="es-ES"/>
        </w:rPr>
        <w:t xml:space="preserve">que el término «IMT-Avanzadas» </w:t>
      </w:r>
      <w:r w:rsidRPr="00140A01">
        <w:rPr>
          <w:lang w:val="es-ES"/>
        </w:rPr>
        <w:t xml:space="preserve">abarque también las mejoras y futuras evoluciones, y que los conceptos del </w:t>
      </w:r>
      <w:r w:rsidRPr="00140A01">
        <w:rPr>
          <w:i/>
          <w:iCs/>
          <w:lang w:val="es-ES"/>
        </w:rPr>
        <w:t>reconociendo h)</w:t>
      </w:r>
      <w:r w:rsidRPr="00140A01">
        <w:rPr>
          <w:lang w:val="es-ES"/>
        </w:rPr>
        <w:t xml:space="preserve"> se apliquen a las IMT-Avanzadas;</w:t>
      </w:r>
    </w:p>
    <w:p w:rsidR="003F6553" w:rsidRPr="00676997" w:rsidRDefault="003F6553" w:rsidP="003F6553">
      <w:pPr>
        <w:rPr>
          <w:lang w:val="es-ES"/>
        </w:rPr>
      </w:pPr>
      <w:r w:rsidRPr="00676997">
        <w:rPr>
          <w:lang w:val="es-ES"/>
        </w:rPr>
        <w:t>3</w:t>
      </w:r>
      <w:r w:rsidRPr="00676997">
        <w:rPr>
          <w:lang w:val="es-ES"/>
        </w:rPr>
        <w:tab/>
        <w:t xml:space="preserve">que el término </w:t>
      </w:r>
      <w:r w:rsidRPr="00140A01">
        <w:rPr>
          <w:lang w:val="es-ES"/>
        </w:rPr>
        <w:t>«</w:t>
      </w:r>
      <w:r w:rsidRPr="00676997">
        <w:rPr>
          <w:lang w:val="es-ES"/>
        </w:rPr>
        <w:t>IMT-2020</w:t>
      </w:r>
      <w:r w:rsidRPr="00140A01">
        <w:rPr>
          <w:lang w:val="es-ES"/>
        </w:rPr>
        <w:t>»</w:t>
      </w:r>
      <w:r w:rsidRPr="00676997">
        <w:rPr>
          <w:lang w:val="es-ES"/>
        </w:rPr>
        <w:t xml:space="preserve"> se aplique a los sistemas, componentes de sistema y aspectos conexos que incluyen nuevas interfaces radioeléctricas que soportan las nuevas capacidades de los sistemas posteriores a las IMT-2000 y las IMT-Avanzadas, y que los conceptos del </w:t>
      </w:r>
      <w:r w:rsidRPr="00140A01">
        <w:rPr>
          <w:i/>
          <w:iCs/>
          <w:lang w:val="es-ES"/>
        </w:rPr>
        <w:t>r</w:t>
      </w:r>
      <w:r w:rsidRPr="00676997">
        <w:rPr>
          <w:i/>
          <w:iCs/>
          <w:lang w:val="es-ES"/>
        </w:rPr>
        <w:t>econociendo i)</w:t>
      </w:r>
      <w:r w:rsidRPr="00676997">
        <w:rPr>
          <w:lang w:val="es-ES"/>
        </w:rPr>
        <w:t xml:space="preserve"> se apliquen a las IMT-2020; y</w:t>
      </w:r>
    </w:p>
    <w:p w:rsidR="003F6553" w:rsidRPr="00676997" w:rsidRDefault="003F6553" w:rsidP="003F6553">
      <w:pPr>
        <w:rPr>
          <w:lang w:val="es-ES"/>
        </w:rPr>
      </w:pPr>
      <w:r w:rsidRPr="00676997">
        <w:rPr>
          <w:lang w:val="es-ES"/>
        </w:rPr>
        <w:t>4</w:t>
      </w:r>
      <w:r w:rsidRPr="00676997">
        <w:rPr>
          <w:b/>
          <w:bCs/>
          <w:lang w:val="es-ES"/>
        </w:rPr>
        <w:tab/>
      </w:r>
      <w:r w:rsidRPr="00676997">
        <w:rPr>
          <w:lang w:val="es-ES"/>
        </w:rPr>
        <w:t xml:space="preserve">que el término «IMT» </w:t>
      </w:r>
      <w:r w:rsidRPr="00140A01">
        <w:rPr>
          <w:lang w:val="es-ES"/>
        </w:rPr>
        <w:t xml:space="preserve">sea </w:t>
      </w:r>
      <w:r w:rsidRPr="00676997">
        <w:rPr>
          <w:lang w:val="es-ES"/>
        </w:rPr>
        <w:t>el nombre genérico que englobe a las IMT</w:t>
      </w:r>
      <w:r w:rsidRPr="00676997">
        <w:rPr>
          <w:lang w:val="es-ES"/>
        </w:rPr>
        <w:noBreakHyphen/>
        <w:t>2000</w:t>
      </w:r>
      <w:r w:rsidRPr="00140A01">
        <w:rPr>
          <w:lang w:val="es-ES"/>
        </w:rPr>
        <w:t>,</w:t>
      </w:r>
      <w:r w:rsidRPr="00676997">
        <w:rPr>
          <w:lang w:val="es-ES"/>
        </w:rPr>
        <w:t xml:space="preserve"> las IMT</w:t>
      </w:r>
      <w:r w:rsidRPr="00676997">
        <w:rPr>
          <w:lang w:val="es-ES"/>
        </w:rPr>
        <w:noBreakHyphen/>
        <w:t xml:space="preserve">Avanzadas </w:t>
      </w:r>
      <w:r w:rsidRPr="00140A01">
        <w:rPr>
          <w:lang w:val="es-ES"/>
        </w:rPr>
        <w:t xml:space="preserve">y las IMT-2020 </w:t>
      </w:r>
      <w:r w:rsidRPr="00676997">
        <w:rPr>
          <w:lang w:val="es-ES"/>
        </w:rPr>
        <w:t>de forma colectiva.</w:t>
      </w:r>
    </w:p>
    <w:p w:rsidR="00405CAA" w:rsidRDefault="00405CAA" w:rsidP="0032202E">
      <w:pPr>
        <w:pStyle w:val="Reasons"/>
      </w:pPr>
    </w:p>
    <w:p w:rsidR="00405CAA" w:rsidRDefault="00405CAA">
      <w:pPr>
        <w:jc w:val="center"/>
      </w:pPr>
    </w:p>
    <w:sectPr w:rsidR="00405CAA">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553" w:rsidRDefault="003F6553">
      <w:r>
        <w:separator/>
      </w:r>
    </w:p>
  </w:endnote>
  <w:endnote w:type="continuationSeparator" w:id="0">
    <w:p w:rsidR="003F6553" w:rsidRDefault="003F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F752EA">
      <w:rPr>
        <w:noProof/>
        <w:lang w:val="en-US"/>
      </w:rPr>
      <w:t>P:\ESP\ITU-R\CONF-R\AR15\FINRES\056S.docx</w:t>
    </w:r>
    <w:r>
      <w:fldChar w:fldCharType="end"/>
    </w:r>
    <w:r>
      <w:rPr>
        <w:lang w:val="en-US"/>
      </w:rPr>
      <w:tab/>
    </w:r>
    <w:r>
      <w:fldChar w:fldCharType="begin"/>
    </w:r>
    <w:r>
      <w:instrText xml:space="preserve"> SAVEDATE \@ DD.MM.YY </w:instrText>
    </w:r>
    <w:r>
      <w:fldChar w:fldCharType="separate"/>
    </w:r>
    <w:r w:rsidR="007F6822">
      <w:rPr>
        <w:noProof/>
      </w:rPr>
      <w:t>30.10.15</w:t>
    </w:r>
    <w:r>
      <w:fldChar w:fldCharType="end"/>
    </w:r>
    <w:r>
      <w:rPr>
        <w:lang w:val="en-US"/>
      </w:rPr>
      <w:tab/>
    </w:r>
    <w:r>
      <w:fldChar w:fldCharType="begin"/>
    </w:r>
    <w:r>
      <w:instrText xml:space="preserve"> PRINTDATE \@ DD.MM.YY </w:instrText>
    </w:r>
    <w:r>
      <w:fldChar w:fldCharType="separate"/>
    </w:r>
    <w:r w:rsidR="00F752EA">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98" w:rsidRPr="007F6822" w:rsidRDefault="009B0298" w:rsidP="007F6822">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21" w:rsidRPr="007F6822" w:rsidRDefault="00EB0321" w:rsidP="007F6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553" w:rsidRDefault="003F6553">
      <w:r>
        <w:rPr>
          <w:b/>
        </w:rPr>
        <w:t>_______________</w:t>
      </w:r>
    </w:p>
  </w:footnote>
  <w:footnote w:type="continuationSeparator" w:id="0">
    <w:p w:rsidR="003F6553" w:rsidRDefault="003F6553">
      <w:r>
        <w:continuationSeparator/>
      </w:r>
    </w:p>
  </w:footnote>
  <w:footnote w:id="1">
    <w:p w:rsidR="003F6553" w:rsidRPr="00247813" w:rsidRDefault="003F6553" w:rsidP="008F3CD3">
      <w:pPr>
        <w:pStyle w:val="FootnoteText"/>
      </w:pPr>
      <w:r w:rsidRPr="00247813">
        <w:rPr>
          <w:rStyle w:val="FootnoteReference"/>
        </w:rPr>
        <w:t>*</w:t>
      </w:r>
      <w:r w:rsidRPr="00247813">
        <w:tab/>
        <w:t xml:space="preserve">Esta Resolución debe señalarse a la atención de la Comisión de Estudio </w:t>
      </w:r>
      <w:r w:rsidR="008F3CD3">
        <w:t>13</w:t>
      </w:r>
      <w:r w:rsidRPr="00247813">
        <w:t xml:space="preserve"> del UIT T.</w:t>
      </w:r>
    </w:p>
  </w:footnote>
  <w:footnote w:id="2">
    <w:p w:rsidR="003F6553" w:rsidRPr="00676997" w:rsidRDefault="003F6553" w:rsidP="003F6553">
      <w:pPr>
        <w:pStyle w:val="FootnoteText"/>
        <w:rPr>
          <w:lang w:val="fr-CH"/>
        </w:rPr>
      </w:pPr>
      <w:r>
        <w:rPr>
          <w:rStyle w:val="FootnoteReference"/>
        </w:rPr>
        <w:footnoteRef/>
      </w:r>
      <w:r w:rsidRPr="00676997">
        <w:rPr>
          <w:lang w:val="fr-CH"/>
        </w:rPr>
        <w:tab/>
        <w:t xml:space="preserve">Véase </w:t>
      </w:r>
      <w:hyperlink r:id="rId1" w:history="1">
        <w:r w:rsidRPr="00676997">
          <w:rPr>
            <w:rStyle w:val="Hyperlink"/>
            <w:lang w:val="fr-CH"/>
          </w:rPr>
          <w:t>http://www.itu.int/en/about/Pages/default.aspx</w:t>
        </w:r>
      </w:hyperlink>
      <w:r w:rsidRPr="00676997">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822" w:rsidRDefault="007F6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89" w:rsidRDefault="00857489" w:rsidP="00857489">
    <w:pPr>
      <w:pStyle w:val="Header"/>
    </w:pPr>
    <w:r>
      <w:fldChar w:fldCharType="begin"/>
    </w:r>
    <w:r>
      <w:instrText xml:space="preserve"> PAGE  \* MERGEFORMAT </w:instrText>
    </w:r>
    <w:r>
      <w:fldChar w:fldCharType="separate"/>
    </w:r>
    <w:r w:rsidR="007F6822">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822" w:rsidRDefault="007F6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53"/>
    <w:rsid w:val="000073F2"/>
    <w:rsid w:val="00011F88"/>
    <w:rsid w:val="00012B52"/>
    <w:rsid w:val="00016A7C"/>
    <w:rsid w:val="00020ACE"/>
    <w:rsid w:val="00165A0B"/>
    <w:rsid w:val="001721DD"/>
    <w:rsid w:val="00207C1D"/>
    <w:rsid w:val="002334F2"/>
    <w:rsid w:val="002B6243"/>
    <w:rsid w:val="002D475A"/>
    <w:rsid w:val="00332EA2"/>
    <w:rsid w:val="003405D8"/>
    <w:rsid w:val="003F6553"/>
    <w:rsid w:val="00405CAA"/>
    <w:rsid w:val="00421FDF"/>
    <w:rsid w:val="00436F54"/>
    <w:rsid w:val="00464981"/>
    <w:rsid w:val="00466F3C"/>
    <w:rsid w:val="004F7A98"/>
    <w:rsid w:val="005335D1"/>
    <w:rsid w:val="005648DF"/>
    <w:rsid w:val="005C4F7E"/>
    <w:rsid w:val="006050EE"/>
    <w:rsid w:val="00676997"/>
    <w:rsid w:val="00693CB4"/>
    <w:rsid w:val="006E7725"/>
    <w:rsid w:val="0075573C"/>
    <w:rsid w:val="00782BE2"/>
    <w:rsid w:val="007B58F1"/>
    <w:rsid w:val="007F6822"/>
    <w:rsid w:val="008246E6"/>
    <w:rsid w:val="00857489"/>
    <w:rsid w:val="008913C8"/>
    <w:rsid w:val="008E02B6"/>
    <w:rsid w:val="008F3CD3"/>
    <w:rsid w:val="009407E0"/>
    <w:rsid w:val="009630C4"/>
    <w:rsid w:val="009B0298"/>
    <w:rsid w:val="00A44FBE"/>
    <w:rsid w:val="00A95D57"/>
    <w:rsid w:val="00AA4A35"/>
    <w:rsid w:val="00AF7660"/>
    <w:rsid w:val="00BF1023"/>
    <w:rsid w:val="00C278F8"/>
    <w:rsid w:val="00C37F38"/>
    <w:rsid w:val="00DE35E9"/>
    <w:rsid w:val="00DE7C98"/>
    <w:rsid w:val="00E01901"/>
    <w:rsid w:val="00EB0321"/>
    <w:rsid w:val="00EB360F"/>
    <w:rsid w:val="00EB5C7B"/>
    <w:rsid w:val="00F752EA"/>
    <w:rsid w:val="00FE55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33BC972-4399-4CB0-B395-6527AB31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9630C4"/>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9630C4"/>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bChar">
    <w:name w:val="Heading_b Char"/>
    <w:basedOn w:val="DefaultParagraphFont"/>
    <w:link w:val="Headingb"/>
    <w:locked/>
    <w:rsid w:val="003F6553"/>
    <w:rPr>
      <w:b/>
      <w:sz w:val="24"/>
      <w:lang w:val="es-ES_tradnl" w:eastAsia="en-US"/>
    </w:rPr>
  </w:style>
  <w:style w:type="character" w:styleId="Hyperlink">
    <w:name w:val="Hyperlink"/>
    <w:aliases w:val="CEO_Hyperlink"/>
    <w:uiPriority w:val="99"/>
    <w:unhideWhenUsed/>
    <w:rsid w:val="003F6553"/>
    <w:rPr>
      <w:color w:val="0000FF"/>
      <w:u w:val="single"/>
    </w:rPr>
  </w:style>
  <w:style w:type="table" w:styleId="TableGrid">
    <w:name w:val="Table Grid"/>
    <w:basedOn w:val="TableNormal"/>
    <w:rsid w:val="003F6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rsid w:val="00782BE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about/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78</TotalTime>
  <Pages>3</Pages>
  <Words>1120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7779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Santa Rita Fernandes, Augusto Cesar</cp:lastModifiedBy>
  <cp:revision>22</cp:revision>
  <cp:lastPrinted>2015-10-30T12:32:00Z</cp:lastPrinted>
  <dcterms:created xsi:type="dcterms:W3CDTF">2015-10-30T11:16:00Z</dcterms:created>
  <dcterms:modified xsi:type="dcterms:W3CDTF">2015-11-02T16:56:00Z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