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9" w:rsidRPr="00DD5001" w:rsidRDefault="00384219" w:rsidP="00DD5001">
      <w:pPr>
        <w:pStyle w:val="ResNo"/>
      </w:pPr>
      <w:bookmarkStart w:id="0" w:name="_Toc180536360"/>
      <w:r w:rsidRPr="00DD5001">
        <w:t>РЕЗОЛЮЦИ</w:t>
      </w:r>
      <w:r w:rsidR="00DD5001" w:rsidRPr="00DD5001">
        <w:t>Я</w:t>
      </w:r>
      <w:r w:rsidRPr="00DD5001">
        <w:t xml:space="preserve"> МСЭ-R 57</w:t>
      </w:r>
      <w:bookmarkEnd w:id="0"/>
      <w:r w:rsidR="00DD5001" w:rsidRPr="00DD5001">
        <w:t>-1</w:t>
      </w:r>
    </w:p>
    <w:p w:rsidR="00384219" w:rsidRPr="00DD5001" w:rsidRDefault="00384219" w:rsidP="00384219">
      <w:pPr>
        <w:pStyle w:val="Restitle"/>
      </w:pPr>
      <w:bookmarkStart w:id="1" w:name="_Toc180536361"/>
      <w:r w:rsidRPr="00DD5001">
        <w:t>Принципы процесса раз</w:t>
      </w:r>
      <w:r w:rsidR="008265D3">
        <w:t>р</w:t>
      </w:r>
      <w:r w:rsidRPr="00DD5001">
        <w:t>аботки системы IMT-Advanced</w:t>
      </w:r>
      <w:bookmarkEnd w:id="1"/>
    </w:p>
    <w:p w:rsidR="00384219" w:rsidRPr="00DD5001" w:rsidRDefault="00384219" w:rsidP="00384219">
      <w:pPr>
        <w:pStyle w:val="Resdate"/>
        <w:rPr>
          <w:lang w:eastAsia="ru-RU"/>
        </w:rPr>
      </w:pPr>
      <w:r w:rsidRPr="00DD5001">
        <w:rPr>
          <w:lang w:eastAsia="ru-RU"/>
        </w:rPr>
        <w:t>(2007</w:t>
      </w:r>
      <w:r w:rsidR="00DD5001" w:rsidRPr="00DD5001">
        <w:rPr>
          <w:lang w:eastAsia="ru-RU"/>
        </w:rPr>
        <w:t>-2012</w:t>
      </w:r>
      <w:r w:rsidRPr="00DD5001">
        <w:rPr>
          <w:lang w:eastAsia="ru-RU"/>
        </w:rPr>
        <w:t>)</w:t>
      </w:r>
    </w:p>
    <w:p w:rsidR="00384219" w:rsidRPr="00DD5001" w:rsidRDefault="00384219" w:rsidP="00384219">
      <w:pPr>
        <w:pStyle w:val="Normalaftertitle"/>
        <w:spacing w:before="240"/>
        <w:rPr>
          <w:szCs w:val="22"/>
        </w:rPr>
      </w:pPr>
      <w:r w:rsidRPr="00DD5001">
        <w:rPr>
          <w:szCs w:val="22"/>
        </w:rPr>
        <w:t>Ассамблея радиосвязи МСЭ,</w:t>
      </w:r>
    </w:p>
    <w:p w:rsidR="00384219" w:rsidRPr="00DD5001" w:rsidRDefault="00384219" w:rsidP="00384219">
      <w:pPr>
        <w:pStyle w:val="Call"/>
        <w:rPr>
          <w:i w:val="0"/>
          <w:iCs/>
        </w:rPr>
      </w:pPr>
      <w:r w:rsidRPr="00DD5001">
        <w:t>учитывая</w:t>
      </w:r>
      <w:r w:rsidRPr="00DD5001">
        <w:rPr>
          <w:i w:val="0"/>
          <w:iCs/>
        </w:rPr>
        <w:t>,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а)</w:t>
      </w:r>
      <w:r w:rsidRPr="00DD5001">
        <w:rPr>
          <w:lang w:val="ru-RU"/>
        </w:rPr>
        <w:tab/>
        <w:t>что в соответствии с Резолюцией 228 (Пересм. ВКР-03) МСЭ-R предлагается способствовать изучению технических и оперативных вопросов, касающихся будущего развития систем IMТ-2000 и IMТ-Advanced, и разработать, в случае необходимости, рекомендации и отчеты;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b)</w:t>
      </w:r>
      <w:r w:rsidRPr="00DD5001">
        <w:rPr>
          <w:lang w:val="ru-RU"/>
        </w:rPr>
        <w:tab/>
        <w:t xml:space="preserve">что Вопрос МСЭ-R 229/5 затрагивает будущее развитие наземного сегмента </w:t>
      </w:r>
      <w:r w:rsidRPr="00DD5001">
        <w:rPr>
          <w:rFonts w:eastAsiaTheme="minorEastAsia"/>
          <w:lang w:val="ru-RU" w:eastAsia="zh-CN"/>
        </w:rPr>
        <w:t>IMT</w:t>
      </w:r>
      <w:r w:rsidRPr="00DD5001">
        <w:rPr>
          <w:lang w:val="ru-RU"/>
        </w:rPr>
        <w:t>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с)</w:t>
      </w:r>
      <w:r w:rsidRPr="00DD5001">
        <w:rPr>
          <w:lang w:val="ru-RU"/>
        </w:rPr>
        <w:tab/>
        <w:t>что в Рекомендации МСЭ-R M.1645 определяются основы и общие задачи будущего развития IMT-2000 и последующих систем для сети радиодоступа, основанной на глобальном пользователе и технологических тенденциях, а также на потребностях развивающихся стран;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d)</w:t>
      </w:r>
      <w:r w:rsidRPr="00DD5001">
        <w:rPr>
          <w:lang w:val="ru-RU"/>
        </w:rPr>
        <w:tab/>
        <w:t>что в Резолюции МСЭ-R 56 уточняется номенкл</w:t>
      </w:r>
      <w:r w:rsidR="008265D3">
        <w:rPr>
          <w:lang w:val="ru-RU"/>
        </w:rPr>
        <w:t>атура для будущего развития IMT</w:t>
      </w:r>
      <w:r w:rsidR="008265D3">
        <w:rPr>
          <w:lang w:val="ru-RU"/>
        </w:rPr>
        <w:noBreakHyphen/>
      </w:r>
      <w:r w:rsidRPr="00DD5001">
        <w:rPr>
          <w:lang w:val="ru-RU"/>
        </w:rPr>
        <w:t>2000 и последующих систем с помощью названий, однозначно ассоциируемых с усовершенствованием и продолжением системы Международной подвижной электросвязи (IMT);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е)</w:t>
      </w:r>
      <w:r w:rsidRPr="00DD5001">
        <w:rPr>
          <w:lang w:val="ru-RU"/>
        </w:rPr>
        <w:tab/>
        <w:t>что будущее развитие IMТ-2000 и IMТ-Advanced должно позволить удовлетворять потребности в более высоких скоростях передачи данных по сравнению с используемыми в настоящее время системами IMT-2000;</w:t>
      </w:r>
    </w:p>
    <w:p w:rsidR="00384219" w:rsidRPr="00DD5001" w:rsidRDefault="00384219" w:rsidP="008265D3">
      <w:pPr>
        <w:rPr>
          <w:lang w:val="ru-RU"/>
        </w:rPr>
      </w:pPr>
      <w:r w:rsidRPr="00DD5001">
        <w:rPr>
          <w:i/>
          <w:iCs/>
          <w:lang w:val="ru-RU"/>
        </w:rPr>
        <w:t>f)</w:t>
      </w:r>
      <w:r w:rsidRPr="00DD5001">
        <w:rPr>
          <w:lang w:val="ru-RU"/>
        </w:rPr>
        <w:tab/>
        <w:t>что для обеспечения глобальной эксплуатации и экономии за счет масштабов, которые являются ключевыми требованиями, предъявляемыми к успешным подвижным системам электросвязи, целесообразно согласовать единые временные рамки для разработки общих технических и эксплуатационных параметров системы, а также параметров, относящихся к спектру, принимая во внимание соответствующий опыт, накопленный в связи с использованием IMT</w:t>
      </w:r>
      <w:r w:rsidR="008265D3">
        <w:rPr>
          <w:lang w:val="ru-RU"/>
        </w:rPr>
        <w:noBreakHyphen/>
      </w:r>
      <w:r w:rsidRPr="00DD5001">
        <w:rPr>
          <w:lang w:val="ru-RU"/>
        </w:rPr>
        <w:t>2000 и других систем;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g)</w:t>
      </w:r>
      <w:r w:rsidRPr="00DD5001">
        <w:rPr>
          <w:lang w:val="ru-RU"/>
        </w:rPr>
        <w:tab/>
        <w:t>что обеспечение в максимальной степени единообразия воздушных интерфейсов IMT</w:t>
      </w:r>
      <w:r w:rsidRPr="00DD5001">
        <w:rPr>
          <w:lang w:val="ru-RU"/>
        </w:rPr>
        <w:noBreakHyphen/>
        <w:t>Advanced может привести к снижению сложности и сокращению дополнительных затрат на многорежимные терминалы;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h)</w:t>
      </w:r>
      <w:r w:rsidRPr="00DD5001">
        <w:rPr>
          <w:lang w:val="ru-RU"/>
        </w:rPr>
        <w:tab/>
        <w:t>что в МСЭ-R применяется принцип формирования консенсуса в целях содействия достижению соглашений,</w:t>
      </w:r>
    </w:p>
    <w:p w:rsidR="00384219" w:rsidRPr="00DD5001" w:rsidRDefault="00384219" w:rsidP="00384219">
      <w:pPr>
        <w:pStyle w:val="Call"/>
        <w:rPr>
          <w:i w:val="0"/>
          <w:iCs/>
        </w:rPr>
      </w:pPr>
      <w:r w:rsidRPr="00DD5001">
        <w:t>отмечая</w:t>
      </w:r>
      <w:r w:rsidRPr="00DD5001">
        <w:rPr>
          <w:i w:val="0"/>
          <w:iCs/>
        </w:rPr>
        <w:t>,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а)</w:t>
      </w:r>
      <w:r w:rsidRPr="00DD5001">
        <w:rPr>
          <w:lang w:val="ru-RU"/>
        </w:rPr>
        <w:tab/>
        <w:t>что в соответствии со Статьей 44 Устава МСЭ Государства-Члены должны стремиться внедрять в кратчайшие сроки новейшие технические достижения;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b)</w:t>
      </w:r>
      <w:r w:rsidRPr="00DD5001">
        <w:rPr>
          <w:lang w:val="ru-RU"/>
        </w:rPr>
        <w:tab/>
        <w:t>что желательно обеспечить согласованный в глобальном плане спектр радиочастот для системы IMT-Advanced;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с)</w:t>
      </w:r>
      <w:r w:rsidRPr="00DD5001">
        <w:rPr>
          <w:lang w:val="ru-RU"/>
        </w:rPr>
        <w:tab/>
        <w:t>что проводимый в МСЭ процесс стандартизации IMT был особенно благоприятным для развития подвижной электросвязи,</w:t>
      </w:r>
    </w:p>
    <w:p w:rsidR="00384219" w:rsidRPr="00DD5001" w:rsidRDefault="00384219" w:rsidP="00384219">
      <w:pPr>
        <w:pStyle w:val="Call"/>
        <w:rPr>
          <w:i w:val="0"/>
          <w:iCs/>
        </w:rPr>
      </w:pPr>
      <w:r w:rsidRPr="00DD5001">
        <w:t>признавая</w:t>
      </w:r>
      <w:r w:rsidRPr="00DD5001">
        <w:rPr>
          <w:i w:val="0"/>
          <w:iCs/>
        </w:rPr>
        <w:t>,</w:t>
      </w:r>
    </w:p>
    <w:p w:rsidR="00384219" w:rsidRPr="00DD5001" w:rsidRDefault="00384219" w:rsidP="008265D3">
      <w:pPr>
        <w:rPr>
          <w:lang w:val="ru-RU"/>
        </w:rPr>
      </w:pPr>
      <w:r w:rsidRPr="00DD5001">
        <w:rPr>
          <w:i/>
          <w:iCs/>
          <w:lang w:val="ru-RU"/>
        </w:rPr>
        <w:t>а)</w:t>
      </w:r>
      <w:r w:rsidRPr="00DD5001">
        <w:rPr>
          <w:lang w:val="ru-RU"/>
        </w:rPr>
        <w:tab/>
        <w:t>что МСЭ-R проводит политику в области прав интеллектуальной собственности в соответствии с положениями Резолюции МСЭ-R 1, а также Административного циркуляра</w:t>
      </w:r>
      <w:r w:rsidR="008265D3">
        <w:rPr>
          <w:lang w:val="ru-RU"/>
        </w:rPr>
        <w:t> </w:t>
      </w:r>
      <w:r w:rsidRPr="00DD5001">
        <w:rPr>
          <w:lang w:val="ru-RU"/>
        </w:rPr>
        <w:t>СА/148 (от 15 апреля 2005 г</w:t>
      </w:r>
      <w:r w:rsidR="008265D3">
        <w:rPr>
          <w:lang w:val="ru-RU"/>
        </w:rPr>
        <w:t>.</w:t>
      </w:r>
      <w:r w:rsidRPr="00DD5001">
        <w:rPr>
          <w:lang w:val="ru-RU"/>
        </w:rPr>
        <w:t>), в котором "внимание привлекается к значению заблаговременного представления информации и деклараций о патентах во избежание возможных проблем при утверждении и последующем применении рекомендаций МСЭ-R";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lastRenderedPageBreak/>
        <w:t>b)</w:t>
      </w:r>
      <w:r w:rsidRPr="00DD5001">
        <w:rPr>
          <w:lang w:val="ru-RU"/>
        </w:rPr>
        <w:tab/>
        <w:t>что процесс формирования консенсуса должен обеспечивать потенциал для широкой отраслевой поддержки радиоинтерфейсов, которые разрабатываются для IMT-Advanced, и ожидается, что в разрабатываемых вариантах технологий радиоинтерфейсов будут учтены задачи, поставленные в Рекомендации МСЭ</w:t>
      </w:r>
      <w:r w:rsidRPr="00DD5001">
        <w:rPr>
          <w:lang w:val="ru-RU"/>
        </w:rPr>
        <w:noBreakHyphen/>
        <w:t>R M.1645;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c)</w:t>
      </w:r>
      <w:r w:rsidRPr="00DD5001">
        <w:rPr>
          <w:lang w:val="ru-RU"/>
        </w:rPr>
        <w:tab/>
        <w:t>значение содействия глобальному распространению;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d)</w:t>
      </w:r>
      <w:r w:rsidRPr="00DD5001">
        <w:rPr>
          <w:lang w:val="ru-RU"/>
        </w:rPr>
        <w:tab/>
        <w:t>что процесс стандартизации IMT-Advanced следует упорядочить с целью включения в него последних технологических новшеств для удовлетворения потребностей пользователей;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e)</w:t>
      </w:r>
      <w:r w:rsidRPr="00DD5001">
        <w:rPr>
          <w:lang w:val="ru-RU"/>
        </w:rPr>
        <w:tab/>
        <w:t>что термин "IMT-Advanced" применяется к тем системам, компонентам систем и связанным с ними аспектам, которые включают новый(е) радиоинтерфейс(ы), поддерживающий(е) новые возможности систем, следующих за IMT-2000</w:t>
      </w:r>
      <w:r w:rsidRPr="00DD5001">
        <w:rPr>
          <w:rStyle w:val="FootnoteReference"/>
          <w:lang w:val="ru-RU"/>
        </w:rPr>
        <w:footnoteReference w:customMarkFollows="1" w:id="1"/>
        <w:sym w:font="Symbol" w:char="F031"/>
      </w:r>
      <w:r w:rsidRPr="00DD5001">
        <w:rPr>
          <w:lang w:val="ru-RU"/>
        </w:rPr>
        <w:t>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f)</w:t>
      </w:r>
      <w:r w:rsidRPr="00DD5001">
        <w:rPr>
          <w:lang w:val="ru-RU"/>
        </w:rPr>
        <w:tab/>
        <w:t>что МСЭ является признанной на международном уровне организацией, которая обладает исключительной функцией определять и рекомендовать стандарты и планирование частот для систем IMT в сотрудничестве с другими соответствующими организациями, такими как организации по разработке стандартов, университеты, промышленные организации, используя проекты партнерств, форумы, консорциумы и совместную научно-исследовательскую работу;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g)</w:t>
      </w:r>
      <w:r w:rsidRPr="00DD5001">
        <w:rPr>
          <w:lang w:val="ru-RU"/>
        </w:rPr>
        <w:tab/>
        <w:t>что были разработаны либо находятся на стадии разработки для развертывания в срок, указанный в Рекомендации МСЭ</w:t>
      </w:r>
      <w:r w:rsidRPr="00DD5001">
        <w:rPr>
          <w:lang w:val="ru-RU"/>
        </w:rPr>
        <w:noBreakHyphen/>
        <w:t>R M.1645 либо раньше него, технологии беспроводного доступа, которые могут использовать некоторые из возможностей систем, следующих за IMT</w:t>
      </w:r>
      <w:r w:rsidRPr="00DD5001">
        <w:rPr>
          <w:lang w:val="ru-RU"/>
        </w:rPr>
        <w:noBreakHyphen/>
        <w:t>2000;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h)</w:t>
      </w:r>
      <w:r w:rsidRPr="00DD5001">
        <w:rPr>
          <w:lang w:val="ru-RU"/>
        </w:rPr>
        <w:tab/>
        <w:t>что определение на глобальном уровне надлежащего спектра служит предпосылкой для достижения успеха будущего развития IMT-2000 и последующих систем, хотя новые технологии могли бы помочь в этой задаче;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j)</w:t>
      </w:r>
      <w:r w:rsidRPr="00DD5001">
        <w:rPr>
          <w:lang w:val="ru-RU"/>
        </w:rPr>
        <w:tab/>
        <w:t>что подробные данные, касающиеся IMT-2000, будущего развития IMT-2000 и последующих систем, будут уточнены в рекомендациях и отчетах, которые должны быть разработаны, принимая во внимание основы, установленные в Рекомендации МСЭ</w:t>
      </w:r>
      <w:r w:rsidRPr="00DD5001">
        <w:rPr>
          <w:lang w:val="ru-RU"/>
        </w:rPr>
        <w:noBreakHyphen/>
        <w:t>R M.1645 "Основы и общие задачи будущего развития IMT</w:t>
      </w:r>
      <w:r w:rsidRPr="00DD5001">
        <w:rPr>
          <w:lang w:val="ru-RU"/>
        </w:rPr>
        <w:noBreakHyphen/>
        <w:t>2000 и последующих систем";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k)</w:t>
      </w:r>
      <w:r w:rsidRPr="00DD5001">
        <w:rPr>
          <w:lang w:val="ru-RU"/>
        </w:rPr>
        <w:tab/>
        <w:t>что должны быть учтены особые потребности развивающихся стран, с тем чтобы устранить существующий "цифровой разрыв" с целью содействия возможности взаимодействия различных радиоинтерфейсов,</w:t>
      </w:r>
    </w:p>
    <w:p w:rsidR="00384219" w:rsidRPr="00DD5001" w:rsidRDefault="00384219" w:rsidP="00384219">
      <w:pPr>
        <w:pStyle w:val="Call"/>
      </w:pPr>
      <w:r w:rsidRPr="00DD5001">
        <w:t>решает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1</w:t>
      </w:r>
      <w:r w:rsidRPr="00DD5001">
        <w:rPr>
          <w:lang w:val="ru-RU"/>
        </w:rPr>
        <w:tab/>
        <w:t>разработать рекомендации и отчеты в отношении IMT-Advanced, включая рекомендацию(и) в отношении спецификаций радиоинтерфейсов;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2</w:t>
      </w:r>
      <w:r w:rsidRPr="00DD5001">
        <w:rPr>
          <w:lang w:val="ru-RU"/>
        </w:rPr>
        <w:tab/>
        <w:t>что разработка рекомендаций и отчетов в отношении IMT-Advanced должна осуществляться в рамках непрерывного и своевременного процесса, направленного на достижение четко установленных результатов, учитывающих разработки вне МСЭ-R;</w:t>
      </w:r>
    </w:p>
    <w:p w:rsidR="00384219" w:rsidRPr="00DD5001" w:rsidRDefault="00384219" w:rsidP="00351724">
      <w:pPr>
        <w:rPr>
          <w:lang w:val="ru-RU"/>
        </w:rPr>
      </w:pPr>
      <w:r w:rsidRPr="00DD5001">
        <w:rPr>
          <w:lang w:val="ru-RU"/>
        </w:rPr>
        <w:t>3</w:t>
      </w:r>
      <w:r w:rsidRPr="00DD5001">
        <w:rPr>
          <w:lang w:val="ru-RU"/>
        </w:rPr>
        <w:tab/>
        <w:t>что технологии радиоинтерфейсов, предлагаемые для рассмотрения в связи с IMT</w:t>
      </w:r>
      <w:r w:rsidRPr="00DD5001">
        <w:rPr>
          <w:lang w:val="ru-RU"/>
        </w:rPr>
        <w:noBreakHyphen/>
        <w:t>Advanced, должны разрабатываться на основе представлений Государств-Членов, Членов Сектора и Ассоциированных членов соответствующих исследовательских комиссий МСЭ-R и могут дополнительно основываться на представлениях, запрашиваемых у внешних организаций в соответствии с принципами, изложенными в Резолюции МСЭ-R 9;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4</w:t>
      </w:r>
      <w:r w:rsidRPr="00DD5001">
        <w:rPr>
          <w:lang w:val="ru-RU"/>
        </w:rPr>
        <w:tab/>
        <w:t>что процесс разработки рекомендаций и отчетов в отношении IMT-Advanced будет обеспечивать равные возможности для всех предлагаемых технологий, которые должны оцениваться на основе требований, предъявляемых в связи с IMT-Advanced;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lastRenderedPageBreak/>
        <w:t>5</w:t>
      </w:r>
      <w:r w:rsidRPr="00DD5001">
        <w:rPr>
          <w:lang w:val="ru-RU"/>
        </w:rPr>
        <w:tab/>
        <w:t>что новые радиоинтерфейсы, которые со временем будут разработаны, должны своевременно рассматриваться с целью их включения в системы IMT-Advanced и чтобы, в случае необходимости, были пересмотрены соответствующие рекомендации;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6</w:t>
      </w:r>
      <w:r w:rsidRPr="00DD5001">
        <w:rPr>
          <w:lang w:val="ru-RU"/>
        </w:rPr>
        <w:tab/>
        <w:t xml:space="preserve">что в свете изложенных выше положений раздела </w:t>
      </w:r>
      <w:r w:rsidRPr="00DD5001">
        <w:rPr>
          <w:i/>
          <w:iCs/>
          <w:lang w:val="ru-RU"/>
        </w:rPr>
        <w:t>решает</w:t>
      </w:r>
      <w:r w:rsidRPr="00DD5001">
        <w:rPr>
          <w:lang w:val="ru-RU"/>
        </w:rPr>
        <w:t xml:space="preserve"> данный процесс включает: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а)</w:t>
      </w:r>
      <w:r w:rsidRPr="00DD5001">
        <w:tab/>
        <w:t>определение минимальных технических требований и критериев оценки, базирующихся на основах и общих задачах системы IMT-Advanced, поддерживающих новые возможности, изложенные в Рекомендации МСЭ-R M.1645, с учетом требований конечных пользователей и без излишних устаревших требований;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b)</w:t>
      </w:r>
      <w:r w:rsidRPr="00DD5001">
        <w:tab/>
        <w:t>предложение Членам МСЭ-R, направленное им в циркулярном письме, о представлении ими подходящих технологий радиоинтерфейсов для IMT</w:t>
      </w:r>
      <w:r w:rsidRPr="00DD5001">
        <w:noBreakHyphen/>
        <w:t>Advanced;</w:t>
      </w:r>
    </w:p>
    <w:p w:rsidR="00384219" w:rsidRPr="00DD5001" w:rsidRDefault="00384219" w:rsidP="00351724">
      <w:pPr>
        <w:pStyle w:val="enumlev1"/>
      </w:pPr>
      <w:r w:rsidRPr="00DD5001">
        <w:rPr>
          <w:i/>
          <w:iCs/>
        </w:rPr>
        <w:t>с)</w:t>
      </w:r>
      <w:r w:rsidRPr="00DD5001">
        <w:tab/>
        <w:t>помимо этого, направление предложения другим организациям о представлении ими возможных технологий радиоинтерфейсов для IMT-Advanced в рамках взаимодействия и сотрудничества с такими другими организациями на основе Резолюции МСЭ-R 9. В таких предложениях следует привлекать внимание этих организаций к политике МСЭ</w:t>
      </w:r>
      <w:r w:rsidRPr="00DD5001">
        <w:noBreakHyphen/>
        <w:t>R в области прав интеллектуальной собственности;</w:t>
      </w:r>
    </w:p>
    <w:p w:rsidR="00384219" w:rsidRPr="00DD5001" w:rsidRDefault="00384219" w:rsidP="00351724">
      <w:pPr>
        <w:pStyle w:val="enumlev1"/>
      </w:pPr>
      <w:r w:rsidRPr="00DD5001">
        <w:rPr>
          <w:i/>
          <w:iCs/>
        </w:rPr>
        <w:t>d)</w:t>
      </w:r>
      <w:r w:rsidRPr="00DD5001">
        <w:tab/>
        <w:t>осуществление в МСЭ-R оценки технологий радиоинтерфейсов, предлагаемых для IMT</w:t>
      </w:r>
      <w:r w:rsidRPr="00DD5001">
        <w:noBreakHyphen/>
        <w:t>Advanced, которая гарантировала бы их соответствие требованиям и критериям, определенным в п. 6 </w:t>
      </w:r>
      <w:r w:rsidRPr="00DD5001">
        <w:rPr>
          <w:i/>
          <w:iCs/>
        </w:rPr>
        <w:t>а)</w:t>
      </w:r>
      <w:r w:rsidRPr="00DD5001">
        <w:t>, выше. Такая оценка может опираться на принцип взаимодействия МСЭ-R с другими организациями в соответствии с положениями Резолюции МСЭ-R 9;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e)</w:t>
      </w:r>
      <w:r w:rsidRPr="00DD5001">
        <w:tab/>
        <w:t xml:space="preserve">формирование консенсуса с целью достижения согласования в ответ на пункты разделов </w:t>
      </w:r>
      <w:r w:rsidRPr="00DD5001">
        <w:rPr>
          <w:i/>
          <w:iCs/>
        </w:rPr>
        <w:t>учитывая</w:t>
      </w:r>
      <w:r w:rsidRPr="00DD5001">
        <w:t xml:space="preserve"> и </w:t>
      </w:r>
      <w:r w:rsidRPr="00DD5001">
        <w:rPr>
          <w:i/>
          <w:iCs/>
        </w:rPr>
        <w:t>признавая</w:t>
      </w:r>
      <w:r w:rsidRPr="00DD5001">
        <w:t xml:space="preserve"> настоящей Резолюции, которое обеспечивало бы потенциал для более широкой поддержки в отрасли радиоинтерфейсов, разрабатываемых для IMT</w:t>
      </w:r>
      <w:r w:rsidRPr="00DD5001">
        <w:noBreakHyphen/>
        <w:t>Advanced;</w:t>
      </w:r>
    </w:p>
    <w:p w:rsidR="00384219" w:rsidRPr="00DD5001" w:rsidRDefault="00384219" w:rsidP="00351724">
      <w:pPr>
        <w:pStyle w:val="enumlev1"/>
      </w:pPr>
      <w:r w:rsidRPr="00DD5001">
        <w:rPr>
          <w:i/>
          <w:iCs/>
        </w:rPr>
        <w:t>f)</w:t>
      </w:r>
      <w:r w:rsidRPr="00DD5001">
        <w:tab/>
        <w:t>фазу стандартизации, в рамках которой МСЭ-R разрабатывает рекомендацию(и) со спецификациями радиоинтерфейсов для IMT-Advanced на основе результатов отчета о проведенной оценке (в соответствии с определением в п. 6 </w:t>
      </w:r>
      <w:r w:rsidRPr="00DD5001">
        <w:rPr>
          <w:i/>
          <w:iCs/>
        </w:rPr>
        <w:t>d)</w:t>
      </w:r>
      <w:r w:rsidRPr="00DD5001">
        <w:t xml:space="preserve"> раздела </w:t>
      </w:r>
      <w:r w:rsidRPr="00DD5001">
        <w:rPr>
          <w:i/>
          <w:iCs/>
        </w:rPr>
        <w:t>решает</w:t>
      </w:r>
      <w:r w:rsidRPr="00DD5001">
        <w:t>) и формирования консенсуса (в соответствии с п. 6 </w:t>
      </w:r>
      <w:r w:rsidRPr="00DD5001">
        <w:rPr>
          <w:i/>
          <w:iCs/>
        </w:rPr>
        <w:t>е)</w:t>
      </w:r>
      <w:r w:rsidRPr="00DD5001">
        <w:t xml:space="preserve"> раздела </w:t>
      </w:r>
      <w:r w:rsidRPr="00DD5001">
        <w:rPr>
          <w:i/>
          <w:iCs/>
        </w:rPr>
        <w:t>решает</w:t>
      </w:r>
      <w:r w:rsidRPr="00DD5001">
        <w:t>), обеспечивая соответствие этих спецификаций техническим требованиям и критериям оценки, определенным в пп. 6 </w:t>
      </w:r>
      <w:r w:rsidRPr="00DD5001">
        <w:rPr>
          <w:i/>
          <w:iCs/>
        </w:rPr>
        <w:t>а)</w:t>
      </w:r>
      <w:r w:rsidRPr="00DD5001">
        <w:t xml:space="preserve"> или 6 </w:t>
      </w:r>
      <w:r w:rsidRPr="00DD5001">
        <w:rPr>
          <w:i/>
          <w:iCs/>
        </w:rPr>
        <w:t>g)</w:t>
      </w:r>
      <w:r w:rsidRPr="00DD5001">
        <w:t>. В рамках такой фазы стандартизации работа может проводиться в сотрудничестве с соответствующими организациями, не связанными с МСЭ, чтобы дополнить работу, проводимую в рамках МСЭ-R, на основе принципов, изложенных в Резолюции МСЭ-R 9;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g)</w:t>
      </w:r>
      <w:r w:rsidRPr="00DD5001">
        <w:tab/>
        <w:t>рассмотрения минимальных технических требований и критериев оценки в соответствии с определением, содержащимся в п. 6 </w:t>
      </w:r>
      <w:r w:rsidRPr="00DD5001">
        <w:rPr>
          <w:i/>
          <w:iCs/>
        </w:rPr>
        <w:t>а)</w:t>
      </w:r>
      <w:r w:rsidRPr="00DD5001">
        <w:t>, принимая во внимание технологический прогресс и меняющиеся со временем требования конечных пользователей. Поскольку минимальные технические требования и критерии оценки были изменены, они будут обозначаться как отдельно выделяемые варианты для IMT</w:t>
      </w:r>
      <w:r w:rsidRPr="00DD5001">
        <w:noBreakHyphen/>
        <w:t>Advanced. Этот процесс будет включать обзор существующих вариантов, чтобы определить, следует ли оставлять их в силе;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h)</w:t>
      </w:r>
      <w:r w:rsidRPr="00DD5001">
        <w:tab/>
        <w:t>непрерывный и своевременный процесс, в течение которого могут представляться предложения в отношении новых технологий радиоинтерфейсов и могут обновляться спецификации существующих радиоинтерфейсов. Этот процесс должен быть достаточно гибким, чтобы позволить сторонам, вносящим предложения, добиваться оценки на основе любого варианта утвержденных критериев, имеющих силу в данное время,</w:t>
      </w:r>
    </w:p>
    <w:p w:rsidR="00384219" w:rsidRPr="00DD5001" w:rsidRDefault="00384219" w:rsidP="00384219">
      <w:pPr>
        <w:pStyle w:val="Call"/>
      </w:pPr>
      <w:r w:rsidRPr="00DD5001">
        <w:t>поручает Директору Бюро радиосвязи</w:t>
      </w:r>
    </w:p>
    <w:p w:rsidR="00384219" w:rsidRPr="00DD5001" w:rsidRDefault="00384219" w:rsidP="005F5DAB">
      <w:pPr>
        <w:rPr>
          <w:lang w:val="ru-RU"/>
        </w:rPr>
      </w:pPr>
      <w:r w:rsidRPr="00DD5001">
        <w:rPr>
          <w:lang w:val="ru-RU"/>
        </w:rPr>
        <w:t>1</w:t>
      </w:r>
      <w:r w:rsidRPr="00DD5001">
        <w:rPr>
          <w:lang w:val="ru-RU"/>
        </w:rPr>
        <w:tab/>
        <w:t>обеспечит</w:t>
      </w:r>
      <w:bookmarkStart w:id="2" w:name="_GoBack"/>
      <w:bookmarkEnd w:id="2"/>
      <w:r w:rsidRPr="00DD5001">
        <w:rPr>
          <w:lang w:val="ru-RU"/>
        </w:rPr>
        <w:t>ь, чтобы стороны, вносящие предложения, касающиеся технологий и стандартов радиоинтерфейсов IMT-Advanced, были информированы о политике МСЭ-R в области прав интеллектуальной собственности в соответствии с положениями Резолюции МСЭ-R 1;</w:t>
      </w:r>
    </w:p>
    <w:p w:rsidR="00F451F5" w:rsidRPr="00DD5001" w:rsidRDefault="00384219" w:rsidP="00DD5001">
      <w:pPr>
        <w:rPr>
          <w:lang w:val="ru-RU"/>
        </w:rPr>
      </w:pPr>
      <w:r w:rsidRPr="00DD5001">
        <w:rPr>
          <w:lang w:val="ru-RU"/>
        </w:rPr>
        <w:t>2</w:t>
      </w:r>
      <w:r w:rsidRPr="00DD5001">
        <w:rPr>
          <w:lang w:val="ru-RU"/>
        </w:rPr>
        <w:tab/>
        <w:t xml:space="preserve">оказывать необходимую поддержку и осуществлять соответствующие процедуры для удовлетворения требований, содержащихся в разделе </w:t>
      </w:r>
      <w:r w:rsidRPr="00DD5001">
        <w:rPr>
          <w:i/>
          <w:iCs/>
          <w:lang w:val="ru-RU"/>
        </w:rPr>
        <w:t>решает</w:t>
      </w:r>
      <w:r w:rsidRPr="00DD5001">
        <w:rPr>
          <w:lang w:val="ru-RU"/>
        </w:rPr>
        <w:t xml:space="preserve">, выше, включая направление </w:t>
      </w:r>
      <w:r w:rsidRPr="00DD5001">
        <w:rPr>
          <w:lang w:val="ru-RU"/>
        </w:rPr>
        <w:lastRenderedPageBreak/>
        <w:t>циркулярного письма с предложением о направлении предложений в отношении технологий радиоинтерфейсов.</w:t>
      </w:r>
    </w:p>
    <w:sectPr w:rsidR="00F451F5" w:rsidRPr="00DD5001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09" w:rsidRDefault="00531809">
      <w:r>
        <w:separator/>
      </w:r>
    </w:p>
  </w:endnote>
  <w:endnote w:type="continuationSeparator" w:id="0">
    <w:p w:rsidR="00531809" w:rsidRDefault="0053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noProof/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DAB">
      <w:rPr>
        <w:noProof/>
      </w:rPr>
      <w:t>19.01.12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09" w:rsidRDefault="00531809">
      <w:r>
        <w:rPr>
          <w:b/>
        </w:rPr>
        <w:t>_______________</w:t>
      </w:r>
    </w:p>
  </w:footnote>
  <w:footnote w:type="continuationSeparator" w:id="0">
    <w:p w:rsidR="00531809" w:rsidRDefault="00531809">
      <w:r>
        <w:continuationSeparator/>
      </w:r>
    </w:p>
  </w:footnote>
  <w:footnote w:id="1">
    <w:p w:rsidR="00384219" w:rsidRPr="00DC2D62" w:rsidRDefault="00384219" w:rsidP="00384219">
      <w:pPr>
        <w:pStyle w:val="FootnoteText"/>
      </w:pPr>
      <w:r w:rsidRPr="00DC2D62">
        <w:rPr>
          <w:rStyle w:val="FootnoteReference"/>
        </w:rPr>
        <w:sym w:font="Symbol" w:char="F031"/>
      </w:r>
      <w:r w:rsidRPr="00DC2D62">
        <w:rPr>
          <w:lang w:val="ru-RU"/>
        </w:rPr>
        <w:tab/>
        <w:t>Как описано в Рекомендации МСЭ-</w:t>
      </w:r>
      <w:r w:rsidRPr="00DC2D62">
        <w:t>R</w:t>
      </w:r>
      <w:r w:rsidRPr="00DC2D62">
        <w:rPr>
          <w:lang w:val="ru-RU"/>
        </w:rPr>
        <w:t xml:space="preserve"> </w:t>
      </w:r>
      <w:r w:rsidRPr="00DC2D62">
        <w:t>M</w:t>
      </w:r>
      <w:r w:rsidRPr="00DC2D62">
        <w:rPr>
          <w:lang w:val="ru-RU"/>
        </w:rPr>
        <w:t xml:space="preserve">.1645, системы, следующие за </w:t>
      </w:r>
      <w:r w:rsidRPr="00DC2D62">
        <w:t>IMT</w:t>
      </w:r>
      <w:r w:rsidRPr="00DC2D62">
        <w:rPr>
          <w:lang w:val="ru-RU"/>
        </w:rPr>
        <w:t>-2000, будут включать в</w:t>
      </w:r>
      <w:r>
        <w:rPr>
          <w:lang w:val="ru-RU"/>
        </w:rPr>
        <w:t> </w:t>
      </w:r>
      <w:r w:rsidRPr="00DC2D62">
        <w:rPr>
          <w:lang w:val="ru-RU"/>
        </w:rPr>
        <w:t xml:space="preserve">себя возможности предыдущих систем, а усовершенствование и будущее развитие </w:t>
      </w:r>
      <w:r w:rsidRPr="00DC2D62">
        <w:t>IMT</w:t>
      </w:r>
      <w:r w:rsidRPr="00DC2D62">
        <w:rPr>
          <w:lang w:val="ru-RU"/>
        </w:rPr>
        <w:t xml:space="preserve">-2000, которые соответствуют критерию пункта 2 раздела </w:t>
      </w:r>
      <w:r w:rsidRPr="00DC2D62">
        <w:rPr>
          <w:i/>
          <w:iCs/>
          <w:lang w:val="ru-RU"/>
        </w:rPr>
        <w:t>решает</w:t>
      </w:r>
      <w:r w:rsidRPr="00DC2D62">
        <w:rPr>
          <w:lang w:val="ru-RU"/>
        </w:rPr>
        <w:t xml:space="preserve"> Резолюции МСЭ-</w:t>
      </w:r>
      <w:r w:rsidRPr="00DC2D62">
        <w:t>R</w:t>
      </w:r>
      <w:r w:rsidRPr="00DC2D62">
        <w:rPr>
          <w:lang w:val="ru-RU"/>
        </w:rPr>
        <w:t xml:space="preserve"> 56, могут также являться частью </w:t>
      </w:r>
      <w:r w:rsidRPr="00DC2D62">
        <w:t>IMT</w:t>
      </w:r>
      <w:r w:rsidRPr="00DC2D62">
        <w:noBreakHyphen/>
        <w:t>Advanced.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F5DAB">
      <w:rPr>
        <w:noProof/>
        <w:lang w:val="en-US"/>
      </w:rPr>
      <w:t>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1355A1"/>
    <w:rsid w:val="001B225D"/>
    <w:rsid w:val="00213F8F"/>
    <w:rsid w:val="00351724"/>
    <w:rsid w:val="00384219"/>
    <w:rsid w:val="004844C1"/>
    <w:rsid w:val="00531809"/>
    <w:rsid w:val="00541AC7"/>
    <w:rsid w:val="005F5DAB"/>
    <w:rsid w:val="00645B0F"/>
    <w:rsid w:val="00700190"/>
    <w:rsid w:val="00703FFC"/>
    <w:rsid w:val="0071246B"/>
    <w:rsid w:val="00756B1C"/>
    <w:rsid w:val="008265D3"/>
    <w:rsid w:val="00845350"/>
    <w:rsid w:val="0085500D"/>
    <w:rsid w:val="008B1239"/>
    <w:rsid w:val="0093132E"/>
    <w:rsid w:val="00943EBD"/>
    <w:rsid w:val="009447A3"/>
    <w:rsid w:val="009604ED"/>
    <w:rsid w:val="009A0B1F"/>
    <w:rsid w:val="00A05CE9"/>
    <w:rsid w:val="00AD4505"/>
    <w:rsid w:val="00BE5003"/>
    <w:rsid w:val="00C52226"/>
    <w:rsid w:val="00D35AF0"/>
    <w:rsid w:val="00D471A9"/>
    <w:rsid w:val="00DD5001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2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  <w:lang w:val="ru-RU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  <w:rPr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  <w:lang w:val="ru-RU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  <w:lang w:val="ru-RU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  <w:lang w:val="ru-RU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  <w:lang w:val="ru-RU"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lang w:val="ru-RU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  <w:lang w:val="ru-RU"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lang w:val="ru-RU"/>
    </w:r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  <w:rPr>
      <w:lang w:val="ru-RU"/>
    </w:rPr>
  </w:style>
  <w:style w:type="paragraph" w:styleId="NormalIndent">
    <w:name w:val="Normal Indent"/>
    <w:basedOn w:val="Normal"/>
    <w:rsid w:val="009A0B1F"/>
    <w:pPr>
      <w:ind w:left="1134"/>
    </w:pPr>
    <w:rPr>
      <w:lang w:val="ru-RU"/>
    </w:r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  <w:rPr>
      <w:lang w:val="ru-RU"/>
    </w:r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  <w:lang w:val="ru-RU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  <w:lang w:val="ru-RU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  <w:lang w:val="ru-RU"/>
    </w:rPr>
  </w:style>
  <w:style w:type="paragraph" w:styleId="Index1">
    <w:name w:val="index 1"/>
    <w:basedOn w:val="Normal"/>
    <w:next w:val="Normal"/>
    <w:rsid w:val="009A0B1F"/>
    <w:rPr>
      <w:lang w:val="ru-RU"/>
    </w:rPr>
  </w:style>
  <w:style w:type="paragraph" w:styleId="Index2">
    <w:name w:val="index 2"/>
    <w:basedOn w:val="Normal"/>
    <w:next w:val="Normal"/>
    <w:rsid w:val="009A0B1F"/>
    <w:pPr>
      <w:ind w:left="283"/>
    </w:pPr>
    <w:rPr>
      <w:lang w:val="ru-RU"/>
    </w:rPr>
  </w:style>
  <w:style w:type="paragraph" w:styleId="Index3">
    <w:name w:val="index 3"/>
    <w:basedOn w:val="Normal"/>
    <w:next w:val="Normal"/>
    <w:rsid w:val="009A0B1F"/>
    <w:pPr>
      <w:ind w:left="566"/>
    </w:pPr>
    <w:rPr>
      <w:lang w:val="ru-RU"/>
    </w:rPr>
  </w:style>
  <w:style w:type="paragraph" w:styleId="Index4">
    <w:name w:val="index 4"/>
    <w:basedOn w:val="Normal"/>
    <w:next w:val="Normal"/>
    <w:rsid w:val="009A0B1F"/>
    <w:pPr>
      <w:ind w:left="849"/>
    </w:pPr>
    <w:rPr>
      <w:lang w:val="ru-RU"/>
    </w:rPr>
  </w:style>
  <w:style w:type="paragraph" w:styleId="Index5">
    <w:name w:val="index 5"/>
    <w:basedOn w:val="Normal"/>
    <w:next w:val="Normal"/>
    <w:rsid w:val="009A0B1F"/>
    <w:pPr>
      <w:ind w:left="1132"/>
    </w:pPr>
    <w:rPr>
      <w:lang w:val="ru-RU"/>
    </w:rPr>
  </w:style>
  <w:style w:type="paragraph" w:styleId="Index6">
    <w:name w:val="index 6"/>
    <w:basedOn w:val="Normal"/>
    <w:next w:val="Normal"/>
    <w:rsid w:val="009A0B1F"/>
    <w:pPr>
      <w:ind w:left="1415"/>
    </w:pPr>
    <w:rPr>
      <w:lang w:val="ru-RU"/>
    </w:rPr>
  </w:style>
  <w:style w:type="paragraph" w:styleId="Index7">
    <w:name w:val="index 7"/>
    <w:basedOn w:val="Normal"/>
    <w:next w:val="Normal"/>
    <w:rsid w:val="009A0B1F"/>
    <w:pPr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9A0B1F"/>
    <w:rPr>
      <w:lang w:val="ru-RU"/>
    </w:rPr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  <w:rPr>
      <w:lang w:val="ru-RU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  <w:rPr>
      <w:lang w:val="ru-RU"/>
    </w:r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  <w:rPr>
      <w:lang w:val="ru-RU"/>
    </w:r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  <w:rPr>
      <w:lang w:val="ru-RU"/>
    </w:r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  <w:rPr>
      <w:lang w:val="ru-RU"/>
    </w:r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  <w:lang w:val="ru-RU"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  <w:lang w:val="ru-RU"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  <w:lang w:val="ru-RU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  <w:lang w:val="ru-RU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  <w:lang w:val="ru-RU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  <w:lang w:val="ru-RU"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lang w:val="ru-RU"/>
    </w:r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2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  <w:lang w:val="ru-RU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  <w:rPr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  <w:lang w:val="ru-RU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  <w:lang w:val="ru-RU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  <w:lang w:val="ru-RU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  <w:lang w:val="ru-RU"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lang w:val="ru-RU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  <w:lang w:val="ru-RU"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lang w:val="ru-RU"/>
    </w:r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  <w:rPr>
      <w:lang w:val="ru-RU"/>
    </w:rPr>
  </w:style>
  <w:style w:type="paragraph" w:styleId="NormalIndent">
    <w:name w:val="Normal Indent"/>
    <w:basedOn w:val="Normal"/>
    <w:rsid w:val="009A0B1F"/>
    <w:pPr>
      <w:ind w:left="1134"/>
    </w:pPr>
    <w:rPr>
      <w:lang w:val="ru-RU"/>
    </w:r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  <w:rPr>
      <w:lang w:val="ru-RU"/>
    </w:r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  <w:lang w:val="ru-RU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  <w:lang w:val="ru-RU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  <w:lang w:val="ru-RU"/>
    </w:rPr>
  </w:style>
  <w:style w:type="paragraph" w:styleId="Index1">
    <w:name w:val="index 1"/>
    <w:basedOn w:val="Normal"/>
    <w:next w:val="Normal"/>
    <w:rsid w:val="009A0B1F"/>
    <w:rPr>
      <w:lang w:val="ru-RU"/>
    </w:rPr>
  </w:style>
  <w:style w:type="paragraph" w:styleId="Index2">
    <w:name w:val="index 2"/>
    <w:basedOn w:val="Normal"/>
    <w:next w:val="Normal"/>
    <w:rsid w:val="009A0B1F"/>
    <w:pPr>
      <w:ind w:left="283"/>
    </w:pPr>
    <w:rPr>
      <w:lang w:val="ru-RU"/>
    </w:rPr>
  </w:style>
  <w:style w:type="paragraph" w:styleId="Index3">
    <w:name w:val="index 3"/>
    <w:basedOn w:val="Normal"/>
    <w:next w:val="Normal"/>
    <w:rsid w:val="009A0B1F"/>
    <w:pPr>
      <w:ind w:left="566"/>
    </w:pPr>
    <w:rPr>
      <w:lang w:val="ru-RU"/>
    </w:rPr>
  </w:style>
  <w:style w:type="paragraph" w:styleId="Index4">
    <w:name w:val="index 4"/>
    <w:basedOn w:val="Normal"/>
    <w:next w:val="Normal"/>
    <w:rsid w:val="009A0B1F"/>
    <w:pPr>
      <w:ind w:left="849"/>
    </w:pPr>
    <w:rPr>
      <w:lang w:val="ru-RU"/>
    </w:rPr>
  </w:style>
  <w:style w:type="paragraph" w:styleId="Index5">
    <w:name w:val="index 5"/>
    <w:basedOn w:val="Normal"/>
    <w:next w:val="Normal"/>
    <w:rsid w:val="009A0B1F"/>
    <w:pPr>
      <w:ind w:left="1132"/>
    </w:pPr>
    <w:rPr>
      <w:lang w:val="ru-RU"/>
    </w:rPr>
  </w:style>
  <w:style w:type="paragraph" w:styleId="Index6">
    <w:name w:val="index 6"/>
    <w:basedOn w:val="Normal"/>
    <w:next w:val="Normal"/>
    <w:rsid w:val="009A0B1F"/>
    <w:pPr>
      <w:ind w:left="1415"/>
    </w:pPr>
    <w:rPr>
      <w:lang w:val="ru-RU"/>
    </w:rPr>
  </w:style>
  <w:style w:type="paragraph" w:styleId="Index7">
    <w:name w:val="index 7"/>
    <w:basedOn w:val="Normal"/>
    <w:next w:val="Normal"/>
    <w:rsid w:val="009A0B1F"/>
    <w:pPr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9A0B1F"/>
    <w:rPr>
      <w:lang w:val="ru-RU"/>
    </w:rPr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  <w:rPr>
      <w:lang w:val="ru-RU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  <w:rPr>
      <w:lang w:val="ru-RU"/>
    </w:r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  <w:rPr>
      <w:lang w:val="ru-RU"/>
    </w:r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  <w:rPr>
      <w:lang w:val="ru-RU"/>
    </w:r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  <w:rPr>
      <w:lang w:val="ru-RU"/>
    </w:r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  <w:lang w:val="ru-RU"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  <w:lang w:val="ru-RU"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  <w:lang w:val="ru-RU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  <w:lang w:val="ru-RU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  <w:lang w:val="ru-RU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  <w:lang w:val="ru-RU"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lang w:val="ru-RU"/>
    </w:r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13</TotalTime>
  <Pages>4</Pages>
  <Words>1175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7</cp:revision>
  <cp:lastPrinted>2007-04-05T14:30:00Z</cp:lastPrinted>
  <dcterms:created xsi:type="dcterms:W3CDTF">2012-01-19T18:57:00Z</dcterms:created>
  <dcterms:modified xsi:type="dcterms:W3CDTF">2012-01-21T00:48:00Z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