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20" w:rsidRDefault="00FA2020" w:rsidP="00FA2020">
      <w:pPr>
        <w:pStyle w:val="ResNo"/>
      </w:pPr>
      <w:r w:rsidRPr="00644459">
        <w:rPr>
          <w:lang w:val="es-ES"/>
        </w:rPr>
        <w:t xml:space="preserve">RESOLUCIÓN UIT-R </w:t>
      </w:r>
      <w:r>
        <w:rPr>
          <w:lang w:val="es-ES"/>
        </w:rPr>
        <w:t>6</w:t>
      </w:r>
      <w:r w:rsidRPr="00644459">
        <w:rPr>
          <w:lang w:val="es-ES"/>
        </w:rPr>
        <w:t>-</w:t>
      </w:r>
      <w:r>
        <w:rPr>
          <w:lang w:val="es-ES"/>
        </w:rPr>
        <w:t>2</w:t>
      </w:r>
      <w:r w:rsidRPr="00D43F14">
        <w:rPr>
          <w:rStyle w:val="FootnoteReference"/>
        </w:rPr>
        <w:footnoteReference w:customMarkFollows="1" w:id="1"/>
        <w:t>*</w:t>
      </w:r>
    </w:p>
    <w:p w:rsidR="00FA2020" w:rsidRDefault="00FA2020" w:rsidP="00FA2020">
      <w:pPr>
        <w:pStyle w:val="Restitle"/>
      </w:pPr>
      <w:r w:rsidRPr="00DC752E">
        <w:t xml:space="preserve">Coordinación y colaboración con el Sector de Normalización </w:t>
      </w:r>
      <w:r>
        <w:br/>
      </w:r>
      <w:r w:rsidRPr="00DC752E">
        <w:t>de las Telecomunicaciones de la UIT</w:t>
      </w:r>
    </w:p>
    <w:p w:rsidR="00330077" w:rsidRPr="00DB1428" w:rsidRDefault="00330077" w:rsidP="00FA2020">
      <w:pPr>
        <w:pStyle w:val="Resdate"/>
      </w:pPr>
      <w:r w:rsidRPr="00DB1428">
        <w:t>(1993-2000</w:t>
      </w:r>
      <w:r w:rsidR="00644459">
        <w:t>-2015</w:t>
      </w:r>
      <w:r w:rsidRPr="00DB1428">
        <w:t>)</w:t>
      </w:r>
    </w:p>
    <w:p w:rsidR="00330077" w:rsidRPr="00DB1428" w:rsidRDefault="00330077" w:rsidP="00330077">
      <w:pPr>
        <w:pStyle w:val="Normalaftertitle0"/>
        <w:rPr>
          <w:lang w:val="es-ES_tradnl"/>
        </w:rPr>
      </w:pPr>
      <w:r w:rsidRPr="00DB1428">
        <w:rPr>
          <w:lang w:val="es-ES_tradnl"/>
        </w:rPr>
        <w:t>La Asamblea de Radiocomunicaciones de la UIT,</w:t>
      </w:r>
    </w:p>
    <w:p w:rsidR="00330077" w:rsidRPr="00DB1428" w:rsidRDefault="00330077" w:rsidP="00330077">
      <w:pPr>
        <w:pStyle w:val="Call"/>
      </w:pPr>
      <w:r w:rsidRPr="00DB1428">
        <w:t>considerando</w:t>
      </w:r>
    </w:p>
    <w:p w:rsidR="00330077" w:rsidRPr="00DB1428" w:rsidRDefault="00330077" w:rsidP="00330077">
      <w:r w:rsidRPr="00DB1428">
        <w:rPr>
          <w:i/>
          <w:iCs/>
        </w:rPr>
        <w:t>a)</w:t>
      </w:r>
      <w:r w:rsidRPr="00DB1428">
        <w:tab/>
        <w:t>que se encargó a las Comisiones de Estudio de Radiocomunicaciones (UIT-R) centrarse en lo siguiente para el estudio de las Cuestiones que se les han asignado:</w:t>
      </w:r>
    </w:p>
    <w:p w:rsidR="00330077" w:rsidRPr="00DB1428" w:rsidRDefault="00330077" w:rsidP="00330077">
      <w:pPr>
        <w:pStyle w:val="enumlev1"/>
      </w:pPr>
      <w:r w:rsidRPr="00DB1428">
        <w:t>«</w:t>
      </w:r>
      <w:r w:rsidRPr="00DB1428">
        <w:rPr>
          <w:i/>
          <w:iCs/>
        </w:rPr>
        <w:t>a)</w:t>
      </w:r>
      <w:r w:rsidRPr="00DB1428">
        <w:tab/>
        <w:t>la utilización del espectro de frecuencias radioeléctricas en las radiocomunicaciones terrenales y espaciales y la utilización de la órbita de los satélites geoestacionarios y otras órbitas;</w:t>
      </w:r>
    </w:p>
    <w:p w:rsidR="00330077" w:rsidRPr="00DB1428" w:rsidRDefault="00330077" w:rsidP="00330077">
      <w:pPr>
        <w:pStyle w:val="enumlev1"/>
      </w:pPr>
      <w:r w:rsidRPr="00DB1428">
        <w:rPr>
          <w:i/>
          <w:iCs/>
        </w:rPr>
        <w:t>b)</w:t>
      </w:r>
      <w:r w:rsidRPr="00DB1428">
        <w:tab/>
        <w:t>las características y la calidad de funcionamiento de los sistemas radioeléctricos;</w:t>
      </w:r>
    </w:p>
    <w:p w:rsidR="00330077" w:rsidRPr="00DB1428" w:rsidRDefault="00330077" w:rsidP="00330077">
      <w:pPr>
        <w:pStyle w:val="enumlev1"/>
      </w:pPr>
      <w:r w:rsidRPr="00DB1428">
        <w:rPr>
          <w:i/>
          <w:iCs/>
        </w:rPr>
        <w:t>c)</w:t>
      </w:r>
      <w:r w:rsidRPr="00DB1428">
        <w:tab/>
        <w:t>la explotación de las estaciones de radiocomunicación;</w:t>
      </w:r>
    </w:p>
    <w:p w:rsidR="00330077" w:rsidRPr="00DB1428" w:rsidRDefault="00330077" w:rsidP="00330077">
      <w:pPr>
        <w:pStyle w:val="enumlev1"/>
      </w:pPr>
      <w:r w:rsidRPr="00DB1428">
        <w:rPr>
          <w:i/>
          <w:iCs/>
        </w:rPr>
        <w:t>d)</w:t>
      </w:r>
      <w:r w:rsidRPr="00DB1428">
        <w:tab/>
        <w:t>los aspectos de las radiocomunicaciones relacionados con el socorro y la seguridad;» (Artículo 11 del Convenio de la UIT, números 151 a 154);</w:t>
      </w:r>
    </w:p>
    <w:p w:rsidR="00330077" w:rsidRPr="00DB1428" w:rsidRDefault="00330077" w:rsidP="00330077">
      <w:r w:rsidRPr="00DB1428">
        <w:rPr>
          <w:i/>
          <w:iCs/>
        </w:rPr>
        <w:t>b)</w:t>
      </w:r>
      <w:r w:rsidRPr="00DB1428">
        <w:tab/>
        <w:t>que se encargó a las Comisiones de Estudio de Normalización de las Telecomunicaciones (UIT-T) de:</w:t>
      </w:r>
    </w:p>
    <w:p w:rsidR="00330077" w:rsidRPr="00DB1428" w:rsidRDefault="00330077" w:rsidP="00330077">
      <w:pPr>
        <w:pStyle w:val="enumlev1"/>
      </w:pPr>
      <w:r w:rsidRPr="00DB1428">
        <w:tab/>
        <w:t>«... estudiar cuestiones técnicas, de explotación y de tarificación y formular recomendaciones sobre las mismas con miras a la normalización de las telecomunicaciones en el plano mundial, incluidas las recomendaciones sobre interconexión de sistemas radioeléctricos en redes públicas de telecomunicación y sobre la calidad de funcionamiento exigida a esas interconexiones,» (Artículo 14 del Convenio, número 193);</w:t>
      </w:r>
    </w:p>
    <w:p w:rsidR="00330077" w:rsidRPr="00DB1428" w:rsidRDefault="00330077" w:rsidP="00330077">
      <w:r w:rsidRPr="00DB1428">
        <w:rPr>
          <w:i/>
          <w:iCs/>
        </w:rPr>
        <w:t>c)</w:t>
      </w:r>
      <w:r w:rsidRPr="00DB1428">
        <w:tab/>
        <w:t>que se encargó a los dos Sectores la responsabilidad de acordar conjuntamente la asignación de estudios y el establecimiento de la línea divisoria de los estudios que se revisa constantemente (números 158 y 195 del Convenio);</w:t>
      </w:r>
    </w:p>
    <w:p w:rsidR="00330077" w:rsidRPr="00DB1428" w:rsidRDefault="00330077" w:rsidP="00330077">
      <w:r w:rsidRPr="00DB1428">
        <w:rPr>
          <w:i/>
          <w:iCs/>
        </w:rPr>
        <w:t>d)</w:t>
      </w:r>
      <w:r w:rsidRPr="00DB1428">
        <w:tab/>
        <w:t>que se ha finalizado la división inicial de los trabajos entre el UIT-T y el UIT</w:t>
      </w:r>
      <w:r w:rsidRPr="00DB1428">
        <w:noBreakHyphen/>
        <w:t>R,</w:t>
      </w:r>
    </w:p>
    <w:p w:rsidR="00330077" w:rsidRPr="00DB1428" w:rsidRDefault="00330077" w:rsidP="00330077">
      <w:pPr>
        <w:pStyle w:val="Call"/>
      </w:pPr>
      <w:r w:rsidRPr="00DB1428">
        <w:t>considerando además</w:t>
      </w:r>
    </w:p>
    <w:p w:rsidR="00330077" w:rsidRDefault="00330077" w:rsidP="00330077">
      <w:r w:rsidRPr="003A2249">
        <w:rPr>
          <w:i/>
          <w:iCs/>
        </w:rPr>
        <w:t>a)</w:t>
      </w:r>
      <w:r>
        <w:tab/>
      </w:r>
      <w:r w:rsidRPr="00DB1428">
        <w:t xml:space="preserve">la Resolución 16 (Rev. </w:t>
      </w:r>
      <w:proofErr w:type="spellStart"/>
      <w:r w:rsidRPr="00DB1428">
        <w:t>Minneápolis</w:t>
      </w:r>
      <w:proofErr w:type="spellEnd"/>
      <w:r w:rsidRPr="00DB1428">
        <w:t>, 1998)</w:t>
      </w:r>
      <w:r>
        <w:t xml:space="preserve"> de la Conferencia de Plenipotenciarios;</w:t>
      </w:r>
    </w:p>
    <w:p w:rsidR="00330077" w:rsidRDefault="00330077" w:rsidP="00330077">
      <w:r w:rsidRPr="007C554D">
        <w:rPr>
          <w:i/>
          <w:iCs/>
        </w:rPr>
        <w:t>b)</w:t>
      </w:r>
      <w:r>
        <w:tab/>
      </w:r>
      <w:r w:rsidRPr="00644459">
        <w:t xml:space="preserve">que, de conformidad con el </w:t>
      </w:r>
      <w:r w:rsidRPr="00644459">
        <w:rPr>
          <w:i/>
          <w:iCs/>
        </w:rPr>
        <w:t>resuelve</w:t>
      </w:r>
      <w:r w:rsidRPr="00644459">
        <w:t xml:space="preserve"> 2 de la </w:t>
      </w:r>
      <w:r w:rsidRPr="0052336E">
        <w:t>Resolución 176</w:t>
      </w:r>
      <w:r w:rsidRPr="00644459">
        <w:t xml:space="preserve"> (Rev. </w:t>
      </w:r>
      <w:proofErr w:type="spellStart"/>
      <w:r w:rsidRPr="00644459">
        <w:t>Busán</w:t>
      </w:r>
      <w:proofErr w:type="spellEnd"/>
      <w:r w:rsidRPr="00644459">
        <w:t>, 2014)</w:t>
      </w:r>
      <w:r w:rsidR="00644459">
        <w:t xml:space="preserve"> de la Conferencia de Plenipotenciarios</w:t>
      </w:r>
      <w:r w:rsidRPr="00644459">
        <w:t>, los tres Sectores de la UIT colaboran estrechamente con todas las organizaciones interesadas en la exposici</w:t>
      </w:r>
      <w:r>
        <w:t>ón de las personas a los campos electromagnéticos</w:t>
      </w:r>
      <w:r w:rsidR="00644459">
        <w:t xml:space="preserve"> (CEM)</w:t>
      </w:r>
      <w:r w:rsidR="005A7D84">
        <w:t>;</w:t>
      </w:r>
    </w:p>
    <w:p w:rsidR="00330077" w:rsidRDefault="00330077" w:rsidP="00330077">
      <w:r w:rsidRPr="00644459">
        <w:rPr>
          <w:i/>
          <w:iCs/>
        </w:rPr>
        <w:t>c)</w:t>
      </w:r>
      <w:r>
        <w:tab/>
        <w:t xml:space="preserve">que los estudios realizados de conformidad con la Resolución 197 (Rev. </w:t>
      </w:r>
      <w:proofErr w:type="spellStart"/>
      <w:r>
        <w:t>Busán</w:t>
      </w:r>
      <w:proofErr w:type="spellEnd"/>
      <w:r>
        <w:t xml:space="preserve">, 2014) de la Conferencia de Plenipotenciarios, relativa a </w:t>
      </w:r>
      <w:r w:rsidR="00557637">
        <w:t xml:space="preserve">la </w:t>
      </w:r>
      <w:r w:rsidR="009838C5" w:rsidRPr="00330077">
        <w:t xml:space="preserve">facilitación </w:t>
      </w:r>
      <w:r w:rsidRPr="00330077">
        <w:t xml:space="preserve">de la Internet de las cosas como </w:t>
      </w:r>
      <w:r w:rsidRPr="00330077">
        <w:lastRenderedPageBreak/>
        <w:t>preparación para un mundo globalmente conectado</w:t>
      </w:r>
      <w:r>
        <w:t>, requiere la estrecha colaboración entre el UIT</w:t>
      </w:r>
      <w:r w:rsidR="00A1667A">
        <w:noBreakHyphen/>
      </w:r>
      <w:r>
        <w:t>R y el UIT-T en este campo;</w:t>
      </w:r>
    </w:p>
    <w:p w:rsidR="00330077" w:rsidRPr="00DB1428" w:rsidRDefault="00330077" w:rsidP="00644459">
      <w:r w:rsidRPr="00644459">
        <w:rPr>
          <w:i/>
          <w:iCs/>
        </w:rPr>
        <w:t>d)</w:t>
      </w:r>
      <w:r>
        <w:tab/>
        <w:t xml:space="preserve">la Resolución UIT-R </w:t>
      </w:r>
      <w:r w:rsidR="00644459">
        <w:t>66</w:t>
      </w:r>
      <w:r>
        <w:t xml:space="preserve"> de la Asamblea de Radiocomunicaciones, relativa a </w:t>
      </w:r>
      <w:r>
        <w:rPr>
          <w:color w:val="000000"/>
        </w:rPr>
        <w:t>sistemas y aplicaciones inalámbricos para el desarrollo de la Internet de las cosas</w:t>
      </w:r>
      <w:r w:rsidRPr="00DB1428">
        <w:t>,</w:t>
      </w:r>
    </w:p>
    <w:p w:rsidR="00330077" w:rsidRPr="00DB1428" w:rsidRDefault="00330077" w:rsidP="00330077">
      <w:pPr>
        <w:pStyle w:val="Call"/>
      </w:pPr>
      <w:r w:rsidRPr="00DB1428">
        <w:t>observando</w:t>
      </w:r>
    </w:p>
    <w:p w:rsidR="00330077" w:rsidRPr="00DB1428" w:rsidRDefault="00330077" w:rsidP="00330077">
      <w:r w:rsidRPr="00DB1428">
        <w:t>que en la Resolución 18</w:t>
      </w:r>
      <w:r>
        <w:t xml:space="preserve"> (Rev. Dubái, 2012)</w:t>
      </w:r>
      <w:r w:rsidRPr="00DB1428">
        <w:t xml:space="preserve"> de la Asamblea Mundial de Normalización de las Telecomunicaciones se han establecido mecanismos para el examen continuo de la división de los trabajos y la cooperación entre los Sectores UIT</w:t>
      </w:r>
      <w:r w:rsidRPr="00DB1428">
        <w:noBreakHyphen/>
        <w:t>R y UIT</w:t>
      </w:r>
      <w:r w:rsidRPr="00DB1428">
        <w:noBreakHyphen/>
        <w:t>T,</w:t>
      </w:r>
    </w:p>
    <w:p w:rsidR="00330077" w:rsidRPr="00DB1428" w:rsidRDefault="00330077" w:rsidP="00330077">
      <w:pPr>
        <w:pStyle w:val="Call"/>
      </w:pPr>
      <w:r w:rsidRPr="00DB1428">
        <w:t>resuelve</w:t>
      </w:r>
    </w:p>
    <w:p w:rsidR="00330077" w:rsidRPr="00DB1428" w:rsidRDefault="00330077" w:rsidP="00330077">
      <w:r w:rsidRPr="00DB1428">
        <w:rPr>
          <w:bCs/>
        </w:rPr>
        <w:t>1</w:t>
      </w:r>
      <w:r w:rsidRPr="00DB1428">
        <w:tab/>
        <w:t>interesar la atención del Grupo Consultivo de Radiocomunicaciones en colaboración con el Grupo Consultivo de Normalización de las Telecomunicaciones para seguir examinando las actividades nuevas y en curso, y su división entre ambos Sectores, con miras a la aprobación de los Miembros de acuerdo con los procedimientos estipulados para la aprobación de las Cuestiones nuevas o revisadas, tomando en cuenta las actividades y resultados de las medidas actuales de reestructuración dentro de la UIT;</w:t>
      </w:r>
    </w:p>
    <w:p w:rsidR="00330077" w:rsidRPr="00DB1428" w:rsidRDefault="00330077" w:rsidP="00330077">
      <w:r w:rsidRPr="00DB1428">
        <w:rPr>
          <w:bCs/>
        </w:rPr>
        <w:t>2</w:t>
      </w:r>
      <w:r w:rsidRPr="00DB1428">
        <w:tab/>
        <w:t>que se utilicen los principios para la atribución del trabajo al Sector de Radiocomunicaciones y al Sector de Normalización de las Telecomunicaciones (véase el Anexo 1) para ofrecer nuevas orientaciones sobre la atribución del trabajo a los Sectores;</w:t>
      </w:r>
    </w:p>
    <w:p w:rsidR="00330077" w:rsidRPr="00DB1428" w:rsidRDefault="00330077" w:rsidP="00330077">
      <w:r w:rsidRPr="00DB1428">
        <w:rPr>
          <w:bCs/>
        </w:rPr>
        <w:t>3</w:t>
      </w:r>
      <w:r w:rsidRPr="00DB1428">
        <w:tab/>
        <w:t>que, en el caso en que ambos Sectores se identifiquen responsabilidades considerables en cuanto a un tema particular:</w:t>
      </w:r>
    </w:p>
    <w:p w:rsidR="00330077" w:rsidRPr="00DB1428" w:rsidRDefault="00330077" w:rsidP="00330077">
      <w:pPr>
        <w:pStyle w:val="enumlev1"/>
      </w:pPr>
      <w:r w:rsidRPr="00DB1428">
        <w:rPr>
          <w:i/>
          <w:iCs/>
        </w:rPr>
        <w:t>a)</w:t>
      </w:r>
      <w:r w:rsidRPr="00DB1428">
        <w:tab/>
        <w:t>se aplique el procedimiento del Anexo 2, o</w:t>
      </w:r>
    </w:p>
    <w:p w:rsidR="00330077" w:rsidRPr="00DB1428" w:rsidRDefault="00330077" w:rsidP="00330077">
      <w:pPr>
        <w:pStyle w:val="enumlev1"/>
      </w:pPr>
      <w:r w:rsidRPr="00DB1428">
        <w:rPr>
          <w:i/>
          <w:iCs/>
        </w:rPr>
        <w:t>b)</w:t>
      </w:r>
      <w:r w:rsidRPr="00DB1428">
        <w:tab/>
        <w:t>puedan organizarse reuniones conjuntas por los Directores, o</w:t>
      </w:r>
    </w:p>
    <w:p w:rsidR="00330077" w:rsidRPr="00DB1428" w:rsidRDefault="00330077" w:rsidP="00644459">
      <w:pPr>
        <w:pStyle w:val="enumlev1"/>
      </w:pPr>
      <w:r w:rsidRPr="00DB1428">
        <w:rPr>
          <w:i/>
          <w:iCs/>
        </w:rPr>
        <w:t>c)</w:t>
      </w:r>
      <w:r w:rsidRPr="00DB1428">
        <w:tab/>
        <w:t>se estudie el tema en las Comisiones de Estudio pertinentes de ambos Sectores con la coordinación adecuada (véa</w:t>
      </w:r>
      <w:r w:rsidR="00644459">
        <w:t>n</w:t>
      </w:r>
      <w:r w:rsidRPr="00DB1428">
        <w:t>se l</w:t>
      </w:r>
      <w:r w:rsidR="00644459">
        <w:t>os</w:t>
      </w:r>
      <w:r w:rsidRPr="00DB1428">
        <w:t xml:space="preserve"> Anexo</w:t>
      </w:r>
      <w:r w:rsidR="00644459">
        <w:t>s</w:t>
      </w:r>
      <w:r w:rsidRPr="00DB1428">
        <w:t> 3 y 4),</w:t>
      </w:r>
    </w:p>
    <w:p w:rsidR="00330077" w:rsidRPr="00DB1428" w:rsidRDefault="00330077" w:rsidP="00330077">
      <w:pPr>
        <w:pStyle w:val="Call"/>
      </w:pPr>
      <w:r w:rsidRPr="00DB1428">
        <w:t>invita</w:t>
      </w:r>
    </w:p>
    <w:p w:rsidR="00330077" w:rsidRPr="00DB1428" w:rsidRDefault="00330077" w:rsidP="00330077">
      <w:r w:rsidRPr="00DB1428">
        <w:t xml:space="preserve">a los Directores de las Oficinas de Radiocomunicaciones y de Normalización de las Telecomunicaciones a que observen estrictamente las disposiciones del </w:t>
      </w:r>
      <w:r w:rsidRPr="00DB1428">
        <w:rPr>
          <w:i/>
          <w:iCs/>
        </w:rPr>
        <w:t>resuelve</w:t>
      </w:r>
      <w:r w:rsidRPr="00DB1428">
        <w:t> 3 e identifiquen los métodos adecuados para reforzar esta cooperación.</w:t>
      </w:r>
    </w:p>
    <w:p w:rsidR="00330077" w:rsidRPr="00DB1428" w:rsidRDefault="00330077" w:rsidP="00330077">
      <w:pPr>
        <w:pStyle w:val="AnnexNo"/>
      </w:pPr>
      <w:r w:rsidRPr="00DB1428">
        <w:t>Anexo 1</w:t>
      </w:r>
    </w:p>
    <w:p w:rsidR="00330077" w:rsidRPr="00DB1428" w:rsidRDefault="00330077" w:rsidP="00330077">
      <w:pPr>
        <w:pStyle w:val="Annextitle"/>
      </w:pPr>
      <w:r w:rsidRPr="00DB1428">
        <w:t xml:space="preserve">Principios de la división del trabajo entre el Sector de Radiocomunicaciones </w:t>
      </w:r>
      <w:r w:rsidRPr="00DB1428">
        <w:br/>
        <w:t>y el Sector de Normalización de las Telecomunicaciones</w:t>
      </w:r>
    </w:p>
    <w:p w:rsidR="009C29D2" w:rsidRPr="006D7897" w:rsidRDefault="009C29D2" w:rsidP="009C29D2">
      <w:pPr>
        <w:pStyle w:val="Heading1"/>
      </w:pPr>
      <w:r w:rsidRPr="006D7897">
        <w:t>1</w:t>
      </w:r>
      <w:r w:rsidRPr="006D7897">
        <w:tab/>
        <w:t>Generalidades</w:t>
      </w:r>
    </w:p>
    <w:p w:rsidR="009C29D2" w:rsidRPr="006D7897" w:rsidRDefault="009C29D2" w:rsidP="009C29D2">
      <w:pPr>
        <w:pStyle w:val="Headingi"/>
        <w:rPr>
          <w:b/>
          <w:bCs/>
        </w:rPr>
      </w:pPr>
      <w:r w:rsidRPr="006D7897">
        <w:rPr>
          <w:b/>
          <w:bCs/>
        </w:rPr>
        <w:t>Principio 1</w:t>
      </w:r>
    </w:p>
    <w:p w:rsidR="009C29D2" w:rsidRPr="006D7897" w:rsidRDefault="009C29D2" w:rsidP="009C29D2">
      <w:pPr>
        <w:rPr>
          <w:b/>
        </w:rPr>
      </w:pPr>
      <w:r w:rsidRPr="006D7897">
        <w:rPr>
          <w:b/>
        </w:rPr>
        <w:t>El enfoque del trabajo en cada Sector ha de estar orientado hacia las tareas, encargándose una Comisión de Estudio adecuada (o un grupo designado al efecto) de la coordinación. Se producirá entonces una nueva asignación de tareas dentro de cada programa de trabajo o ámbito de estudio, con disposiciones especiales para el tratamiento de los trabajos que competan a los dos Sectores.</w:t>
      </w:r>
    </w:p>
    <w:p w:rsidR="009C29D2" w:rsidRPr="006D7897" w:rsidRDefault="009C29D2" w:rsidP="009C29D2">
      <w:r w:rsidRPr="006D7897">
        <w:lastRenderedPageBreak/>
        <w:t>La planificación del trabajo se iniciará con un concepto de servicio o de sistema e incluirá el desarrollo de las arquitecturas generales de red o de servicio y la identificación de los interfaces a través de una especificación más detallada y una vinculación de tareas.</w:t>
      </w:r>
    </w:p>
    <w:p w:rsidR="009C29D2" w:rsidRPr="006D7897" w:rsidRDefault="009C29D2" w:rsidP="009C29D2">
      <w:r w:rsidRPr="006D7897">
        <w:t>La actividad relacionada con el examen permanente de las Recomendaciones actuales se considerará como una esfera general de trabajo.</w:t>
      </w:r>
    </w:p>
    <w:p w:rsidR="009C29D2" w:rsidRPr="006D7897" w:rsidRDefault="009C29D2" w:rsidP="009C29D2">
      <w:pPr>
        <w:pStyle w:val="Heading1"/>
      </w:pPr>
      <w:r w:rsidRPr="006D7897">
        <w:t>2</w:t>
      </w:r>
      <w:r w:rsidRPr="006D7897">
        <w:tab/>
        <w:t>Papel de los Sectores</w:t>
      </w:r>
    </w:p>
    <w:p w:rsidR="009C29D2" w:rsidRPr="006D7897" w:rsidRDefault="009C29D2" w:rsidP="009C29D2">
      <w:r w:rsidRPr="006D7897">
        <w:t>Dentro de un enfoque orientado a las tareas, los expertos de ambos Sectores deberían trabajar como parte de un equipo adecuadamente dirigido.</w:t>
      </w:r>
    </w:p>
    <w:p w:rsidR="009C29D2" w:rsidRPr="006D7897" w:rsidRDefault="009C29D2" w:rsidP="009C29D2">
      <w:pPr>
        <w:pStyle w:val="Headingi"/>
        <w:rPr>
          <w:b/>
          <w:bCs/>
        </w:rPr>
      </w:pPr>
      <w:r w:rsidRPr="006D7897">
        <w:rPr>
          <w:b/>
          <w:bCs/>
        </w:rPr>
        <w:t>Principio 2</w:t>
      </w:r>
    </w:p>
    <w:p w:rsidR="009C29D2" w:rsidRPr="006D7897" w:rsidRDefault="009C29D2" w:rsidP="009C29D2">
      <w:pPr>
        <w:rPr>
          <w:b/>
        </w:rPr>
      </w:pPr>
      <w:r w:rsidRPr="006D7897">
        <w:rPr>
          <w:b/>
        </w:rPr>
        <w:t xml:space="preserve">Las funciones del Sector de Normalización de las Telecomunicaciones incluyen las disposiciones de </w:t>
      </w:r>
      <w:proofErr w:type="spellStart"/>
      <w:r w:rsidRPr="006D7897">
        <w:rPr>
          <w:b/>
        </w:rPr>
        <w:t>interfuncionamiento</w:t>
      </w:r>
      <w:proofErr w:type="spellEnd"/>
      <w:r w:rsidRPr="006D7897">
        <w:rPr>
          <w:b/>
        </w:rPr>
        <w:t xml:space="preserve"> necesarias para el equipo radioeléctrico de la red pública de telecomunicación o de sistemas radioeléctricos que requieran interconexión para cursar la correspondencia pública.</w:t>
      </w:r>
    </w:p>
    <w:p w:rsidR="009C29D2" w:rsidRPr="006D7897" w:rsidRDefault="009C29D2" w:rsidP="009C29D2">
      <w:pPr>
        <w:pStyle w:val="Note"/>
        <w:rPr>
          <w:bCs/>
        </w:rPr>
      </w:pPr>
      <w:r w:rsidRPr="006D7897">
        <w:rPr>
          <w:iCs/>
        </w:rPr>
        <w:t xml:space="preserve">NOTA 1 </w:t>
      </w:r>
      <w:r w:rsidRPr="006D7897">
        <w:t>– Correspondencia pública: toda telecomunicación que deban aceptar para su transmisión las oficinas y estaciones por el simple hecho de hallarse a disposición del público.</w:t>
      </w:r>
    </w:p>
    <w:p w:rsidR="009C29D2" w:rsidRPr="006D7897" w:rsidRDefault="009C29D2" w:rsidP="009C29D2">
      <w:r w:rsidRPr="006D7897">
        <w:t>Además, las Recomendaciones elaboradas por el Sector de Normalización de las Telecomunicaciones han de proveer la capacidad necesaria para admitir las características particulares de los sistemas radioeléctricos. Análogamente, el trabajo del Sector de Radiocomunicaciones debe complementar al del Sector de Normalización de las Telecomunicaciones, especialmente en lo que se refiere a la utilización de la tecnología radioeléctrica en la red de telecomunicación. Por consiguiente, ambos Sectores tendrán que examinar los problemas de interfaz.</w:t>
      </w:r>
    </w:p>
    <w:p w:rsidR="009C29D2" w:rsidRPr="006D7897" w:rsidRDefault="009C29D2" w:rsidP="009C29D2">
      <w:r w:rsidRPr="006D7897">
        <w:t>El término «correspondencia pública» no debería interpretarse de forma demasiado restrictiva en el Principio 2 (y en otras partes). La palabra «incluye» indica que no se excluyen otras clases de tráfico conexas (por ejemplo, el tráfico de servicio o el tráfico estatal) ni las aplicaciones de usuario.</w:t>
      </w:r>
    </w:p>
    <w:p w:rsidR="009C29D2" w:rsidRPr="006D7897" w:rsidRDefault="009C29D2" w:rsidP="009C29D2">
      <w:pPr>
        <w:pStyle w:val="Headingi"/>
        <w:rPr>
          <w:b/>
          <w:bCs/>
        </w:rPr>
      </w:pPr>
      <w:r w:rsidRPr="006D7897">
        <w:rPr>
          <w:b/>
          <w:bCs/>
        </w:rPr>
        <w:t>Principio 3</w:t>
      </w:r>
    </w:p>
    <w:p w:rsidR="009C29D2" w:rsidRPr="006D7897" w:rsidRDefault="009C29D2" w:rsidP="009C29D2">
      <w:pPr>
        <w:rPr>
          <w:b/>
        </w:rPr>
      </w:pPr>
      <w:r w:rsidRPr="006D7897">
        <w:rPr>
          <w:b/>
        </w:rPr>
        <w:t xml:space="preserve">El trabajo del Sector de Radiocomunicaciones relacionado con las normas de red incluye los estudios sobre características, calidad de funcionamiento, explotación y aspectos relacionados con el espectro de los equipos o sistemas radioeléctricos necesarios para las disposiciones de interconexión e </w:t>
      </w:r>
      <w:proofErr w:type="spellStart"/>
      <w:r w:rsidRPr="006D7897">
        <w:rPr>
          <w:b/>
        </w:rPr>
        <w:t>interfuncionamiento</w:t>
      </w:r>
      <w:proofErr w:type="spellEnd"/>
      <w:r w:rsidRPr="006D7897">
        <w:rPr>
          <w:b/>
        </w:rPr>
        <w:t xml:space="preserve"> definidas por el Sector de Normalización de las Telecomunicaciones.</w:t>
      </w:r>
    </w:p>
    <w:p w:rsidR="009C29D2" w:rsidRPr="006D7897" w:rsidRDefault="009C29D2" w:rsidP="009C29D2">
      <w:r w:rsidRPr="006D7897">
        <w:t>Las características de los equipos radioeléctricos son las que tratan del propio equipo y del entorno físico en que éste debe trabajar. Ejemplos de ellas son la calidad de funcionamiento, la modulación, la codificación, la corrección de errores, el mantenimiento y otros aspectos que puedan influir en las señales de interfaz y en los protocolos a los que han de atenerse.</w:t>
      </w:r>
    </w:p>
    <w:p w:rsidR="009C29D2" w:rsidRPr="006D7897" w:rsidRDefault="009C29D2" w:rsidP="009C29D2">
      <w:pPr>
        <w:pStyle w:val="Headingi"/>
        <w:rPr>
          <w:b/>
          <w:bCs/>
        </w:rPr>
      </w:pPr>
      <w:r w:rsidRPr="006D7897">
        <w:rPr>
          <w:b/>
          <w:bCs/>
        </w:rPr>
        <w:t>Principio 4</w:t>
      </w:r>
    </w:p>
    <w:p w:rsidR="009C29D2" w:rsidRPr="006D7897" w:rsidRDefault="009C29D2" w:rsidP="009C29D2">
      <w:pPr>
        <w:rPr>
          <w:b/>
        </w:rPr>
      </w:pPr>
      <w:r w:rsidRPr="006D7897">
        <w:rPr>
          <w:b/>
        </w:rPr>
        <w:t>Antes de atribuir tareas específicas es necesario definir con la mayor claridad posible los servicios, las arquitecturas de red y los interfaces.</w:t>
      </w:r>
    </w:p>
    <w:p w:rsidR="009C29D2" w:rsidRPr="006D7897" w:rsidRDefault="009C29D2" w:rsidP="009C29D2">
      <w:r w:rsidRPr="006D7897">
        <w:t>Por ejemplo, el Sector de Normalización de las Telecomunicaciones y el Sector de Radiocomunicaciones deberían identificar conjuntamente los interfaces que habrá de admitir el sistema en estudio. El Sector de Radiocomunicaciones identificará también el ámbito y la capacidad de los sistemas radioeléctricos necesarios para satisfacer las necesidades de interfaz y conseguir una utilización óptima del recurso espectro/órbita.</w:t>
      </w:r>
    </w:p>
    <w:p w:rsidR="009C29D2" w:rsidRPr="006D7897" w:rsidRDefault="009C29D2" w:rsidP="009C29D2">
      <w:pPr>
        <w:pStyle w:val="Headingi"/>
        <w:rPr>
          <w:b/>
          <w:bCs/>
        </w:rPr>
      </w:pPr>
      <w:r w:rsidRPr="006D7897">
        <w:rPr>
          <w:b/>
          <w:bCs/>
        </w:rPr>
        <w:lastRenderedPageBreak/>
        <w:t>Principio 5</w:t>
      </w:r>
    </w:p>
    <w:p w:rsidR="009C29D2" w:rsidRPr="006D7897" w:rsidRDefault="009C29D2" w:rsidP="009C29D2">
      <w:pPr>
        <w:rPr>
          <w:b/>
        </w:rPr>
      </w:pPr>
      <w:r w:rsidRPr="006D7897">
        <w:rPr>
          <w:b/>
        </w:rPr>
        <w:t xml:space="preserve">El trabajo propio del Sector de Radiocomunicaciones cubre temas relacionados con la utilización del espectro y las órbitas, su eficacia y, entre otras cosas, todos los aspectos de los servicios no utilizados para la correspondencia pública, por ejemplo, el servicio de </w:t>
      </w:r>
      <w:proofErr w:type="spellStart"/>
      <w:r w:rsidRPr="006D7897">
        <w:rPr>
          <w:b/>
        </w:rPr>
        <w:t>radiodeterminación</w:t>
      </w:r>
      <w:proofErr w:type="spellEnd"/>
      <w:r w:rsidRPr="006D7897">
        <w:rPr>
          <w:b/>
        </w:rPr>
        <w:t>, los servicios independientes de radiocomunicaciones móviles, la radiodifusión, las operaciones de socorro y seguridad, la teledetección, el servicio de aficionados y la radioastronomía.</w:t>
      </w:r>
    </w:p>
    <w:p w:rsidR="009C29D2" w:rsidRPr="006D7897" w:rsidRDefault="009C29D2" w:rsidP="009C29D2">
      <w:pPr>
        <w:pStyle w:val="Headingi"/>
        <w:rPr>
          <w:b/>
          <w:bCs/>
        </w:rPr>
      </w:pPr>
      <w:r w:rsidRPr="006D7897">
        <w:rPr>
          <w:b/>
          <w:bCs/>
        </w:rPr>
        <w:t>Principio 6</w:t>
      </w:r>
    </w:p>
    <w:p w:rsidR="009C29D2" w:rsidRPr="006D7897" w:rsidRDefault="009C29D2" w:rsidP="009C29D2">
      <w:pPr>
        <w:rPr>
          <w:b/>
        </w:rPr>
      </w:pPr>
      <w:r w:rsidRPr="006D7897">
        <w:rPr>
          <w:b/>
        </w:rPr>
        <w:t xml:space="preserve">Los estudios de un Sector deberán complementarse con los del otro Sector cuando una actividad pertenezca a ambos Sectores (advirtiendo que en algunos casos los estudios conjuntos pueden ser la opción más práctica). Para orientar las atribuciones reales de trabajo, el Sector coordinador (como usuario), podría elaborar descripciones de las </w:t>
      </w:r>
      <w:r w:rsidRPr="006D7897">
        <w:t>«</w:t>
      </w:r>
      <w:r w:rsidRPr="006D7897">
        <w:rPr>
          <w:b/>
        </w:rPr>
        <w:t xml:space="preserve">características deseables/requeridas». El posible Sector proveedor (o Comisión de Estudio) podría, por su propia iniciativa o en respuesta a lo anterior, elaborar descripciones de tipo tecnológico en forma de </w:t>
      </w:r>
      <w:r w:rsidRPr="006D7897">
        <w:t>«</w:t>
      </w:r>
      <w:r w:rsidRPr="006D7897">
        <w:rPr>
          <w:b/>
        </w:rPr>
        <w:t>características posibles/típicas».</w:t>
      </w:r>
    </w:p>
    <w:p w:rsidR="009C29D2" w:rsidRPr="006D7897" w:rsidRDefault="009C29D2" w:rsidP="009C29D2">
      <w:r w:rsidRPr="006D7897">
        <w:t>La dependencia mutua requerirá una cooperación continuada cuando ambos Sectores tengan interés en los trabajos en curso. Al establecer tareas encaminadas a la creación de normas para un servicio basado en la tecnología de ambos Sectores el Sector coordinador deberá hacer un uso óptimo de la experiencia y conocimientos existentes. Se podrían instituir Grupos Mixtos ad hoc cuando sean necesarios para asegurar el desarrollo óptimo de los trabajos y del intercambio de información.</w:t>
      </w:r>
    </w:p>
    <w:p w:rsidR="009C29D2" w:rsidRPr="006D7897" w:rsidRDefault="009C29D2" w:rsidP="009C29D2">
      <w:pPr>
        <w:pStyle w:val="Heading1"/>
      </w:pPr>
      <w:r w:rsidRPr="006D7897">
        <w:t>3</w:t>
      </w:r>
      <w:r w:rsidRPr="006D7897">
        <w:tab/>
        <w:t>Coordinación de nuevas Cuestiones en estudio</w:t>
      </w:r>
    </w:p>
    <w:p w:rsidR="009C29D2" w:rsidRPr="006D7897" w:rsidRDefault="009C29D2" w:rsidP="009C29D2">
      <w:r w:rsidRPr="006D7897">
        <w:t>Es necesaria una coordinación sobre las nuevas Cuestiones en estudio. Un elemento fundamental de esos dispositivos es el mantenimiento de un ritmo satisfactorio, la calidad de los resultados y la ausencia de demoras a medida que se adelanta en la labor en curso.</w:t>
      </w:r>
    </w:p>
    <w:p w:rsidR="009C29D2" w:rsidRPr="00420D56" w:rsidRDefault="009C29D2" w:rsidP="009C29D2">
      <w:pPr>
        <w:pStyle w:val="Headingi"/>
        <w:rPr>
          <w:b/>
          <w:bCs/>
        </w:rPr>
      </w:pPr>
      <w:r w:rsidRPr="00420D56">
        <w:rPr>
          <w:b/>
          <w:bCs/>
        </w:rPr>
        <w:t>Principio 7</w:t>
      </w:r>
    </w:p>
    <w:p w:rsidR="009C29D2" w:rsidRPr="006D7897" w:rsidRDefault="009C29D2" w:rsidP="009C29D2">
      <w:pPr>
        <w:rPr>
          <w:b/>
        </w:rPr>
      </w:pPr>
      <w:r w:rsidRPr="006D7897">
        <w:rPr>
          <w:b/>
        </w:rPr>
        <w:t>El trabajo de normalización debe continuar en ambos Sectores mientras se desarrollan e implantan los dispositivos adecuados para mantener el ritmo y la calidad de los resultados obtenidos.</w:t>
      </w:r>
    </w:p>
    <w:p w:rsidR="009C29D2" w:rsidRPr="006D7897" w:rsidRDefault="009C29D2" w:rsidP="009C29D2">
      <w:r w:rsidRPr="006D7897">
        <w:t>La coordinación sobre las Cuestiones en estudio debe ser seguida y supervisada por los Grupos Asesores a fin de asegurar resultados rápidos y progresivos.</w:t>
      </w:r>
    </w:p>
    <w:p w:rsidR="009C29D2" w:rsidRPr="006D7897" w:rsidRDefault="009C29D2" w:rsidP="009C29D2">
      <w:r w:rsidRPr="006D7897">
        <w:t>Algunas nuevas Cuestiones en estudio pueden incluir componentes que competen a ambos Sectores. En línea con el enfoque de proyectos y la práctica de gestión eficaz, hay que revisar dichas Cuestiones de forma que puedan identificarse claramente las tareas de cada Sector, o establecer disposiciones conjuntamente en caso necesario.</w:t>
      </w:r>
    </w:p>
    <w:p w:rsidR="009C29D2" w:rsidRPr="006D7897" w:rsidRDefault="009C29D2" w:rsidP="009C29D2">
      <w:pPr>
        <w:pStyle w:val="Headingi"/>
        <w:rPr>
          <w:b/>
          <w:bCs/>
        </w:rPr>
      </w:pPr>
      <w:r w:rsidRPr="006D7897">
        <w:rPr>
          <w:b/>
          <w:bCs/>
        </w:rPr>
        <w:t>Principio 8</w:t>
      </w:r>
    </w:p>
    <w:p w:rsidR="009C29D2" w:rsidRPr="006D7897" w:rsidRDefault="009C29D2" w:rsidP="009C29D2">
      <w:pPr>
        <w:rPr>
          <w:b/>
        </w:rPr>
      </w:pPr>
      <w:r w:rsidRPr="006D7897">
        <w:rPr>
          <w:b/>
        </w:rPr>
        <w:t>Las Comisiones de Estudio continuarán actuando como fuentes eficaces de los conocimientos especiales en el entorno orientado a las tareas.</w:t>
      </w:r>
    </w:p>
    <w:p w:rsidR="009C29D2" w:rsidRPr="006D7897" w:rsidRDefault="009C29D2" w:rsidP="009C29D2">
      <w:r w:rsidRPr="006D7897">
        <w:t xml:space="preserve">La orientación hacia tareas no debe desembocar en la creación de numerosos grupos de proyectos independientes que podrían actuar en duplicidad o apartarse del trabajo establecido. Cuando sea adecuado establecer un grupo especial (por ejemplo, para abordar aspectos de interfaces o de </w:t>
      </w:r>
      <w:proofErr w:type="spellStart"/>
      <w:r w:rsidRPr="006D7897">
        <w:t>interfuncionamiento</w:t>
      </w:r>
      <w:proofErr w:type="spellEnd"/>
      <w:r w:rsidRPr="006D7897">
        <w:t xml:space="preserve">) se deben recabar los conocimientos de las Comisiones de Estudio pertinentes, limitando adecuadamente el alcance del grupo de proyecto, al mismo tiempo que se siguen las directrices contenidas en el </w:t>
      </w:r>
      <w:r w:rsidRPr="006D7897">
        <w:rPr>
          <w:i/>
          <w:iCs/>
        </w:rPr>
        <w:t>resuelve</w:t>
      </w:r>
      <w:r>
        <w:t> </w:t>
      </w:r>
      <w:r w:rsidRPr="006D7897">
        <w:t xml:space="preserve">3. De esta manera, se mantendrá la compatibilidad y </w:t>
      </w:r>
      <w:r w:rsidRPr="006D7897">
        <w:lastRenderedPageBreak/>
        <w:t>coherencia entre aplicaciones múltiples. En cualquier caso, las recomendaciones de dichos grupos especiales tendrán que ser aprobadas por la Comisión de Estudio adecuada antes de someterlas a la aprobación de los Miembros de la UIT.</w:t>
      </w:r>
    </w:p>
    <w:p w:rsidR="009C29D2" w:rsidRDefault="009C29D2" w:rsidP="009C29D2">
      <w:pPr>
        <w:pStyle w:val="AnnexNo"/>
      </w:pPr>
      <w:r w:rsidRPr="00420D56">
        <w:t>Anexo</w:t>
      </w:r>
      <w:r w:rsidRPr="006D7897">
        <w:t xml:space="preserve"> 2</w:t>
      </w:r>
    </w:p>
    <w:p w:rsidR="009C29D2" w:rsidRPr="00420D56" w:rsidRDefault="009C29D2" w:rsidP="009C29D2">
      <w:pPr>
        <w:pStyle w:val="Annextitle"/>
      </w:pPr>
      <w:r w:rsidRPr="006D7897">
        <w:t>Procedimiento de cooperación</w:t>
      </w:r>
    </w:p>
    <w:p w:rsidR="009C29D2" w:rsidRPr="009C29D2" w:rsidRDefault="009C29D2" w:rsidP="009C29D2">
      <w:pPr>
        <w:pStyle w:val="Normalaftertitle0"/>
        <w:rPr>
          <w:lang w:val="es-ES_tradnl"/>
        </w:rPr>
      </w:pPr>
      <w:r w:rsidRPr="009C29D2">
        <w:rPr>
          <w:lang w:val="es-ES_tradnl"/>
        </w:rPr>
        <w:t xml:space="preserve">En relación con el punto </w:t>
      </w:r>
      <w:r w:rsidRPr="009C29D2">
        <w:rPr>
          <w:i/>
          <w:iCs/>
          <w:lang w:val="es-ES_tradnl"/>
        </w:rPr>
        <w:t>a)</w:t>
      </w:r>
      <w:r w:rsidRPr="009C29D2">
        <w:rPr>
          <w:lang w:val="es-ES_tradnl"/>
        </w:rPr>
        <w:t xml:space="preserve"> del </w:t>
      </w:r>
      <w:r w:rsidRPr="009C29D2">
        <w:rPr>
          <w:i/>
          <w:iCs/>
          <w:lang w:val="es-ES_tradnl"/>
        </w:rPr>
        <w:t>resuelve</w:t>
      </w:r>
      <w:r w:rsidRPr="009C29D2">
        <w:rPr>
          <w:lang w:val="es-ES_tradnl"/>
        </w:rPr>
        <w:t xml:space="preserve"> 3, se debe aplicar el procedimiento siguiente:</w:t>
      </w:r>
    </w:p>
    <w:p w:rsidR="009C29D2" w:rsidRPr="006D7897" w:rsidRDefault="009C29D2" w:rsidP="009C29D2">
      <w:r w:rsidRPr="00420D56">
        <w:rPr>
          <w:i/>
          <w:iCs/>
        </w:rPr>
        <w:t>a)</w:t>
      </w:r>
      <w:r w:rsidRPr="006D7897">
        <w:tab/>
        <w:t>los Grupos Asesores de Normalización de las Telecomunicaciones y de Radiocomunicaciones podrán proponer conjuntamente el Sector que dirigirá el trabajo y aprobará finalmente el resultado;</w:t>
      </w:r>
    </w:p>
    <w:p w:rsidR="009C29D2" w:rsidRPr="006D7897" w:rsidRDefault="009C29D2" w:rsidP="009C29D2">
      <w:r w:rsidRPr="00420D56">
        <w:rPr>
          <w:i/>
          <w:iCs/>
        </w:rPr>
        <w:t>b)</w:t>
      </w:r>
      <w:r w:rsidRPr="006D7897">
        <w:tab/>
        <w:t>el Sector dirigente pedirá al otro Sector que indique los requisitos que considera esenciales para integrarlos en el resultado;</w:t>
      </w:r>
    </w:p>
    <w:p w:rsidR="009C29D2" w:rsidRPr="006D7897" w:rsidRDefault="009C29D2" w:rsidP="009C29D2">
      <w:r w:rsidRPr="00420D56">
        <w:rPr>
          <w:i/>
          <w:iCs/>
        </w:rPr>
        <w:t>c)</w:t>
      </w:r>
      <w:r w:rsidRPr="006D7897">
        <w:tab/>
        <w:t>el Sector dirigente basará su trabajo en estos requisitos fundamentales y los incorporará a su resultado provisional;</w:t>
      </w:r>
    </w:p>
    <w:p w:rsidR="009C29D2" w:rsidRDefault="009C29D2" w:rsidP="009C29D2">
      <w:pPr>
        <w:rPr>
          <w:lang w:val="es-ES"/>
        </w:rPr>
      </w:pPr>
      <w:r w:rsidRPr="00420D56">
        <w:rPr>
          <w:i/>
          <w:iCs/>
          <w:lang w:val="es-ES"/>
        </w:rPr>
        <w:t>d)</w:t>
      </w:r>
      <w:r>
        <w:rPr>
          <w:lang w:val="es-ES"/>
        </w:rPr>
        <w:tab/>
        <w:t>durante el proceso de elaboración del resultado demandado, el Sector dirigente consultará al otro Sector en el caso de que encuentre dificultades con estos requisitos fundamentales. En el caso de que se revisen los requisitos fundamentales y se llegue a un acuerdo, tales requisitos revisados constituirán la base del trabajo siguiente;</w:t>
      </w:r>
    </w:p>
    <w:p w:rsidR="009C29D2" w:rsidRPr="006D7897" w:rsidRDefault="009C29D2" w:rsidP="009C29D2">
      <w:r w:rsidRPr="00420D56">
        <w:rPr>
          <w:i/>
          <w:iCs/>
        </w:rPr>
        <w:t>e)</w:t>
      </w:r>
      <w:r w:rsidRPr="006D7897">
        <w:tab/>
        <w:t>cuando el resultado en cuestión esté prácticamente terminado, el Sector dirigente recabará una vez más la opinión del otro Sector.</w:t>
      </w:r>
    </w:p>
    <w:p w:rsidR="009C29D2" w:rsidRDefault="009C29D2" w:rsidP="009C29D2">
      <w:r w:rsidRPr="006D7897">
        <w:t>Para determinar las responsabilidades del trabajo puede ser apropiado, abordar las tareas basándose conjuntamente en los conocimientos especiales de ambos Sectores.</w:t>
      </w:r>
    </w:p>
    <w:p w:rsidR="009C29D2" w:rsidRPr="006D7897" w:rsidRDefault="009C29D2" w:rsidP="009C29D2"/>
    <w:p w:rsidR="00330077" w:rsidRPr="00DB1428" w:rsidRDefault="00330077" w:rsidP="00330077">
      <w:pPr>
        <w:pStyle w:val="AnnexNo"/>
      </w:pPr>
      <w:r w:rsidRPr="00DB1428">
        <w:t>Anexo 3</w:t>
      </w:r>
    </w:p>
    <w:p w:rsidR="00330077" w:rsidRPr="00DB1428" w:rsidRDefault="00330077" w:rsidP="00330077">
      <w:pPr>
        <w:pStyle w:val="Annextitle"/>
      </w:pPr>
      <w:r w:rsidRPr="00DB1428">
        <w:t>Coordinación de las actividades de los Sectores de Radiocomunicaciones</w:t>
      </w:r>
      <w:r w:rsidRPr="00DB1428">
        <w:br/>
        <w:t>y de Normalización de las Telecomunicaciones a través</w:t>
      </w:r>
      <w:r w:rsidRPr="00DB1428">
        <w:br/>
        <w:t>de Grupos de Coordinación Intersectorial</w:t>
      </w:r>
    </w:p>
    <w:p w:rsidR="00330077" w:rsidRPr="00DB1428" w:rsidRDefault="00330077" w:rsidP="00644459">
      <w:pPr>
        <w:pStyle w:val="Normalaftertitle0"/>
        <w:rPr>
          <w:lang w:val="es-ES_tradnl"/>
        </w:rPr>
      </w:pPr>
      <w:r w:rsidRPr="00DB1428">
        <w:rPr>
          <w:lang w:val="es-ES_tradnl"/>
        </w:rPr>
        <w:t xml:space="preserve">Con respecto al punto </w:t>
      </w:r>
      <w:r w:rsidRPr="00DB1428">
        <w:rPr>
          <w:i/>
          <w:iCs/>
          <w:lang w:val="es-ES_tradnl"/>
        </w:rPr>
        <w:t>c)</w:t>
      </w:r>
      <w:r w:rsidRPr="00DB1428">
        <w:rPr>
          <w:lang w:val="es-ES_tradnl"/>
        </w:rPr>
        <w:t xml:space="preserve"> del </w:t>
      </w:r>
      <w:r w:rsidRPr="00DB1428">
        <w:rPr>
          <w:i/>
          <w:iCs/>
          <w:lang w:val="es-ES_tradnl"/>
        </w:rPr>
        <w:t>resuelve</w:t>
      </w:r>
      <w:r w:rsidRPr="00DB1428">
        <w:rPr>
          <w:lang w:val="es-ES_tradnl"/>
        </w:rPr>
        <w:t xml:space="preserve"> 3, se aplicará el siguiente procedimiento cuando dos o </w:t>
      </w:r>
      <w:r w:rsidR="00644459">
        <w:rPr>
          <w:lang w:val="es-ES_tradnl"/>
        </w:rPr>
        <w:t>más</w:t>
      </w:r>
      <w:r w:rsidRPr="00DB1428">
        <w:rPr>
          <w:lang w:val="es-ES_tradnl"/>
        </w:rPr>
        <w:t xml:space="preserve"> Comisiones de Estudio de los dos Sectores de la UIT están interesadas por los mismos aspectos de un tema técnico concreto:</w:t>
      </w:r>
    </w:p>
    <w:p w:rsidR="00330077" w:rsidRPr="00DB1428" w:rsidRDefault="00330077" w:rsidP="00330077">
      <w:r w:rsidRPr="00DB1428">
        <w:rPr>
          <w:i/>
          <w:iCs/>
        </w:rPr>
        <w:t>a)</w:t>
      </w:r>
      <w:r w:rsidRPr="00DB1428">
        <w:tab/>
        <w:t xml:space="preserve">que en la reunión mixta de los Grupos Asesores indicada en </w:t>
      </w:r>
      <w:r w:rsidRPr="00DB1428">
        <w:rPr>
          <w:i/>
        </w:rPr>
        <w:t xml:space="preserve">resuelve </w:t>
      </w:r>
      <w:r w:rsidRPr="00DB1428">
        <w:rPr>
          <w:iCs/>
        </w:rPr>
        <w:t>1</w:t>
      </w:r>
      <w:r w:rsidRPr="00DB1428">
        <w:t>, se puede, en casos excepcionales, crear un Grupo de Coordinación Intersectorial (GCI) para coordinar el trabajo de ambos Sectores y asistir a los Grupos Asesores en la coordinación de la actividad conexa de sus respectivas Comisiones de Estudio;</w:t>
      </w:r>
    </w:p>
    <w:p w:rsidR="00330077" w:rsidRPr="00DB1428" w:rsidRDefault="00330077" w:rsidP="00330077">
      <w:r w:rsidRPr="00DB1428">
        <w:rPr>
          <w:i/>
          <w:iCs/>
        </w:rPr>
        <w:t>b)</w:t>
      </w:r>
      <w:r w:rsidRPr="00DB1428">
        <w:tab/>
        <w:t>al mismo tiempo, en la reunión mixta se designará el Sector que dirigirá el trabajo;</w:t>
      </w:r>
    </w:p>
    <w:p w:rsidR="00330077" w:rsidRPr="00DB1428" w:rsidRDefault="00330077" w:rsidP="00330077">
      <w:r w:rsidRPr="00DB1428">
        <w:rPr>
          <w:i/>
          <w:iCs/>
        </w:rPr>
        <w:t>c)</w:t>
      </w:r>
      <w:r w:rsidRPr="00DB1428">
        <w:tab/>
        <w:t>el mandato de cada GCI se definirá claramente en la reunión mixta, sobre la base de las circunstancias y aspectos particulares en el momento en que se cree el Grupo; en la reunión mixta se establecerá también un plazo para la terminación del GCI;</w:t>
      </w:r>
    </w:p>
    <w:p w:rsidR="00330077" w:rsidRPr="00DB1428" w:rsidRDefault="00330077" w:rsidP="00330077">
      <w:r w:rsidRPr="00DB1428">
        <w:rPr>
          <w:i/>
          <w:iCs/>
        </w:rPr>
        <w:lastRenderedPageBreak/>
        <w:t>d)</w:t>
      </w:r>
      <w:r w:rsidRPr="00DB1428">
        <w:tab/>
        <w:t>el GCI designará un Presidente y un Vicepresidente, cada uno en representación de un Sector;</w:t>
      </w:r>
    </w:p>
    <w:p w:rsidR="00330077" w:rsidRPr="00DB1428" w:rsidRDefault="00330077" w:rsidP="00330077">
      <w:r w:rsidRPr="00DB1428">
        <w:rPr>
          <w:i/>
          <w:iCs/>
        </w:rPr>
        <w:t>e)</w:t>
      </w:r>
      <w:r w:rsidRPr="00DB1428">
        <w:tab/>
        <w:t>el GCI estará abierto a los Miembros de ambos Sectores de acuerdo con los números 86 a 88 y 110 a 112 de la Constitución;</w:t>
      </w:r>
    </w:p>
    <w:p w:rsidR="00330077" w:rsidRPr="00DB1428" w:rsidRDefault="00330077" w:rsidP="00330077">
      <w:r w:rsidRPr="00DB1428">
        <w:rPr>
          <w:i/>
          <w:iCs/>
        </w:rPr>
        <w:t>f)</w:t>
      </w:r>
      <w:r w:rsidRPr="00DB1428">
        <w:tab/>
        <w:t>el GCI no formulará Recomendaciones;</w:t>
      </w:r>
    </w:p>
    <w:p w:rsidR="00330077" w:rsidRPr="00DB1428" w:rsidRDefault="00330077" w:rsidP="00330077">
      <w:r w:rsidRPr="00DB1428">
        <w:rPr>
          <w:i/>
          <w:iCs/>
        </w:rPr>
        <w:t>g)</w:t>
      </w:r>
      <w:r w:rsidRPr="00DB1428">
        <w:tab/>
        <w:t>el GCI preparará informes sobre sus actividades coordinadoras que se presentarán al Grupo Asesor de cada Sector; estos informes serán sometidos por los Directores a los dos Sectores;</w:t>
      </w:r>
    </w:p>
    <w:p w:rsidR="00330077" w:rsidRPr="00DB1428" w:rsidRDefault="00330077" w:rsidP="00330077">
      <w:r w:rsidRPr="00DB1428">
        <w:rPr>
          <w:i/>
          <w:iCs/>
        </w:rPr>
        <w:t>h)</w:t>
      </w:r>
      <w:r w:rsidRPr="00DB1428">
        <w:tab/>
        <w:t>un GCI puede ser creado también por la Asamblea de Radiocomunicaciones o por la Asamblea Mundial de Normalización de las Telecomunicaciones de acuerdo con una recomendación del Grupo Asesor del otro Sector;</w:t>
      </w:r>
    </w:p>
    <w:p w:rsidR="00330077" w:rsidRPr="00DB1428" w:rsidRDefault="00330077" w:rsidP="00330077">
      <w:r w:rsidRPr="00DB1428">
        <w:rPr>
          <w:i/>
          <w:iCs/>
        </w:rPr>
        <w:t>i)</w:t>
      </w:r>
      <w:r w:rsidRPr="00DB1428">
        <w:tab/>
        <w:t>el coste de un GCI será sufragado por los dos Sectores por partes iguales y cada Director incluirá en el presupuesto de su Sector disposiciones presupuestarias para estas reuniones.</w:t>
      </w:r>
    </w:p>
    <w:p w:rsidR="00330077" w:rsidRPr="00DB1428" w:rsidRDefault="00330077" w:rsidP="00330077">
      <w:pPr>
        <w:pStyle w:val="AnnexNo"/>
      </w:pPr>
      <w:r w:rsidRPr="00DB1428">
        <w:t>Anexo 4</w:t>
      </w:r>
    </w:p>
    <w:p w:rsidR="00330077" w:rsidRPr="00DB1428" w:rsidRDefault="00330077" w:rsidP="00955626">
      <w:pPr>
        <w:pStyle w:val="Annextitle"/>
      </w:pPr>
      <w:r w:rsidRPr="00DB1428">
        <w:t xml:space="preserve">Coordinación de las actividades de </w:t>
      </w:r>
      <w:r w:rsidR="00644459">
        <w:t>r</w:t>
      </w:r>
      <w:r w:rsidRPr="00DB1428">
        <w:t xml:space="preserve">adiocomunicaciones </w:t>
      </w:r>
      <w:r w:rsidRPr="00DB1428">
        <w:br/>
        <w:t xml:space="preserve">y de </w:t>
      </w:r>
      <w:r w:rsidR="00644459">
        <w:t>n</w:t>
      </w:r>
      <w:r w:rsidRPr="00DB1428">
        <w:t xml:space="preserve">ormalización de las </w:t>
      </w:r>
      <w:r w:rsidR="00644459">
        <w:t>t</w:t>
      </w:r>
      <w:r w:rsidRPr="00DB1428">
        <w:t xml:space="preserve">elecomunicaciones a través </w:t>
      </w:r>
      <w:r w:rsidRPr="00DB1428">
        <w:br/>
        <w:t>de Grupos de Relator Intersectoriales</w:t>
      </w:r>
    </w:p>
    <w:p w:rsidR="00330077" w:rsidRPr="00DB1428" w:rsidRDefault="00330077" w:rsidP="00330077">
      <w:r w:rsidRPr="00DB1428">
        <w:t xml:space="preserve">En lo que respecta al </w:t>
      </w:r>
      <w:r w:rsidRPr="00DB1428">
        <w:rPr>
          <w:i/>
          <w:iCs/>
        </w:rPr>
        <w:t>resuelve</w:t>
      </w:r>
      <w:r w:rsidRPr="00DB1428">
        <w:t xml:space="preserve"> 3</w:t>
      </w:r>
      <w:r w:rsidRPr="00DB1428">
        <w:rPr>
          <w:i/>
          <w:iCs/>
        </w:rPr>
        <w:t>c)</w:t>
      </w:r>
      <w:r w:rsidRPr="00DB1428">
        <w:t xml:space="preserve"> se aplicará el procedimiento siguiente cuando los trabajos sobre un determinado tema se puedan realizar mejor reuniendo expertos técnicos de las Comisiones de Estudio </w:t>
      </w:r>
      <w:r w:rsidRPr="00644459">
        <w:t>o Grupos de Trabajo</w:t>
      </w:r>
      <w:r w:rsidRPr="00DB1428">
        <w:t xml:space="preserve"> competentes de ambos Sectores de la UIT para cooperar de manera equitativa en un grupo técnico:</w:t>
      </w:r>
    </w:p>
    <w:p w:rsidR="00330077" w:rsidRPr="00DB1428" w:rsidRDefault="00330077" w:rsidP="00644459">
      <w:r w:rsidRPr="00DB1428">
        <w:rPr>
          <w:i/>
          <w:iCs/>
        </w:rPr>
        <w:t>a)</w:t>
      </w:r>
      <w:r w:rsidRPr="00DB1428">
        <w:tab/>
        <w:t xml:space="preserve">las Comisiones de Estudio o los Grupos de Trabajo </w:t>
      </w:r>
      <w:r w:rsidR="00644459">
        <w:t>interesados</w:t>
      </w:r>
      <w:r w:rsidRPr="00DB1428">
        <w:t xml:space="preserve"> de ambos Sectores podrán, en casos especiales, acordar establecer un Grupo de Relator Intersectorial (GRI) encargado de coordinar los trabajos de sus Comisiones de Estudio o Grupos de Trabajo sobre una determinada cuestión técnica</w:t>
      </w:r>
      <w:r w:rsidRPr="00644459">
        <w:t xml:space="preserve">, que informe al GANT y al GAR a este respecto mediante una </w:t>
      </w:r>
      <w:r w:rsidRPr="00DB1428">
        <w:t xml:space="preserve">Declaración </w:t>
      </w:r>
      <w:r w:rsidRPr="00644459">
        <w:t xml:space="preserve">de </w:t>
      </w:r>
      <w:r w:rsidRPr="00DB1428">
        <w:t>Coordinación;</w:t>
      </w:r>
    </w:p>
    <w:p w:rsidR="00330077" w:rsidRPr="00DB1428" w:rsidRDefault="00330077" w:rsidP="00644459">
      <w:r w:rsidRPr="00DB1428">
        <w:rPr>
          <w:i/>
          <w:iCs/>
        </w:rPr>
        <w:t>b)</w:t>
      </w:r>
      <w:r w:rsidRPr="00DB1428">
        <w:tab/>
        <w:t xml:space="preserve">las Comisiones de Estudio o los Grupos de Trabajo competentes de ambos Sectores convendrán, al mismo tiempo, en un mandato claramente definido para el GRI y establecerán un plazo para la finalización de los trabajos y </w:t>
      </w:r>
      <w:r w:rsidR="00644459">
        <w:t>la disolución</w:t>
      </w:r>
      <w:r w:rsidRPr="00DB1428">
        <w:t xml:space="preserve"> del GRI;</w:t>
      </w:r>
    </w:p>
    <w:p w:rsidR="00330077" w:rsidRPr="00DB1428" w:rsidRDefault="00330077" w:rsidP="00644459">
      <w:r w:rsidRPr="00DB1428">
        <w:rPr>
          <w:i/>
          <w:iCs/>
        </w:rPr>
        <w:t>c)</w:t>
      </w:r>
      <w:r w:rsidRPr="00DB1428">
        <w:tab/>
        <w:t xml:space="preserve">las Comisiones de Estudio o los Grupos de Trabajo competentes de ambos Sectores designarán asimismo al Presidente </w:t>
      </w:r>
      <w:r w:rsidRPr="00644459">
        <w:t>(o</w:t>
      </w:r>
      <w:r w:rsidRPr="00DB1428">
        <w:t xml:space="preserve"> </w:t>
      </w:r>
      <w:r w:rsidRPr="00644459">
        <w:t>co</w:t>
      </w:r>
      <w:r w:rsidRPr="00DB1428">
        <w:t>presidentes</w:t>
      </w:r>
      <w:r w:rsidRPr="00644459">
        <w:t>)</w:t>
      </w:r>
      <w:r w:rsidRPr="00DB1428">
        <w:t xml:space="preserve"> del GRI, teniendo en cuenta los conocimientos específicos requeridos y velando por una representación equitativa de todas las Comisiones de Estudio o los Grupos de Trabajo </w:t>
      </w:r>
      <w:r w:rsidR="00644459">
        <w:t>correspondientes</w:t>
      </w:r>
      <w:r w:rsidRPr="00DB1428">
        <w:t xml:space="preserve"> de cada Sector;</w:t>
      </w:r>
    </w:p>
    <w:p w:rsidR="00330077" w:rsidRPr="00DB1428" w:rsidRDefault="00330077" w:rsidP="005B5D3D">
      <w:r w:rsidRPr="00DB1428">
        <w:rPr>
          <w:i/>
          <w:iCs/>
        </w:rPr>
        <w:t>d)</w:t>
      </w:r>
      <w:r w:rsidRPr="00DB1428">
        <w:tab/>
        <w:t xml:space="preserve">al ser un Grupo de Relator, el GRI se regirá por lo dispuesto en las disposiciones aplicables a estos Grupos </w:t>
      </w:r>
      <w:r w:rsidR="00644459">
        <w:t>que figuran en</w:t>
      </w:r>
      <w:r w:rsidRPr="00DB1428">
        <w:t xml:space="preserve"> la Resolución UIT-R 1 y en la Recomendación UIT</w:t>
      </w:r>
      <w:r w:rsidR="00955626">
        <w:noBreakHyphen/>
      </w:r>
      <w:r w:rsidRPr="00DB1428">
        <w:t>T</w:t>
      </w:r>
      <w:r w:rsidR="00955626">
        <w:t> </w:t>
      </w:r>
      <w:r w:rsidRPr="00DB1428">
        <w:t>A</w:t>
      </w:r>
      <w:r w:rsidR="005B5D3D">
        <w:t>.</w:t>
      </w:r>
      <w:r w:rsidRPr="00DB1428">
        <w:t>1</w:t>
      </w:r>
      <w:r w:rsidRPr="00644459">
        <w:t xml:space="preserve">, y </w:t>
      </w:r>
      <w:r w:rsidRPr="00DB1428">
        <w:t xml:space="preserve">sólo podrán participar </w:t>
      </w:r>
      <w:r w:rsidRPr="00644459">
        <w:t xml:space="preserve">en el mismo </w:t>
      </w:r>
      <w:r w:rsidRPr="00DB1428">
        <w:t xml:space="preserve">los </w:t>
      </w:r>
      <w:r w:rsidRPr="00644459">
        <w:t>miembros del UIT-T y del UIT-R</w:t>
      </w:r>
      <w:r w:rsidRPr="00DB1428">
        <w:t>;</w:t>
      </w:r>
    </w:p>
    <w:p w:rsidR="00330077" w:rsidRPr="00DB1428" w:rsidRDefault="00330077" w:rsidP="00330077">
      <w:r w:rsidRPr="00DB1428">
        <w:rPr>
          <w:i/>
          <w:iCs/>
        </w:rPr>
        <w:t>e)</w:t>
      </w:r>
      <w:r w:rsidRPr="00DB1428">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p>
    <w:p w:rsidR="00330077" w:rsidRPr="00DB1428" w:rsidRDefault="00330077" w:rsidP="00330077">
      <w:r w:rsidRPr="00DB1428">
        <w:rPr>
          <w:i/>
          <w:iCs/>
        </w:rPr>
        <w:t>f)</w:t>
      </w:r>
      <w:r w:rsidRPr="00DB1428">
        <w:tab/>
        <w:t xml:space="preserve">los resultados </w:t>
      </w:r>
      <w:r w:rsidRPr="00644459">
        <w:t>de la labor</w:t>
      </w:r>
      <w:r w:rsidRPr="00DB1428">
        <w:t xml:space="preserve"> del GRI deben representar el consenso acordado en el Grupo o reflejar la div</w:t>
      </w:r>
      <w:bookmarkStart w:id="0" w:name="_GoBack"/>
      <w:bookmarkEnd w:id="0"/>
      <w:r w:rsidRPr="00DB1428">
        <w:t>ersidad de opiniones de sus participantes;</w:t>
      </w:r>
    </w:p>
    <w:p w:rsidR="00330077" w:rsidRPr="00DB1428" w:rsidRDefault="00330077" w:rsidP="00330077">
      <w:r w:rsidRPr="00DB1428">
        <w:rPr>
          <w:i/>
          <w:iCs/>
        </w:rPr>
        <w:lastRenderedPageBreak/>
        <w:t>g)</w:t>
      </w:r>
      <w:r w:rsidRPr="00DB1428">
        <w:tab/>
        <w:t>el GRI también preparará informes sobre sus actividades, que presentará a cada reunión de sus Comisiones de Estudio o Grupos de Trabajo rectores;</w:t>
      </w:r>
    </w:p>
    <w:p w:rsidR="00330077" w:rsidRDefault="00330077" w:rsidP="00644459">
      <w:r w:rsidRPr="00DB1428">
        <w:rPr>
          <w:i/>
          <w:iCs/>
        </w:rPr>
        <w:t>h)</w:t>
      </w:r>
      <w:r w:rsidRPr="00DB1428">
        <w:tab/>
        <w:t xml:space="preserve">el GRI trabajará normalmente por correspondencia o por teleconferencia, aunque ocasionalmente podrá aprovechar las reuniones de sus Comisiones de Estudio o Grupos de Trabajo rectores para organizar breves reuniones </w:t>
      </w:r>
      <w:r w:rsidR="00644459">
        <w:t>presenciales</w:t>
      </w:r>
      <w:r w:rsidRPr="00DB1428">
        <w:t>, de ser posible sin ayuda de los Sectores.</w:t>
      </w:r>
    </w:p>
    <w:p w:rsidR="00126C9E" w:rsidRDefault="00126C9E" w:rsidP="00644459"/>
    <w:p w:rsidR="00126C9E" w:rsidRDefault="00126C9E" w:rsidP="0032202E">
      <w:pPr>
        <w:pStyle w:val="Reasons"/>
      </w:pPr>
    </w:p>
    <w:p w:rsidR="00126C9E" w:rsidRDefault="00126C9E">
      <w:pPr>
        <w:jc w:val="center"/>
      </w:pPr>
      <w:r>
        <w:t>______________</w:t>
      </w:r>
    </w:p>
    <w:p w:rsidR="00126C9E" w:rsidRDefault="00126C9E" w:rsidP="00644459"/>
    <w:sectPr w:rsidR="00126C9E">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BD" w:rsidRDefault="00805CBD">
      <w:r>
        <w:separator/>
      </w:r>
    </w:p>
  </w:endnote>
  <w:endnote w:type="continuationSeparator" w:id="0">
    <w:p w:rsidR="00805CBD" w:rsidRDefault="0080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1C1707">
      <w:rPr>
        <w:noProof/>
        <w:lang w:val="en-US"/>
      </w:rPr>
      <w:t>X:\BR\BRIAP\EDP\Yoanni\AR Res\006V1S.docx</w:t>
    </w:r>
    <w:r>
      <w:fldChar w:fldCharType="end"/>
    </w:r>
    <w:r>
      <w:rPr>
        <w:lang w:val="en-US"/>
      </w:rPr>
      <w:tab/>
    </w:r>
    <w:r>
      <w:fldChar w:fldCharType="begin"/>
    </w:r>
    <w:r>
      <w:instrText xml:space="preserve"> SAVEDATE \@ DD.MM.YY </w:instrText>
    </w:r>
    <w:r>
      <w:fldChar w:fldCharType="separate"/>
    </w:r>
    <w:r w:rsidR="005B5D3D">
      <w:rPr>
        <w:noProof/>
      </w:rPr>
      <w:t>04.08.16</w:t>
    </w:r>
    <w:r>
      <w:fldChar w:fldCharType="end"/>
    </w:r>
    <w:r>
      <w:rPr>
        <w:lang w:val="en-US"/>
      </w:rPr>
      <w:tab/>
    </w:r>
    <w:r>
      <w:fldChar w:fldCharType="begin"/>
    </w:r>
    <w:r>
      <w:instrText xml:space="preserve"> PRINTDATE \@ DD.MM.YY </w:instrText>
    </w:r>
    <w:r>
      <w:fldChar w:fldCharType="separate"/>
    </w:r>
    <w:r w:rsidR="001C1707">
      <w:rPr>
        <w:noProof/>
      </w:rPr>
      <w:t>03.11.15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BD" w:rsidRDefault="00805CBD">
      <w:r>
        <w:rPr>
          <w:b/>
        </w:rPr>
        <w:t>_______________</w:t>
      </w:r>
    </w:p>
  </w:footnote>
  <w:footnote w:type="continuationSeparator" w:id="0">
    <w:p w:rsidR="00805CBD" w:rsidRDefault="00805CBD">
      <w:r>
        <w:continuationSeparator/>
      </w:r>
    </w:p>
  </w:footnote>
  <w:footnote w:id="1">
    <w:p w:rsidR="00FA2020" w:rsidRDefault="00FA2020" w:rsidP="00FA2020">
      <w:pPr>
        <w:pStyle w:val="FootnoteText"/>
      </w:pPr>
      <w:r w:rsidRPr="00A34FF3">
        <w:rPr>
          <w:rStyle w:val="FootnoteReference"/>
        </w:rPr>
        <w:t>*</w:t>
      </w:r>
      <w:r w:rsidRPr="00A34FF3">
        <w:t xml:space="preserve"> </w:t>
      </w:r>
      <w:r w:rsidRPr="00A34FF3">
        <w:tab/>
        <w:t xml:space="preserve">Esta Resolución debe </w:t>
      </w:r>
      <w:r>
        <w:t>señalarse</w:t>
      </w:r>
      <w:r w:rsidRPr="00A34FF3">
        <w:t xml:space="preserve"> a la atención del Sector de Normalizaci</w:t>
      </w:r>
      <w:r>
        <w:t>ón de las Telecomunicaciones de la UIT.</w:t>
      </w:r>
    </w:p>
    <w:p w:rsidR="00B42D2D" w:rsidRPr="00A34FF3" w:rsidRDefault="00B42D2D" w:rsidP="00B42D2D">
      <w:pPr>
        <w:pStyle w:val="FootnoteText"/>
      </w:pPr>
      <w:r>
        <w:t xml:space="preserve">Nota de la Secretaría: En agosto de 2016 se introdujeron cambios editoriales al § </w:t>
      </w:r>
      <w:r w:rsidRPr="00B42D2D">
        <w:rPr>
          <w:i/>
          <w:iCs/>
        </w:rPr>
        <w:t>d)</w:t>
      </w:r>
      <w:r>
        <w:t xml:space="preserve"> del Anexo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97156"/>
      <w:docPartObj>
        <w:docPartGallery w:val="Page Numbers (Top of Page)"/>
        <w:docPartUnique/>
      </w:docPartObj>
    </w:sdtPr>
    <w:sdtEndPr>
      <w:rPr>
        <w:noProof/>
      </w:rPr>
    </w:sdtEndPr>
    <w:sdtContent>
      <w:p w:rsidR="005B6760" w:rsidRDefault="005B6760" w:rsidP="005B6760">
        <w:pPr>
          <w:pStyle w:val="Header"/>
        </w:pPr>
        <w:r>
          <w:fldChar w:fldCharType="begin"/>
        </w:r>
        <w:r>
          <w:instrText xml:space="preserve"> PAGE   \* MERGEFORMAT </w:instrText>
        </w:r>
        <w:r>
          <w:fldChar w:fldCharType="separate"/>
        </w:r>
        <w:r w:rsidR="005B5D3D">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E"/>
    <w:rsid w:val="0000222C"/>
    <w:rsid w:val="00012B52"/>
    <w:rsid w:val="00016A7C"/>
    <w:rsid w:val="00020ACE"/>
    <w:rsid w:val="00126C9E"/>
    <w:rsid w:val="00147735"/>
    <w:rsid w:val="001721DD"/>
    <w:rsid w:val="001C1707"/>
    <w:rsid w:val="001D2B13"/>
    <w:rsid w:val="002334F2"/>
    <w:rsid w:val="00286A2C"/>
    <w:rsid w:val="002B6243"/>
    <w:rsid w:val="002F64F2"/>
    <w:rsid w:val="0030382E"/>
    <w:rsid w:val="00330077"/>
    <w:rsid w:val="003532E9"/>
    <w:rsid w:val="003D46AA"/>
    <w:rsid w:val="0043771A"/>
    <w:rsid w:val="00466F3C"/>
    <w:rsid w:val="004B74EC"/>
    <w:rsid w:val="004E461E"/>
    <w:rsid w:val="0052336E"/>
    <w:rsid w:val="005335D1"/>
    <w:rsid w:val="00557637"/>
    <w:rsid w:val="005648DF"/>
    <w:rsid w:val="00567D36"/>
    <w:rsid w:val="005A7D84"/>
    <w:rsid w:val="005B5D3D"/>
    <w:rsid w:val="005B6760"/>
    <w:rsid w:val="005C4F7E"/>
    <w:rsid w:val="006050EE"/>
    <w:rsid w:val="00644459"/>
    <w:rsid w:val="006448FB"/>
    <w:rsid w:val="00684BDD"/>
    <w:rsid w:val="00693CB4"/>
    <w:rsid w:val="00805CBD"/>
    <w:rsid w:val="008246E6"/>
    <w:rsid w:val="008E02B6"/>
    <w:rsid w:val="009259B1"/>
    <w:rsid w:val="00955626"/>
    <w:rsid w:val="009630C4"/>
    <w:rsid w:val="009838C5"/>
    <w:rsid w:val="009C29D2"/>
    <w:rsid w:val="00A132FF"/>
    <w:rsid w:val="00A1667A"/>
    <w:rsid w:val="00A34FF3"/>
    <w:rsid w:val="00AF7660"/>
    <w:rsid w:val="00B42D2D"/>
    <w:rsid w:val="00B7052D"/>
    <w:rsid w:val="00BF1023"/>
    <w:rsid w:val="00C143E7"/>
    <w:rsid w:val="00C278F8"/>
    <w:rsid w:val="00CC7044"/>
    <w:rsid w:val="00DC752E"/>
    <w:rsid w:val="00DE35E9"/>
    <w:rsid w:val="00E01901"/>
    <w:rsid w:val="00E079D5"/>
    <w:rsid w:val="00E22D23"/>
    <w:rsid w:val="00EB5C7B"/>
    <w:rsid w:val="00F30A3E"/>
    <w:rsid w:val="00FA2020"/>
    <w:rsid w:val="00FA31F5"/>
    <w:rsid w:val="00FF68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aliases w:val="encabezado"/>
    <w:basedOn w:val="Normal"/>
    <w:link w:val="HeaderChar"/>
    <w:uiPriority w:val="99"/>
    <w:rsid w:val="009630C4"/>
    <w:pPr>
      <w:spacing w:before="0"/>
      <w:jc w:val="center"/>
    </w:pPr>
    <w:rPr>
      <w:sz w:val="18"/>
    </w:rPr>
  </w:style>
  <w:style w:type="character" w:customStyle="1" w:styleId="HeaderChar">
    <w:name w:val="Header Char"/>
    <w:aliases w:val="encabezado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link w:val="Restitle"/>
    <w:locked/>
    <w:rsid w:val="0000222C"/>
    <w:rPr>
      <w:rFonts w:ascii="Times New Roman Bold" w:hAnsi="Times New Roman Bold"/>
      <w:b/>
      <w:sz w:val="28"/>
      <w:lang w:val="es-ES_tradnl" w:eastAsia="en-US"/>
    </w:rPr>
  </w:style>
  <w:style w:type="character" w:customStyle="1" w:styleId="CallChar">
    <w:name w:val="Call Char"/>
    <w:basedOn w:val="DefaultParagraphFont"/>
    <w:link w:val="Call"/>
    <w:rsid w:val="0000222C"/>
    <w:rPr>
      <w:rFonts w:ascii="Times New Roman" w:hAnsi="Times New Roman"/>
      <w:i/>
      <w:sz w:val="24"/>
      <w:lang w:val="es-ES_tradnl" w:eastAsia="en-US"/>
    </w:rPr>
  </w:style>
  <w:style w:type="character" w:customStyle="1" w:styleId="enumlev1Char">
    <w:name w:val="enumlev1 Char"/>
    <w:basedOn w:val="DefaultParagraphFont"/>
    <w:link w:val="enumlev1"/>
    <w:rsid w:val="00330077"/>
    <w:rPr>
      <w:rFonts w:ascii="Times New Roman" w:hAnsi="Times New Roman"/>
      <w:sz w:val="24"/>
      <w:lang w:val="es-ES_tradnl" w:eastAsia="en-US"/>
    </w:rPr>
  </w:style>
  <w:style w:type="paragraph" w:customStyle="1" w:styleId="Normalaftertitle0">
    <w:name w:val="Normal_after_title"/>
    <w:basedOn w:val="Normal"/>
    <w:next w:val="Normal"/>
    <w:link w:val="NormalaftertitleChar"/>
    <w:rsid w:val="00330077"/>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
    <w:name w:val="Normal_after_title Char"/>
    <w:basedOn w:val="DefaultParagraphFont"/>
    <w:link w:val="Normalaftertitle0"/>
    <w:locked/>
    <w:rsid w:val="00330077"/>
    <w:rPr>
      <w:rFonts w:ascii="Times New Roman" w:hAnsi="Times New Roman"/>
      <w:sz w:val="24"/>
      <w:lang w:val="en-GB" w:eastAsia="en-US"/>
    </w:rPr>
  </w:style>
  <w:style w:type="character" w:styleId="Hyperlink">
    <w:name w:val="Hyperlink"/>
    <w:basedOn w:val="DefaultParagraphFont"/>
    <w:unhideWhenUsed/>
    <w:rsid w:val="00FA31F5"/>
    <w:rPr>
      <w:color w:val="0000FF" w:themeColor="hyperlink"/>
      <w:u w:val="single"/>
    </w:rPr>
  </w:style>
  <w:style w:type="character" w:styleId="FollowedHyperlink">
    <w:name w:val="FollowedHyperlink"/>
    <w:basedOn w:val="DefaultParagraphFont"/>
    <w:semiHidden/>
    <w:unhideWhenUsed/>
    <w:rsid w:val="00955626"/>
    <w:rPr>
      <w:color w:val="800080" w:themeColor="followedHyperlink"/>
      <w:u w:val="single"/>
    </w:rPr>
  </w:style>
  <w:style w:type="character" w:customStyle="1" w:styleId="Heading1Char">
    <w:name w:val="Heading 1 Char"/>
    <w:basedOn w:val="DefaultParagraphFont"/>
    <w:link w:val="Heading1"/>
    <w:rsid w:val="009C29D2"/>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6</TotalTime>
  <Pages>7</Pages>
  <Words>2606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17142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Mostyn-Jones, Elizabeth</cp:lastModifiedBy>
  <cp:revision>5</cp:revision>
  <cp:lastPrinted>2015-11-03T13:45:00Z</cp:lastPrinted>
  <dcterms:created xsi:type="dcterms:W3CDTF">2016-08-04T13:35:00Z</dcterms:created>
  <dcterms:modified xsi:type="dcterms:W3CDTF">2016-08-09T09:32:00Z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