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C88" w:rsidRDefault="00961C88" w:rsidP="00961C88">
      <w:pPr>
        <w:pStyle w:val="ResNo"/>
      </w:pPr>
      <w:r w:rsidRPr="00215DA3">
        <w:t xml:space="preserve">RESOLUTION </w:t>
      </w:r>
      <w:r w:rsidR="00BB54E2">
        <w:t>ITU</w:t>
      </w:r>
      <w:r w:rsidR="00BB54E2">
        <w:noBreakHyphen/>
      </w:r>
      <w:r w:rsidRPr="00215DA3">
        <w:t xml:space="preserve">R </w:t>
      </w:r>
      <w:r>
        <w:t>63</w:t>
      </w:r>
    </w:p>
    <w:p w:rsidR="00961C88" w:rsidRDefault="00961C88" w:rsidP="00961C88">
      <w:pPr>
        <w:pStyle w:val="Restitle"/>
      </w:pPr>
      <w:bookmarkStart w:id="0" w:name="_Toc180537914"/>
      <w:r w:rsidRPr="00215DA3">
        <w:t xml:space="preserve">Admission of </w:t>
      </w:r>
      <w:bookmarkEnd w:id="0"/>
      <w:r w:rsidRPr="00215DA3">
        <w:t xml:space="preserve">academia, universities and their associated research </w:t>
      </w:r>
      <w:r w:rsidR="00BB54E2">
        <w:br/>
      </w:r>
      <w:r w:rsidRPr="00215DA3">
        <w:t xml:space="preserve">establishments to participate in the work of </w:t>
      </w:r>
      <w:r w:rsidR="00BB54E2">
        <w:t>ITU</w:t>
      </w:r>
      <w:r w:rsidR="00BB54E2">
        <w:noBreakHyphen/>
      </w:r>
      <w:r w:rsidRPr="00215DA3">
        <w:t>R</w:t>
      </w:r>
    </w:p>
    <w:p w:rsidR="008052C8" w:rsidRPr="008052C8" w:rsidRDefault="008052C8" w:rsidP="008052C8">
      <w:pPr>
        <w:pStyle w:val="Resdate"/>
      </w:pPr>
      <w:r>
        <w:t>(2012)</w:t>
      </w:r>
    </w:p>
    <w:p w:rsidR="00FF75E4" w:rsidRPr="00215DA3" w:rsidRDefault="00FF75E4" w:rsidP="00FF75E4">
      <w:pPr>
        <w:pStyle w:val="Normalaftertitle"/>
      </w:pPr>
      <w:r w:rsidRPr="00215DA3">
        <w:t>The ITU Radiocommunication Assembly,</w:t>
      </w:r>
    </w:p>
    <w:p w:rsidR="00FF75E4" w:rsidRPr="00215DA3" w:rsidRDefault="00FF75E4" w:rsidP="00FF75E4">
      <w:pPr>
        <w:pStyle w:val="Call"/>
      </w:pPr>
      <w:r w:rsidRPr="00215DA3">
        <w:t>recalling</w:t>
      </w:r>
    </w:p>
    <w:p w:rsidR="00FF75E4" w:rsidRPr="00215DA3" w:rsidRDefault="00FF75E4" w:rsidP="00BB54E2">
      <w:r w:rsidRPr="00215DA3">
        <w:t>Resolution</w:t>
      </w:r>
      <w:r w:rsidR="00BB54E2">
        <w:t> </w:t>
      </w:r>
      <w:r w:rsidRPr="00215DA3">
        <w:t>169 (Guadalajara, 2010) of the Plenipotentiary Conference,</w:t>
      </w:r>
    </w:p>
    <w:p w:rsidR="00FF75E4" w:rsidRPr="00215DA3" w:rsidRDefault="00FF75E4" w:rsidP="00FF75E4">
      <w:pPr>
        <w:pStyle w:val="Call"/>
      </w:pPr>
      <w:r w:rsidRPr="00215DA3">
        <w:t>considering</w:t>
      </w:r>
    </w:p>
    <w:p w:rsidR="00FF75E4" w:rsidRPr="00215DA3" w:rsidRDefault="00FF75E4" w:rsidP="00FF75E4">
      <w:r w:rsidRPr="00215DA3">
        <w:rPr>
          <w:i/>
          <w:iCs/>
        </w:rPr>
        <w:t>a)</w:t>
      </w:r>
      <w:r w:rsidRPr="00215DA3">
        <w:tab/>
        <w:t>that the rapid pace of change in the radiocommunication environment and the involvement of academia, universities and their associated research establishments in addressing developments in modern technologies and applications within the Radiocommunication Sector’s field of competence encourages their increased participation in radiocommunication activities;</w:t>
      </w:r>
    </w:p>
    <w:p w:rsidR="00FF75E4" w:rsidRPr="00215DA3" w:rsidRDefault="00FF75E4" w:rsidP="00FF75E4">
      <w:r w:rsidRPr="00215DA3">
        <w:rPr>
          <w:i/>
          <w:iCs/>
        </w:rPr>
        <w:t>b)</w:t>
      </w:r>
      <w:r w:rsidRPr="00215DA3">
        <w:tab/>
        <w:t>that the scientific benefits of participation of academia, universities and their associated research establishmen</w:t>
      </w:r>
      <w:r w:rsidR="00103F26" w:rsidRPr="00215DA3">
        <w:t>ts in aspects of the Radiocommunication Sector are</w:t>
      </w:r>
      <w:r w:rsidRPr="00215DA3">
        <w:t xml:space="preserve"> expected to outweigh their financial contribution for participation;</w:t>
      </w:r>
    </w:p>
    <w:p w:rsidR="00FF75E4" w:rsidRPr="00215DA3" w:rsidRDefault="00FF75E4" w:rsidP="00BB54E2">
      <w:r w:rsidRPr="00215DA3">
        <w:rPr>
          <w:i/>
          <w:iCs/>
        </w:rPr>
        <w:t>c)</w:t>
      </w:r>
      <w:r w:rsidRPr="00215DA3">
        <w:tab/>
        <w:t>that, pursuant to Resolution</w:t>
      </w:r>
      <w:r w:rsidR="00BB54E2">
        <w:t> </w:t>
      </w:r>
      <w:r w:rsidRPr="00215DA3">
        <w:t>169 (Guadalajara, 2010), interested academia, universities, and their associated research establishment entities may participate in the activities of the Radiocommunication Sector for a trial period until the next plenipotentiary conference under terms established by the Council;</w:t>
      </w:r>
    </w:p>
    <w:p w:rsidR="00FF75E4" w:rsidRPr="00215DA3" w:rsidRDefault="00FF75E4" w:rsidP="00FF75E4">
      <w:r w:rsidRPr="00215DA3">
        <w:rPr>
          <w:bCs/>
          <w:i/>
          <w:iCs/>
        </w:rPr>
        <w:t>d)</w:t>
      </w:r>
      <w:r w:rsidRPr="00215DA3">
        <w:tab/>
        <w:t>that academia, universities and their associated research establishments shall not have a role in decision-making, including the adoption or approval of resolutions, questions, reports and recommendations, regardless of the approval procedure;</w:t>
      </w:r>
    </w:p>
    <w:p w:rsidR="00FF75E4" w:rsidRPr="00215DA3" w:rsidRDefault="00FF75E4" w:rsidP="00FF75E4">
      <w:r w:rsidRPr="00215DA3">
        <w:rPr>
          <w:i/>
        </w:rPr>
        <w:t>e)</w:t>
      </w:r>
      <w:r w:rsidRPr="00215DA3">
        <w:tab/>
        <w:t xml:space="preserve">that the annual financial contribution for the participation of academia, universities and their associated research establishments is set at one-sixteenth (1/16) of the value of the contributory unit for Sector Members in the case of organizations from developed countries, and one-thirty </w:t>
      </w:r>
      <w:proofErr w:type="spellStart"/>
      <w:r w:rsidRPr="00215DA3">
        <w:t>second</w:t>
      </w:r>
      <w:r w:rsidR="008E4D40">
        <w:t>th</w:t>
      </w:r>
      <w:bookmarkStart w:id="1" w:name="_GoBack"/>
      <w:bookmarkEnd w:id="1"/>
      <w:proofErr w:type="spellEnd"/>
      <w:r w:rsidRPr="00215DA3">
        <w:t xml:space="preserve"> (1/32) of the value of the contributory unit for Sector Members in the case of organizations from developing countries,</w:t>
      </w:r>
    </w:p>
    <w:p w:rsidR="0089567F" w:rsidRPr="00215DA3" w:rsidRDefault="0089567F" w:rsidP="00CA46B1">
      <w:pPr>
        <w:pStyle w:val="Call"/>
      </w:pPr>
      <w:r w:rsidRPr="00215DA3">
        <w:t>noting</w:t>
      </w:r>
    </w:p>
    <w:p w:rsidR="00CA46B1" w:rsidRPr="00215DA3" w:rsidRDefault="00CA46B1" w:rsidP="006273C1">
      <w:r w:rsidRPr="00215DA3">
        <w:t xml:space="preserve">that, as part of an initiative to encourage greater participation of academia, universities and their associated research establishments in the work of </w:t>
      </w:r>
      <w:r w:rsidR="00BB54E2">
        <w:t>ITU</w:t>
      </w:r>
      <w:r w:rsidR="00BB54E2">
        <w:noBreakHyphen/>
      </w:r>
      <w:r w:rsidRPr="00215DA3">
        <w:t xml:space="preserve">T, annual </w:t>
      </w:r>
      <w:r w:rsidR="007D71C6" w:rsidRPr="00215DA3">
        <w:t>K</w:t>
      </w:r>
      <w:r w:rsidRPr="00215DA3">
        <w:t>aleidoscope events have been held since 2008</w:t>
      </w:r>
      <w:r w:rsidR="00CD1A69" w:rsidRPr="00215DA3">
        <w:t>,</w:t>
      </w:r>
    </w:p>
    <w:p w:rsidR="001D51D5" w:rsidRPr="00215DA3" w:rsidRDefault="00FF75E4" w:rsidP="001D51D5">
      <w:pPr>
        <w:pStyle w:val="Call"/>
        <w:rPr>
          <w:b/>
          <w:bCs/>
          <w:lang w:eastAsia="ko-KR"/>
        </w:rPr>
      </w:pPr>
      <w:r w:rsidRPr="00215DA3">
        <w:t>bearing in mind</w:t>
      </w:r>
    </w:p>
    <w:p w:rsidR="00FF75E4" w:rsidRPr="00215DA3" w:rsidRDefault="00FF75E4" w:rsidP="001D51D5">
      <w:pPr>
        <w:rPr>
          <w:lang w:eastAsia="ko-KR"/>
        </w:rPr>
      </w:pPr>
      <w:r w:rsidRPr="00215DA3">
        <w:t>that acceptance of applications for participation in</w:t>
      </w:r>
      <w:r w:rsidRPr="00215DA3">
        <w:rPr>
          <w:lang w:eastAsia="ko-KR"/>
        </w:rPr>
        <w:t xml:space="preserve"> </w:t>
      </w:r>
      <w:r w:rsidR="00BB54E2">
        <w:rPr>
          <w:lang w:eastAsia="ko-KR"/>
        </w:rPr>
        <w:t>ITU</w:t>
      </w:r>
      <w:r w:rsidR="00BB54E2">
        <w:rPr>
          <w:lang w:eastAsia="ko-KR"/>
        </w:rPr>
        <w:noBreakHyphen/>
      </w:r>
      <w:r w:rsidRPr="00215DA3">
        <w:rPr>
          <w:lang w:eastAsia="ko-KR"/>
        </w:rPr>
        <w:t>R by</w:t>
      </w:r>
      <w:r w:rsidRPr="00215DA3">
        <w:t xml:space="preserve"> academia, universities and their associated research establishments</w:t>
      </w:r>
      <w:r w:rsidRPr="00215DA3">
        <w:rPr>
          <w:lang w:eastAsia="ko-KR"/>
        </w:rPr>
        <w:t xml:space="preserve"> </w:t>
      </w:r>
      <w:r w:rsidRPr="00215DA3">
        <w:t>shall be conditional on the support of the Member States of the Union to which the bodies belong, on the condition that this shall not constitute an alternative for those bodies currently listed with the Union as Sector Members or Associates,</w:t>
      </w:r>
    </w:p>
    <w:p w:rsidR="00FF75E4" w:rsidRPr="00215DA3" w:rsidRDefault="00FF75E4" w:rsidP="008052C8">
      <w:pPr>
        <w:pStyle w:val="Call"/>
      </w:pPr>
      <w:r w:rsidRPr="00215DA3">
        <w:lastRenderedPageBreak/>
        <w:t>resolves</w:t>
      </w:r>
    </w:p>
    <w:p w:rsidR="00FF75E4" w:rsidRPr="00215DA3" w:rsidRDefault="00FF75E4" w:rsidP="00BB54E2">
      <w:pPr>
        <w:keepNext/>
        <w:keepLines/>
      </w:pPr>
      <w:r w:rsidRPr="00215DA3">
        <w:t>1</w:t>
      </w:r>
      <w:r w:rsidRPr="00215DA3">
        <w:rPr>
          <w:b/>
          <w:bCs/>
        </w:rPr>
        <w:tab/>
      </w:r>
      <w:r w:rsidRPr="00215DA3">
        <w:t>that, in accordance with Resolution</w:t>
      </w:r>
      <w:r w:rsidR="00BB54E2">
        <w:t> </w:t>
      </w:r>
      <w:r w:rsidRPr="00215DA3">
        <w:t xml:space="preserve">169 (Guadalajara, 2010) and subject to the conditions established by </w:t>
      </w:r>
      <w:r w:rsidR="00926EC3">
        <w:t xml:space="preserve">the </w:t>
      </w:r>
      <w:r w:rsidRPr="00215DA3">
        <w:t>Council, academia, universities and their associated research establishments may participate in the working parties of the study groups within the Radiocommunication Sector;</w:t>
      </w:r>
    </w:p>
    <w:p w:rsidR="00FF75E4" w:rsidRPr="00215DA3" w:rsidRDefault="00FF75E4" w:rsidP="00FF75E4">
      <w:r w:rsidRPr="00215DA3">
        <w:t>2</w:t>
      </w:r>
      <w:r w:rsidRPr="00215DA3">
        <w:tab/>
        <w:t>that academia, universities and their associated research establishments shall be granted access to Radiocommunication Sector documentation;</w:t>
      </w:r>
    </w:p>
    <w:p w:rsidR="00FF75E4" w:rsidRPr="00215DA3" w:rsidRDefault="00FF75E4" w:rsidP="002C243D">
      <w:r w:rsidRPr="00215DA3">
        <w:t>3</w:t>
      </w:r>
      <w:r w:rsidRPr="00215DA3">
        <w:tab/>
        <w:t>that a representative of academia, universities and their associated research establishments may serve as Rapporteur (see §</w:t>
      </w:r>
      <w:r w:rsidR="00BB54E2">
        <w:t> </w:t>
      </w:r>
      <w:r w:rsidRPr="00215DA3">
        <w:t>2.1</w:t>
      </w:r>
      <w:r w:rsidR="00081435" w:rsidRPr="00215DA3">
        <w:t>3</w:t>
      </w:r>
      <w:r w:rsidRPr="00215DA3">
        <w:t xml:space="preserve"> of Resolution </w:t>
      </w:r>
      <w:r w:rsidR="00BB54E2">
        <w:t>ITU</w:t>
      </w:r>
      <w:r w:rsidR="00BB54E2">
        <w:noBreakHyphen/>
      </w:r>
      <w:r w:rsidRPr="00215DA3">
        <w:t>R</w:t>
      </w:r>
      <w:r w:rsidR="002C243D">
        <w:t> </w:t>
      </w:r>
      <w:r w:rsidRPr="00215DA3">
        <w:t>1);</w:t>
      </w:r>
    </w:p>
    <w:p w:rsidR="00FF75E4" w:rsidRPr="00215DA3" w:rsidRDefault="00FF75E4">
      <w:r w:rsidRPr="00215DA3">
        <w:t>4</w:t>
      </w:r>
      <w:r w:rsidRPr="00215DA3">
        <w:tab/>
        <w:t xml:space="preserve">to assign to the Radiocommunication Advisory Group study on the need for any additional measures and/or arrangements to </w:t>
      </w:r>
      <w:r w:rsidR="0089567F" w:rsidRPr="00215DA3">
        <w:t>facilitate</w:t>
      </w:r>
      <w:r w:rsidRPr="00215DA3">
        <w:t xml:space="preserve"> the participation of academia, universities and their associated research establishments and to benefit from their technical and intellectual expertise; and to report the results, through the Director of the Radiocommunication Bureau, to the Council and to the next Radiocommunication Assembly. </w:t>
      </w:r>
    </w:p>
    <w:p w:rsidR="00FF75E4" w:rsidRPr="00215DA3" w:rsidRDefault="00FF75E4" w:rsidP="00BB54E2"/>
    <w:sectPr w:rsidR="00FF75E4" w:rsidRPr="00215DA3" w:rsidSect="009447A3">
      <w:headerReference w:type="default" r:id="rId8"/>
      <w:footerReference w:type="even" r:id="rId9"/>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5E4" w:rsidRDefault="00FF75E4">
      <w:r>
        <w:separator/>
      </w:r>
    </w:p>
  </w:endnote>
  <w:endnote w:type="continuationSeparator" w:id="0">
    <w:p w:rsidR="00FF75E4" w:rsidRDefault="00FF7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3E6852">
      <w:rPr>
        <w:noProof/>
        <w:lang w:val="es-ES_tradnl"/>
      </w:rPr>
      <w:t>P:\ENG\</w:t>
    </w:r>
    <w:r w:rsidR="00BB54E2">
      <w:rPr>
        <w:noProof/>
        <w:lang w:val="es-ES_tradnl"/>
      </w:rPr>
      <w:t>ITU</w:t>
    </w:r>
    <w:r w:rsidR="00BB54E2">
      <w:rPr>
        <w:noProof/>
        <w:lang w:val="es-ES_tradnl"/>
      </w:rPr>
      <w:noBreakHyphen/>
    </w:r>
    <w:r w:rsidR="003E6852">
      <w:rPr>
        <w:noProof/>
        <w:lang w:val="es-ES_tradnl"/>
      </w:rPr>
      <w:t>R\CONF-R\AR12\FINRES\063E.DOCX</w:t>
    </w:r>
    <w:r>
      <w:fldChar w:fldCharType="end"/>
    </w:r>
    <w:r w:rsidRPr="009447A3">
      <w:rPr>
        <w:lang w:val="es-ES_tradnl"/>
      </w:rPr>
      <w:tab/>
    </w:r>
    <w:r>
      <w:fldChar w:fldCharType="begin"/>
    </w:r>
    <w:r>
      <w:instrText xml:space="preserve"> SAVEDATE \@ DD.MM.YY </w:instrText>
    </w:r>
    <w:r>
      <w:fldChar w:fldCharType="separate"/>
    </w:r>
    <w:r w:rsidR="00BB54E2">
      <w:rPr>
        <w:noProof/>
      </w:rPr>
      <w:t>20.01.12</w:t>
    </w:r>
    <w:r>
      <w:fldChar w:fldCharType="end"/>
    </w:r>
    <w:r w:rsidRPr="009447A3">
      <w:rPr>
        <w:lang w:val="es-ES_tradnl"/>
      </w:rPr>
      <w:tab/>
    </w:r>
    <w:r>
      <w:fldChar w:fldCharType="begin"/>
    </w:r>
    <w:r>
      <w:instrText xml:space="preserve"> PRINTDATE \@ DD.MM.YY </w:instrText>
    </w:r>
    <w:r>
      <w:fldChar w:fldCharType="separate"/>
    </w:r>
    <w:r w:rsidR="003E6852">
      <w:rPr>
        <w:noProof/>
      </w:rPr>
      <w:t>20.01.12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5E4" w:rsidRDefault="00FF75E4">
      <w:r>
        <w:rPr>
          <w:b/>
        </w:rPr>
        <w:t>_______________</w:t>
      </w:r>
    </w:p>
  </w:footnote>
  <w:footnote w:type="continuationSeparator" w:id="0">
    <w:p w:rsidR="00FF75E4" w:rsidRDefault="00FF75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5E4" w:rsidRDefault="00FF75E4">
    <w:pPr>
      <w:pStyle w:val="Header"/>
    </w:pPr>
    <w:r>
      <w:fldChar w:fldCharType="begin"/>
    </w:r>
    <w:r>
      <w:instrText xml:space="preserve"> PAGE  \* MERGEFORMAT </w:instrText>
    </w:r>
    <w:r>
      <w:fldChar w:fldCharType="separate"/>
    </w:r>
    <w:r w:rsidR="008E4D40">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5E4"/>
    <w:rsid w:val="00026E13"/>
    <w:rsid w:val="00081435"/>
    <w:rsid w:val="000A5693"/>
    <w:rsid w:val="000D1293"/>
    <w:rsid w:val="00103F26"/>
    <w:rsid w:val="001473E6"/>
    <w:rsid w:val="001B225D"/>
    <w:rsid w:val="001D51D5"/>
    <w:rsid w:val="00206408"/>
    <w:rsid w:val="00215DA3"/>
    <w:rsid w:val="002C243D"/>
    <w:rsid w:val="0038177F"/>
    <w:rsid w:val="003E6852"/>
    <w:rsid w:val="00425F3D"/>
    <w:rsid w:val="00476F67"/>
    <w:rsid w:val="0047728B"/>
    <w:rsid w:val="004844C1"/>
    <w:rsid w:val="00490669"/>
    <w:rsid w:val="004D6FFE"/>
    <w:rsid w:val="00532928"/>
    <w:rsid w:val="00533395"/>
    <w:rsid w:val="0053659F"/>
    <w:rsid w:val="005E0BE1"/>
    <w:rsid w:val="006273C1"/>
    <w:rsid w:val="0071246B"/>
    <w:rsid w:val="0072619B"/>
    <w:rsid w:val="00737E9A"/>
    <w:rsid w:val="00756B1C"/>
    <w:rsid w:val="00771E30"/>
    <w:rsid w:val="007C6911"/>
    <w:rsid w:val="007D71C6"/>
    <w:rsid w:val="008052C8"/>
    <w:rsid w:val="00880578"/>
    <w:rsid w:val="0089567F"/>
    <w:rsid w:val="008A7B8E"/>
    <w:rsid w:val="008E3E58"/>
    <w:rsid w:val="008E4D40"/>
    <w:rsid w:val="008F6F27"/>
    <w:rsid w:val="00926EC3"/>
    <w:rsid w:val="009447A3"/>
    <w:rsid w:val="00961C88"/>
    <w:rsid w:val="00993768"/>
    <w:rsid w:val="009E375D"/>
    <w:rsid w:val="00A05CE9"/>
    <w:rsid w:val="00A75832"/>
    <w:rsid w:val="00B57AA5"/>
    <w:rsid w:val="00BB03AF"/>
    <w:rsid w:val="00BB54E2"/>
    <w:rsid w:val="00BE5003"/>
    <w:rsid w:val="00BF5E61"/>
    <w:rsid w:val="00C46060"/>
    <w:rsid w:val="00CA46B1"/>
    <w:rsid w:val="00CD1A69"/>
    <w:rsid w:val="00D471A9"/>
    <w:rsid w:val="00D50D44"/>
    <w:rsid w:val="00DA716F"/>
    <w:rsid w:val="00E424C3"/>
    <w:rsid w:val="00ED0C81"/>
    <w:rsid w:val="00EE1A06"/>
    <w:rsid w:val="00EE4AD6"/>
    <w:rsid w:val="00F329B0"/>
    <w:rsid w:val="00F42C74"/>
    <w:rsid w:val="00FD4869"/>
    <w:rsid w:val="00FF75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208903">
      <w:bodyDiv w:val="1"/>
      <w:marLeft w:val="0"/>
      <w:marRight w:val="0"/>
      <w:marTop w:val="0"/>
      <w:marBottom w:val="0"/>
      <w:divBdr>
        <w:top w:val="none" w:sz="0" w:space="0" w:color="auto"/>
        <w:left w:val="none" w:sz="0" w:space="0" w:color="auto"/>
        <w:bottom w:val="none" w:sz="0" w:space="0" w:color="auto"/>
        <w:right w:val="none" w:sz="0" w:space="0" w:color="auto"/>
      </w:divBdr>
    </w:div>
    <w:div w:id="184211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chetc\Application%20Data\Microsoft\Templates\POOL%20E%20-%20ITU\PE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PE_RA12.dotm</Template>
  <TotalTime>0</TotalTime>
  <Pages>2</Pages>
  <Words>475</Words>
  <Characters>3012</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3481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Gachet, Christelle</dc:creator>
  <cp:keywords/>
  <dc:description>PE_RA12.dotm  For: _x000d_Document date: _x000d_Saved by MM-106465 at 11:44:53 on 04/04/11</dc:description>
  <cp:lastModifiedBy>turnbulk</cp:lastModifiedBy>
  <cp:revision>2</cp:revision>
  <cp:lastPrinted>2012-01-20T06:58:00Z</cp:lastPrinted>
  <dcterms:created xsi:type="dcterms:W3CDTF">2012-01-20T20:40:00Z</dcterms:created>
  <dcterms:modified xsi:type="dcterms:W3CDTF">2012-01-20T20:40:00Z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