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BD" w:rsidRDefault="000041BD" w:rsidP="00BB124E">
      <w:pPr>
        <w:pStyle w:val="ResNo"/>
      </w:pPr>
      <w:bookmarkStart w:id="0" w:name="dtitle1" w:colFirst="0" w:colLast="0"/>
      <w:bookmarkStart w:id="1" w:name="_GoBack"/>
      <w:bookmarkEnd w:id="1"/>
      <w:r w:rsidRPr="00927254">
        <w:rPr>
          <w:lang w:val="es-ES"/>
        </w:rPr>
        <w:t xml:space="preserve">RESOLUCIÓN UIT-R </w:t>
      </w:r>
      <w:r>
        <w:rPr>
          <w:lang w:val="es-ES"/>
        </w:rPr>
        <w:t>63</w:t>
      </w:r>
    </w:p>
    <w:p w:rsidR="000041BD" w:rsidRDefault="000041BD" w:rsidP="000E178B">
      <w:pPr>
        <w:pStyle w:val="Restitle"/>
      </w:pPr>
      <w:bookmarkStart w:id="2" w:name="dtitle2" w:colFirst="0" w:colLast="0"/>
      <w:bookmarkEnd w:id="0"/>
      <w:r>
        <w:rPr>
          <w:lang w:val="es-ES"/>
        </w:rPr>
        <w:t>Admisión</w:t>
      </w:r>
      <w:r w:rsidRPr="00927254">
        <w:rPr>
          <w:lang w:val="es-ES"/>
        </w:rPr>
        <w:t xml:space="preserve"> de las instituciones académicas</w:t>
      </w:r>
      <w:r>
        <w:rPr>
          <w:lang w:val="es-ES"/>
        </w:rPr>
        <w:t>, las universidades y sus entidades</w:t>
      </w:r>
      <w:r>
        <w:rPr>
          <w:lang w:val="es-ES"/>
        </w:rPr>
        <w:br/>
        <w:t>de investigación asociadas para participar en los trabajos del UIT-R</w:t>
      </w:r>
    </w:p>
    <w:bookmarkEnd w:id="2"/>
    <w:p w:rsidR="000E178B" w:rsidRDefault="000041BD" w:rsidP="000041BD">
      <w:pPr>
        <w:pStyle w:val="Resdate"/>
        <w:rPr>
          <w:lang w:val="es-ES"/>
        </w:rPr>
      </w:pPr>
      <w:r>
        <w:rPr>
          <w:lang w:val="es-ES"/>
        </w:rPr>
        <w:t>(2012)</w:t>
      </w:r>
    </w:p>
    <w:p w:rsidR="000E178B" w:rsidRPr="00927254" w:rsidRDefault="000E178B" w:rsidP="000E178B">
      <w:pPr>
        <w:pStyle w:val="Normalaftertitle"/>
        <w:rPr>
          <w:lang w:val="es-ES"/>
        </w:rPr>
      </w:pPr>
      <w:r w:rsidRPr="00927254">
        <w:rPr>
          <w:lang w:val="es-ES"/>
        </w:rPr>
        <w:t>La Asamblea de Radiocomunicaciones de la UIT,</w:t>
      </w:r>
    </w:p>
    <w:p w:rsidR="000E178B" w:rsidRPr="00927254" w:rsidRDefault="000E178B" w:rsidP="000E178B">
      <w:pPr>
        <w:keepNext/>
        <w:keepLines/>
        <w:spacing w:before="160"/>
        <w:ind w:left="1134"/>
        <w:rPr>
          <w:i/>
        </w:rPr>
      </w:pPr>
      <w:r w:rsidRPr="00927254">
        <w:rPr>
          <w:i/>
        </w:rPr>
        <w:t>recordando</w:t>
      </w:r>
    </w:p>
    <w:p w:rsidR="000E178B" w:rsidRPr="00927254" w:rsidRDefault="000E178B" w:rsidP="000E178B">
      <w:pPr>
        <w:rPr>
          <w:i/>
          <w:lang w:val="es-ES"/>
        </w:rPr>
      </w:pPr>
      <w:r w:rsidRPr="00927254">
        <w:rPr>
          <w:lang w:val="es-ES"/>
        </w:rPr>
        <w:t>la Resolución 169 (Guadalajara, 2010) de la Conferencia de Plenipotenciarios,</w:t>
      </w:r>
    </w:p>
    <w:p w:rsidR="000E178B" w:rsidRPr="00927254" w:rsidRDefault="000E178B" w:rsidP="000E178B">
      <w:pPr>
        <w:pStyle w:val="Call"/>
        <w:rPr>
          <w:lang w:val="es-ES"/>
        </w:rPr>
      </w:pPr>
      <w:r w:rsidRPr="00927254">
        <w:rPr>
          <w:lang w:val="es-ES"/>
        </w:rPr>
        <w:t>considerando</w:t>
      </w:r>
    </w:p>
    <w:p w:rsidR="000E178B" w:rsidRPr="00927254" w:rsidRDefault="000E178B" w:rsidP="00AE2C2E">
      <w:pPr>
        <w:rPr>
          <w:lang w:val="es-ES"/>
        </w:rPr>
      </w:pPr>
      <w:r w:rsidRPr="00927254">
        <w:rPr>
          <w:i/>
          <w:iCs/>
          <w:lang w:val="es-ES"/>
        </w:rPr>
        <w:t>a)</w:t>
      </w:r>
      <w:r w:rsidRPr="00927254">
        <w:rPr>
          <w:lang w:val="es-ES"/>
        </w:rPr>
        <w:tab/>
        <w:t xml:space="preserve">que la rapidez con la que evoluciona el entorno de las radiocomunicaciones y la implicación de </w:t>
      </w:r>
      <w:r>
        <w:rPr>
          <w:lang w:val="es-ES"/>
        </w:rPr>
        <w:t>las instituciones</w:t>
      </w:r>
      <w:r w:rsidRPr="00927254">
        <w:rPr>
          <w:lang w:val="es-ES"/>
        </w:rPr>
        <w:t xml:space="preserve"> académic</w:t>
      </w:r>
      <w:r>
        <w:rPr>
          <w:lang w:val="es-ES"/>
        </w:rPr>
        <w:t>a</w:t>
      </w:r>
      <w:r w:rsidRPr="00927254">
        <w:rPr>
          <w:lang w:val="es-ES"/>
        </w:rPr>
        <w:t xml:space="preserve">s, las universidades y sus </w:t>
      </w:r>
      <w:r>
        <w:rPr>
          <w:lang w:val="es-ES"/>
        </w:rPr>
        <w:t>entidades</w:t>
      </w:r>
      <w:r w:rsidRPr="00927254">
        <w:rPr>
          <w:lang w:val="es-ES"/>
        </w:rPr>
        <w:t xml:space="preserve"> de investigación asociadas para abordar los acontecimientos relacionados con las modernas tecnologías y aplicaciones que corresponden al ámbito de competencia del Sector de Radiocomunicaciones aconsejan una mayor participación de las citadas instituciones en las acti</w:t>
      </w:r>
      <w:r w:rsidR="00D56090">
        <w:rPr>
          <w:lang w:val="es-ES"/>
        </w:rPr>
        <w:t>vidades de radiocomunicaciones;</w:t>
      </w:r>
    </w:p>
    <w:p w:rsidR="000E178B" w:rsidRPr="00927254" w:rsidRDefault="000E178B" w:rsidP="000E178B">
      <w:pPr>
        <w:rPr>
          <w:lang w:val="es-ES"/>
        </w:rPr>
      </w:pPr>
      <w:r w:rsidRPr="00927254">
        <w:rPr>
          <w:i/>
          <w:iCs/>
          <w:lang w:val="es-ES"/>
        </w:rPr>
        <w:t>b)</w:t>
      </w:r>
      <w:r w:rsidRPr="00927254">
        <w:rPr>
          <w:lang w:val="es-ES"/>
        </w:rPr>
        <w:tab/>
        <w:t>que se espera que los beneficios científicos derivados de la participación de las instituciones académicas</w:t>
      </w:r>
      <w:r>
        <w:rPr>
          <w:lang w:val="es-ES"/>
        </w:rPr>
        <w:t>, las universidades y sus entidades de investigación asociadas</w:t>
      </w:r>
      <w:r w:rsidRPr="00927254">
        <w:rPr>
          <w:lang w:val="es-ES"/>
        </w:rPr>
        <w:t xml:space="preserve"> superen con creces su contribución financiera para dicha participación;</w:t>
      </w:r>
    </w:p>
    <w:p w:rsidR="000E178B" w:rsidRPr="00927254" w:rsidRDefault="000E178B" w:rsidP="00813EF2">
      <w:pPr>
        <w:rPr>
          <w:lang w:val="es-ES"/>
        </w:rPr>
      </w:pPr>
      <w:r w:rsidRPr="00927254">
        <w:rPr>
          <w:i/>
          <w:iCs/>
          <w:lang w:val="es-ES"/>
        </w:rPr>
        <w:t>c)</w:t>
      </w:r>
      <w:r w:rsidRPr="00927254">
        <w:rPr>
          <w:lang w:val="es-ES"/>
        </w:rPr>
        <w:tab/>
        <w:t>que, con arreglo a lo dispuesto en la Resolución 169 (Guadalajara, 2010),</w:t>
      </w:r>
      <w:r w:rsidR="00813EF2">
        <w:rPr>
          <w:lang w:val="es-ES"/>
        </w:rPr>
        <w:t xml:space="preserve"> </w:t>
      </w:r>
      <w:r>
        <w:rPr>
          <w:lang w:val="es-ES"/>
        </w:rPr>
        <w:t>las instituciones</w:t>
      </w:r>
      <w:r w:rsidRPr="00927254">
        <w:rPr>
          <w:lang w:val="es-ES"/>
        </w:rPr>
        <w:t xml:space="preserve"> académic</w:t>
      </w:r>
      <w:r>
        <w:rPr>
          <w:lang w:val="es-ES"/>
        </w:rPr>
        <w:t>a</w:t>
      </w:r>
      <w:r w:rsidRPr="00927254">
        <w:rPr>
          <w:lang w:val="es-ES"/>
        </w:rPr>
        <w:t xml:space="preserve">s, </w:t>
      </w:r>
      <w:r>
        <w:rPr>
          <w:lang w:val="es-ES"/>
        </w:rPr>
        <w:t xml:space="preserve">las </w:t>
      </w:r>
      <w:r w:rsidRPr="00927254">
        <w:rPr>
          <w:lang w:val="es-ES"/>
        </w:rPr>
        <w:t>universidades</w:t>
      </w:r>
      <w:r w:rsidR="00813EF2">
        <w:rPr>
          <w:lang w:val="es-ES"/>
        </w:rPr>
        <w:t xml:space="preserve"> </w:t>
      </w:r>
      <w:r>
        <w:rPr>
          <w:lang w:val="es-ES"/>
        </w:rPr>
        <w:t>y sus</w:t>
      </w:r>
      <w:r w:rsidR="00813EF2">
        <w:rPr>
          <w:lang w:val="es-ES"/>
        </w:rPr>
        <w:t xml:space="preserve"> </w:t>
      </w:r>
      <w:r>
        <w:rPr>
          <w:lang w:val="es-ES"/>
        </w:rPr>
        <w:t>entidades de investigación</w:t>
      </w:r>
      <w:r w:rsidRPr="00927254">
        <w:rPr>
          <w:lang w:val="es-ES"/>
        </w:rPr>
        <w:t xml:space="preserve"> asociadas interesad</w:t>
      </w:r>
      <w:r>
        <w:rPr>
          <w:lang w:val="es-ES"/>
        </w:rPr>
        <w:t>a</w:t>
      </w:r>
      <w:r w:rsidRPr="00927254">
        <w:rPr>
          <w:lang w:val="es-ES"/>
        </w:rPr>
        <w:t>s pueden participar en las actividades del Sector de Radiocomunicaciones, durante un periodo de prueba que abarcará hasta la celebración de la próxima Conferencia de Plenipotenciarios y en los tér</w:t>
      </w:r>
      <w:r w:rsidR="00D56090">
        <w:rPr>
          <w:lang w:val="es-ES"/>
        </w:rPr>
        <w:t>minos que determine el Consejo;</w:t>
      </w:r>
    </w:p>
    <w:p w:rsidR="000E178B" w:rsidRDefault="000E178B" w:rsidP="000041BD">
      <w:pPr>
        <w:rPr>
          <w:lang w:val="es-ES"/>
        </w:rPr>
      </w:pPr>
      <w:r w:rsidRPr="00927254">
        <w:rPr>
          <w:i/>
          <w:iCs/>
          <w:lang w:val="es-ES"/>
        </w:rPr>
        <w:t>d)</w:t>
      </w:r>
      <w:r w:rsidRPr="00927254">
        <w:rPr>
          <w:lang w:val="es-ES"/>
        </w:rPr>
        <w:tab/>
        <w:t xml:space="preserve">que </w:t>
      </w:r>
      <w:r w:rsidR="000041BD">
        <w:rPr>
          <w:lang w:val="es-ES"/>
        </w:rPr>
        <w:t>l</w:t>
      </w:r>
      <w:r w:rsidRPr="00927254">
        <w:rPr>
          <w:lang w:val="es-ES"/>
        </w:rPr>
        <w:t>as instituciones académicas</w:t>
      </w:r>
      <w:r>
        <w:rPr>
          <w:lang w:val="es-ES"/>
        </w:rPr>
        <w:t>, universidades y sus entidades de investigación asociadas</w:t>
      </w:r>
      <w:r w:rsidRPr="00927254">
        <w:rPr>
          <w:lang w:val="es-ES"/>
        </w:rPr>
        <w:t xml:space="preserve"> no desempeñan ningún papel en</w:t>
      </w:r>
      <w:r w:rsidRPr="00927254">
        <w:t xml:space="preserve"> </w:t>
      </w:r>
      <w:r w:rsidRPr="00927254">
        <w:rPr>
          <w:lang w:val="es-ES"/>
        </w:rPr>
        <w:t xml:space="preserve">la toma de decisiones, incluida la adopción o aprobación de resoluciones, cuestiones, informes y recomendaciones, </w:t>
      </w:r>
      <w:r>
        <w:rPr>
          <w:lang w:val="es-ES"/>
        </w:rPr>
        <w:t>independientemente del procedimiento de aprobaci</w:t>
      </w:r>
      <w:r w:rsidR="00D56090">
        <w:rPr>
          <w:lang w:val="es-ES"/>
        </w:rPr>
        <w:t>ón;</w:t>
      </w:r>
    </w:p>
    <w:p w:rsidR="000E178B" w:rsidRDefault="000E178B" w:rsidP="000E178B">
      <w:pPr>
        <w:rPr>
          <w:lang w:val="es-ES"/>
        </w:rPr>
      </w:pPr>
      <w:r w:rsidRPr="004D3FE9">
        <w:rPr>
          <w:i/>
          <w:iCs/>
          <w:lang w:val="es-ES"/>
        </w:rPr>
        <w:t>e)</w:t>
      </w:r>
      <w:r>
        <w:rPr>
          <w:lang w:val="es-ES"/>
        </w:rPr>
        <w:tab/>
        <w:t>que la contribución financiera anual para la participación de las</w:t>
      </w:r>
      <w:r w:rsidRPr="00622D81">
        <w:rPr>
          <w:lang w:val="es-ES"/>
        </w:rPr>
        <w:t xml:space="preserve"> </w:t>
      </w:r>
      <w:r w:rsidRPr="00927254">
        <w:rPr>
          <w:lang w:val="es-ES"/>
        </w:rPr>
        <w:t>instituciones académicas</w:t>
      </w:r>
      <w:r>
        <w:rPr>
          <w:lang w:val="es-ES"/>
        </w:rPr>
        <w:t>, las universidades y sus entidades de investigación asociadas corresponde a la decimosexta parte (1/16) del valor de la unidad contributiva de los Miembros de Sector para las organizaciones de los países desarrollados, y a la trigésima segunda parte (1/32) del valor de la unidad contributiva de los Miembros de Sector para las organizaciones de los países en desarrollo,</w:t>
      </w:r>
    </w:p>
    <w:p w:rsidR="00DF2913" w:rsidRDefault="00DF2913" w:rsidP="00DF2913">
      <w:pPr>
        <w:pStyle w:val="Call"/>
        <w:rPr>
          <w:lang w:val="es-ES"/>
        </w:rPr>
      </w:pPr>
      <w:r>
        <w:rPr>
          <w:lang w:val="es-ES"/>
        </w:rPr>
        <w:t>observando</w:t>
      </w:r>
    </w:p>
    <w:p w:rsidR="00DF2913" w:rsidRPr="00DF2913" w:rsidRDefault="00706822" w:rsidP="00070345">
      <w:pPr>
        <w:rPr>
          <w:lang w:val="es-ES"/>
        </w:rPr>
      </w:pPr>
      <w:r>
        <w:rPr>
          <w:lang w:val="es-ES"/>
        </w:rPr>
        <w:t xml:space="preserve">que como parte de una iniciativa </w:t>
      </w:r>
      <w:r w:rsidR="00070345">
        <w:rPr>
          <w:lang w:val="es-ES"/>
        </w:rPr>
        <w:t>para alentar una mayor participación de las instituciones académicas, las universidades y sus entidades de investigación asociadas en los trabajos de la UIT, se han venido celebrando desde 2008 eventos Caleidos</w:t>
      </w:r>
      <w:r w:rsidR="00BF739B">
        <w:rPr>
          <w:lang w:val="es-ES"/>
        </w:rPr>
        <w:t>copio anuales,</w:t>
      </w:r>
    </w:p>
    <w:p w:rsidR="000E178B" w:rsidRDefault="000E178B" w:rsidP="000E178B">
      <w:pPr>
        <w:pStyle w:val="Call"/>
        <w:rPr>
          <w:lang w:val="es-ES"/>
        </w:rPr>
      </w:pPr>
      <w:r>
        <w:rPr>
          <w:lang w:val="es-ES"/>
        </w:rPr>
        <w:t>teniendo en cuenta</w:t>
      </w:r>
    </w:p>
    <w:p w:rsidR="000E178B" w:rsidRPr="00927254" w:rsidRDefault="000E178B" w:rsidP="00813EF2">
      <w:pPr>
        <w:rPr>
          <w:lang w:val="es-ES"/>
        </w:rPr>
      </w:pPr>
      <w:r>
        <w:rPr>
          <w:lang w:val="es-ES"/>
        </w:rPr>
        <w:t>que la aceptación de las solicitudes de participación en el UIT-R de</w:t>
      </w:r>
      <w:r w:rsidRPr="00622D81">
        <w:rPr>
          <w:lang w:val="es-ES"/>
        </w:rPr>
        <w:t xml:space="preserve"> </w:t>
      </w:r>
      <w:r>
        <w:rPr>
          <w:lang w:val="es-ES"/>
        </w:rPr>
        <w:t>las</w:t>
      </w:r>
      <w:r w:rsidRPr="00622D81">
        <w:rPr>
          <w:lang w:val="es-ES"/>
        </w:rPr>
        <w:t xml:space="preserve"> </w:t>
      </w:r>
      <w:r w:rsidRPr="00927254">
        <w:rPr>
          <w:lang w:val="es-ES"/>
        </w:rPr>
        <w:t>instituciones académicas</w:t>
      </w:r>
      <w:r>
        <w:rPr>
          <w:lang w:val="es-ES"/>
        </w:rPr>
        <w:t>, las universidades y sus entidades de investigación asociadas estará condicionada al apoyo de los Estados Miembros de la Unión a los que pertenezcan dichas entidades, a condición de que no constituya una alternativa para los organismos que figuran actualmente en la lista de Miembros de Sector o Asociados de la Unión,</w:t>
      </w:r>
    </w:p>
    <w:p w:rsidR="000E178B" w:rsidRPr="00927254" w:rsidRDefault="000E178B" w:rsidP="000E178B">
      <w:pPr>
        <w:pStyle w:val="Call"/>
        <w:rPr>
          <w:lang w:val="es-ES"/>
        </w:rPr>
      </w:pPr>
      <w:r w:rsidRPr="00927254">
        <w:rPr>
          <w:lang w:val="es-ES"/>
        </w:rPr>
        <w:lastRenderedPageBreak/>
        <w:t>resuelve</w:t>
      </w:r>
    </w:p>
    <w:p w:rsidR="000E178B" w:rsidRPr="00927254" w:rsidRDefault="000E178B" w:rsidP="00143D35">
      <w:pPr>
        <w:rPr>
          <w:lang w:val="es-ES"/>
        </w:rPr>
      </w:pPr>
      <w:r w:rsidRPr="00927254">
        <w:rPr>
          <w:lang w:val="es-ES"/>
        </w:rPr>
        <w:t>1</w:t>
      </w:r>
      <w:r w:rsidRPr="00927254">
        <w:rPr>
          <w:lang w:val="es-ES"/>
        </w:rPr>
        <w:tab/>
        <w:t>que, con arreglo a lo dispuesto en la Resolución 169 (Guadalajara, 2010), y con sujeción a las condiciones definidas por el Consejo, las instituciones académicas</w:t>
      </w:r>
      <w:r>
        <w:rPr>
          <w:lang w:val="es-ES"/>
        </w:rPr>
        <w:t>, las universidades y sus entidades de investigación asociadas</w:t>
      </w:r>
      <w:r w:rsidRPr="00927254">
        <w:rPr>
          <w:lang w:val="es-ES"/>
        </w:rPr>
        <w:t xml:space="preserve"> pueden participar en los Grupos de Trabajo de las Comisiones de Estudio del Sector de Radiocomunicaciones;</w:t>
      </w:r>
    </w:p>
    <w:p w:rsidR="000E178B" w:rsidRPr="00927254" w:rsidRDefault="000E178B" w:rsidP="000E178B">
      <w:pPr>
        <w:rPr>
          <w:lang w:val="es-ES"/>
        </w:rPr>
      </w:pPr>
      <w:r w:rsidRPr="00927254">
        <w:rPr>
          <w:lang w:val="es-ES"/>
        </w:rPr>
        <w:t>2</w:t>
      </w:r>
      <w:r w:rsidRPr="00927254">
        <w:rPr>
          <w:lang w:val="es-ES"/>
        </w:rPr>
        <w:tab/>
        <w:t>que se dará a las instituciones académicas</w:t>
      </w:r>
      <w:r>
        <w:rPr>
          <w:lang w:val="es-ES"/>
        </w:rPr>
        <w:t>, las universidades y sus entidades de investigación asociadas</w:t>
      </w:r>
      <w:r w:rsidRPr="00927254">
        <w:rPr>
          <w:lang w:val="es-ES"/>
        </w:rPr>
        <w:t xml:space="preserve"> acceso a la documentación del Sector de Radiocomunicaciones;</w:t>
      </w:r>
    </w:p>
    <w:p w:rsidR="000E178B" w:rsidRPr="00927254" w:rsidRDefault="000E178B" w:rsidP="000041BD">
      <w:pPr>
        <w:rPr>
          <w:lang w:val="es-ES"/>
        </w:rPr>
      </w:pPr>
      <w:r w:rsidRPr="00927254">
        <w:rPr>
          <w:lang w:val="es-ES"/>
        </w:rPr>
        <w:t>3</w:t>
      </w:r>
      <w:r w:rsidRPr="00927254">
        <w:rPr>
          <w:lang w:val="es-ES"/>
        </w:rPr>
        <w:tab/>
        <w:t>que un representante de las instituciones académicas</w:t>
      </w:r>
      <w:r>
        <w:rPr>
          <w:lang w:val="es-ES"/>
        </w:rPr>
        <w:t>, las universidades y sus entidades de investigación asociadas</w:t>
      </w:r>
      <w:r w:rsidRPr="00927254">
        <w:rPr>
          <w:lang w:val="es-ES"/>
        </w:rPr>
        <w:t xml:space="preserve"> puede actuar como Relator (véase el § 2.1</w:t>
      </w:r>
      <w:r w:rsidR="00143D35">
        <w:rPr>
          <w:lang w:val="es-ES"/>
        </w:rPr>
        <w:t>3</w:t>
      </w:r>
      <w:r w:rsidRPr="00927254">
        <w:rPr>
          <w:lang w:val="es-ES"/>
        </w:rPr>
        <w:t xml:space="preserve"> de la Resolución UIT</w:t>
      </w:r>
      <w:r>
        <w:rPr>
          <w:lang w:val="es-ES"/>
        </w:rPr>
        <w:noBreakHyphen/>
      </w:r>
      <w:r w:rsidRPr="00927254">
        <w:rPr>
          <w:lang w:val="es-ES"/>
        </w:rPr>
        <w:t>R</w:t>
      </w:r>
      <w:r>
        <w:rPr>
          <w:lang w:val="es-ES"/>
        </w:rPr>
        <w:t> </w:t>
      </w:r>
      <w:r w:rsidRPr="00927254">
        <w:rPr>
          <w:lang w:val="es-ES"/>
        </w:rPr>
        <w:t xml:space="preserve">1); </w:t>
      </w:r>
    </w:p>
    <w:p w:rsidR="000E178B" w:rsidRPr="00927254" w:rsidRDefault="000E178B" w:rsidP="00143D35">
      <w:pPr>
        <w:rPr>
          <w:lang w:val="es-ES"/>
        </w:rPr>
      </w:pPr>
      <w:r w:rsidRPr="00927254">
        <w:rPr>
          <w:lang w:val="es-ES"/>
        </w:rPr>
        <w:t>4</w:t>
      </w:r>
      <w:r w:rsidRPr="00927254">
        <w:rPr>
          <w:lang w:val="es-ES"/>
        </w:rPr>
        <w:tab/>
        <w:t xml:space="preserve">asignar al Grupo Asesor de Radiocomunicaciones el estudio acerca de la necesidad de </w:t>
      </w:r>
      <w:r w:rsidR="00143D35">
        <w:rPr>
          <w:lang w:val="es-ES"/>
        </w:rPr>
        <w:t>cualquier medida y/o disposición adicional</w:t>
      </w:r>
      <w:r w:rsidRPr="00927254">
        <w:rPr>
          <w:lang w:val="es-ES"/>
        </w:rPr>
        <w:t xml:space="preserve"> para </w:t>
      </w:r>
      <w:r w:rsidR="00143D35">
        <w:rPr>
          <w:lang w:val="es-ES"/>
        </w:rPr>
        <w:t xml:space="preserve">facilitar </w:t>
      </w:r>
      <w:r w:rsidRPr="00927254">
        <w:rPr>
          <w:lang w:val="es-ES"/>
        </w:rPr>
        <w:t>la participación de las instituciones académicas</w:t>
      </w:r>
      <w:r>
        <w:rPr>
          <w:lang w:val="es-ES"/>
        </w:rPr>
        <w:t>, las universidades y sus entidades de investigación asociadas</w:t>
      </w:r>
      <w:r w:rsidRPr="00927254">
        <w:rPr>
          <w:lang w:val="es-ES"/>
        </w:rPr>
        <w:t xml:space="preserve"> y aprovechar los beneficios derivados de sus conocimientos técnicos</w:t>
      </w:r>
      <w:r w:rsidR="00813EF2">
        <w:rPr>
          <w:lang w:val="es-ES"/>
        </w:rPr>
        <w:t xml:space="preserve"> </w:t>
      </w:r>
      <w:r>
        <w:rPr>
          <w:lang w:val="es-ES"/>
        </w:rPr>
        <w:t>e intelectuales</w:t>
      </w:r>
      <w:r w:rsidRPr="00927254">
        <w:rPr>
          <w:lang w:val="es-ES"/>
        </w:rPr>
        <w:t xml:space="preserve">; e informar acerca de los resultados, a través del Director de la Oficina de Radiocomunicaciones, al Consejo y a la próxima Asamblea de Radiocomunicaciones. </w:t>
      </w:r>
    </w:p>
    <w:p w:rsidR="000E178B" w:rsidRPr="00927254" w:rsidRDefault="000E178B" w:rsidP="004D3FE9">
      <w:pPr>
        <w:pStyle w:val="Reasons"/>
        <w:rPr>
          <w:lang w:val="es-ES"/>
        </w:rPr>
      </w:pPr>
    </w:p>
    <w:p w:rsidR="000E178B" w:rsidRPr="00A041DF" w:rsidRDefault="000E178B" w:rsidP="000E178B"/>
    <w:sectPr w:rsidR="000E178B" w:rsidRPr="00A041DF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8B" w:rsidRDefault="000E178B">
      <w:r>
        <w:separator/>
      </w:r>
    </w:p>
  </w:endnote>
  <w:endnote w:type="continuationSeparator" w:id="0">
    <w:p w:rsidR="000E178B" w:rsidRDefault="000E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Pr="00D74824" w:rsidRDefault="00020ACE">
    <w:r>
      <w:fldChar w:fldCharType="begin"/>
    </w:r>
    <w:r w:rsidRPr="00D74824">
      <w:instrText xml:space="preserve"> FILENAME \p  \* MERGEFORMAT </w:instrText>
    </w:r>
    <w:r>
      <w:fldChar w:fldCharType="separate"/>
    </w:r>
    <w:r w:rsidR="00672AF3">
      <w:rPr>
        <w:noProof/>
      </w:rPr>
      <w:t>P:\ESP\ITU-R\CONF-R\AR12\FINRES\063S.docx</w:t>
    </w:r>
    <w:r>
      <w:fldChar w:fldCharType="end"/>
    </w:r>
    <w:r w:rsidRPr="00D74824">
      <w:tab/>
    </w:r>
    <w:r>
      <w:fldChar w:fldCharType="begin"/>
    </w:r>
    <w:r>
      <w:instrText xml:space="preserve"> SAVEDATE \@ DD.MM.YY </w:instrText>
    </w:r>
    <w:r>
      <w:fldChar w:fldCharType="separate"/>
    </w:r>
    <w:r w:rsidR="00BB124E">
      <w:rPr>
        <w:noProof/>
      </w:rPr>
      <w:t>20.01.12</w:t>
    </w:r>
    <w:r>
      <w:fldChar w:fldCharType="end"/>
    </w:r>
    <w:r w:rsidRPr="00D74824">
      <w:tab/>
    </w:r>
    <w:r>
      <w:fldChar w:fldCharType="begin"/>
    </w:r>
    <w:r>
      <w:instrText xml:space="preserve"> PRINTDATE \@ DD.MM.YY </w:instrText>
    </w:r>
    <w:r>
      <w:fldChar w:fldCharType="separate"/>
    </w:r>
    <w:r w:rsidR="00672AF3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8B" w:rsidRDefault="000E178B">
      <w:r>
        <w:rPr>
          <w:b/>
        </w:rPr>
        <w:t>_______________</w:t>
      </w:r>
    </w:p>
  </w:footnote>
  <w:footnote w:type="continuationSeparator" w:id="0">
    <w:p w:rsidR="000E178B" w:rsidRDefault="000E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B" w:rsidRDefault="000E178B" w:rsidP="002A093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B124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8B"/>
    <w:rsid w:val="000041BD"/>
    <w:rsid w:val="00012B52"/>
    <w:rsid w:val="00016A7C"/>
    <w:rsid w:val="00017CA0"/>
    <w:rsid w:val="00020ACE"/>
    <w:rsid w:val="00055060"/>
    <w:rsid w:val="00070345"/>
    <w:rsid w:val="000E178B"/>
    <w:rsid w:val="0010370B"/>
    <w:rsid w:val="00143D35"/>
    <w:rsid w:val="001721DD"/>
    <w:rsid w:val="00190D4E"/>
    <w:rsid w:val="002334F2"/>
    <w:rsid w:val="002A0939"/>
    <w:rsid w:val="002B6243"/>
    <w:rsid w:val="002E4B01"/>
    <w:rsid w:val="00466F3C"/>
    <w:rsid w:val="004841E3"/>
    <w:rsid w:val="004D3FE9"/>
    <w:rsid w:val="005648DF"/>
    <w:rsid w:val="005C4F7E"/>
    <w:rsid w:val="006050EE"/>
    <w:rsid w:val="00672AF3"/>
    <w:rsid w:val="00706822"/>
    <w:rsid w:val="00742575"/>
    <w:rsid w:val="007B7EDB"/>
    <w:rsid w:val="00813EF2"/>
    <w:rsid w:val="008246E6"/>
    <w:rsid w:val="008E02B6"/>
    <w:rsid w:val="009630C4"/>
    <w:rsid w:val="00AB4432"/>
    <w:rsid w:val="00AE2C2E"/>
    <w:rsid w:val="00AF7660"/>
    <w:rsid w:val="00BB124E"/>
    <w:rsid w:val="00BF1023"/>
    <w:rsid w:val="00BF739B"/>
    <w:rsid w:val="00C254AB"/>
    <w:rsid w:val="00C278F8"/>
    <w:rsid w:val="00C4218E"/>
    <w:rsid w:val="00C7611A"/>
    <w:rsid w:val="00D56090"/>
    <w:rsid w:val="00D74824"/>
    <w:rsid w:val="00DF2913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C421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18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C421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218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eon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PS_RA12</Template>
  <TotalTime>0</TotalTime>
  <Pages>2</Pages>
  <Words>586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DE LEON</dc:creator>
  <cp:keywords/>
  <dc:description>PS_RA07.dot  Para: _x000d_Fecha del documento: _x000d_Registrado por MM-43480 a 16:09:38 el 16.10.07</dc:description>
  <cp:lastModifiedBy>De La Rosa Trivino, Maria Dolores</cp:lastModifiedBy>
  <cp:revision>2</cp:revision>
  <cp:lastPrinted>2012-01-20T06:59:00Z</cp:lastPrinted>
  <dcterms:created xsi:type="dcterms:W3CDTF">2012-01-20T23:44:00Z</dcterms:created>
  <dcterms:modified xsi:type="dcterms:W3CDTF">2012-01-20T23:44:00Z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