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D7A" w:rsidRDefault="003514E6" w:rsidP="003514E6">
      <w:pPr>
        <w:pStyle w:val="ResolutionNo"/>
        <w:rPr>
          <w:rtl/>
          <w:lang w:bidi="ar-EG"/>
        </w:rPr>
      </w:pPr>
      <w:r w:rsidRPr="004D22E6">
        <w:rPr>
          <w:rFonts w:hint="cs"/>
          <w:rtl/>
          <w:lang w:bidi="ar-SY"/>
        </w:rPr>
        <w:t xml:space="preserve">القرار </w:t>
      </w:r>
      <w:r w:rsidRPr="004D22E6">
        <w:rPr>
          <w:lang w:bidi="ar-SY"/>
        </w:rPr>
        <w:t>ITU</w:t>
      </w:r>
      <w:r w:rsidRPr="004D22E6">
        <w:rPr>
          <w:lang w:bidi="ar-SY"/>
        </w:rPr>
        <w:noBreakHyphen/>
        <w:t>R </w:t>
      </w:r>
      <w:r>
        <w:rPr>
          <w:lang w:bidi="ar-SY"/>
        </w:rPr>
        <w:t>64</w:t>
      </w:r>
    </w:p>
    <w:p w:rsidR="003514E6" w:rsidRDefault="003514E6" w:rsidP="00ED4D2B">
      <w:pPr>
        <w:pStyle w:val="Resolutiontitle"/>
        <w:rPr>
          <w:rtl/>
          <w:lang w:val="en-GB"/>
        </w:rPr>
      </w:pPr>
      <w:r w:rsidRPr="004D22E6">
        <w:rPr>
          <w:rFonts w:hint="cs"/>
          <w:rtl/>
          <w:lang w:val="en-GB"/>
        </w:rPr>
        <w:t xml:space="preserve">مبادئ توجيهية </w:t>
      </w:r>
      <w:r>
        <w:rPr>
          <w:rFonts w:hint="cs"/>
          <w:rtl/>
          <w:lang w:val="en-GB"/>
        </w:rPr>
        <w:t xml:space="preserve">لإدارة التشغيل غير المرخص به </w:t>
      </w:r>
      <w:r w:rsidR="00ED4D2B">
        <w:rPr>
          <w:rFonts w:hint="cs"/>
          <w:rtl/>
          <w:lang w:val="en-GB"/>
        </w:rPr>
        <w:t>للمحطات</w:t>
      </w:r>
      <w:r>
        <w:rPr>
          <w:rFonts w:hint="cs"/>
          <w:rtl/>
          <w:lang w:val="en-GB"/>
        </w:rPr>
        <w:t xml:space="preserve"> الأرضية</w:t>
      </w:r>
      <w:r w:rsidR="00ED4D2B">
        <w:rPr>
          <w:rFonts w:hint="cs"/>
          <w:rtl/>
          <w:lang w:val="en-GB"/>
        </w:rPr>
        <w:t xml:space="preserve"> الطرفية</w:t>
      </w:r>
    </w:p>
    <w:p w:rsidR="003514E6" w:rsidRDefault="003514E6" w:rsidP="003514E6">
      <w:pPr>
        <w:pStyle w:val="Date"/>
        <w:rPr>
          <w:rtl/>
        </w:rPr>
      </w:pPr>
      <w:r w:rsidRPr="00D90589">
        <w:t>(2015)</w:t>
      </w:r>
    </w:p>
    <w:p w:rsidR="003514E6" w:rsidRPr="004D22E6" w:rsidRDefault="003514E6" w:rsidP="003514E6">
      <w:pPr>
        <w:pStyle w:val="Normalaftertitle"/>
        <w:rPr>
          <w:rtl/>
        </w:rPr>
      </w:pPr>
      <w:r w:rsidRPr="004D22E6">
        <w:rPr>
          <w:rFonts w:hint="cs"/>
          <w:rtl/>
        </w:rPr>
        <w:t>إن جمعية الاتصالات الراديوية</w:t>
      </w:r>
      <w:r>
        <w:rPr>
          <w:rFonts w:hint="cs"/>
          <w:rtl/>
        </w:rPr>
        <w:t xml:space="preserve"> للاتحاد الدولي للاتصالات</w:t>
      </w:r>
      <w:r w:rsidRPr="004D22E6">
        <w:rPr>
          <w:rFonts w:hint="cs"/>
          <w:rtl/>
        </w:rPr>
        <w:t>،</w:t>
      </w:r>
    </w:p>
    <w:p w:rsidR="003514E6" w:rsidRPr="004D22E6" w:rsidRDefault="003514E6" w:rsidP="003514E6">
      <w:pPr>
        <w:pStyle w:val="Call"/>
        <w:rPr>
          <w:rtl/>
        </w:rPr>
      </w:pPr>
      <w:r w:rsidRPr="004D22E6">
        <w:rPr>
          <w:rFonts w:hint="cs"/>
          <w:rtl/>
        </w:rPr>
        <w:t>إذ تضع في اعتبارها</w:t>
      </w:r>
    </w:p>
    <w:p w:rsidR="003514E6" w:rsidRPr="004D22E6" w:rsidRDefault="003514E6" w:rsidP="003514E6">
      <w:pPr>
        <w:rPr>
          <w:rtl/>
          <w:lang w:bidi="ar-EG"/>
        </w:rPr>
      </w:pPr>
      <w:r w:rsidRPr="004D22E6">
        <w:rPr>
          <w:rFonts w:hint="cs"/>
          <w:i/>
          <w:iCs/>
          <w:rtl/>
          <w:lang w:bidi="ar-EG"/>
        </w:rPr>
        <w:t xml:space="preserve"> </w:t>
      </w:r>
      <w:r w:rsidRPr="004D22E6">
        <w:rPr>
          <w:i/>
          <w:iCs/>
          <w:rtl/>
          <w:lang w:bidi="ar-EG"/>
        </w:rPr>
        <w:t>أ )</w:t>
      </w:r>
      <w:r w:rsidRPr="004D22E6">
        <w:rPr>
          <w:rtl/>
          <w:lang w:bidi="ar-EG"/>
        </w:rPr>
        <w:tab/>
      </w:r>
      <w:r>
        <w:rPr>
          <w:rFonts w:hint="cs"/>
          <w:rtl/>
          <w:lang w:bidi="ar-EG"/>
        </w:rPr>
        <w:t>أن الرقم</w:t>
      </w:r>
      <w:r>
        <w:rPr>
          <w:rFonts w:hint="eastAsia"/>
          <w:rtl/>
          <w:lang w:bidi="ar-EG"/>
        </w:rPr>
        <w:t> </w:t>
      </w:r>
      <w:r w:rsidRPr="004D22E6">
        <w:rPr>
          <w:b/>
          <w:bCs/>
          <w:lang w:bidi="ar-EG"/>
        </w:rPr>
        <w:t>1.18</w:t>
      </w:r>
      <w:r>
        <w:rPr>
          <w:rFonts w:hint="cs"/>
          <w:rtl/>
          <w:lang w:bidi="ar-EG"/>
        </w:rPr>
        <w:t xml:space="preserve"> من لوائح الراديو ينص على </w:t>
      </w:r>
      <w:r w:rsidRPr="004D22E6">
        <w:rPr>
          <w:rFonts w:hint="cs"/>
          <w:rtl/>
          <w:lang w:bidi="ar-EG"/>
        </w:rPr>
        <w:t xml:space="preserve">أنه </w:t>
      </w:r>
      <w:r w:rsidRPr="004D22E6">
        <w:rPr>
          <w:rtl/>
          <w:lang w:bidi="ar-EG"/>
        </w:rPr>
        <w:t>لا</w:t>
      </w:r>
      <w:r w:rsidRPr="004D22E6">
        <w:rPr>
          <w:rFonts w:hint="cs"/>
          <w:rtl/>
          <w:lang w:bidi="ar-EG"/>
        </w:rPr>
        <w:t> </w:t>
      </w:r>
      <w:r w:rsidRPr="004D22E6">
        <w:rPr>
          <w:rtl/>
          <w:lang w:bidi="ar-EG"/>
        </w:rPr>
        <w:t>يجوز لأي فرد أو</w:t>
      </w:r>
      <w:r w:rsidRPr="004D22E6">
        <w:rPr>
          <w:rFonts w:hint="cs"/>
          <w:rtl/>
          <w:lang w:bidi="ar-EG"/>
        </w:rPr>
        <w:t> </w:t>
      </w:r>
      <w:r w:rsidRPr="004D22E6">
        <w:rPr>
          <w:rtl/>
          <w:lang w:bidi="ar-EG"/>
        </w:rPr>
        <w:t>هيئة إنشاء أو</w:t>
      </w:r>
      <w:r w:rsidRPr="004D22E6">
        <w:rPr>
          <w:rFonts w:hint="cs"/>
          <w:rtl/>
          <w:lang w:bidi="ar-EG"/>
        </w:rPr>
        <w:t> </w:t>
      </w:r>
      <w:r w:rsidRPr="004D22E6">
        <w:rPr>
          <w:rtl/>
          <w:lang w:bidi="ar-EG"/>
        </w:rPr>
        <w:t>تشغيل محطة إرسال دون رخصة محررة بالصيغة المناسبة ووفقاً لأحكام لوائح</w:t>
      </w:r>
      <w:r>
        <w:rPr>
          <w:rFonts w:hint="eastAsia"/>
          <w:rtl/>
          <w:lang w:bidi="ar-EG"/>
        </w:rPr>
        <w:t> </w:t>
      </w:r>
      <w:r>
        <w:rPr>
          <w:rFonts w:hint="cs"/>
          <w:rtl/>
          <w:lang w:bidi="ar-EG"/>
        </w:rPr>
        <w:t>الراديو</w:t>
      </w:r>
      <w:r w:rsidRPr="004D22E6">
        <w:rPr>
          <w:rtl/>
          <w:lang w:bidi="ar-EG"/>
        </w:rPr>
        <w:t xml:space="preserve"> وصادرة عن حكومة البلد الذي تتبع له المحطة المذكورة أو</w:t>
      </w:r>
      <w:r>
        <w:rPr>
          <w:rFonts w:hint="cs"/>
          <w:rtl/>
          <w:lang w:bidi="ar-EG"/>
        </w:rPr>
        <w:t> </w:t>
      </w:r>
      <w:r w:rsidRPr="004D22E6">
        <w:rPr>
          <w:rtl/>
          <w:lang w:bidi="ar-EG"/>
        </w:rPr>
        <w:t>نيابة عن هذه</w:t>
      </w:r>
      <w:r w:rsidRPr="004D22E6">
        <w:rPr>
          <w:rFonts w:hint="cs"/>
          <w:rtl/>
          <w:lang w:bidi="ar-EG"/>
        </w:rPr>
        <w:t> </w:t>
      </w:r>
      <w:r w:rsidRPr="004D22E6">
        <w:rPr>
          <w:rtl/>
          <w:lang w:bidi="ar-EG"/>
        </w:rPr>
        <w:t>الحكومة؛</w:t>
      </w:r>
    </w:p>
    <w:p w:rsidR="003514E6" w:rsidRPr="004D22E6" w:rsidRDefault="003514E6" w:rsidP="003514E6">
      <w:pPr>
        <w:rPr>
          <w:rtl/>
          <w:lang w:bidi="ar-EG"/>
        </w:rPr>
      </w:pPr>
      <w:r w:rsidRPr="004D22E6">
        <w:rPr>
          <w:rFonts w:hint="cs"/>
          <w:i/>
          <w:iCs/>
          <w:rtl/>
          <w:lang w:bidi="ar-EG"/>
        </w:rPr>
        <w:t>ب</w:t>
      </w:r>
      <w:r w:rsidRPr="004D22E6">
        <w:rPr>
          <w:i/>
          <w:iCs/>
          <w:rtl/>
          <w:lang w:bidi="ar-EG"/>
        </w:rPr>
        <w:t>)</w:t>
      </w:r>
      <w:r w:rsidRPr="004D22E6">
        <w:rPr>
          <w:rtl/>
          <w:lang w:bidi="ar-EG"/>
        </w:rPr>
        <w:tab/>
      </w:r>
      <w:r w:rsidRPr="004D22E6">
        <w:rPr>
          <w:rFonts w:hint="cs"/>
          <w:rtl/>
        </w:rPr>
        <w:t>أن الطلب يتزايد بانتظام على خدمات الاتصالات العالمية عريضة</w:t>
      </w:r>
      <w:r w:rsidRPr="004D22E6">
        <w:rPr>
          <w:rFonts w:hint="eastAsia"/>
          <w:rtl/>
        </w:rPr>
        <w:t> </w:t>
      </w:r>
      <w:r w:rsidRPr="004D22E6">
        <w:rPr>
          <w:rFonts w:hint="cs"/>
          <w:rtl/>
        </w:rPr>
        <w:t>النطاق في أنحاء العالم، مثل الخدمات التي توفرها التطبيقات عالية الكثافة في الخدمة الثابتة الساتلية</w:t>
      </w:r>
      <w:r w:rsidRPr="004D22E6">
        <w:rPr>
          <w:rFonts w:hint="eastAsia"/>
          <w:rtl/>
        </w:rPr>
        <w:t> </w:t>
      </w:r>
      <w:r w:rsidRPr="004D22E6">
        <w:t>(HDFSS)</w:t>
      </w:r>
      <w:r w:rsidRPr="004D22E6">
        <w:rPr>
          <w:rtl/>
          <w:lang w:bidi="ar-EG"/>
        </w:rPr>
        <w:t>؛</w:t>
      </w:r>
    </w:p>
    <w:p w:rsidR="003514E6" w:rsidRPr="004D22E6" w:rsidRDefault="003514E6" w:rsidP="003514E6">
      <w:pPr>
        <w:rPr>
          <w:rtl/>
          <w:lang w:bidi="ar-EG"/>
        </w:rPr>
      </w:pPr>
      <w:r w:rsidRPr="004D22E6">
        <w:rPr>
          <w:rFonts w:hint="cs"/>
          <w:i/>
          <w:iCs/>
          <w:rtl/>
          <w:lang w:bidi="ar-EG"/>
        </w:rPr>
        <w:t>ج</w:t>
      </w:r>
      <w:r w:rsidRPr="004D22E6">
        <w:rPr>
          <w:i/>
          <w:iCs/>
          <w:rtl/>
          <w:lang w:bidi="ar-EG"/>
        </w:rPr>
        <w:t>)</w:t>
      </w:r>
      <w:r w:rsidRPr="004D22E6">
        <w:rPr>
          <w:rtl/>
          <w:lang w:bidi="ar-EG"/>
        </w:rPr>
        <w:tab/>
      </w:r>
      <w:r w:rsidRPr="004D22E6">
        <w:rPr>
          <w:rFonts w:hint="cs"/>
          <w:rtl/>
        </w:rPr>
        <w:t>أن أنظمة التطبيقات عالية الكثافة في الخدمة الثابتة الساتلية تتميز بمرونة وسرعة نشر أعداد كبيرة من المحطات الأرضية ذات التكلفة المثلى في آن واحد في كل مكان، تستعمل هوائيات صغيرة ولها خصائص تقنية</w:t>
      </w:r>
      <w:r w:rsidRPr="004D22E6">
        <w:rPr>
          <w:rFonts w:hint="eastAsia"/>
          <w:rtl/>
        </w:rPr>
        <w:t> </w:t>
      </w:r>
      <w:r w:rsidRPr="004D22E6">
        <w:rPr>
          <w:rFonts w:hint="cs"/>
          <w:rtl/>
        </w:rPr>
        <w:t>مشتركة</w:t>
      </w:r>
      <w:r w:rsidRPr="004D22E6">
        <w:rPr>
          <w:rtl/>
          <w:lang w:bidi="ar-EG"/>
        </w:rPr>
        <w:t>؛</w:t>
      </w:r>
    </w:p>
    <w:p w:rsidR="003514E6" w:rsidRPr="004D22E6" w:rsidRDefault="003514E6" w:rsidP="003514E6">
      <w:pPr>
        <w:rPr>
          <w:rtl/>
          <w:lang w:bidi="ar-EG"/>
        </w:rPr>
      </w:pPr>
      <w:r w:rsidRPr="004D22E6">
        <w:rPr>
          <w:rFonts w:hint="cs"/>
          <w:i/>
          <w:iCs/>
          <w:rtl/>
          <w:lang w:bidi="ar-EG"/>
        </w:rPr>
        <w:t>د</w:t>
      </w:r>
      <w:r w:rsidRPr="004D22E6">
        <w:rPr>
          <w:i/>
          <w:iCs/>
          <w:rtl/>
          <w:lang w:bidi="ar-EG"/>
        </w:rPr>
        <w:t xml:space="preserve"> )</w:t>
      </w:r>
      <w:r w:rsidRPr="004D22E6">
        <w:rPr>
          <w:rtl/>
          <w:lang w:bidi="ar-EG"/>
        </w:rPr>
        <w:tab/>
      </w:r>
      <w:r w:rsidRPr="004D22E6">
        <w:rPr>
          <w:rFonts w:hint="cs"/>
          <w:rtl/>
        </w:rPr>
        <w:t>أن أنظمة التطبيقات عالية</w:t>
      </w:r>
      <w:r w:rsidRPr="004D22E6">
        <w:rPr>
          <w:rFonts w:hint="eastAsia"/>
          <w:rtl/>
        </w:rPr>
        <w:t> </w:t>
      </w:r>
      <w:r w:rsidRPr="004D22E6">
        <w:rPr>
          <w:rFonts w:hint="cs"/>
          <w:rtl/>
        </w:rPr>
        <w:t>الكثافة في الخدمة الثابتة الساتلية تمثل مفهوماً متقدماً من تطبيقات الاتصالات عريضة</w:t>
      </w:r>
      <w:r w:rsidRPr="004D22E6">
        <w:rPr>
          <w:rFonts w:hint="eastAsia"/>
          <w:rtl/>
        </w:rPr>
        <w:t> </w:t>
      </w:r>
      <w:r w:rsidRPr="004D22E6">
        <w:rPr>
          <w:rFonts w:hint="cs"/>
          <w:rtl/>
        </w:rPr>
        <w:t>النطاق التي تتيح النفاذ إلى مجموعة واسعة من تطبيقات الاتصالات عريضة النطاق التي تدعمها شبكات الاتصالات الثابتة (بما</w:t>
      </w:r>
      <w:r w:rsidRPr="004D22E6">
        <w:rPr>
          <w:rFonts w:hint="eastAsia"/>
          <w:rtl/>
        </w:rPr>
        <w:t> </w:t>
      </w:r>
      <w:r w:rsidRPr="004D22E6">
        <w:rPr>
          <w:rFonts w:hint="cs"/>
          <w:rtl/>
        </w:rPr>
        <w:t>في</w:t>
      </w:r>
      <w:r w:rsidRPr="004D22E6">
        <w:rPr>
          <w:rFonts w:hint="eastAsia"/>
          <w:rtl/>
        </w:rPr>
        <w:t> </w:t>
      </w:r>
      <w:r w:rsidRPr="004D22E6">
        <w:rPr>
          <w:rFonts w:hint="cs"/>
          <w:rtl/>
        </w:rPr>
        <w:t>ذلك الإنترنت)، وبالتالي فإنها تكمل أنظمة الاتصالات</w:t>
      </w:r>
      <w:r w:rsidRPr="004D22E6">
        <w:rPr>
          <w:rFonts w:hint="eastAsia"/>
          <w:rtl/>
        </w:rPr>
        <w:t> </w:t>
      </w:r>
      <w:r w:rsidRPr="004D22E6">
        <w:rPr>
          <w:rFonts w:hint="cs"/>
          <w:rtl/>
        </w:rPr>
        <w:t>الأخرى</w:t>
      </w:r>
      <w:r w:rsidRPr="004D22E6">
        <w:rPr>
          <w:rtl/>
          <w:lang w:bidi="ar-EG"/>
        </w:rPr>
        <w:t>؛</w:t>
      </w:r>
    </w:p>
    <w:p w:rsidR="003514E6" w:rsidRPr="004D22E6" w:rsidRDefault="003514E6" w:rsidP="003514E6">
      <w:pPr>
        <w:rPr>
          <w:rtl/>
          <w:lang w:bidi="ar-EG"/>
        </w:rPr>
      </w:pPr>
      <w:r w:rsidRPr="004D22E6">
        <w:rPr>
          <w:i/>
          <w:iCs/>
          <w:rtl/>
          <w:lang w:bidi="ar-EG"/>
        </w:rPr>
        <w:t>ﻫ</w:t>
      </w:r>
      <w:r w:rsidRPr="004D22E6">
        <w:rPr>
          <w:rFonts w:hint="cs"/>
          <w:i/>
          <w:iCs/>
          <w:rtl/>
          <w:lang w:bidi="ar-EG"/>
        </w:rPr>
        <w:t xml:space="preserve"> </w:t>
      </w:r>
      <w:r w:rsidRPr="004D22E6">
        <w:rPr>
          <w:i/>
          <w:iCs/>
          <w:rtl/>
          <w:lang w:bidi="ar-EG"/>
        </w:rPr>
        <w:t>)</w:t>
      </w:r>
      <w:r w:rsidRPr="004D22E6">
        <w:rPr>
          <w:rtl/>
          <w:lang w:bidi="ar-EG"/>
        </w:rPr>
        <w:tab/>
      </w:r>
      <w:r w:rsidRPr="004D22E6">
        <w:rPr>
          <w:rFonts w:hint="cs"/>
          <w:rtl/>
        </w:rPr>
        <w:t>أن أنظمة التطبيقات عالية الكثافة في الخدمة الثابتة الساتلية، مثل غيرها من أنظمة الخدمة الثابتة الساتلية، توفر إمكانيات ممتازة لإقامة البنية التحتية للاتصالات بسرعة</w:t>
      </w:r>
      <w:r w:rsidRPr="004D22E6">
        <w:rPr>
          <w:rtl/>
          <w:lang w:bidi="ar-EG"/>
        </w:rPr>
        <w:t>؛</w:t>
      </w:r>
    </w:p>
    <w:p w:rsidR="003514E6" w:rsidRPr="004D22E6" w:rsidRDefault="003514E6" w:rsidP="003514E6">
      <w:pPr>
        <w:rPr>
          <w:rtl/>
          <w:lang w:bidi="ar-EG"/>
        </w:rPr>
      </w:pPr>
      <w:r w:rsidRPr="004D22E6">
        <w:rPr>
          <w:rFonts w:hint="cs"/>
          <w:i/>
          <w:iCs/>
          <w:rtl/>
          <w:lang w:bidi="ar-EG"/>
        </w:rPr>
        <w:t xml:space="preserve">و </w:t>
      </w:r>
      <w:r w:rsidRPr="004D22E6">
        <w:rPr>
          <w:i/>
          <w:iCs/>
          <w:rtl/>
          <w:lang w:bidi="ar-EG"/>
        </w:rPr>
        <w:t>)</w:t>
      </w:r>
      <w:r w:rsidRPr="004D22E6">
        <w:rPr>
          <w:rtl/>
          <w:lang w:bidi="ar-EG"/>
        </w:rPr>
        <w:tab/>
      </w:r>
      <w:r w:rsidRPr="004D22E6">
        <w:rPr>
          <w:rFonts w:hint="cs"/>
          <w:rtl/>
        </w:rPr>
        <w:t>أن التطبيقات عالية الكثافة في الخدمة الثابتة الساتلية يمكن توفيرها عن طريق سواتل في مدارات من أي</w:t>
      </w:r>
      <w:r w:rsidRPr="004D22E6">
        <w:rPr>
          <w:rFonts w:hint="eastAsia"/>
          <w:rtl/>
        </w:rPr>
        <w:t> </w:t>
      </w:r>
      <w:r w:rsidRPr="004D22E6">
        <w:rPr>
          <w:rFonts w:hint="cs"/>
          <w:rtl/>
        </w:rPr>
        <w:t>نمط</w:t>
      </w:r>
      <w:r w:rsidRPr="004D22E6">
        <w:rPr>
          <w:rFonts w:hint="cs"/>
          <w:rtl/>
          <w:lang w:bidi="ar-EG"/>
        </w:rPr>
        <w:t>؛</w:t>
      </w:r>
    </w:p>
    <w:p w:rsidR="003514E6" w:rsidRPr="004D22E6" w:rsidRDefault="003514E6" w:rsidP="003514E6">
      <w:pPr>
        <w:rPr>
          <w:rtl/>
          <w:lang w:bidi="ar-EG"/>
        </w:rPr>
      </w:pPr>
      <w:r w:rsidRPr="004D22E6">
        <w:rPr>
          <w:rFonts w:hint="cs"/>
          <w:i/>
          <w:iCs/>
          <w:rtl/>
          <w:lang w:bidi="ar-EG"/>
        </w:rPr>
        <w:t>ز )</w:t>
      </w:r>
      <w:r w:rsidRPr="004D22E6">
        <w:rPr>
          <w:rFonts w:hint="cs"/>
          <w:i/>
          <w:iCs/>
          <w:rtl/>
          <w:lang w:bidi="ar-EG"/>
        </w:rPr>
        <w:tab/>
      </w:r>
      <w:r w:rsidRPr="004D22E6">
        <w:rPr>
          <w:rFonts w:hint="cs"/>
          <w:rtl/>
        </w:rPr>
        <w:t>أن الإدارات</w:t>
      </w:r>
      <w:r>
        <w:rPr>
          <w:rFonts w:hint="cs"/>
          <w:rtl/>
        </w:rPr>
        <w:t xml:space="preserve"> ملزمة بضمان أن يتقيد مشغلو السواتل بالأحكام المنطبقة من لوائح الراديو،</w:t>
      </w:r>
    </w:p>
    <w:p w:rsidR="003514E6" w:rsidRPr="004D22E6" w:rsidRDefault="003514E6" w:rsidP="003514E6">
      <w:pPr>
        <w:pStyle w:val="Call"/>
        <w:rPr>
          <w:rtl/>
          <w:lang w:bidi="ar-EG"/>
        </w:rPr>
      </w:pPr>
      <w:r w:rsidRPr="004D22E6">
        <w:rPr>
          <w:rFonts w:hint="cs"/>
          <w:rtl/>
          <w:lang w:bidi="ar-EG"/>
        </w:rPr>
        <w:t>وإذ تدرك</w:t>
      </w:r>
    </w:p>
    <w:p w:rsidR="003514E6" w:rsidRPr="004D22E6" w:rsidRDefault="003514E6" w:rsidP="00D86118">
      <w:pPr>
        <w:rPr>
          <w:rtl/>
          <w:lang w:bidi="ar-EG"/>
        </w:rPr>
      </w:pPr>
      <w:r w:rsidRPr="004D22E6">
        <w:rPr>
          <w:rFonts w:hint="cs"/>
          <w:i/>
          <w:iCs/>
          <w:rtl/>
          <w:lang w:bidi="ar-EG"/>
        </w:rPr>
        <w:t xml:space="preserve"> </w:t>
      </w:r>
      <w:r w:rsidRPr="004D22E6">
        <w:rPr>
          <w:i/>
          <w:iCs/>
          <w:rtl/>
          <w:lang w:bidi="ar-EG"/>
        </w:rPr>
        <w:t>أ )</w:t>
      </w:r>
      <w:r w:rsidRPr="004D22E6">
        <w:rPr>
          <w:rtl/>
          <w:lang w:bidi="ar-EG"/>
        </w:rPr>
        <w:tab/>
      </w:r>
      <w:r w:rsidRPr="004D22E6">
        <w:rPr>
          <w:rtl/>
        </w:rPr>
        <w:t xml:space="preserve">أن </w:t>
      </w:r>
      <w:r w:rsidR="00D86118">
        <w:rPr>
          <w:rFonts w:hint="cs"/>
          <w:rtl/>
        </w:rPr>
        <w:t>دستور الاتحاد</w:t>
      </w:r>
      <w:r w:rsidRPr="004D22E6">
        <w:rPr>
          <w:rtl/>
        </w:rPr>
        <w:t xml:space="preserve"> يعترف بالحق السيادي لكل دولة في تنظيم اتصالاتها؛</w:t>
      </w:r>
    </w:p>
    <w:p w:rsidR="003514E6" w:rsidRPr="0020525E" w:rsidRDefault="003514E6" w:rsidP="003514E6">
      <w:pPr>
        <w:rPr>
          <w:spacing w:val="-2"/>
          <w:rtl/>
          <w:lang w:bidi="ar-EG"/>
        </w:rPr>
      </w:pPr>
      <w:r w:rsidRPr="0020525E">
        <w:rPr>
          <w:rFonts w:hint="cs"/>
          <w:i/>
          <w:iCs/>
          <w:spacing w:val="-2"/>
          <w:rtl/>
          <w:lang w:bidi="ar-EG"/>
        </w:rPr>
        <w:t>ب</w:t>
      </w:r>
      <w:r w:rsidRPr="0020525E">
        <w:rPr>
          <w:i/>
          <w:iCs/>
          <w:spacing w:val="-2"/>
          <w:rtl/>
          <w:lang w:bidi="ar-EG"/>
        </w:rPr>
        <w:t>)</w:t>
      </w:r>
      <w:r w:rsidRPr="0020525E">
        <w:rPr>
          <w:spacing w:val="-2"/>
          <w:rtl/>
          <w:lang w:bidi="ar-EG"/>
        </w:rPr>
        <w:tab/>
      </w:r>
      <w:r w:rsidRPr="0020525E">
        <w:rPr>
          <w:spacing w:val="-2"/>
          <w:rtl/>
        </w:rPr>
        <w:t>أن لوائح الاتصالات الدولية "تعترف بحق كل عضو</w:t>
      </w:r>
      <w:r w:rsidRPr="0020525E">
        <w:rPr>
          <w:rFonts w:hint="cs"/>
          <w:spacing w:val="-2"/>
          <w:rtl/>
        </w:rPr>
        <w:t xml:space="preserve"> أن</w:t>
      </w:r>
      <w:r w:rsidRPr="0020525E">
        <w:rPr>
          <w:rFonts w:hint="eastAsia"/>
          <w:spacing w:val="-2"/>
          <w:rtl/>
        </w:rPr>
        <w:t> </w:t>
      </w:r>
      <w:r w:rsidRPr="0020525E">
        <w:rPr>
          <w:rFonts w:hint="cs"/>
          <w:spacing w:val="-2"/>
          <w:rtl/>
        </w:rPr>
        <w:t>يشترط</w:t>
      </w:r>
      <w:r w:rsidRPr="0020525E">
        <w:rPr>
          <w:spacing w:val="-2"/>
          <w:rtl/>
        </w:rPr>
        <w:t xml:space="preserve">، </w:t>
      </w:r>
      <w:r w:rsidRPr="0020525E">
        <w:rPr>
          <w:rFonts w:hint="cs"/>
          <w:spacing w:val="-2"/>
          <w:rtl/>
        </w:rPr>
        <w:t>رهناً بالقوانين الوطنية وعندما يقرر</w:t>
      </w:r>
      <w:r w:rsidRPr="0020525E">
        <w:rPr>
          <w:spacing w:val="-2"/>
          <w:rtl/>
        </w:rPr>
        <w:t xml:space="preserve"> ذلك، حصول الإدارات ووكالات التشغيل الخاصة </w:t>
      </w:r>
      <w:r w:rsidRPr="0020525E">
        <w:rPr>
          <w:rFonts w:hint="cs"/>
          <w:spacing w:val="-2"/>
          <w:rtl/>
        </w:rPr>
        <w:t>العاملة في</w:t>
      </w:r>
      <w:r w:rsidRPr="0020525E">
        <w:rPr>
          <w:rFonts w:hint="eastAsia"/>
          <w:spacing w:val="-2"/>
          <w:rtl/>
        </w:rPr>
        <w:t> </w:t>
      </w:r>
      <w:r w:rsidRPr="0020525E">
        <w:rPr>
          <w:rFonts w:hint="cs"/>
          <w:spacing w:val="-2"/>
          <w:rtl/>
        </w:rPr>
        <w:t>أراضي هذا العضو</w:t>
      </w:r>
      <w:r w:rsidRPr="0020525E">
        <w:rPr>
          <w:spacing w:val="-2"/>
          <w:rtl/>
        </w:rPr>
        <w:t xml:space="preserve"> وتقدم خدمة اتصالات دولية إلى الجمهور، على </w:t>
      </w:r>
      <w:r w:rsidRPr="0020525E">
        <w:rPr>
          <w:rFonts w:hint="cs"/>
          <w:spacing w:val="-2"/>
          <w:rtl/>
        </w:rPr>
        <w:t>تصريح من</w:t>
      </w:r>
      <w:r w:rsidRPr="0020525E">
        <w:rPr>
          <w:spacing w:val="-2"/>
          <w:rtl/>
        </w:rPr>
        <w:t xml:space="preserve"> هذ</w:t>
      </w:r>
      <w:r w:rsidRPr="0020525E">
        <w:rPr>
          <w:rFonts w:hint="cs"/>
          <w:spacing w:val="-2"/>
          <w:rtl/>
        </w:rPr>
        <w:t>ا</w:t>
      </w:r>
      <w:r w:rsidRPr="0020525E">
        <w:rPr>
          <w:spacing w:val="-2"/>
          <w:rtl/>
        </w:rPr>
        <w:t xml:space="preserve"> العضو"، </w:t>
      </w:r>
      <w:r w:rsidRPr="0020525E">
        <w:rPr>
          <w:rFonts w:hint="cs"/>
          <w:spacing w:val="-2"/>
          <w:rtl/>
        </w:rPr>
        <w:t>وتنص بالتحديد على</w:t>
      </w:r>
      <w:r w:rsidRPr="0020525E">
        <w:rPr>
          <w:spacing w:val="-2"/>
          <w:rtl/>
        </w:rPr>
        <w:t xml:space="preserve"> "</w:t>
      </w:r>
      <w:r w:rsidRPr="0020525E">
        <w:rPr>
          <w:rFonts w:hint="cs"/>
          <w:spacing w:val="-2"/>
          <w:rtl/>
        </w:rPr>
        <w:t xml:space="preserve">أن يكون </w:t>
      </w:r>
      <w:r w:rsidRPr="0020525E">
        <w:rPr>
          <w:spacing w:val="-2"/>
          <w:rtl/>
        </w:rPr>
        <w:t xml:space="preserve">تقديم وتشغيل الاتصالات الدولية في إطار هذه اللوائح، </w:t>
      </w:r>
      <w:r w:rsidRPr="0020525E">
        <w:rPr>
          <w:rFonts w:hint="cs"/>
          <w:spacing w:val="-2"/>
          <w:rtl/>
        </w:rPr>
        <w:t>عملاً باتفاق متبادل</w:t>
      </w:r>
      <w:r w:rsidRPr="0020525E">
        <w:rPr>
          <w:spacing w:val="-2"/>
          <w:rtl/>
        </w:rPr>
        <w:t xml:space="preserve"> بين</w:t>
      </w:r>
      <w:r w:rsidRPr="0020525E">
        <w:rPr>
          <w:rFonts w:hint="cs"/>
          <w:spacing w:val="-2"/>
          <w:rtl/>
        </w:rPr>
        <w:t> </w:t>
      </w:r>
      <w:r w:rsidRPr="0020525E">
        <w:rPr>
          <w:spacing w:val="-2"/>
          <w:rtl/>
        </w:rPr>
        <w:t>الإدارات"؛</w:t>
      </w:r>
    </w:p>
    <w:p w:rsidR="003514E6" w:rsidRPr="004D22E6" w:rsidRDefault="003514E6" w:rsidP="003514E6">
      <w:pPr>
        <w:rPr>
          <w:rtl/>
          <w:lang w:bidi="ar-EG"/>
        </w:rPr>
      </w:pPr>
      <w:r w:rsidRPr="004D22E6">
        <w:rPr>
          <w:rFonts w:hint="cs"/>
          <w:i/>
          <w:iCs/>
          <w:rtl/>
          <w:lang w:bidi="ar-EG"/>
        </w:rPr>
        <w:t>ج</w:t>
      </w:r>
      <w:r w:rsidRPr="004D22E6">
        <w:rPr>
          <w:i/>
          <w:iCs/>
          <w:rtl/>
          <w:lang w:bidi="ar-EG"/>
        </w:rPr>
        <w:t>)</w:t>
      </w:r>
      <w:r w:rsidRPr="004D22E6">
        <w:rPr>
          <w:rtl/>
          <w:lang w:bidi="ar-EG"/>
        </w:rPr>
        <w:tab/>
      </w:r>
      <w:r w:rsidRPr="004D22E6">
        <w:rPr>
          <w:rtl/>
        </w:rPr>
        <w:t>أن المادة</w:t>
      </w:r>
      <w:r w:rsidRPr="004D22E6">
        <w:rPr>
          <w:rFonts w:hint="cs"/>
          <w:rtl/>
        </w:rPr>
        <w:t> </w:t>
      </w:r>
      <w:r w:rsidRPr="004D22E6">
        <w:rPr>
          <w:b/>
          <w:bCs/>
        </w:rPr>
        <w:t>18</w:t>
      </w:r>
      <w:r w:rsidRPr="004D22E6">
        <w:rPr>
          <w:rtl/>
        </w:rPr>
        <w:t xml:space="preserve"> تحدد السلطات </w:t>
      </w:r>
      <w:r w:rsidRPr="004D22E6">
        <w:rPr>
          <w:rFonts w:hint="cs"/>
          <w:rtl/>
        </w:rPr>
        <w:t>التي ترخص تشغيل محطات في أي أراضٍ بعينها</w:t>
      </w:r>
      <w:r w:rsidRPr="004D22E6">
        <w:rPr>
          <w:rtl/>
        </w:rPr>
        <w:t>؛</w:t>
      </w:r>
    </w:p>
    <w:p w:rsidR="003514E6" w:rsidRPr="004D22E6" w:rsidRDefault="003514E6" w:rsidP="003514E6">
      <w:pPr>
        <w:rPr>
          <w:rtl/>
          <w:lang w:bidi="ar-EG"/>
        </w:rPr>
      </w:pPr>
      <w:r w:rsidRPr="004D22E6">
        <w:rPr>
          <w:rFonts w:hint="cs"/>
          <w:i/>
          <w:iCs/>
          <w:rtl/>
          <w:lang w:bidi="ar-EG"/>
        </w:rPr>
        <w:t xml:space="preserve">د </w:t>
      </w:r>
      <w:r w:rsidRPr="004D22E6">
        <w:rPr>
          <w:i/>
          <w:iCs/>
          <w:rtl/>
          <w:lang w:bidi="ar-EG"/>
        </w:rPr>
        <w:t>)</w:t>
      </w:r>
      <w:r w:rsidRPr="004D22E6">
        <w:rPr>
          <w:rtl/>
          <w:lang w:bidi="ar-EG"/>
        </w:rPr>
        <w:tab/>
      </w:r>
      <w:r w:rsidRPr="004D22E6">
        <w:rPr>
          <w:rtl/>
        </w:rPr>
        <w:t xml:space="preserve">حق كل دولة عضو في </w:t>
      </w:r>
      <w:r w:rsidRPr="004D22E6">
        <w:rPr>
          <w:rFonts w:hint="cs"/>
          <w:rtl/>
        </w:rPr>
        <w:t xml:space="preserve">اتخاذ قرار بشأن </w:t>
      </w:r>
      <w:r w:rsidRPr="004D22E6">
        <w:rPr>
          <w:rtl/>
        </w:rPr>
        <w:t>مشاركتها في هذه الأنظمة والتزامات الكيانات والمنظمات التي تقدم خدمات اتصالات دولية أو</w:t>
      </w:r>
      <w:r w:rsidRPr="004D22E6">
        <w:rPr>
          <w:rFonts w:hint="cs"/>
          <w:rtl/>
        </w:rPr>
        <w:t> </w:t>
      </w:r>
      <w:r w:rsidRPr="004D22E6">
        <w:rPr>
          <w:rtl/>
        </w:rPr>
        <w:t xml:space="preserve">وطنية بواسطة هذه الأنظمة </w:t>
      </w:r>
      <w:r w:rsidRPr="004D22E6">
        <w:rPr>
          <w:rFonts w:hint="cs"/>
          <w:rtl/>
        </w:rPr>
        <w:t>بالامتثال</w:t>
      </w:r>
      <w:r w:rsidRPr="004D22E6">
        <w:rPr>
          <w:rtl/>
        </w:rPr>
        <w:t xml:space="preserve"> </w:t>
      </w:r>
      <w:r w:rsidRPr="004D22E6">
        <w:rPr>
          <w:rFonts w:hint="cs"/>
          <w:rtl/>
        </w:rPr>
        <w:t>ل</w:t>
      </w:r>
      <w:r w:rsidRPr="004D22E6">
        <w:rPr>
          <w:rtl/>
        </w:rPr>
        <w:t xml:space="preserve">لشروط القانونية والمالية والتنظيمية </w:t>
      </w:r>
      <w:r w:rsidRPr="004D22E6">
        <w:rPr>
          <w:i/>
          <w:iCs/>
          <w:rtl/>
        </w:rPr>
        <w:t xml:space="preserve">للإدارات التي </w:t>
      </w:r>
      <w:r w:rsidRPr="004D22E6">
        <w:rPr>
          <w:rFonts w:hint="cs"/>
          <w:i/>
          <w:iCs/>
          <w:rtl/>
        </w:rPr>
        <w:t>يتم التصريح بهذه</w:t>
      </w:r>
      <w:r w:rsidRPr="004D22E6">
        <w:rPr>
          <w:i/>
          <w:iCs/>
          <w:rtl/>
        </w:rPr>
        <w:t xml:space="preserve"> الخدمات </w:t>
      </w:r>
      <w:r w:rsidRPr="004D22E6">
        <w:rPr>
          <w:rFonts w:hint="cs"/>
          <w:i/>
          <w:iCs/>
          <w:rtl/>
        </w:rPr>
        <w:t>في</w:t>
      </w:r>
      <w:r w:rsidRPr="004D22E6">
        <w:rPr>
          <w:rFonts w:hint="eastAsia"/>
          <w:rtl/>
        </w:rPr>
        <w:t> </w:t>
      </w:r>
      <w:r w:rsidRPr="004D22E6">
        <w:rPr>
          <w:rFonts w:hint="cs"/>
          <w:i/>
          <w:iCs/>
          <w:rtl/>
        </w:rPr>
        <w:t>أراضيها</w:t>
      </w:r>
      <w:r w:rsidRPr="004D22E6">
        <w:rPr>
          <w:rtl/>
          <w:lang w:bidi="ar-EG"/>
        </w:rPr>
        <w:t>؛</w:t>
      </w:r>
    </w:p>
    <w:p w:rsidR="003514E6" w:rsidRPr="004D22E6" w:rsidRDefault="003514E6" w:rsidP="003514E6">
      <w:pPr>
        <w:rPr>
          <w:rtl/>
          <w:lang w:bidi="ar-EG"/>
        </w:rPr>
      </w:pPr>
      <w:r w:rsidRPr="004D22E6">
        <w:rPr>
          <w:rFonts w:hint="cs"/>
          <w:i/>
          <w:iCs/>
          <w:rtl/>
          <w:lang w:bidi="ar-EG"/>
        </w:rPr>
        <w:t>ﻫ</w:t>
      </w:r>
      <w:r w:rsidRPr="004D22E6">
        <w:rPr>
          <w:i/>
          <w:iCs/>
          <w:rtl/>
          <w:lang w:bidi="ar-EG"/>
        </w:rPr>
        <w:t xml:space="preserve"> )</w:t>
      </w:r>
      <w:r w:rsidRPr="004D22E6">
        <w:rPr>
          <w:rtl/>
          <w:lang w:bidi="ar-EG"/>
        </w:rPr>
        <w:tab/>
      </w:r>
      <w:r w:rsidRPr="004D22E6">
        <w:rPr>
          <w:rFonts w:hint="cs"/>
          <w:rtl/>
        </w:rPr>
        <w:t>أن الرقم</w:t>
      </w:r>
      <w:r w:rsidRPr="004D22E6">
        <w:rPr>
          <w:rFonts w:hint="eastAsia"/>
          <w:rtl/>
        </w:rPr>
        <w:t> </w:t>
      </w:r>
      <w:r w:rsidRPr="004D22E6">
        <w:rPr>
          <w:b/>
          <w:bCs/>
        </w:rPr>
        <w:t>516B.5</w:t>
      </w:r>
      <w:r w:rsidRPr="004D22E6">
        <w:rPr>
          <w:rFonts w:hint="cs"/>
          <w:rtl/>
        </w:rPr>
        <w:t xml:space="preserve"> يحدد نطاقات للتطبيقات عالية الكثافة في الخدمة الثابتة</w:t>
      </w:r>
      <w:r w:rsidRPr="004D22E6">
        <w:rPr>
          <w:rFonts w:hint="eastAsia"/>
          <w:rtl/>
        </w:rPr>
        <w:t> </w:t>
      </w:r>
      <w:r w:rsidRPr="004D22E6">
        <w:rPr>
          <w:rFonts w:hint="cs"/>
          <w:rtl/>
        </w:rPr>
        <w:t>الس</w:t>
      </w:r>
      <w:bookmarkStart w:id="0" w:name="_GoBack"/>
      <w:bookmarkEnd w:id="0"/>
      <w:r w:rsidRPr="004D22E6">
        <w:rPr>
          <w:rFonts w:hint="cs"/>
          <w:rtl/>
        </w:rPr>
        <w:t>اتلية؛</w:t>
      </w:r>
    </w:p>
    <w:p w:rsidR="003514E6" w:rsidRPr="004D22E6" w:rsidRDefault="003514E6" w:rsidP="003514E6">
      <w:pPr>
        <w:rPr>
          <w:rtl/>
          <w:lang w:bidi="ar-EG"/>
        </w:rPr>
      </w:pPr>
      <w:r w:rsidRPr="004D22E6">
        <w:rPr>
          <w:rFonts w:hint="cs"/>
          <w:i/>
          <w:iCs/>
          <w:rtl/>
          <w:lang w:bidi="ar-EG"/>
        </w:rPr>
        <w:t xml:space="preserve">و </w:t>
      </w:r>
      <w:r w:rsidRPr="004D22E6">
        <w:rPr>
          <w:i/>
          <w:iCs/>
          <w:rtl/>
          <w:lang w:bidi="ar-EG"/>
        </w:rPr>
        <w:t>)</w:t>
      </w:r>
      <w:r w:rsidRPr="004D22E6">
        <w:rPr>
          <w:rtl/>
          <w:lang w:bidi="ar-EG"/>
        </w:rPr>
        <w:tab/>
      </w:r>
      <w:r w:rsidRPr="004D22E6">
        <w:rPr>
          <w:rFonts w:hint="cs"/>
          <w:rtl/>
        </w:rPr>
        <w:t>أن التوزيعات للخدمة الثابتة الساتلية في بعض هذه النطاقات تقوم على أساس أولي مشترك مع توزيعات الخدمتين الثابتة والمتنقلة وغيرهما من</w:t>
      </w:r>
      <w:r w:rsidRPr="004D22E6">
        <w:rPr>
          <w:rFonts w:hint="eastAsia"/>
          <w:rtl/>
        </w:rPr>
        <w:t> </w:t>
      </w:r>
      <w:r w:rsidRPr="004D22E6">
        <w:rPr>
          <w:rFonts w:hint="cs"/>
          <w:rtl/>
        </w:rPr>
        <w:t>الخدمات؛</w:t>
      </w:r>
    </w:p>
    <w:p w:rsidR="003514E6" w:rsidRPr="004D22E6" w:rsidRDefault="003514E6" w:rsidP="003514E6">
      <w:pPr>
        <w:rPr>
          <w:rtl/>
          <w:lang w:bidi="ar-EG"/>
        </w:rPr>
      </w:pPr>
      <w:r w:rsidRPr="004D22E6">
        <w:rPr>
          <w:rFonts w:hint="cs"/>
          <w:i/>
          <w:iCs/>
          <w:rtl/>
          <w:lang w:bidi="ar-EG"/>
        </w:rPr>
        <w:lastRenderedPageBreak/>
        <w:t xml:space="preserve">ز </w:t>
      </w:r>
      <w:r w:rsidRPr="004D22E6">
        <w:rPr>
          <w:i/>
          <w:iCs/>
          <w:rtl/>
          <w:lang w:bidi="ar-EG"/>
        </w:rPr>
        <w:t>)</w:t>
      </w:r>
      <w:r w:rsidRPr="004D22E6">
        <w:rPr>
          <w:rtl/>
          <w:lang w:bidi="ar-EG"/>
        </w:rPr>
        <w:tab/>
      </w:r>
      <w:r w:rsidRPr="004D22E6">
        <w:rPr>
          <w:rFonts w:hint="cs"/>
          <w:rtl/>
        </w:rPr>
        <w:t>أن هذا التحديد لا يحول دون استخدام هذه النطاقات من جانب خدمات أخرى أو تطبيقات أخرى في الخدمة الثابتة الساتلية، ولا يحدد أي أولوية بين مستعملي هذه النطاقات في لوائح</w:t>
      </w:r>
      <w:r w:rsidRPr="004D22E6">
        <w:rPr>
          <w:rFonts w:hint="eastAsia"/>
          <w:rtl/>
        </w:rPr>
        <w:t> </w:t>
      </w:r>
      <w:r w:rsidRPr="004D22E6">
        <w:rPr>
          <w:rFonts w:hint="cs"/>
          <w:rtl/>
        </w:rPr>
        <w:t>الراديو؛</w:t>
      </w:r>
    </w:p>
    <w:p w:rsidR="003514E6" w:rsidRPr="004D22E6" w:rsidRDefault="003514E6" w:rsidP="003514E6">
      <w:pPr>
        <w:rPr>
          <w:rtl/>
          <w:lang w:bidi="ar-EG"/>
        </w:rPr>
      </w:pPr>
      <w:r w:rsidRPr="004D22E6">
        <w:rPr>
          <w:rFonts w:hint="cs"/>
          <w:i/>
          <w:iCs/>
          <w:rtl/>
          <w:lang w:bidi="ar-EG"/>
        </w:rPr>
        <w:t>ح</w:t>
      </w:r>
      <w:r w:rsidRPr="004D22E6">
        <w:rPr>
          <w:i/>
          <w:iCs/>
          <w:rtl/>
          <w:lang w:bidi="ar-EG"/>
        </w:rPr>
        <w:t>)</w:t>
      </w:r>
      <w:r w:rsidRPr="004D22E6">
        <w:rPr>
          <w:rtl/>
          <w:lang w:bidi="ar-EG"/>
        </w:rPr>
        <w:tab/>
      </w:r>
      <w:r w:rsidRPr="004D22E6">
        <w:rPr>
          <w:rFonts w:hint="cs"/>
          <w:rtl/>
        </w:rPr>
        <w:t>أن كثيراً من أنظمة الخدمة الثابتة الساتلية التي تستعمل أنماطاً أخرى من المحطات الأرضية وتتمتع بخصائص أخرى قد وُضعت في الخدمة فعلاً أو</w:t>
      </w:r>
      <w:r w:rsidRPr="004D22E6">
        <w:rPr>
          <w:rFonts w:hint="eastAsia"/>
          <w:rtl/>
        </w:rPr>
        <w:t> </w:t>
      </w:r>
      <w:r w:rsidRPr="004D22E6">
        <w:rPr>
          <w:rFonts w:hint="cs"/>
          <w:rtl/>
        </w:rPr>
        <w:t>من المقرر وضعها في الخدمة في بعض نطاقات التردد المحددة للتطبيقات عالية الكثافة في</w:t>
      </w:r>
      <w:r w:rsidRPr="004D22E6">
        <w:rPr>
          <w:rFonts w:hint="eastAsia"/>
          <w:rtl/>
        </w:rPr>
        <w:t> </w:t>
      </w:r>
      <w:r w:rsidRPr="004D22E6">
        <w:rPr>
          <w:rFonts w:hint="cs"/>
          <w:rtl/>
        </w:rPr>
        <w:t>الخدمة الثابتة الساتلية المبينة في</w:t>
      </w:r>
      <w:r w:rsidRPr="004D22E6">
        <w:rPr>
          <w:rFonts w:hint="eastAsia"/>
          <w:rtl/>
        </w:rPr>
        <w:t> </w:t>
      </w:r>
      <w:r w:rsidRPr="004D22E6">
        <w:rPr>
          <w:rFonts w:hint="cs"/>
          <w:rtl/>
        </w:rPr>
        <w:t>الرقم</w:t>
      </w:r>
      <w:r w:rsidRPr="004D22E6">
        <w:rPr>
          <w:rFonts w:hint="eastAsia"/>
          <w:rtl/>
        </w:rPr>
        <w:t> </w:t>
      </w:r>
      <w:r w:rsidRPr="004D22E6">
        <w:rPr>
          <w:b/>
          <w:bCs/>
        </w:rPr>
        <w:t>516B.5</w:t>
      </w:r>
      <w:r w:rsidRPr="004D22E6">
        <w:rPr>
          <w:rFonts w:hint="cs"/>
          <w:rtl/>
        </w:rPr>
        <w:t>؛</w:t>
      </w:r>
    </w:p>
    <w:p w:rsidR="003514E6" w:rsidRPr="004D22E6" w:rsidRDefault="003514E6" w:rsidP="003514E6">
      <w:pPr>
        <w:rPr>
          <w:rtl/>
          <w:lang w:bidi="ar-EG"/>
        </w:rPr>
      </w:pPr>
      <w:r w:rsidRPr="004D22E6">
        <w:rPr>
          <w:rFonts w:hint="cs"/>
          <w:i/>
          <w:iCs/>
          <w:rtl/>
          <w:lang w:bidi="ar-EG"/>
        </w:rPr>
        <w:t>ط</w:t>
      </w:r>
      <w:r w:rsidRPr="004D22E6">
        <w:rPr>
          <w:i/>
          <w:iCs/>
          <w:rtl/>
          <w:lang w:bidi="ar-EG"/>
        </w:rPr>
        <w:t>)</w:t>
      </w:r>
      <w:r w:rsidRPr="004D22E6">
        <w:rPr>
          <w:rtl/>
          <w:lang w:bidi="ar-EG"/>
        </w:rPr>
        <w:tab/>
      </w:r>
      <w:r w:rsidRPr="004D22E6">
        <w:rPr>
          <w:rFonts w:hint="cs"/>
          <w:rtl/>
        </w:rPr>
        <w:t>أن من المتوقع أن تنشر المحطات التي تستعمل التطبيقات عالية الكثافة في الخدمة الثابتة الساتلية بأعداد كبيرة في</w:t>
      </w:r>
      <w:r w:rsidRPr="004D22E6">
        <w:rPr>
          <w:rFonts w:hint="eastAsia"/>
          <w:rtl/>
        </w:rPr>
        <w:t> </w:t>
      </w:r>
      <w:r w:rsidRPr="004D22E6">
        <w:rPr>
          <w:rFonts w:hint="cs"/>
          <w:rtl/>
        </w:rPr>
        <w:t>مناطق جغرافية واسعة حضرية وشبه حضرية</w:t>
      </w:r>
      <w:r w:rsidRPr="004D22E6">
        <w:rPr>
          <w:rFonts w:hint="eastAsia"/>
          <w:rtl/>
        </w:rPr>
        <w:t> </w:t>
      </w:r>
      <w:r w:rsidRPr="004D22E6">
        <w:rPr>
          <w:rFonts w:hint="cs"/>
          <w:rtl/>
        </w:rPr>
        <w:t>وريفية</w:t>
      </w:r>
      <w:r w:rsidRPr="004D22E6">
        <w:rPr>
          <w:rFonts w:hint="cs"/>
          <w:rtl/>
          <w:lang w:bidi="ar-EG"/>
        </w:rPr>
        <w:t>،</w:t>
      </w:r>
    </w:p>
    <w:p w:rsidR="003514E6" w:rsidRPr="004D22E6" w:rsidRDefault="003514E6" w:rsidP="003514E6">
      <w:pPr>
        <w:pStyle w:val="Call"/>
        <w:rPr>
          <w:rtl/>
          <w:lang w:bidi="ar-EG"/>
        </w:rPr>
      </w:pPr>
      <w:r w:rsidRPr="004D22E6">
        <w:rPr>
          <w:rFonts w:hint="cs"/>
          <w:rtl/>
          <w:lang w:bidi="ar-EG"/>
        </w:rPr>
        <w:t>وإذ تلاحظ</w:t>
      </w:r>
    </w:p>
    <w:p w:rsidR="003514E6" w:rsidRPr="004D22E6" w:rsidRDefault="003514E6" w:rsidP="003514E6">
      <w:pPr>
        <w:rPr>
          <w:rtl/>
        </w:rPr>
      </w:pPr>
      <w:r w:rsidRPr="004D22E6">
        <w:rPr>
          <w:rFonts w:hint="cs"/>
          <w:i/>
          <w:iCs/>
          <w:rtl/>
          <w:lang w:bidi="ar-EG"/>
        </w:rPr>
        <w:t xml:space="preserve"> </w:t>
      </w:r>
      <w:r w:rsidRPr="004D22E6">
        <w:rPr>
          <w:i/>
          <w:iCs/>
          <w:rtl/>
          <w:lang w:bidi="ar-EG"/>
        </w:rPr>
        <w:t>أ )</w:t>
      </w:r>
      <w:r w:rsidRPr="004D22E6">
        <w:rPr>
          <w:rtl/>
          <w:lang w:bidi="ar-EG"/>
        </w:rPr>
        <w:tab/>
      </w:r>
      <w:r w:rsidRPr="004D22E6">
        <w:rPr>
          <w:rFonts w:hint="cs"/>
          <w:rtl/>
        </w:rPr>
        <w:t xml:space="preserve">أن لوائح الراديو تنص، في الحالات التي تستعمل فيها المحطات الأرضية للخدمة الثابتة الساتلية نطاقات على أساس أولي مشترك بالتقاسم مع خدمات الأرض، على ضرورة </w:t>
      </w:r>
      <w:r>
        <w:rPr>
          <w:rFonts w:hint="cs"/>
          <w:rtl/>
        </w:rPr>
        <w:t>تقديم بطاقات تبليغ بشكل منفرد بشأن تخصيصات التردد</w:t>
      </w:r>
      <w:r w:rsidRPr="004D22E6">
        <w:rPr>
          <w:rFonts w:hint="cs"/>
          <w:rtl/>
        </w:rPr>
        <w:t xml:space="preserve"> </w:t>
      </w:r>
      <w:r>
        <w:rPr>
          <w:rFonts w:hint="cs"/>
          <w:rtl/>
        </w:rPr>
        <w:t>لل</w:t>
      </w:r>
      <w:r w:rsidRPr="004D22E6">
        <w:rPr>
          <w:rFonts w:hint="cs"/>
          <w:rtl/>
        </w:rPr>
        <w:t>محطات الأرضية للخدمة الثابتة الساتلية عندما يمتد كفاف تنسيقها إلى أراضي إدارة</w:t>
      </w:r>
      <w:r w:rsidRPr="004D22E6">
        <w:rPr>
          <w:rFonts w:hint="eastAsia"/>
          <w:rtl/>
        </w:rPr>
        <w:t> </w:t>
      </w:r>
      <w:r w:rsidRPr="004D22E6">
        <w:rPr>
          <w:rFonts w:hint="cs"/>
          <w:rtl/>
        </w:rPr>
        <w:t>أخرى؛</w:t>
      </w:r>
    </w:p>
    <w:p w:rsidR="003514E6" w:rsidRPr="004D22E6" w:rsidRDefault="003514E6" w:rsidP="003514E6">
      <w:pPr>
        <w:rPr>
          <w:rtl/>
        </w:rPr>
      </w:pPr>
      <w:r w:rsidRPr="004D22E6">
        <w:rPr>
          <w:rFonts w:hint="cs"/>
          <w:i/>
          <w:iCs/>
          <w:rtl/>
        </w:rPr>
        <w:t>ب)</w:t>
      </w:r>
      <w:r w:rsidRPr="004D22E6">
        <w:rPr>
          <w:rFonts w:hint="cs"/>
          <w:rtl/>
        </w:rPr>
        <w:tab/>
        <w:t>أن من المتوقع أن عملية تنسيق المحطات الأرضية للتطبيقات عالية الكثافة في الخدمة الثابتة الساتلية مع محطات الخدمة الثابتة على أساس منفرد لكل موقع على حدة بين الإدارات</w:t>
      </w:r>
      <w:r>
        <w:rPr>
          <w:rFonts w:hint="cs"/>
          <w:rtl/>
        </w:rPr>
        <w:t xml:space="preserve"> يمكن أن تكون</w:t>
      </w:r>
      <w:r w:rsidRPr="004D22E6">
        <w:rPr>
          <w:rFonts w:hint="cs"/>
          <w:rtl/>
        </w:rPr>
        <w:t xml:space="preserve"> عملية صعبة وطويلة، نظراً للخصائص العامة لتلك</w:t>
      </w:r>
      <w:r w:rsidRPr="004D22E6">
        <w:rPr>
          <w:rFonts w:hint="eastAsia"/>
          <w:rtl/>
        </w:rPr>
        <w:t> </w:t>
      </w:r>
      <w:r w:rsidRPr="004D22E6">
        <w:rPr>
          <w:rFonts w:hint="cs"/>
          <w:rtl/>
        </w:rPr>
        <w:t>المحطات؛</w:t>
      </w:r>
    </w:p>
    <w:p w:rsidR="003514E6" w:rsidRPr="004D22E6" w:rsidRDefault="003514E6" w:rsidP="003514E6">
      <w:pPr>
        <w:rPr>
          <w:rtl/>
        </w:rPr>
      </w:pPr>
      <w:r w:rsidRPr="004D22E6">
        <w:rPr>
          <w:rFonts w:hint="cs"/>
          <w:i/>
          <w:iCs/>
          <w:rtl/>
        </w:rPr>
        <w:t>ج)</w:t>
      </w:r>
      <w:r w:rsidRPr="004D22E6">
        <w:rPr>
          <w:rFonts w:hint="cs"/>
          <w:rtl/>
        </w:rPr>
        <w:tab/>
        <w:t>أن باستطاعة الإدارات، لكي تخفف العبء عنها، الاتفاق على إجراءات وأحكام مبسطة للتنسيق تطبق على عدد كبير من المحطات الأرضية المتماثلة للتطبيقات عالية الكثافة في الخدمة الثابتة الساتلية والمرتبطة بنظام ساتلي</w:t>
      </w:r>
      <w:r w:rsidRPr="004D22E6">
        <w:rPr>
          <w:rFonts w:hint="eastAsia"/>
          <w:rtl/>
        </w:rPr>
        <w:t> </w:t>
      </w:r>
      <w:r w:rsidRPr="004D22E6">
        <w:rPr>
          <w:rFonts w:hint="cs"/>
          <w:rtl/>
        </w:rPr>
        <w:t>معين؛</w:t>
      </w:r>
    </w:p>
    <w:p w:rsidR="003514E6" w:rsidRPr="004D22E6" w:rsidRDefault="003514E6" w:rsidP="003514E6">
      <w:pPr>
        <w:rPr>
          <w:rtl/>
          <w:lang w:bidi="ar-EG"/>
        </w:rPr>
      </w:pPr>
      <w:r w:rsidRPr="004D22E6">
        <w:rPr>
          <w:rFonts w:hint="cs"/>
          <w:i/>
          <w:iCs/>
          <w:rtl/>
        </w:rPr>
        <w:t>د )</w:t>
      </w:r>
      <w:r w:rsidRPr="004D22E6">
        <w:rPr>
          <w:rFonts w:hint="cs"/>
          <w:rtl/>
        </w:rPr>
        <w:tab/>
        <w:t>أن وجود نطاقات متناسقة على المستوى العالمي للتطبيقات عالية الكثافة في الخدمة الثابتة الساتلية من شأنه أن ييسر تنفيذ هذه التطبيقات وبالتالي يساعد في زيادة النفاذ العالمي إلى أقصى حد ويحقق وفورات بحكم</w:t>
      </w:r>
      <w:r w:rsidRPr="004D22E6">
        <w:rPr>
          <w:rFonts w:hint="eastAsia"/>
          <w:rtl/>
        </w:rPr>
        <w:t> </w:t>
      </w:r>
      <w:r w:rsidRPr="004D22E6">
        <w:rPr>
          <w:rFonts w:hint="cs"/>
          <w:rtl/>
        </w:rPr>
        <w:t>الحجم</w:t>
      </w:r>
      <w:r w:rsidRPr="004D22E6">
        <w:rPr>
          <w:rFonts w:hint="cs"/>
          <w:rtl/>
          <w:lang w:bidi="ar-EG"/>
        </w:rPr>
        <w:t>،</w:t>
      </w:r>
    </w:p>
    <w:p w:rsidR="003514E6" w:rsidRPr="004D22E6" w:rsidRDefault="003514E6" w:rsidP="003514E6">
      <w:pPr>
        <w:pStyle w:val="Call"/>
        <w:rPr>
          <w:rtl/>
        </w:rPr>
      </w:pPr>
      <w:r w:rsidRPr="004D22E6">
        <w:rPr>
          <w:rFonts w:hint="cs"/>
          <w:rtl/>
        </w:rPr>
        <w:t>وإذ تدرك كذلك</w:t>
      </w:r>
    </w:p>
    <w:p w:rsidR="003514E6" w:rsidRPr="004D22E6" w:rsidRDefault="003514E6" w:rsidP="003514E6">
      <w:pPr>
        <w:rPr>
          <w:rtl/>
        </w:rPr>
      </w:pPr>
      <w:r w:rsidRPr="004D22E6">
        <w:rPr>
          <w:rFonts w:hint="cs"/>
          <w:rtl/>
        </w:rPr>
        <w:t>أن التطبيقات عالية الكثافة في الخدمة الثابتة الساتلية المنفذة في شبكات وأنظمة الخدمة الثابتة الساتلية تخضع لجميع الأحكام التي تنص عليها لوائح الراديو فيما يتعلق بالخدمة الثابتة الساتلية، مثل التنسيق والتبليغ بموجب أحكام المادتين</w:t>
      </w:r>
      <w:r w:rsidRPr="004D22E6">
        <w:rPr>
          <w:rFonts w:hint="eastAsia"/>
          <w:rtl/>
        </w:rPr>
        <w:t> </w:t>
      </w:r>
      <w:r w:rsidRPr="004D22E6">
        <w:rPr>
          <w:b/>
          <w:bCs/>
        </w:rPr>
        <w:t>9</w:t>
      </w:r>
      <w:r w:rsidRPr="004D22E6">
        <w:rPr>
          <w:rFonts w:hint="cs"/>
          <w:rtl/>
        </w:rPr>
        <w:t xml:space="preserve"> و</w:t>
      </w:r>
      <w:r w:rsidRPr="004D22E6">
        <w:rPr>
          <w:b/>
          <w:bCs/>
        </w:rPr>
        <w:t>11</w:t>
      </w:r>
      <w:r w:rsidRPr="004D22E6">
        <w:rPr>
          <w:rFonts w:hint="cs"/>
          <w:rtl/>
        </w:rPr>
        <w:t>، بما</w:t>
      </w:r>
      <w:r w:rsidRPr="004D22E6">
        <w:rPr>
          <w:rFonts w:hint="eastAsia"/>
          <w:rtl/>
        </w:rPr>
        <w:t> </w:t>
      </w:r>
      <w:r w:rsidRPr="004D22E6">
        <w:rPr>
          <w:rFonts w:hint="cs"/>
          <w:rtl/>
        </w:rPr>
        <w:t>في</w:t>
      </w:r>
      <w:r w:rsidRPr="004D22E6">
        <w:rPr>
          <w:rFonts w:hint="eastAsia"/>
          <w:rtl/>
        </w:rPr>
        <w:t> </w:t>
      </w:r>
      <w:r w:rsidRPr="004D22E6">
        <w:rPr>
          <w:rFonts w:hint="cs"/>
          <w:rtl/>
        </w:rPr>
        <w:t>ذلك شروط التنسيق مع خدمات الأرض للبلدان الأخرى، وكذلك لأحكام المادتين</w:t>
      </w:r>
      <w:r w:rsidRPr="004D22E6">
        <w:rPr>
          <w:rFonts w:hint="eastAsia"/>
          <w:rtl/>
        </w:rPr>
        <w:t> </w:t>
      </w:r>
      <w:r w:rsidRPr="004D22E6">
        <w:rPr>
          <w:b/>
          <w:bCs/>
        </w:rPr>
        <w:t>21</w:t>
      </w:r>
      <w:r w:rsidRPr="004D22E6">
        <w:rPr>
          <w:rFonts w:hint="eastAsia"/>
          <w:rtl/>
        </w:rPr>
        <w:t> </w:t>
      </w:r>
      <w:r w:rsidRPr="004D22E6">
        <w:rPr>
          <w:rFonts w:hint="cs"/>
          <w:rtl/>
        </w:rPr>
        <w:t>و</w:t>
      </w:r>
      <w:r w:rsidRPr="004D22E6">
        <w:rPr>
          <w:b/>
          <w:bCs/>
        </w:rPr>
        <w:t>22</w:t>
      </w:r>
      <w:r w:rsidRPr="004D22E6">
        <w:rPr>
          <w:rFonts w:hint="cs"/>
          <w:rtl/>
        </w:rPr>
        <w:t>،</w:t>
      </w:r>
    </w:p>
    <w:p w:rsidR="003514E6" w:rsidRPr="004D22E6" w:rsidRDefault="003514E6" w:rsidP="003514E6">
      <w:pPr>
        <w:pStyle w:val="Call"/>
        <w:rPr>
          <w:rtl/>
          <w:lang w:bidi="ar-EG"/>
        </w:rPr>
      </w:pPr>
      <w:r w:rsidRPr="004D22E6">
        <w:rPr>
          <w:rFonts w:hint="cs"/>
          <w:rtl/>
          <w:lang w:bidi="ar-EG"/>
        </w:rPr>
        <w:t>ت</w:t>
      </w:r>
      <w:r w:rsidRPr="004D22E6">
        <w:rPr>
          <w:rtl/>
          <w:lang w:bidi="ar-EG"/>
        </w:rPr>
        <w:t>قرر</w:t>
      </w:r>
      <w:r w:rsidRPr="004D22E6">
        <w:rPr>
          <w:rFonts w:hint="cs"/>
          <w:rtl/>
          <w:lang w:bidi="ar-EG"/>
        </w:rPr>
        <w:t xml:space="preserve"> أن تدعو لجان دراسات</w:t>
      </w:r>
      <w:r>
        <w:rPr>
          <w:rFonts w:hint="cs"/>
          <w:rtl/>
          <w:lang w:bidi="ar-EG"/>
        </w:rPr>
        <w:t xml:space="preserve"> قطاع</w:t>
      </w:r>
      <w:r w:rsidRPr="004D22E6">
        <w:rPr>
          <w:rFonts w:hint="cs"/>
          <w:rtl/>
          <w:lang w:bidi="ar-EG"/>
        </w:rPr>
        <w:t xml:space="preserve"> </w:t>
      </w:r>
      <w:r>
        <w:rPr>
          <w:rFonts w:hint="cs"/>
          <w:rtl/>
          <w:lang w:bidi="ar-EG"/>
        </w:rPr>
        <w:t>الاتصالات الراديوية المعنية إلى</w:t>
      </w:r>
    </w:p>
    <w:p w:rsidR="003514E6" w:rsidRPr="004D22E6" w:rsidRDefault="003514E6" w:rsidP="0036519B">
      <w:pPr>
        <w:rPr>
          <w:rtl/>
          <w:lang w:bidi="ar-EG"/>
        </w:rPr>
      </w:pPr>
      <w:r w:rsidRPr="004D22E6">
        <w:t>1</w:t>
      </w:r>
      <w:r w:rsidRPr="004D22E6">
        <w:tab/>
      </w:r>
      <w:r>
        <w:rPr>
          <w:rFonts w:hint="cs"/>
          <w:rtl/>
        </w:rPr>
        <w:t xml:space="preserve">إجراء دراسات لبحث مدى الحاجة إلى تدابير إضافية ممكنة </w:t>
      </w:r>
      <w:r w:rsidR="00E20527">
        <w:rPr>
          <w:rFonts w:hint="cs"/>
          <w:rtl/>
        </w:rPr>
        <w:t>لتقتصر</w:t>
      </w:r>
      <w:r>
        <w:rPr>
          <w:rFonts w:hint="cs"/>
          <w:rtl/>
        </w:rPr>
        <w:t xml:space="preserve"> إرسالات</w:t>
      </w:r>
      <w:r>
        <w:rPr>
          <w:rFonts w:hint="cs"/>
          <w:rtl/>
          <w:lang w:bidi="ar-EG"/>
        </w:rPr>
        <w:t xml:space="preserve"> </w:t>
      </w:r>
      <w:r>
        <w:rPr>
          <w:rFonts w:hint="cs"/>
          <w:rtl/>
        </w:rPr>
        <w:t xml:space="preserve">الوصلة الصاعدة </w:t>
      </w:r>
      <w:r w:rsidR="0036519B">
        <w:rPr>
          <w:rFonts w:hint="cs"/>
          <w:rtl/>
        </w:rPr>
        <w:t>للمحطات الطرفية</w:t>
      </w:r>
      <w:r w:rsidR="00E20527">
        <w:rPr>
          <w:rFonts w:hint="cs"/>
          <w:rtl/>
        </w:rPr>
        <w:t xml:space="preserve"> </w:t>
      </w:r>
      <w:r>
        <w:rPr>
          <w:rFonts w:hint="cs"/>
          <w:rtl/>
        </w:rPr>
        <w:t xml:space="preserve">على </w:t>
      </w:r>
      <w:r w:rsidR="00E20527">
        <w:rPr>
          <w:rFonts w:hint="cs"/>
          <w:rtl/>
        </w:rPr>
        <w:t xml:space="preserve">تلك </w:t>
      </w:r>
      <w:r w:rsidR="0036519B">
        <w:rPr>
          <w:rFonts w:hint="cs"/>
          <w:rtl/>
        </w:rPr>
        <w:t>المحطات الطرفية</w:t>
      </w:r>
      <w:r>
        <w:rPr>
          <w:rFonts w:hint="cs"/>
          <w:rtl/>
        </w:rPr>
        <w:t xml:space="preserve"> المرخص لها طبقاً للرقم</w:t>
      </w:r>
      <w:r>
        <w:rPr>
          <w:rFonts w:hint="eastAsia"/>
          <w:rtl/>
        </w:rPr>
        <w:t> </w:t>
      </w:r>
      <w:r w:rsidRPr="005115C7">
        <w:rPr>
          <w:b/>
          <w:bCs/>
        </w:rPr>
        <w:t>1.18</w:t>
      </w:r>
      <w:r>
        <w:rPr>
          <w:rFonts w:hint="cs"/>
          <w:rtl/>
          <w:lang w:bidi="ar-EG"/>
        </w:rPr>
        <w:t>؛</w:t>
      </w:r>
    </w:p>
    <w:p w:rsidR="003514E6" w:rsidRDefault="003514E6" w:rsidP="0036519B">
      <w:pPr>
        <w:rPr>
          <w:rtl/>
          <w:lang w:bidi="ar-EG"/>
        </w:rPr>
      </w:pPr>
      <w:r w:rsidRPr="004D22E6">
        <w:t>2</w:t>
      </w:r>
      <w:r w:rsidRPr="004D22E6">
        <w:tab/>
      </w:r>
      <w:r w:rsidRPr="004D22E6">
        <w:rPr>
          <w:rFonts w:hint="cs"/>
          <w:rtl/>
        </w:rPr>
        <w:t>دراسة الأساليب</w:t>
      </w:r>
      <w:r>
        <w:rPr>
          <w:rFonts w:hint="cs"/>
          <w:rtl/>
        </w:rPr>
        <w:t xml:space="preserve"> الممكنة</w:t>
      </w:r>
      <w:r w:rsidRPr="004D22E6">
        <w:rPr>
          <w:rFonts w:hint="cs"/>
          <w:rtl/>
        </w:rPr>
        <w:t xml:space="preserve"> التي</w:t>
      </w:r>
      <w:r>
        <w:rPr>
          <w:rFonts w:hint="cs"/>
          <w:rtl/>
        </w:rPr>
        <w:t xml:space="preserve"> ستساعد الإدارات في إدارة التشغيل غير المرخص به </w:t>
      </w:r>
      <w:r w:rsidR="0036519B">
        <w:rPr>
          <w:rFonts w:hint="cs"/>
          <w:rtl/>
        </w:rPr>
        <w:t>للمحطات</w:t>
      </w:r>
      <w:r>
        <w:rPr>
          <w:rFonts w:hint="cs"/>
          <w:rtl/>
        </w:rPr>
        <w:t xml:space="preserve"> الأرضية</w:t>
      </w:r>
      <w:r w:rsidR="0036519B">
        <w:rPr>
          <w:rFonts w:hint="cs"/>
          <w:rtl/>
        </w:rPr>
        <w:t xml:space="preserve"> الطرفية</w:t>
      </w:r>
      <w:r>
        <w:rPr>
          <w:rFonts w:hint="cs"/>
          <w:rtl/>
        </w:rPr>
        <w:t xml:space="preserve"> المستعملة على أراضيها، والتي تكون بمثابة أداة يُسترشد بها في برنامجها الوطني لإدارة الطيف.</w:t>
      </w:r>
    </w:p>
    <w:sectPr w:rsidR="003514E6" w:rsidSect="006A644C">
      <w:headerReference w:type="default" r:id="rId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9AA" w:rsidRDefault="007D09AA" w:rsidP="00F9134D">
      <w:pPr>
        <w:spacing w:before="0" w:line="240" w:lineRule="auto"/>
      </w:pPr>
      <w:r>
        <w:separator/>
      </w:r>
    </w:p>
  </w:endnote>
  <w:endnote w:type="continuationSeparator" w:id="0">
    <w:p w:rsidR="007D09AA" w:rsidRDefault="007D09AA"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9AA" w:rsidRDefault="007D09AA" w:rsidP="00F9134D">
      <w:pPr>
        <w:spacing w:before="0" w:line="240" w:lineRule="auto"/>
      </w:pPr>
      <w:r>
        <w:separator/>
      </w:r>
    </w:p>
  </w:footnote>
  <w:footnote w:type="continuationSeparator" w:id="0">
    <w:p w:rsidR="007D09AA" w:rsidRDefault="007D09AA" w:rsidP="00F9134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EA5738">
    <w:pPr>
      <w:pStyle w:val="Header"/>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BE14D4">
      <w:rPr>
        <w:rFonts w:cs="Times New Roman"/>
        <w:noProof/>
        <w:sz w:val="20"/>
        <w:szCs w:val="20"/>
        <w:rtl/>
      </w:rPr>
      <w:t>2</w:t>
    </w:r>
    <w:r w:rsidRPr="006A644C">
      <w:rPr>
        <w:rFonts w:cs="Times New Roman"/>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9AA"/>
    <w:rsid w:val="000041EF"/>
    <w:rsid w:val="00090574"/>
    <w:rsid w:val="000A7B06"/>
    <w:rsid w:val="000B2EEA"/>
    <w:rsid w:val="00160530"/>
    <w:rsid w:val="001608E8"/>
    <w:rsid w:val="00173915"/>
    <w:rsid w:val="001952E0"/>
    <w:rsid w:val="001D17A2"/>
    <w:rsid w:val="0020525E"/>
    <w:rsid w:val="0023283D"/>
    <w:rsid w:val="002978F4"/>
    <w:rsid w:val="002B028D"/>
    <w:rsid w:val="002C116F"/>
    <w:rsid w:val="002E625E"/>
    <w:rsid w:val="002E6541"/>
    <w:rsid w:val="003514E6"/>
    <w:rsid w:val="00357185"/>
    <w:rsid w:val="0036519B"/>
    <w:rsid w:val="003F678F"/>
    <w:rsid w:val="0042686F"/>
    <w:rsid w:val="00443869"/>
    <w:rsid w:val="004E7162"/>
    <w:rsid w:val="00501E0E"/>
    <w:rsid w:val="0055516A"/>
    <w:rsid w:val="00583FE7"/>
    <w:rsid w:val="005A668A"/>
    <w:rsid w:val="0060468A"/>
    <w:rsid w:val="006A644C"/>
    <w:rsid w:val="006B7027"/>
    <w:rsid w:val="006C51D4"/>
    <w:rsid w:val="006F63F7"/>
    <w:rsid w:val="00706D7A"/>
    <w:rsid w:val="007D09AA"/>
    <w:rsid w:val="007E24ED"/>
    <w:rsid w:val="00803F08"/>
    <w:rsid w:val="008235CD"/>
    <w:rsid w:val="00850B5D"/>
    <w:rsid w:val="008513CB"/>
    <w:rsid w:val="008F1515"/>
    <w:rsid w:val="00951C29"/>
    <w:rsid w:val="00952D2C"/>
    <w:rsid w:val="00982B28"/>
    <w:rsid w:val="009B581E"/>
    <w:rsid w:val="00A8197E"/>
    <w:rsid w:val="00A90068"/>
    <w:rsid w:val="00A97F94"/>
    <w:rsid w:val="00B23259"/>
    <w:rsid w:val="00B507B5"/>
    <w:rsid w:val="00B60766"/>
    <w:rsid w:val="00BE14D4"/>
    <w:rsid w:val="00BF2C38"/>
    <w:rsid w:val="00C51DAD"/>
    <w:rsid w:val="00C674FE"/>
    <w:rsid w:val="00C75633"/>
    <w:rsid w:val="00C95648"/>
    <w:rsid w:val="00CE2EE1"/>
    <w:rsid w:val="00CF3FFD"/>
    <w:rsid w:val="00D01BDF"/>
    <w:rsid w:val="00D77D0F"/>
    <w:rsid w:val="00D86118"/>
    <w:rsid w:val="00DA1CF0"/>
    <w:rsid w:val="00DC24B4"/>
    <w:rsid w:val="00DC4055"/>
    <w:rsid w:val="00DE7D8E"/>
    <w:rsid w:val="00DF16DC"/>
    <w:rsid w:val="00E17033"/>
    <w:rsid w:val="00E20527"/>
    <w:rsid w:val="00E45211"/>
    <w:rsid w:val="00EA5738"/>
    <w:rsid w:val="00ED4D2B"/>
    <w:rsid w:val="00F401D0"/>
    <w:rsid w:val="00F84366"/>
    <w:rsid w:val="00F85089"/>
    <w:rsid w:val="00F913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B0B7AA5-F7BC-4E2E-B5FE-3CFF4051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A90068"/>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2D2C"/>
    <w:pPr>
      <w:keepNext/>
      <w:spacing w:before="60" w:after="60" w:line="260" w:lineRule="exact"/>
      <w:jc w:val="center"/>
    </w:pPr>
    <w:rPr>
      <w:b/>
      <w:bCs/>
      <w:sz w:val="20"/>
      <w:szCs w:val="26"/>
    </w:rPr>
  </w:style>
  <w:style w:type="paragraph" w:customStyle="1" w:styleId="Tabletexte">
    <w:name w:val="Table texte"/>
    <w:basedOn w:val="Normal"/>
    <w:qFormat/>
    <w:rsid w:val="00952D2C"/>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Desktop\FINRES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26D55-FCED-4050-A3E1-79587C62F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FINRES_RA15.dotx</Template>
  <TotalTime>13</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Gomez, Yoanni</cp:lastModifiedBy>
  <cp:revision>11</cp:revision>
  <dcterms:created xsi:type="dcterms:W3CDTF">2015-10-30T12:55:00Z</dcterms:created>
  <dcterms:modified xsi:type="dcterms:W3CDTF">2015-11-04T16:12:00Z</dcterms:modified>
</cp:coreProperties>
</file>