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>
        <w:trPr>
          <w:cantSplit/>
        </w:trPr>
        <w:tc>
          <w:tcPr>
            <w:tcW w:w="10031" w:type="dxa"/>
          </w:tcPr>
          <w:p w:rsidR="0075573C" w:rsidRDefault="00FE46F9" w:rsidP="000F0F9A">
            <w:pPr>
              <w:pStyle w:val="Title1"/>
            </w:pPr>
            <w:bookmarkStart w:id="0" w:name="dtitle1" w:colFirst="0" w:colLast="0"/>
            <w:r w:rsidRPr="00AD7EB9">
              <w:t xml:space="preserve">RESOLUCIÓN UIT-R </w:t>
            </w:r>
            <w:r w:rsidR="000F0F9A">
              <w:t>66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FE46F9" w:rsidP="000F0F9A">
            <w:pPr>
              <w:pStyle w:val="Restitle"/>
            </w:pPr>
            <w:bookmarkStart w:id="1" w:name="dtitle2" w:colFirst="0" w:colLast="0"/>
            <w:bookmarkEnd w:id="0"/>
            <w:r w:rsidRPr="00AD7EB9">
              <w:t xml:space="preserve">Estudios relativos a sistemas y aplicaciones inalámbricos </w:t>
            </w:r>
            <w:r w:rsidRPr="00AD7EB9">
              <w:br/>
              <w:t>para el desarrollo</w:t>
            </w:r>
            <w:r>
              <w:t xml:space="preserve"> </w:t>
            </w:r>
            <w:r w:rsidRPr="00AD7EB9">
              <w:t>de la Internet de las cosas</w:t>
            </w:r>
          </w:p>
        </w:tc>
      </w:tr>
    </w:tbl>
    <w:bookmarkEnd w:id="1"/>
    <w:p w:rsidR="00FE46F9" w:rsidRPr="00CD1893" w:rsidRDefault="00FE46F9" w:rsidP="00FE46F9">
      <w:pPr>
        <w:pStyle w:val="Repdate"/>
      </w:pPr>
      <w:r w:rsidRPr="00CD1893">
        <w:t>(2015)</w:t>
      </w:r>
    </w:p>
    <w:p w:rsidR="0075573C" w:rsidRPr="002B6243" w:rsidRDefault="0075573C" w:rsidP="002B6243"/>
    <w:p w:rsidR="00FE46F9" w:rsidRPr="00AD7EB9" w:rsidRDefault="00FE46F9" w:rsidP="00FE46F9">
      <w:pPr>
        <w:pStyle w:val="Normalaftertitle"/>
      </w:pPr>
      <w:r w:rsidRPr="00AD7EB9">
        <w:t>La Asamblea de Radiocomunicaciones de la UIT,</w:t>
      </w:r>
    </w:p>
    <w:p w:rsidR="00FE46F9" w:rsidRPr="00AD7EB9" w:rsidRDefault="00FE46F9" w:rsidP="00FE46F9">
      <w:pPr>
        <w:pStyle w:val="Call"/>
      </w:pPr>
      <w:r w:rsidRPr="00AD7EB9">
        <w:t>considerando</w:t>
      </w:r>
    </w:p>
    <w:p w:rsidR="00FE46F9" w:rsidRPr="00AD7EB9" w:rsidRDefault="00FE46F9" w:rsidP="00FE46F9">
      <w:r w:rsidRPr="00AD7EB9">
        <w:rPr>
          <w:i/>
          <w:iCs/>
        </w:rPr>
        <w:t>a)</w:t>
      </w:r>
      <w:r w:rsidRPr="00AD7EB9">
        <w:tab/>
        <w:t xml:space="preserve">que el mundo globalmente </w:t>
      </w:r>
      <w:r w:rsidRPr="00AD7EB9">
        <w:rPr>
          <w:lang w:eastAsia="zh-CN"/>
        </w:rPr>
        <w:t>conectado</w:t>
      </w:r>
      <w:r w:rsidRPr="00AD7EB9">
        <w:t xml:space="preserve"> de la </w:t>
      </w:r>
      <w:r>
        <w:t>«</w:t>
      </w:r>
      <w:r w:rsidRPr="00AD7EB9">
        <w:t>Internet de las cosas</w:t>
      </w:r>
      <w:r>
        <w:t>»</w:t>
      </w:r>
      <w:r w:rsidRPr="00AD7EB9">
        <w:t xml:space="preserve"> (IoT) se constru</w:t>
      </w:r>
      <w:r>
        <w:t>ye</w:t>
      </w:r>
      <w:r w:rsidRPr="00AD7EB9">
        <w:t xml:space="preserve"> sobre la conectividad y la funcionalidad que harán posibles las redes de telecomunicaciones</w:t>
      </w:r>
      <w:r w:rsidRPr="00AD7EB9">
        <w:rPr>
          <w:rFonts w:asciiTheme="majorBidi" w:hAnsiTheme="majorBidi" w:cstheme="majorBidi"/>
          <w:szCs w:val="24"/>
          <w:lang w:eastAsia="zh-CN"/>
        </w:rPr>
        <w:t>;</w:t>
      </w:r>
    </w:p>
    <w:p w:rsidR="00FE46F9" w:rsidRPr="00AD7EB9" w:rsidRDefault="00FE46F9" w:rsidP="00FE46F9">
      <w:r w:rsidRPr="00AD7EB9">
        <w:rPr>
          <w:rFonts w:asciiTheme="majorBidi" w:hAnsiTheme="majorBidi" w:cstheme="majorBidi"/>
          <w:i/>
          <w:iCs/>
          <w:szCs w:val="24"/>
        </w:rPr>
        <w:t>b)</w:t>
      </w:r>
      <w:r w:rsidRPr="00AD7EB9">
        <w:rPr>
          <w:rFonts w:asciiTheme="majorBidi" w:hAnsiTheme="majorBidi" w:cstheme="majorBidi"/>
          <w:szCs w:val="24"/>
        </w:rPr>
        <w:tab/>
      </w:r>
      <w:r w:rsidRPr="00AD7EB9">
        <w:t xml:space="preserve">que el </w:t>
      </w:r>
      <w:r>
        <w:t>creciente número de aplicaciones de IoT podrá exigir una mayor</w:t>
      </w:r>
      <w:r w:rsidRPr="00AD7EB9">
        <w:t xml:space="preserve"> velocidad de transmisión</w:t>
      </w:r>
      <w:r>
        <w:t xml:space="preserve"> (en función de para qué se utilice la IoT)</w:t>
      </w:r>
      <w:r w:rsidRPr="00AD7EB9">
        <w:t>, conectividad de los dispositivos y eficiencia energética a fin de permitir el flujo de cantidades importantes de datos entre una multitud de dispositivos;</w:t>
      </w:r>
    </w:p>
    <w:p w:rsidR="00FE46F9" w:rsidRPr="00AD7EB9" w:rsidRDefault="00FE46F9" w:rsidP="00FE46F9">
      <w:r w:rsidRPr="00AD7EB9">
        <w:rPr>
          <w:i/>
          <w:iCs/>
        </w:rPr>
        <w:t>c)</w:t>
      </w:r>
      <w:r w:rsidRPr="00AD7EB9">
        <w:tab/>
        <w:t xml:space="preserve">que la Comisión de Estudio 20 del UIT-T que trata de la «Internet de las cosas y sus aplicaciones, incluidas las ciudades </w:t>
      </w:r>
      <w:r w:rsidR="000F0F9A">
        <w:t xml:space="preserve">y comunidades </w:t>
      </w:r>
      <w:r w:rsidRPr="00AD7EB9">
        <w:t>inteligentes (SC&amp;C)»</w:t>
      </w:r>
      <w:r w:rsidRPr="00AD7EB9">
        <w:rPr>
          <w:rFonts w:cs="Segoe UI"/>
        </w:rPr>
        <w:t>,</w:t>
      </w:r>
      <w:r w:rsidRPr="00AD7EB9">
        <w:t xml:space="preserve"> está elaborando normas internacionales </w:t>
      </w:r>
      <w:r>
        <w:t>sobre</w:t>
      </w:r>
      <w:r w:rsidRPr="00AD7EB9">
        <w:t xml:space="preserve"> tecnologías IoT, </w:t>
      </w:r>
      <w:r>
        <w:t>incluidas</w:t>
      </w:r>
      <w:r w:rsidRPr="00AD7EB9">
        <w:t xml:space="preserve"> las redes de comunicaciones de máquina a máquina (M2M</w:t>
      </w:r>
      <w:r>
        <w:t>), las ciudades inteligentes y las redes de sensores ubicuo</w:t>
      </w:r>
      <w:r w:rsidRPr="00AD7EB9">
        <w:t>s (USN);</w:t>
      </w:r>
    </w:p>
    <w:p w:rsidR="00FE46F9" w:rsidRDefault="00FE46F9" w:rsidP="00FE46F9">
      <w:r w:rsidRPr="00AD7EB9">
        <w:rPr>
          <w:i/>
          <w:iCs/>
        </w:rPr>
        <w:t>d)</w:t>
      </w:r>
      <w:r w:rsidRPr="00AD7EB9">
        <w:tab/>
        <w:t xml:space="preserve">que </w:t>
      </w:r>
      <w:r>
        <w:t>las organizaciones de normalización pertinentes han elaborado normas específicamente relacionadas con las M2M y otras tecnologías que sustentan las aplicaciones de IoT;</w:t>
      </w:r>
    </w:p>
    <w:p w:rsidR="00FE46F9" w:rsidRDefault="00FE46F9" w:rsidP="00FE46F9">
      <w:r w:rsidRPr="00DA3799">
        <w:rPr>
          <w:i/>
          <w:iCs/>
        </w:rPr>
        <w:t>e)</w:t>
      </w:r>
      <w:r>
        <w:tab/>
        <w:t xml:space="preserve">que </w:t>
      </w:r>
      <w:r w:rsidRPr="00AD7EB9">
        <w:t>muchas administraciones, fabricantes de equipos y organismos de normalización están considerando tecnologías inalámbricas para su uso en la IoT en diversas bandas de frecuencias;</w:t>
      </w:r>
    </w:p>
    <w:p w:rsidR="00FE46F9" w:rsidRPr="007C23CA" w:rsidRDefault="00FE46F9" w:rsidP="00FE46F9">
      <w:r w:rsidRPr="00DA3799">
        <w:rPr>
          <w:i/>
          <w:iCs/>
        </w:rPr>
        <w:t>f)</w:t>
      </w:r>
      <w:r w:rsidRPr="00DA3799">
        <w:rPr>
          <w:i/>
          <w:iCs/>
        </w:rPr>
        <w:tab/>
      </w:r>
      <w:r>
        <w:t>que, dado que las aplicaciones de IoT tienen su origen en plataformas existentes y en evolución, funcionan en ellas e interfuncionan con esas plataformas, los trabajos que ha realizado y realiza el UIT-R sustentan inherentemente la IoT;</w:t>
      </w:r>
    </w:p>
    <w:p w:rsidR="00FE46F9" w:rsidRPr="00AD7EB9" w:rsidRDefault="00FE46F9" w:rsidP="00FE46F9">
      <w:r>
        <w:rPr>
          <w:i/>
          <w:iCs/>
        </w:rPr>
        <w:t>g</w:t>
      </w:r>
      <w:r w:rsidRPr="00AD7EB9">
        <w:rPr>
          <w:i/>
          <w:iCs/>
        </w:rPr>
        <w:t>)</w:t>
      </w:r>
      <w:r w:rsidRPr="00AD7EB9">
        <w:tab/>
        <w:t>la Recomendación UIT-R M.2002, sobre Objetivos, características y requisitos funcionales de los sistemas de sensores de área amplia y/o redes de activadores (WASN);</w:t>
      </w:r>
    </w:p>
    <w:p w:rsidR="00FE46F9" w:rsidRPr="00AD7EB9" w:rsidRDefault="00FE46F9" w:rsidP="000F0F9A">
      <w:r>
        <w:rPr>
          <w:i/>
          <w:iCs/>
        </w:rPr>
        <w:t>h</w:t>
      </w:r>
      <w:r w:rsidRPr="00AD7EB9">
        <w:rPr>
          <w:i/>
          <w:iCs/>
        </w:rPr>
        <w:t>)</w:t>
      </w:r>
      <w:r w:rsidRPr="00AD7EB9">
        <w:tab/>
        <w:t xml:space="preserve">la Recomendación UIT-R M.2083, sobre </w:t>
      </w:r>
      <w:r>
        <w:t xml:space="preserve">Visión de las IMT – </w:t>
      </w:r>
      <w:r w:rsidRPr="00AD7EB9">
        <w:t xml:space="preserve">Marco y objetivos generales de la futura evolución de las IMT </w:t>
      </w:r>
      <w:r w:rsidR="000F0F9A">
        <w:t>para</w:t>
      </w:r>
      <w:r w:rsidRPr="00AD7EB9">
        <w:t xml:space="preserve"> 2020</w:t>
      </w:r>
      <w:r w:rsidR="000F0F9A">
        <w:t xml:space="preserve"> y sistemas posteriores</w:t>
      </w:r>
      <w:r w:rsidRPr="00AD7EB9">
        <w:t>;</w:t>
      </w:r>
    </w:p>
    <w:p w:rsidR="00FE46F9" w:rsidRPr="00AD7EB9" w:rsidRDefault="00FE46F9" w:rsidP="00FE46F9">
      <w:pPr>
        <w:rPr>
          <w:b/>
          <w:lang w:eastAsia="ja-JP"/>
        </w:rPr>
      </w:pPr>
      <w:r>
        <w:rPr>
          <w:i/>
          <w:iCs/>
        </w:rPr>
        <w:t>i</w:t>
      </w:r>
      <w:r w:rsidRPr="00AD7EB9">
        <w:rPr>
          <w:i/>
          <w:iCs/>
        </w:rPr>
        <w:t>)</w:t>
      </w:r>
      <w:r w:rsidRPr="00AD7EB9">
        <w:tab/>
        <w:t>la Cuestión UIT-R 250-1/5, sobre Sistemas de acceso inalámbrico móvil que proporcionan telecomunicaciones a un gran número de sensores ubicuos y/o activadores dispersos sobre amplias zonas, así como comunicaciones de máquina a máquina, en el servicio móvil terrestre</w:t>
      </w:r>
      <w:r w:rsidRPr="00AD7EB9">
        <w:rPr>
          <w:lang w:eastAsia="ja-JP"/>
        </w:rPr>
        <w:t>;</w:t>
      </w:r>
    </w:p>
    <w:p w:rsidR="00FE46F9" w:rsidRPr="00AD7EB9" w:rsidRDefault="00FE46F9" w:rsidP="00FE46F9">
      <w:r>
        <w:rPr>
          <w:i/>
          <w:iCs/>
          <w:lang w:eastAsia="ja-JP"/>
        </w:rPr>
        <w:t>j</w:t>
      </w:r>
      <w:r w:rsidRPr="00AD7EB9">
        <w:rPr>
          <w:i/>
          <w:iCs/>
          <w:lang w:eastAsia="ja-JP"/>
        </w:rPr>
        <w:t>)</w:t>
      </w:r>
      <w:r w:rsidRPr="00AD7EB9">
        <w:rPr>
          <w:lang w:eastAsia="ja-JP"/>
        </w:rPr>
        <w:tab/>
        <w:t xml:space="preserve">el Informe UIT-R M.2370, sobre </w:t>
      </w:r>
      <w:r w:rsidRPr="00AD7EB9">
        <w:t>Estimación del tráfico IMT</w:t>
      </w:r>
      <w:r>
        <w:t xml:space="preserve"> para los años 2020 a </w:t>
      </w:r>
      <w:r w:rsidRPr="00AD7EB9">
        <w:t>2030,</w:t>
      </w:r>
    </w:p>
    <w:p w:rsidR="00FE46F9" w:rsidRPr="00AD7EB9" w:rsidRDefault="00FE46F9" w:rsidP="00FE46F9">
      <w:pPr>
        <w:pStyle w:val="Call"/>
      </w:pPr>
      <w:r w:rsidRPr="00AD7EB9">
        <w:t>reconociendo</w:t>
      </w:r>
    </w:p>
    <w:p w:rsidR="00FE46F9" w:rsidRPr="00AD7EB9" w:rsidRDefault="00FE46F9" w:rsidP="004C1B21">
      <w:pPr>
        <w:rPr>
          <w:szCs w:val="24"/>
        </w:rPr>
      </w:pPr>
      <w:r w:rsidRPr="00AD7EB9">
        <w:rPr>
          <w:i/>
          <w:iCs/>
        </w:rPr>
        <w:t>a)</w:t>
      </w:r>
      <w:r w:rsidRPr="00AD7EB9">
        <w:tab/>
        <w:t>la Resolu</w:t>
      </w:r>
      <w:r>
        <w:t>ción 197 (Busá</w:t>
      </w:r>
      <w:r w:rsidRPr="00AD7EB9">
        <w:t>n, 2014)</w:t>
      </w:r>
      <w:r w:rsidR="004C1B21">
        <w:t xml:space="preserve"> de la Conferencia de Plenipotenciarios</w:t>
      </w:r>
      <w:r w:rsidRPr="00AD7EB9">
        <w:t xml:space="preserve">, </w:t>
      </w:r>
      <w:r>
        <w:t xml:space="preserve">sobre </w:t>
      </w:r>
      <w:r w:rsidRPr="00AD7EB9">
        <w:t>Facilitación de la Internet de las cosas como preparación para un mundo globalmente conectado</w:t>
      </w:r>
      <w:r w:rsidRPr="00AD7EB9">
        <w:rPr>
          <w:szCs w:val="24"/>
          <w:lang w:eastAsia="zh-CN"/>
        </w:rPr>
        <w:t>;</w:t>
      </w:r>
    </w:p>
    <w:p w:rsidR="00FE46F9" w:rsidRDefault="00FE46F9" w:rsidP="00FE46F9">
      <w:r w:rsidRPr="00AD7EB9">
        <w:rPr>
          <w:i/>
          <w:iCs/>
        </w:rPr>
        <w:t>b)</w:t>
      </w:r>
      <w:r w:rsidRPr="00AD7EB9">
        <w:tab/>
        <w:t xml:space="preserve">el uso de diferentes bandas de frecuencias </w:t>
      </w:r>
      <w:r w:rsidR="004C1B21">
        <w:t xml:space="preserve">radioeléctricas </w:t>
      </w:r>
      <w:r w:rsidRPr="00AD7EB9">
        <w:t xml:space="preserve">por servicios de radiocomunicación, muchos de los cuales facilitan canales de comunicación, infraestructuras y </w:t>
      </w:r>
      <w:r w:rsidRPr="00AD7EB9">
        <w:lastRenderedPageBreak/>
        <w:t>capacidad que se podría utilizar en el desarrollo de la IoT con el fin de lograr un desarrollo rentable y un uso eficaz del espectro radioeléctrico</w:t>
      </w:r>
      <w:r>
        <w:t>;</w:t>
      </w:r>
    </w:p>
    <w:p w:rsidR="00FE46F9" w:rsidRDefault="00FE46F9" w:rsidP="004C1B21">
      <w:r w:rsidRPr="003A3119">
        <w:rPr>
          <w:i/>
          <w:iCs/>
        </w:rPr>
        <w:t>c)</w:t>
      </w:r>
      <w:r>
        <w:tab/>
        <w:t>que la Internet de las cosas es un concepto que engloba varias plataformas, aplicaciones y tecnologías que</w:t>
      </w:r>
      <w:r w:rsidR="004C1B21">
        <w:t xml:space="preserve"> se</w:t>
      </w:r>
      <w:r>
        <w:t xml:space="preserve"> utilizan y seguirán </w:t>
      </w:r>
      <w:r w:rsidR="004C1B21">
        <w:t>utilizándose en el contexto de</w:t>
      </w:r>
      <w:r>
        <w:t xml:space="preserve"> diversos servicios de radiocomunicaciones;</w:t>
      </w:r>
    </w:p>
    <w:p w:rsidR="00FE46F9" w:rsidRPr="00AD7EB9" w:rsidRDefault="00FE46F9" w:rsidP="004C1B21">
      <w:r w:rsidRPr="003A3119">
        <w:rPr>
          <w:i/>
          <w:iCs/>
        </w:rPr>
        <w:t>d)</w:t>
      </w:r>
      <w:r>
        <w:tab/>
        <w:t xml:space="preserve">que la implantación de la Internet de las cosas no </w:t>
      </w:r>
      <w:r w:rsidR="004C1B21">
        <w:t>requiere</w:t>
      </w:r>
      <w:r>
        <w:t xml:space="preserve"> en la actualidad</w:t>
      </w:r>
      <w:r w:rsidR="004C1B21">
        <w:t xml:space="preserve"> disposiciones reglamentarias específicas</w:t>
      </w:r>
      <w:r>
        <w:t xml:space="preserve"> </w:t>
      </w:r>
      <w:r w:rsidR="004C1B21">
        <w:t>en</w:t>
      </w:r>
      <w:r>
        <w:t xml:space="preserve"> el Reglamento de Radiocomunicaciones,</w:t>
      </w:r>
    </w:p>
    <w:p w:rsidR="00FE46F9" w:rsidRPr="00AD7EB9" w:rsidRDefault="00FE46F9" w:rsidP="00FE46F9">
      <w:pPr>
        <w:pStyle w:val="Call"/>
      </w:pPr>
      <w:r w:rsidRPr="00AD7EB9">
        <w:t>resuelve invitar al UIT-R</w:t>
      </w:r>
    </w:p>
    <w:p w:rsidR="00FE46F9" w:rsidRPr="00AD7EB9" w:rsidRDefault="00FE46F9" w:rsidP="004C1B21">
      <w:r w:rsidRPr="00AD7EB9">
        <w:t>1</w:t>
      </w:r>
      <w:r w:rsidRPr="00AD7EB9">
        <w:tab/>
        <w:t xml:space="preserve">a </w:t>
      </w:r>
      <w:r>
        <w:t>llevar</w:t>
      </w:r>
      <w:r w:rsidRPr="00AD7EB9">
        <w:t xml:space="preserve"> a cabo estudios sobre </w:t>
      </w:r>
      <w:r>
        <w:t>los aspectos técnicos y operativos de las</w:t>
      </w:r>
      <w:r w:rsidRPr="00AD7EB9">
        <w:t xml:space="preserve"> redes y sistemas de radiocomunicaciones para la </w:t>
      </w:r>
      <w:r w:rsidR="004C1B21">
        <w:t>IoT</w:t>
      </w:r>
      <w:r w:rsidRPr="00AD7EB9">
        <w:t>;</w:t>
      </w:r>
    </w:p>
    <w:p w:rsidR="00FE46F9" w:rsidRPr="00AD7EB9" w:rsidRDefault="00FE46F9" w:rsidP="00FE46F9">
      <w:r w:rsidRPr="00AD7EB9">
        <w:t>2</w:t>
      </w:r>
      <w:r w:rsidRPr="00AD7EB9">
        <w:tab/>
        <w:t>a elabor</w:t>
      </w:r>
      <w:r>
        <w:t>ar</w:t>
      </w:r>
      <w:r w:rsidRPr="00AD7EB9">
        <w:t xml:space="preserve"> las Recomendaciones</w:t>
      </w:r>
      <w:r>
        <w:t>,</w:t>
      </w:r>
      <w:r w:rsidRPr="00AD7EB9">
        <w:t xml:space="preserve"> Informes </w:t>
      </w:r>
      <w:r>
        <w:t>y/o Manuales</w:t>
      </w:r>
      <w:r w:rsidRPr="00AD7EB9">
        <w:t xml:space="preserve"> UIT-R pertinentes a partir de los estudios indicados anteriormente</w:t>
      </w:r>
      <w:r>
        <w:t>,</w:t>
      </w:r>
    </w:p>
    <w:p w:rsidR="00FE46F9" w:rsidRPr="00AD7EB9" w:rsidRDefault="00FE46F9" w:rsidP="00FE46F9">
      <w:pPr>
        <w:pStyle w:val="Call"/>
      </w:pPr>
      <w:r w:rsidRPr="00AD7EB9">
        <w:t>resuelve además</w:t>
      </w:r>
      <w:r>
        <w:t xml:space="preserve"> invitar al UIT-R</w:t>
      </w:r>
    </w:p>
    <w:p w:rsidR="00FE46F9" w:rsidRPr="00AD7EB9" w:rsidRDefault="00FE46F9" w:rsidP="004C1B21">
      <w:r>
        <w:t>a cooperar y colaborar</w:t>
      </w:r>
      <w:r w:rsidR="004C1B21">
        <w:t xml:space="preserve"> estrechamente</w:t>
      </w:r>
      <w:r>
        <w:t xml:space="preserve"> con el UIT-T y las organizaciones de normalización pertinentes,</w:t>
      </w:r>
      <w:r w:rsidRPr="00AD7EB9">
        <w:t xml:space="preserve"> </w:t>
      </w:r>
      <w:r w:rsidR="004C1B21">
        <w:t>para tener</w:t>
      </w:r>
      <w:r w:rsidRPr="00AD7EB9">
        <w:t xml:space="preserve"> en cuenta los resultados de los trabajos realizados por es</w:t>
      </w:r>
      <w:r>
        <w:t>os órganos, evitar</w:t>
      </w:r>
      <w:r w:rsidRPr="00AD7EB9">
        <w:t xml:space="preserve"> la duplicación de esfuerzos</w:t>
      </w:r>
      <w:r>
        <w:t xml:space="preserve"> con el UIT-T y minimizar las controversias con las organizaciones de normalización</w:t>
      </w:r>
      <w:r w:rsidRPr="00AD7EB9">
        <w:t>,</w:t>
      </w:r>
    </w:p>
    <w:p w:rsidR="00FE46F9" w:rsidRPr="00AD7EB9" w:rsidRDefault="00FE46F9" w:rsidP="00FE46F9">
      <w:pPr>
        <w:pStyle w:val="Call"/>
      </w:pPr>
      <w:r w:rsidRPr="00AD7EB9">
        <w:t>invita a los Miembros de la Unión</w:t>
      </w:r>
    </w:p>
    <w:p w:rsidR="00016A7C" w:rsidRPr="00C278F8" w:rsidRDefault="00FE46F9" w:rsidP="004733EC">
      <w:r w:rsidRPr="00AD7EB9">
        <w:t xml:space="preserve">a participar activamente en la </w:t>
      </w:r>
      <w:r w:rsidR="00EC7017">
        <w:t>aplicación</w:t>
      </w:r>
      <w:r w:rsidRPr="00AD7EB9">
        <w:t xml:space="preserve"> de esta Resolución, presentando, entre otros, contribuciones para su consideración por el UIT-R y facilitando información de fuentes externas al UIT-R.</w:t>
      </w:r>
    </w:p>
    <w:sectPr w:rsidR="00016A7C" w:rsidRPr="00C27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F9" w:rsidRDefault="00FE46F9">
      <w:r>
        <w:separator/>
      </w:r>
    </w:p>
  </w:endnote>
  <w:endnote w:type="continuationSeparator" w:id="0">
    <w:p w:rsidR="00FE46F9" w:rsidRDefault="00FE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DA59F9" w:rsidRDefault="00020ACE">
    <w:r>
      <w:fldChar w:fldCharType="begin"/>
    </w:r>
    <w:r w:rsidRPr="00DA59F9">
      <w:instrText xml:space="preserve"> FILENAME \p  \* MERGEFORMAT </w:instrText>
    </w:r>
    <w:r>
      <w:fldChar w:fldCharType="separate"/>
    </w:r>
    <w:r w:rsidR="00DA59F9">
      <w:rPr>
        <w:noProof/>
      </w:rPr>
      <w:t>P:\ESP\ITU-R\CONF-R\AR15\PLEN\000\089S.docx</w:t>
    </w:r>
    <w:r>
      <w:fldChar w:fldCharType="end"/>
    </w:r>
    <w:r w:rsidRPr="00DA59F9">
      <w:tab/>
    </w:r>
    <w:r>
      <w:fldChar w:fldCharType="begin"/>
    </w:r>
    <w:r>
      <w:instrText xml:space="preserve"> SAVEDATE \@ DD.MM.YY </w:instrText>
    </w:r>
    <w:r>
      <w:fldChar w:fldCharType="separate"/>
    </w:r>
    <w:r w:rsidR="00D24D59">
      <w:rPr>
        <w:noProof/>
      </w:rPr>
      <w:t>30.10.15</w:t>
    </w:r>
    <w:r>
      <w:fldChar w:fldCharType="end"/>
    </w:r>
    <w:r w:rsidRPr="00DA59F9">
      <w:tab/>
    </w:r>
    <w:r>
      <w:fldChar w:fldCharType="begin"/>
    </w:r>
    <w:r>
      <w:instrText xml:space="preserve"> PRINTDATE \@ DD.MM.YY </w:instrText>
    </w:r>
    <w:r>
      <w:fldChar w:fldCharType="separate"/>
    </w:r>
    <w:r w:rsidR="00DA59F9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E4" w:rsidRPr="00D24D59" w:rsidRDefault="00CB22E4" w:rsidP="00D24D59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DD" w:rsidRPr="00D24D59" w:rsidRDefault="00ED0ADD" w:rsidP="00D24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F9" w:rsidRDefault="00FE46F9">
      <w:r>
        <w:rPr>
          <w:b/>
        </w:rPr>
        <w:t>_______________</w:t>
      </w:r>
    </w:p>
  </w:footnote>
  <w:footnote w:type="continuationSeparator" w:id="0">
    <w:p w:rsidR="00FE46F9" w:rsidRDefault="00FE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59" w:rsidRDefault="00D24D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Default="0075573C" w:rsidP="0016399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24D5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59" w:rsidRDefault="00D24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E41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C63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90ED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4E7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AA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A6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EA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5CF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A63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84E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F9"/>
    <w:rsid w:val="00012B52"/>
    <w:rsid w:val="00016A7C"/>
    <w:rsid w:val="00020ACE"/>
    <w:rsid w:val="000F0F9A"/>
    <w:rsid w:val="00163992"/>
    <w:rsid w:val="001721DD"/>
    <w:rsid w:val="002334F2"/>
    <w:rsid w:val="00255196"/>
    <w:rsid w:val="00296091"/>
    <w:rsid w:val="002B6243"/>
    <w:rsid w:val="00466F3C"/>
    <w:rsid w:val="004733EC"/>
    <w:rsid w:val="004C1B21"/>
    <w:rsid w:val="005335D1"/>
    <w:rsid w:val="005648DF"/>
    <w:rsid w:val="005C4F7E"/>
    <w:rsid w:val="006050EE"/>
    <w:rsid w:val="00693CB4"/>
    <w:rsid w:val="0075573C"/>
    <w:rsid w:val="008246E6"/>
    <w:rsid w:val="008E02B6"/>
    <w:rsid w:val="009630C4"/>
    <w:rsid w:val="00AF7660"/>
    <w:rsid w:val="00BF1023"/>
    <w:rsid w:val="00C278F8"/>
    <w:rsid w:val="00CB22E4"/>
    <w:rsid w:val="00D24D59"/>
    <w:rsid w:val="00DA59F9"/>
    <w:rsid w:val="00DE35E9"/>
    <w:rsid w:val="00E01901"/>
    <w:rsid w:val="00EB5C7B"/>
    <w:rsid w:val="00EC7017"/>
    <w:rsid w:val="00ED0ADD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2F6BD9E-85FC-42E8-BDDE-C272EB9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basedOn w:val="DefaultParagraphFont"/>
    <w:unhideWhenUsed/>
    <w:rsid w:val="00FE46F9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uiPriority w:val="99"/>
    <w:locked/>
    <w:rsid w:val="00FE46F9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6</TotalTime>
  <Pages>2</Pages>
  <Words>607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4023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Martinez Romera, Angel</dc:creator>
  <cp:keywords/>
  <dc:description>PS_RA07.dot  Para: _x000d_Fecha del documento: _x000d_Registrado por MM-43480 a 16:09:38 el 16.10.07</dc:description>
  <cp:lastModifiedBy>Santa Rita Fernandes, Augusto Cesar</cp:lastModifiedBy>
  <cp:revision>9</cp:revision>
  <cp:lastPrinted>2015-10-28T20:16:00Z</cp:lastPrinted>
  <dcterms:created xsi:type="dcterms:W3CDTF">2015-10-30T12:47:00Z</dcterms:created>
  <dcterms:modified xsi:type="dcterms:W3CDTF">2015-11-02T19:00:00Z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