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0031"/>
      </w:tblGrid>
      <w:tr w:rsidR="00FB65ED" w:rsidRPr="00847A3B" w:rsidTr="0002640C">
        <w:trPr>
          <w:cantSplit/>
        </w:trPr>
        <w:tc>
          <w:tcPr>
            <w:tcW w:w="10031" w:type="dxa"/>
          </w:tcPr>
          <w:p w:rsidR="00FB65ED" w:rsidRPr="00847A3B" w:rsidRDefault="007621F1" w:rsidP="00010E5E">
            <w:pPr>
              <w:pStyle w:val="ResNo"/>
              <w:rPr>
                <w:lang w:eastAsia="zh-CN"/>
              </w:rPr>
            </w:pPr>
            <w:bookmarkStart w:id="0" w:name="dtitle1" w:colFirst="0" w:colLast="0"/>
            <w:bookmarkStart w:id="1" w:name="_Toc180535352"/>
            <w:bookmarkStart w:id="2" w:name="_Toc180536816"/>
            <w:bookmarkStart w:id="3" w:name="_Toc180547466"/>
            <w:bookmarkStart w:id="4" w:name="_Toc314867396"/>
            <w:bookmarkStart w:id="5" w:name="_Toc314867585"/>
            <w:bookmarkStart w:id="6" w:name="_Toc314868268"/>
            <w:bookmarkStart w:id="7" w:name="_Toc314869487"/>
            <w:bookmarkStart w:id="8" w:name="_Toc315019212"/>
            <w:bookmarkStart w:id="9" w:name="_Toc321147893"/>
            <w:bookmarkStart w:id="10" w:name="_Toc321148517"/>
            <w:r w:rsidRPr="00081EEB">
              <w:rPr>
                <w:lang w:val="en-US" w:eastAsia="zh-CN"/>
              </w:rPr>
              <w:t>ITU-R</w:t>
            </w:r>
            <w:r>
              <w:rPr>
                <w:rFonts w:hint="eastAsia"/>
                <w:lang w:val="en-US" w:eastAsia="zh-CN"/>
              </w:rPr>
              <w:t>第</w:t>
            </w:r>
            <w:r w:rsidR="00010E5E">
              <w:rPr>
                <w:lang w:val="en-US" w:eastAsia="zh-CN"/>
              </w:rPr>
              <w:t>68</w:t>
            </w:r>
            <w:r w:rsidR="00010E5E">
              <w:rPr>
                <w:rFonts w:hint="eastAsia"/>
                <w:lang w:val="en-US" w:eastAsia="zh-CN"/>
              </w:rPr>
              <w:t>号</w:t>
            </w:r>
            <w:r>
              <w:rPr>
                <w:rFonts w:hint="eastAsia"/>
                <w:lang w:val="en-US" w:eastAsia="zh-CN"/>
              </w:rPr>
              <w:t>决议</w:t>
            </w:r>
          </w:p>
        </w:tc>
      </w:tr>
      <w:tr w:rsidR="00FB65ED" w:rsidRPr="00847A3B" w:rsidTr="0002640C">
        <w:trPr>
          <w:cantSplit/>
        </w:trPr>
        <w:tc>
          <w:tcPr>
            <w:tcW w:w="10031" w:type="dxa"/>
          </w:tcPr>
          <w:p w:rsidR="00FB65ED" w:rsidRPr="00847A3B" w:rsidRDefault="00010E5E" w:rsidP="00010E5E">
            <w:pPr>
              <w:pStyle w:val="Restitle"/>
              <w:rPr>
                <w:lang w:eastAsia="zh-CN"/>
              </w:rPr>
            </w:pPr>
            <w:bookmarkStart w:id="11" w:name="dtitle2" w:colFirst="0" w:colLast="0"/>
            <w:bookmarkEnd w:id="0"/>
            <w:r>
              <w:rPr>
                <w:rFonts w:hint="eastAsia"/>
                <w:lang w:val="en-US" w:eastAsia="zh-CN"/>
              </w:rPr>
              <w:t>促</w:t>
            </w:r>
            <w:r w:rsidR="007621F1">
              <w:rPr>
                <w:rFonts w:hint="eastAsia"/>
                <w:lang w:val="en-US" w:eastAsia="zh-CN"/>
              </w:rPr>
              <w:t>进有关小型卫星（包括纳卫星和皮卫星）适用规则程序知识</w:t>
            </w:r>
            <w:r>
              <w:rPr>
                <w:rFonts w:hint="eastAsia"/>
                <w:lang w:val="en-US" w:eastAsia="zh-CN"/>
              </w:rPr>
              <w:t>的</w:t>
            </w:r>
            <w:r w:rsidR="007621F1">
              <w:rPr>
                <w:rFonts w:hint="eastAsia"/>
                <w:lang w:val="en-US" w:eastAsia="zh-CN"/>
              </w:rPr>
              <w:t>传播</w:t>
            </w:r>
          </w:p>
        </w:tc>
      </w:tr>
      <w:tr w:rsidR="00FB65ED" w:rsidRPr="00847A3B" w:rsidTr="0002640C">
        <w:trPr>
          <w:cantSplit/>
        </w:trPr>
        <w:tc>
          <w:tcPr>
            <w:tcW w:w="10031" w:type="dxa"/>
          </w:tcPr>
          <w:p w:rsidR="00FB65ED" w:rsidRPr="00847A3B" w:rsidRDefault="00FB65ED" w:rsidP="00FB65ED">
            <w:pPr>
              <w:pStyle w:val="Title3"/>
              <w:rPr>
                <w:lang w:eastAsia="zh-CN"/>
              </w:rPr>
            </w:pPr>
            <w:bookmarkStart w:id="12" w:name="dtitle3" w:colFirst="0" w:colLast="0"/>
            <w:bookmarkEnd w:id="11"/>
          </w:p>
        </w:tc>
      </w:tr>
    </w:tbl>
    <w:p w:rsidR="00010E5E" w:rsidRPr="00214737" w:rsidRDefault="00010E5E" w:rsidP="00010E5E">
      <w:pPr>
        <w:pStyle w:val="Resdate"/>
        <w:rPr>
          <w:lang w:val="en-US" w:eastAsia="zh-CN"/>
        </w:rPr>
      </w:pPr>
      <w:bookmarkStart w:id="13" w:name="dbreak"/>
      <w:bookmarkEnd w:id="12"/>
      <w:bookmarkEnd w:id="13"/>
      <w:r w:rsidRPr="00214737">
        <w:rPr>
          <w:lang w:val="en-US" w:eastAsia="zh-CN"/>
        </w:rPr>
        <w:t>(2015)</w:t>
      </w:r>
    </w:p>
    <w:p w:rsidR="007621F1" w:rsidRPr="00081EEB" w:rsidRDefault="007621F1" w:rsidP="007621F1">
      <w:pPr>
        <w:pStyle w:val="Normalaftertitle0"/>
        <w:rPr>
          <w:lang w:val="en-US" w:eastAsia="zh-CN"/>
        </w:rPr>
      </w:pPr>
      <w:r>
        <w:rPr>
          <w:rFonts w:hint="eastAsia"/>
          <w:lang w:val="en-US" w:eastAsia="zh-CN"/>
        </w:rPr>
        <w:t>国际电联无线电通信全会，</w:t>
      </w:r>
    </w:p>
    <w:p w:rsidR="007621F1" w:rsidRPr="00BA2D44" w:rsidRDefault="007621F1" w:rsidP="007621F1">
      <w:pPr>
        <w:pStyle w:val="Call"/>
        <w:rPr>
          <w:lang w:val="en-US" w:eastAsia="zh-CN"/>
        </w:rPr>
      </w:pPr>
      <w:r w:rsidRPr="00BA2D44">
        <w:rPr>
          <w:rFonts w:hint="eastAsia"/>
          <w:lang w:val="en-US" w:eastAsia="zh-CN"/>
        </w:rPr>
        <w:t>考虑到</w:t>
      </w:r>
    </w:p>
    <w:p w:rsidR="007621F1" w:rsidRPr="00081EEB" w:rsidRDefault="007621F1" w:rsidP="00607340">
      <w:pPr>
        <w:rPr>
          <w:lang w:val="en-US" w:eastAsia="zh-CN"/>
        </w:rPr>
      </w:pPr>
      <w:r w:rsidRPr="00081EEB">
        <w:rPr>
          <w:i/>
          <w:iCs/>
          <w:lang w:val="en-US" w:eastAsia="zh-CN"/>
        </w:rPr>
        <w:t>a)</w:t>
      </w:r>
      <w:r w:rsidRPr="00081EEB">
        <w:rPr>
          <w:lang w:val="en-US" w:eastAsia="zh-CN"/>
        </w:rPr>
        <w:tab/>
      </w:r>
      <w:r>
        <w:rPr>
          <w:rFonts w:hint="eastAsia"/>
          <w:lang w:val="en-US" w:eastAsia="zh-CN"/>
        </w:rPr>
        <w:t>包括</w:t>
      </w:r>
      <w:r w:rsidR="00607340">
        <w:rPr>
          <w:rFonts w:hint="eastAsia"/>
          <w:lang w:val="en-US" w:eastAsia="zh-CN"/>
        </w:rPr>
        <w:t>亦</w:t>
      </w:r>
      <w:r w:rsidR="00607340">
        <w:rPr>
          <w:lang w:val="en-US" w:eastAsia="zh-CN"/>
        </w:rPr>
        <w:t>称为</w:t>
      </w:r>
      <w:r>
        <w:rPr>
          <w:rFonts w:hint="eastAsia"/>
          <w:lang w:val="en-US" w:eastAsia="zh-CN"/>
        </w:rPr>
        <w:t>纳卫星（质量通常为</w:t>
      </w:r>
      <w:r>
        <w:rPr>
          <w:rFonts w:hint="eastAsia"/>
          <w:lang w:val="en-US" w:eastAsia="zh-CN"/>
        </w:rPr>
        <w:t>1</w:t>
      </w:r>
      <w:r>
        <w:rPr>
          <w:rFonts w:hint="eastAsia"/>
          <w:lang w:val="en-US" w:eastAsia="zh-CN"/>
        </w:rPr>
        <w:t>至</w:t>
      </w:r>
      <w:r>
        <w:rPr>
          <w:rFonts w:hint="eastAsia"/>
          <w:lang w:val="en-US" w:eastAsia="zh-CN"/>
        </w:rPr>
        <w:t>10</w:t>
      </w:r>
      <w:r>
        <w:rPr>
          <w:rFonts w:hint="eastAsia"/>
          <w:lang w:val="en-US" w:eastAsia="zh-CN"/>
        </w:rPr>
        <w:t>千克）和皮卫星（质量通常为</w:t>
      </w:r>
      <w:r>
        <w:rPr>
          <w:rFonts w:hint="eastAsia"/>
          <w:lang w:val="en-US" w:eastAsia="zh-CN"/>
        </w:rPr>
        <w:t>0.1</w:t>
      </w:r>
      <w:r>
        <w:rPr>
          <w:rFonts w:hint="eastAsia"/>
          <w:lang w:val="en-US" w:eastAsia="zh-CN"/>
        </w:rPr>
        <w:t>至</w:t>
      </w:r>
      <w:r>
        <w:rPr>
          <w:rFonts w:hint="eastAsia"/>
          <w:lang w:val="en-US" w:eastAsia="zh-CN"/>
        </w:rPr>
        <w:t>1</w:t>
      </w:r>
      <w:r>
        <w:rPr>
          <w:rFonts w:hint="eastAsia"/>
          <w:lang w:val="en-US" w:eastAsia="zh-CN"/>
        </w:rPr>
        <w:t>千克）在内的小型卫星（质量通常小于</w:t>
      </w:r>
      <w:r>
        <w:rPr>
          <w:rFonts w:hint="eastAsia"/>
          <w:lang w:val="en-US" w:eastAsia="zh-CN"/>
        </w:rPr>
        <w:t>100</w:t>
      </w:r>
      <w:r>
        <w:rPr>
          <w:rFonts w:hint="eastAsia"/>
          <w:lang w:val="en-US" w:eastAsia="zh-CN"/>
        </w:rPr>
        <w:t>千克）的</w:t>
      </w:r>
      <w:r w:rsidR="00607340">
        <w:rPr>
          <w:rFonts w:hint="eastAsia"/>
          <w:lang w:val="en-US" w:eastAsia="zh-CN"/>
        </w:rPr>
        <w:t>一</w:t>
      </w:r>
      <w:r w:rsidR="00607340">
        <w:rPr>
          <w:lang w:val="en-US" w:eastAsia="zh-CN"/>
        </w:rPr>
        <w:t>些</w:t>
      </w:r>
      <w:r>
        <w:rPr>
          <w:rFonts w:hint="eastAsia"/>
          <w:lang w:val="en-US" w:eastAsia="zh-CN"/>
        </w:rPr>
        <w:t>开发者和制造者可能并不了解适用于此类卫星的国际电联规则程序；</w:t>
      </w:r>
    </w:p>
    <w:p w:rsidR="007621F1" w:rsidRDefault="007621F1" w:rsidP="00607340">
      <w:pPr>
        <w:rPr>
          <w:lang w:val="en-US" w:eastAsia="zh-CN"/>
        </w:rPr>
      </w:pPr>
      <w:r w:rsidRPr="00081EEB">
        <w:rPr>
          <w:i/>
          <w:iCs/>
          <w:lang w:val="en-US" w:eastAsia="zh-CN"/>
        </w:rPr>
        <w:t>b)</w:t>
      </w:r>
      <w:r>
        <w:rPr>
          <w:lang w:val="en-US" w:eastAsia="zh-CN"/>
        </w:rPr>
        <w:tab/>
      </w:r>
      <w:r w:rsidR="00607340">
        <w:rPr>
          <w:rFonts w:hint="eastAsia"/>
          <w:lang w:val="en-US" w:eastAsia="zh-CN"/>
        </w:rPr>
        <w:t>一</w:t>
      </w:r>
      <w:r w:rsidR="00607340">
        <w:rPr>
          <w:lang w:val="en-US" w:eastAsia="zh-CN"/>
        </w:rPr>
        <w:t>些</w:t>
      </w:r>
      <w:r>
        <w:rPr>
          <w:rFonts w:hint="eastAsia"/>
          <w:lang w:val="en-US" w:eastAsia="zh-CN"/>
        </w:rPr>
        <w:t>主管部门可能会从有关</w:t>
      </w:r>
      <w:r w:rsidR="00607340">
        <w:rPr>
          <w:rFonts w:hint="eastAsia"/>
          <w:lang w:val="en-US" w:eastAsia="zh-CN"/>
        </w:rPr>
        <w:t>将国际电联规则程序用</w:t>
      </w:r>
      <w:r w:rsidR="00607340">
        <w:rPr>
          <w:lang w:val="en-US" w:eastAsia="zh-CN"/>
        </w:rPr>
        <w:t>于</w:t>
      </w:r>
      <w:r>
        <w:rPr>
          <w:rFonts w:hint="eastAsia"/>
          <w:lang w:val="en-US" w:eastAsia="zh-CN"/>
        </w:rPr>
        <w:t>频谱和轨道使用的更多信息中获益；</w:t>
      </w:r>
    </w:p>
    <w:p w:rsidR="007621F1" w:rsidRPr="00081EEB" w:rsidRDefault="007621F1" w:rsidP="00607340">
      <w:pPr>
        <w:rPr>
          <w:lang w:val="en-US" w:eastAsia="zh-CN"/>
        </w:rPr>
      </w:pPr>
      <w:r w:rsidRPr="00081EEB">
        <w:rPr>
          <w:i/>
          <w:iCs/>
          <w:lang w:val="en-US" w:eastAsia="zh-CN"/>
        </w:rPr>
        <w:t>c)</w:t>
      </w:r>
      <w:r w:rsidRPr="00081EEB">
        <w:rPr>
          <w:lang w:val="en-US" w:eastAsia="zh-CN"/>
        </w:rPr>
        <w:tab/>
      </w:r>
      <w:r>
        <w:rPr>
          <w:rFonts w:hint="eastAsia"/>
          <w:lang w:val="en-US" w:eastAsia="zh-CN"/>
        </w:rPr>
        <w:t>缺乏有关国际电联程序的知识可能会导致通知延迟，有时甚至会导致不按照适用规则程序发射此类卫星，从而可能</w:t>
      </w:r>
      <w:r w:rsidR="00607340">
        <w:rPr>
          <w:rFonts w:hint="eastAsia"/>
          <w:lang w:val="en-US" w:eastAsia="zh-CN"/>
        </w:rPr>
        <w:t>导致</w:t>
      </w:r>
      <w:r>
        <w:rPr>
          <w:rFonts w:hint="eastAsia"/>
          <w:lang w:val="en-US" w:eastAsia="zh-CN"/>
        </w:rPr>
        <w:t>干扰其它卫星网络的风险，</w:t>
      </w:r>
    </w:p>
    <w:p w:rsidR="007621F1" w:rsidRPr="00BA2D44" w:rsidRDefault="007621F1" w:rsidP="007621F1">
      <w:pPr>
        <w:pStyle w:val="Call"/>
        <w:rPr>
          <w:lang w:val="en-US" w:eastAsia="zh-CN"/>
        </w:rPr>
      </w:pPr>
      <w:r w:rsidRPr="00BA2D44">
        <w:rPr>
          <w:rFonts w:hint="eastAsia"/>
          <w:lang w:val="en-US" w:eastAsia="zh-CN"/>
        </w:rPr>
        <w:t>进一步考虑到</w:t>
      </w:r>
    </w:p>
    <w:p w:rsidR="007621F1" w:rsidRPr="00081EEB" w:rsidRDefault="007621F1" w:rsidP="007621F1">
      <w:pPr>
        <w:rPr>
          <w:lang w:val="en-US" w:eastAsia="zh-CN"/>
        </w:rPr>
      </w:pPr>
      <w:r w:rsidRPr="00081EEB">
        <w:rPr>
          <w:i/>
          <w:iCs/>
          <w:lang w:val="en-US" w:eastAsia="zh-CN"/>
        </w:rPr>
        <w:t>a)</w:t>
      </w:r>
      <w:r w:rsidRPr="00081EEB">
        <w:rPr>
          <w:lang w:val="en-US" w:eastAsia="zh-CN"/>
        </w:rPr>
        <w:tab/>
      </w:r>
      <w:r>
        <w:rPr>
          <w:rFonts w:hint="eastAsia"/>
          <w:lang w:val="en-US" w:eastAsia="zh-CN"/>
        </w:rPr>
        <w:t>根据《无线电规则》第</w:t>
      </w:r>
      <w:r w:rsidRPr="00FB41A8">
        <w:rPr>
          <w:rFonts w:hint="eastAsia"/>
          <w:b/>
          <w:bCs/>
          <w:lang w:val="en-US" w:eastAsia="zh-CN"/>
        </w:rPr>
        <w:t>8</w:t>
      </w:r>
      <w:r>
        <w:rPr>
          <w:rFonts w:hint="eastAsia"/>
          <w:lang w:val="en-US" w:eastAsia="zh-CN"/>
        </w:rPr>
        <w:t>条，“</w:t>
      </w:r>
      <w:r>
        <w:rPr>
          <w:rFonts w:hint="eastAsia"/>
          <w:lang w:eastAsia="zh-CN"/>
        </w:rPr>
        <w:t>各主管部门应从国际频率登记总表（登记总表）中的登记中得到关于他们自己的和别的主管部门的频率指配的国际权利和义务”；</w:t>
      </w:r>
    </w:p>
    <w:p w:rsidR="007621F1" w:rsidRPr="00081EEB" w:rsidRDefault="007621F1" w:rsidP="00607340">
      <w:pPr>
        <w:rPr>
          <w:lang w:val="en-US" w:eastAsia="zh-CN"/>
        </w:rPr>
      </w:pPr>
      <w:r w:rsidRPr="00081EEB">
        <w:rPr>
          <w:i/>
          <w:iCs/>
          <w:lang w:val="en-US" w:eastAsia="zh-CN"/>
        </w:rPr>
        <w:t>b)</w:t>
      </w:r>
      <w:r w:rsidRPr="00081EEB">
        <w:rPr>
          <w:lang w:val="en-US" w:eastAsia="zh-CN"/>
        </w:rPr>
        <w:tab/>
      </w:r>
      <w:r>
        <w:rPr>
          <w:rFonts w:hint="eastAsia"/>
          <w:lang w:val="en-US" w:eastAsia="zh-CN"/>
        </w:rPr>
        <w:t>对于任何卫星系统而言，频率指配</w:t>
      </w:r>
      <w:r w:rsidR="00607340">
        <w:rPr>
          <w:rFonts w:hint="eastAsia"/>
          <w:lang w:val="en-US" w:eastAsia="zh-CN"/>
        </w:rPr>
        <w:t>的登记</w:t>
      </w:r>
      <w:r>
        <w:rPr>
          <w:rFonts w:hint="eastAsia"/>
          <w:lang w:val="en-US" w:eastAsia="zh-CN"/>
        </w:rPr>
        <w:t>均须酌情履行《无线电规则》第</w:t>
      </w:r>
      <w:r w:rsidRPr="00FB41A8">
        <w:rPr>
          <w:rFonts w:hint="eastAsia"/>
          <w:b/>
          <w:bCs/>
          <w:lang w:val="en-US" w:eastAsia="zh-CN"/>
        </w:rPr>
        <w:t>9</w:t>
      </w:r>
      <w:r w:rsidR="00607340">
        <w:rPr>
          <w:rFonts w:hint="eastAsia"/>
          <w:lang w:val="en-US" w:eastAsia="zh-CN"/>
        </w:rPr>
        <w:t>条</w:t>
      </w:r>
      <w:r>
        <w:rPr>
          <w:rFonts w:hint="eastAsia"/>
          <w:lang w:val="en-US" w:eastAsia="zh-CN"/>
        </w:rPr>
        <w:t>和</w:t>
      </w:r>
      <w:r w:rsidR="00607340">
        <w:rPr>
          <w:rFonts w:hint="eastAsia"/>
          <w:lang w:val="en-US" w:eastAsia="zh-CN"/>
        </w:rPr>
        <w:t>第</w:t>
      </w:r>
      <w:r w:rsidRPr="00FB41A8">
        <w:rPr>
          <w:rFonts w:hint="eastAsia"/>
          <w:b/>
          <w:bCs/>
          <w:lang w:val="en-US" w:eastAsia="zh-CN"/>
        </w:rPr>
        <w:t>11</w:t>
      </w:r>
      <w:r>
        <w:rPr>
          <w:rFonts w:hint="eastAsia"/>
          <w:lang w:val="en-US" w:eastAsia="zh-CN"/>
        </w:rPr>
        <w:t>条的规定；</w:t>
      </w:r>
    </w:p>
    <w:p w:rsidR="007621F1" w:rsidRPr="00081EEB" w:rsidRDefault="007621F1" w:rsidP="00607340">
      <w:pPr>
        <w:rPr>
          <w:lang w:val="en-US" w:eastAsia="zh-CN"/>
        </w:rPr>
      </w:pPr>
      <w:r w:rsidRPr="00081EEB">
        <w:rPr>
          <w:i/>
          <w:iCs/>
          <w:lang w:val="en-US" w:eastAsia="zh-CN"/>
        </w:rPr>
        <w:t>c)</w:t>
      </w:r>
      <w:r w:rsidRPr="00081EEB">
        <w:rPr>
          <w:lang w:val="en-US" w:eastAsia="zh-CN"/>
        </w:rPr>
        <w:tab/>
      </w:r>
      <w:r>
        <w:rPr>
          <w:rFonts w:hint="eastAsia"/>
          <w:lang w:val="en-US" w:eastAsia="zh-CN"/>
        </w:rPr>
        <w:t>确保（包括纳卫星和皮卫星</w:t>
      </w:r>
      <w:r w:rsidR="00607340">
        <w:rPr>
          <w:rFonts w:hint="eastAsia"/>
          <w:lang w:val="en-US" w:eastAsia="zh-CN"/>
        </w:rPr>
        <w:t>在</w:t>
      </w:r>
      <w:r w:rsidR="00607340">
        <w:rPr>
          <w:lang w:val="en-US" w:eastAsia="zh-CN"/>
        </w:rPr>
        <w:t>内</w:t>
      </w:r>
      <w:r>
        <w:rPr>
          <w:rFonts w:hint="eastAsia"/>
          <w:lang w:val="en-US" w:eastAsia="zh-CN"/>
        </w:rPr>
        <w:t>）的</w:t>
      </w:r>
      <w:r w:rsidR="00607340">
        <w:rPr>
          <w:rFonts w:hint="eastAsia"/>
          <w:lang w:val="en-US" w:eastAsia="zh-CN"/>
        </w:rPr>
        <w:t>卫星</w:t>
      </w:r>
      <w:r>
        <w:rPr>
          <w:rFonts w:hint="eastAsia"/>
          <w:lang w:val="en-US" w:eastAsia="zh-CN"/>
        </w:rPr>
        <w:t>无线电频率操作避免对其它系统和业务造成有害干扰</w:t>
      </w:r>
      <w:r w:rsidR="00607340">
        <w:rPr>
          <w:rFonts w:hint="eastAsia"/>
          <w:lang w:val="en-US" w:eastAsia="zh-CN"/>
        </w:rPr>
        <w:t>十</w:t>
      </w:r>
      <w:r w:rsidR="00607340">
        <w:rPr>
          <w:lang w:val="en-US" w:eastAsia="zh-CN"/>
        </w:rPr>
        <w:t>分重要</w:t>
      </w:r>
      <w:r>
        <w:rPr>
          <w:rFonts w:hint="eastAsia"/>
          <w:lang w:val="en-US" w:eastAsia="zh-CN"/>
        </w:rPr>
        <w:t>；</w:t>
      </w:r>
    </w:p>
    <w:p w:rsidR="007621F1" w:rsidRPr="00081EEB" w:rsidRDefault="007621F1" w:rsidP="00607340">
      <w:pPr>
        <w:rPr>
          <w:lang w:val="en-US" w:eastAsia="zh-CN"/>
        </w:rPr>
      </w:pPr>
      <w:r w:rsidRPr="00081EEB">
        <w:rPr>
          <w:i/>
          <w:iCs/>
          <w:lang w:val="en-US" w:eastAsia="zh-CN"/>
        </w:rPr>
        <w:t>d)</w:t>
      </w:r>
      <w:r>
        <w:rPr>
          <w:lang w:val="en-US" w:eastAsia="zh-CN"/>
        </w:rPr>
        <w:tab/>
      </w:r>
      <w:r>
        <w:rPr>
          <w:rFonts w:hint="eastAsia"/>
          <w:lang w:val="en-US" w:eastAsia="zh-CN"/>
        </w:rPr>
        <w:t>应及时</w:t>
      </w:r>
      <w:r w:rsidR="00607340">
        <w:rPr>
          <w:rFonts w:hint="eastAsia"/>
          <w:lang w:val="en-US" w:eastAsia="zh-CN"/>
        </w:rPr>
        <w:t>进行</w:t>
      </w:r>
      <w:r>
        <w:rPr>
          <w:rFonts w:hint="eastAsia"/>
          <w:lang w:val="en-US" w:eastAsia="zh-CN"/>
        </w:rPr>
        <w:t>相关的国际电联卫星登记（例如申报、在</w:t>
      </w:r>
      <w:r>
        <w:rPr>
          <w:rFonts w:hint="eastAsia"/>
          <w:lang w:val="en-US" w:eastAsia="zh-CN"/>
        </w:rPr>
        <w:t>MIFR</w:t>
      </w:r>
      <w:r>
        <w:rPr>
          <w:rFonts w:hint="eastAsia"/>
          <w:lang w:val="en-US" w:eastAsia="zh-CN"/>
        </w:rPr>
        <w:t>中登记）；</w:t>
      </w:r>
    </w:p>
    <w:p w:rsidR="007621F1" w:rsidRPr="00081EEB" w:rsidRDefault="007621F1" w:rsidP="00607340">
      <w:pPr>
        <w:rPr>
          <w:lang w:val="en-US" w:eastAsia="zh-CN"/>
        </w:rPr>
      </w:pPr>
      <w:r w:rsidRPr="00081EEB">
        <w:rPr>
          <w:i/>
          <w:iCs/>
          <w:lang w:val="en-US" w:eastAsia="zh-CN"/>
        </w:rPr>
        <w:t>e)</w:t>
      </w:r>
      <w:r w:rsidRPr="00081EEB">
        <w:rPr>
          <w:lang w:val="en-US" w:eastAsia="zh-CN"/>
        </w:rPr>
        <w:tab/>
      </w:r>
      <w:r>
        <w:rPr>
          <w:rFonts w:hint="eastAsia"/>
          <w:lang w:val="en-US" w:eastAsia="zh-CN"/>
        </w:rPr>
        <w:t>相关主管部门和开发者了解与“</w:t>
      </w:r>
      <w:r w:rsidRPr="002D6784">
        <w:rPr>
          <w:rFonts w:eastAsia="STKaiti"/>
          <w:lang w:val="en-US" w:eastAsia="zh-CN"/>
        </w:rPr>
        <w:t>进一步考虑到</w:t>
      </w:r>
      <w:r w:rsidRPr="00282CCD">
        <w:rPr>
          <w:rFonts w:eastAsia="STKaiti"/>
          <w:i/>
          <w:iCs/>
          <w:lang w:val="en-US" w:eastAsia="zh-CN"/>
        </w:rPr>
        <w:t>d)</w:t>
      </w:r>
      <w:r>
        <w:rPr>
          <w:rFonts w:hint="eastAsia"/>
          <w:lang w:val="en-US" w:eastAsia="zh-CN"/>
        </w:rPr>
        <w:t>”一段提及的惯例相关的国际电联适用程序</w:t>
      </w:r>
      <w:r w:rsidR="00607340">
        <w:rPr>
          <w:rFonts w:hint="eastAsia"/>
          <w:lang w:val="en-US" w:eastAsia="zh-CN"/>
        </w:rPr>
        <w:t>十</w:t>
      </w:r>
      <w:r w:rsidR="00607340">
        <w:rPr>
          <w:lang w:val="en-US" w:eastAsia="zh-CN"/>
        </w:rPr>
        <w:t>分重要</w:t>
      </w:r>
      <w:r>
        <w:rPr>
          <w:rFonts w:hint="eastAsia"/>
          <w:lang w:val="en-US" w:eastAsia="zh-CN"/>
        </w:rPr>
        <w:t>；</w:t>
      </w:r>
    </w:p>
    <w:p w:rsidR="007621F1" w:rsidRPr="00081EEB" w:rsidRDefault="007621F1" w:rsidP="00173A86">
      <w:pPr>
        <w:rPr>
          <w:lang w:val="en-US" w:eastAsia="zh-CN"/>
        </w:rPr>
      </w:pPr>
      <w:r w:rsidRPr="00081EEB">
        <w:rPr>
          <w:i/>
          <w:iCs/>
          <w:lang w:val="en-US" w:eastAsia="zh-CN"/>
        </w:rPr>
        <w:t>f)</w:t>
      </w:r>
      <w:r w:rsidRPr="00081EEB">
        <w:rPr>
          <w:lang w:val="en-US" w:eastAsia="zh-CN"/>
        </w:rPr>
        <w:tab/>
      </w:r>
      <w:r>
        <w:rPr>
          <w:rFonts w:hint="eastAsia"/>
          <w:lang w:val="en-US" w:eastAsia="zh-CN"/>
        </w:rPr>
        <w:t>包括诸如皮卫星和纳卫星</w:t>
      </w:r>
      <w:r w:rsidR="00607340">
        <w:rPr>
          <w:rFonts w:hint="eastAsia"/>
          <w:lang w:val="en-US" w:eastAsia="zh-CN"/>
        </w:rPr>
        <w:t>之类</w:t>
      </w:r>
      <w:r>
        <w:rPr>
          <w:rFonts w:hint="eastAsia"/>
          <w:lang w:val="en-US" w:eastAsia="zh-CN"/>
        </w:rPr>
        <w:t>的小型卫星在内的所有卫星均应根据</w:t>
      </w:r>
      <w:r w:rsidR="00010E5E">
        <w:rPr>
          <w:rFonts w:hint="eastAsia"/>
          <w:lang w:val="en-US" w:eastAsia="zh-CN"/>
        </w:rPr>
        <w:t>（在</w:t>
      </w:r>
      <w:r w:rsidR="00010E5E">
        <w:rPr>
          <w:lang w:val="en-US" w:eastAsia="zh-CN"/>
        </w:rPr>
        <w:t>适用时）</w:t>
      </w:r>
      <w:r>
        <w:rPr>
          <w:rFonts w:hint="eastAsia"/>
          <w:lang w:val="en-US" w:eastAsia="zh-CN"/>
        </w:rPr>
        <w:t>《无线电规则》和</w:t>
      </w:r>
      <w:r>
        <w:rPr>
          <w:rFonts w:hint="eastAsia"/>
          <w:lang w:val="en-US" w:eastAsia="zh-CN"/>
        </w:rPr>
        <w:t>ITU-R</w:t>
      </w:r>
      <w:r>
        <w:rPr>
          <w:rFonts w:hint="eastAsia"/>
          <w:lang w:val="en-US" w:eastAsia="zh-CN"/>
        </w:rPr>
        <w:t>建议书使用无线电频率；</w:t>
      </w:r>
    </w:p>
    <w:p w:rsidR="007621F1" w:rsidRPr="00081EEB" w:rsidRDefault="007621F1" w:rsidP="007621F1">
      <w:pPr>
        <w:rPr>
          <w:lang w:val="en-US" w:eastAsia="zh-CN"/>
        </w:rPr>
      </w:pPr>
      <w:r w:rsidRPr="00081EEB">
        <w:rPr>
          <w:i/>
          <w:iCs/>
          <w:lang w:val="en-US" w:eastAsia="zh-CN"/>
        </w:rPr>
        <w:t>g)</w:t>
      </w:r>
      <w:r>
        <w:rPr>
          <w:lang w:val="en-US" w:eastAsia="zh-CN"/>
        </w:rPr>
        <w:tab/>
      </w:r>
      <w:r>
        <w:rPr>
          <w:rFonts w:hint="eastAsia"/>
          <w:lang w:val="en-US" w:eastAsia="zh-CN"/>
        </w:rPr>
        <w:t>许多小型卫星不</w:t>
      </w:r>
      <w:r w:rsidR="00010E5E">
        <w:rPr>
          <w:rFonts w:hint="eastAsia"/>
          <w:lang w:val="en-US" w:eastAsia="zh-CN"/>
        </w:rPr>
        <w:t>自</w:t>
      </w:r>
      <w:r>
        <w:rPr>
          <w:rFonts w:hint="eastAsia"/>
          <w:lang w:val="en-US" w:eastAsia="zh-CN"/>
        </w:rPr>
        <w:t>带推进系统，因此无法保持恒定的轨道高度，</w:t>
      </w:r>
    </w:p>
    <w:p w:rsidR="007621F1" w:rsidRPr="00BA2D44" w:rsidRDefault="007621F1" w:rsidP="007621F1">
      <w:pPr>
        <w:pStyle w:val="Call"/>
        <w:rPr>
          <w:lang w:val="en-US" w:eastAsia="zh-CN"/>
        </w:rPr>
      </w:pPr>
      <w:r w:rsidRPr="00BA2D44">
        <w:rPr>
          <w:rFonts w:hint="eastAsia"/>
          <w:lang w:val="en-US" w:eastAsia="zh-CN"/>
        </w:rPr>
        <w:t>认识到</w:t>
      </w:r>
    </w:p>
    <w:p w:rsidR="007621F1" w:rsidRPr="00081EEB" w:rsidRDefault="007621F1" w:rsidP="00607340">
      <w:pPr>
        <w:rPr>
          <w:lang w:val="en-US" w:eastAsia="zh-CN"/>
        </w:rPr>
      </w:pPr>
      <w:r w:rsidRPr="00081EEB">
        <w:rPr>
          <w:i/>
          <w:iCs/>
          <w:lang w:val="en-US" w:eastAsia="zh-CN"/>
        </w:rPr>
        <w:t>a)</w:t>
      </w:r>
      <w:r w:rsidRPr="00081EEB">
        <w:rPr>
          <w:lang w:val="en-US" w:eastAsia="zh-CN"/>
        </w:rPr>
        <w:tab/>
      </w:r>
      <w:r>
        <w:rPr>
          <w:rFonts w:hint="eastAsia"/>
          <w:lang w:val="en-US" w:eastAsia="zh-CN"/>
        </w:rPr>
        <w:t>已经发射和计划发射的小型卫星（特别是质量通常小于</w:t>
      </w:r>
      <w:r>
        <w:rPr>
          <w:rFonts w:hint="eastAsia"/>
          <w:lang w:val="en-US" w:eastAsia="zh-CN"/>
        </w:rPr>
        <w:t>100</w:t>
      </w:r>
      <w:r>
        <w:rPr>
          <w:rFonts w:hint="eastAsia"/>
          <w:lang w:val="en-US" w:eastAsia="zh-CN"/>
        </w:rPr>
        <w:t>千克的卫星）的数量正在</w:t>
      </w:r>
      <w:r w:rsidR="00607340">
        <w:rPr>
          <w:rFonts w:hint="eastAsia"/>
          <w:lang w:val="en-US" w:eastAsia="zh-CN"/>
        </w:rPr>
        <w:t>增</w:t>
      </w:r>
      <w:r w:rsidR="00607340">
        <w:rPr>
          <w:lang w:val="en-US" w:eastAsia="zh-CN"/>
        </w:rPr>
        <w:t>长</w:t>
      </w:r>
      <w:r>
        <w:rPr>
          <w:rFonts w:hint="eastAsia"/>
          <w:lang w:val="en-US" w:eastAsia="zh-CN"/>
        </w:rPr>
        <w:t>；</w:t>
      </w:r>
    </w:p>
    <w:p w:rsidR="007621F1" w:rsidRPr="00081EEB" w:rsidRDefault="007621F1" w:rsidP="007621F1">
      <w:pPr>
        <w:rPr>
          <w:lang w:val="en-US" w:eastAsia="zh-CN"/>
        </w:rPr>
      </w:pPr>
      <w:r w:rsidRPr="00081EEB">
        <w:rPr>
          <w:i/>
          <w:iCs/>
          <w:lang w:val="en-US" w:eastAsia="zh-CN"/>
        </w:rPr>
        <w:t>b)</w:t>
      </w:r>
      <w:r w:rsidRPr="00081EEB">
        <w:rPr>
          <w:lang w:val="en-US" w:eastAsia="zh-CN"/>
        </w:rPr>
        <w:tab/>
      </w:r>
      <w:r>
        <w:rPr>
          <w:rFonts w:hint="eastAsia"/>
          <w:lang w:val="en-US" w:eastAsia="zh-CN"/>
        </w:rPr>
        <w:t>此类卫星可为太空新成员提供一种价格可承受的轨道资源（频谱和轨道）获取方式；</w:t>
      </w:r>
    </w:p>
    <w:p w:rsidR="007621F1" w:rsidRDefault="007621F1" w:rsidP="007621F1">
      <w:pPr>
        <w:rPr>
          <w:lang w:val="en-US" w:eastAsia="zh-CN"/>
        </w:rPr>
      </w:pPr>
      <w:r w:rsidRPr="00081EEB">
        <w:rPr>
          <w:i/>
          <w:iCs/>
          <w:lang w:val="en-US" w:eastAsia="zh-CN"/>
        </w:rPr>
        <w:t>c)</w:t>
      </w:r>
      <w:r w:rsidRPr="00081EEB">
        <w:rPr>
          <w:lang w:val="en-US" w:eastAsia="zh-CN"/>
        </w:rPr>
        <w:tab/>
      </w:r>
      <w:r>
        <w:rPr>
          <w:rFonts w:hint="eastAsia"/>
          <w:lang w:val="en-US" w:eastAsia="zh-CN"/>
        </w:rPr>
        <w:t>即使卫星的质量和尺寸与频率管理无关，此类卫星较轻的质量和较小的尺寸已经成为新兴太空国家取得成功的主要贡献因素，</w:t>
      </w:r>
    </w:p>
    <w:p w:rsidR="00173A86" w:rsidRDefault="00173A86" w:rsidP="002337E0">
      <w:pPr>
        <w:pStyle w:val="Call"/>
        <w:rPr>
          <w:lang w:val="en-US" w:eastAsia="zh-CN"/>
        </w:rPr>
      </w:pPr>
      <w:r>
        <w:rPr>
          <w:rFonts w:hint="eastAsia"/>
          <w:lang w:val="en-US" w:eastAsia="zh-CN"/>
        </w:rPr>
        <w:lastRenderedPageBreak/>
        <w:t>进一步</w:t>
      </w:r>
      <w:r>
        <w:rPr>
          <w:lang w:val="en-US" w:eastAsia="zh-CN"/>
        </w:rPr>
        <w:t>认识到</w:t>
      </w:r>
    </w:p>
    <w:p w:rsidR="00173A86" w:rsidRPr="00173A86" w:rsidRDefault="00223866" w:rsidP="002337E0">
      <w:pPr>
        <w:ind w:firstLineChars="200" w:firstLine="480"/>
        <w:rPr>
          <w:lang w:val="en-US" w:eastAsia="zh-CN"/>
        </w:rPr>
      </w:pPr>
      <w:r>
        <w:rPr>
          <w:rFonts w:hint="eastAsia"/>
          <w:lang w:val="en-US" w:eastAsia="zh-CN"/>
        </w:rPr>
        <w:t>《无线电</w:t>
      </w:r>
      <w:r>
        <w:rPr>
          <w:lang w:val="en-US" w:eastAsia="zh-CN"/>
        </w:rPr>
        <w:t>规则》</w:t>
      </w:r>
      <w:r>
        <w:rPr>
          <w:rFonts w:hint="eastAsia"/>
          <w:lang w:val="en-US" w:eastAsia="zh-CN"/>
        </w:rPr>
        <w:t>第</w:t>
      </w:r>
      <w:r w:rsidR="00173A86" w:rsidRPr="002337E0">
        <w:rPr>
          <w:b/>
          <w:lang w:val="en-US" w:eastAsia="zh-CN"/>
        </w:rPr>
        <w:t>22.1</w:t>
      </w:r>
      <w:r w:rsidRPr="002337E0">
        <w:rPr>
          <w:rFonts w:hint="eastAsia"/>
          <w:bCs/>
          <w:lang w:val="en-US" w:eastAsia="zh-CN"/>
        </w:rPr>
        <w:t>和</w:t>
      </w:r>
      <w:r w:rsidR="00173A86" w:rsidRPr="002337E0">
        <w:rPr>
          <w:b/>
          <w:lang w:val="en-US" w:eastAsia="zh-CN"/>
        </w:rPr>
        <w:t>25.11</w:t>
      </w:r>
      <w:r w:rsidRPr="002337E0">
        <w:rPr>
          <w:rFonts w:hint="eastAsia"/>
          <w:bCs/>
          <w:lang w:val="en-US" w:eastAsia="zh-CN"/>
        </w:rPr>
        <w:t>款适用于空间电台，</w:t>
      </w:r>
    </w:p>
    <w:p w:rsidR="007621F1" w:rsidRPr="00BA2D44" w:rsidRDefault="007621F1" w:rsidP="007621F1">
      <w:pPr>
        <w:pStyle w:val="Call"/>
        <w:rPr>
          <w:lang w:val="en-US" w:eastAsia="zh-CN"/>
        </w:rPr>
      </w:pPr>
      <w:r w:rsidRPr="00BA2D44">
        <w:rPr>
          <w:rFonts w:hint="eastAsia"/>
          <w:lang w:val="en-US" w:eastAsia="zh-CN"/>
        </w:rPr>
        <w:t>注意到</w:t>
      </w:r>
    </w:p>
    <w:p w:rsidR="007621F1" w:rsidRPr="00081EEB" w:rsidRDefault="007621F1" w:rsidP="00010E5E">
      <w:pPr>
        <w:ind w:firstLineChars="200" w:firstLine="480"/>
        <w:rPr>
          <w:lang w:val="en-US" w:eastAsia="zh-CN"/>
        </w:rPr>
      </w:pPr>
      <w:r w:rsidRPr="009A102B">
        <w:rPr>
          <w:rFonts w:hint="eastAsia"/>
          <w:lang w:val="en-US" w:eastAsia="zh-CN"/>
        </w:rPr>
        <w:t>联合国外层空间事务</w:t>
      </w:r>
      <w:r w:rsidR="00010E5E">
        <w:rPr>
          <w:rFonts w:hint="eastAsia"/>
          <w:lang w:val="en-US" w:eastAsia="zh-CN"/>
        </w:rPr>
        <w:t>办公室</w:t>
      </w:r>
      <w:r w:rsidRPr="009A102B">
        <w:rPr>
          <w:rFonts w:hint="eastAsia"/>
          <w:lang w:val="en-US" w:eastAsia="zh-CN"/>
        </w:rPr>
        <w:t>和国际电联起草的《</w:t>
      </w:r>
      <w:r>
        <w:rPr>
          <w:rFonts w:hint="eastAsia"/>
          <w:lang w:val="en-US" w:eastAsia="zh-CN"/>
        </w:rPr>
        <w:t>有关</w:t>
      </w:r>
      <w:r w:rsidRPr="009A102B">
        <w:rPr>
          <w:rFonts w:hint="eastAsia"/>
          <w:lang w:val="en-US" w:eastAsia="zh-CN"/>
        </w:rPr>
        <w:t>小型及超小型卫星的空间物体登记和频率管理导则》，</w:t>
      </w:r>
    </w:p>
    <w:p w:rsidR="007621F1" w:rsidRPr="00BA2D44" w:rsidRDefault="007621F1" w:rsidP="007621F1">
      <w:pPr>
        <w:pStyle w:val="Call"/>
        <w:rPr>
          <w:lang w:val="en-US" w:eastAsia="zh-CN"/>
        </w:rPr>
      </w:pPr>
      <w:r w:rsidRPr="00BA2D44">
        <w:rPr>
          <w:rFonts w:hint="eastAsia"/>
          <w:lang w:val="en-US" w:eastAsia="zh-CN"/>
        </w:rPr>
        <w:t>做出决议</w:t>
      </w:r>
    </w:p>
    <w:p w:rsidR="007621F1" w:rsidRPr="00081EEB" w:rsidRDefault="007621F1" w:rsidP="00607340">
      <w:pPr>
        <w:ind w:firstLineChars="200" w:firstLine="480"/>
        <w:rPr>
          <w:lang w:val="en-US" w:eastAsia="zh-CN"/>
        </w:rPr>
      </w:pPr>
      <w:r>
        <w:rPr>
          <w:rFonts w:hint="eastAsia"/>
          <w:lang w:val="en-US" w:eastAsia="zh-CN"/>
        </w:rPr>
        <w:t>起草诸如建议书、报告或手册等有关小型卫星（特别是质量小于</w:t>
      </w:r>
      <w:r>
        <w:rPr>
          <w:rFonts w:hint="eastAsia"/>
          <w:lang w:val="en-US" w:eastAsia="zh-CN"/>
        </w:rPr>
        <w:t>100</w:t>
      </w:r>
      <w:r>
        <w:rPr>
          <w:rFonts w:hint="eastAsia"/>
          <w:lang w:val="en-US" w:eastAsia="zh-CN"/>
        </w:rPr>
        <w:t>千克的卫星）的</w:t>
      </w:r>
      <w:r w:rsidR="00607340">
        <w:rPr>
          <w:rFonts w:hint="eastAsia"/>
          <w:lang w:val="en-US" w:eastAsia="zh-CN"/>
        </w:rPr>
        <w:t>资</w:t>
      </w:r>
      <w:r>
        <w:rPr>
          <w:rFonts w:hint="eastAsia"/>
          <w:lang w:val="en-US" w:eastAsia="zh-CN"/>
        </w:rPr>
        <w:t>料，并在</w:t>
      </w:r>
      <w:r w:rsidR="00607340">
        <w:rPr>
          <w:rFonts w:hint="eastAsia"/>
          <w:lang w:val="en-US" w:eastAsia="zh-CN"/>
        </w:rPr>
        <w:t>资</w:t>
      </w:r>
      <w:r>
        <w:rPr>
          <w:rFonts w:hint="eastAsia"/>
          <w:lang w:val="en-US" w:eastAsia="zh-CN"/>
        </w:rPr>
        <w:t>料中纳入有助于增进了解向国际电联提交卫星网络申报材料的适用程序的详细信息，</w:t>
      </w:r>
    </w:p>
    <w:p w:rsidR="007621F1" w:rsidRPr="00BA2D44" w:rsidRDefault="007621F1" w:rsidP="007621F1">
      <w:pPr>
        <w:pStyle w:val="Call"/>
        <w:rPr>
          <w:lang w:val="en-US" w:eastAsia="zh-CN"/>
        </w:rPr>
      </w:pPr>
      <w:r w:rsidRPr="00BA2D44">
        <w:rPr>
          <w:rFonts w:hint="eastAsia"/>
          <w:lang w:val="en-US" w:eastAsia="zh-CN"/>
        </w:rPr>
        <w:t>请各主管部门</w:t>
      </w:r>
    </w:p>
    <w:p w:rsidR="007621F1" w:rsidRPr="00081EEB" w:rsidRDefault="007621F1" w:rsidP="007621F1">
      <w:pPr>
        <w:rPr>
          <w:lang w:val="en-US" w:eastAsia="zh-CN"/>
        </w:rPr>
      </w:pPr>
      <w:r w:rsidRPr="00081EEB">
        <w:rPr>
          <w:lang w:val="en-US" w:eastAsia="zh-CN"/>
        </w:rPr>
        <w:t>1</w:t>
      </w:r>
      <w:r w:rsidRPr="00081EEB">
        <w:rPr>
          <w:lang w:val="en-US" w:eastAsia="zh-CN"/>
        </w:rPr>
        <w:tab/>
      </w:r>
      <w:r>
        <w:rPr>
          <w:rFonts w:hint="eastAsia"/>
          <w:lang w:val="en-US" w:eastAsia="zh-CN"/>
        </w:rPr>
        <w:t>向其负责开发、制造、运营和发射小型卫星，特别是质量小于</w:t>
      </w:r>
      <w:r>
        <w:rPr>
          <w:rFonts w:hint="eastAsia"/>
          <w:lang w:val="en-US" w:eastAsia="zh-CN"/>
        </w:rPr>
        <w:t>100</w:t>
      </w:r>
      <w:r>
        <w:rPr>
          <w:rFonts w:hint="eastAsia"/>
          <w:lang w:val="en-US" w:eastAsia="zh-CN"/>
        </w:rPr>
        <w:t>千克的卫星（如纳卫星和皮卫星）的国家实体通报适用于协调、通知和使用轨道资源（即轨道和频率）的国际电联及国家的规则规定；</w:t>
      </w:r>
    </w:p>
    <w:p w:rsidR="007621F1" w:rsidRPr="00081EEB" w:rsidRDefault="007621F1" w:rsidP="007621F1">
      <w:pPr>
        <w:rPr>
          <w:lang w:val="en-US" w:eastAsia="zh-CN"/>
        </w:rPr>
      </w:pPr>
      <w:r w:rsidRPr="00081EEB">
        <w:rPr>
          <w:lang w:val="en-US" w:eastAsia="zh-CN"/>
        </w:rPr>
        <w:t>2</w:t>
      </w:r>
      <w:r w:rsidRPr="00081EEB">
        <w:rPr>
          <w:lang w:val="en-US" w:eastAsia="zh-CN"/>
        </w:rPr>
        <w:tab/>
      </w:r>
      <w:r>
        <w:rPr>
          <w:rFonts w:hint="eastAsia"/>
          <w:lang w:val="en-US" w:eastAsia="zh-CN"/>
        </w:rPr>
        <w:t>鼓励计划向外层空间发射和部署上述卫星的国家实体在卫星发射之前尽早启动相关的国际电联登记程序，</w:t>
      </w:r>
    </w:p>
    <w:p w:rsidR="007621F1" w:rsidRPr="00BA2D44" w:rsidRDefault="007621F1" w:rsidP="007621F1">
      <w:pPr>
        <w:pStyle w:val="Call"/>
        <w:rPr>
          <w:lang w:val="en-US" w:eastAsia="zh-CN"/>
        </w:rPr>
      </w:pPr>
      <w:r>
        <w:rPr>
          <w:rFonts w:hint="eastAsia"/>
          <w:lang w:val="en-US" w:eastAsia="zh-CN"/>
        </w:rPr>
        <w:t>要求</w:t>
      </w:r>
      <w:r w:rsidRPr="00BA2D44">
        <w:rPr>
          <w:rFonts w:hint="eastAsia"/>
          <w:lang w:val="en-US" w:eastAsia="zh-CN"/>
        </w:rPr>
        <w:t>秘书长</w:t>
      </w:r>
    </w:p>
    <w:p w:rsidR="007621F1" w:rsidRPr="00081EEB" w:rsidRDefault="007621F1" w:rsidP="00607340">
      <w:pPr>
        <w:ind w:firstLineChars="200" w:firstLine="480"/>
        <w:rPr>
          <w:lang w:val="en-US" w:eastAsia="zh-CN"/>
        </w:rPr>
      </w:pPr>
      <w:r>
        <w:rPr>
          <w:rFonts w:hint="eastAsia"/>
          <w:lang w:val="en-US" w:eastAsia="zh-CN"/>
        </w:rPr>
        <w:t>提请联合国和平利用外层空间委员会注意本决议。</w:t>
      </w:r>
    </w:p>
    <w:bookmarkEnd w:id="1"/>
    <w:bookmarkEnd w:id="2"/>
    <w:bookmarkEnd w:id="3"/>
    <w:bookmarkEnd w:id="4"/>
    <w:bookmarkEnd w:id="5"/>
    <w:bookmarkEnd w:id="6"/>
    <w:bookmarkEnd w:id="7"/>
    <w:bookmarkEnd w:id="8"/>
    <w:bookmarkEnd w:id="9"/>
    <w:bookmarkEnd w:id="10"/>
    <w:sectPr w:rsidR="007621F1" w:rsidRPr="00081EEB" w:rsidSect="009447A3">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FBD" w:rsidRDefault="00ED6FBD">
      <w:r>
        <w:separator/>
      </w:r>
    </w:p>
  </w:endnote>
  <w:endnote w:type="continuationSeparator" w:id="0">
    <w:p w:rsidR="00ED6FBD" w:rsidRDefault="00ED6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DD7DDC">
      <w:rPr>
        <w:noProof/>
        <w:lang w:val="fr-FR"/>
      </w:rPr>
      <w:t>P:\CHI\ITU-R\CONF-R\AR15\PLEN\000\076C.docx</w:t>
    </w:r>
    <w:r>
      <w:fldChar w:fldCharType="end"/>
    </w:r>
    <w:r w:rsidRPr="00877D12">
      <w:rPr>
        <w:lang w:val="fr-FR"/>
      </w:rPr>
      <w:tab/>
    </w:r>
    <w:r>
      <w:fldChar w:fldCharType="begin"/>
    </w:r>
    <w:r>
      <w:instrText xml:space="preserve"> SAVEDATE \@ DD.MM.YY </w:instrText>
    </w:r>
    <w:r>
      <w:fldChar w:fldCharType="separate"/>
    </w:r>
    <w:r w:rsidR="00D844D1">
      <w:rPr>
        <w:noProof/>
      </w:rPr>
      <w:t>30.10.15</w:t>
    </w:r>
    <w:r>
      <w:fldChar w:fldCharType="end"/>
    </w:r>
    <w:r w:rsidRPr="00877D12">
      <w:rPr>
        <w:lang w:val="fr-FR"/>
      </w:rPr>
      <w:tab/>
    </w:r>
    <w:r>
      <w:fldChar w:fldCharType="begin"/>
    </w:r>
    <w:r>
      <w:instrText xml:space="preserve"> PRINTDATE \@ DD.MM.YY </w:instrText>
    </w:r>
    <w:r>
      <w:fldChar w:fldCharType="separate"/>
    </w:r>
    <w:r w:rsidR="00DD7DDC">
      <w:rPr>
        <w:noProof/>
      </w:rPr>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D844D1" w:rsidRDefault="00586689" w:rsidP="00D844D1">
    <w:pPr>
      <w:pStyle w:val="Footer"/>
    </w:pPr>
    <w:bookmarkStart w:id="14" w:name="_GoBack"/>
    <w:bookmarkEnd w:id="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1F1" w:rsidRPr="00D844D1" w:rsidRDefault="007621F1" w:rsidP="00D844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FBD" w:rsidRDefault="00ED6FBD">
      <w:r>
        <w:rPr>
          <w:b/>
        </w:rPr>
        <w:t>_______________</w:t>
      </w:r>
    </w:p>
  </w:footnote>
  <w:footnote w:type="continuationSeparator" w:id="0">
    <w:p w:rsidR="00ED6FBD" w:rsidRDefault="00ED6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4D1" w:rsidRDefault="00D844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D844D1">
      <w:rPr>
        <w:noProof/>
        <w:lang w:val="en-US"/>
      </w:rPr>
      <w:t>2</w:t>
    </w:r>
    <w:r>
      <w:rPr>
        <w:lang w:val="en-U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4D1" w:rsidRDefault="00D844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BD"/>
    <w:rsid w:val="00010E5E"/>
    <w:rsid w:val="00074413"/>
    <w:rsid w:val="000A4DE8"/>
    <w:rsid w:val="000B258F"/>
    <w:rsid w:val="000E58EE"/>
    <w:rsid w:val="000F5994"/>
    <w:rsid w:val="00106A18"/>
    <w:rsid w:val="001468EB"/>
    <w:rsid w:val="00173A86"/>
    <w:rsid w:val="001A302D"/>
    <w:rsid w:val="001A41DD"/>
    <w:rsid w:val="001A50F9"/>
    <w:rsid w:val="001B1126"/>
    <w:rsid w:val="001B225D"/>
    <w:rsid w:val="001D5E28"/>
    <w:rsid w:val="001F6CF9"/>
    <w:rsid w:val="002066C1"/>
    <w:rsid w:val="00213F8F"/>
    <w:rsid w:val="00223866"/>
    <w:rsid w:val="002337E0"/>
    <w:rsid w:val="00282CCD"/>
    <w:rsid w:val="00322E06"/>
    <w:rsid w:val="003322FF"/>
    <w:rsid w:val="003E7419"/>
    <w:rsid w:val="00414A93"/>
    <w:rsid w:val="00416694"/>
    <w:rsid w:val="004425DE"/>
    <w:rsid w:val="00464997"/>
    <w:rsid w:val="004844C1"/>
    <w:rsid w:val="004B15CF"/>
    <w:rsid w:val="005022A9"/>
    <w:rsid w:val="00504838"/>
    <w:rsid w:val="00510E3E"/>
    <w:rsid w:val="0051620C"/>
    <w:rsid w:val="00516218"/>
    <w:rsid w:val="00541AC7"/>
    <w:rsid w:val="00550F39"/>
    <w:rsid w:val="00566EF0"/>
    <w:rsid w:val="00586689"/>
    <w:rsid w:val="005C5620"/>
    <w:rsid w:val="005E0A4C"/>
    <w:rsid w:val="006004C4"/>
    <w:rsid w:val="00603A86"/>
    <w:rsid w:val="00607340"/>
    <w:rsid w:val="00611879"/>
    <w:rsid w:val="00631265"/>
    <w:rsid w:val="00637543"/>
    <w:rsid w:val="00645B0F"/>
    <w:rsid w:val="006462D9"/>
    <w:rsid w:val="00647088"/>
    <w:rsid w:val="00670729"/>
    <w:rsid w:val="006B0F30"/>
    <w:rsid w:val="0071246B"/>
    <w:rsid w:val="007414AA"/>
    <w:rsid w:val="00756B1C"/>
    <w:rsid w:val="007621F1"/>
    <w:rsid w:val="0076542D"/>
    <w:rsid w:val="00777A88"/>
    <w:rsid w:val="00787250"/>
    <w:rsid w:val="00791EA4"/>
    <w:rsid w:val="00801D86"/>
    <w:rsid w:val="00810CC4"/>
    <w:rsid w:val="00845350"/>
    <w:rsid w:val="00870A30"/>
    <w:rsid w:val="00875757"/>
    <w:rsid w:val="00877D12"/>
    <w:rsid w:val="0088075E"/>
    <w:rsid w:val="008B1239"/>
    <w:rsid w:val="008D0271"/>
    <w:rsid w:val="00922045"/>
    <w:rsid w:val="009303AE"/>
    <w:rsid w:val="00943EBD"/>
    <w:rsid w:val="009447A3"/>
    <w:rsid w:val="00957C6D"/>
    <w:rsid w:val="00970B63"/>
    <w:rsid w:val="009A5A5A"/>
    <w:rsid w:val="009C1E4D"/>
    <w:rsid w:val="009D7F8E"/>
    <w:rsid w:val="00A015B6"/>
    <w:rsid w:val="00A05CE9"/>
    <w:rsid w:val="00A2305D"/>
    <w:rsid w:val="00A314F0"/>
    <w:rsid w:val="00B0145E"/>
    <w:rsid w:val="00B027B8"/>
    <w:rsid w:val="00B16DF9"/>
    <w:rsid w:val="00B20513"/>
    <w:rsid w:val="00B544A1"/>
    <w:rsid w:val="00B653C8"/>
    <w:rsid w:val="00B91659"/>
    <w:rsid w:val="00BB59AE"/>
    <w:rsid w:val="00BD2389"/>
    <w:rsid w:val="00BE3E12"/>
    <w:rsid w:val="00BE4EB7"/>
    <w:rsid w:val="00BE5003"/>
    <w:rsid w:val="00CA4C43"/>
    <w:rsid w:val="00CC3FF3"/>
    <w:rsid w:val="00D471A9"/>
    <w:rsid w:val="00D71DB3"/>
    <w:rsid w:val="00D844D1"/>
    <w:rsid w:val="00DD7DDC"/>
    <w:rsid w:val="00DE788E"/>
    <w:rsid w:val="00E13A1C"/>
    <w:rsid w:val="00E17171"/>
    <w:rsid w:val="00E42E15"/>
    <w:rsid w:val="00E818CB"/>
    <w:rsid w:val="00EC63A4"/>
    <w:rsid w:val="00ED6FBD"/>
    <w:rsid w:val="00ED765E"/>
    <w:rsid w:val="00F161A7"/>
    <w:rsid w:val="00F40514"/>
    <w:rsid w:val="00F40709"/>
    <w:rsid w:val="00F451F5"/>
    <w:rsid w:val="00F5493A"/>
    <w:rsid w:val="00F86151"/>
    <w:rsid w:val="00FA2B96"/>
    <w:rsid w:val="00FB41A8"/>
    <w:rsid w:val="00FB4E64"/>
    <w:rsid w:val="00FB65ED"/>
    <w:rsid w:val="00FE16DA"/>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F3112045-F1CA-4501-9CBE-3F6EEC3B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 + 5 pt,(Latin)...,Footnote Reference/,Footnote symbol,Style 12,(NECG) Footnote Reference,Style 124,Appel note de bas de p + 11 pt,Italic,Appel note de bas de p1,Appel note de bas de p2"/>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paragraph" w:customStyle="1" w:styleId="ResNoBR">
    <w:name w:val="Res_No_BR"/>
    <w:basedOn w:val="Normal"/>
    <w:next w:val="Restitle"/>
    <w:rsid w:val="006B0F30"/>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character" w:customStyle="1" w:styleId="CallChar">
    <w:name w:val="Call Char"/>
    <w:link w:val="Call"/>
    <w:locked/>
    <w:rsid w:val="006B0F30"/>
    <w:rPr>
      <w:rFonts w:ascii="STKaiti" w:eastAsia="STKaiti" w:hAnsi="STKaiti"/>
      <w:sz w:val="24"/>
      <w:lang w:val="en-GB" w:eastAsia="en-US"/>
    </w:rPr>
  </w:style>
  <w:style w:type="character" w:customStyle="1" w:styleId="enumlev1Char">
    <w:name w:val="enumlev1 Char"/>
    <w:link w:val="enumlev1"/>
    <w:locked/>
    <w:rsid w:val="006B0F30"/>
    <w:rPr>
      <w:rFonts w:ascii="Times New Roman" w:hAnsi="Times New Roman"/>
      <w:sz w:val="24"/>
      <w:lang w:val="en-GB" w:eastAsia="en-US"/>
    </w:rPr>
  </w:style>
  <w:style w:type="character" w:customStyle="1" w:styleId="RestitleChar">
    <w:name w:val="Res_title Char"/>
    <w:link w:val="Restitle"/>
    <w:locked/>
    <w:rsid w:val="006B0F30"/>
    <w:rPr>
      <w:rFonts w:ascii="Times New Roman Bold" w:hAnsi="Times New Roman Bold"/>
      <w:b/>
      <w:sz w:val="28"/>
      <w:lang w:val="en-GB" w:eastAsia="en-US"/>
    </w:rPr>
  </w:style>
  <w:style w:type="character" w:customStyle="1" w:styleId="NormalaftertitleChar">
    <w:name w:val="Normal after title Char"/>
    <w:basedOn w:val="DefaultParagraphFont"/>
    <w:link w:val="Normalaftertitle"/>
    <w:rsid w:val="006B0F30"/>
    <w:rPr>
      <w:rFonts w:ascii="Times New Roman" w:hAnsi="Times New Roman"/>
      <w:sz w:val="24"/>
      <w:lang w:val="en-GB" w:eastAsia="en-US"/>
    </w:rPr>
  </w:style>
  <w:style w:type="character" w:customStyle="1" w:styleId="AnnexNoCar">
    <w:name w:val="Annex_No Car"/>
    <w:basedOn w:val="DefaultParagraphFont"/>
    <w:link w:val="AnnexNo"/>
    <w:locked/>
    <w:rsid w:val="006B0F30"/>
    <w:rPr>
      <w:rFonts w:ascii="Times New Roman" w:hAnsi="Times New Roman"/>
      <w:caps/>
      <w:sz w:val="28"/>
      <w:lang w:val="en-GB" w:eastAsia="en-US"/>
    </w:rPr>
  </w:style>
  <w:style w:type="character" w:styleId="Hyperlink">
    <w:name w:val="Hyperlink"/>
    <w:basedOn w:val="DefaultParagraphFont"/>
    <w:rsid w:val="00FB65ED"/>
    <w:rPr>
      <w:color w:val="0000FF"/>
      <w:u w:val="single"/>
    </w:rPr>
  </w:style>
  <w:style w:type="character" w:styleId="FollowedHyperlink">
    <w:name w:val="FollowedHyperlink"/>
    <w:basedOn w:val="DefaultParagraphFont"/>
    <w:semiHidden/>
    <w:unhideWhenUsed/>
    <w:rsid w:val="002337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PC_RA15.dotx</Template>
  <TotalTime>11</TotalTime>
  <Pages>2</Pages>
  <Words>1038</Words>
  <Characters>100</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Xu, Hui</dc:creator>
  <cp:keywords/>
  <dc:description>Document /1004-E  For: _x000d_Document date: 30 March 2007_x000d_Saved by PCW43981 at 15:42:54 on 05.04.2007</dc:description>
  <cp:lastModifiedBy>Santa Rita Fernandes, Augusto Cesar</cp:lastModifiedBy>
  <cp:revision>8</cp:revision>
  <cp:lastPrinted>2015-10-28T14:02:00Z</cp:lastPrinted>
  <dcterms:created xsi:type="dcterms:W3CDTF">2015-10-30T12:59:00Z</dcterms:created>
  <dcterms:modified xsi:type="dcterms:W3CDTF">2015-11-02T19:10:00Z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