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9" w:type="dxa"/>
        <w:tblLayout w:type="fixed"/>
        <w:tblLook w:val="0000" w:firstRow="0" w:lastRow="0" w:firstColumn="0" w:lastColumn="0" w:noHBand="0" w:noVBand="0"/>
      </w:tblPr>
      <w:tblGrid>
        <w:gridCol w:w="10139"/>
      </w:tblGrid>
      <w:tr w:rsidR="00A5284B" w:rsidRPr="00A5284B" w:rsidTr="00CA7C96">
        <w:trPr>
          <w:cantSplit/>
        </w:trPr>
        <w:tc>
          <w:tcPr>
            <w:tcW w:w="10139" w:type="dxa"/>
          </w:tcPr>
          <w:p w:rsidR="00A5284B" w:rsidRPr="00A5284B" w:rsidRDefault="00A5284B" w:rsidP="000C31A9">
            <w:pPr>
              <w:pStyle w:val="ResNo"/>
            </w:pPr>
            <w:bookmarkStart w:id="0" w:name="dtitle1" w:colFirst="0" w:colLast="0"/>
            <w:r w:rsidRPr="00A5284B">
              <w:t xml:space="preserve">resolución </w:t>
            </w:r>
            <w:r>
              <w:t>UIT</w:t>
            </w:r>
            <w:r w:rsidRPr="00A5284B">
              <w:t xml:space="preserve">-R </w:t>
            </w:r>
            <w:r w:rsidR="000C31A9">
              <w:t>68</w:t>
            </w:r>
          </w:p>
        </w:tc>
      </w:tr>
      <w:tr w:rsidR="00A5284B" w:rsidRPr="00A5284B" w:rsidTr="00CA7C96">
        <w:trPr>
          <w:cantSplit/>
        </w:trPr>
        <w:tc>
          <w:tcPr>
            <w:tcW w:w="10139" w:type="dxa"/>
          </w:tcPr>
          <w:p w:rsidR="00A5284B" w:rsidRPr="00A5284B" w:rsidRDefault="00A5284B" w:rsidP="005D1F45">
            <w:pPr>
              <w:pStyle w:val="Restitle"/>
            </w:pPr>
            <w:bookmarkStart w:id="1" w:name="dtitle2" w:colFirst="0" w:colLast="0"/>
            <w:bookmarkEnd w:id="0"/>
            <w:r w:rsidRPr="00704C00">
              <w:t xml:space="preserve">Mejora de la </w:t>
            </w:r>
            <w:r w:rsidR="005D1F45">
              <w:t>difusión</w:t>
            </w:r>
            <w:r w:rsidRPr="00704C00">
              <w:t xml:space="preserve"> de </w:t>
            </w:r>
            <w:r w:rsidR="000C31A9">
              <w:t xml:space="preserve">los </w:t>
            </w:r>
            <w:r w:rsidRPr="00704C00">
              <w:t xml:space="preserve">conocimientos </w:t>
            </w:r>
            <w:r w:rsidR="000C31A9">
              <w:t>relativos a</w:t>
            </w:r>
            <w:r w:rsidRPr="00704C00">
              <w:t xml:space="preserve"> los procedimientos reglamentarios aplicables a los satélites pequeños, </w:t>
            </w:r>
            <w:r w:rsidRPr="00704C00">
              <w:br/>
              <w:t>nanosatélites y picosatélites inclusive</w:t>
            </w:r>
          </w:p>
        </w:tc>
      </w:tr>
    </w:tbl>
    <w:bookmarkEnd w:id="1"/>
    <w:p w:rsidR="00561D3B" w:rsidRDefault="00561D3B" w:rsidP="00561D3B">
      <w:pPr>
        <w:pStyle w:val="Normalaftertitle0"/>
        <w:jc w:val="right"/>
        <w:rPr>
          <w:lang w:val="es-ES_tradnl"/>
        </w:rPr>
      </w:pPr>
      <w:r>
        <w:rPr>
          <w:lang w:val="es-ES_tradnl"/>
        </w:rPr>
        <w:t>(2015)</w:t>
      </w:r>
    </w:p>
    <w:p w:rsidR="00A5284B" w:rsidRPr="00704C00" w:rsidRDefault="00A5284B" w:rsidP="00A5284B">
      <w:pPr>
        <w:pStyle w:val="Normalaftertitle0"/>
        <w:rPr>
          <w:lang w:val="es-ES_tradnl"/>
        </w:rPr>
      </w:pPr>
      <w:r w:rsidRPr="00704C00">
        <w:rPr>
          <w:lang w:val="es-ES_tradnl"/>
        </w:rPr>
        <w:t>La Asamblea de Radiocomunicaciones de la UIT,</w:t>
      </w:r>
    </w:p>
    <w:p w:rsidR="00A5284B" w:rsidRPr="00704C00" w:rsidRDefault="00A5284B" w:rsidP="00A5284B">
      <w:pPr>
        <w:pStyle w:val="Call"/>
      </w:pPr>
      <w:r w:rsidRPr="00704C00">
        <w:t>considerando</w:t>
      </w:r>
    </w:p>
    <w:p w:rsidR="00A5284B" w:rsidRPr="00704C00" w:rsidRDefault="00A5284B" w:rsidP="00561D3B">
      <w:pPr>
        <w:rPr>
          <w:iCs/>
        </w:rPr>
      </w:pPr>
      <w:r w:rsidRPr="00704C00">
        <w:rPr>
          <w:i/>
          <w:iCs/>
        </w:rPr>
        <w:t>a)</w:t>
      </w:r>
      <w:r w:rsidRPr="00704C00">
        <w:tab/>
        <w:t xml:space="preserve">que existe la posibilidad de que algunos </w:t>
      </w:r>
      <w:r w:rsidR="00561D3B">
        <w:t>conceptores</w:t>
      </w:r>
      <w:r w:rsidRPr="00704C00">
        <w:t xml:space="preserve"> y fabricantes de satélites pequeños (normalmente de masa inferior a 100 kg), comprendidos los denominados nanosatélites (de 1 a 10</w:t>
      </w:r>
      <w:r>
        <w:t> </w:t>
      </w:r>
      <w:r w:rsidRPr="00704C00">
        <w:t>kg) y picosatélites (de 0,1 a 1 kg) no conozcan los procedimientos reglamentarios aplicables de la UIT;</w:t>
      </w:r>
    </w:p>
    <w:p w:rsidR="00A5284B" w:rsidRPr="00704C00" w:rsidRDefault="00A5284B" w:rsidP="00A5284B">
      <w:pPr>
        <w:rPr>
          <w:iCs/>
        </w:rPr>
      </w:pPr>
      <w:r w:rsidRPr="00704C00">
        <w:rPr>
          <w:i/>
          <w:iCs/>
        </w:rPr>
        <w:t>b)</w:t>
      </w:r>
      <w:r w:rsidRPr="00704C00">
        <w:tab/>
        <w:t>que a algunas administraciones les sería útil disponer de información adicional sobre la aplicación de los procedimientos reglamentarios de la UIT a la utilización del espectro y las órbitas;</w:t>
      </w:r>
    </w:p>
    <w:p w:rsidR="00A5284B" w:rsidRPr="00704C00" w:rsidRDefault="00A5284B" w:rsidP="00A5284B">
      <w:pPr>
        <w:rPr>
          <w:iCs/>
        </w:rPr>
      </w:pPr>
      <w:r w:rsidRPr="00704C00">
        <w:rPr>
          <w:i/>
          <w:iCs/>
        </w:rPr>
        <w:t>c)</w:t>
      </w:r>
      <w:r w:rsidRPr="00704C00">
        <w:tab/>
        <w:t>que la falta de conocimientos sobre los procedimientos de la UIT puede dar lugar a demoras en la notificación y, a veces, al lanzamiento de estos tipos de satélites sin haber aplicado los procedimientos reglamentarios, con el consecuente riesgo de causar interferencia a otras redes de satélite,</w:t>
      </w:r>
    </w:p>
    <w:p w:rsidR="00A5284B" w:rsidRPr="00704C00" w:rsidRDefault="00A5284B" w:rsidP="00A5284B">
      <w:pPr>
        <w:pStyle w:val="Call"/>
      </w:pPr>
      <w:r w:rsidRPr="00704C00">
        <w:rPr>
          <w:iCs/>
        </w:rPr>
        <w:t>considerando además</w:t>
      </w:r>
    </w:p>
    <w:p w:rsidR="00A5284B" w:rsidRPr="00704C00" w:rsidRDefault="00A5284B" w:rsidP="00A5284B">
      <w:pPr>
        <w:rPr>
          <w:iCs/>
        </w:rPr>
      </w:pPr>
      <w:r w:rsidRPr="00704C00">
        <w:rPr>
          <w:i/>
          <w:iCs/>
        </w:rPr>
        <w:t>a)</w:t>
      </w:r>
      <w:r w:rsidRPr="00704C00">
        <w:tab/>
        <w:t xml:space="preserve">que de conformidad con el Artículo </w:t>
      </w:r>
      <w:r w:rsidRPr="00704C00">
        <w:rPr>
          <w:b/>
          <w:bCs/>
        </w:rPr>
        <w:t>8</w:t>
      </w:r>
      <w:r w:rsidRPr="00704C00">
        <w:t xml:space="preserve"> del Reglamento de Radiocomunicaciones «Los derechos y obligaciones internacionales de las administraciones con respecto a sus propias asignaciones de frecuencia y a las de otras administraciones emanarán de la inscripción de esas asignaciones en el Registro Internacional de Frecuencias (el Registro)»;</w:t>
      </w:r>
    </w:p>
    <w:p w:rsidR="00A5284B" w:rsidRPr="00704C00" w:rsidRDefault="00A5284B" w:rsidP="00A5284B">
      <w:pPr>
        <w:rPr>
          <w:iCs/>
        </w:rPr>
      </w:pPr>
      <w:r w:rsidRPr="00704C00">
        <w:rPr>
          <w:i/>
          <w:iCs/>
        </w:rPr>
        <w:t>b)</w:t>
      </w:r>
      <w:r w:rsidRPr="00704C00">
        <w:tab/>
        <w:t>que</w:t>
      </w:r>
      <w:r w:rsidR="005B21CC">
        <w:t>,</w:t>
      </w:r>
      <w:r w:rsidRPr="00704C00">
        <w:t xml:space="preserve"> para poder inscribir asignaciones</w:t>
      </w:r>
      <w:r w:rsidR="005B21CC">
        <w:t>,</w:t>
      </w:r>
      <w:r w:rsidRPr="00704C00">
        <w:t xml:space="preserve"> todo sistema de satélite debe cumplir lo dispuesto en los Artículos </w:t>
      </w:r>
      <w:r w:rsidRPr="00704C00">
        <w:rPr>
          <w:b/>
          <w:bCs/>
        </w:rPr>
        <w:t>9</w:t>
      </w:r>
      <w:r w:rsidRPr="00704C00">
        <w:t xml:space="preserve"> y </w:t>
      </w:r>
      <w:r w:rsidRPr="00704C00">
        <w:rPr>
          <w:b/>
          <w:bCs/>
        </w:rPr>
        <w:t>11</w:t>
      </w:r>
      <w:r w:rsidRPr="00704C00">
        <w:t xml:space="preserve"> del Reglamento de Radiocomunicaciones, según proceda;</w:t>
      </w:r>
    </w:p>
    <w:p w:rsidR="00A5284B" w:rsidRPr="00704C00" w:rsidRDefault="00A5284B" w:rsidP="00EB0F3A">
      <w:pPr>
        <w:rPr>
          <w:iCs/>
        </w:rPr>
      </w:pPr>
      <w:r w:rsidRPr="00704C00">
        <w:rPr>
          <w:i/>
          <w:iCs/>
        </w:rPr>
        <w:t>c)</w:t>
      </w:r>
      <w:r w:rsidRPr="00704C00">
        <w:tab/>
        <w:t>que es importante garantizar que toda utilización de frecuencias radioeléctricas por satélite (</w:t>
      </w:r>
      <w:r w:rsidR="00EB0F3A">
        <w:t xml:space="preserve">incluidos los </w:t>
      </w:r>
      <w:r w:rsidRPr="00704C00">
        <w:t xml:space="preserve">nanosatélites y </w:t>
      </w:r>
      <w:r w:rsidR="00EB0F3A">
        <w:t xml:space="preserve">los </w:t>
      </w:r>
      <w:r w:rsidRPr="00704C00">
        <w:t>picosatélites) evite causar interferencia perjudicial a otros sistemas y servicios;</w:t>
      </w:r>
    </w:p>
    <w:p w:rsidR="00A5284B" w:rsidRPr="00704C00" w:rsidRDefault="00A5284B" w:rsidP="00A5284B">
      <w:pPr>
        <w:rPr>
          <w:iCs/>
        </w:rPr>
      </w:pPr>
      <w:r w:rsidRPr="00704C00">
        <w:rPr>
          <w:i/>
          <w:iCs/>
        </w:rPr>
        <w:t>d)</w:t>
      </w:r>
      <w:r w:rsidRPr="00704C00">
        <w:tab/>
        <w:t>que la correspondiente inscripción de satélites en la UIT (notificaciones, inscripción en el Registro) debe realizarse de manera oportuna;</w:t>
      </w:r>
    </w:p>
    <w:p w:rsidR="00A5284B" w:rsidRPr="00704C00" w:rsidRDefault="00A5284B" w:rsidP="00705669">
      <w:pPr>
        <w:rPr>
          <w:iCs/>
        </w:rPr>
      </w:pPr>
      <w:r w:rsidRPr="00704C00">
        <w:rPr>
          <w:i/>
          <w:iCs/>
        </w:rPr>
        <w:t>e)</w:t>
      </w:r>
      <w:r w:rsidRPr="00704C00">
        <w:tab/>
        <w:t xml:space="preserve">que es importante que las administraciones implicadas y los </w:t>
      </w:r>
      <w:r w:rsidR="00705669">
        <w:t>conceptores</w:t>
      </w:r>
      <w:r w:rsidRPr="00704C00">
        <w:t xml:space="preserve"> conozcan los procesos de la UIT aplicables en lo que respecta a las prácticas mencionadas en el </w:t>
      </w:r>
      <w:r w:rsidRPr="00704C00">
        <w:rPr>
          <w:i/>
          <w:iCs/>
        </w:rPr>
        <w:t>considerando además d)</w:t>
      </w:r>
      <w:r w:rsidRPr="00704C00">
        <w:t>;</w:t>
      </w:r>
    </w:p>
    <w:p w:rsidR="00A5284B" w:rsidRPr="00704C00" w:rsidRDefault="00A5284B" w:rsidP="005B21CC">
      <w:pPr>
        <w:rPr>
          <w:iCs/>
        </w:rPr>
      </w:pPr>
      <w:r w:rsidRPr="00704C00">
        <w:rPr>
          <w:i/>
          <w:iCs/>
        </w:rPr>
        <w:t>f)</w:t>
      </w:r>
      <w:r w:rsidRPr="00704C00">
        <w:tab/>
        <w:t>que todo satélite, comprendidos satélites pequeños como los nanosatélites y picosatélites, debe utilizar las frecuencias radioeléctricas de conformidad con el Reglamento de Radiocomunicaciones y las Recomendaciones UIT-R;</w:t>
      </w:r>
    </w:p>
    <w:p w:rsidR="00A5284B" w:rsidRPr="00704C00" w:rsidRDefault="00A5284B" w:rsidP="005B21CC">
      <w:pPr>
        <w:rPr>
          <w:iCs/>
        </w:rPr>
      </w:pPr>
      <w:r w:rsidRPr="00704C00">
        <w:rPr>
          <w:i/>
          <w:iCs/>
        </w:rPr>
        <w:t>g)</w:t>
      </w:r>
      <w:r w:rsidRPr="00704C00">
        <w:tab/>
        <w:t xml:space="preserve">que muchos satélites pequeños no disponen de sistema de propulsión y, por </w:t>
      </w:r>
      <w:r w:rsidR="005B21CC">
        <w:t>tanto</w:t>
      </w:r>
      <w:r w:rsidRPr="00704C00">
        <w:t>, no pueden mantener una altitud de órbita constante,</w:t>
      </w:r>
    </w:p>
    <w:p w:rsidR="00A5284B" w:rsidRPr="00704C00" w:rsidRDefault="00A5284B" w:rsidP="00A5284B">
      <w:pPr>
        <w:pStyle w:val="Call"/>
      </w:pPr>
      <w:r w:rsidRPr="00704C00">
        <w:rPr>
          <w:iCs/>
        </w:rPr>
        <w:lastRenderedPageBreak/>
        <w:t>reconociendo</w:t>
      </w:r>
    </w:p>
    <w:p w:rsidR="00A5284B" w:rsidRPr="00704C00" w:rsidRDefault="00A5284B" w:rsidP="005B21CC">
      <w:pPr>
        <w:rPr>
          <w:iCs/>
        </w:rPr>
      </w:pPr>
      <w:r w:rsidRPr="00704C00">
        <w:rPr>
          <w:i/>
          <w:iCs/>
        </w:rPr>
        <w:t>a)</w:t>
      </w:r>
      <w:r w:rsidRPr="00704C00">
        <w:tab/>
        <w:t xml:space="preserve">que </w:t>
      </w:r>
      <w:r w:rsidR="005B21CC">
        <w:t xml:space="preserve">está creciendo </w:t>
      </w:r>
      <w:r w:rsidRPr="00704C00">
        <w:t>el número de satélites pequeños (en particular, los que tienen una masa inferior a 100 kg) que ya se han lanzado o se lanzarán;</w:t>
      </w:r>
    </w:p>
    <w:p w:rsidR="00A5284B" w:rsidRPr="00704C00" w:rsidRDefault="00A5284B" w:rsidP="00A5284B">
      <w:pPr>
        <w:rPr>
          <w:iCs/>
        </w:rPr>
      </w:pPr>
      <w:r w:rsidRPr="00704C00">
        <w:rPr>
          <w:i/>
          <w:iCs/>
        </w:rPr>
        <w:t>b)</w:t>
      </w:r>
      <w:r w:rsidRPr="00704C00">
        <w:tab/>
        <w:t>que estos tipos de satélites pueden ofrecer un medio asequible de acceso a los recursos orbitales (espectro y órbitas) para los nuevos operadores en el espacio;</w:t>
      </w:r>
    </w:p>
    <w:p w:rsidR="00A5284B" w:rsidRPr="00704C00" w:rsidRDefault="00A5284B" w:rsidP="00A5284B">
      <w:r w:rsidRPr="00704C00">
        <w:rPr>
          <w:i/>
          <w:iCs/>
        </w:rPr>
        <w:t>c)</w:t>
      </w:r>
      <w:r w:rsidRPr="00704C00">
        <w:tab/>
        <w:t>que, si bien la masa y el tamaño del satélite no es importante desde la perspectiva de la gestión de frecuencias, las reducidas dimensiones y masa de estos satélites han sido los principales factores de su éxito entre los nuevos países que se aventuran en el espacio,</w:t>
      </w:r>
    </w:p>
    <w:p w:rsidR="00A5284B" w:rsidRPr="00704C00" w:rsidRDefault="00A5284B" w:rsidP="00A5284B">
      <w:pPr>
        <w:rPr>
          <w:i/>
          <w:iCs/>
        </w:rPr>
      </w:pPr>
      <w:r>
        <w:rPr>
          <w:i/>
          <w:iCs/>
        </w:rPr>
        <w:tab/>
      </w:r>
      <w:r w:rsidRPr="00704C00">
        <w:rPr>
          <w:i/>
          <w:iCs/>
        </w:rPr>
        <w:t>reconociendo además</w:t>
      </w:r>
    </w:p>
    <w:p w:rsidR="00A5284B" w:rsidRPr="00856F0E" w:rsidRDefault="00A5284B" w:rsidP="00A5284B">
      <w:r w:rsidRPr="00704C00">
        <w:t xml:space="preserve">la aplicación de los números </w:t>
      </w:r>
      <w:r w:rsidRPr="00704C00">
        <w:rPr>
          <w:b/>
          <w:bCs/>
        </w:rPr>
        <w:t>22.1</w:t>
      </w:r>
      <w:r w:rsidRPr="00704C00">
        <w:t xml:space="preserve"> y </w:t>
      </w:r>
      <w:r w:rsidRPr="00704C00">
        <w:rPr>
          <w:b/>
          <w:bCs/>
        </w:rPr>
        <w:t>25.11</w:t>
      </w:r>
      <w:r w:rsidRPr="00704C00">
        <w:t xml:space="preserve"> del RR para las estaciones espaciales,</w:t>
      </w:r>
    </w:p>
    <w:p w:rsidR="00A5284B" w:rsidRPr="00704C00" w:rsidRDefault="00A5284B" w:rsidP="00A5284B">
      <w:pPr>
        <w:pStyle w:val="Call"/>
      </w:pPr>
      <w:r w:rsidRPr="00704C00">
        <w:rPr>
          <w:iCs/>
        </w:rPr>
        <w:t>observando</w:t>
      </w:r>
    </w:p>
    <w:p w:rsidR="00A5284B" w:rsidRPr="00704C00" w:rsidRDefault="00A5284B" w:rsidP="00A5284B">
      <w:r w:rsidRPr="00704C00">
        <w:t>la «Guidance on Space Object Registration and Frequency Management for Small and Very Small Satellites» preparada por la Oficina de Asuntos del Espacio Ultraterrestre de las Naciones Unidas y la UIT,</w:t>
      </w:r>
    </w:p>
    <w:p w:rsidR="00A5284B" w:rsidRPr="00704C00" w:rsidRDefault="00A5284B" w:rsidP="00A5284B">
      <w:pPr>
        <w:pStyle w:val="Call"/>
      </w:pPr>
      <w:r w:rsidRPr="00704C00">
        <w:rPr>
          <w:iCs/>
        </w:rPr>
        <w:t>resuelve</w:t>
      </w:r>
    </w:p>
    <w:p w:rsidR="00A5284B" w:rsidRPr="00704C00" w:rsidRDefault="00A5284B" w:rsidP="005B21CC">
      <w:r w:rsidRPr="00704C00">
        <w:t>preparar material, como recomendaciones, informes o manuales sobre satélites pequeños (en particular, satélites de masa inferior a 100 kg), que contenga información detallada a fin de contribuir a la divulgación de conocimientos sobre los procedimientos aplicables a la notificación de redes de satélites a la UIT,</w:t>
      </w:r>
    </w:p>
    <w:p w:rsidR="00A5284B" w:rsidRPr="00704C00" w:rsidRDefault="00A5284B" w:rsidP="00A5284B">
      <w:pPr>
        <w:pStyle w:val="Call"/>
      </w:pPr>
      <w:r w:rsidRPr="00704C00">
        <w:rPr>
          <w:iCs/>
        </w:rPr>
        <w:t>invita a las Administraciones</w:t>
      </w:r>
    </w:p>
    <w:p w:rsidR="00A5284B" w:rsidRPr="00704C00" w:rsidRDefault="00A5284B" w:rsidP="005B21CC">
      <w:r w:rsidRPr="00704C00">
        <w:t>1</w:t>
      </w:r>
      <w:r w:rsidRPr="00704C00">
        <w:tab/>
        <w:t xml:space="preserve">a informar a sus entidades nacionales </w:t>
      </w:r>
      <w:r w:rsidR="005B21CC">
        <w:t>implicadas</w:t>
      </w:r>
      <w:r w:rsidRPr="00704C00">
        <w:t xml:space="preserve"> en el desarrollo, fabricación, explotación y lanzamiento de satélites pequeños, en particular los de masa inferior a 100 kg (tales como los nanosatélites y picosatélites), sobre las disposiciones reglamentarias nacionales y de la UIT aplicables a la coordinación, notificación y utilización de recursos orbitales (es decir, órbitas y frecuencias);</w:t>
      </w:r>
    </w:p>
    <w:p w:rsidR="00A5284B" w:rsidRPr="00704C00" w:rsidRDefault="00A5284B" w:rsidP="005B21CC">
      <w:r w:rsidRPr="00704C00">
        <w:t>2</w:t>
      </w:r>
      <w:r w:rsidRPr="00704C00">
        <w:tab/>
        <w:t>a instar a sus entidades nacionales</w:t>
      </w:r>
      <w:r w:rsidR="005B21CC">
        <w:t xml:space="preserve"> que tengan intención de</w:t>
      </w:r>
      <w:r w:rsidRPr="00704C00">
        <w:t xml:space="preserve"> lanzar y desplegar en el espacio exterior los tipos de satélite antes mencionados a </w:t>
      </w:r>
      <w:r w:rsidR="005B21CC">
        <w:t>que inicien</w:t>
      </w:r>
      <w:r w:rsidRPr="00704C00">
        <w:t xml:space="preserve"> los procedimientos pertinentes de inscripción en la UIT lo antes posible, antes del lanzamiento del satélite,</w:t>
      </w:r>
    </w:p>
    <w:p w:rsidR="00A5284B" w:rsidRPr="00704C00" w:rsidRDefault="00A5284B" w:rsidP="00A5284B">
      <w:pPr>
        <w:pStyle w:val="Call"/>
      </w:pPr>
      <w:r w:rsidRPr="00704C00">
        <w:rPr>
          <w:iCs/>
        </w:rPr>
        <w:t>pide al Secretario General</w:t>
      </w:r>
    </w:p>
    <w:p w:rsidR="005B21CC" w:rsidRPr="00704C00" w:rsidRDefault="00A5284B" w:rsidP="005B21CC">
      <w:r w:rsidRPr="00704C00">
        <w:t>que señale la presente Resolución a la atención de la Comisión de las Naciones Unidas sobre la Utilización del Espacio Ultraterrestre con Fines Pacíficos.</w:t>
      </w:r>
    </w:p>
    <w:p w:rsidR="00A5284B" w:rsidRPr="00704C00" w:rsidRDefault="00A5284B" w:rsidP="00A5284B">
      <w:pPr>
        <w:jc w:val="center"/>
      </w:pPr>
    </w:p>
    <w:sectPr w:rsidR="00A5284B" w:rsidRPr="00704C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84B" w:rsidRDefault="00A5284B">
      <w:r>
        <w:separator/>
      </w:r>
    </w:p>
  </w:endnote>
  <w:endnote w:type="continuationSeparator" w:id="0">
    <w:p w:rsidR="00A5284B" w:rsidRDefault="00A5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61D3B">
      <w:rPr>
        <w:noProof/>
        <w:lang w:val="en-US"/>
      </w:rPr>
      <w:t>P:\ESP\ITU-R\CONF-R\AR15\FINRES\068S.docx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460EF">
      <w:rPr>
        <w:noProof/>
      </w:rPr>
      <w:t>30.10.15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1D3B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191" w:rsidRPr="005460EF" w:rsidRDefault="00FB4191" w:rsidP="005460EF">
    <w:pPr>
      <w:pStyle w:val="Footer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918" w:rsidRPr="005460EF" w:rsidRDefault="002C5918" w:rsidP="005460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84B" w:rsidRDefault="00A5284B">
      <w:r>
        <w:rPr>
          <w:b/>
        </w:rPr>
        <w:t>_______________</w:t>
      </w:r>
    </w:p>
  </w:footnote>
  <w:footnote w:type="continuationSeparator" w:id="0">
    <w:p w:rsidR="00A5284B" w:rsidRDefault="00A52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0EF" w:rsidRDefault="005460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84B" w:rsidRDefault="00A5284B" w:rsidP="005B21C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5460EF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0EF" w:rsidRDefault="005460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4B"/>
    <w:rsid w:val="00012B52"/>
    <w:rsid w:val="00016A7C"/>
    <w:rsid w:val="00020ACE"/>
    <w:rsid w:val="000C31A9"/>
    <w:rsid w:val="00132502"/>
    <w:rsid w:val="001721DD"/>
    <w:rsid w:val="002334F2"/>
    <w:rsid w:val="002B6243"/>
    <w:rsid w:val="002C5918"/>
    <w:rsid w:val="00466F3C"/>
    <w:rsid w:val="005335D1"/>
    <w:rsid w:val="005460EF"/>
    <w:rsid w:val="00561D3B"/>
    <w:rsid w:val="005648DF"/>
    <w:rsid w:val="005B21CC"/>
    <w:rsid w:val="005C4F7E"/>
    <w:rsid w:val="005D1F45"/>
    <w:rsid w:val="006050EE"/>
    <w:rsid w:val="00681A5B"/>
    <w:rsid w:val="00693CB4"/>
    <w:rsid w:val="00705669"/>
    <w:rsid w:val="007F7D55"/>
    <w:rsid w:val="0081187A"/>
    <w:rsid w:val="008246E6"/>
    <w:rsid w:val="00856F0E"/>
    <w:rsid w:val="008A4BAC"/>
    <w:rsid w:val="008E02B6"/>
    <w:rsid w:val="009630C4"/>
    <w:rsid w:val="00984522"/>
    <w:rsid w:val="00A5284B"/>
    <w:rsid w:val="00AF7660"/>
    <w:rsid w:val="00BF1023"/>
    <w:rsid w:val="00C278F8"/>
    <w:rsid w:val="00CA7C96"/>
    <w:rsid w:val="00DE35E9"/>
    <w:rsid w:val="00E01901"/>
    <w:rsid w:val="00EB0F3A"/>
    <w:rsid w:val="00EB5C7B"/>
    <w:rsid w:val="00EE1758"/>
    <w:rsid w:val="00FB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A4261E2B-31E6-423B-8490-E8E68ABB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character" w:styleId="Hyperlink">
    <w:name w:val="Hyperlink"/>
    <w:basedOn w:val="DefaultParagraphFont"/>
    <w:unhideWhenUsed/>
    <w:rsid w:val="00A528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5284B"/>
    <w:rPr>
      <w:color w:val="800080" w:themeColor="followedHyperlink"/>
      <w:u w:val="single"/>
    </w:rPr>
  </w:style>
  <w:style w:type="paragraph" w:customStyle="1" w:styleId="Normalaftertitle0">
    <w:name w:val="Normal_after_title"/>
    <w:basedOn w:val="Normal"/>
    <w:next w:val="Normal"/>
    <w:rsid w:val="00A5284B"/>
    <w:pPr>
      <w:spacing w:before="36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PS_RA15.dotm</Template>
  <TotalTime>16</TotalTime>
  <Pages>2</Pages>
  <Words>694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4595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Santa Rita Fernandes, Augusto Cesar</cp:lastModifiedBy>
  <cp:revision>12</cp:revision>
  <cp:lastPrinted>2015-10-30T11:40:00Z</cp:lastPrinted>
  <dcterms:created xsi:type="dcterms:W3CDTF">2015-10-30T11:32:00Z</dcterms:created>
  <dcterms:modified xsi:type="dcterms:W3CDTF">2015-11-02T19:13:00Z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