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125" w:rsidRPr="005B5746" w:rsidRDefault="001A5125" w:rsidP="00907A64">
      <w:pPr>
        <w:pBdr>
          <w:bottom w:val="single" w:sz="6" w:space="1" w:color="auto"/>
        </w:pBdr>
        <w:spacing w:after="0"/>
        <w:rPr>
          <w:b/>
          <w:bCs/>
          <w:sz w:val="28"/>
          <w:szCs w:val="28"/>
        </w:rPr>
      </w:pPr>
      <w:bookmarkStart w:id="0" w:name="_GoBack"/>
      <w:bookmarkEnd w:id="0"/>
      <w:r w:rsidRPr="005B5746">
        <w:rPr>
          <w:b/>
          <w:bCs/>
          <w:sz w:val="28"/>
          <w:szCs w:val="28"/>
        </w:rPr>
        <w:t>ACCESSIBILITY</w:t>
      </w:r>
      <w:r w:rsidR="00821A0D" w:rsidRPr="005B5746">
        <w:rPr>
          <w:b/>
          <w:bCs/>
          <w:sz w:val="28"/>
          <w:szCs w:val="28"/>
        </w:rPr>
        <w:t xml:space="preserve"> for RA-15/WRC-15</w:t>
      </w:r>
    </w:p>
    <w:p w:rsidR="00891E34" w:rsidRDefault="00891E34" w:rsidP="00907A64">
      <w:pPr>
        <w:spacing w:after="0"/>
        <w:rPr>
          <w:rFonts w:eastAsia="Times New Roman" w:cs="Segoe UI"/>
          <w:color w:val="000000"/>
          <w:sz w:val="24"/>
          <w:szCs w:val="24"/>
        </w:rPr>
      </w:pPr>
    </w:p>
    <w:p w:rsidR="00907A64" w:rsidRDefault="00907A64" w:rsidP="00907A64">
      <w:pPr>
        <w:spacing w:after="0"/>
        <w:rPr>
          <w:rFonts w:eastAsia="Times New Roman" w:cs="Segoe UI"/>
          <w:color w:val="000000"/>
          <w:sz w:val="24"/>
          <w:szCs w:val="24"/>
        </w:rPr>
      </w:pPr>
      <w:r w:rsidRPr="00907A64">
        <w:rPr>
          <w:rFonts w:eastAsia="Times New Roman" w:cs="Segoe UI"/>
          <w:color w:val="000000"/>
          <w:sz w:val="24"/>
          <w:szCs w:val="24"/>
        </w:rPr>
        <w:t xml:space="preserve">The </w:t>
      </w:r>
      <w:hyperlink r:id="rId5" w:history="1">
        <w:r w:rsidRPr="00907A64">
          <w:rPr>
            <w:rFonts w:eastAsia="Times New Roman" w:cs="Segoe UI"/>
            <w:color w:val="0066CC"/>
            <w:sz w:val="24"/>
            <w:szCs w:val="24"/>
            <w:u w:val="single"/>
          </w:rPr>
          <w:t>Radiocommunication Assembly 2015 (RA-15)</w:t>
        </w:r>
      </w:hyperlink>
      <w:r w:rsidRPr="00907A64">
        <w:rPr>
          <w:rFonts w:eastAsia="Times New Roman" w:cs="Segoe UI"/>
          <w:color w:val="000000"/>
          <w:sz w:val="24"/>
          <w:szCs w:val="24"/>
        </w:rPr>
        <w:t xml:space="preserve"> will be held from 26 to 30 October 2015 in Geneva, Switzerland, immediately preceding the </w:t>
      </w:r>
      <w:hyperlink r:id="rId6" w:history="1">
        <w:r w:rsidRPr="00907A64">
          <w:rPr>
            <w:rFonts w:eastAsia="Times New Roman" w:cs="Segoe UI"/>
            <w:color w:val="0066CC"/>
            <w:sz w:val="24"/>
            <w:szCs w:val="24"/>
            <w:u w:val="single"/>
          </w:rPr>
          <w:t>World Radiocommunication Conference 2015 (WRC-15)</w:t>
        </w:r>
      </w:hyperlink>
      <w:r w:rsidRPr="00907A64">
        <w:rPr>
          <w:rFonts w:eastAsia="Times New Roman" w:cs="Segoe UI"/>
          <w:color w:val="000000"/>
          <w:sz w:val="24"/>
          <w:szCs w:val="24"/>
        </w:rPr>
        <w:t> that will be held from 2 to 27 N</w:t>
      </w:r>
      <w:r>
        <w:rPr>
          <w:rFonts w:eastAsia="Times New Roman" w:cs="Segoe UI"/>
          <w:color w:val="000000"/>
          <w:sz w:val="24"/>
          <w:szCs w:val="24"/>
        </w:rPr>
        <w:t>ovember 2015 at the same venue.</w:t>
      </w:r>
    </w:p>
    <w:p w:rsidR="00907A64" w:rsidRDefault="00907A64" w:rsidP="00907A64">
      <w:pPr>
        <w:spacing w:after="0"/>
        <w:rPr>
          <w:rFonts w:eastAsia="Times New Roman" w:cs="Segoe UI"/>
          <w:color w:val="000000"/>
          <w:sz w:val="24"/>
          <w:szCs w:val="24"/>
        </w:rPr>
      </w:pPr>
    </w:p>
    <w:p w:rsidR="00907A64" w:rsidRDefault="00907A64" w:rsidP="00907A64">
      <w:pPr>
        <w:spacing w:after="0"/>
        <w:rPr>
          <w:sz w:val="24"/>
          <w:szCs w:val="24"/>
        </w:rPr>
      </w:pPr>
      <w:r w:rsidRPr="00907A64">
        <w:rPr>
          <w:rFonts w:eastAsia="Times New Roman" w:cs="Segoe UI"/>
          <w:color w:val="000000"/>
          <w:sz w:val="24"/>
          <w:szCs w:val="24"/>
        </w:rPr>
        <w:t xml:space="preserve">Both events will take place at both the ITU Geneva Headquarters and the International Conference Centre of Geneva (CICG). </w:t>
      </w:r>
    </w:p>
    <w:p w:rsidR="00907A64" w:rsidRDefault="00907A64" w:rsidP="00907A64">
      <w:pPr>
        <w:spacing w:after="0"/>
        <w:rPr>
          <w:sz w:val="24"/>
          <w:szCs w:val="24"/>
        </w:rPr>
      </w:pPr>
    </w:p>
    <w:p w:rsidR="00BA5ADB" w:rsidRPr="005B5746" w:rsidRDefault="001A5125" w:rsidP="00907A64">
      <w:pPr>
        <w:spacing w:after="0"/>
        <w:rPr>
          <w:sz w:val="24"/>
          <w:szCs w:val="24"/>
        </w:rPr>
      </w:pPr>
      <w:r w:rsidRPr="005B5746">
        <w:rPr>
          <w:sz w:val="24"/>
          <w:szCs w:val="24"/>
        </w:rPr>
        <w:t xml:space="preserve">To enable persons with disabilities to fully participate to ITU's events, ITU is committed to provide reasonable accommodation. Both the ITU and CICG are generally accessible to persons with disabilities. Any specific requests for the provision of accessibility services can be made by directly contacting the Delegate Registration Service at </w:t>
      </w:r>
      <w:hyperlink r:id="rId7" w:history="1">
        <w:r w:rsidR="00C510F5" w:rsidRPr="005B5746">
          <w:rPr>
            <w:rStyle w:val="Hyperlink"/>
            <w:sz w:val="24"/>
            <w:szCs w:val="24"/>
          </w:rPr>
          <w:t>itu-r.registrations@itu.int</w:t>
        </w:r>
      </w:hyperlink>
      <w:r w:rsidRPr="005B5746">
        <w:rPr>
          <w:sz w:val="24"/>
          <w:szCs w:val="24"/>
        </w:rPr>
        <w:t>; additional requests will be subject to the availability of resources.</w:t>
      </w:r>
    </w:p>
    <w:p w:rsidR="001A5125" w:rsidRPr="005B5746" w:rsidRDefault="001A5125" w:rsidP="00907A64">
      <w:pPr>
        <w:spacing w:after="0"/>
        <w:rPr>
          <w:sz w:val="24"/>
          <w:szCs w:val="24"/>
        </w:rPr>
      </w:pPr>
    </w:p>
    <w:p w:rsidR="00821A0D" w:rsidRPr="005B5746" w:rsidRDefault="00757FAC" w:rsidP="00757FAC">
      <w:pPr>
        <w:spacing w:after="0"/>
        <w:rPr>
          <w:b/>
          <w:bCs/>
          <w:sz w:val="24"/>
          <w:szCs w:val="24"/>
        </w:rPr>
      </w:pPr>
      <w:r w:rsidRPr="0084520F">
        <w:rPr>
          <w:b/>
          <w:bCs/>
          <w:sz w:val="24"/>
          <w:szCs w:val="24"/>
        </w:rPr>
        <w:t>Access to the ITU and CICG premises</w:t>
      </w:r>
    </w:p>
    <w:p w:rsidR="002320A2" w:rsidRDefault="002320A2" w:rsidP="00907A64">
      <w:pPr>
        <w:spacing w:after="0"/>
        <w:rPr>
          <w:sz w:val="24"/>
          <w:szCs w:val="24"/>
          <w:u w:val="single"/>
        </w:rPr>
      </w:pPr>
    </w:p>
    <w:p w:rsidR="00821A0D" w:rsidRPr="005B5746" w:rsidRDefault="00821A0D" w:rsidP="00907A64">
      <w:pPr>
        <w:spacing w:after="0"/>
        <w:rPr>
          <w:sz w:val="24"/>
          <w:szCs w:val="24"/>
          <w:u w:val="single"/>
        </w:rPr>
      </w:pPr>
      <w:r w:rsidRPr="005B5746">
        <w:rPr>
          <w:sz w:val="24"/>
          <w:szCs w:val="24"/>
          <w:u w:val="single"/>
        </w:rPr>
        <w:t>Parking</w:t>
      </w:r>
    </w:p>
    <w:p w:rsidR="00821A0D" w:rsidRPr="0037137C" w:rsidRDefault="0037137C" w:rsidP="00907A64">
      <w:pPr>
        <w:spacing w:after="0"/>
        <w:rPr>
          <w:sz w:val="24"/>
          <w:szCs w:val="24"/>
        </w:rPr>
      </w:pPr>
      <w:r>
        <w:rPr>
          <w:rFonts w:ascii="Arial" w:hAnsi="Arial" w:cs="Arial"/>
          <w:color w:val="444444"/>
          <w:sz w:val="18"/>
          <w:szCs w:val="18"/>
          <w:shd w:val="clear" w:color="auto" w:fill="FFFFFF"/>
        </w:rPr>
        <w:t>​</w:t>
      </w:r>
      <w:r w:rsidRPr="0037137C">
        <w:rPr>
          <w:sz w:val="24"/>
          <w:szCs w:val="24"/>
        </w:rPr>
        <w:t xml:space="preserve">Parking restrictions are in force in the streets adjacent to the ITU and the CICG. Participants may obtain parking cards </w:t>
      </w:r>
      <w:r w:rsidRPr="0037137C">
        <w:rPr>
          <w:sz w:val="24"/>
          <w:szCs w:val="24"/>
        </w:rPr>
        <w:lastRenderedPageBreak/>
        <w:t>providing access to the underground garage situated between the ITU Varembé and Montbrillant buildings. A limited number of parking cards, valid only for the duration of the meeting, are available on a first-come/first-served basis from the Delegate Registration Service at</w:t>
      </w:r>
      <w:r w:rsidRPr="0037137C">
        <w:rPr>
          <w:rStyle w:val="apple-converted-space"/>
          <w:rFonts w:cs="Arial"/>
          <w:color w:val="444444"/>
          <w:sz w:val="24"/>
          <w:szCs w:val="24"/>
          <w:shd w:val="clear" w:color="auto" w:fill="FFFFFF"/>
        </w:rPr>
        <w:t> </w:t>
      </w:r>
      <w:hyperlink r:id="rId8" w:history="1">
        <w:r w:rsidRPr="0037137C">
          <w:rPr>
            <w:rStyle w:val="Hyperlink"/>
            <w:rFonts w:cs="Arial"/>
            <w:color w:val="3789BD"/>
            <w:sz w:val="24"/>
            <w:szCs w:val="24"/>
            <w:bdr w:val="none" w:sz="0" w:space="0" w:color="auto" w:frame="1"/>
            <w:shd w:val="clear" w:color="auto" w:fill="FFFFFF"/>
          </w:rPr>
          <w:t>itu-r.registrations@itu.int</w:t>
        </w:r>
      </w:hyperlink>
      <w:r w:rsidRPr="0037137C">
        <w:rPr>
          <w:rFonts w:cs="Arial"/>
          <w:color w:val="444444"/>
          <w:sz w:val="24"/>
          <w:szCs w:val="24"/>
          <w:shd w:val="clear" w:color="auto" w:fill="FFFFFF"/>
        </w:rPr>
        <w:t>.</w:t>
      </w:r>
    </w:p>
    <w:p w:rsidR="002320A2" w:rsidRDefault="002320A2" w:rsidP="00907A64">
      <w:pPr>
        <w:spacing w:after="0"/>
        <w:rPr>
          <w:sz w:val="24"/>
          <w:szCs w:val="24"/>
          <w:u w:val="single"/>
        </w:rPr>
      </w:pPr>
    </w:p>
    <w:p w:rsidR="00821A0D" w:rsidRPr="005B5746" w:rsidRDefault="00821A0D" w:rsidP="00907A64">
      <w:pPr>
        <w:spacing w:after="0"/>
        <w:rPr>
          <w:sz w:val="24"/>
          <w:szCs w:val="24"/>
          <w:u w:val="single"/>
        </w:rPr>
      </w:pPr>
      <w:r w:rsidRPr="005B5746">
        <w:rPr>
          <w:sz w:val="24"/>
          <w:szCs w:val="24"/>
          <w:u w:val="single"/>
        </w:rPr>
        <w:t>Wheel Chair Access</w:t>
      </w:r>
    </w:p>
    <w:p w:rsidR="00110F41" w:rsidRDefault="00110F41" w:rsidP="00907A64">
      <w:pPr>
        <w:spacing w:after="0"/>
        <w:rPr>
          <w:sz w:val="24"/>
          <w:szCs w:val="24"/>
        </w:rPr>
      </w:pPr>
      <w:r w:rsidRPr="005B5746">
        <w:rPr>
          <w:sz w:val="24"/>
          <w:szCs w:val="24"/>
        </w:rPr>
        <w:t>Both the ITU and CICG are generally accessible to persons with disabilities.</w:t>
      </w:r>
    </w:p>
    <w:p w:rsidR="00891E34" w:rsidRDefault="00907A64" w:rsidP="00891E34">
      <w:pPr>
        <w:spacing w:after="0"/>
        <w:rPr>
          <w:sz w:val="24"/>
          <w:szCs w:val="24"/>
        </w:rPr>
      </w:pPr>
      <w:r>
        <w:rPr>
          <w:sz w:val="24"/>
          <w:szCs w:val="24"/>
        </w:rPr>
        <w:t>The entrance of the ITU Varembé building is</w:t>
      </w:r>
      <w:r w:rsidR="00891E34">
        <w:rPr>
          <w:sz w:val="24"/>
          <w:szCs w:val="24"/>
        </w:rPr>
        <w:t xml:space="preserve"> not accessible by wheel chairs. Therefore, in order to access to the ITU Varembé building, please enter through the entrances of ITU Tower or Montbrillant Buildings and access to the ITU Varembé building by internal corridors.</w:t>
      </w:r>
    </w:p>
    <w:p w:rsidR="0096469F" w:rsidRDefault="00891E34" w:rsidP="00891E34">
      <w:pPr>
        <w:spacing w:after="0"/>
        <w:rPr>
          <w:sz w:val="24"/>
          <w:szCs w:val="24"/>
        </w:rPr>
      </w:pPr>
      <w:r>
        <w:rPr>
          <w:sz w:val="24"/>
          <w:szCs w:val="24"/>
        </w:rPr>
        <w:t>All ITU buildings (Tower, Varembé, Montbrillant) are internally connected each other by corridors.</w:t>
      </w:r>
      <w:r w:rsidR="00907A64">
        <w:rPr>
          <w:sz w:val="24"/>
          <w:szCs w:val="24"/>
        </w:rPr>
        <w:t xml:space="preserve"> </w:t>
      </w:r>
      <w:r>
        <w:rPr>
          <w:sz w:val="24"/>
          <w:szCs w:val="24"/>
        </w:rPr>
        <w:t xml:space="preserve">For the detail, please refer to </w:t>
      </w:r>
      <w:hyperlink r:id="rId9" w:history="1">
        <w:r w:rsidRPr="0096469F">
          <w:rPr>
            <w:rStyle w:val="Hyperlink"/>
            <w:sz w:val="24"/>
            <w:szCs w:val="24"/>
          </w:rPr>
          <w:t>ITU Circulation Plan</w:t>
        </w:r>
      </w:hyperlink>
      <w:r>
        <w:rPr>
          <w:sz w:val="24"/>
          <w:szCs w:val="24"/>
        </w:rPr>
        <w:t xml:space="preserve"> (PDF).</w:t>
      </w:r>
    </w:p>
    <w:p w:rsidR="00817B5A" w:rsidRDefault="00817B5A" w:rsidP="00907A64">
      <w:pPr>
        <w:spacing w:after="0"/>
        <w:rPr>
          <w:sz w:val="24"/>
          <w:szCs w:val="24"/>
          <w:u w:val="single"/>
        </w:rPr>
      </w:pPr>
    </w:p>
    <w:p w:rsidR="00757FAC" w:rsidRPr="00757FAC" w:rsidRDefault="00757FAC" w:rsidP="00757FAC">
      <w:pPr>
        <w:spacing w:after="0"/>
        <w:rPr>
          <w:b/>
          <w:bCs/>
          <w:sz w:val="24"/>
          <w:szCs w:val="24"/>
        </w:rPr>
      </w:pPr>
      <w:r w:rsidRPr="0084520F">
        <w:rPr>
          <w:b/>
          <w:bCs/>
          <w:sz w:val="24"/>
          <w:szCs w:val="24"/>
        </w:rPr>
        <w:t>Captioning and Webcast Services</w:t>
      </w:r>
    </w:p>
    <w:p w:rsidR="00757FAC" w:rsidRDefault="00757FAC" w:rsidP="00907A64">
      <w:pPr>
        <w:spacing w:after="0"/>
        <w:rPr>
          <w:sz w:val="24"/>
          <w:szCs w:val="24"/>
          <w:u w:val="single"/>
        </w:rPr>
      </w:pPr>
    </w:p>
    <w:p w:rsidR="00821A0D" w:rsidRPr="005B5746" w:rsidRDefault="00821A0D" w:rsidP="00907A64">
      <w:pPr>
        <w:spacing w:after="0"/>
        <w:rPr>
          <w:sz w:val="24"/>
          <w:szCs w:val="24"/>
          <w:u w:val="single"/>
        </w:rPr>
      </w:pPr>
      <w:r w:rsidRPr="005B5746">
        <w:rPr>
          <w:sz w:val="24"/>
          <w:szCs w:val="24"/>
          <w:u w:val="single"/>
        </w:rPr>
        <w:t>Captioning Service</w:t>
      </w:r>
    </w:p>
    <w:p w:rsidR="00817B5A" w:rsidRDefault="002E0284" w:rsidP="00907A64">
      <w:pPr>
        <w:shd w:val="clear" w:color="auto" w:fill="FFFFFF"/>
        <w:spacing w:after="0" w:line="240" w:lineRule="auto"/>
        <w:textAlignment w:val="baseline"/>
        <w:rPr>
          <w:rStyle w:val="apple-converted-space"/>
          <w:rFonts w:cs="Arial"/>
          <w:sz w:val="24"/>
          <w:szCs w:val="24"/>
          <w:shd w:val="clear" w:color="auto" w:fill="FFFFFF"/>
        </w:rPr>
      </w:pPr>
      <w:r w:rsidRPr="00D5400F">
        <w:rPr>
          <w:rFonts w:cs="Arial"/>
          <w:sz w:val="24"/>
          <w:szCs w:val="24"/>
          <w:shd w:val="clear" w:color="auto" w:fill="FFFFFF"/>
        </w:rPr>
        <w:t>Live captioning (in English only) will be available for the RA-15 and the WRC-15 plenary sessions. Unedited transcripts will also be made available after the plenary sessions. </w:t>
      </w:r>
      <w:r w:rsidR="00D020E4" w:rsidRPr="00D5400F">
        <w:rPr>
          <w:rFonts w:cs="Arial"/>
          <w:sz w:val="24"/>
          <w:szCs w:val="24"/>
          <w:shd w:val="clear" w:color="auto" w:fill="FFFFFF"/>
        </w:rPr>
        <w:t>Ac</w:t>
      </w:r>
      <w:r w:rsidR="00D020E4" w:rsidRPr="00D5400F">
        <w:rPr>
          <w:rFonts w:cs="Arial"/>
          <w:sz w:val="24"/>
          <w:szCs w:val="24"/>
          <w:shd w:val="clear" w:color="auto" w:fill="FFFFFF"/>
        </w:rPr>
        <w:lastRenderedPageBreak/>
        <w:t xml:space="preserve">cess to the captioning </w:t>
      </w:r>
      <w:r w:rsidR="00817B5A">
        <w:rPr>
          <w:rFonts w:cs="Arial"/>
          <w:sz w:val="24"/>
          <w:szCs w:val="24"/>
          <w:shd w:val="clear" w:color="auto" w:fill="FFFFFF"/>
        </w:rPr>
        <w:t xml:space="preserve">for RA-15 and WRC-15 </w:t>
      </w:r>
      <w:r w:rsidR="00D020E4" w:rsidRPr="00D5400F">
        <w:rPr>
          <w:rFonts w:cs="Arial"/>
          <w:sz w:val="24"/>
          <w:szCs w:val="24"/>
          <w:shd w:val="clear" w:color="auto" w:fill="FFFFFF"/>
        </w:rPr>
        <w:t>are available</w:t>
      </w:r>
      <w:r w:rsidR="00D020E4" w:rsidRPr="00D5400F">
        <w:rPr>
          <w:rStyle w:val="apple-converted-space"/>
          <w:rFonts w:cs="Arial"/>
          <w:sz w:val="24"/>
          <w:szCs w:val="24"/>
          <w:shd w:val="clear" w:color="auto" w:fill="FFFFFF"/>
        </w:rPr>
        <w:t> </w:t>
      </w:r>
      <w:r w:rsidR="00817B5A">
        <w:rPr>
          <w:rStyle w:val="apple-converted-space"/>
          <w:rFonts w:cs="Arial"/>
          <w:sz w:val="24"/>
          <w:szCs w:val="24"/>
          <w:shd w:val="clear" w:color="auto" w:fill="FFFFFF"/>
        </w:rPr>
        <w:t xml:space="preserve">at </w:t>
      </w:r>
      <w:hyperlink r:id="rId10" w:history="1">
        <w:r w:rsidR="00817B5A" w:rsidRPr="00817B5A">
          <w:rPr>
            <w:rStyle w:val="Hyperlink"/>
            <w:rFonts w:cs="Arial"/>
            <w:sz w:val="24"/>
            <w:szCs w:val="24"/>
            <w:shd w:val="clear" w:color="auto" w:fill="FFFFFF"/>
          </w:rPr>
          <w:t>Captioning Service for ITU-R events</w:t>
        </w:r>
      </w:hyperlink>
      <w:r w:rsidR="00817B5A">
        <w:rPr>
          <w:rStyle w:val="apple-converted-space"/>
          <w:rFonts w:cs="Arial"/>
          <w:sz w:val="24"/>
          <w:szCs w:val="24"/>
          <w:shd w:val="clear" w:color="auto" w:fill="FFFFFF"/>
        </w:rPr>
        <w:t xml:space="preserve"> </w:t>
      </w:r>
      <w:r w:rsidR="00817B5A" w:rsidRPr="00D5400F">
        <w:rPr>
          <w:rFonts w:cs="Arial"/>
          <w:sz w:val="24"/>
          <w:szCs w:val="24"/>
          <w:shd w:val="clear" w:color="auto" w:fill="FFFFFF"/>
        </w:rPr>
        <w:t>(TIES account required)</w:t>
      </w:r>
      <w:r w:rsidR="00817B5A">
        <w:rPr>
          <w:rFonts w:cs="Arial"/>
          <w:sz w:val="24"/>
          <w:szCs w:val="24"/>
          <w:shd w:val="clear" w:color="auto" w:fill="FFFFFF"/>
        </w:rPr>
        <w:t>.</w:t>
      </w:r>
    </w:p>
    <w:p w:rsidR="002E0284" w:rsidRPr="002E0284" w:rsidRDefault="002E0284" w:rsidP="00907A64">
      <w:pPr>
        <w:shd w:val="clear" w:color="auto" w:fill="FFFFFF"/>
        <w:spacing w:after="0" w:line="240" w:lineRule="auto"/>
        <w:textAlignment w:val="baseline"/>
        <w:rPr>
          <w:sz w:val="24"/>
          <w:szCs w:val="24"/>
        </w:rPr>
      </w:pPr>
    </w:p>
    <w:p w:rsidR="00821A0D" w:rsidRPr="005B5746" w:rsidRDefault="00821A0D" w:rsidP="00907A64">
      <w:pPr>
        <w:spacing w:after="0"/>
        <w:rPr>
          <w:sz w:val="24"/>
          <w:szCs w:val="24"/>
          <w:u w:val="single"/>
        </w:rPr>
      </w:pPr>
      <w:r w:rsidRPr="005B5746">
        <w:rPr>
          <w:sz w:val="24"/>
          <w:szCs w:val="24"/>
          <w:u w:val="single"/>
        </w:rPr>
        <w:t>Webcast</w:t>
      </w:r>
      <w:r w:rsidR="002E0284">
        <w:rPr>
          <w:sz w:val="24"/>
          <w:szCs w:val="24"/>
          <w:u w:val="single"/>
        </w:rPr>
        <w:t xml:space="preserve"> Service</w:t>
      </w:r>
    </w:p>
    <w:p w:rsidR="00D020E4" w:rsidRDefault="002E0284" w:rsidP="00907A64">
      <w:pPr>
        <w:shd w:val="clear" w:color="auto" w:fill="FFFFFF"/>
        <w:spacing w:after="0" w:line="240" w:lineRule="auto"/>
        <w:textAlignment w:val="baseline"/>
        <w:rPr>
          <w:sz w:val="24"/>
          <w:szCs w:val="24"/>
        </w:rPr>
      </w:pPr>
      <w:r w:rsidRPr="00D020E4">
        <w:rPr>
          <w:sz w:val="24"/>
          <w:szCs w:val="24"/>
        </w:rPr>
        <w:t>Live webcast in the 6 languages of the Union will be provided during some sessions of RA-15 and WRC-15. Archives of the audio feeds will also be made av</w:t>
      </w:r>
      <w:r w:rsidRPr="00D020E4">
        <w:rPr>
          <w:rFonts w:cs="Arial"/>
          <w:sz w:val="24"/>
          <w:szCs w:val="24"/>
          <w:shd w:val="clear" w:color="auto" w:fill="FFFFFF"/>
        </w:rPr>
        <w:t>ailable after the sessions. Access to the webcast </w:t>
      </w:r>
      <w:r w:rsidR="00817B5A">
        <w:rPr>
          <w:rFonts w:cs="Arial"/>
          <w:sz w:val="24"/>
          <w:szCs w:val="24"/>
          <w:shd w:val="clear" w:color="auto" w:fill="FFFFFF"/>
        </w:rPr>
        <w:t xml:space="preserve">for RA-15 and WRC-15 </w:t>
      </w:r>
      <w:r w:rsidRPr="002E0284">
        <w:rPr>
          <w:rFonts w:cs="Arial"/>
          <w:color w:val="444444"/>
          <w:sz w:val="24"/>
          <w:szCs w:val="24"/>
          <w:shd w:val="clear" w:color="auto" w:fill="FFFFFF"/>
        </w:rPr>
        <w:t>are available</w:t>
      </w:r>
      <w:r w:rsidR="00817B5A">
        <w:rPr>
          <w:rFonts w:cs="Arial"/>
          <w:color w:val="444444"/>
          <w:sz w:val="24"/>
          <w:szCs w:val="24"/>
          <w:shd w:val="clear" w:color="auto" w:fill="FFFFFF"/>
        </w:rPr>
        <w:t xml:space="preserve"> at </w:t>
      </w:r>
      <w:hyperlink r:id="rId11" w:history="1">
        <w:r w:rsidR="00817B5A" w:rsidRPr="00817B5A">
          <w:rPr>
            <w:rStyle w:val="Hyperlink"/>
            <w:rFonts w:cs="Arial"/>
            <w:sz w:val="24"/>
            <w:szCs w:val="24"/>
            <w:shd w:val="clear" w:color="auto" w:fill="FFFFFF"/>
          </w:rPr>
          <w:t>Webcast of ITU-R events</w:t>
        </w:r>
      </w:hyperlink>
      <w:r w:rsidR="00817B5A">
        <w:rPr>
          <w:rFonts w:cs="Arial"/>
          <w:color w:val="444444"/>
          <w:sz w:val="24"/>
          <w:szCs w:val="24"/>
          <w:shd w:val="clear" w:color="auto" w:fill="FFFFFF"/>
        </w:rPr>
        <w:t xml:space="preserve"> </w:t>
      </w:r>
      <w:r w:rsidR="00817B5A" w:rsidRPr="00D020E4">
        <w:rPr>
          <w:sz w:val="24"/>
          <w:szCs w:val="24"/>
        </w:rPr>
        <w:t>(TIES account required)</w:t>
      </w:r>
      <w:r w:rsidR="002320A2">
        <w:rPr>
          <w:sz w:val="24"/>
          <w:szCs w:val="24"/>
        </w:rPr>
        <w:t>.</w:t>
      </w:r>
    </w:p>
    <w:p w:rsidR="00757FAC" w:rsidRDefault="00757FAC" w:rsidP="00757FAC">
      <w:pPr>
        <w:shd w:val="clear" w:color="auto" w:fill="FFFFFF"/>
        <w:spacing w:after="0" w:line="240" w:lineRule="auto"/>
        <w:textAlignment w:val="baseline"/>
        <w:rPr>
          <w:b/>
          <w:bCs/>
          <w:sz w:val="24"/>
          <w:szCs w:val="24"/>
          <w:highlight w:val="yellow"/>
        </w:rPr>
      </w:pPr>
    </w:p>
    <w:p w:rsidR="00757FAC" w:rsidRPr="0084520F" w:rsidRDefault="00757FAC" w:rsidP="00757FAC">
      <w:pPr>
        <w:shd w:val="clear" w:color="auto" w:fill="FFFFFF"/>
        <w:spacing w:after="0" w:line="240" w:lineRule="auto"/>
        <w:textAlignment w:val="baseline"/>
        <w:rPr>
          <w:b/>
          <w:bCs/>
          <w:sz w:val="24"/>
          <w:szCs w:val="24"/>
        </w:rPr>
      </w:pPr>
      <w:r w:rsidRPr="0084520F">
        <w:rPr>
          <w:b/>
          <w:bCs/>
          <w:sz w:val="24"/>
          <w:szCs w:val="24"/>
        </w:rPr>
        <w:t>Medical Service</w:t>
      </w:r>
    </w:p>
    <w:p w:rsidR="00757FAC" w:rsidRDefault="00757FAC" w:rsidP="00757FAC">
      <w:pPr>
        <w:shd w:val="clear" w:color="auto" w:fill="FFFFFF"/>
        <w:spacing w:after="0" w:line="240" w:lineRule="auto"/>
        <w:textAlignment w:val="baseline"/>
        <w:rPr>
          <w:b/>
          <w:bCs/>
          <w:sz w:val="24"/>
          <w:szCs w:val="24"/>
          <w:highlight w:val="yellow"/>
        </w:rPr>
      </w:pPr>
    </w:p>
    <w:p w:rsidR="00757FAC" w:rsidRPr="00757FAC" w:rsidRDefault="00757FAC" w:rsidP="00757FAC">
      <w:pPr>
        <w:shd w:val="clear" w:color="auto" w:fill="FFFFFF"/>
        <w:spacing w:after="0" w:line="240" w:lineRule="auto"/>
        <w:textAlignment w:val="baseline"/>
        <w:rPr>
          <w:sz w:val="24"/>
          <w:szCs w:val="24"/>
        </w:rPr>
      </w:pPr>
      <w:r w:rsidRPr="0084520F">
        <w:rPr>
          <w:b/>
          <w:bCs/>
          <w:sz w:val="24"/>
          <w:szCs w:val="24"/>
        </w:rPr>
        <w:t>​</w:t>
      </w:r>
      <w:r w:rsidRPr="00757FAC">
        <w:rPr>
          <w:sz w:val="24"/>
          <w:szCs w:val="24"/>
        </w:rPr>
        <w:t>The services of a nurse are available to event participants from 08:45 – 12:30 and 13:45 – 17:30:</w:t>
      </w:r>
    </w:p>
    <w:p w:rsidR="00757FAC" w:rsidRPr="00757FAC" w:rsidRDefault="00757FAC" w:rsidP="00757FAC">
      <w:pPr>
        <w:pStyle w:val="ListParagraph"/>
        <w:numPr>
          <w:ilvl w:val="0"/>
          <w:numId w:val="7"/>
        </w:numPr>
        <w:shd w:val="clear" w:color="auto" w:fill="FFFFFF"/>
        <w:spacing w:after="0" w:line="240" w:lineRule="auto"/>
        <w:textAlignment w:val="baseline"/>
        <w:rPr>
          <w:sz w:val="24"/>
          <w:szCs w:val="24"/>
        </w:rPr>
      </w:pPr>
      <w:r w:rsidRPr="00757FAC">
        <w:rPr>
          <w:sz w:val="24"/>
          <w:szCs w:val="24"/>
        </w:rPr>
        <w:t>ground floor of the ITU Varembé building, office V16, telephone +41 22 730 5397;</w:t>
      </w:r>
    </w:p>
    <w:p w:rsidR="00757FAC" w:rsidRPr="00757FAC" w:rsidRDefault="00757FAC" w:rsidP="00757FAC">
      <w:pPr>
        <w:pStyle w:val="ListParagraph"/>
        <w:numPr>
          <w:ilvl w:val="0"/>
          <w:numId w:val="7"/>
        </w:numPr>
        <w:shd w:val="clear" w:color="auto" w:fill="FFFFFF"/>
        <w:spacing w:after="0" w:line="240" w:lineRule="auto"/>
        <w:textAlignment w:val="baseline"/>
        <w:rPr>
          <w:sz w:val="24"/>
          <w:szCs w:val="24"/>
        </w:rPr>
      </w:pPr>
      <w:r w:rsidRPr="00757FAC">
        <w:rPr>
          <w:sz w:val="24"/>
          <w:szCs w:val="24"/>
        </w:rPr>
        <w:t>level -1 of CICG.</w:t>
      </w:r>
    </w:p>
    <w:p w:rsidR="00757FAC" w:rsidRDefault="00757FAC" w:rsidP="00757FAC">
      <w:pPr>
        <w:shd w:val="clear" w:color="auto" w:fill="FFFFFF"/>
        <w:spacing w:after="0" w:line="240" w:lineRule="auto"/>
        <w:textAlignment w:val="baseline"/>
        <w:rPr>
          <w:sz w:val="24"/>
          <w:szCs w:val="24"/>
        </w:rPr>
      </w:pPr>
      <w:r w:rsidRPr="00757FAC">
        <w:rPr>
          <w:sz w:val="24"/>
          <w:szCs w:val="24"/>
        </w:rPr>
        <w:t>In case of emergency outside the medical service office hours, please contact the ITU Security Service at 119.</w:t>
      </w:r>
    </w:p>
    <w:p w:rsidR="00817B5A" w:rsidRPr="00817B5A" w:rsidRDefault="00817B5A" w:rsidP="00907A64">
      <w:pPr>
        <w:shd w:val="clear" w:color="auto" w:fill="FFFFFF"/>
        <w:spacing w:after="0" w:line="240" w:lineRule="auto"/>
        <w:textAlignment w:val="baseline"/>
        <w:rPr>
          <w:rFonts w:cs="Arial"/>
          <w:color w:val="444444"/>
          <w:sz w:val="24"/>
          <w:szCs w:val="24"/>
          <w:shd w:val="clear" w:color="auto" w:fill="FFFFFF"/>
        </w:rPr>
      </w:pPr>
    </w:p>
    <w:p w:rsidR="005E3FFE" w:rsidRDefault="005E3FFE" w:rsidP="00907A64">
      <w:pPr>
        <w:spacing w:after="0"/>
        <w:rPr>
          <w:rStyle w:val="Hyperlink"/>
          <w:b/>
          <w:bCs/>
          <w:color w:val="auto"/>
          <w:sz w:val="24"/>
          <w:szCs w:val="24"/>
          <w:u w:val="none"/>
        </w:rPr>
      </w:pPr>
      <w:r w:rsidRPr="0084520F">
        <w:rPr>
          <w:rStyle w:val="Hyperlink"/>
          <w:b/>
          <w:bCs/>
          <w:color w:val="auto"/>
          <w:sz w:val="24"/>
          <w:szCs w:val="24"/>
          <w:u w:val="none"/>
        </w:rPr>
        <w:t>ITU’s Accessibility Policy</w:t>
      </w:r>
    </w:p>
    <w:p w:rsidR="00757FAC" w:rsidRDefault="00757FAC" w:rsidP="00907A64">
      <w:pPr>
        <w:spacing w:after="0"/>
        <w:rPr>
          <w:rStyle w:val="Hyperlink"/>
          <w:color w:val="auto"/>
          <w:sz w:val="24"/>
          <w:szCs w:val="24"/>
          <w:u w:val="none"/>
        </w:rPr>
      </w:pPr>
    </w:p>
    <w:p w:rsidR="005E3FFE" w:rsidRDefault="005E3FFE" w:rsidP="00907A64">
      <w:pPr>
        <w:spacing w:after="0"/>
        <w:rPr>
          <w:rStyle w:val="Hyperlink"/>
          <w:color w:val="auto"/>
          <w:sz w:val="24"/>
          <w:szCs w:val="24"/>
          <w:u w:val="none"/>
        </w:rPr>
      </w:pPr>
      <w:r w:rsidRPr="005E3FFE">
        <w:rPr>
          <w:rStyle w:val="Hyperlink"/>
          <w:color w:val="auto"/>
          <w:sz w:val="24"/>
          <w:szCs w:val="24"/>
          <w:u w:val="none"/>
        </w:rPr>
        <w:t>For ITU’s accessibility p</w:t>
      </w:r>
      <w:r>
        <w:rPr>
          <w:rStyle w:val="Hyperlink"/>
          <w:color w:val="auto"/>
          <w:sz w:val="24"/>
          <w:szCs w:val="24"/>
          <w:u w:val="none"/>
        </w:rPr>
        <w:t>olicy including</w:t>
      </w:r>
      <w:r w:rsidR="00934A5B">
        <w:rPr>
          <w:rStyle w:val="Hyperlink"/>
          <w:color w:val="auto"/>
          <w:sz w:val="24"/>
          <w:szCs w:val="24"/>
          <w:u w:val="none"/>
        </w:rPr>
        <w:t xml:space="preserve"> Web a</w:t>
      </w:r>
      <w:r w:rsidRPr="005E3FFE">
        <w:rPr>
          <w:rStyle w:val="Hyperlink"/>
          <w:color w:val="auto"/>
          <w:sz w:val="24"/>
          <w:szCs w:val="24"/>
          <w:u w:val="none"/>
        </w:rPr>
        <w:t>ccessibility</w:t>
      </w:r>
      <w:r w:rsidR="00934A5B">
        <w:rPr>
          <w:rStyle w:val="Hyperlink"/>
          <w:color w:val="auto"/>
          <w:sz w:val="24"/>
          <w:szCs w:val="24"/>
          <w:u w:val="none"/>
        </w:rPr>
        <w:t xml:space="preserve"> policy</w:t>
      </w:r>
      <w:r w:rsidRPr="005E3FFE">
        <w:rPr>
          <w:rStyle w:val="Hyperlink"/>
          <w:color w:val="auto"/>
          <w:sz w:val="24"/>
          <w:szCs w:val="24"/>
          <w:u w:val="none"/>
        </w:rPr>
        <w:t>, you can find at</w:t>
      </w:r>
      <w:r>
        <w:rPr>
          <w:rStyle w:val="Hyperlink"/>
          <w:color w:val="auto"/>
          <w:sz w:val="24"/>
          <w:szCs w:val="24"/>
          <w:u w:val="none"/>
        </w:rPr>
        <w:t xml:space="preserve"> </w:t>
      </w:r>
      <w:hyperlink r:id="rId12" w:history="1">
        <w:r w:rsidR="002320A2" w:rsidRPr="002320A2">
          <w:rPr>
            <w:rStyle w:val="Hyperlink"/>
            <w:sz w:val="24"/>
            <w:szCs w:val="24"/>
          </w:rPr>
          <w:t>here</w:t>
        </w:r>
      </w:hyperlink>
      <w:r w:rsidR="002320A2">
        <w:rPr>
          <w:rStyle w:val="Hyperlink"/>
          <w:color w:val="auto"/>
          <w:sz w:val="24"/>
          <w:szCs w:val="24"/>
          <w:u w:val="none"/>
        </w:rPr>
        <w:t>.</w:t>
      </w:r>
    </w:p>
    <w:p w:rsidR="005E3FFE" w:rsidRDefault="005E3FFE" w:rsidP="00907A64">
      <w:pPr>
        <w:spacing w:after="0"/>
        <w:rPr>
          <w:sz w:val="24"/>
          <w:szCs w:val="24"/>
        </w:rPr>
      </w:pPr>
    </w:p>
    <w:p w:rsidR="00110F41" w:rsidRDefault="00110F41" w:rsidP="00907A64">
      <w:pPr>
        <w:spacing w:after="0"/>
        <w:rPr>
          <w:b/>
          <w:bCs/>
          <w:sz w:val="24"/>
          <w:szCs w:val="24"/>
        </w:rPr>
      </w:pPr>
      <w:r w:rsidRPr="0084520F">
        <w:rPr>
          <w:b/>
          <w:bCs/>
          <w:sz w:val="24"/>
          <w:szCs w:val="24"/>
        </w:rPr>
        <w:t>Practical Information for Participants to RA-15/WRC-15</w:t>
      </w:r>
    </w:p>
    <w:p w:rsidR="00757FAC" w:rsidRDefault="00757FAC" w:rsidP="00907A64">
      <w:pPr>
        <w:spacing w:after="0"/>
        <w:rPr>
          <w:sz w:val="24"/>
          <w:szCs w:val="24"/>
        </w:rPr>
      </w:pPr>
    </w:p>
    <w:p w:rsidR="00110F41" w:rsidRPr="00110F41" w:rsidRDefault="00110F41" w:rsidP="00907A64">
      <w:pPr>
        <w:spacing w:after="0"/>
        <w:rPr>
          <w:color w:val="0000FF"/>
          <w:sz w:val="24"/>
          <w:szCs w:val="24"/>
          <w:u w:val="single"/>
        </w:rPr>
      </w:pPr>
      <w:r w:rsidRPr="00315B38">
        <w:rPr>
          <w:sz w:val="24"/>
          <w:szCs w:val="24"/>
        </w:rPr>
        <w:t xml:space="preserve">For </w:t>
      </w:r>
      <w:r>
        <w:rPr>
          <w:sz w:val="24"/>
          <w:szCs w:val="24"/>
        </w:rPr>
        <w:t>further</w:t>
      </w:r>
      <w:r w:rsidRPr="00315B38">
        <w:rPr>
          <w:sz w:val="24"/>
          <w:szCs w:val="24"/>
        </w:rPr>
        <w:t xml:space="preserve"> practical information, you can find at</w:t>
      </w:r>
      <w:r>
        <w:rPr>
          <w:sz w:val="24"/>
          <w:szCs w:val="24"/>
        </w:rPr>
        <w:t xml:space="preserve"> </w:t>
      </w:r>
      <w:hyperlink r:id="rId13" w:history="1">
        <w:r w:rsidRPr="002320A2">
          <w:rPr>
            <w:rStyle w:val="Hyperlink"/>
            <w:sz w:val="24"/>
            <w:szCs w:val="24"/>
          </w:rPr>
          <w:t>here</w:t>
        </w:r>
      </w:hyperlink>
      <w:r>
        <w:rPr>
          <w:sz w:val="24"/>
          <w:szCs w:val="24"/>
        </w:rPr>
        <w:t>.</w:t>
      </w:r>
    </w:p>
    <w:sectPr w:rsidR="00110F41" w:rsidRPr="00110F41" w:rsidSect="00895151">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B1FCF"/>
    <w:multiLevelType w:val="multilevel"/>
    <w:tmpl w:val="F2AA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F2501"/>
    <w:multiLevelType w:val="hybridMultilevel"/>
    <w:tmpl w:val="91086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7224AE"/>
    <w:multiLevelType w:val="hybridMultilevel"/>
    <w:tmpl w:val="FD0A17CE"/>
    <w:lvl w:ilvl="0" w:tplc="04090001">
      <w:start w:val="1"/>
      <w:numFmt w:val="bullet"/>
      <w:lvlText w:val=""/>
      <w:lvlJc w:val="left"/>
      <w:pPr>
        <w:ind w:left="360" w:hanging="360"/>
      </w:pPr>
      <w:rPr>
        <w:rFonts w:ascii="Symbol" w:hAnsi="Symbol" w:hint="default"/>
      </w:rPr>
    </w:lvl>
    <w:lvl w:ilvl="1" w:tplc="C1847D22">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540BEA"/>
    <w:multiLevelType w:val="multilevel"/>
    <w:tmpl w:val="F2AA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105FF8"/>
    <w:multiLevelType w:val="multilevel"/>
    <w:tmpl w:val="F2AA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874E89"/>
    <w:multiLevelType w:val="hybridMultilevel"/>
    <w:tmpl w:val="5DCE3AB6"/>
    <w:lvl w:ilvl="0" w:tplc="C17AF450">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D90C17"/>
    <w:multiLevelType w:val="multilevel"/>
    <w:tmpl w:val="026E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125"/>
    <w:rsid w:val="0004091B"/>
    <w:rsid w:val="00047CB1"/>
    <w:rsid w:val="000602CB"/>
    <w:rsid w:val="00091D91"/>
    <w:rsid w:val="000F6BC5"/>
    <w:rsid w:val="00106089"/>
    <w:rsid w:val="00110F41"/>
    <w:rsid w:val="00155FDC"/>
    <w:rsid w:val="00177A4C"/>
    <w:rsid w:val="001A5125"/>
    <w:rsid w:val="001C3473"/>
    <w:rsid w:val="001D7957"/>
    <w:rsid w:val="001E53C8"/>
    <w:rsid w:val="001E64BB"/>
    <w:rsid w:val="001F0E84"/>
    <w:rsid w:val="001F5A3B"/>
    <w:rsid w:val="00204400"/>
    <w:rsid w:val="00212A55"/>
    <w:rsid w:val="00213522"/>
    <w:rsid w:val="002320A2"/>
    <w:rsid w:val="0023394A"/>
    <w:rsid w:val="00257B7B"/>
    <w:rsid w:val="00282E54"/>
    <w:rsid w:val="002C1FBC"/>
    <w:rsid w:val="002D6531"/>
    <w:rsid w:val="002E0284"/>
    <w:rsid w:val="00315B38"/>
    <w:rsid w:val="0037137C"/>
    <w:rsid w:val="003752A4"/>
    <w:rsid w:val="003B3229"/>
    <w:rsid w:val="003C15CB"/>
    <w:rsid w:val="003C56AA"/>
    <w:rsid w:val="003D151B"/>
    <w:rsid w:val="004276EF"/>
    <w:rsid w:val="005028E2"/>
    <w:rsid w:val="0055087F"/>
    <w:rsid w:val="00560E55"/>
    <w:rsid w:val="00562F30"/>
    <w:rsid w:val="005677D6"/>
    <w:rsid w:val="00570208"/>
    <w:rsid w:val="0059409D"/>
    <w:rsid w:val="005A690C"/>
    <w:rsid w:val="005B5746"/>
    <w:rsid w:val="005C1417"/>
    <w:rsid w:val="005E3FFE"/>
    <w:rsid w:val="0060404A"/>
    <w:rsid w:val="00621B54"/>
    <w:rsid w:val="0065551F"/>
    <w:rsid w:val="006614B0"/>
    <w:rsid w:val="006802EF"/>
    <w:rsid w:val="00684BEE"/>
    <w:rsid w:val="006D3AF0"/>
    <w:rsid w:val="00757FAC"/>
    <w:rsid w:val="00780FB6"/>
    <w:rsid w:val="00791AC7"/>
    <w:rsid w:val="007940A3"/>
    <w:rsid w:val="007F4634"/>
    <w:rsid w:val="00817B5A"/>
    <w:rsid w:val="00821A0D"/>
    <w:rsid w:val="0082603F"/>
    <w:rsid w:val="0084520F"/>
    <w:rsid w:val="00853381"/>
    <w:rsid w:val="008555B8"/>
    <w:rsid w:val="00891E34"/>
    <w:rsid w:val="00895151"/>
    <w:rsid w:val="00907A64"/>
    <w:rsid w:val="00914C8B"/>
    <w:rsid w:val="00934A5B"/>
    <w:rsid w:val="0096469F"/>
    <w:rsid w:val="009B07CF"/>
    <w:rsid w:val="009E6F4B"/>
    <w:rsid w:val="00A24E53"/>
    <w:rsid w:val="00A77B78"/>
    <w:rsid w:val="00AF65FF"/>
    <w:rsid w:val="00B6376E"/>
    <w:rsid w:val="00B949C8"/>
    <w:rsid w:val="00B94FBD"/>
    <w:rsid w:val="00BA5ADB"/>
    <w:rsid w:val="00BB31BC"/>
    <w:rsid w:val="00BB59E6"/>
    <w:rsid w:val="00BE4F98"/>
    <w:rsid w:val="00C23573"/>
    <w:rsid w:val="00C510F5"/>
    <w:rsid w:val="00CD5F01"/>
    <w:rsid w:val="00D020E4"/>
    <w:rsid w:val="00D5400F"/>
    <w:rsid w:val="00D71097"/>
    <w:rsid w:val="00DE5DD5"/>
    <w:rsid w:val="00DF5D5F"/>
    <w:rsid w:val="00E83578"/>
    <w:rsid w:val="00EA54FC"/>
    <w:rsid w:val="00EC0DA8"/>
    <w:rsid w:val="00F01872"/>
    <w:rsid w:val="00F05216"/>
    <w:rsid w:val="00F548D4"/>
    <w:rsid w:val="00F77423"/>
    <w:rsid w:val="00F825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84EA7-F296-4C3B-93DF-8A88C009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1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1A0D"/>
    <w:pPr>
      <w:ind w:left="720"/>
      <w:contextualSpacing/>
    </w:pPr>
  </w:style>
  <w:style w:type="paragraph" w:styleId="NormalWeb">
    <w:name w:val="Normal (Web)"/>
    <w:basedOn w:val="Normal"/>
    <w:uiPriority w:val="99"/>
    <w:semiHidden/>
    <w:unhideWhenUsed/>
    <w:rsid w:val="00562F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62F30"/>
    <w:rPr>
      <w:color w:val="0000FF"/>
      <w:u w:val="single"/>
    </w:rPr>
  </w:style>
  <w:style w:type="paragraph" w:styleId="BalloonText">
    <w:name w:val="Balloon Text"/>
    <w:basedOn w:val="Normal"/>
    <w:link w:val="BalloonTextChar"/>
    <w:uiPriority w:val="99"/>
    <w:semiHidden/>
    <w:unhideWhenUsed/>
    <w:rsid w:val="00B94F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FBD"/>
    <w:rPr>
      <w:rFonts w:ascii="Segoe UI" w:hAnsi="Segoe UI" w:cs="Segoe UI"/>
      <w:sz w:val="18"/>
      <w:szCs w:val="18"/>
    </w:rPr>
  </w:style>
  <w:style w:type="character" w:styleId="FollowedHyperlink">
    <w:name w:val="FollowedHyperlink"/>
    <w:basedOn w:val="DefaultParagraphFont"/>
    <w:uiPriority w:val="99"/>
    <w:semiHidden/>
    <w:unhideWhenUsed/>
    <w:rsid w:val="005B5746"/>
    <w:rPr>
      <w:color w:val="954F72" w:themeColor="followedHyperlink"/>
      <w:u w:val="single"/>
    </w:rPr>
  </w:style>
  <w:style w:type="character" w:customStyle="1" w:styleId="apple-converted-space">
    <w:name w:val="apple-converted-space"/>
    <w:basedOn w:val="DefaultParagraphFont"/>
    <w:rsid w:val="002E0284"/>
  </w:style>
  <w:style w:type="character" w:customStyle="1" w:styleId="ms-rtefontsize-1">
    <w:name w:val="ms-rtefontsize-1"/>
    <w:basedOn w:val="DefaultParagraphFont"/>
    <w:rsid w:val="00907A64"/>
  </w:style>
  <w:style w:type="character" w:styleId="Strong">
    <w:name w:val="Strong"/>
    <w:basedOn w:val="DefaultParagraphFont"/>
    <w:uiPriority w:val="22"/>
    <w:qFormat/>
    <w:rsid w:val="00907A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710287">
      <w:bodyDiv w:val="1"/>
      <w:marLeft w:val="0"/>
      <w:marRight w:val="0"/>
      <w:marTop w:val="0"/>
      <w:marBottom w:val="0"/>
      <w:divBdr>
        <w:top w:val="none" w:sz="0" w:space="0" w:color="auto"/>
        <w:left w:val="none" w:sz="0" w:space="0" w:color="auto"/>
        <w:bottom w:val="none" w:sz="0" w:space="0" w:color="auto"/>
        <w:right w:val="none" w:sz="0" w:space="0" w:color="auto"/>
      </w:divBdr>
    </w:div>
    <w:div w:id="696006367">
      <w:bodyDiv w:val="1"/>
      <w:marLeft w:val="0"/>
      <w:marRight w:val="0"/>
      <w:marTop w:val="0"/>
      <w:marBottom w:val="0"/>
      <w:divBdr>
        <w:top w:val="none" w:sz="0" w:space="0" w:color="auto"/>
        <w:left w:val="none" w:sz="0" w:space="0" w:color="auto"/>
        <w:bottom w:val="none" w:sz="0" w:space="0" w:color="auto"/>
        <w:right w:val="none" w:sz="0" w:space="0" w:color="auto"/>
      </w:divBdr>
    </w:div>
    <w:div w:id="979266312">
      <w:bodyDiv w:val="1"/>
      <w:marLeft w:val="0"/>
      <w:marRight w:val="0"/>
      <w:marTop w:val="0"/>
      <w:marBottom w:val="0"/>
      <w:divBdr>
        <w:top w:val="none" w:sz="0" w:space="0" w:color="auto"/>
        <w:left w:val="none" w:sz="0" w:space="0" w:color="auto"/>
        <w:bottom w:val="none" w:sz="0" w:space="0" w:color="auto"/>
        <w:right w:val="none" w:sz="0" w:space="0" w:color="auto"/>
      </w:divBdr>
    </w:div>
    <w:div w:id="1048801592">
      <w:bodyDiv w:val="1"/>
      <w:marLeft w:val="0"/>
      <w:marRight w:val="0"/>
      <w:marTop w:val="0"/>
      <w:marBottom w:val="0"/>
      <w:divBdr>
        <w:top w:val="none" w:sz="0" w:space="0" w:color="auto"/>
        <w:left w:val="none" w:sz="0" w:space="0" w:color="auto"/>
        <w:bottom w:val="none" w:sz="0" w:space="0" w:color="auto"/>
        <w:right w:val="none" w:sz="0" w:space="0" w:color="auto"/>
      </w:divBdr>
      <w:divsChild>
        <w:div w:id="1353920036">
          <w:marLeft w:val="0"/>
          <w:marRight w:val="0"/>
          <w:marTop w:val="0"/>
          <w:marBottom w:val="0"/>
          <w:divBdr>
            <w:top w:val="none" w:sz="0" w:space="0" w:color="auto"/>
            <w:left w:val="none" w:sz="0" w:space="0" w:color="auto"/>
            <w:bottom w:val="none" w:sz="0" w:space="0" w:color="auto"/>
            <w:right w:val="none" w:sz="0" w:space="0" w:color="auto"/>
          </w:divBdr>
          <w:divsChild>
            <w:div w:id="1487474227">
              <w:marLeft w:val="0"/>
              <w:marRight w:val="0"/>
              <w:marTop w:val="0"/>
              <w:marBottom w:val="0"/>
              <w:divBdr>
                <w:top w:val="none" w:sz="0" w:space="0" w:color="auto"/>
                <w:left w:val="none" w:sz="0" w:space="0" w:color="auto"/>
                <w:bottom w:val="none" w:sz="0" w:space="0" w:color="auto"/>
                <w:right w:val="none" w:sz="0" w:space="0" w:color="auto"/>
              </w:divBdr>
              <w:divsChild>
                <w:div w:id="1258948033">
                  <w:marLeft w:val="0"/>
                  <w:marRight w:val="0"/>
                  <w:marTop w:val="0"/>
                  <w:marBottom w:val="0"/>
                  <w:divBdr>
                    <w:top w:val="none" w:sz="0" w:space="0" w:color="auto"/>
                    <w:left w:val="none" w:sz="0" w:space="0" w:color="auto"/>
                    <w:bottom w:val="none" w:sz="0" w:space="0" w:color="auto"/>
                    <w:right w:val="none" w:sz="0" w:space="0" w:color="auto"/>
                  </w:divBdr>
                  <w:divsChild>
                    <w:div w:id="1112362582">
                      <w:marLeft w:val="0"/>
                      <w:marRight w:val="0"/>
                      <w:marTop w:val="0"/>
                      <w:marBottom w:val="0"/>
                      <w:divBdr>
                        <w:top w:val="none" w:sz="0" w:space="0" w:color="auto"/>
                        <w:left w:val="none" w:sz="0" w:space="0" w:color="auto"/>
                        <w:bottom w:val="none" w:sz="0" w:space="0" w:color="auto"/>
                        <w:right w:val="none" w:sz="0" w:space="0" w:color="auto"/>
                      </w:divBdr>
                      <w:divsChild>
                        <w:div w:id="353658148">
                          <w:marLeft w:val="0"/>
                          <w:marRight w:val="0"/>
                          <w:marTop w:val="0"/>
                          <w:marBottom w:val="0"/>
                          <w:divBdr>
                            <w:top w:val="none" w:sz="0" w:space="0" w:color="auto"/>
                            <w:left w:val="none" w:sz="0" w:space="0" w:color="auto"/>
                            <w:bottom w:val="none" w:sz="0" w:space="0" w:color="auto"/>
                            <w:right w:val="none" w:sz="0" w:space="0" w:color="auto"/>
                          </w:divBdr>
                          <w:divsChild>
                            <w:div w:id="2020303532">
                              <w:marLeft w:val="0"/>
                              <w:marRight w:val="0"/>
                              <w:marTop w:val="0"/>
                              <w:marBottom w:val="0"/>
                              <w:divBdr>
                                <w:top w:val="none" w:sz="0" w:space="0" w:color="auto"/>
                                <w:left w:val="none" w:sz="0" w:space="0" w:color="auto"/>
                                <w:bottom w:val="none" w:sz="0" w:space="0" w:color="auto"/>
                                <w:right w:val="none" w:sz="0" w:space="0" w:color="auto"/>
                              </w:divBdr>
                              <w:divsChild>
                                <w:div w:id="927496550">
                                  <w:marLeft w:val="0"/>
                                  <w:marRight w:val="0"/>
                                  <w:marTop w:val="0"/>
                                  <w:marBottom w:val="0"/>
                                  <w:divBdr>
                                    <w:top w:val="none" w:sz="0" w:space="0" w:color="auto"/>
                                    <w:left w:val="none" w:sz="0" w:space="0" w:color="auto"/>
                                    <w:bottom w:val="none" w:sz="0" w:space="0" w:color="auto"/>
                                    <w:right w:val="none" w:sz="0" w:space="0" w:color="auto"/>
                                  </w:divBdr>
                                  <w:divsChild>
                                    <w:div w:id="169489406">
                                      <w:marLeft w:val="0"/>
                                      <w:marRight w:val="0"/>
                                      <w:marTop w:val="0"/>
                                      <w:marBottom w:val="0"/>
                                      <w:divBdr>
                                        <w:top w:val="none" w:sz="0" w:space="0" w:color="auto"/>
                                        <w:left w:val="none" w:sz="0" w:space="0" w:color="auto"/>
                                        <w:bottom w:val="none" w:sz="0" w:space="0" w:color="auto"/>
                                        <w:right w:val="none" w:sz="0" w:space="0" w:color="auto"/>
                                      </w:divBdr>
                                      <w:divsChild>
                                        <w:div w:id="1690401457">
                                          <w:marLeft w:val="0"/>
                                          <w:marRight w:val="0"/>
                                          <w:marTop w:val="0"/>
                                          <w:marBottom w:val="0"/>
                                          <w:divBdr>
                                            <w:top w:val="none" w:sz="0" w:space="0" w:color="auto"/>
                                            <w:left w:val="none" w:sz="0" w:space="0" w:color="auto"/>
                                            <w:bottom w:val="none" w:sz="0" w:space="0" w:color="auto"/>
                                            <w:right w:val="none" w:sz="0" w:space="0" w:color="auto"/>
                                          </w:divBdr>
                                          <w:divsChild>
                                            <w:div w:id="15929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7455517">
      <w:bodyDiv w:val="1"/>
      <w:marLeft w:val="0"/>
      <w:marRight w:val="0"/>
      <w:marTop w:val="0"/>
      <w:marBottom w:val="0"/>
      <w:divBdr>
        <w:top w:val="none" w:sz="0" w:space="0" w:color="auto"/>
        <w:left w:val="none" w:sz="0" w:space="0" w:color="auto"/>
        <w:bottom w:val="none" w:sz="0" w:space="0" w:color="auto"/>
        <w:right w:val="none" w:sz="0" w:space="0" w:color="auto"/>
      </w:divBdr>
    </w:div>
    <w:div w:id="1480734554">
      <w:bodyDiv w:val="1"/>
      <w:marLeft w:val="0"/>
      <w:marRight w:val="0"/>
      <w:marTop w:val="0"/>
      <w:marBottom w:val="0"/>
      <w:divBdr>
        <w:top w:val="none" w:sz="0" w:space="0" w:color="auto"/>
        <w:left w:val="none" w:sz="0" w:space="0" w:color="auto"/>
        <w:bottom w:val="none" w:sz="0" w:space="0" w:color="auto"/>
        <w:right w:val="none" w:sz="0" w:space="0" w:color="auto"/>
      </w:divBdr>
    </w:div>
    <w:div w:id="167853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r.registrations@itu.int" TargetMode="External"/><Relationship Id="rId13" Type="http://schemas.openxmlformats.org/officeDocument/2006/relationships/hyperlink" Target="http://www.itu.int/en/ITU-R/conferences/Pages/RA-WRC-15-PracticalInfo.aspx" TargetMode="External"/><Relationship Id="rId3" Type="http://schemas.openxmlformats.org/officeDocument/2006/relationships/settings" Target="settings.xml"/><Relationship Id="rId7" Type="http://schemas.openxmlformats.org/officeDocument/2006/relationships/hyperlink" Target="mailto:itu-r.registrations@itu.int" TargetMode="External"/><Relationship Id="rId12" Type="http://schemas.openxmlformats.org/officeDocument/2006/relationships/hyperlink" Target="http://www.itu.int/en/Pages/accessibility.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tu.int/en/ITU-R/conferences/wrc/2015/Pages/default.aspx" TargetMode="External"/><Relationship Id="rId11" Type="http://schemas.openxmlformats.org/officeDocument/2006/relationships/hyperlink" Target="https://www.itu.int/en/ITU-R/information/events/captioning" TargetMode="External"/><Relationship Id="rId5" Type="http://schemas.openxmlformats.org/officeDocument/2006/relationships/hyperlink" Target="http://www.itu.int/en/ITU-R/conferences/RA/2015/Pages/default.aspx" TargetMode="External"/><Relationship Id="rId15" Type="http://schemas.openxmlformats.org/officeDocument/2006/relationships/theme" Target="theme/theme1.xml"/><Relationship Id="rId10" Type="http://schemas.openxmlformats.org/officeDocument/2006/relationships/hyperlink" Target="https://www.itu.int/en/ITU-R/information/events/captioning" TargetMode="External"/><Relationship Id="rId4" Type="http://schemas.openxmlformats.org/officeDocument/2006/relationships/webSettings" Target="webSettings.xml"/><Relationship Id="rId9" Type="http://schemas.openxmlformats.org/officeDocument/2006/relationships/hyperlink" Target="https://www.itu.int/en/about/Documents/itu-pla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Koizumi, Junko</dc:creator>
  <cp:keywords/>
  <dc:description/>
  <cp:lastModifiedBy>Huguet, Fabienne</cp:lastModifiedBy>
  <cp:revision>3</cp:revision>
  <cp:lastPrinted>2015-09-23T12:23:00Z</cp:lastPrinted>
  <dcterms:created xsi:type="dcterms:W3CDTF">2015-10-23T09:18:00Z</dcterms:created>
  <dcterms:modified xsi:type="dcterms:W3CDTF">2015-10-23T09:19:00Z</dcterms:modified>
</cp:coreProperties>
</file>