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C40229" w:rsidTr="00B70C83">
        <w:trPr>
          <w:cantSplit/>
        </w:trPr>
        <w:tc>
          <w:tcPr>
            <w:tcW w:w="6911" w:type="dxa"/>
          </w:tcPr>
          <w:p w:rsidR="0090121B" w:rsidRPr="00C40229" w:rsidRDefault="0032644F" w:rsidP="0032644F">
            <w:pPr>
              <w:rPr>
                <w:b/>
                <w:bCs/>
                <w:szCs w:val="22"/>
                <w:lang w:val="es-ES"/>
              </w:rPr>
            </w:pPr>
            <w:r w:rsidRPr="00C40229">
              <w:rPr>
                <w:b/>
                <w:bCs/>
                <w:sz w:val="28"/>
                <w:szCs w:val="28"/>
                <w:lang w:val="es-ES"/>
              </w:rPr>
              <w:t>Conferencia Mundial de Telecomunicaciones Internacionales (CMTI-12)</w:t>
            </w:r>
            <w:r w:rsidRPr="00C40229">
              <w:rPr>
                <w:lang w:val="es-ES"/>
              </w:rPr>
              <w:br/>
            </w:r>
            <w:r w:rsidRPr="00C40229">
              <w:rPr>
                <w:b/>
                <w:bCs/>
                <w:sz w:val="22"/>
                <w:szCs w:val="18"/>
                <w:lang w:val="es-ES"/>
              </w:rPr>
              <w:t>Dubai</w:t>
            </w:r>
            <w:r w:rsidR="001530C3" w:rsidRPr="00C40229">
              <w:rPr>
                <w:b/>
                <w:bCs/>
                <w:sz w:val="22"/>
                <w:szCs w:val="18"/>
                <w:lang w:val="es-ES"/>
              </w:rPr>
              <w:t>,</w:t>
            </w:r>
            <w:r w:rsidRPr="00C40229">
              <w:rPr>
                <w:b/>
                <w:bCs/>
                <w:sz w:val="22"/>
                <w:szCs w:val="18"/>
                <w:lang w:val="es-ES"/>
              </w:rPr>
              <w:t xml:space="preserve"> 3-14 de diciembre de 2012</w:t>
            </w:r>
          </w:p>
        </w:tc>
        <w:tc>
          <w:tcPr>
            <w:tcW w:w="3120" w:type="dxa"/>
          </w:tcPr>
          <w:p w:rsidR="0090121B" w:rsidRPr="00C40229" w:rsidRDefault="0090121B" w:rsidP="0090121B">
            <w:pPr>
              <w:spacing w:before="0" w:line="240" w:lineRule="atLeast"/>
              <w:rPr>
                <w:rFonts w:cstheme="minorHAnsi"/>
                <w:lang w:val="es-ES"/>
              </w:rPr>
            </w:pPr>
            <w:bookmarkStart w:id="0" w:name="ditulogo"/>
            <w:bookmarkEnd w:id="0"/>
            <w:r w:rsidRPr="00C40229">
              <w:rPr>
                <w:rFonts w:cstheme="minorHAnsi"/>
                <w:b/>
                <w:bCs/>
                <w:szCs w:val="24"/>
                <w:lang w:val="es-ES" w:eastAsia="zh-CN"/>
              </w:rPr>
              <w:drawing>
                <wp:inline distT="0" distB="0" distL="0" distR="0" wp14:anchorId="0C404863" wp14:editId="1925AB39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40229" w:rsidTr="00B70C8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C40229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C40229" w:rsidRDefault="0090121B" w:rsidP="0090121B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</w:p>
        </w:tc>
      </w:tr>
      <w:tr w:rsidR="0090121B" w:rsidRPr="00C40229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C40229" w:rsidRDefault="0090121B" w:rsidP="004C22ED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C40229" w:rsidRDefault="0090121B" w:rsidP="0090121B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</w:p>
        </w:tc>
      </w:tr>
      <w:tr w:rsidR="0090121B" w:rsidRPr="00C40229" w:rsidTr="0090121B">
        <w:trPr>
          <w:cantSplit/>
        </w:trPr>
        <w:tc>
          <w:tcPr>
            <w:tcW w:w="6911" w:type="dxa"/>
          </w:tcPr>
          <w:p w:rsidR="0090121B" w:rsidRPr="00C40229" w:rsidRDefault="00AE658F" w:rsidP="00F136D2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C40229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:rsidR="0090121B" w:rsidRPr="00C40229" w:rsidRDefault="00AE658F" w:rsidP="0090121B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C40229">
              <w:rPr>
                <w:rFonts w:cstheme="minorHAnsi"/>
                <w:b/>
                <w:szCs w:val="24"/>
                <w:lang w:val="es-ES"/>
              </w:rPr>
              <w:t>Documento 30</w:t>
            </w:r>
            <w:r w:rsidR="0090121B" w:rsidRPr="00C40229">
              <w:rPr>
                <w:rFonts w:cstheme="minorHAnsi"/>
                <w:b/>
                <w:szCs w:val="24"/>
                <w:lang w:val="es-ES"/>
              </w:rPr>
              <w:t>-</w:t>
            </w:r>
            <w:r w:rsidRPr="00C40229">
              <w:rPr>
                <w:rFonts w:cstheme="minorHAnsi"/>
                <w:b/>
                <w:szCs w:val="24"/>
                <w:lang w:val="es-ES"/>
              </w:rPr>
              <w:t>S</w:t>
            </w:r>
          </w:p>
        </w:tc>
      </w:tr>
      <w:tr w:rsidR="0090121B" w:rsidRPr="00C40229" w:rsidTr="0090121B">
        <w:trPr>
          <w:cantSplit/>
        </w:trPr>
        <w:tc>
          <w:tcPr>
            <w:tcW w:w="6911" w:type="dxa"/>
          </w:tcPr>
          <w:p w:rsidR="0090121B" w:rsidRPr="00C40229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90121B" w:rsidRPr="00C40229" w:rsidRDefault="00AE658F" w:rsidP="0090121B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 w:rsidRPr="00C40229">
              <w:rPr>
                <w:rFonts w:cstheme="minorHAnsi"/>
                <w:b/>
                <w:szCs w:val="24"/>
                <w:lang w:val="es-ES"/>
              </w:rPr>
              <w:t>23 de noviembre de 2012</w:t>
            </w:r>
          </w:p>
        </w:tc>
      </w:tr>
      <w:tr w:rsidR="0090121B" w:rsidRPr="00C40229" w:rsidTr="0090121B">
        <w:trPr>
          <w:cantSplit/>
        </w:trPr>
        <w:tc>
          <w:tcPr>
            <w:tcW w:w="6911" w:type="dxa"/>
          </w:tcPr>
          <w:p w:rsidR="0090121B" w:rsidRPr="00C40229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90121B" w:rsidRPr="00C40229" w:rsidRDefault="00AE658F" w:rsidP="0090121B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 w:rsidRPr="00C40229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70518E" w:rsidRPr="00C40229" w:rsidTr="00B70C83">
        <w:trPr>
          <w:cantSplit/>
        </w:trPr>
        <w:tc>
          <w:tcPr>
            <w:tcW w:w="10031" w:type="dxa"/>
            <w:gridSpan w:val="2"/>
          </w:tcPr>
          <w:p w:rsidR="0070518E" w:rsidRPr="00C40229" w:rsidRDefault="0070518E" w:rsidP="0090121B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90121B" w:rsidRPr="00C40229" w:rsidTr="00B70C83">
        <w:trPr>
          <w:cantSplit/>
        </w:trPr>
        <w:tc>
          <w:tcPr>
            <w:tcW w:w="10031" w:type="dxa"/>
            <w:gridSpan w:val="2"/>
          </w:tcPr>
          <w:p w:rsidR="0090121B" w:rsidRPr="00C40229" w:rsidRDefault="00AE658F" w:rsidP="00B70C83">
            <w:pPr>
              <w:pStyle w:val="Source"/>
              <w:rPr>
                <w:lang w:val="es-ES"/>
              </w:rPr>
            </w:pPr>
            <w:bookmarkStart w:id="2" w:name="dsource" w:colFirst="0" w:colLast="0"/>
            <w:bookmarkEnd w:id="1"/>
            <w:r w:rsidRPr="00C40229">
              <w:rPr>
                <w:lang w:val="es-ES"/>
              </w:rPr>
              <w:t>Ghana</w:t>
            </w:r>
          </w:p>
        </w:tc>
      </w:tr>
      <w:tr w:rsidR="0090121B" w:rsidRPr="00C40229" w:rsidTr="00B70C83">
        <w:trPr>
          <w:cantSplit/>
        </w:trPr>
        <w:tc>
          <w:tcPr>
            <w:tcW w:w="10031" w:type="dxa"/>
            <w:gridSpan w:val="2"/>
          </w:tcPr>
          <w:p w:rsidR="0090121B" w:rsidRPr="00C40229" w:rsidRDefault="00AE658F" w:rsidP="00B70C83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C40229">
              <w:rPr>
                <w:lang w:val="es-ES"/>
              </w:rPr>
              <w:t>Propuestas para los trabajos de la Conferencia</w:t>
            </w:r>
          </w:p>
        </w:tc>
      </w:tr>
      <w:tr w:rsidR="0090121B" w:rsidRPr="00C40229" w:rsidTr="00B70C83">
        <w:trPr>
          <w:cantSplit/>
        </w:trPr>
        <w:tc>
          <w:tcPr>
            <w:tcW w:w="10031" w:type="dxa"/>
            <w:gridSpan w:val="2"/>
          </w:tcPr>
          <w:p w:rsidR="0090121B" w:rsidRPr="00C40229" w:rsidRDefault="0090121B" w:rsidP="0090121B">
            <w:pPr>
              <w:pStyle w:val="Agendaitem"/>
              <w:rPr>
                <w:lang w:val="es-ES"/>
              </w:rPr>
            </w:pPr>
            <w:bookmarkStart w:id="4" w:name="dtitle3" w:colFirst="0" w:colLast="0"/>
            <w:bookmarkEnd w:id="3"/>
          </w:p>
        </w:tc>
      </w:tr>
    </w:tbl>
    <w:bookmarkEnd w:id="4"/>
    <w:p w:rsidR="0097077F" w:rsidRPr="00C40229" w:rsidRDefault="00AA4AAF">
      <w:pPr>
        <w:pStyle w:val="Proposal"/>
        <w:rPr>
          <w:lang w:val="es-ES"/>
        </w:rPr>
      </w:pPr>
      <w:r w:rsidRPr="00C40229">
        <w:rPr>
          <w:b/>
          <w:lang w:val="es-ES"/>
        </w:rPr>
        <w:t>ADD</w:t>
      </w:r>
      <w:r w:rsidRPr="00C40229">
        <w:rPr>
          <w:lang w:val="es-ES"/>
        </w:rPr>
        <w:tab/>
        <w:t>GHA/30/1</w:t>
      </w:r>
    </w:p>
    <w:p w:rsidR="001530C3" w:rsidRPr="00C40229" w:rsidRDefault="001530C3" w:rsidP="001530C3">
      <w:pPr>
        <w:pStyle w:val="ResNo"/>
        <w:rPr>
          <w:lang w:val="es-ES"/>
        </w:rPr>
      </w:pPr>
      <w:r w:rsidRPr="00C40229">
        <w:rPr>
          <w:lang w:val="es-ES"/>
        </w:rPr>
        <w:t>PROYECTO DE NUEVA RESOLUCIÓN [GHA-1]</w:t>
      </w:r>
    </w:p>
    <w:p w:rsidR="001530C3" w:rsidRPr="00C40229" w:rsidRDefault="00046C4F" w:rsidP="001530C3">
      <w:pPr>
        <w:pStyle w:val="Restitle"/>
        <w:rPr>
          <w:lang w:val="es-ES"/>
        </w:rPr>
      </w:pPr>
      <w:r w:rsidRPr="00C40229">
        <w:rPr>
          <w:lang w:val="es-ES"/>
        </w:rPr>
        <w:t>Revisión más frecuente del RTI</w:t>
      </w:r>
    </w:p>
    <w:p w:rsidR="001530C3" w:rsidRPr="00C40229" w:rsidRDefault="001530C3" w:rsidP="001530C3">
      <w:pPr>
        <w:pStyle w:val="Normalaftertitle"/>
        <w:rPr>
          <w:lang w:val="es-ES"/>
        </w:rPr>
      </w:pPr>
      <w:r w:rsidRPr="00C40229">
        <w:rPr>
          <w:lang w:val="es-ES"/>
        </w:rPr>
        <w:t>La Conferencia Mundial de Telecomunicaciones Internacionales (Dubai, 2012),</w:t>
      </w:r>
    </w:p>
    <w:p w:rsidR="001530C3" w:rsidRPr="00C40229" w:rsidRDefault="00046C4F" w:rsidP="00046C4F">
      <w:pPr>
        <w:pStyle w:val="Call"/>
        <w:rPr>
          <w:lang w:val="es-ES"/>
        </w:rPr>
      </w:pPr>
      <w:r w:rsidRPr="00C40229">
        <w:rPr>
          <w:lang w:val="es-ES"/>
        </w:rPr>
        <w:t>reconociendo</w:t>
      </w:r>
    </w:p>
    <w:p w:rsidR="001530C3" w:rsidRPr="00C40229" w:rsidRDefault="001530C3" w:rsidP="003626E5">
      <w:pPr>
        <w:rPr>
          <w:rFonts w:ascii="Calibri"/>
          <w:lang w:val="es-ES"/>
        </w:rPr>
      </w:pPr>
      <w:r w:rsidRPr="00A95BF6">
        <w:rPr>
          <w:rFonts w:ascii="Calibri"/>
          <w:i/>
          <w:iCs/>
          <w:lang w:val="es-ES"/>
        </w:rPr>
        <w:t>a)</w:t>
      </w:r>
      <w:r w:rsidRPr="00C40229">
        <w:rPr>
          <w:rFonts w:ascii="Calibri"/>
          <w:lang w:val="es-ES"/>
        </w:rPr>
        <w:tab/>
        <w:t>que el Reglamento de las Telecomunicaciones Internacionales</w:t>
      </w:r>
      <w:r w:rsidR="003626E5">
        <w:rPr>
          <w:rFonts w:ascii="Calibri"/>
          <w:lang w:val="es-ES"/>
        </w:rPr>
        <w:t xml:space="preserve"> </w:t>
      </w:r>
      <w:r w:rsidRPr="00C40229">
        <w:rPr>
          <w:rFonts w:ascii="Calibri"/>
          <w:lang w:val="es-ES"/>
        </w:rPr>
        <w:t>(RTI) es uno de los pilares que soporta la misión de la UIT;</w:t>
      </w:r>
    </w:p>
    <w:p w:rsidR="001530C3" w:rsidRPr="00C40229" w:rsidRDefault="001530C3" w:rsidP="001530C3">
      <w:pPr>
        <w:rPr>
          <w:rFonts w:ascii="Calibri"/>
          <w:lang w:val="es-ES"/>
        </w:rPr>
      </w:pPr>
      <w:r w:rsidRPr="00A95BF6">
        <w:rPr>
          <w:rFonts w:ascii="Calibri"/>
          <w:i/>
          <w:iCs/>
          <w:lang w:val="es-ES"/>
        </w:rPr>
        <w:t>b)</w:t>
      </w:r>
      <w:r w:rsidRPr="00C40229">
        <w:rPr>
          <w:rFonts w:ascii="Calibri"/>
          <w:lang w:val="es-ES"/>
        </w:rPr>
        <w:tab/>
        <w:t>que han transcurrido 24 años entre la aprobación del RTI y su revisión en esta Conferencia;</w:t>
      </w:r>
    </w:p>
    <w:p w:rsidR="001530C3" w:rsidRPr="00C40229" w:rsidRDefault="001530C3" w:rsidP="001530C3">
      <w:pPr>
        <w:rPr>
          <w:rFonts w:ascii="Calibri"/>
          <w:lang w:val="es-ES"/>
        </w:rPr>
      </w:pPr>
      <w:r w:rsidRPr="00A95BF6">
        <w:rPr>
          <w:rFonts w:ascii="Calibri"/>
          <w:i/>
          <w:iCs/>
          <w:lang w:val="es-ES"/>
        </w:rPr>
        <w:t>c)</w:t>
      </w:r>
      <w:r w:rsidRPr="00C40229">
        <w:rPr>
          <w:rFonts w:ascii="Calibri"/>
          <w:lang w:val="es-ES"/>
        </w:rPr>
        <w:tab/>
        <w:t>que el RTI consta de principios directores de alto nivel que no deberían requerir una modificación frecuente pero que en el dinámico sector de las telecomunicaciones y las TIC se requieren revisiones más frecuentes,</w:t>
      </w:r>
    </w:p>
    <w:p w:rsidR="001530C3" w:rsidRPr="00C40229" w:rsidRDefault="00046C4F" w:rsidP="00046C4F">
      <w:pPr>
        <w:pStyle w:val="Call"/>
        <w:rPr>
          <w:lang w:val="es-ES"/>
        </w:rPr>
      </w:pPr>
      <w:r w:rsidRPr="00C40229">
        <w:rPr>
          <w:lang w:val="es-ES"/>
        </w:rPr>
        <w:t>reconociendo además</w:t>
      </w:r>
    </w:p>
    <w:p w:rsidR="001530C3" w:rsidRPr="00C40229" w:rsidRDefault="001530C3" w:rsidP="001530C3">
      <w:pPr>
        <w:rPr>
          <w:rFonts w:ascii="Calibri"/>
          <w:lang w:val="es-ES"/>
        </w:rPr>
      </w:pPr>
      <w:r w:rsidRPr="00A95BF6">
        <w:rPr>
          <w:rFonts w:ascii="Calibri"/>
          <w:i/>
          <w:iCs/>
          <w:lang w:val="es-ES"/>
        </w:rPr>
        <w:t>a)</w:t>
      </w:r>
      <w:r w:rsidRPr="00C40229">
        <w:rPr>
          <w:rFonts w:ascii="Calibri"/>
          <w:lang w:val="es-ES"/>
        </w:rPr>
        <w:tab/>
        <w:t>que el Reglamento de Radiocomunicaciones (RR) define:</w:t>
      </w:r>
    </w:p>
    <w:p w:rsidR="001530C3" w:rsidRPr="00C40229" w:rsidRDefault="00A95BF6" w:rsidP="00046C4F">
      <w:pPr>
        <w:pStyle w:val="enumlev1"/>
        <w:rPr>
          <w:lang w:val="es-ES"/>
        </w:rPr>
      </w:pPr>
      <w:r>
        <w:rPr>
          <w:lang w:val="es-ES"/>
        </w:rPr>
        <w:t>i)</w:t>
      </w:r>
      <w:r w:rsidR="001530C3" w:rsidRPr="00C40229">
        <w:rPr>
          <w:lang w:val="es-ES"/>
        </w:rPr>
        <w:tab/>
        <w:t>las atribuciones para los distintos</w:t>
      </w:r>
      <w:r w:rsidR="00046C4F" w:rsidRPr="00C40229">
        <w:rPr>
          <w:lang w:val="es-ES"/>
        </w:rPr>
        <w:t xml:space="preserve"> servicios de radiocomunicación;</w:t>
      </w:r>
    </w:p>
    <w:p w:rsidR="001530C3" w:rsidRPr="00C40229" w:rsidRDefault="00A95BF6" w:rsidP="00046C4F">
      <w:pPr>
        <w:pStyle w:val="enumlev1"/>
        <w:rPr>
          <w:lang w:val="es-ES"/>
        </w:rPr>
      </w:pPr>
      <w:r>
        <w:rPr>
          <w:lang w:val="es-ES"/>
        </w:rPr>
        <w:t>ii)</w:t>
      </w:r>
      <w:r w:rsidR="001530C3" w:rsidRPr="00C40229">
        <w:rPr>
          <w:lang w:val="es-ES"/>
        </w:rPr>
        <w:tab/>
        <w:t>los parámetros técnicos que deben cumplir las estaciones de radiocomunicación, especia</w:t>
      </w:r>
      <w:r w:rsidR="00046C4F" w:rsidRPr="00C40229">
        <w:rPr>
          <w:lang w:val="es-ES"/>
        </w:rPr>
        <w:t>lmente los transmisores;</w:t>
      </w:r>
    </w:p>
    <w:p w:rsidR="001530C3" w:rsidRPr="00C40229" w:rsidRDefault="00A95BF6" w:rsidP="00046C4F">
      <w:pPr>
        <w:pStyle w:val="enumlev1"/>
        <w:rPr>
          <w:lang w:val="es-ES"/>
        </w:rPr>
      </w:pPr>
      <w:r>
        <w:rPr>
          <w:lang w:val="es-ES"/>
        </w:rPr>
        <w:t>iii)</w:t>
      </w:r>
      <w:r w:rsidR="001530C3" w:rsidRPr="00C40229">
        <w:rPr>
          <w:lang w:val="es-ES"/>
        </w:rPr>
        <w:tab/>
        <w:t>los procedimientos de coordinación y notificación de asignacio</w:t>
      </w:r>
      <w:r w:rsidR="00046C4F" w:rsidRPr="00C40229">
        <w:rPr>
          <w:lang w:val="es-ES"/>
        </w:rPr>
        <w:t>nes de frecuencias, entre otros;</w:t>
      </w:r>
    </w:p>
    <w:p w:rsidR="001530C3" w:rsidRPr="00C40229" w:rsidRDefault="00A95BF6" w:rsidP="00046C4F">
      <w:pPr>
        <w:pStyle w:val="enumlev1"/>
        <w:rPr>
          <w:lang w:val="es-ES"/>
        </w:rPr>
      </w:pPr>
      <w:r>
        <w:rPr>
          <w:lang w:val="es-ES"/>
        </w:rPr>
        <w:t>iv)</w:t>
      </w:r>
      <w:r w:rsidR="001530C3" w:rsidRPr="00C40229">
        <w:rPr>
          <w:lang w:val="es-ES"/>
        </w:rPr>
        <w:tab/>
        <w:t xml:space="preserve">la utilización </w:t>
      </w:r>
      <w:r w:rsidR="00046C4F" w:rsidRPr="00C40229">
        <w:rPr>
          <w:lang w:val="es-ES"/>
        </w:rPr>
        <w:t>de las órbitas de los satélites;</w:t>
      </w:r>
    </w:p>
    <w:p w:rsidR="001530C3" w:rsidRPr="00C40229" w:rsidRDefault="001530C3" w:rsidP="001530C3">
      <w:pPr>
        <w:rPr>
          <w:rFonts w:ascii="Calibri"/>
          <w:lang w:val="es-ES"/>
        </w:rPr>
      </w:pPr>
      <w:r w:rsidRPr="00A95BF6">
        <w:rPr>
          <w:rFonts w:ascii="Calibri"/>
          <w:i/>
          <w:iCs/>
          <w:lang w:val="es-ES"/>
        </w:rPr>
        <w:t>b)</w:t>
      </w:r>
      <w:r w:rsidRPr="00C40229">
        <w:rPr>
          <w:rFonts w:ascii="Calibri"/>
          <w:lang w:val="es-ES"/>
        </w:rPr>
        <w:tab/>
        <w:t>que las administraciones pueden decidir implementar el RR y el RTI mediante la correspondiente legislación o reglamentación nacional,</w:t>
      </w:r>
    </w:p>
    <w:p w:rsidR="001530C3" w:rsidRPr="00C40229" w:rsidRDefault="00046C4F" w:rsidP="00046C4F">
      <w:pPr>
        <w:pStyle w:val="Call"/>
        <w:rPr>
          <w:lang w:val="es-ES"/>
        </w:rPr>
      </w:pPr>
      <w:r w:rsidRPr="00C40229">
        <w:rPr>
          <w:lang w:val="es-ES"/>
        </w:rPr>
        <w:t>considerando</w:t>
      </w:r>
    </w:p>
    <w:p w:rsidR="001530C3" w:rsidRPr="00C40229" w:rsidRDefault="001530C3" w:rsidP="001530C3">
      <w:pPr>
        <w:rPr>
          <w:rFonts w:ascii="Calibri"/>
          <w:lang w:val="es-ES"/>
        </w:rPr>
      </w:pPr>
      <w:r w:rsidRPr="00A95BF6">
        <w:rPr>
          <w:rFonts w:ascii="Calibri"/>
          <w:i/>
          <w:iCs/>
          <w:lang w:val="es-ES"/>
        </w:rPr>
        <w:t>a)</w:t>
      </w:r>
      <w:r w:rsidRPr="00C40229">
        <w:rPr>
          <w:rFonts w:ascii="Calibri"/>
          <w:lang w:val="es-ES"/>
        </w:rPr>
        <w:tab/>
        <w:t>que el Grupo de Trabajo del Consejo para la Preparación de la Conferencia Mundial de Telecomunicaciones Internacionales de 2012 ha mantenido un amplio debate sobre el RTI;</w:t>
      </w:r>
    </w:p>
    <w:p w:rsidR="001530C3" w:rsidRPr="00C40229" w:rsidRDefault="001530C3" w:rsidP="001530C3">
      <w:pPr>
        <w:rPr>
          <w:rFonts w:ascii="Calibri"/>
          <w:lang w:val="es-ES"/>
        </w:rPr>
      </w:pPr>
      <w:r w:rsidRPr="00A95BF6">
        <w:rPr>
          <w:rFonts w:ascii="Calibri"/>
          <w:i/>
          <w:iCs/>
          <w:lang w:val="es-ES"/>
        </w:rPr>
        <w:t>b)</w:t>
      </w:r>
      <w:r w:rsidRPr="00C40229">
        <w:rPr>
          <w:rFonts w:ascii="Calibri"/>
          <w:lang w:val="es-ES"/>
        </w:rPr>
        <w:tab/>
        <w:t>que se ha realizado un amplio proceso consultivo en todas las regiones de la UIT con la participación de miembros del sector privado, asociados, miembros de la academia y grupos de la sociedad civil que han manifestado un gran interés en la revisión del RTI;</w:t>
      </w:r>
    </w:p>
    <w:p w:rsidR="001530C3" w:rsidRPr="00C40229" w:rsidRDefault="001530C3" w:rsidP="001530C3">
      <w:pPr>
        <w:rPr>
          <w:rFonts w:ascii="Calibri"/>
          <w:lang w:val="es-ES"/>
        </w:rPr>
      </w:pPr>
      <w:r w:rsidRPr="00A95BF6">
        <w:rPr>
          <w:rFonts w:ascii="Calibri"/>
          <w:i/>
          <w:iCs/>
          <w:lang w:val="es-ES"/>
        </w:rPr>
        <w:t>c)</w:t>
      </w:r>
      <w:r w:rsidRPr="00C40229">
        <w:rPr>
          <w:rFonts w:ascii="Calibri"/>
          <w:lang w:val="es-ES"/>
        </w:rPr>
        <w:tab/>
        <w:t xml:space="preserve">que los </w:t>
      </w:r>
      <w:r w:rsidR="00046C4F" w:rsidRPr="00C40229">
        <w:rPr>
          <w:rFonts w:ascii="Calibri"/>
          <w:lang w:val="es-ES"/>
        </w:rPr>
        <w:t xml:space="preserve">Miembros </w:t>
      </w:r>
      <w:r w:rsidRPr="00C40229">
        <w:rPr>
          <w:rFonts w:ascii="Calibri"/>
          <w:lang w:val="es-ES"/>
        </w:rPr>
        <w:t>de la UIT han remitido numerosos documentos para los trabajos de la Conferencia,</w:t>
      </w:r>
    </w:p>
    <w:p w:rsidR="001530C3" w:rsidRPr="00C40229" w:rsidRDefault="001530C3" w:rsidP="00046C4F">
      <w:pPr>
        <w:pStyle w:val="Call"/>
        <w:rPr>
          <w:lang w:val="es-ES"/>
        </w:rPr>
      </w:pPr>
      <w:r w:rsidRPr="00C40229">
        <w:rPr>
          <w:lang w:val="es-ES"/>
        </w:rPr>
        <w:t>observando</w:t>
      </w:r>
    </w:p>
    <w:p w:rsidR="001530C3" w:rsidRPr="00C40229" w:rsidRDefault="001530C3" w:rsidP="001530C3">
      <w:pPr>
        <w:rPr>
          <w:rFonts w:ascii="Calibri"/>
          <w:lang w:val="es-ES"/>
        </w:rPr>
      </w:pPr>
      <w:r w:rsidRPr="00A95BF6">
        <w:rPr>
          <w:rFonts w:ascii="Calibri"/>
          <w:i/>
          <w:iCs/>
          <w:lang w:val="es-ES"/>
        </w:rPr>
        <w:t>a)</w:t>
      </w:r>
      <w:r w:rsidRPr="00C40229">
        <w:rPr>
          <w:rFonts w:ascii="Calibri"/>
          <w:lang w:val="es-ES"/>
        </w:rPr>
        <w:tab/>
        <w:t xml:space="preserve">que el desarrollo tecnológico y la demanda de servicios que requieren una gran anchura de banda </w:t>
      </w:r>
      <w:r w:rsidR="00C40229" w:rsidRPr="00C40229">
        <w:rPr>
          <w:rFonts w:ascii="Calibri"/>
          <w:lang w:val="es-ES"/>
        </w:rPr>
        <w:t>continúa</w:t>
      </w:r>
      <w:r w:rsidRPr="00C40229">
        <w:rPr>
          <w:rFonts w:ascii="Calibri"/>
          <w:lang w:val="es-ES"/>
        </w:rPr>
        <w:t xml:space="preserve"> creciendo;</w:t>
      </w:r>
    </w:p>
    <w:p w:rsidR="001530C3" w:rsidRPr="00C40229" w:rsidRDefault="001530C3" w:rsidP="001530C3">
      <w:pPr>
        <w:rPr>
          <w:rFonts w:ascii="Calibri"/>
          <w:lang w:val="es-ES"/>
        </w:rPr>
      </w:pPr>
      <w:r w:rsidRPr="00A95BF6">
        <w:rPr>
          <w:rFonts w:ascii="Calibri"/>
          <w:i/>
          <w:iCs/>
          <w:lang w:val="es-ES"/>
        </w:rPr>
        <w:t>b)</w:t>
      </w:r>
      <w:r w:rsidRPr="00C40229">
        <w:rPr>
          <w:rFonts w:ascii="Calibri"/>
          <w:lang w:val="es-ES"/>
        </w:rPr>
        <w:tab/>
        <w:t>que el RTI:</w:t>
      </w:r>
    </w:p>
    <w:p w:rsidR="001530C3" w:rsidRPr="00C40229" w:rsidRDefault="00A95BF6" w:rsidP="00046C4F">
      <w:pPr>
        <w:pStyle w:val="enumlev1"/>
        <w:rPr>
          <w:lang w:val="es-ES"/>
        </w:rPr>
      </w:pPr>
      <w:r>
        <w:rPr>
          <w:lang w:val="es-ES"/>
        </w:rPr>
        <w:t>i)</w:t>
      </w:r>
      <w:r w:rsidR="001530C3" w:rsidRPr="00C40229">
        <w:rPr>
          <w:lang w:val="es-ES"/>
        </w:rPr>
        <w:tab/>
        <w:t>establece los principios generales sobre la provisión y explotación de las telecomunicaciones internacionales</w:t>
      </w:r>
      <w:r w:rsidR="00046C4F" w:rsidRPr="00C40229">
        <w:rPr>
          <w:lang w:val="es-ES"/>
        </w:rPr>
        <w:t>;</w:t>
      </w:r>
    </w:p>
    <w:p w:rsidR="001530C3" w:rsidRPr="00C40229" w:rsidRDefault="00A95BF6" w:rsidP="00046C4F">
      <w:pPr>
        <w:pStyle w:val="enumlev1"/>
        <w:rPr>
          <w:lang w:val="es-ES"/>
        </w:rPr>
      </w:pPr>
      <w:r>
        <w:rPr>
          <w:lang w:val="es-ES"/>
        </w:rPr>
        <w:t>ii)</w:t>
      </w:r>
      <w:r w:rsidR="001530C3" w:rsidRPr="00C40229">
        <w:rPr>
          <w:lang w:val="es-ES"/>
        </w:rPr>
        <w:tab/>
        <w:t>facilita la interconexión y el int</w:t>
      </w:r>
      <w:r w:rsidR="00046C4F" w:rsidRPr="00C40229">
        <w:rPr>
          <w:lang w:val="es-ES"/>
        </w:rPr>
        <w:t>erfuncionamiento a nivel global;</w:t>
      </w:r>
    </w:p>
    <w:p w:rsidR="001530C3" w:rsidRPr="00C40229" w:rsidRDefault="001530C3" w:rsidP="00A95BF6">
      <w:pPr>
        <w:pStyle w:val="enumlev1"/>
        <w:rPr>
          <w:lang w:val="es-ES"/>
        </w:rPr>
      </w:pPr>
      <w:r w:rsidRPr="00C40229">
        <w:rPr>
          <w:lang w:val="es-ES"/>
        </w:rPr>
        <w:t>iii</w:t>
      </w:r>
      <w:r w:rsidR="00A95BF6">
        <w:rPr>
          <w:lang w:val="es-ES"/>
        </w:rPr>
        <w:t>)</w:t>
      </w:r>
      <w:r w:rsidRPr="00C40229">
        <w:rPr>
          <w:lang w:val="es-ES"/>
        </w:rPr>
        <w:tab/>
        <w:t>promueve a eficiencia, utilidad y disponibilidad de los servicios internacionale</w:t>
      </w:r>
      <w:r w:rsidR="00046C4F" w:rsidRPr="00C40229">
        <w:rPr>
          <w:lang w:val="es-ES"/>
        </w:rPr>
        <w:t>s de telecomunicación,</w:t>
      </w:r>
    </w:p>
    <w:p w:rsidR="001530C3" w:rsidRPr="00C40229" w:rsidRDefault="001530C3" w:rsidP="00046C4F">
      <w:pPr>
        <w:pStyle w:val="Call"/>
        <w:rPr>
          <w:lang w:val="es-ES"/>
        </w:rPr>
      </w:pPr>
      <w:r w:rsidRPr="00C40229">
        <w:rPr>
          <w:lang w:val="es-ES"/>
        </w:rPr>
        <w:t>resuelve</w:t>
      </w:r>
    </w:p>
    <w:p w:rsidR="001530C3" w:rsidRPr="00C40229" w:rsidRDefault="001530C3" w:rsidP="001530C3">
      <w:pPr>
        <w:rPr>
          <w:rFonts w:ascii="Calibri"/>
          <w:lang w:val="es-ES"/>
        </w:rPr>
      </w:pPr>
      <w:r w:rsidRPr="00A95BF6">
        <w:rPr>
          <w:rFonts w:ascii="Calibri"/>
          <w:i/>
          <w:iCs/>
          <w:lang w:val="es-ES"/>
        </w:rPr>
        <w:t>a)</w:t>
      </w:r>
      <w:r w:rsidRPr="00C40229">
        <w:rPr>
          <w:rFonts w:ascii="Calibri"/>
          <w:lang w:val="es-ES"/>
        </w:rPr>
        <w:tab/>
        <w:t>que el RTI debería revisarse en cada AMNT (aproximadamente cada ocho años) debido a que:</w:t>
      </w:r>
    </w:p>
    <w:p w:rsidR="001530C3" w:rsidRPr="00C40229" w:rsidRDefault="00A95BF6" w:rsidP="00046C4F">
      <w:pPr>
        <w:pStyle w:val="enumlev1"/>
        <w:rPr>
          <w:lang w:val="es-ES"/>
        </w:rPr>
      </w:pPr>
      <w:r>
        <w:rPr>
          <w:lang w:val="es-ES"/>
        </w:rPr>
        <w:t>i)</w:t>
      </w:r>
      <w:r w:rsidR="001530C3" w:rsidRPr="00C40229">
        <w:rPr>
          <w:lang w:val="es-ES"/>
        </w:rPr>
        <w:tab/>
        <w:t>las tecnologías y los servicios están sujetos a cambios rápidos y, por tanto, las políticas y la reglamentación de las TIC d</w:t>
      </w:r>
      <w:r w:rsidR="00046C4F" w:rsidRPr="00C40229">
        <w:rPr>
          <w:lang w:val="es-ES"/>
        </w:rPr>
        <w:t>eberían reflejar dichos cambios;</w:t>
      </w:r>
    </w:p>
    <w:p w:rsidR="001530C3" w:rsidRPr="00C40229" w:rsidRDefault="001530C3" w:rsidP="00A95BF6">
      <w:pPr>
        <w:pStyle w:val="enumlev1"/>
        <w:rPr>
          <w:lang w:val="es-ES"/>
        </w:rPr>
      </w:pPr>
      <w:r w:rsidRPr="00C40229">
        <w:rPr>
          <w:lang w:val="es-ES"/>
        </w:rPr>
        <w:t>ii</w:t>
      </w:r>
      <w:r w:rsidR="00A95BF6">
        <w:rPr>
          <w:lang w:val="es-ES"/>
        </w:rPr>
        <w:t>)</w:t>
      </w:r>
      <w:r w:rsidRPr="00C40229">
        <w:rPr>
          <w:lang w:val="es-ES"/>
        </w:rPr>
        <w:tab/>
        <w:t xml:space="preserve">existe un uso creciente de infraestructuras y aplicaciones basadas en IP que suponen retos y oportunidades para el sector de las TIC que </w:t>
      </w:r>
      <w:r w:rsidR="00046C4F" w:rsidRPr="00C40229">
        <w:rPr>
          <w:lang w:val="es-ES"/>
        </w:rPr>
        <w:t>deben reconocerse oportunamente;</w:t>
      </w:r>
    </w:p>
    <w:p w:rsidR="001530C3" w:rsidRPr="00C40229" w:rsidRDefault="001530C3" w:rsidP="001530C3">
      <w:pPr>
        <w:rPr>
          <w:rFonts w:ascii="Calibri"/>
          <w:lang w:val="es-ES"/>
        </w:rPr>
      </w:pPr>
      <w:r w:rsidRPr="00A95BF6">
        <w:rPr>
          <w:rFonts w:ascii="Calibri"/>
          <w:i/>
          <w:iCs/>
          <w:lang w:val="es-ES"/>
        </w:rPr>
        <w:t>b)</w:t>
      </w:r>
      <w:r w:rsidRPr="00C40229">
        <w:rPr>
          <w:rFonts w:ascii="Calibri"/>
          <w:lang w:val="es-ES"/>
        </w:rPr>
        <w:tab/>
        <w:t xml:space="preserve">que cuando se revise el RTI se preste especial atención a los asuntos relativos </w:t>
      </w:r>
      <w:r w:rsidR="00C40229" w:rsidRPr="00C40229">
        <w:rPr>
          <w:rFonts w:ascii="Calibri"/>
          <w:lang w:val="es-ES"/>
        </w:rPr>
        <w:t>a los siguientes</w:t>
      </w:r>
      <w:r w:rsidRPr="00C40229">
        <w:rPr>
          <w:rFonts w:ascii="Calibri"/>
          <w:lang w:val="es-ES"/>
        </w:rPr>
        <w:t>:</w:t>
      </w:r>
    </w:p>
    <w:p w:rsidR="001530C3" w:rsidRPr="00C40229" w:rsidRDefault="00A95BF6" w:rsidP="00046C4F">
      <w:pPr>
        <w:pStyle w:val="enumlev1"/>
        <w:rPr>
          <w:lang w:val="es-ES"/>
        </w:rPr>
      </w:pPr>
      <w:r>
        <w:rPr>
          <w:lang w:val="es-ES"/>
        </w:rPr>
        <w:t>i)</w:t>
      </w:r>
      <w:r w:rsidR="001530C3" w:rsidRPr="00C40229">
        <w:rPr>
          <w:lang w:val="es-ES"/>
        </w:rPr>
        <w:tab/>
        <w:t>Itinerancia</w:t>
      </w:r>
    </w:p>
    <w:p w:rsidR="001530C3" w:rsidRPr="00C40229" w:rsidRDefault="00A95BF6" w:rsidP="00046C4F">
      <w:pPr>
        <w:pStyle w:val="enumlev1"/>
        <w:rPr>
          <w:lang w:val="es-ES"/>
        </w:rPr>
      </w:pPr>
      <w:r>
        <w:rPr>
          <w:lang w:val="es-ES"/>
        </w:rPr>
        <w:t>ii)</w:t>
      </w:r>
      <w:r w:rsidR="003761A0">
        <w:rPr>
          <w:lang w:val="es-ES"/>
        </w:rPr>
        <w:tab/>
        <w:t>Uso indebido y fraude</w:t>
      </w:r>
    </w:p>
    <w:p w:rsidR="001530C3" w:rsidRPr="00C40229" w:rsidRDefault="00A95BF6" w:rsidP="00046C4F">
      <w:pPr>
        <w:pStyle w:val="enumlev1"/>
        <w:rPr>
          <w:lang w:val="es-ES"/>
        </w:rPr>
      </w:pPr>
      <w:r>
        <w:rPr>
          <w:lang w:val="es-ES"/>
        </w:rPr>
        <w:t>iii)</w:t>
      </w:r>
      <w:r w:rsidR="001530C3" w:rsidRPr="00C40229">
        <w:rPr>
          <w:lang w:val="es-ES"/>
        </w:rPr>
        <w:tab/>
        <w:t>Asuntos relacionados con</w:t>
      </w:r>
      <w:r w:rsidR="003761A0">
        <w:rPr>
          <w:lang w:val="es-ES"/>
        </w:rPr>
        <w:t xml:space="preserve"> la numeración e identificación</w:t>
      </w:r>
    </w:p>
    <w:p w:rsidR="001530C3" w:rsidRPr="00C40229" w:rsidRDefault="001530C3" w:rsidP="00A95BF6">
      <w:pPr>
        <w:pStyle w:val="enumlev1"/>
        <w:rPr>
          <w:lang w:val="es-ES"/>
        </w:rPr>
      </w:pPr>
      <w:r w:rsidRPr="00C40229">
        <w:rPr>
          <w:lang w:val="es-ES"/>
        </w:rPr>
        <w:t>iv</w:t>
      </w:r>
      <w:r w:rsidR="00A95BF6">
        <w:rPr>
          <w:lang w:val="es-ES"/>
        </w:rPr>
        <w:t>)</w:t>
      </w:r>
      <w:r w:rsidRPr="00C40229">
        <w:rPr>
          <w:lang w:val="es-ES"/>
        </w:rPr>
        <w:tab/>
        <w:t>Transparencia de la gestión y en</w:t>
      </w:r>
      <w:r w:rsidR="003761A0">
        <w:rPr>
          <w:lang w:val="es-ES"/>
        </w:rPr>
        <w:t>caminamiento del tráfico</w:t>
      </w:r>
    </w:p>
    <w:p w:rsidR="001530C3" w:rsidRPr="00C40229" w:rsidRDefault="00A95BF6" w:rsidP="00046C4F">
      <w:pPr>
        <w:pStyle w:val="enumlev1"/>
        <w:rPr>
          <w:lang w:val="es-ES"/>
        </w:rPr>
      </w:pPr>
      <w:r>
        <w:rPr>
          <w:lang w:val="es-ES"/>
        </w:rPr>
        <w:t>v)</w:t>
      </w:r>
      <w:r w:rsidR="001530C3" w:rsidRPr="00C40229">
        <w:rPr>
          <w:lang w:val="es-ES"/>
        </w:rPr>
        <w:tab/>
        <w:t>Telecomunicaciones en general y</w:t>
      </w:r>
      <w:r w:rsidR="003761A0">
        <w:rPr>
          <w:lang w:val="es-ES"/>
        </w:rPr>
        <w:t xml:space="preserve"> los asuntos económicos conexos</w:t>
      </w:r>
    </w:p>
    <w:p w:rsidR="001530C3" w:rsidRPr="00C40229" w:rsidRDefault="00A95BF6" w:rsidP="00046C4F">
      <w:pPr>
        <w:pStyle w:val="enumlev1"/>
        <w:rPr>
          <w:lang w:val="es-ES"/>
        </w:rPr>
      </w:pPr>
      <w:proofErr w:type="gramStart"/>
      <w:r>
        <w:rPr>
          <w:lang w:val="es-ES"/>
        </w:rPr>
        <w:t>vi</w:t>
      </w:r>
      <w:proofErr w:type="gramEnd"/>
      <w:r>
        <w:rPr>
          <w:lang w:val="es-ES"/>
        </w:rPr>
        <w:t>)</w:t>
      </w:r>
      <w:r w:rsidR="003761A0">
        <w:rPr>
          <w:lang w:val="es-ES"/>
        </w:rPr>
        <w:tab/>
        <w:t>Ciberseguridad y ciberamenazas</w:t>
      </w:r>
    </w:p>
    <w:p w:rsidR="001530C3" w:rsidRPr="00C40229" w:rsidRDefault="00A95BF6" w:rsidP="00046C4F">
      <w:pPr>
        <w:pStyle w:val="enumlev1"/>
        <w:rPr>
          <w:lang w:val="es-ES"/>
        </w:rPr>
      </w:pPr>
      <w:r>
        <w:rPr>
          <w:lang w:val="es-ES"/>
        </w:rPr>
        <w:t>vii)</w:t>
      </w:r>
      <w:r w:rsidR="001530C3" w:rsidRPr="00C40229">
        <w:rPr>
          <w:lang w:val="es-ES"/>
        </w:rPr>
        <w:tab/>
        <w:t>Eficiencia energética</w:t>
      </w:r>
    </w:p>
    <w:p w:rsidR="001530C3" w:rsidRPr="00C40229" w:rsidRDefault="001530C3" w:rsidP="00A95BF6">
      <w:pPr>
        <w:pStyle w:val="enumlev1"/>
        <w:rPr>
          <w:lang w:val="es-ES"/>
        </w:rPr>
      </w:pPr>
      <w:r w:rsidRPr="00C40229">
        <w:rPr>
          <w:lang w:val="es-ES"/>
        </w:rPr>
        <w:t>viii</w:t>
      </w:r>
      <w:r w:rsidR="00A95BF6">
        <w:rPr>
          <w:lang w:val="es-ES"/>
        </w:rPr>
        <w:t>)</w:t>
      </w:r>
      <w:r w:rsidRPr="00C40229">
        <w:rPr>
          <w:lang w:val="es-ES"/>
        </w:rPr>
        <w:tab/>
        <w:t>Cambio climático, medioambiente y residuos electrónicos</w:t>
      </w:r>
    </w:p>
    <w:p w:rsidR="001530C3" w:rsidRPr="00C40229" w:rsidRDefault="00A95BF6" w:rsidP="00046C4F">
      <w:pPr>
        <w:pStyle w:val="enumlev1"/>
        <w:rPr>
          <w:lang w:val="es-ES"/>
        </w:rPr>
      </w:pPr>
      <w:r>
        <w:rPr>
          <w:lang w:val="es-ES"/>
        </w:rPr>
        <w:t>ix)</w:t>
      </w:r>
      <w:r w:rsidR="00046C4F" w:rsidRPr="00C40229">
        <w:rPr>
          <w:lang w:val="es-ES"/>
        </w:rPr>
        <w:tab/>
        <w:t>Accesibilidad;</w:t>
      </w:r>
    </w:p>
    <w:p w:rsidR="001530C3" w:rsidRPr="00C40229" w:rsidRDefault="001530C3" w:rsidP="001530C3">
      <w:pPr>
        <w:rPr>
          <w:rFonts w:ascii="Calibri"/>
          <w:lang w:val="es-ES"/>
        </w:rPr>
      </w:pPr>
      <w:r w:rsidRPr="00A95BF6">
        <w:rPr>
          <w:rFonts w:ascii="Calibri"/>
          <w:i/>
          <w:iCs/>
          <w:lang w:val="es-ES"/>
        </w:rPr>
        <w:t>c)</w:t>
      </w:r>
      <w:r w:rsidRPr="00C40229">
        <w:rPr>
          <w:rFonts w:ascii="Calibri"/>
          <w:lang w:val="es-ES"/>
        </w:rPr>
        <w:tab/>
      </w:r>
      <w:r w:rsidR="00046C4F" w:rsidRPr="00C40229">
        <w:rPr>
          <w:rFonts w:ascii="Calibri"/>
          <w:lang w:val="es-ES"/>
        </w:rPr>
        <w:t xml:space="preserve">invitar </w:t>
      </w:r>
      <w:r w:rsidRPr="00C40229">
        <w:rPr>
          <w:rFonts w:ascii="Calibri"/>
          <w:lang w:val="es-ES"/>
        </w:rPr>
        <w:t>a que la Conferencia de Plenipotenciarios tenga en consideración esta Resolución y tome las medidas oportunas,</w:t>
      </w:r>
    </w:p>
    <w:p w:rsidR="001530C3" w:rsidRPr="00C40229" w:rsidRDefault="001530C3" w:rsidP="00046C4F">
      <w:pPr>
        <w:pStyle w:val="Call"/>
        <w:rPr>
          <w:lang w:val="es-ES"/>
        </w:rPr>
      </w:pPr>
      <w:r w:rsidRPr="00C40229">
        <w:rPr>
          <w:lang w:val="es-ES"/>
        </w:rPr>
        <w:t xml:space="preserve">encarga al </w:t>
      </w:r>
      <w:r w:rsidR="00046C4F" w:rsidRPr="00C40229">
        <w:rPr>
          <w:lang w:val="es-ES"/>
        </w:rPr>
        <w:t>Secretario General</w:t>
      </w:r>
    </w:p>
    <w:p w:rsidR="001530C3" w:rsidRPr="00C40229" w:rsidRDefault="001530C3" w:rsidP="001530C3">
      <w:pPr>
        <w:rPr>
          <w:rFonts w:ascii="Calibri"/>
          <w:lang w:val="es-ES"/>
        </w:rPr>
      </w:pPr>
      <w:r w:rsidRPr="00C40229">
        <w:rPr>
          <w:rFonts w:ascii="Calibri"/>
          <w:lang w:val="es-ES"/>
        </w:rPr>
        <w:t xml:space="preserve">que señale esta </w:t>
      </w:r>
      <w:r w:rsidR="00046C4F" w:rsidRPr="00C40229">
        <w:rPr>
          <w:rFonts w:ascii="Calibri"/>
          <w:lang w:val="es-ES"/>
        </w:rPr>
        <w:t xml:space="preserve">Resolución </w:t>
      </w:r>
      <w:r w:rsidRPr="00C40229">
        <w:rPr>
          <w:rFonts w:ascii="Calibri"/>
          <w:lang w:val="es-ES"/>
        </w:rPr>
        <w:t>a la atención de la Conferencia de Plenipotenciarios,</w:t>
      </w:r>
    </w:p>
    <w:p w:rsidR="001530C3" w:rsidRPr="00C40229" w:rsidRDefault="001530C3" w:rsidP="00046C4F">
      <w:pPr>
        <w:pStyle w:val="Call"/>
        <w:rPr>
          <w:lang w:val="es-ES"/>
        </w:rPr>
      </w:pPr>
      <w:r w:rsidRPr="00C40229">
        <w:rPr>
          <w:lang w:val="es-ES"/>
        </w:rPr>
        <w:t>encarga al Secretario General y a</w:t>
      </w:r>
      <w:r w:rsidR="00046C4F" w:rsidRPr="00C40229">
        <w:rPr>
          <w:lang w:val="es-ES"/>
        </w:rPr>
        <w:t xml:space="preserve"> los Directores de las Oficinas</w:t>
      </w:r>
    </w:p>
    <w:p w:rsidR="001530C3" w:rsidRPr="00C40229" w:rsidRDefault="001530C3" w:rsidP="001530C3">
      <w:pPr>
        <w:rPr>
          <w:rFonts w:ascii="Calibri"/>
          <w:lang w:val="es-ES"/>
        </w:rPr>
      </w:pPr>
      <w:r w:rsidRPr="00C40229">
        <w:rPr>
          <w:rFonts w:ascii="Calibri"/>
          <w:lang w:val="es-ES"/>
        </w:rPr>
        <w:t>que identifiquen y recompilen los aspectos relevantes y urgentes en la esfera de las telecomunicaciones que deban ser analizados con el objetivo de su incorporación en e</w:t>
      </w:r>
      <w:r w:rsidR="00046C4F" w:rsidRPr="00C40229">
        <w:rPr>
          <w:rFonts w:ascii="Calibri"/>
          <w:lang w:val="es-ES"/>
        </w:rPr>
        <w:t>l RTI</w:t>
      </w:r>
      <w:r w:rsidRPr="00C40229">
        <w:rPr>
          <w:rFonts w:ascii="Calibri"/>
          <w:lang w:val="es-ES"/>
        </w:rPr>
        <w:t>,</w:t>
      </w:r>
    </w:p>
    <w:p w:rsidR="001530C3" w:rsidRPr="00C40229" w:rsidRDefault="00046C4F" w:rsidP="00046C4F">
      <w:pPr>
        <w:pStyle w:val="Call"/>
        <w:rPr>
          <w:lang w:val="es-ES"/>
        </w:rPr>
      </w:pPr>
      <w:r w:rsidRPr="00C40229">
        <w:rPr>
          <w:lang w:val="es-ES"/>
        </w:rPr>
        <w:t>invita a los Estados Miembros</w:t>
      </w:r>
    </w:p>
    <w:p w:rsidR="0097077F" w:rsidRPr="00C40229" w:rsidRDefault="001530C3" w:rsidP="001530C3">
      <w:pPr>
        <w:rPr>
          <w:lang w:val="es-ES"/>
        </w:rPr>
      </w:pPr>
      <w:r w:rsidRPr="00C40229">
        <w:rPr>
          <w:rFonts w:ascii="Calibri"/>
          <w:lang w:val="es-ES"/>
        </w:rPr>
        <w:t>a contribuir a los trabajos identificados en esta Resolución.</w:t>
      </w:r>
    </w:p>
    <w:p w:rsidR="00046C4F" w:rsidRPr="00C40229" w:rsidRDefault="00046C4F" w:rsidP="00B70C83">
      <w:pPr>
        <w:pStyle w:val="Reasons"/>
        <w:rPr>
          <w:lang w:val="es-ES"/>
        </w:rPr>
      </w:pPr>
    </w:p>
    <w:p w:rsidR="00046C4F" w:rsidRPr="00C40229" w:rsidRDefault="00046C4F">
      <w:pPr>
        <w:jc w:val="center"/>
        <w:rPr>
          <w:lang w:val="es-ES"/>
        </w:rPr>
      </w:pPr>
      <w:r w:rsidRPr="00C40229">
        <w:rPr>
          <w:lang w:val="es-ES"/>
        </w:rPr>
        <w:t>______________</w:t>
      </w:r>
    </w:p>
    <w:p w:rsidR="0097077F" w:rsidRPr="00C40229" w:rsidRDefault="0097077F">
      <w:pPr>
        <w:pStyle w:val="Reasons"/>
        <w:rPr>
          <w:lang w:val="es-ES"/>
        </w:rPr>
      </w:pPr>
      <w:bookmarkStart w:id="5" w:name="_GoBack"/>
      <w:bookmarkEnd w:id="5"/>
    </w:p>
    <w:sectPr w:rsidR="0097077F" w:rsidRPr="00C40229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83" w:rsidRDefault="00B70C83">
      <w:r>
        <w:separator/>
      </w:r>
    </w:p>
  </w:endnote>
  <w:endnote w:type="continuationSeparator" w:id="0">
    <w:p w:rsidR="00B70C83" w:rsidRDefault="00B7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83" w:rsidRDefault="00B70C83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70C83" w:rsidRDefault="00B70C83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57BC2">
      <w:rPr>
        <w:noProof/>
        <w:lang w:val="en-US"/>
      </w:rPr>
      <w:t>P:\ESP\SG\CONF-SG\WCIT12\000\030S.docx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7BC2">
      <w:rPr>
        <w:noProof/>
      </w:rPr>
      <w:t>27.11.12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7BC2">
      <w:rPr>
        <w:noProof/>
      </w:rPr>
      <w:t>27.11.12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83" w:rsidRDefault="00B70C83" w:rsidP="00604B96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57BC2">
      <w:rPr>
        <w:lang w:val="en-US"/>
      </w:rPr>
      <w:t>P:\ESP\SG\CONF-SG\WCIT12\000\030S.docx</w:t>
    </w:r>
    <w:r>
      <w:fldChar w:fldCharType="end"/>
    </w:r>
    <w:r w:rsidR="00136D71">
      <w:t xml:space="preserve"> </w:t>
    </w:r>
    <w:r w:rsidR="00136D71">
      <w:t>(336189)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7BC2">
      <w:t>27.11.12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7BC2">
      <w:t>27.11.12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83" w:rsidRDefault="00B70C83" w:rsidP="00604B9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57BC2">
      <w:rPr>
        <w:lang w:val="en-US"/>
      </w:rPr>
      <w:t>P:\ESP\SG\CONF-SG\WCIT12\000\030S.docx</w:t>
    </w:r>
    <w:r>
      <w:fldChar w:fldCharType="end"/>
    </w:r>
    <w:r w:rsidR="00136D71">
      <w:t xml:space="preserve"> (336189)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7BC2">
      <w:t>27.11.12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7BC2">
      <w:t>27.11.12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83" w:rsidRDefault="00B70C83">
      <w:r>
        <w:rPr>
          <w:b/>
        </w:rPr>
        <w:t>_______________</w:t>
      </w:r>
    </w:p>
  </w:footnote>
  <w:footnote w:type="continuationSeparator" w:id="0">
    <w:p w:rsidR="00B70C83" w:rsidRDefault="00B70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83" w:rsidRDefault="00B70C8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57BC2">
      <w:rPr>
        <w:noProof/>
      </w:rPr>
      <w:t>3</w:t>
    </w:r>
    <w:r>
      <w:fldChar w:fldCharType="end"/>
    </w:r>
  </w:p>
  <w:p w:rsidR="00B70C83" w:rsidRDefault="00B70C83" w:rsidP="00604B96">
    <w:pPr>
      <w:pStyle w:val="Header"/>
      <w:rPr>
        <w:lang w:val="en-US"/>
      </w:rPr>
    </w:pPr>
    <w:r>
      <w:rPr>
        <w:lang w:val="en-US"/>
      </w:rPr>
      <w:t>WCIT12</w:t>
    </w:r>
    <w:r>
      <w:t>/30-</w:t>
    </w:r>
    <w:r w:rsidRPr="00010B43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86ED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A4F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FEB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C6F5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123D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7A44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BCF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98D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5E4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0CA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1B"/>
    <w:rsid w:val="0002785D"/>
    <w:rsid w:val="00046C4F"/>
    <w:rsid w:val="00087AE8"/>
    <w:rsid w:val="00097EB3"/>
    <w:rsid w:val="000E5BF9"/>
    <w:rsid w:val="000F0E6D"/>
    <w:rsid w:val="00121170"/>
    <w:rsid w:val="00123CC5"/>
    <w:rsid w:val="00136D71"/>
    <w:rsid w:val="0015142D"/>
    <w:rsid w:val="001530C3"/>
    <w:rsid w:val="001616DC"/>
    <w:rsid w:val="00163962"/>
    <w:rsid w:val="00191A97"/>
    <w:rsid w:val="001A083F"/>
    <w:rsid w:val="001C41FA"/>
    <w:rsid w:val="001E2B52"/>
    <w:rsid w:val="001E3F27"/>
    <w:rsid w:val="001F30DB"/>
    <w:rsid w:val="00236D2A"/>
    <w:rsid w:val="00255F12"/>
    <w:rsid w:val="00262C09"/>
    <w:rsid w:val="002A791F"/>
    <w:rsid w:val="002C1B26"/>
    <w:rsid w:val="002E701F"/>
    <w:rsid w:val="0032644F"/>
    <w:rsid w:val="0032680B"/>
    <w:rsid w:val="003626E5"/>
    <w:rsid w:val="00363A65"/>
    <w:rsid w:val="003761A0"/>
    <w:rsid w:val="003C2508"/>
    <w:rsid w:val="003D0AA3"/>
    <w:rsid w:val="00454553"/>
    <w:rsid w:val="004B124A"/>
    <w:rsid w:val="004C22ED"/>
    <w:rsid w:val="00532097"/>
    <w:rsid w:val="00533024"/>
    <w:rsid w:val="0058350F"/>
    <w:rsid w:val="005F2605"/>
    <w:rsid w:val="00604B96"/>
    <w:rsid w:val="00662BA0"/>
    <w:rsid w:val="00692AAE"/>
    <w:rsid w:val="006C6F9A"/>
    <w:rsid w:val="006D6E67"/>
    <w:rsid w:val="00701C20"/>
    <w:rsid w:val="0070518E"/>
    <w:rsid w:val="007354E9"/>
    <w:rsid w:val="00765578"/>
    <w:rsid w:val="0077084A"/>
    <w:rsid w:val="007952C7"/>
    <w:rsid w:val="007C2317"/>
    <w:rsid w:val="007D330A"/>
    <w:rsid w:val="007D760D"/>
    <w:rsid w:val="007E20FC"/>
    <w:rsid w:val="008373AA"/>
    <w:rsid w:val="00866AE6"/>
    <w:rsid w:val="008750A8"/>
    <w:rsid w:val="008A5623"/>
    <w:rsid w:val="0090121B"/>
    <w:rsid w:val="009144C9"/>
    <w:rsid w:val="0094091F"/>
    <w:rsid w:val="0097077F"/>
    <w:rsid w:val="00973754"/>
    <w:rsid w:val="009C0BED"/>
    <w:rsid w:val="009E11EC"/>
    <w:rsid w:val="00A118DB"/>
    <w:rsid w:val="00A4180D"/>
    <w:rsid w:val="00A4450C"/>
    <w:rsid w:val="00A95BF6"/>
    <w:rsid w:val="00AA4AAF"/>
    <w:rsid w:val="00AA5E6C"/>
    <w:rsid w:val="00AE5677"/>
    <w:rsid w:val="00AE658F"/>
    <w:rsid w:val="00AF2F78"/>
    <w:rsid w:val="00B52D55"/>
    <w:rsid w:val="00B57BC2"/>
    <w:rsid w:val="00B62AF4"/>
    <w:rsid w:val="00B70C83"/>
    <w:rsid w:val="00BE2E80"/>
    <w:rsid w:val="00BE5EDD"/>
    <w:rsid w:val="00BE6A1F"/>
    <w:rsid w:val="00C126C4"/>
    <w:rsid w:val="00C40229"/>
    <w:rsid w:val="00C63EB5"/>
    <w:rsid w:val="00CC01E0"/>
    <w:rsid w:val="00CE60D2"/>
    <w:rsid w:val="00D0288A"/>
    <w:rsid w:val="00D72A5D"/>
    <w:rsid w:val="00DC629B"/>
    <w:rsid w:val="00E262F1"/>
    <w:rsid w:val="00E71D14"/>
    <w:rsid w:val="00F136D2"/>
    <w:rsid w:val="00F8150C"/>
    <w:rsid w:val="00FD5F3F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C22ED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4C22E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4C22ED"/>
    <w:rPr>
      <w:rFonts w:asciiTheme="minorHAnsi" w:hAnsiTheme="minorHAns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paragraph" w:styleId="BalloonText">
    <w:name w:val="Balloon Text"/>
    <w:basedOn w:val="Normal"/>
    <w:link w:val="BalloonTextChar"/>
    <w:rsid w:val="00F136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6D2"/>
    <w:rPr>
      <w:rFonts w:ascii="Tahoma" w:hAnsi="Tahoma" w:cs="Tahoma"/>
      <w:sz w:val="16"/>
      <w:szCs w:val="16"/>
      <w:lang w:val="es-ES_tradnl" w:eastAsia="en-US"/>
    </w:rPr>
  </w:style>
  <w:style w:type="paragraph" w:customStyle="1" w:styleId="Committee">
    <w:name w:val="Committee"/>
    <w:basedOn w:val="Normal"/>
    <w:qFormat/>
    <w:rsid w:val="00F136D2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1530C3"/>
    <w:rPr>
      <w:rFonts w:asciiTheme="minorHAnsi" w:hAnsiTheme="minorHAnsi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C22ED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4C22E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4C22ED"/>
    <w:rPr>
      <w:rFonts w:asciiTheme="minorHAnsi" w:hAnsiTheme="minorHAns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paragraph" w:styleId="BalloonText">
    <w:name w:val="Balloon Text"/>
    <w:basedOn w:val="Normal"/>
    <w:link w:val="BalloonTextChar"/>
    <w:rsid w:val="00F136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6D2"/>
    <w:rPr>
      <w:rFonts w:ascii="Tahoma" w:hAnsi="Tahoma" w:cs="Tahoma"/>
      <w:sz w:val="16"/>
      <w:szCs w:val="16"/>
      <w:lang w:val="es-ES_tradnl" w:eastAsia="en-US"/>
    </w:rPr>
  </w:style>
  <w:style w:type="paragraph" w:customStyle="1" w:styleId="Committee">
    <w:name w:val="Committee"/>
    <w:basedOn w:val="Normal"/>
    <w:qFormat/>
    <w:rsid w:val="00F136D2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1530C3"/>
    <w:rPr>
      <w:rFonts w:asciiTheme="minorHAnsi" w:hAnsiTheme="minorHAns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WCIT12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S12-WCIT12-C-0030!!MSW-S</DPM_x0020_File_x0020_name>
    <DPM_x0020_Author xmlns="32a1a8c5-2265-4ebc-b7a0-2071e2c5c9bb" xsi:nil="false">Documents Proposals Manager (DPM)</DPM_x0020_Author>
    <DPM_x0020_Version xmlns="32a1a8c5-2265-4ebc-b7a0-2071e2c5c9bb" xsi:nil="false">DPM_v5.3.6.20_prod</DPM_x0020_Version>
    <_dlc_DocId xmlns="996b2e75-67fd-4955-a3b0-5ab9934cb50b">CJDSJNEQ73FR-44-14</_dlc_DocId>
    <_dlc_DocIdUrl xmlns="996b2e75-67fd-4955-a3b0-5ab9934cb50b">
      <Url>http://spdev11/en/gmpcs/_layouts/DocIdRedir.aspx?ID=CJDSJNEQ73FR-44-14</Url>
      <Description>CJDSJNEQ73FR-44-14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73BB-2772-4C24-B630-64D751B1D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FDBB0-E86A-4C5C-BD68-79874A93AA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985F35-05A5-4F06-BB11-2907E524E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AD06D2-B5A8-4F2E-872A-06294401C5E2}">
  <ds:schemaRefs>
    <ds:schemaRef ds:uri="996b2e75-67fd-4955-a3b0-5ab9934cb50b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BAEC13D-9BD7-4CA2-96E8-473C8C44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PS_WCIT12-S</Template>
  <TotalTime>37</TotalTime>
  <Pages>3</Pages>
  <Words>577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S12-WCIT12-C-0030!!MSW-S</vt:lpstr>
    </vt:vector>
  </TitlesOfParts>
  <Manager>Secretaría General - Pool</Manager>
  <Company>Unión Internacional de Telecomunicaciones (UIT)</Company>
  <LinksUpToDate>false</LinksUpToDate>
  <CharactersWithSpaces>3879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S12-WCIT12-C-0030!!MSW-S</dc:title>
  <dc:subject>World Conference on International Telecommunications (WCIT)</dc:subject>
  <dc:creator>Documents Proposals Manager (DPM)</dc:creator>
  <cp:keywords>DPM_v5.3.6.20_prod</cp:keywords>
  <dc:description/>
  <cp:lastModifiedBy>De La Rosa Trivino, Maria Dolores</cp:lastModifiedBy>
  <cp:revision>11</cp:revision>
  <cp:lastPrinted>2012-11-27T08:58:00Z</cp:lastPrinted>
  <dcterms:created xsi:type="dcterms:W3CDTF">2012-11-27T07:55:00Z</dcterms:created>
  <dcterms:modified xsi:type="dcterms:W3CDTF">2012-11-27T09:06:00Z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e04f278c-3af7-4b22-a35d-85fcde0a42d3</vt:lpwstr>
  </property>
</Properties>
</file>