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67373948" wp14:editId="4C9D7A0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336C1A">
            <w:pPr>
              <w:rPr>
                <w:rtl/>
                <w:lang w:bidi="ar-EG"/>
              </w:rPr>
            </w:pPr>
          </w:p>
        </w:tc>
        <w:tc>
          <w:tcPr>
            <w:tcW w:w="3119" w:type="dxa"/>
            <w:tcBorders>
              <w:bottom w:val="single" w:sz="12" w:space="0" w:color="auto"/>
            </w:tcBorders>
          </w:tcPr>
          <w:p w:rsidR="00280E04" w:rsidRPr="00A9645C" w:rsidRDefault="00280E04" w:rsidP="00336C1A">
            <w:pPr>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336C1A">
            <w:pPr>
              <w:pStyle w:val="Adress"/>
              <w:framePr w:hSpace="0" w:wrap="auto" w:xAlign="left" w:yAlign="inline"/>
              <w:rPr>
                <w:rtl/>
              </w:rPr>
            </w:pPr>
          </w:p>
        </w:tc>
        <w:tc>
          <w:tcPr>
            <w:tcW w:w="3119" w:type="dxa"/>
            <w:tcBorders>
              <w:top w:val="single" w:sz="12" w:space="0" w:color="auto"/>
            </w:tcBorders>
          </w:tcPr>
          <w:p w:rsidR="00280E04" w:rsidRPr="00BD6EF3" w:rsidRDefault="00280E04" w:rsidP="00336C1A">
            <w:pPr>
              <w:pStyle w:val="Adress"/>
              <w:framePr w:hSpace="0" w:wrap="auto" w:xAlign="left" w:yAlign="inline"/>
            </w:pPr>
          </w:p>
        </w:tc>
      </w:tr>
      <w:tr w:rsidR="00CF06DB" w:rsidTr="00336C1A">
        <w:trPr>
          <w:cantSplit/>
        </w:trPr>
        <w:tc>
          <w:tcPr>
            <w:tcW w:w="6770" w:type="dxa"/>
          </w:tcPr>
          <w:p w:rsidR="00CF06DB" w:rsidRPr="00BD6EF3" w:rsidRDefault="00CF06DB" w:rsidP="00CF06DB">
            <w:pPr>
              <w:pStyle w:val="Adress"/>
              <w:framePr w:hSpace="0" w:wrap="auto" w:xAlign="left" w:yAlign="inline"/>
              <w:rPr>
                <w:rtl/>
              </w:rPr>
            </w:pPr>
            <w:r w:rsidRPr="007610E7">
              <w:rPr>
                <w:rFonts w:ascii="Traditional Arabic" w:eastAsia="SimSun" w:hAnsi="Traditional Arabic"/>
                <w:rtl/>
              </w:rPr>
              <w:t>الجلسة العامة</w:t>
            </w:r>
          </w:p>
        </w:tc>
        <w:tc>
          <w:tcPr>
            <w:tcW w:w="3119" w:type="dxa"/>
            <w:vAlign w:val="center"/>
          </w:tcPr>
          <w:p w:rsidR="00CF06DB" w:rsidRPr="00EF1B3A" w:rsidRDefault="00CF06DB" w:rsidP="00CF06DB">
            <w:pPr>
              <w:pStyle w:val="Adress"/>
              <w:framePr w:hSpace="0" w:wrap="auto" w:xAlign="left" w:yAlign="inline"/>
              <w:rPr>
                <w:rFonts w:ascii="Calibri" w:hAnsi="Calibri"/>
              </w:rPr>
            </w:pPr>
            <w:r w:rsidRPr="00EF1B3A">
              <w:rPr>
                <w:rFonts w:ascii="Calibri" w:hAnsi="Calibri"/>
                <w:sz w:val="22"/>
                <w:rtl/>
              </w:rPr>
              <w:t>الوثيقة</w:t>
            </w:r>
            <w:r w:rsidRPr="00EF1B3A">
              <w:rPr>
                <w:rFonts w:ascii="Calibri" w:hAnsi="Calibri" w:hint="cs"/>
                <w:sz w:val="22"/>
                <w:rtl/>
              </w:rPr>
              <w:t xml:space="preserve"> </w:t>
            </w:r>
            <w:r>
              <w:rPr>
                <w:rFonts w:ascii="Calibri" w:hAnsi="Calibri"/>
                <w:sz w:val="22"/>
              </w:rPr>
              <w:t>31</w:t>
            </w:r>
            <w:r w:rsidRPr="00EF1B3A">
              <w:rPr>
                <w:rFonts w:ascii="Calibri" w:hAnsi="Calibri"/>
                <w:sz w:val="22"/>
              </w:rPr>
              <w:t>-A</w:t>
            </w:r>
          </w:p>
        </w:tc>
      </w:tr>
      <w:tr w:rsidR="00CF06DB" w:rsidTr="00336C1A">
        <w:trPr>
          <w:cantSplit/>
        </w:trPr>
        <w:tc>
          <w:tcPr>
            <w:tcW w:w="6770" w:type="dxa"/>
          </w:tcPr>
          <w:p w:rsidR="00CF06DB" w:rsidRPr="00BD6EF3" w:rsidRDefault="00CF06DB" w:rsidP="00CF06DB">
            <w:pPr>
              <w:pStyle w:val="Adress"/>
              <w:framePr w:hSpace="0" w:wrap="auto" w:xAlign="left" w:yAlign="inline"/>
              <w:rPr>
                <w:rtl/>
              </w:rPr>
            </w:pPr>
          </w:p>
        </w:tc>
        <w:tc>
          <w:tcPr>
            <w:tcW w:w="3119" w:type="dxa"/>
            <w:vAlign w:val="center"/>
          </w:tcPr>
          <w:p w:rsidR="00CF06DB" w:rsidRPr="00EF1B3A" w:rsidRDefault="00CF06DB" w:rsidP="00CF06DB">
            <w:pPr>
              <w:pStyle w:val="Adress"/>
              <w:framePr w:hSpace="0" w:wrap="auto" w:xAlign="left" w:yAlign="inline"/>
              <w:rPr>
                <w:rFonts w:ascii="Calibri" w:hAnsi="Calibri"/>
                <w:sz w:val="22"/>
                <w:rtl/>
                <w:lang w:bidi="ar-SY"/>
              </w:rPr>
            </w:pPr>
            <w:r>
              <w:rPr>
                <w:rFonts w:ascii="Calibri" w:eastAsia="SimSun" w:hAnsi="Calibri"/>
                <w:sz w:val="22"/>
              </w:rPr>
              <w:t>27</w:t>
            </w:r>
            <w:r w:rsidRPr="00EF1B3A">
              <w:rPr>
                <w:rFonts w:ascii="Calibri" w:eastAsia="SimSun" w:hAnsi="Calibri"/>
                <w:sz w:val="22"/>
                <w:rtl/>
              </w:rPr>
              <w:t xml:space="preserve"> </w:t>
            </w:r>
            <w:r>
              <w:rPr>
                <w:rFonts w:ascii="Calibri" w:eastAsia="SimSun" w:hAnsi="Calibri" w:hint="cs"/>
                <w:sz w:val="22"/>
                <w:rtl/>
              </w:rPr>
              <w:t>نوفمبر</w:t>
            </w:r>
            <w:r w:rsidRPr="00EF1B3A">
              <w:rPr>
                <w:rFonts w:ascii="Calibri" w:eastAsia="SimSun" w:hAnsi="Calibri"/>
                <w:sz w:val="22"/>
                <w:rtl/>
              </w:rPr>
              <w:t xml:space="preserve"> </w:t>
            </w:r>
            <w:r>
              <w:rPr>
                <w:rFonts w:ascii="Calibri" w:eastAsia="SimSun" w:hAnsi="Calibri"/>
                <w:sz w:val="22"/>
              </w:rPr>
              <w:t>2012</w:t>
            </w:r>
          </w:p>
        </w:tc>
      </w:tr>
      <w:tr w:rsidR="00CF06DB" w:rsidTr="00336C1A">
        <w:trPr>
          <w:cantSplit/>
        </w:trPr>
        <w:tc>
          <w:tcPr>
            <w:tcW w:w="6770" w:type="dxa"/>
          </w:tcPr>
          <w:p w:rsidR="00CF06DB" w:rsidRPr="00BD6EF3" w:rsidRDefault="00CF06DB" w:rsidP="00CF06DB">
            <w:pPr>
              <w:pStyle w:val="Adress"/>
              <w:framePr w:hSpace="0" w:wrap="auto" w:xAlign="left" w:yAlign="inline"/>
              <w:rPr>
                <w:rFonts w:eastAsia="SimSun" w:hint="eastAsia"/>
                <w:rtl/>
              </w:rPr>
            </w:pPr>
          </w:p>
        </w:tc>
        <w:tc>
          <w:tcPr>
            <w:tcW w:w="3119" w:type="dxa"/>
            <w:vAlign w:val="center"/>
          </w:tcPr>
          <w:p w:rsidR="00CF06DB" w:rsidRPr="00EF1B3A" w:rsidRDefault="00CF06DB" w:rsidP="00CF06DB">
            <w:pPr>
              <w:pStyle w:val="Adress"/>
              <w:framePr w:hSpace="0" w:wrap="auto" w:xAlign="left" w:yAlign="inline"/>
              <w:rPr>
                <w:rFonts w:ascii="Calibri" w:eastAsia="SimSun" w:hAnsi="Calibri"/>
              </w:rPr>
            </w:pPr>
            <w:r w:rsidRPr="00EF1B3A">
              <w:rPr>
                <w:rFonts w:ascii="Calibri" w:eastAsia="SimSun" w:hAnsi="Calibri"/>
                <w:sz w:val="22"/>
                <w:rtl/>
              </w:rPr>
              <w:t>الأصل: بالإنكليزية</w:t>
            </w:r>
          </w:p>
        </w:tc>
      </w:tr>
      <w:tr w:rsidR="00CF06DB" w:rsidTr="00336C1A">
        <w:trPr>
          <w:cantSplit/>
        </w:trPr>
        <w:tc>
          <w:tcPr>
            <w:tcW w:w="9889" w:type="dxa"/>
            <w:gridSpan w:val="2"/>
          </w:tcPr>
          <w:p w:rsidR="00CF06DB" w:rsidRPr="00E621A3" w:rsidRDefault="00CF06DB" w:rsidP="00CF06DB">
            <w:pPr>
              <w:pStyle w:val="Source"/>
              <w:rPr>
                <w:rtl/>
              </w:rPr>
            </w:pPr>
            <w:r>
              <w:rPr>
                <w:rFonts w:ascii="Traditional Arabic" w:eastAsia="SimSun" w:hAnsi="Traditional Arabic" w:hint="cs"/>
                <w:rtl/>
              </w:rPr>
              <w:t xml:space="preserve">كندا، </w:t>
            </w:r>
            <w:r w:rsidRPr="008204AC">
              <w:rPr>
                <w:rFonts w:ascii="Traditional Arabic" w:eastAsia="SimSun" w:hAnsi="Traditional Arabic"/>
                <w:rtl/>
              </w:rPr>
              <w:t>الولايات المتحدة الأمريكية</w:t>
            </w:r>
          </w:p>
        </w:tc>
      </w:tr>
      <w:tr w:rsidR="00CF06DB" w:rsidTr="00336C1A">
        <w:trPr>
          <w:cantSplit/>
        </w:trPr>
        <w:tc>
          <w:tcPr>
            <w:tcW w:w="9889" w:type="dxa"/>
            <w:gridSpan w:val="2"/>
          </w:tcPr>
          <w:p w:rsidR="00CF06DB" w:rsidRPr="00BD6EF3" w:rsidRDefault="00CF06DB" w:rsidP="00CF06DB">
            <w:pPr>
              <w:pStyle w:val="Title1"/>
              <w:spacing w:before="240"/>
              <w:rPr>
                <w:rtl/>
              </w:rPr>
            </w:pPr>
            <w:r w:rsidRPr="008204AC">
              <w:rPr>
                <w:rFonts w:ascii="Traditional Arabic" w:eastAsia="SimSun" w:hAnsi="Traditional Arabic"/>
                <w:rtl/>
              </w:rPr>
              <w:t>مقترحات بشأن أعمال المؤتمر</w:t>
            </w:r>
          </w:p>
        </w:tc>
      </w:tr>
      <w:tr w:rsidR="00280E04" w:rsidTr="00336C1A">
        <w:trPr>
          <w:cantSplit/>
        </w:trPr>
        <w:tc>
          <w:tcPr>
            <w:tcW w:w="9889" w:type="dxa"/>
            <w:gridSpan w:val="2"/>
          </w:tcPr>
          <w:p w:rsidR="00280E04" w:rsidRPr="00BD6EF3" w:rsidRDefault="00280E04" w:rsidP="00336C1A">
            <w:pPr>
              <w:pStyle w:val="Title2"/>
              <w:rPr>
                <w:rtl/>
              </w:rPr>
            </w:pPr>
          </w:p>
        </w:tc>
      </w:tr>
    </w:tbl>
    <w:p w:rsidR="00CF06DB" w:rsidRPr="00E100CE" w:rsidRDefault="00CF06DB" w:rsidP="00CF06DB">
      <w:pPr>
        <w:pStyle w:val="Headingb"/>
      </w:pPr>
      <w:r w:rsidRPr="00E100CE">
        <w:rPr>
          <w:rFonts w:eastAsia="Calibri"/>
          <w:rtl/>
          <w:lang w:val="ar-SA"/>
        </w:rPr>
        <w:t>أولاً</w:t>
      </w:r>
      <w:r w:rsidRPr="00E100CE">
        <w:rPr>
          <w:rFonts w:eastAsia="Calibri"/>
          <w:rtl/>
          <w:lang w:val="ar-SA"/>
        </w:rPr>
        <w:tab/>
        <w:t>مقدمة</w:t>
      </w:r>
    </w:p>
    <w:p w:rsidR="00CF06DB" w:rsidRDefault="00CF06DB" w:rsidP="00CF06DB">
      <w:pPr>
        <w:rPr>
          <w:rFonts w:ascii="Calibri" w:hAnsi="Calibri"/>
          <w:rtl/>
          <w:lang w:val="en-GB" w:bidi="ar-EG"/>
        </w:rPr>
      </w:pPr>
      <w:r>
        <w:rPr>
          <w:rFonts w:ascii="Calibri" w:hAnsi="Calibri" w:hint="cs"/>
          <w:rtl/>
          <w:lang w:bidi="ar-EG"/>
        </w:rPr>
        <w:t xml:space="preserve">تسهيلاً لإنجاح المؤتمر العالمي للاتصالات الدولية </w:t>
      </w:r>
      <w:r w:rsidRPr="008E4EBA">
        <w:rPr>
          <w:rFonts w:ascii="Calibri" w:hAnsi="Calibri"/>
          <w:lang w:val="en-GB" w:bidi="ar-EG"/>
        </w:rPr>
        <w:t>(WCIT-12)</w:t>
      </w:r>
      <w:r>
        <w:rPr>
          <w:rFonts w:ascii="Calibri" w:hAnsi="Calibri" w:hint="cs"/>
          <w:rtl/>
          <w:lang w:val="en-GB" w:bidi="ar-EG"/>
        </w:rPr>
        <w:t xml:space="preserve"> فإننا نقترح أن يدرس المؤتمر ويوافق على عدد من المسائل الأساسية المتعلقة بنطاق لوائح الاتصالات الدولية قبل النظر في أية مقترحات محددة لمراجعات على نص المعاهدة. ونحن نرى أن هذا النهج سيكفل أن تحظى كل المقترحات المرفوعة إلى المؤتمر بما تستحقه من دراسة متأنية.</w:t>
      </w:r>
    </w:p>
    <w:p w:rsidR="00CF06DB" w:rsidRDefault="00CF06DB" w:rsidP="00CF06DB">
      <w:pPr>
        <w:rPr>
          <w:rFonts w:ascii="Calibri" w:hAnsi="Calibri"/>
          <w:rtl/>
          <w:lang w:val="en-GB" w:bidi="ar-EG"/>
        </w:rPr>
      </w:pPr>
      <w:r>
        <w:rPr>
          <w:rFonts w:ascii="Calibri" w:hAnsi="Calibri" w:hint="cs"/>
          <w:rtl/>
          <w:lang w:val="en-GB" w:bidi="ar-EG"/>
        </w:rPr>
        <w:t xml:space="preserve">ونقترح أن يوافق المؤتمر على أي تغييرات في التمهيد وفي المادة </w:t>
      </w:r>
      <w:r w:rsidRPr="00496A4C">
        <w:rPr>
          <w:rFonts w:ascii="Calibri" w:hAnsi="Calibri" w:cs="Times New Roman" w:hint="cs"/>
          <w:szCs w:val="22"/>
          <w:rtl/>
          <w:lang w:val="en-GB" w:bidi="ar-EG"/>
        </w:rPr>
        <w:t>1</w:t>
      </w:r>
      <w:r>
        <w:rPr>
          <w:rFonts w:ascii="Calibri" w:hAnsi="Calibri" w:hint="cs"/>
          <w:rtl/>
          <w:lang w:val="en-GB" w:bidi="ar-EG"/>
        </w:rPr>
        <w:t xml:space="preserve"> من لوائح الاتصالات الدولية قبل الانتقال إلى مناقشة التغييرات المعينة على المواد الأخرى لهذه اللوائح. ويحدد التمهيد والمادة </w:t>
      </w:r>
      <w:r w:rsidRPr="00496A4C">
        <w:rPr>
          <w:rFonts w:ascii="Calibri" w:hAnsi="Calibri" w:cs="Times New Roman" w:hint="cs"/>
          <w:szCs w:val="22"/>
          <w:rtl/>
          <w:lang w:val="en-GB" w:bidi="ar-EG"/>
        </w:rPr>
        <w:t>1</w:t>
      </w:r>
      <w:r>
        <w:rPr>
          <w:rFonts w:ascii="Calibri" w:hAnsi="Calibri" w:hint="cs"/>
          <w:rtl/>
          <w:lang w:val="en-GB" w:bidi="ar-EG"/>
        </w:rPr>
        <w:t xml:space="preserve"> الغرض من اللوائح ونطاقها، ومن الضروري الموافقة على هذه المسائل الأساسية قبل دراسة المقترحات المعينة لتعديل أحكام اللوائح. وبالإضافة إلى ذلك فإن على </w:t>
      </w:r>
      <w:r w:rsidRPr="00F065A8">
        <w:rPr>
          <w:rFonts w:ascii="Calibri" w:hAnsi="Calibri" w:hint="cs"/>
          <w:rtl/>
          <w:lang w:val="en-GB" w:bidi="ar-EG"/>
        </w:rPr>
        <w:t xml:space="preserve">المؤتمر العالمي للاتصالات </w:t>
      </w:r>
      <w:r>
        <w:rPr>
          <w:rFonts w:ascii="Calibri" w:hAnsi="Calibri" w:hint="cs"/>
          <w:rtl/>
          <w:lang w:val="en-GB" w:bidi="ar-EG"/>
        </w:rPr>
        <w:t xml:space="preserve">الدولية لعام </w:t>
      </w:r>
      <w:r w:rsidRPr="00496A4C">
        <w:rPr>
          <w:rFonts w:ascii="Calibri" w:hAnsi="Calibri" w:cs="Times New Roman" w:hint="cs"/>
          <w:szCs w:val="22"/>
          <w:rtl/>
          <w:lang w:val="en-GB" w:bidi="ar-EG"/>
        </w:rPr>
        <w:t>2012</w:t>
      </w:r>
      <w:r>
        <w:rPr>
          <w:rFonts w:ascii="Calibri" w:hAnsi="Calibri" w:hint="cs"/>
          <w:rtl/>
          <w:lang w:val="en-GB" w:bidi="ar-EG"/>
        </w:rPr>
        <w:t xml:space="preserve"> أن يقر ما إذا كانت </w:t>
      </w:r>
      <w:r w:rsidRPr="00B21F9E">
        <w:rPr>
          <w:rFonts w:ascii="Calibri" w:hAnsi="Calibri" w:hint="cs"/>
          <w:rtl/>
          <w:lang w:val="en-GB" w:bidi="ar-EG"/>
        </w:rPr>
        <w:t>لوائح الاتصالات الدولية</w:t>
      </w:r>
      <w:r>
        <w:rPr>
          <w:rFonts w:ascii="Calibri" w:hAnsi="Calibri" w:hint="cs"/>
          <w:rtl/>
          <w:lang w:val="en-GB" w:bidi="ar-EG"/>
        </w:rPr>
        <w:t xml:space="preserve"> تسري على "وكالات التشغيل المعتمدة"، أو</w:t>
      </w:r>
      <w:r>
        <w:rPr>
          <w:rFonts w:ascii="Calibri" w:hAnsi="Calibri" w:hint="eastAsia"/>
          <w:rtl/>
          <w:lang w:val="en-GB" w:bidi="ar-EG"/>
        </w:rPr>
        <w:t> </w:t>
      </w:r>
      <w:r>
        <w:rPr>
          <w:rFonts w:ascii="Calibri" w:hAnsi="Calibri" w:hint="cs"/>
          <w:rtl/>
          <w:lang w:val="en-GB" w:bidi="ar-EG"/>
        </w:rPr>
        <w:t>"وكالات التشغيل"، أو فئة أخرى من فئات الكيانات، وما إذا كان من الواجب مراجعة تعريف "الاتصالات". وستؤثر</w:t>
      </w:r>
      <w:bookmarkStart w:id="1" w:name="_GoBack"/>
      <w:r>
        <w:rPr>
          <w:rFonts w:ascii="Calibri" w:hAnsi="Calibri" w:hint="cs"/>
          <w:rtl/>
          <w:lang w:val="en-GB" w:bidi="ar-EG"/>
        </w:rPr>
        <w:t xml:space="preserve"> </w:t>
      </w:r>
      <w:bookmarkEnd w:id="1"/>
      <w:r>
        <w:rPr>
          <w:rFonts w:ascii="Calibri" w:hAnsi="Calibri" w:hint="cs"/>
          <w:rtl/>
          <w:lang w:val="en-GB" w:bidi="ar-EG"/>
        </w:rPr>
        <w:t xml:space="preserve">هذه المسائل الجوهرية على نطاق </w:t>
      </w:r>
      <w:r w:rsidRPr="00B9337B">
        <w:rPr>
          <w:rFonts w:ascii="Calibri" w:hAnsi="Calibri" w:hint="cs"/>
          <w:rtl/>
          <w:lang w:val="en-GB" w:bidi="ar-EG"/>
        </w:rPr>
        <w:t>لوائح الاتصالات الدولية</w:t>
      </w:r>
      <w:r>
        <w:rPr>
          <w:rFonts w:ascii="Calibri" w:hAnsi="Calibri" w:hint="cs"/>
          <w:rtl/>
          <w:lang w:val="en-GB" w:bidi="ar-EG"/>
        </w:rPr>
        <w:t xml:space="preserve"> وعلى تطبيقها، وكذلك على علاقتها بدستور الاتحاد واتفاقيته.</w:t>
      </w:r>
    </w:p>
    <w:p w:rsidR="00CF06DB" w:rsidRDefault="00CF06DB" w:rsidP="00CF06DB">
      <w:pPr>
        <w:rPr>
          <w:rFonts w:ascii="Calibri" w:hAnsi="Calibri"/>
          <w:rtl/>
          <w:lang w:bidi="ar-EG"/>
        </w:rPr>
      </w:pPr>
      <w:r>
        <w:rPr>
          <w:rFonts w:ascii="Calibri" w:hAnsi="Calibri" w:hint="cs"/>
          <w:rtl/>
          <w:lang w:bidi="ar-EG"/>
        </w:rPr>
        <w:t xml:space="preserve">وسيكفل الاتفاق على هذه المسائل الجوهرية أن هناك توافقاً في الآراء منذ مطلع المؤتمر حول كيفية المضي على طريق مراجعة </w:t>
      </w:r>
      <w:r w:rsidRPr="00E53951">
        <w:rPr>
          <w:rFonts w:ascii="Calibri" w:hAnsi="Calibri" w:hint="cs"/>
          <w:rtl/>
          <w:lang w:val="en-GB" w:bidi="ar-EG"/>
        </w:rPr>
        <w:t>لوائح الاتصالات الدولية</w:t>
      </w:r>
      <w:r>
        <w:rPr>
          <w:rFonts w:ascii="Calibri" w:hAnsi="Calibri" w:hint="cs"/>
          <w:rtl/>
          <w:lang w:bidi="ar-EG"/>
        </w:rPr>
        <w:t xml:space="preserve">، مما يعزز من احتمال نجاح المؤتمر. وبالإضافة إلى ذلك فإن تحقيق التوافق منذ البداية حول هذه المسائل الجوهرية سييسر إجراء مناقشات مفيدة حول المقترحات المحددة لمراجعة </w:t>
      </w:r>
      <w:r w:rsidRPr="001D7F18">
        <w:rPr>
          <w:rFonts w:ascii="Calibri" w:hAnsi="Calibri" w:hint="cs"/>
          <w:rtl/>
          <w:lang w:val="en-GB" w:bidi="ar-EG"/>
        </w:rPr>
        <w:t>لوائح الاتصالات الدولية</w:t>
      </w:r>
      <w:r>
        <w:rPr>
          <w:rFonts w:ascii="Calibri" w:hAnsi="Calibri" w:hint="cs"/>
          <w:rtl/>
          <w:lang w:bidi="ar-EG"/>
        </w:rPr>
        <w:t>.</w:t>
      </w:r>
    </w:p>
    <w:p w:rsidR="00CF06DB" w:rsidRPr="00F60C5C" w:rsidRDefault="00CF06DB" w:rsidP="00CF06DB">
      <w:pPr>
        <w:rPr>
          <w:rFonts w:ascii="Calibri" w:hAnsi="Calibri"/>
          <w:spacing w:val="-4"/>
          <w:rtl/>
        </w:rPr>
      </w:pPr>
      <w:r w:rsidRPr="00F60C5C">
        <w:rPr>
          <w:rFonts w:ascii="Calibri" w:hAnsi="Calibri" w:hint="cs"/>
          <w:spacing w:val="-4"/>
          <w:rtl/>
          <w:lang w:bidi="ar-EG"/>
        </w:rPr>
        <w:t xml:space="preserve">كما أن مثل هذا النهج سيتيح للمؤتمر فرصة دراسة ما قد تحدثه المناقشات في الاجتماعات الأخرى للاتحاد من أثر على المسائل المطروحة أمام المؤتمر العالمي للاتصالات الدولية لعام </w:t>
      </w:r>
      <w:r w:rsidRPr="00F60C5C">
        <w:rPr>
          <w:rFonts w:ascii="Calibri" w:hAnsi="Calibri" w:cs="Times New Roman" w:hint="cs"/>
          <w:spacing w:val="-4"/>
          <w:szCs w:val="22"/>
          <w:rtl/>
          <w:lang w:bidi="ar-EG"/>
        </w:rPr>
        <w:t>2012</w:t>
      </w:r>
      <w:r w:rsidRPr="00F60C5C">
        <w:rPr>
          <w:rFonts w:ascii="Calibri" w:hAnsi="Calibri" w:hint="cs"/>
          <w:spacing w:val="-4"/>
          <w:rtl/>
          <w:lang w:bidi="ar-EG"/>
        </w:rPr>
        <w:t>. وعلى سبيل المثال فإن المؤتمر يمكن أن يدرس نتائج الجمعية العالمية لتقييس الاتصالات، والتقدم المحرز على طريق الاستعداد للمنتدى العالمي لسياسات الاتصالات، وعمل فريق المقررين المعني بتعريف تكنولوجيا المعلومات والاتصالات في قطاع التنمية، و</w:t>
      </w:r>
      <w:r w:rsidRPr="00F60C5C">
        <w:rPr>
          <w:rFonts w:ascii="Segoe UI" w:hAnsi="Segoe UI" w:cs="Segoe UI"/>
          <w:color w:val="000000"/>
          <w:spacing w:val="-4"/>
          <w:sz w:val="20"/>
          <w:szCs w:val="20"/>
          <w:rtl/>
        </w:rPr>
        <w:t xml:space="preserve"> </w:t>
      </w:r>
      <w:r w:rsidRPr="00F60C5C">
        <w:rPr>
          <w:rFonts w:ascii="Calibri" w:hAnsi="Calibri"/>
          <w:spacing w:val="-4"/>
          <w:rtl/>
        </w:rPr>
        <w:t>فريق العمل التابع للمجلس المعني بوضع دستور مستقر</w:t>
      </w:r>
      <w:r w:rsidRPr="00F60C5C">
        <w:rPr>
          <w:rFonts w:ascii="Calibri" w:hAnsi="Calibri" w:hint="cs"/>
          <w:spacing w:val="-4"/>
          <w:rtl/>
        </w:rPr>
        <w:t xml:space="preserve"> واتفاقية.</w:t>
      </w:r>
    </w:p>
    <w:p w:rsidR="00CF06DB" w:rsidRDefault="00CF06DB" w:rsidP="00CF06DB">
      <w:pPr>
        <w:rPr>
          <w:rFonts w:ascii="Calibri" w:hAnsi="Calibri" w:hint="cs"/>
          <w:rtl/>
        </w:rPr>
      </w:pPr>
      <w:r>
        <w:rPr>
          <w:rFonts w:ascii="Calibri" w:hAnsi="Calibri" w:hint="cs"/>
          <w:rtl/>
        </w:rPr>
        <w:t xml:space="preserve">ولذلك فإننا نقترح أن يوافق </w:t>
      </w:r>
      <w:r w:rsidRPr="00AF09E2">
        <w:rPr>
          <w:rFonts w:ascii="Calibri" w:hAnsi="Calibri" w:hint="cs"/>
          <w:rtl/>
        </w:rPr>
        <w:t xml:space="preserve">المؤتمر العالمي للاتصالات </w:t>
      </w:r>
      <w:r>
        <w:rPr>
          <w:rFonts w:ascii="Calibri" w:hAnsi="Calibri" w:hint="cs"/>
          <w:rtl/>
        </w:rPr>
        <w:t xml:space="preserve">الدولية لعام </w:t>
      </w:r>
      <w:r w:rsidRPr="00496A4C">
        <w:rPr>
          <w:rFonts w:ascii="Calibri" w:hAnsi="Calibri" w:cs="Times New Roman" w:hint="cs"/>
          <w:szCs w:val="22"/>
          <w:rtl/>
        </w:rPr>
        <w:t>2012</w:t>
      </w:r>
      <w:r>
        <w:rPr>
          <w:rFonts w:ascii="Calibri" w:hAnsi="Calibri" w:hint="cs"/>
          <w:rtl/>
        </w:rPr>
        <w:t xml:space="preserve"> في الجلسة العامة أولاً على التمهيد والمادة</w:t>
      </w:r>
      <w:r>
        <w:rPr>
          <w:rFonts w:ascii="Calibri" w:hAnsi="Calibri" w:hint="eastAsia"/>
          <w:rtl/>
        </w:rPr>
        <w:t> </w:t>
      </w:r>
      <w:r w:rsidRPr="00496A4C">
        <w:rPr>
          <w:rFonts w:ascii="Calibri" w:hAnsi="Calibri" w:cs="Times New Roman" w:hint="cs"/>
          <w:szCs w:val="22"/>
          <w:rtl/>
        </w:rPr>
        <w:t>1</w:t>
      </w:r>
      <w:r>
        <w:rPr>
          <w:rFonts w:ascii="Calibri" w:hAnsi="Calibri" w:hint="cs"/>
          <w:rtl/>
        </w:rPr>
        <w:t>، وكذلك على مسائل التعريفات الجوهرية التي تؤثر على نطاق المعاهدة قبل النظر في المراجعات المحددة.</w:t>
      </w:r>
    </w:p>
    <w:p w:rsidR="00CF06DB" w:rsidRPr="00E100CE" w:rsidRDefault="00CF06DB" w:rsidP="00CF06DB">
      <w:pPr>
        <w:pStyle w:val="Headingb"/>
        <w:rPr>
          <w:rFonts w:ascii="Calibri" w:hAnsi="Calibri"/>
        </w:rPr>
      </w:pPr>
      <w:r w:rsidRPr="00E100CE">
        <w:rPr>
          <w:rFonts w:eastAsia="Calibri"/>
          <w:rtl/>
          <w:lang w:val="ar-SA"/>
        </w:rPr>
        <w:lastRenderedPageBreak/>
        <w:t>ثاني</w:t>
      </w:r>
      <w:r>
        <w:rPr>
          <w:rFonts w:eastAsia="Calibri"/>
          <w:rtl/>
          <w:lang w:val="ar-SA"/>
        </w:rPr>
        <w:t>اً</w:t>
      </w:r>
      <w:r w:rsidRPr="00E100CE">
        <w:rPr>
          <w:rFonts w:eastAsia="Calibri"/>
          <w:rtl/>
          <w:lang w:val="ar-SA"/>
        </w:rPr>
        <w:tab/>
      </w:r>
      <w:r>
        <w:rPr>
          <w:rFonts w:eastAsia="Calibri" w:hint="cs"/>
          <w:rtl/>
          <w:lang w:val="ar-SA"/>
        </w:rPr>
        <w:t>المقترح</w:t>
      </w:r>
    </w:p>
    <w:p w:rsidR="003535E9" w:rsidRPr="00CF06DB" w:rsidRDefault="00EE722A">
      <w:pPr>
        <w:pStyle w:val="Proposal"/>
        <w:rPr>
          <w:b w:val="0"/>
          <w:bCs w:val="0"/>
        </w:rPr>
      </w:pPr>
      <w:r>
        <w:tab/>
      </w:r>
      <w:r w:rsidRPr="00CF06DB">
        <w:rPr>
          <w:b w:val="0"/>
          <w:bCs w:val="0"/>
        </w:rPr>
        <w:t>CAN/USA/31/1</w:t>
      </w:r>
    </w:p>
    <w:p w:rsidR="003535E9" w:rsidRDefault="00CF06DB" w:rsidP="00CF06DB">
      <w:pPr>
        <w:rPr>
          <w:rFonts w:ascii="Calibri" w:hAnsi="Calibri" w:hint="cs"/>
          <w:noProof/>
          <w:rtl/>
          <w:lang w:bidi="ar-EG"/>
        </w:rPr>
      </w:pPr>
      <w:r>
        <w:rPr>
          <w:rFonts w:ascii="Calibri" w:hAnsi="Calibri" w:hint="cs"/>
          <w:noProof/>
          <w:rtl/>
        </w:rPr>
        <w:t xml:space="preserve">ينبغي أن يتفق </w:t>
      </w:r>
      <w:r w:rsidRPr="000027C4">
        <w:rPr>
          <w:rFonts w:ascii="Calibri" w:hAnsi="Calibri" w:hint="cs"/>
          <w:noProof/>
          <w:rtl/>
        </w:rPr>
        <w:t xml:space="preserve">المؤتمر العالمي للاتصالات </w:t>
      </w:r>
      <w:r>
        <w:rPr>
          <w:rFonts w:ascii="Calibri" w:hAnsi="Calibri" w:hint="cs"/>
          <w:noProof/>
          <w:rtl/>
        </w:rPr>
        <w:t xml:space="preserve">الدولية لعام </w:t>
      </w:r>
      <w:r w:rsidRPr="00496A4C">
        <w:rPr>
          <w:rFonts w:ascii="Calibri" w:hAnsi="Calibri" w:cs="Times New Roman" w:hint="cs"/>
          <w:noProof/>
          <w:szCs w:val="22"/>
          <w:rtl/>
        </w:rPr>
        <w:t>2012</w:t>
      </w:r>
      <w:r>
        <w:rPr>
          <w:rFonts w:ascii="Calibri" w:hAnsi="Calibri" w:hint="cs"/>
          <w:noProof/>
          <w:rtl/>
        </w:rPr>
        <w:t xml:space="preserve"> في الجلسة العامة، وقبل النظر في أية مقترحات معينة لمراجعة </w:t>
      </w:r>
      <w:r w:rsidRPr="000027C4">
        <w:rPr>
          <w:rFonts w:ascii="Calibri" w:hAnsi="Calibri" w:hint="cs"/>
          <w:noProof/>
          <w:rtl/>
          <w:lang w:val="en-GB" w:bidi="ar-EG"/>
        </w:rPr>
        <w:t>لوائح الاتصالات الدولية</w:t>
      </w:r>
      <w:r>
        <w:rPr>
          <w:rFonts w:ascii="Calibri" w:hAnsi="Calibri" w:hint="cs"/>
          <w:noProof/>
          <w:rtl/>
          <w:lang w:bidi="ar-EG"/>
        </w:rPr>
        <w:t xml:space="preserve"> في فريق عمل اللجنة </w:t>
      </w:r>
      <w:r w:rsidRPr="00496A4C">
        <w:rPr>
          <w:rFonts w:ascii="Calibri" w:hAnsi="Calibri" w:cs="Times New Roman" w:hint="cs"/>
          <w:noProof/>
          <w:szCs w:val="22"/>
          <w:rtl/>
          <w:lang w:bidi="ar-EG"/>
        </w:rPr>
        <w:t>5</w:t>
      </w:r>
      <w:r>
        <w:rPr>
          <w:rFonts w:ascii="Calibri" w:hAnsi="Calibri" w:hint="cs"/>
          <w:noProof/>
          <w:rtl/>
          <w:lang w:bidi="ar-EG"/>
        </w:rPr>
        <w:t xml:space="preserve">، على نطاق </w:t>
      </w:r>
      <w:r w:rsidRPr="00682DF9">
        <w:rPr>
          <w:rFonts w:ascii="Calibri" w:hAnsi="Calibri" w:hint="cs"/>
          <w:noProof/>
          <w:rtl/>
          <w:lang w:val="en-GB" w:bidi="ar-EG"/>
        </w:rPr>
        <w:t>لوائح الاتصالات الدولية</w:t>
      </w:r>
      <w:r>
        <w:rPr>
          <w:rFonts w:ascii="Calibri" w:hAnsi="Calibri" w:hint="cs"/>
          <w:noProof/>
          <w:rtl/>
          <w:lang w:bidi="ar-EG"/>
        </w:rPr>
        <w:t xml:space="preserve">؛ وبشكل خاص على أية مراجعات للتمهيد والمادة </w:t>
      </w:r>
      <w:r w:rsidRPr="00496A4C">
        <w:rPr>
          <w:rFonts w:ascii="Calibri" w:hAnsi="Calibri" w:cs="Times New Roman" w:hint="cs"/>
          <w:noProof/>
          <w:szCs w:val="22"/>
          <w:rtl/>
          <w:lang w:bidi="ar-EG"/>
        </w:rPr>
        <w:t>1</w:t>
      </w:r>
      <w:r>
        <w:rPr>
          <w:rFonts w:ascii="Calibri" w:hAnsi="Calibri" w:hint="cs"/>
          <w:noProof/>
          <w:rtl/>
          <w:lang w:bidi="ar-EG"/>
        </w:rPr>
        <w:t xml:space="preserve"> وما إذا كانت تنطبق على "وكالات التشغيل المعتمدة" أو "وكالات التشغيل" أو أية كيانات أخرى، وما إذا كان تعريف " الاتصالات" سيظل على حاله أو أنه سيراجع، قبل النظر في مقترحات معينة لمراجعة </w:t>
      </w:r>
      <w:r w:rsidRPr="00226072">
        <w:rPr>
          <w:rFonts w:ascii="Calibri" w:hAnsi="Calibri" w:hint="cs"/>
          <w:noProof/>
          <w:rtl/>
          <w:lang w:val="en-GB" w:bidi="ar-EG"/>
        </w:rPr>
        <w:t>لوائح الاتصالات الدولية</w:t>
      </w:r>
      <w:r>
        <w:rPr>
          <w:rFonts w:ascii="Calibri" w:hAnsi="Calibri" w:hint="cs"/>
          <w:noProof/>
          <w:rtl/>
          <w:lang w:bidi="ar-EG"/>
        </w:rPr>
        <w:t>.</w:t>
      </w:r>
    </w:p>
    <w:p w:rsidR="00473E7B" w:rsidRDefault="00473E7B" w:rsidP="00473E7B">
      <w:pPr>
        <w:pStyle w:val="Reasons"/>
      </w:pPr>
    </w:p>
    <w:p w:rsidR="00473E7B" w:rsidRPr="00473E7B" w:rsidRDefault="00473E7B" w:rsidP="00473E7B">
      <w:pPr>
        <w:jc w:val="center"/>
      </w:pPr>
      <w:r>
        <w:rPr>
          <w:rFonts w:ascii="Calibri" w:hAnsi="Calibri" w:hint="cs"/>
          <w:noProof/>
          <w:rtl/>
          <w:lang w:bidi="ar-EG"/>
        </w:rPr>
        <w:t>________________</w:t>
      </w:r>
    </w:p>
    <w:sectPr w:rsidR="00473E7B" w:rsidRPr="00473E7B"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49" w:rsidRDefault="00245C49" w:rsidP="002919E1">
      <w:r>
        <w:separator/>
      </w:r>
    </w:p>
    <w:p w:rsidR="00245C49" w:rsidRDefault="00245C49" w:rsidP="002919E1"/>
    <w:p w:rsidR="00245C49" w:rsidRDefault="00245C49" w:rsidP="002919E1"/>
    <w:p w:rsidR="00245C49" w:rsidRDefault="00245C49"/>
  </w:endnote>
  <w:endnote w:type="continuationSeparator" w:id="0">
    <w:p w:rsidR="00245C49" w:rsidRDefault="00245C49" w:rsidP="002919E1">
      <w:r>
        <w:continuationSeparator/>
      </w:r>
    </w:p>
    <w:p w:rsidR="00245C49" w:rsidRDefault="00245C49" w:rsidP="002919E1"/>
    <w:p w:rsidR="00245C49" w:rsidRDefault="00245C49" w:rsidP="002919E1"/>
    <w:p w:rsidR="00245C49" w:rsidRDefault="00245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080E0000" w:usb2="00000010" w:usb3="00000000" w:csb0="0004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Pr="00336C1A" w:rsidRDefault="00281F5F" w:rsidP="00473E7B">
    <w:pPr>
      <w:pStyle w:val="Footer"/>
      <w:tabs>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EE722A">
      <w:rPr>
        <w:noProof/>
      </w:rPr>
      <w:t>P:\ARA\SG\CONF-SG\WCIT12\000\031A.docx</w:t>
    </w:r>
    <w:r w:rsidRPr="00CB4300">
      <w:fldChar w:fldCharType="end"/>
    </w:r>
    <w:r w:rsidRPr="00336C1A">
      <w:t xml:space="preserve">  (</w:t>
    </w:r>
    <w:r w:rsidR="00473E7B">
      <w:rPr>
        <w:rFonts w:hint="cs"/>
        <w:rtl/>
      </w:rPr>
      <w:t>336328</w:t>
    </w:r>
    <w:r w:rsidRPr="00336C1A">
      <w:t>)</w:t>
    </w:r>
    <w:r w:rsidRPr="00336C1A">
      <w:tab/>
    </w:r>
    <w:r w:rsidRPr="00CB4300">
      <w:fldChar w:fldCharType="begin"/>
    </w:r>
    <w:r w:rsidRPr="00CB4300">
      <w:instrText xml:space="preserve"> savedate \@ dd.MM.yy </w:instrText>
    </w:r>
    <w:r w:rsidRPr="00CB4300">
      <w:fldChar w:fldCharType="separate"/>
    </w:r>
    <w:r w:rsidR="00EE722A">
      <w:rPr>
        <w:noProof/>
      </w:rPr>
      <w:t>27.11.12</w:t>
    </w:r>
    <w:r w:rsidRPr="00CB4300">
      <w:fldChar w:fldCharType="end"/>
    </w:r>
    <w:r w:rsidRPr="00336C1A">
      <w:tab/>
    </w:r>
    <w:r w:rsidRPr="00CB4300">
      <w:fldChar w:fldCharType="begin"/>
    </w:r>
    <w:r w:rsidRPr="00CB4300">
      <w:instrText xml:space="preserve"> printdate \@ dd.MM.yy </w:instrText>
    </w:r>
    <w:r w:rsidRPr="00CB4300">
      <w:fldChar w:fldCharType="separate"/>
    </w:r>
    <w:r w:rsidR="00EE722A">
      <w:rPr>
        <w:noProof/>
      </w:rPr>
      <w:t>27.11.12</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Pr="00336C1A" w:rsidRDefault="00281F5F" w:rsidP="00473E7B">
    <w:pPr>
      <w:pStyle w:val="Footer"/>
      <w:tabs>
        <w:tab w:val="clear" w:pos="2268"/>
      </w:tabs>
    </w:pPr>
    <w:r>
      <w:fldChar w:fldCharType="begin"/>
    </w:r>
    <w:r w:rsidRPr="00336C1A">
      <w:instrText xml:space="preserve"> FILENAME \p \* MERGEFORMAT </w:instrText>
    </w:r>
    <w:r>
      <w:fldChar w:fldCharType="separate"/>
    </w:r>
    <w:r w:rsidR="00EE722A">
      <w:rPr>
        <w:noProof/>
      </w:rPr>
      <w:t>P:\ARA\SG\CONF-SG\WCIT12\000\031A.docx</w:t>
    </w:r>
    <w:r>
      <w:fldChar w:fldCharType="end"/>
    </w:r>
    <w:r w:rsidRPr="00336C1A">
      <w:t xml:space="preserve">   (</w:t>
    </w:r>
    <w:r w:rsidR="00473E7B">
      <w:rPr>
        <w:rFonts w:hint="cs"/>
        <w:rtl/>
      </w:rPr>
      <w:t>336328</w:t>
    </w:r>
    <w:r w:rsidRPr="00336C1A">
      <w:t>)</w:t>
    </w:r>
    <w:r w:rsidRPr="00336C1A">
      <w:tab/>
    </w:r>
    <w:r w:rsidRPr="00B12661">
      <w:fldChar w:fldCharType="begin"/>
    </w:r>
    <w:r w:rsidRPr="00B12661">
      <w:instrText xml:space="preserve"> savedate \@ dd.MM.yy </w:instrText>
    </w:r>
    <w:r w:rsidRPr="00B12661">
      <w:fldChar w:fldCharType="separate"/>
    </w:r>
    <w:r w:rsidR="00EE722A">
      <w:rPr>
        <w:noProof/>
      </w:rPr>
      <w:t>27.11.12</w:t>
    </w:r>
    <w:r w:rsidRPr="00B12661">
      <w:fldChar w:fldCharType="end"/>
    </w:r>
    <w:r w:rsidRPr="00336C1A">
      <w:tab/>
    </w:r>
    <w:r w:rsidRPr="00B12661">
      <w:fldChar w:fldCharType="begin"/>
    </w:r>
    <w:r w:rsidRPr="00B12661">
      <w:instrText xml:space="preserve"> printdate \@ dd.MM.yy </w:instrText>
    </w:r>
    <w:r w:rsidRPr="00B12661">
      <w:fldChar w:fldCharType="separate"/>
    </w:r>
    <w:r w:rsidR="00EE722A">
      <w:rPr>
        <w:noProof/>
      </w:rPr>
      <w:t>27.11.12</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49" w:rsidRDefault="00245C49" w:rsidP="002919E1">
      <w:r>
        <w:t>___________________</w:t>
      </w:r>
    </w:p>
  </w:footnote>
  <w:footnote w:type="continuationSeparator" w:id="0">
    <w:p w:rsidR="00245C49" w:rsidRDefault="00245C49" w:rsidP="002919E1">
      <w:r>
        <w:continuationSeparator/>
      </w:r>
    </w:p>
    <w:p w:rsidR="00245C49" w:rsidRDefault="00245C49" w:rsidP="002919E1"/>
    <w:p w:rsidR="00245C49" w:rsidRDefault="00245C49" w:rsidP="002919E1"/>
    <w:p w:rsidR="00245C49" w:rsidRDefault="00245C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Pr="0088384B" w:rsidRDefault="00281F5F"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E722A">
      <w:rPr>
        <w:rStyle w:val="PageNumber"/>
        <w:noProof/>
      </w:rPr>
      <w:t>2</w:t>
    </w:r>
    <w:r w:rsidRPr="0088384B">
      <w:rPr>
        <w:rStyle w:val="PageNumber"/>
      </w:rPr>
      <w:fldChar w:fldCharType="end"/>
    </w:r>
    <w:r>
      <w:rPr>
        <w:rStyle w:val="PageNumber"/>
        <w:rtl/>
      </w:rPr>
      <w:br/>
    </w:r>
    <w:r w:rsidR="00336C1A">
      <w:rPr>
        <w:rStyle w:val="PageNumber"/>
      </w:rPr>
      <w:t>WCIT</w:t>
    </w:r>
    <w:r w:rsidRPr="0088384B">
      <w:rPr>
        <w:rStyle w:val="PageNumber"/>
      </w:rPr>
      <w:t>12</w:t>
    </w:r>
    <w:r w:rsidR="00642AE0" w:rsidRPr="0088384B">
      <w:rPr>
        <w:rStyle w:val="PageNumber"/>
      </w:rPr>
      <w:t>/</w:t>
    </w:r>
    <w:r w:rsidR="00642AE0">
      <w:rPr>
        <w:rStyle w:val="PageNumber"/>
      </w:rPr>
      <w:t>31-</w:t>
    </w:r>
    <w:r w:rsidR="00642AE0"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0A3B"/>
    <w:rsid w:val="000F518F"/>
    <w:rsid w:val="0010081C"/>
    <w:rsid w:val="001013E3"/>
    <w:rsid w:val="001464F2"/>
    <w:rsid w:val="00167364"/>
    <w:rsid w:val="001903B2"/>
    <w:rsid w:val="001E190C"/>
    <w:rsid w:val="001E54F6"/>
    <w:rsid w:val="001E5A8C"/>
    <w:rsid w:val="00201A0A"/>
    <w:rsid w:val="002075D4"/>
    <w:rsid w:val="00211B2A"/>
    <w:rsid w:val="00232325"/>
    <w:rsid w:val="002333A0"/>
    <w:rsid w:val="00245C49"/>
    <w:rsid w:val="002543CF"/>
    <w:rsid w:val="0025779C"/>
    <w:rsid w:val="0026062E"/>
    <w:rsid w:val="00260F50"/>
    <w:rsid w:val="00261EF7"/>
    <w:rsid w:val="0027069F"/>
    <w:rsid w:val="00280E04"/>
    <w:rsid w:val="00281F5F"/>
    <w:rsid w:val="002843E4"/>
    <w:rsid w:val="002919E1"/>
    <w:rsid w:val="00295917"/>
    <w:rsid w:val="00296071"/>
    <w:rsid w:val="002A4572"/>
    <w:rsid w:val="002A7E2E"/>
    <w:rsid w:val="002B16D8"/>
    <w:rsid w:val="002D5F64"/>
    <w:rsid w:val="002D6FBF"/>
    <w:rsid w:val="002E48BF"/>
    <w:rsid w:val="002E61C2"/>
    <w:rsid w:val="00336C1A"/>
    <w:rsid w:val="003535E9"/>
    <w:rsid w:val="003569E1"/>
    <w:rsid w:val="003815E2"/>
    <w:rsid w:val="00381FAD"/>
    <w:rsid w:val="003923B1"/>
    <w:rsid w:val="003965FE"/>
    <w:rsid w:val="003B27AD"/>
    <w:rsid w:val="003B4F23"/>
    <w:rsid w:val="003C12F6"/>
    <w:rsid w:val="003C3A13"/>
    <w:rsid w:val="003E02EF"/>
    <w:rsid w:val="003E1D90"/>
    <w:rsid w:val="00400CD4"/>
    <w:rsid w:val="004147B9"/>
    <w:rsid w:val="00422C04"/>
    <w:rsid w:val="00423EE6"/>
    <w:rsid w:val="00426144"/>
    <w:rsid w:val="00470CBD"/>
    <w:rsid w:val="00473E7B"/>
    <w:rsid w:val="004909DD"/>
    <w:rsid w:val="004A05E6"/>
    <w:rsid w:val="004A34A8"/>
    <w:rsid w:val="004A6C66"/>
    <w:rsid w:val="004A7AA0"/>
    <w:rsid w:val="004C11BC"/>
    <w:rsid w:val="004D4AE6"/>
    <w:rsid w:val="00505FCA"/>
    <w:rsid w:val="005169F4"/>
    <w:rsid w:val="005210D1"/>
    <w:rsid w:val="00523146"/>
    <w:rsid w:val="00523275"/>
    <w:rsid w:val="00531DC7"/>
    <w:rsid w:val="005350B0"/>
    <w:rsid w:val="00546A99"/>
    <w:rsid w:val="00553411"/>
    <w:rsid w:val="00564746"/>
    <w:rsid w:val="0056512C"/>
    <w:rsid w:val="00576D0A"/>
    <w:rsid w:val="00584333"/>
    <w:rsid w:val="005953EC"/>
    <w:rsid w:val="005B00A1"/>
    <w:rsid w:val="005C29C8"/>
    <w:rsid w:val="005C5D25"/>
    <w:rsid w:val="005D72A4"/>
    <w:rsid w:val="005F05CC"/>
    <w:rsid w:val="005F65DE"/>
    <w:rsid w:val="006315B5"/>
    <w:rsid w:val="00642AE0"/>
    <w:rsid w:val="0065562F"/>
    <w:rsid w:val="00680A66"/>
    <w:rsid w:val="00681391"/>
    <w:rsid w:val="006A12AC"/>
    <w:rsid w:val="006A2162"/>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36AE"/>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17E8"/>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A3D30"/>
    <w:rsid w:val="009A7E73"/>
    <w:rsid w:val="009D6348"/>
    <w:rsid w:val="009E613F"/>
    <w:rsid w:val="009F042B"/>
    <w:rsid w:val="00A03FD6"/>
    <w:rsid w:val="00A10369"/>
    <w:rsid w:val="00A116A8"/>
    <w:rsid w:val="00A22AE9"/>
    <w:rsid w:val="00A26758"/>
    <w:rsid w:val="00A26D0E"/>
    <w:rsid w:val="00A278E9"/>
    <w:rsid w:val="00A3451F"/>
    <w:rsid w:val="00A36268"/>
    <w:rsid w:val="00A40B2C"/>
    <w:rsid w:val="00A658F9"/>
    <w:rsid w:val="00A66D2B"/>
    <w:rsid w:val="00A870AD"/>
    <w:rsid w:val="00A9645C"/>
    <w:rsid w:val="00AB2A33"/>
    <w:rsid w:val="00AC1275"/>
    <w:rsid w:val="00AC7395"/>
    <w:rsid w:val="00AD690F"/>
    <w:rsid w:val="00AD69DD"/>
    <w:rsid w:val="00AF41D1"/>
    <w:rsid w:val="00B01623"/>
    <w:rsid w:val="00B033DF"/>
    <w:rsid w:val="00B07CEE"/>
    <w:rsid w:val="00B12661"/>
    <w:rsid w:val="00B1714C"/>
    <w:rsid w:val="00B357E9"/>
    <w:rsid w:val="00B4164D"/>
    <w:rsid w:val="00B425C1"/>
    <w:rsid w:val="00B606BA"/>
    <w:rsid w:val="00B66817"/>
    <w:rsid w:val="00B71E3B"/>
    <w:rsid w:val="00B721D5"/>
    <w:rsid w:val="00B81CB5"/>
    <w:rsid w:val="00B8351F"/>
    <w:rsid w:val="00B86C44"/>
    <w:rsid w:val="00BA7D44"/>
    <w:rsid w:val="00BD6EF3"/>
    <w:rsid w:val="00BE69C3"/>
    <w:rsid w:val="00C057D0"/>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06DB"/>
    <w:rsid w:val="00D25120"/>
    <w:rsid w:val="00D419CB"/>
    <w:rsid w:val="00D44E3F"/>
    <w:rsid w:val="00D525F5"/>
    <w:rsid w:val="00D535D0"/>
    <w:rsid w:val="00D81703"/>
    <w:rsid w:val="00D82929"/>
    <w:rsid w:val="00D84214"/>
    <w:rsid w:val="00D943E5"/>
    <w:rsid w:val="00DA1AE0"/>
    <w:rsid w:val="00DC29DD"/>
    <w:rsid w:val="00DC7C0E"/>
    <w:rsid w:val="00DF2A6A"/>
    <w:rsid w:val="00DF3B72"/>
    <w:rsid w:val="00E22C9B"/>
    <w:rsid w:val="00E2489D"/>
    <w:rsid w:val="00E26520"/>
    <w:rsid w:val="00E343A3"/>
    <w:rsid w:val="00E51BFA"/>
    <w:rsid w:val="00E621A3"/>
    <w:rsid w:val="00E833BC"/>
    <w:rsid w:val="00E8580E"/>
    <w:rsid w:val="00EA1B76"/>
    <w:rsid w:val="00EA77D7"/>
    <w:rsid w:val="00EC09B9"/>
    <w:rsid w:val="00ED048C"/>
    <w:rsid w:val="00EE6C40"/>
    <w:rsid w:val="00EE722A"/>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customStyle="1" w:styleId="Heading1Char">
    <w:name w:val="Heading 1 Char"/>
    <w:basedOn w:val="DefaultParagraphFont"/>
    <w:link w:val="Heading1"/>
    <w:rsid w:val="00CF06DB"/>
    <w:rPr>
      <w:rFonts w:asciiTheme="minorHAnsi" w:hAnsiTheme="minorHAnsi" w:cs="Traditional Arabic"/>
      <w:b/>
      <w:bCs/>
      <w:kern w:val="32"/>
      <w:sz w:val="26"/>
      <w:szCs w:val="36"/>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character" w:customStyle="1" w:styleId="Heading1Char">
    <w:name w:val="Heading 1 Char"/>
    <w:basedOn w:val="DefaultParagraphFont"/>
    <w:link w:val="Heading1"/>
    <w:rsid w:val="00CF06DB"/>
    <w:rPr>
      <w:rFonts w:asciiTheme="minorHAnsi" w:hAnsiTheme="minorHAnsi" w:cs="Traditional Arabic"/>
      <w:b/>
      <w:bCs/>
      <w:kern w:val="32"/>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96b2e75-67fd-4955-a3b0-5ab9934cb50b">CJDSJNEQ73FR-44-8</_dlc_DocId>
    <_dlc_DocIdUrl xmlns="996b2e75-67fd-4955-a3b0-5ab9934cb50b">
      <Url>http://spdev11/en/gmpcs/_layouts/DocIdRedir.aspx?ID=CJDSJNEQ73FR-44-8</Url>
      <Description>CJDSJNEQ73FR-44-8</Description>
    </_dlc_DocIdUrl>
    <DPM_x0020_Author xmlns="32a1a8c5-2265-4ebc-b7a0-2071e2c5c9bb" xsi:nil="false">Documents Proposals Manager (DPM)</DPM_x0020_Author>
    <DPM_x0020_File_x0020_name xmlns="32a1a8c5-2265-4ebc-b7a0-2071e2c5c9bb" xsi:nil="false">S12-WCIT12-C-0031!!MSW-A</DPM_x0020_File_x0020_name>
    <DPM_x0020_Version xmlns="32a1a8c5-2265-4ebc-b7a0-2071e2c5c9bb" xsi:nil="false">DPM_v5.3.6.20_prod</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4F53-307F-48D8-A576-9BC29A133EC5}">
  <ds:schemaRefs>
    <ds:schemaRef ds:uri="http://schemas.microsoft.com/sharepoint/events"/>
  </ds:schemaRefs>
</ds:datastoreItem>
</file>

<file path=customXml/itemProps2.xml><?xml version="1.0" encoding="utf-8"?>
<ds:datastoreItem xmlns:ds="http://schemas.openxmlformats.org/officeDocument/2006/customXml" ds:itemID="{5D7740F2-8479-4649-A52C-09A6875C963B}">
  <ds:schemaRefs>
    <ds:schemaRef ds:uri="http://schemas.microsoft.com/sharepoint/v3/contenttype/forms"/>
  </ds:schemaRefs>
</ds:datastoreItem>
</file>

<file path=customXml/itemProps3.xml><?xml version="1.0" encoding="utf-8"?>
<ds:datastoreItem xmlns:ds="http://schemas.openxmlformats.org/officeDocument/2006/customXml" ds:itemID="{67EC882A-52D1-49CA-9D12-4ECFA422C245}">
  <ds:schemaRefs>
    <ds:schemaRef ds:uri="http://purl.org/dc/elements/1.1/"/>
    <ds:schemaRef ds:uri="996b2e75-67fd-4955-a3b0-5ab9934cb50b"/>
    <ds:schemaRef ds:uri="http://www.w3.org/XML/1998/namespace"/>
    <ds:schemaRef ds:uri="http://schemas.microsoft.com/office/2006/metadata/properties"/>
    <ds:schemaRef ds:uri="http://schemas.microsoft.com/office/2006/documentManagement/types"/>
    <ds:schemaRef ds:uri="32a1a8c5-2265-4ebc-b7a0-2071e2c5c9bb"/>
    <ds:schemaRef ds:uri="http://purl.org/dc/dcmitype/"/>
    <ds:schemaRef ds:uri="http://purl.org/dc/term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35C46FA-0B95-4F34-BA2B-793818BCF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838794-D53F-4637-8794-3B1905B4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3</TotalTime>
  <Pages>2</Pages>
  <Words>426</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S12-WCIT12-C-0031!!MSW-A</vt:lpstr>
    </vt:vector>
  </TitlesOfParts>
  <Manager>General Secretariat - Pool</Manager>
  <Company>International Telecommunication Union (ITU)</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S12-WCIT12-C-0031!!MSW-A</dc:title>
  <dc:subject>World Conference on International Telecommunications (WCIT)</dc:subject>
  <dc:creator>Documents Proposals Manager (DPM)</dc:creator>
  <cp:keywords>DPM_v5.3.6.20_prod</cp:keywords>
  <cp:lastModifiedBy>Hany, Samuel</cp:lastModifiedBy>
  <cp:revision>3</cp:revision>
  <cp:lastPrinted>2012-11-27T16:59:00Z</cp:lastPrinted>
  <dcterms:created xsi:type="dcterms:W3CDTF">2012-11-27T16:59:00Z</dcterms:created>
  <dcterms:modified xsi:type="dcterms:W3CDTF">2012-11-27T17:02:00Z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27aefb2d-6bd4-4d81-bfcc-91fe91ab56ca</vt:lpwstr>
  </property>
</Properties>
</file>