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015E3B">
            <w:pPr>
              <w:tabs>
                <w:tab w:val="clear" w:pos="1871"/>
                <w:tab w:val="left" w:pos="567"/>
                <w:tab w:val="left" w:pos="709"/>
                <w:tab w:val="left" w:pos="1701"/>
                <w:tab w:val="left" w:pos="2835"/>
              </w:tabs>
              <w:bidi w:val="0"/>
              <w:spacing w:before="100" w:beforeAutospacing="1" w:after="100" w:afterAutospacing="1"/>
              <w:jc w:val="center"/>
              <w:rPr>
                <w:rFonts w:ascii="Calibri" w:hAnsi="Calibri"/>
                <w:sz w:val="24"/>
                <w:szCs w:val="24"/>
                <w:lang w:val="en-GB"/>
              </w:rPr>
            </w:pPr>
            <w:r w:rsidRPr="00015E3B">
              <w:rPr>
                <w:rFonts w:ascii="Calibri" w:hAnsi="Calibri"/>
                <w:noProof/>
                <w:sz w:val="24"/>
                <w:szCs w:val="24"/>
                <w:lang w:eastAsia="zh-CN"/>
              </w:rPr>
              <w:drawing>
                <wp:inline distT="0" distB="0" distL="0" distR="0" wp14:anchorId="6BE45463" wp14:editId="3186535A">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015E3B">
            <w:pPr>
              <w:tabs>
                <w:tab w:val="clear" w:pos="1134"/>
                <w:tab w:val="clear" w:pos="1871"/>
                <w:tab w:val="clear" w:pos="2268"/>
                <w:tab w:val="left" w:pos="284"/>
              </w:tabs>
              <w:spacing w:before="60"/>
              <w:ind w:left="284"/>
              <w:jc w:val="left"/>
              <w:rPr>
                <w:rFonts w:ascii="Calibri" w:hAnsi="Calibri"/>
                <w:noProof/>
                <w:rtl/>
                <w:lang w:bidi="ar-SY"/>
              </w:rPr>
            </w:pPr>
            <w:r w:rsidRPr="00015E3B">
              <w:rPr>
                <w:rFonts w:ascii="Calibri" w:hAnsi="Calibri" w:hint="cs"/>
                <w:rtl/>
                <w:lang w:val="en-GB"/>
              </w:rPr>
              <w:t xml:space="preserve">جنيف، </w:t>
            </w:r>
            <w:r w:rsidRPr="00015E3B">
              <w:rPr>
                <w:rFonts w:ascii="Calibri" w:hAnsi="Calibri"/>
              </w:rPr>
              <w:t>16-14</w:t>
            </w:r>
            <w:r w:rsidRPr="00015E3B">
              <w:rPr>
                <w:rFonts w:ascii="Calibri" w:hAnsi="Calibri" w:hint="cs"/>
                <w:rtl/>
                <w:lang w:bidi="ar-SY"/>
              </w:rPr>
              <w:t xml:space="preserve"> مايو </w:t>
            </w:r>
            <w:r w:rsidRPr="00015E3B">
              <w:rPr>
                <w:rFonts w:ascii="Calibri" w:hAnsi="Calibri"/>
                <w:lang w:bidi="ar-SY"/>
              </w:rPr>
              <w:t>2013</w:t>
            </w:r>
          </w:p>
        </w:tc>
      </w:tr>
      <w:tr w:rsidR="00015E3B" w:rsidRPr="00015E3B" w:rsidTr="00A66EAD">
        <w:tc>
          <w:tcPr>
            <w:tcW w:w="3085" w:type="dxa"/>
            <w:tcBorders>
              <w:top w:val="single" w:sz="12" w:space="0" w:color="auto"/>
              <w:left w:val="nil"/>
              <w:right w:val="nil"/>
            </w:tcBorders>
            <w:hideMark/>
          </w:tcPr>
          <w:p w:rsidR="00015E3B" w:rsidRPr="00015E3B" w:rsidRDefault="00015E3B" w:rsidP="00457118">
            <w:pPr>
              <w:tabs>
                <w:tab w:val="clear" w:pos="1134"/>
                <w:tab w:val="clear" w:pos="1871"/>
                <w:tab w:val="clear" w:pos="2268"/>
              </w:tabs>
              <w:spacing w:before="180"/>
              <w:rPr>
                <w:rFonts w:ascii="Calibri" w:hAnsi="Calibri"/>
                <w:b/>
                <w:bCs/>
                <w:rtl/>
                <w:lang w:bidi="ar-EG"/>
              </w:rPr>
            </w:pPr>
            <w:r w:rsidRPr="00015E3B">
              <w:rPr>
                <w:rFonts w:ascii="Calibri" w:hAnsi="Calibri" w:hint="cs"/>
                <w:b/>
                <w:bCs/>
                <w:rtl/>
                <w:lang w:val="en-GB"/>
              </w:rPr>
              <w:t xml:space="preserve">الوثيقة </w:t>
            </w:r>
            <w:r w:rsidRPr="00015E3B">
              <w:rPr>
                <w:rFonts w:ascii="Calibri" w:hAnsi="Calibri"/>
                <w:b/>
                <w:bCs/>
              </w:rPr>
              <w:t>WTPF-13/</w:t>
            </w:r>
            <w:r w:rsidR="00457118">
              <w:rPr>
                <w:rFonts w:ascii="Calibri" w:hAnsi="Calibri"/>
                <w:b/>
                <w:bCs/>
              </w:rPr>
              <w:t>10</w:t>
            </w:r>
            <w:r w:rsidRPr="00015E3B">
              <w:rPr>
                <w:rFonts w:ascii="Calibri" w:hAnsi="Calibri"/>
                <w:b/>
                <w:bCs/>
              </w:rPr>
              <w:t>-A</w:t>
            </w:r>
          </w:p>
          <w:p w:rsidR="00015E3B" w:rsidRPr="00015E3B" w:rsidRDefault="00457118" w:rsidP="00457118">
            <w:pPr>
              <w:tabs>
                <w:tab w:val="clear" w:pos="1134"/>
                <w:tab w:val="clear" w:pos="1871"/>
                <w:tab w:val="clear" w:pos="2268"/>
              </w:tabs>
              <w:spacing w:before="0"/>
              <w:rPr>
                <w:rFonts w:ascii="Calibri" w:hAnsi="Calibri"/>
                <w:b/>
                <w:bCs/>
                <w:rtl/>
                <w:lang w:bidi="ar-EG"/>
              </w:rPr>
            </w:pPr>
            <w:r>
              <w:rPr>
                <w:rFonts w:ascii="Calibri" w:hAnsi="Calibri"/>
                <w:b/>
                <w:bCs/>
                <w:lang w:bidi="ar-SY"/>
              </w:rPr>
              <w:t>30</w:t>
            </w:r>
            <w:r w:rsidR="00B50180" w:rsidRPr="00B50180">
              <w:rPr>
                <w:rFonts w:ascii="Calibri" w:hAnsi="Calibri" w:hint="cs"/>
                <w:b/>
                <w:bCs/>
                <w:rtl/>
                <w:lang w:bidi="ar-EG"/>
              </w:rPr>
              <w:t xml:space="preserve"> </w:t>
            </w:r>
            <w:r>
              <w:rPr>
                <w:rFonts w:ascii="Calibri" w:hAnsi="Calibri" w:hint="cs"/>
                <w:b/>
                <w:bCs/>
                <w:rtl/>
                <w:lang w:bidi="ar-EG"/>
              </w:rPr>
              <w:t>أبريل</w:t>
            </w:r>
            <w:r w:rsidR="00B50180" w:rsidRPr="00B50180">
              <w:rPr>
                <w:rFonts w:ascii="Calibri" w:hAnsi="Calibri" w:hint="cs"/>
                <w:b/>
                <w:bCs/>
                <w:rtl/>
                <w:lang w:bidi="ar-EG"/>
              </w:rPr>
              <w:t xml:space="preserve"> </w:t>
            </w:r>
            <w:r w:rsidR="00B50180" w:rsidRPr="00B50180">
              <w:rPr>
                <w:rFonts w:ascii="Calibri" w:hAnsi="Calibri"/>
                <w:b/>
                <w:bCs/>
                <w:lang w:bidi="ar-SY"/>
              </w:rPr>
              <w:t>2013</w:t>
            </w:r>
          </w:p>
          <w:p w:rsidR="00015E3B" w:rsidRPr="00015E3B" w:rsidRDefault="00015E3B" w:rsidP="00457118">
            <w:pPr>
              <w:tabs>
                <w:tab w:val="clear" w:pos="1134"/>
                <w:tab w:val="clear" w:pos="1871"/>
                <w:tab w:val="clear" w:pos="2268"/>
              </w:tabs>
              <w:spacing w:before="0" w:after="120"/>
              <w:rPr>
                <w:lang w:eastAsia="zh-CN"/>
              </w:rPr>
            </w:pPr>
            <w:r w:rsidRPr="00015E3B">
              <w:rPr>
                <w:rFonts w:ascii="Calibri" w:hAnsi="Calibri" w:hint="cs"/>
                <w:b/>
                <w:bCs/>
                <w:rtl/>
                <w:lang w:val="en-GB"/>
              </w:rPr>
              <w:t xml:space="preserve">الأصل: </w:t>
            </w:r>
            <w:r w:rsidR="00457118">
              <w:rPr>
                <w:rFonts w:ascii="Calibri" w:hAnsi="Calibri" w:hint="cs"/>
                <w:b/>
                <w:bCs/>
                <w:rtl/>
                <w:lang w:val="en-GB" w:bidi="ar-EG"/>
              </w:rPr>
              <w:t>بالإسبانية</w:t>
            </w:r>
          </w:p>
        </w:tc>
        <w:tc>
          <w:tcPr>
            <w:tcW w:w="6770" w:type="dxa"/>
            <w:tcBorders>
              <w:top w:val="single" w:sz="12" w:space="0" w:color="auto"/>
              <w:left w:val="nil"/>
              <w:right w:val="nil"/>
            </w:tcBorders>
          </w:tcPr>
          <w:p w:rsidR="00015E3B" w:rsidRPr="00015E3B" w:rsidRDefault="00015E3B" w:rsidP="00015E3B">
            <w:pPr>
              <w:tabs>
                <w:tab w:val="clear" w:pos="1134"/>
                <w:tab w:val="clear" w:pos="1871"/>
                <w:tab w:val="clear" w:pos="2268"/>
                <w:tab w:val="left" w:pos="6521"/>
              </w:tabs>
              <w:bidi w:val="0"/>
              <w:spacing w:before="0"/>
              <w:jc w:val="left"/>
              <w:rPr>
                <w:rFonts w:ascii="Calibri" w:hAnsi="Calibri"/>
                <w:b/>
                <w:bCs/>
                <w:sz w:val="24"/>
                <w:szCs w:val="24"/>
              </w:rPr>
            </w:pPr>
          </w:p>
        </w:tc>
      </w:tr>
      <w:tr w:rsidR="00A66EAD" w:rsidRPr="00015E3B" w:rsidTr="00A66EAD">
        <w:tc>
          <w:tcPr>
            <w:tcW w:w="9855" w:type="dxa"/>
            <w:gridSpan w:val="2"/>
            <w:tcBorders>
              <w:left w:val="nil"/>
              <w:right w:val="nil"/>
            </w:tcBorders>
          </w:tcPr>
          <w:p w:rsidR="00A66EAD" w:rsidRPr="00015E3B" w:rsidRDefault="00457118" w:rsidP="00A66EAD">
            <w:pPr>
              <w:pStyle w:val="Source"/>
              <w:rPr>
                <w:rFonts w:ascii="Calibri" w:hAnsi="Calibri"/>
                <w:sz w:val="24"/>
                <w:szCs w:val="24"/>
              </w:rPr>
            </w:pPr>
            <w:r>
              <w:rPr>
                <w:rFonts w:hint="cs"/>
                <w:rtl/>
              </w:rPr>
              <w:t>مساهمة من المكسيك</w:t>
            </w:r>
          </w:p>
        </w:tc>
      </w:tr>
      <w:tr w:rsidR="00A66EAD" w:rsidRPr="00015E3B" w:rsidTr="00A66EAD">
        <w:tc>
          <w:tcPr>
            <w:tcW w:w="9855" w:type="dxa"/>
            <w:gridSpan w:val="2"/>
            <w:tcBorders>
              <w:left w:val="nil"/>
              <w:bottom w:val="nil"/>
              <w:right w:val="nil"/>
            </w:tcBorders>
          </w:tcPr>
          <w:p w:rsidR="00A66EAD" w:rsidRPr="00015E3B" w:rsidRDefault="00A66EAD" w:rsidP="00A66EAD">
            <w:pPr>
              <w:pStyle w:val="Title1"/>
              <w:rPr>
                <w:rFonts w:ascii="Calibri" w:hAnsi="Calibri"/>
                <w:b/>
                <w:bCs/>
                <w:sz w:val="24"/>
                <w:szCs w:val="24"/>
              </w:rPr>
            </w:pPr>
          </w:p>
        </w:tc>
      </w:tr>
    </w:tbl>
    <w:p w:rsidR="00024C90" w:rsidRDefault="00024C90" w:rsidP="00024C90">
      <w:pPr>
        <w:pStyle w:val="Headingb"/>
        <w:rPr>
          <w:noProof/>
          <w:rtl/>
        </w:rPr>
      </w:pPr>
      <w:r>
        <w:rPr>
          <w:rFonts w:hint="cs"/>
          <w:noProof/>
          <w:rtl/>
        </w:rPr>
        <w:t>مقدمة</w:t>
      </w:r>
    </w:p>
    <w:p w:rsidR="00024C90" w:rsidRDefault="00024C90" w:rsidP="00123A0D">
      <w:pPr>
        <w:rPr>
          <w:rtl/>
          <w:lang w:bidi="ar-EG"/>
        </w:rPr>
      </w:pPr>
      <w:r>
        <w:rPr>
          <w:rFonts w:hint="cs"/>
          <w:rtl/>
          <w:lang w:bidi="ar-EG"/>
        </w:rPr>
        <w:t xml:space="preserve">تدرك إدارة المكسيك التحدي الذي يواجهه الأمين العام للاتحاد الدولي للاتصالات عند توحيد التقرير المقدم إلى المنتدى العالمي لسياسات الاتصالات/تكنولوجيا المعلومات والاتصالات من خلال عملية شفافة وشاملة تغطي مواضيع مثل </w:t>
      </w:r>
      <w:r w:rsidRPr="00B76613">
        <w:rPr>
          <w:rFonts w:hint="cs"/>
          <w:rtl/>
          <w:lang w:bidi="ar-EG"/>
        </w:rPr>
        <w:t xml:space="preserve">القضايا التي أثيرت </w:t>
      </w:r>
      <w:r w:rsidR="00BB2B29">
        <w:rPr>
          <w:rFonts w:hint="cs"/>
          <w:rtl/>
          <w:lang w:bidi="ar-EG"/>
        </w:rPr>
        <w:t>في</w:t>
      </w:r>
      <w:r w:rsidR="00123A0D">
        <w:rPr>
          <w:rFonts w:hint="eastAsia"/>
          <w:rtl/>
          <w:lang w:bidi="ar-EG"/>
        </w:rPr>
        <w:t> </w:t>
      </w:r>
      <w:r w:rsidRPr="00B76613">
        <w:rPr>
          <w:rFonts w:hint="cs"/>
          <w:rtl/>
          <w:lang w:bidi="ar-EG"/>
        </w:rPr>
        <w:t xml:space="preserve">قرارات مؤتمر المندوبين المفوضين مثل </w:t>
      </w:r>
      <w:r>
        <w:rPr>
          <w:rFonts w:hint="cs"/>
          <w:rtl/>
          <w:lang w:bidi="ar-EG"/>
        </w:rPr>
        <w:t xml:space="preserve">القرار </w:t>
      </w:r>
      <w:r>
        <w:rPr>
          <w:lang w:bidi="ar-EG"/>
        </w:rPr>
        <w:t>101</w:t>
      </w:r>
      <w:r>
        <w:rPr>
          <w:rFonts w:hint="cs"/>
          <w:rtl/>
          <w:lang w:bidi="ar-EG"/>
        </w:rPr>
        <w:t xml:space="preserve"> (</w:t>
      </w:r>
      <w:r w:rsidR="00BB2B29">
        <w:rPr>
          <w:rFonts w:hint="cs"/>
          <w:rtl/>
          <w:lang w:bidi="ar-EG"/>
        </w:rPr>
        <w:t>المراجَع</w:t>
      </w:r>
      <w:r>
        <w:rPr>
          <w:rFonts w:hint="cs"/>
          <w:rtl/>
          <w:lang w:bidi="ar-EG"/>
        </w:rPr>
        <w:t xml:space="preserve"> في غوادالاخارا، </w:t>
      </w:r>
      <w:r>
        <w:rPr>
          <w:lang w:bidi="ar-EG"/>
        </w:rPr>
        <w:t>2010</w:t>
      </w:r>
      <w:r>
        <w:rPr>
          <w:rFonts w:hint="cs"/>
          <w:rtl/>
          <w:lang w:bidi="ar-EG"/>
        </w:rPr>
        <w:t xml:space="preserve">) بشأن </w:t>
      </w:r>
      <w:r w:rsidRPr="00333CA8">
        <w:rPr>
          <w:rFonts w:hint="cs"/>
          <w:smallCaps/>
          <w:noProof/>
          <w:spacing w:val="-4"/>
          <w:rtl/>
        </w:rPr>
        <w:t>الشبكات القائمة على بروتوكول الإنترنت</w:t>
      </w:r>
      <w:r>
        <w:rPr>
          <w:rFonts w:hint="eastAsia"/>
          <w:smallCaps/>
          <w:noProof/>
          <w:spacing w:val="-4"/>
          <w:rtl/>
        </w:rPr>
        <w:t> </w:t>
      </w:r>
      <w:r>
        <w:rPr>
          <w:smallCaps/>
          <w:noProof/>
          <w:spacing w:val="-4"/>
          <w:lang w:bidi="ar-EG"/>
        </w:rPr>
        <w:t>(IP)</w:t>
      </w:r>
      <w:r w:rsidRPr="00333CA8">
        <w:rPr>
          <w:rFonts w:hint="cs"/>
          <w:smallCaps/>
          <w:noProof/>
          <w:spacing w:val="-4"/>
          <w:rtl/>
        </w:rPr>
        <w:t>؛ والقرار </w:t>
      </w:r>
      <w:r w:rsidRPr="00333CA8">
        <w:rPr>
          <w:smallCaps/>
          <w:noProof/>
          <w:spacing w:val="-4"/>
        </w:rPr>
        <w:t>102</w:t>
      </w:r>
      <w:r w:rsidRPr="00333CA8">
        <w:rPr>
          <w:rFonts w:hint="cs"/>
          <w:smallCaps/>
          <w:noProof/>
          <w:spacing w:val="-4"/>
          <w:rtl/>
        </w:rPr>
        <w:t xml:space="preserve"> </w:t>
      </w:r>
      <w:r w:rsidRPr="00333CA8">
        <w:rPr>
          <w:rFonts w:hint="cs"/>
          <w:noProof/>
          <w:spacing w:val="-4"/>
          <w:rtl/>
        </w:rPr>
        <w:t>(</w:t>
      </w:r>
      <w:r w:rsidR="00BB2B29">
        <w:rPr>
          <w:rFonts w:hint="cs"/>
          <w:noProof/>
          <w:spacing w:val="-4"/>
          <w:rtl/>
        </w:rPr>
        <w:t>المراجَع</w:t>
      </w:r>
      <w:r w:rsidRPr="00333CA8">
        <w:rPr>
          <w:rFonts w:hint="cs"/>
          <w:noProof/>
          <w:spacing w:val="-4"/>
          <w:rtl/>
        </w:rPr>
        <w:t xml:space="preserve"> في</w:t>
      </w:r>
      <w:r w:rsidRPr="00333CA8">
        <w:rPr>
          <w:rFonts w:hint="eastAsia"/>
          <w:noProof/>
          <w:spacing w:val="-4"/>
          <w:rtl/>
        </w:rPr>
        <w:t> </w:t>
      </w:r>
      <w:r w:rsidRPr="00333CA8">
        <w:rPr>
          <w:rFonts w:hint="cs"/>
          <w:noProof/>
          <w:spacing w:val="-4"/>
          <w:rtl/>
        </w:rPr>
        <w:t>غوادالاخارا</w:t>
      </w:r>
      <w:r w:rsidRPr="00333CA8">
        <w:rPr>
          <w:rFonts w:hint="cs"/>
          <w:smallCaps/>
          <w:noProof/>
          <w:spacing w:val="-4"/>
          <w:rtl/>
        </w:rPr>
        <w:t>، </w:t>
      </w:r>
      <w:r w:rsidRPr="00333CA8">
        <w:rPr>
          <w:smallCaps/>
          <w:noProof/>
          <w:spacing w:val="-4"/>
        </w:rPr>
        <w:t>2010</w:t>
      </w:r>
      <w:r w:rsidRPr="00333CA8">
        <w:rPr>
          <w:rFonts w:hint="cs"/>
          <w:smallCaps/>
          <w:noProof/>
          <w:spacing w:val="-4"/>
          <w:rtl/>
        </w:rPr>
        <w:t>)</w:t>
      </w:r>
      <w:r>
        <w:rPr>
          <w:rFonts w:hint="cs"/>
          <w:smallCaps/>
          <w:noProof/>
          <w:spacing w:val="-4"/>
          <w:rtl/>
        </w:rPr>
        <w:t xml:space="preserve"> بشأن</w:t>
      </w:r>
      <w:r w:rsidRPr="00333CA8">
        <w:rPr>
          <w:rFonts w:hint="cs"/>
          <w:smallCaps/>
          <w:noProof/>
          <w:spacing w:val="-4"/>
          <w:rtl/>
        </w:rPr>
        <w:t xml:space="preserve">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Pr="00333CA8">
        <w:rPr>
          <w:smallCaps/>
          <w:noProof/>
          <w:spacing w:val="-4"/>
        </w:rPr>
        <w:t>133</w:t>
      </w:r>
      <w:r w:rsidRPr="00333CA8">
        <w:rPr>
          <w:rFonts w:hint="cs"/>
          <w:smallCaps/>
          <w:noProof/>
          <w:spacing w:val="-4"/>
          <w:rtl/>
        </w:rPr>
        <w:t xml:space="preserve"> </w:t>
      </w:r>
      <w:r w:rsidRPr="00333CA8">
        <w:rPr>
          <w:rFonts w:hint="cs"/>
          <w:noProof/>
          <w:spacing w:val="-4"/>
          <w:rtl/>
        </w:rPr>
        <w:t>(</w:t>
      </w:r>
      <w:r w:rsidR="00BB2B29">
        <w:rPr>
          <w:rFonts w:hint="cs"/>
          <w:noProof/>
          <w:spacing w:val="-4"/>
          <w:rtl/>
        </w:rPr>
        <w:t>المراجَع</w:t>
      </w:r>
      <w:r w:rsidRPr="00333CA8">
        <w:rPr>
          <w:rFonts w:hint="cs"/>
          <w:noProof/>
          <w:spacing w:val="-4"/>
          <w:rtl/>
        </w:rPr>
        <w:t xml:space="preserve"> في</w:t>
      </w:r>
      <w:r w:rsidRPr="00333CA8">
        <w:rPr>
          <w:rFonts w:hint="eastAsia"/>
          <w:noProof/>
          <w:spacing w:val="-4"/>
          <w:rtl/>
        </w:rPr>
        <w:t> </w:t>
      </w:r>
      <w:r w:rsidRPr="00333CA8">
        <w:rPr>
          <w:rFonts w:hint="cs"/>
          <w:noProof/>
          <w:spacing w:val="-4"/>
          <w:rtl/>
        </w:rPr>
        <w:t>غوادالاخارا</w:t>
      </w:r>
      <w:r w:rsidRPr="00333CA8">
        <w:rPr>
          <w:rFonts w:hint="cs"/>
          <w:smallCaps/>
          <w:noProof/>
          <w:spacing w:val="-4"/>
          <w:rtl/>
        </w:rPr>
        <w:t>، </w:t>
      </w:r>
      <w:r w:rsidRPr="00333CA8">
        <w:rPr>
          <w:smallCaps/>
          <w:noProof/>
          <w:spacing w:val="-4"/>
        </w:rPr>
        <w:t>2010</w:t>
      </w:r>
      <w:r w:rsidRPr="00333CA8">
        <w:rPr>
          <w:rFonts w:hint="cs"/>
          <w:smallCaps/>
          <w:noProof/>
          <w:spacing w:val="-4"/>
          <w:rtl/>
        </w:rPr>
        <w:t>)</w:t>
      </w:r>
      <w:r>
        <w:rPr>
          <w:rFonts w:hint="cs"/>
          <w:smallCaps/>
          <w:noProof/>
          <w:spacing w:val="-4"/>
          <w:rtl/>
        </w:rPr>
        <w:t xml:space="preserve"> بشأن </w:t>
      </w:r>
      <w:r w:rsidRPr="00333CA8">
        <w:rPr>
          <w:rFonts w:hint="cs"/>
          <w:smallCaps/>
          <w:noProof/>
          <w:spacing w:val="-4"/>
          <w:rtl/>
        </w:rPr>
        <w:t>دور إدارات الدول الأعضاء في إدارة أسماء الميادين الدولية الطابع (المتعددة</w:t>
      </w:r>
      <w:r w:rsidRPr="00333CA8">
        <w:rPr>
          <w:rFonts w:hint="eastAsia"/>
          <w:smallCaps/>
          <w:noProof/>
          <w:spacing w:val="-4"/>
          <w:rtl/>
        </w:rPr>
        <w:t> </w:t>
      </w:r>
      <w:r w:rsidRPr="00333CA8">
        <w:rPr>
          <w:rFonts w:hint="cs"/>
          <w:smallCaps/>
          <w:noProof/>
          <w:spacing w:val="-4"/>
          <w:rtl/>
        </w:rPr>
        <w:t>اللغات)</w:t>
      </w:r>
      <w:r>
        <w:rPr>
          <w:rFonts w:hint="cs"/>
          <w:smallCaps/>
          <w:noProof/>
          <w:spacing w:val="-4"/>
          <w:rtl/>
        </w:rPr>
        <w:t>، والتي يتناولها الأمين العام في الأقسام التالية من هذا التقرير:</w:t>
      </w:r>
    </w:p>
    <w:p w:rsidR="00024C90" w:rsidRPr="00056642" w:rsidRDefault="00024C90" w:rsidP="00BB2B29">
      <w:pPr>
        <w:pStyle w:val="enumlev1"/>
        <w:rPr>
          <w:rtl/>
          <w:lang w:bidi="ar-EG"/>
        </w:rPr>
      </w:pPr>
      <w:r>
        <w:rPr>
          <w:rFonts w:hint="cs"/>
          <w:lang w:bidi="ar-EG"/>
        </w:rPr>
        <w:sym w:font="Symbol" w:char="F0B7"/>
      </w:r>
      <w:r>
        <w:rPr>
          <w:rFonts w:hint="cs"/>
          <w:rtl/>
          <w:lang w:bidi="ar-EG"/>
        </w:rPr>
        <w:tab/>
        <w:t>تطور تكنولوجيا المعلومات والاتصالات وانتشارها عالمياً</w:t>
      </w:r>
    </w:p>
    <w:p w:rsidR="00024C90" w:rsidRPr="00333CA8" w:rsidRDefault="00024C90" w:rsidP="00BB2B29">
      <w:pPr>
        <w:pStyle w:val="enumlev1"/>
        <w:rPr>
          <w:noProof/>
          <w:rtl/>
        </w:rPr>
      </w:pPr>
      <w:r>
        <w:rPr>
          <w:rFonts w:hint="cs"/>
        </w:rPr>
        <w:sym w:font="Symbol" w:char="F0B7"/>
      </w:r>
      <w:r w:rsidRPr="00333CA8">
        <w:rPr>
          <w:rFonts w:hint="cs"/>
          <w:noProof/>
          <w:rtl/>
        </w:rPr>
        <w:tab/>
      </w:r>
      <w:r w:rsidRPr="007535DB">
        <w:rPr>
          <w:rFonts w:hint="cs"/>
          <w:noProof/>
          <w:rtl/>
        </w:rPr>
        <w:t>نموذج تعدد أصحاب المصلحة</w:t>
      </w:r>
    </w:p>
    <w:p w:rsidR="00024C90" w:rsidRPr="00333CA8" w:rsidRDefault="00024C90" w:rsidP="00BB2B29">
      <w:pPr>
        <w:pStyle w:val="enumlev1"/>
        <w:rPr>
          <w:noProof/>
          <w:rtl/>
        </w:rPr>
      </w:pPr>
      <w:r>
        <w:rPr>
          <w:rFonts w:hint="cs"/>
        </w:rPr>
        <w:sym w:font="Symbol" w:char="F0B7"/>
      </w:r>
      <w:r w:rsidRPr="00333CA8">
        <w:rPr>
          <w:rFonts w:hint="cs"/>
          <w:noProof/>
          <w:rtl/>
        </w:rPr>
        <w:tab/>
      </w:r>
      <w:r w:rsidRPr="008961F5">
        <w:rPr>
          <w:rFonts w:hint="cs"/>
          <w:noProof/>
          <w:rtl/>
        </w:rPr>
        <w:t xml:space="preserve">الشبكات القائمة على بروتوكول الإنترنت </w:t>
      </w:r>
      <w:r w:rsidRPr="008961F5">
        <w:rPr>
          <w:noProof/>
        </w:rPr>
        <w:t>(IP)</w:t>
      </w:r>
      <w:r w:rsidRPr="008961F5">
        <w:rPr>
          <w:rFonts w:hint="cs"/>
          <w:noProof/>
          <w:rtl/>
        </w:rPr>
        <w:t xml:space="preserve"> وإدارة موارد الإنترنت</w:t>
      </w:r>
    </w:p>
    <w:p w:rsidR="00024C90" w:rsidRPr="00333CA8" w:rsidRDefault="00024C90" w:rsidP="00BB2B29">
      <w:pPr>
        <w:pStyle w:val="enumlev1"/>
        <w:rPr>
          <w:noProof/>
          <w:rtl/>
        </w:rPr>
      </w:pPr>
      <w:r>
        <w:rPr>
          <w:rFonts w:hint="cs"/>
        </w:rPr>
        <w:sym w:font="Symbol" w:char="F0B7"/>
      </w:r>
      <w:r w:rsidRPr="00333CA8">
        <w:rPr>
          <w:rFonts w:hint="cs"/>
          <w:noProof/>
          <w:rtl/>
        </w:rPr>
        <w:tab/>
      </w:r>
      <w:r w:rsidRPr="00443BEA">
        <w:rPr>
          <w:rFonts w:hint="cs"/>
          <w:noProof/>
          <w:rtl/>
        </w:rPr>
        <w:t>قضايا السياسة العامة المتصلة بالإنترنت وإدارة موارد الإنترنت</w:t>
      </w:r>
    </w:p>
    <w:p w:rsidR="00024C90" w:rsidRDefault="00024C90" w:rsidP="00BB2B29">
      <w:pPr>
        <w:pStyle w:val="enumlev1"/>
        <w:rPr>
          <w:b/>
          <w:bCs/>
          <w:noProof/>
          <w:rtl/>
        </w:rPr>
      </w:pPr>
      <w:r>
        <w:rPr>
          <w:rFonts w:hint="cs"/>
        </w:rPr>
        <w:sym w:font="Symbol" w:char="F0B7"/>
      </w:r>
      <w:r w:rsidRPr="00333CA8">
        <w:rPr>
          <w:rFonts w:hint="cs"/>
          <w:noProof/>
          <w:rtl/>
        </w:rPr>
        <w:tab/>
      </w:r>
      <w:r w:rsidRPr="00BC2604">
        <w:rPr>
          <w:rFonts w:hint="cs"/>
          <w:noProof/>
          <w:rtl/>
        </w:rPr>
        <w:t>دور إدارات الدول الأعضاء في إدارة أسماء الميادين الدولية الطابع (المتعددة اللغات)</w:t>
      </w:r>
      <w:r>
        <w:rPr>
          <w:rFonts w:hint="cs"/>
          <w:noProof/>
          <w:rtl/>
        </w:rPr>
        <w:t>،</w:t>
      </w:r>
    </w:p>
    <w:p w:rsidR="00024C90" w:rsidRDefault="00024C90" w:rsidP="00024C90">
      <w:pPr>
        <w:rPr>
          <w:rtl/>
          <w:lang w:bidi="ar-EG"/>
        </w:rPr>
      </w:pPr>
      <w:r>
        <w:rPr>
          <w:rFonts w:hint="cs"/>
          <w:rtl/>
          <w:lang w:bidi="ar-EG"/>
        </w:rPr>
        <w:t>وعليه، تعرب إدارة المكسيك عن وجهات النظر التالية فيما يتعلق بهذه القضايا.</w:t>
      </w:r>
    </w:p>
    <w:p w:rsidR="00024C90" w:rsidRPr="00931ACD" w:rsidRDefault="00024C90" w:rsidP="00024C90">
      <w:pPr>
        <w:pStyle w:val="Headingb"/>
        <w:rPr>
          <w:rtl/>
        </w:rPr>
      </w:pPr>
      <w:r w:rsidRPr="00931ACD">
        <w:rPr>
          <w:rFonts w:hint="cs"/>
          <w:rtl/>
        </w:rPr>
        <w:t>تطور تكنولوجيا المعلومات والاتصالات وانتشارها عالمياً</w:t>
      </w:r>
    </w:p>
    <w:p w:rsidR="00024C90" w:rsidRDefault="00024C90" w:rsidP="00BB2B29">
      <w:pPr>
        <w:rPr>
          <w:rtl/>
          <w:lang w:bidi="ar-EG"/>
        </w:rPr>
      </w:pPr>
      <w:r>
        <w:rPr>
          <w:rFonts w:hint="cs"/>
          <w:rtl/>
        </w:rPr>
        <w:t>كما أشار الأمين العام في تقريره، أصبحت البنية التحتية للمعلومات والاتصالات مورداً بالغ الأهمية بالنسبة</w:t>
      </w:r>
      <w:bookmarkStart w:id="0" w:name="_GoBack"/>
      <w:bookmarkEnd w:id="0"/>
      <w:r>
        <w:rPr>
          <w:rFonts w:hint="cs"/>
          <w:rtl/>
        </w:rPr>
        <w:t xml:space="preserve"> </w:t>
      </w:r>
      <w:r w:rsidR="00BB2B29">
        <w:rPr>
          <w:rFonts w:hint="cs"/>
          <w:rtl/>
        </w:rPr>
        <w:t>إلى ال</w:t>
      </w:r>
      <w:r>
        <w:rPr>
          <w:rFonts w:hint="cs"/>
          <w:rtl/>
        </w:rPr>
        <w:t xml:space="preserve">حكومات وجزءاً حيوياً من البنية التحتية ومحركاً رئيسياً للنمو والتنمية الاجتماعية والاقتصادية ضمن عوامل محركة أخرى. </w:t>
      </w:r>
      <w:r>
        <w:rPr>
          <w:rFonts w:hint="cs"/>
          <w:rtl/>
          <w:lang w:bidi="ar-EG"/>
        </w:rPr>
        <w:t>وإدراكاً لما سبق، فإن كونغرس اتحاد الولايات المكسيكية المتحدة، بالتشاور مع كونغرس كل من الولايات، بصدد الموافقة على مجموعة من الإصلاحات بشأن الدستور السياسي للبلد حيث ستكون الدولة المكسيكية ملزمة بكفالة حق النفاذ إلى تكنولوجيا المعلومات والاتصالات وإلى خدمات الإذاعة والاتصالات بما فيها النطاق العريض والإنترنت.</w:t>
      </w:r>
    </w:p>
    <w:p w:rsidR="00024C90" w:rsidRDefault="00024C90" w:rsidP="00024C90">
      <w:pPr>
        <w:rPr>
          <w:rtl/>
          <w:lang w:bidi="ar-EG"/>
        </w:rPr>
      </w:pPr>
      <w:r>
        <w:rPr>
          <w:rFonts w:hint="cs"/>
          <w:rtl/>
          <w:lang w:bidi="ar-EG"/>
        </w:rPr>
        <w:lastRenderedPageBreak/>
        <w:t>وبغية تحقيق ذلك، سوف تبادر حكومة المكسيك إلى تحسين شروط المنافسة بهدف زيادة عدد مقدمي الخدمات ومن ثم جودة خدمات المعلومات، مما يؤدي إلى انخفاض الأسعار التي يدفعها المستهلك والنهوض بالإنتاجية والنمو الاقتصادي. وسعياً إلى بلوغ هذا الهدف، ستدرج الاتصالات في الصك القانوني الأعلى للبلد باعتبارها خدمة عامة تخدم المصلحة العامة، حيث تضمن الدولة تقديم الخدمات المقابلة ضمن شروط المنافسة والجودة والتعددية والتغطية الشاملة والتوصيل البيني والتقارب والنفاذ غير المقيد والاستمرارية.</w:t>
      </w:r>
    </w:p>
    <w:p w:rsidR="00024C90" w:rsidRDefault="00024C90" w:rsidP="00A40210">
      <w:pPr>
        <w:rPr>
          <w:rtl/>
          <w:lang w:bidi="ar-EG"/>
        </w:rPr>
      </w:pPr>
      <w:r>
        <w:rPr>
          <w:rFonts w:hint="cs"/>
          <w:rtl/>
          <w:lang w:bidi="ar-EG"/>
        </w:rPr>
        <w:t xml:space="preserve">وستشمل الاستراتيجية اللازمة لتعزيز هذه الجهود إنشاء معهد الاتصالات الاتحادي ككيان دستوري قائم بذاته مكلف بتطوير الإذاعة والاتصالات على نحو يتسم بالكفاءة، ويكون مسؤولاً عن تنظيم وتعزيز استعمال وتطوير واستغلال الطيف الراديوي والشبكات والإشراف على ذلك، وتوفير الخدمات الإذاعية والاتصالات فضلاً عن النفاذ إلى البنية التحتية الإلكترونية وغير الإلكترونية وغير ذلك من المدخلات الأساسية. وإضافة إلى ذلك، سيكون </w:t>
      </w:r>
      <w:r w:rsidR="00A40210">
        <w:rPr>
          <w:rFonts w:hint="cs"/>
          <w:rtl/>
          <w:lang w:bidi="ar-EG"/>
        </w:rPr>
        <w:t xml:space="preserve">المعهد </w:t>
      </w:r>
      <w:r>
        <w:rPr>
          <w:rFonts w:hint="cs"/>
          <w:rtl/>
          <w:lang w:bidi="ar-EG"/>
        </w:rPr>
        <w:t xml:space="preserve">السلطة المعنية بوضع لوائح </w:t>
      </w:r>
      <w:r w:rsidR="00A40210">
        <w:rPr>
          <w:rFonts w:hint="cs"/>
          <w:rtl/>
          <w:lang w:bidi="ar-EG"/>
        </w:rPr>
        <w:t xml:space="preserve">متباينة </w:t>
      </w:r>
      <w:r>
        <w:rPr>
          <w:rFonts w:hint="cs"/>
          <w:rtl/>
          <w:lang w:bidi="ar-EG"/>
        </w:rPr>
        <w:t xml:space="preserve">وفرض حدود على </w:t>
      </w:r>
      <w:r w:rsidR="00A40210">
        <w:rPr>
          <w:rFonts w:hint="cs"/>
          <w:rtl/>
          <w:lang w:bidi="ar-EG"/>
        </w:rPr>
        <w:t xml:space="preserve">التركيز على السوق </w:t>
      </w:r>
      <w:r>
        <w:rPr>
          <w:rFonts w:hint="cs"/>
          <w:rtl/>
          <w:lang w:bidi="ar-EG"/>
        </w:rPr>
        <w:t>الوطني</w:t>
      </w:r>
      <w:r w:rsidR="00A40210">
        <w:rPr>
          <w:rFonts w:hint="cs"/>
          <w:rtl/>
          <w:lang w:bidi="ar-EG"/>
        </w:rPr>
        <w:t>ة</w:t>
      </w:r>
      <w:r>
        <w:rPr>
          <w:rFonts w:hint="cs"/>
          <w:rtl/>
          <w:lang w:bidi="ar-EG"/>
        </w:rPr>
        <w:t xml:space="preserve"> والأمر </w:t>
      </w:r>
      <w:r w:rsidR="00A40210">
        <w:rPr>
          <w:rFonts w:hint="cs"/>
          <w:rtl/>
          <w:lang w:bidi="ar-EG"/>
        </w:rPr>
        <w:t xml:space="preserve">بالتخلي عن </w:t>
      </w:r>
      <w:r>
        <w:rPr>
          <w:rFonts w:hint="cs"/>
          <w:rtl/>
          <w:lang w:bidi="ar-EG"/>
        </w:rPr>
        <w:t>الأصول.</w:t>
      </w:r>
    </w:p>
    <w:p w:rsidR="00024C90" w:rsidRPr="00A40210" w:rsidRDefault="00024C90" w:rsidP="00A40210">
      <w:pPr>
        <w:rPr>
          <w:spacing w:val="-4"/>
          <w:rtl/>
          <w:lang w:bidi="ar-EG"/>
        </w:rPr>
      </w:pPr>
      <w:r w:rsidRPr="00A40210">
        <w:rPr>
          <w:rFonts w:hint="cs"/>
          <w:spacing w:val="-4"/>
          <w:rtl/>
          <w:lang w:bidi="ar-EG"/>
        </w:rPr>
        <w:t xml:space="preserve">وفي الوقت نفسه، بغية اجتذاب المزيد من الاستثمارات وتعزيز التوصيلية على المستوى الوطني لتمكين انتشار أوسع لخدمة الاتصالات، يشمل الإصلاح الانفتاح على الاستثمار الأجنبي المباشر لتصل قيمته إلى </w:t>
      </w:r>
      <w:r w:rsidRPr="00A40210">
        <w:rPr>
          <w:spacing w:val="-4"/>
          <w:lang w:bidi="ar-EG"/>
        </w:rPr>
        <w:t>100</w:t>
      </w:r>
      <w:r w:rsidRPr="00A40210">
        <w:rPr>
          <w:rFonts w:hint="cs"/>
          <w:spacing w:val="-4"/>
          <w:rtl/>
          <w:lang w:bidi="ar-EG"/>
        </w:rPr>
        <w:t xml:space="preserve"> بالمائة في مجال الاتصالات </w:t>
      </w:r>
      <w:r w:rsidR="00A40210" w:rsidRPr="00A40210">
        <w:rPr>
          <w:rFonts w:hint="cs"/>
          <w:spacing w:val="-4"/>
          <w:rtl/>
          <w:lang w:bidi="ar-EG"/>
        </w:rPr>
        <w:t xml:space="preserve">بما فيها </w:t>
      </w:r>
      <w:r w:rsidRPr="00A40210">
        <w:rPr>
          <w:rFonts w:hint="cs"/>
          <w:spacing w:val="-4"/>
          <w:rtl/>
          <w:lang w:bidi="ar-EG"/>
        </w:rPr>
        <w:t>الاتصالات الساتلية و</w:t>
      </w:r>
      <w:r w:rsidRPr="00A40210">
        <w:rPr>
          <w:spacing w:val="-4"/>
          <w:lang w:bidi="ar-EG"/>
        </w:rPr>
        <w:t>49</w:t>
      </w:r>
      <w:r w:rsidRPr="00A40210">
        <w:rPr>
          <w:rFonts w:hint="cs"/>
          <w:spacing w:val="-4"/>
          <w:rtl/>
          <w:lang w:bidi="ar-EG"/>
        </w:rPr>
        <w:t xml:space="preserve"> بالمائة في مجال الإذاعة ضمن شروط المعاملة بالمثل، وإنشاء شبكة أساسية قوية للاتصالات توفر تغطية وطنية </w:t>
      </w:r>
      <w:r w:rsidR="00A40210" w:rsidRPr="00A40210">
        <w:rPr>
          <w:rFonts w:hint="cs"/>
          <w:spacing w:val="-4"/>
          <w:rtl/>
          <w:lang w:bidi="ar-EG"/>
        </w:rPr>
        <w:t>وتسمح ب</w:t>
      </w:r>
      <w:r w:rsidRPr="00A40210">
        <w:rPr>
          <w:rFonts w:hint="cs"/>
          <w:spacing w:val="-4"/>
          <w:rtl/>
          <w:lang w:bidi="ar-EG"/>
        </w:rPr>
        <w:t>المنافسة في</w:t>
      </w:r>
      <w:r w:rsidR="00A40210">
        <w:rPr>
          <w:rFonts w:hint="eastAsia"/>
          <w:spacing w:val="-4"/>
          <w:rtl/>
          <w:lang w:bidi="ar-EG"/>
        </w:rPr>
        <w:t> </w:t>
      </w:r>
      <w:r w:rsidRPr="00A40210">
        <w:rPr>
          <w:rFonts w:hint="cs"/>
          <w:spacing w:val="-4"/>
          <w:rtl/>
          <w:lang w:bidi="ar-EG"/>
        </w:rPr>
        <w:t xml:space="preserve">ظل ظروف </w:t>
      </w:r>
      <w:r w:rsidR="00A40210" w:rsidRPr="00A40210">
        <w:rPr>
          <w:rFonts w:hint="cs"/>
          <w:spacing w:val="-4"/>
          <w:rtl/>
          <w:lang w:bidi="ar-EG"/>
        </w:rPr>
        <w:t xml:space="preserve">المساواة </w:t>
      </w:r>
      <w:r w:rsidRPr="00A40210">
        <w:rPr>
          <w:rFonts w:hint="cs"/>
          <w:spacing w:val="-4"/>
          <w:rtl/>
          <w:lang w:bidi="ar-EG"/>
        </w:rPr>
        <w:t xml:space="preserve">من أجل </w:t>
      </w:r>
      <w:r w:rsidR="00A40210" w:rsidRPr="00A40210">
        <w:rPr>
          <w:rFonts w:hint="cs"/>
          <w:spacing w:val="-4"/>
          <w:rtl/>
          <w:lang w:bidi="ar-EG"/>
        </w:rPr>
        <w:t xml:space="preserve">تفادي التأخير </w:t>
      </w:r>
      <w:r w:rsidRPr="00A40210">
        <w:rPr>
          <w:rFonts w:hint="cs"/>
          <w:spacing w:val="-4"/>
          <w:rtl/>
          <w:lang w:bidi="ar-EG"/>
        </w:rPr>
        <w:t xml:space="preserve">وتحقيق التقدم الاقتصادي وضمان تمتع </w:t>
      </w:r>
      <w:r w:rsidR="00A40210" w:rsidRPr="00A40210">
        <w:rPr>
          <w:rFonts w:hint="cs"/>
          <w:spacing w:val="-4"/>
          <w:rtl/>
          <w:lang w:bidi="ar-EG"/>
        </w:rPr>
        <w:t xml:space="preserve">سكان </w:t>
      </w:r>
      <w:r w:rsidRPr="00A40210">
        <w:rPr>
          <w:rFonts w:hint="cs"/>
          <w:spacing w:val="-4"/>
          <w:rtl/>
          <w:lang w:bidi="ar-EG"/>
        </w:rPr>
        <w:t xml:space="preserve">المكسيك بأسعار منخفضة وخدمات أفضل وفقاً </w:t>
      </w:r>
      <w:r w:rsidR="00A40210" w:rsidRPr="00A40210">
        <w:rPr>
          <w:rFonts w:hint="cs"/>
          <w:spacing w:val="-4"/>
          <w:rtl/>
          <w:lang w:bidi="ar-EG"/>
        </w:rPr>
        <w:t xml:space="preserve">لما تقره </w:t>
      </w:r>
      <w:r w:rsidRPr="00A40210">
        <w:rPr>
          <w:rFonts w:hint="cs"/>
          <w:spacing w:val="-4"/>
          <w:rtl/>
          <w:lang w:bidi="ar-EG"/>
        </w:rPr>
        <w:t xml:space="preserve">لجنة النطاق العريض المعنية بالتنمية الرقمية </w:t>
      </w:r>
      <w:r w:rsidR="00A40210" w:rsidRPr="00A40210">
        <w:rPr>
          <w:rFonts w:hint="cs"/>
          <w:spacing w:val="-4"/>
          <w:rtl/>
          <w:lang w:bidi="ar-EG"/>
        </w:rPr>
        <w:t xml:space="preserve">من </w:t>
      </w:r>
      <w:r w:rsidRPr="00A40210">
        <w:rPr>
          <w:rFonts w:hint="cs"/>
          <w:spacing w:val="-4"/>
          <w:rtl/>
          <w:lang w:bidi="ar-EG"/>
        </w:rPr>
        <w:t>أهمية المنافسة في مجال تعزيز الاستثمار.</w:t>
      </w:r>
    </w:p>
    <w:p w:rsidR="00024C90" w:rsidRPr="003A0301" w:rsidRDefault="00024C90" w:rsidP="00A40210">
      <w:pPr>
        <w:pStyle w:val="Headingb"/>
        <w:rPr>
          <w:rtl/>
        </w:rPr>
      </w:pPr>
      <w:r w:rsidRPr="003A0301">
        <w:rPr>
          <w:rFonts w:hint="cs"/>
          <w:noProof/>
          <w:rtl/>
        </w:rPr>
        <w:t>نموذج تعدد أصحاب المصلحة</w:t>
      </w:r>
    </w:p>
    <w:p w:rsidR="00024C90" w:rsidRDefault="00024C90" w:rsidP="003025AC">
      <w:pPr>
        <w:rPr>
          <w:rtl/>
        </w:rPr>
      </w:pPr>
      <w:r>
        <w:rPr>
          <w:rFonts w:hint="cs"/>
          <w:rtl/>
          <w:lang w:bidi="ar-EG"/>
        </w:rPr>
        <w:t>تؤكد الإدارة المكسيكية من جديد اعترافها بنموذج تعدد أصحاب المصلحة بوصفه النموذج العالمي لإدارة الإنترنت المعرف في</w:t>
      </w:r>
      <w:r w:rsidR="003025AC">
        <w:rPr>
          <w:rFonts w:hint="eastAsia"/>
          <w:rtl/>
          <w:lang w:bidi="ar-EG"/>
        </w:rPr>
        <w:t> </w:t>
      </w:r>
      <w:r>
        <w:rPr>
          <w:rFonts w:hint="cs"/>
          <w:rtl/>
          <w:lang w:bidi="ar-EG"/>
        </w:rPr>
        <w:t xml:space="preserve">الفقرة </w:t>
      </w:r>
      <w:r>
        <w:rPr>
          <w:lang w:bidi="ar-EG"/>
        </w:rPr>
        <w:t>34</w:t>
      </w:r>
      <w:r>
        <w:rPr>
          <w:rFonts w:hint="cs"/>
          <w:rtl/>
          <w:lang w:bidi="ar-EG"/>
        </w:rPr>
        <w:t xml:space="preserve"> من برنامج عمل تونس كما يلي: </w:t>
      </w:r>
      <w:r w:rsidRPr="00BD328A">
        <w:rPr>
          <w:rFonts w:hint="cs"/>
          <w:i/>
          <w:iCs/>
          <w:rtl/>
        </w:rPr>
        <w:t>تطوير وتطبيق من جانب الحكومات والقطاع الخاص والمجتمع المدني، كل بحسب دوره، للمبادئ والمعايير والقواعد المشتركة، وإجراءات اتخاذ القرارات ووضع البرامج التي تحدد شكل تطور الإنترنت واستعمالها</w:t>
      </w:r>
      <w:r>
        <w:rPr>
          <w:rFonts w:hint="cs"/>
          <w:rtl/>
        </w:rPr>
        <w:t>.</w:t>
      </w:r>
    </w:p>
    <w:p w:rsidR="00024C90" w:rsidRDefault="00024C90" w:rsidP="003025AC">
      <w:pPr>
        <w:rPr>
          <w:rtl/>
          <w:lang w:bidi="ar-EG"/>
        </w:rPr>
      </w:pPr>
      <w:r>
        <w:rPr>
          <w:rFonts w:hint="cs"/>
          <w:rtl/>
        </w:rPr>
        <w:t xml:space="preserve">وبهذا الصدد، يمكن أن يختلف تنفيذ نموذج تعدد أصحاب المصلحة حسب المنظمات والبلدان المعنية والمتغيرات الأخرى المرتبطة بالمشاكل المحددة في كل حالة. ومع ذلك، يجب أن يسمح النموذج بالمشاركة التامة للحكومات والقطاع الخاص والمجتمع المدني والمنظمات الدولية تمشياً مع أحكام الفقرة </w:t>
      </w:r>
      <w:r>
        <w:t>29</w:t>
      </w:r>
      <w:r>
        <w:rPr>
          <w:rFonts w:hint="cs"/>
          <w:rtl/>
          <w:lang w:bidi="ar-EG"/>
        </w:rPr>
        <w:t xml:space="preserve"> من برنامج عمل تونس.</w:t>
      </w:r>
    </w:p>
    <w:p w:rsidR="00024C90" w:rsidRDefault="00024C90" w:rsidP="003025AC">
      <w:pPr>
        <w:rPr>
          <w:rtl/>
          <w:lang w:bidi="ar-EG"/>
        </w:rPr>
      </w:pPr>
      <w:r>
        <w:rPr>
          <w:rFonts w:hint="cs"/>
          <w:rtl/>
          <w:lang w:bidi="ar-EG"/>
        </w:rPr>
        <w:t xml:space="preserve">ومراعاةً لما سبق، نرى أن من الضروري تعزيز المنظمات ذات الصلة من خلال مواصلة تعزيز تدابير المسؤولية والشفافية </w:t>
      </w:r>
      <w:r w:rsidR="003025AC">
        <w:rPr>
          <w:rFonts w:hint="cs"/>
          <w:rtl/>
          <w:lang w:bidi="ar-EG"/>
        </w:rPr>
        <w:t xml:space="preserve">من خلال </w:t>
      </w:r>
      <w:r>
        <w:rPr>
          <w:rFonts w:hint="cs"/>
          <w:rtl/>
          <w:lang w:bidi="ar-EG"/>
        </w:rPr>
        <w:t xml:space="preserve">نموذج يوحي بالثقة داخل المجتمع الدولي بمشاركة منصفة لجميع الأطراف المهتمة لا سيما الحكومات من أجل </w:t>
      </w:r>
      <w:r w:rsidR="003025AC">
        <w:rPr>
          <w:rFonts w:hint="cs"/>
          <w:rtl/>
          <w:lang w:bidi="ar-EG"/>
        </w:rPr>
        <w:t xml:space="preserve">مواصلة إدارة </w:t>
      </w:r>
      <w:r>
        <w:rPr>
          <w:rFonts w:hint="cs"/>
          <w:rtl/>
          <w:lang w:bidi="ar-EG"/>
        </w:rPr>
        <w:t xml:space="preserve">موارد الإنترنت </w:t>
      </w:r>
      <w:r w:rsidR="003025AC">
        <w:rPr>
          <w:rFonts w:hint="cs"/>
          <w:rtl/>
          <w:lang w:bidi="ar-EG"/>
        </w:rPr>
        <w:t xml:space="preserve">البالغة الأهمية </w:t>
      </w:r>
      <w:r>
        <w:rPr>
          <w:rFonts w:hint="cs"/>
          <w:rtl/>
          <w:lang w:bidi="ar-EG"/>
        </w:rPr>
        <w:t xml:space="preserve">دون إغفال أن مفهوم إدارة الإنترنت يشمل أكثر من مجرد البنية التحتية ويتعلق أيضاً بالقضايا القانونية والاقتصادية والاجتماعية والثقافية والإنمائية على غرار تلك التي تناقش </w:t>
      </w:r>
      <w:r w:rsidR="003025AC">
        <w:rPr>
          <w:rFonts w:hint="cs"/>
          <w:rtl/>
          <w:lang w:bidi="ar-EG"/>
        </w:rPr>
        <w:t xml:space="preserve">عموماً </w:t>
      </w:r>
      <w:r>
        <w:rPr>
          <w:rFonts w:hint="cs"/>
          <w:rtl/>
          <w:lang w:bidi="ar-EG"/>
        </w:rPr>
        <w:t>في منتدى إدارة الإنترنت.</w:t>
      </w:r>
    </w:p>
    <w:p w:rsidR="00024C90" w:rsidRPr="00BB2B29" w:rsidRDefault="00024C90" w:rsidP="00024C90">
      <w:pPr>
        <w:pStyle w:val="Headingb"/>
        <w:rPr>
          <w:b/>
          <w:rtl/>
        </w:rPr>
      </w:pPr>
      <w:r w:rsidRPr="00BB2B29">
        <w:rPr>
          <w:rFonts w:hint="cs"/>
          <w:b/>
          <w:noProof/>
          <w:rtl/>
        </w:rPr>
        <w:t xml:space="preserve">الشبكات القائمة على بروتوكول الإنترنت </w:t>
      </w:r>
      <w:r w:rsidRPr="00BB2B29">
        <w:rPr>
          <w:b/>
          <w:noProof/>
        </w:rPr>
        <w:t>(IP)</w:t>
      </w:r>
      <w:r w:rsidRPr="00BB2B29">
        <w:rPr>
          <w:rFonts w:hint="cs"/>
          <w:b/>
          <w:noProof/>
          <w:rtl/>
        </w:rPr>
        <w:t xml:space="preserve"> وإدارة موارد الإنترنت</w:t>
      </w:r>
    </w:p>
    <w:p w:rsidR="00024C90" w:rsidRDefault="00024C90" w:rsidP="00BB2B29">
      <w:pPr>
        <w:rPr>
          <w:rtl/>
          <w:lang w:bidi="ar-EG"/>
        </w:rPr>
      </w:pPr>
      <w:r>
        <w:rPr>
          <w:rFonts w:hint="cs"/>
          <w:rtl/>
        </w:rPr>
        <w:t xml:space="preserve">تمثل الشبكات الثابتة والمتنقلة </w:t>
      </w:r>
      <w:r w:rsidR="008553B0">
        <w:rPr>
          <w:rFonts w:hint="cs"/>
          <w:rtl/>
        </w:rPr>
        <w:t xml:space="preserve">عريضة النطاق </w:t>
      </w:r>
      <w:r>
        <w:rPr>
          <w:rFonts w:hint="cs"/>
          <w:rtl/>
        </w:rPr>
        <w:t>بنية تحتية أساسية لتوسع الاقتصاد العالمي وبالتالي ينبغي استعمالها على الوجه الأمثل لا سيما عندما يتعلق الأمر بالموارد النادرة مثل طيف التردد الراديوي والمدار المستقر بالنسبة إلى الأرض والمدارات الساتلية، مما</w:t>
      </w:r>
      <w:r w:rsidR="00BB2B29">
        <w:rPr>
          <w:rFonts w:hint="eastAsia"/>
          <w:rtl/>
        </w:rPr>
        <w:t> </w:t>
      </w:r>
      <w:r>
        <w:rPr>
          <w:rFonts w:hint="cs"/>
          <w:rtl/>
        </w:rPr>
        <w:t xml:space="preserve">يدل على أهمية </w:t>
      </w:r>
      <w:r>
        <w:rPr>
          <w:rFonts w:hint="cs"/>
          <w:rtl/>
          <w:lang w:bidi="ar-EG"/>
        </w:rPr>
        <w:t xml:space="preserve">تعزيز تنسيق نطاقات التردد لتحقيق المزيد من وفورات الحجم وضمان النفاذ </w:t>
      </w:r>
      <w:r w:rsidR="008553B0">
        <w:rPr>
          <w:rFonts w:hint="cs"/>
          <w:rtl/>
          <w:lang w:bidi="ar-EG"/>
        </w:rPr>
        <w:t xml:space="preserve">المنصف </w:t>
      </w:r>
      <w:r>
        <w:rPr>
          <w:rFonts w:hint="cs"/>
          <w:rtl/>
          <w:lang w:bidi="ar-EG"/>
        </w:rPr>
        <w:t xml:space="preserve">إلى المدار المستقر بالنسبة إلى الأرض على النحو المنصوص عليه في المادة </w:t>
      </w:r>
      <w:r>
        <w:rPr>
          <w:lang w:bidi="ar-EG"/>
        </w:rPr>
        <w:t>44</w:t>
      </w:r>
      <w:r>
        <w:rPr>
          <w:rFonts w:hint="cs"/>
          <w:rtl/>
          <w:lang w:bidi="ar-EG"/>
        </w:rPr>
        <w:t xml:space="preserve"> من دستور الاتحاد.</w:t>
      </w:r>
    </w:p>
    <w:p w:rsidR="00024C90" w:rsidRPr="008553B0" w:rsidRDefault="00024C90" w:rsidP="008553B0">
      <w:pPr>
        <w:rPr>
          <w:spacing w:val="6"/>
          <w:rtl/>
          <w:lang w:bidi="ar-EG"/>
        </w:rPr>
      </w:pPr>
      <w:r w:rsidRPr="008553B0">
        <w:rPr>
          <w:rFonts w:hint="cs"/>
          <w:spacing w:val="6"/>
          <w:rtl/>
          <w:lang w:bidi="ar-EG"/>
        </w:rPr>
        <w:t xml:space="preserve">ونؤكد أيضاً على ضرورة مواصلة بذل كل جهد ممكن في سبيل تيسير الانتقال من الإصدار الرابع </w:t>
      </w:r>
      <w:r w:rsidR="008553B0" w:rsidRPr="008553B0">
        <w:rPr>
          <w:rFonts w:hint="cs"/>
          <w:spacing w:val="6"/>
          <w:rtl/>
          <w:lang w:bidi="ar-EG"/>
        </w:rPr>
        <w:t>ل</w:t>
      </w:r>
      <w:r w:rsidRPr="008553B0">
        <w:rPr>
          <w:rFonts w:hint="cs"/>
          <w:spacing w:val="6"/>
          <w:rtl/>
          <w:lang w:bidi="ar-EG"/>
        </w:rPr>
        <w:t>بروتوكول الإنترنت إلى الإصدار السادس</w:t>
      </w:r>
      <w:r w:rsidR="008553B0" w:rsidRPr="008553B0">
        <w:rPr>
          <w:rFonts w:hint="cs"/>
          <w:spacing w:val="6"/>
          <w:rtl/>
          <w:lang w:bidi="ar-EG"/>
        </w:rPr>
        <w:t>.</w:t>
      </w:r>
    </w:p>
    <w:p w:rsidR="00024C90" w:rsidRPr="00063914" w:rsidRDefault="00024C90" w:rsidP="00024C90">
      <w:pPr>
        <w:pStyle w:val="Headingb"/>
        <w:rPr>
          <w:rtl/>
        </w:rPr>
      </w:pPr>
      <w:r w:rsidRPr="00063914">
        <w:rPr>
          <w:rFonts w:hint="cs"/>
          <w:noProof/>
          <w:rtl/>
        </w:rPr>
        <w:lastRenderedPageBreak/>
        <w:t xml:space="preserve">قضايا السياسة العامة </w:t>
      </w:r>
      <w:r w:rsidR="007A2BD9">
        <w:rPr>
          <w:rFonts w:hint="cs"/>
          <w:noProof/>
          <w:rtl/>
        </w:rPr>
        <w:t xml:space="preserve">الدولية </w:t>
      </w:r>
      <w:r w:rsidRPr="00063914">
        <w:rPr>
          <w:rFonts w:hint="cs"/>
          <w:noProof/>
          <w:rtl/>
        </w:rPr>
        <w:t>المتصلة بالإنترنت وإدارة موارد الإنترنت</w:t>
      </w:r>
    </w:p>
    <w:p w:rsidR="00024C90" w:rsidRDefault="00024C90" w:rsidP="007A2BD9">
      <w:pPr>
        <w:rPr>
          <w:rtl/>
          <w:lang w:bidi="ar-EG"/>
        </w:rPr>
      </w:pPr>
      <w:r>
        <w:rPr>
          <w:rFonts w:hint="cs"/>
          <w:rtl/>
        </w:rPr>
        <w:t xml:space="preserve">من المسلم به أن </w:t>
      </w:r>
      <w:r w:rsidR="008553B0">
        <w:rPr>
          <w:rFonts w:hint="cs"/>
          <w:rtl/>
        </w:rPr>
        <w:t xml:space="preserve">من بين </w:t>
      </w:r>
      <w:r>
        <w:t>22</w:t>
      </w:r>
      <w:r>
        <w:rPr>
          <w:rFonts w:hint="cs"/>
          <w:rtl/>
          <w:lang w:bidi="ar-EG"/>
        </w:rPr>
        <w:t xml:space="preserve"> اسماً من أسماء ميادين المستوى الأعلى </w:t>
      </w:r>
      <w:r w:rsidR="008553B0">
        <w:rPr>
          <w:rFonts w:hint="cs"/>
          <w:rtl/>
          <w:lang w:bidi="ar-EG"/>
        </w:rPr>
        <w:t xml:space="preserve">العامة </w:t>
      </w:r>
      <w:r>
        <w:rPr>
          <w:lang w:bidi="ar-EG"/>
        </w:rPr>
        <w:t>(gTLD)</w:t>
      </w:r>
      <w:r>
        <w:rPr>
          <w:rFonts w:hint="cs"/>
          <w:rtl/>
          <w:lang w:bidi="ar-EG"/>
        </w:rPr>
        <w:t xml:space="preserve"> </w:t>
      </w:r>
      <w:r w:rsidR="008553B0">
        <w:rPr>
          <w:rFonts w:hint="cs"/>
          <w:rtl/>
          <w:lang w:bidi="ar-EG"/>
        </w:rPr>
        <w:t xml:space="preserve">المستعملة حالياً </w:t>
      </w:r>
      <w:r>
        <w:rPr>
          <w:lang w:bidi="ar-EG"/>
        </w:rPr>
        <w:t>15</w:t>
      </w:r>
      <w:r>
        <w:rPr>
          <w:rFonts w:hint="cs"/>
          <w:rtl/>
          <w:lang w:bidi="ar-EG"/>
        </w:rPr>
        <w:t xml:space="preserve"> منها تديرها كيانات في</w:t>
      </w:r>
      <w:r w:rsidR="008553B0">
        <w:rPr>
          <w:rFonts w:hint="eastAsia"/>
          <w:rtl/>
          <w:lang w:bidi="ar-EG"/>
        </w:rPr>
        <w:t> </w:t>
      </w:r>
      <w:r>
        <w:rPr>
          <w:rFonts w:hint="cs"/>
          <w:rtl/>
          <w:lang w:bidi="ar-EG"/>
        </w:rPr>
        <w:t>أمريكا الشمالية وخمسة تديرها كيانات في أوروبا واسم واحد يديره كيان قائم في منطقة آسيا</w:t>
      </w:r>
      <w:r w:rsidR="007A2BD9">
        <w:rPr>
          <w:rtl/>
          <w:lang w:bidi="ar-EG"/>
        </w:rPr>
        <w:noBreakHyphen/>
      </w:r>
      <w:r>
        <w:rPr>
          <w:rFonts w:hint="cs"/>
          <w:rtl/>
          <w:lang w:bidi="ar-EG"/>
        </w:rPr>
        <w:t xml:space="preserve">المحيط الهادئ. ولا توجد مثل هذه الكيانات في إفريقيا وأمريكا اللاتينية ومنطقة البحر الكاريبي، ويمثل برنامج الأسماء </w:t>
      </w:r>
      <w:r>
        <w:rPr>
          <w:lang w:bidi="ar-EG"/>
        </w:rPr>
        <w:t>gTLD</w:t>
      </w:r>
      <w:r>
        <w:rPr>
          <w:rFonts w:hint="cs"/>
          <w:rtl/>
          <w:lang w:bidi="ar-EG"/>
        </w:rPr>
        <w:t xml:space="preserve"> الجديدة الذي أطلقته مؤسسة الإنترنت للأسماء والأرقام المخصصة </w:t>
      </w:r>
      <w:r>
        <w:rPr>
          <w:lang w:bidi="ar-EG"/>
        </w:rPr>
        <w:t>(ICANN)</w:t>
      </w:r>
      <w:r>
        <w:rPr>
          <w:rFonts w:hint="cs"/>
          <w:rtl/>
          <w:lang w:bidi="ar-EG"/>
        </w:rPr>
        <w:t xml:space="preserve"> فرصة لتحقيق التوازن في مشاركة تلك المناطق التي ليس لها حتى الآن أي كيان </w:t>
      </w:r>
      <w:r w:rsidR="008553B0">
        <w:rPr>
          <w:rFonts w:hint="cs"/>
          <w:rtl/>
          <w:lang w:bidi="ar-EG"/>
        </w:rPr>
        <w:t xml:space="preserve">يدير استعمال </w:t>
      </w:r>
      <w:r>
        <w:rPr>
          <w:rFonts w:hint="cs"/>
          <w:rtl/>
          <w:lang w:bidi="ar-EG"/>
        </w:rPr>
        <w:t xml:space="preserve">أحد الأسماء </w:t>
      </w:r>
      <w:r>
        <w:rPr>
          <w:lang w:bidi="ar-EG"/>
        </w:rPr>
        <w:t>gTLD</w:t>
      </w:r>
      <w:r>
        <w:rPr>
          <w:rFonts w:hint="cs"/>
          <w:rtl/>
          <w:lang w:bidi="ar-EG"/>
        </w:rPr>
        <w:t xml:space="preserve"> ولتعزيز تطوير أفضل للإنترنت في العالم دون إغفال المخاطر التي أشير إليها في تقرير الأمين العام بخصوص أمن نظام أسماء الميادين واستقراره والملكية الفكرية وحماية المستهلك والمنافسة في الأسواق وحماية أسماء المنظمات الحكومية الدولية وأسمائها المختصرة</w:t>
      </w:r>
      <w:r w:rsidR="008553B0">
        <w:rPr>
          <w:rFonts w:hint="cs"/>
          <w:rtl/>
          <w:lang w:bidi="ar-EG"/>
        </w:rPr>
        <w:t>، وكلها أمور تؤكد</w:t>
      </w:r>
      <w:r>
        <w:rPr>
          <w:rFonts w:hint="cs"/>
          <w:rtl/>
          <w:lang w:bidi="ar-EG"/>
        </w:rPr>
        <w:t xml:space="preserve"> أهمية العمل الذي تضطلع به اللجنة الاستشارية الحكومية </w:t>
      </w:r>
      <w:r>
        <w:rPr>
          <w:lang w:bidi="ar-EG"/>
        </w:rPr>
        <w:t>(GAC)</w:t>
      </w:r>
      <w:r>
        <w:rPr>
          <w:rFonts w:hint="cs"/>
          <w:rtl/>
          <w:lang w:bidi="ar-EG"/>
        </w:rPr>
        <w:t xml:space="preserve"> التابعة لمؤسسة </w:t>
      </w:r>
      <w:r>
        <w:rPr>
          <w:lang w:bidi="ar-EG"/>
        </w:rPr>
        <w:t>ICANN</w:t>
      </w:r>
      <w:r>
        <w:rPr>
          <w:rFonts w:hint="cs"/>
          <w:rtl/>
          <w:lang w:bidi="ar-EG"/>
        </w:rPr>
        <w:t>.</w:t>
      </w:r>
    </w:p>
    <w:p w:rsidR="00024C90" w:rsidRDefault="00024C90" w:rsidP="008553B0">
      <w:pPr>
        <w:rPr>
          <w:rtl/>
          <w:lang w:bidi="ar-EG"/>
        </w:rPr>
      </w:pPr>
      <w:r>
        <w:rPr>
          <w:rFonts w:hint="cs"/>
          <w:rtl/>
          <w:lang w:bidi="ar-EG"/>
        </w:rPr>
        <w:t xml:space="preserve">وفيما يتعلق بأسماء ميادين المستوى الأعلى للرمز الدليلي للبلد </w:t>
      </w:r>
      <w:r>
        <w:rPr>
          <w:lang w:bidi="ar-EG"/>
        </w:rPr>
        <w:t>(ccTLD)</w:t>
      </w:r>
      <w:r>
        <w:rPr>
          <w:rFonts w:hint="cs"/>
          <w:rtl/>
          <w:lang w:bidi="ar-EG"/>
        </w:rPr>
        <w:t xml:space="preserve">، نؤكد ما تنص عليه الفقرة </w:t>
      </w:r>
      <w:r>
        <w:rPr>
          <w:lang w:bidi="ar-EG"/>
        </w:rPr>
        <w:t>63</w:t>
      </w:r>
      <w:r>
        <w:rPr>
          <w:rFonts w:hint="cs"/>
          <w:rtl/>
          <w:lang w:bidi="ar-EG"/>
        </w:rPr>
        <w:t xml:space="preserve"> من برنامج عمل تونس أي أن </w:t>
      </w:r>
      <w:r>
        <w:rPr>
          <w:rFonts w:hint="cs"/>
          <w:rtl/>
        </w:rPr>
        <w:t>البلدان</w:t>
      </w:r>
      <w:r>
        <w:rPr>
          <w:rFonts w:hint="cs"/>
          <w:rtl/>
          <w:lang w:bidi="ar-EG"/>
        </w:rPr>
        <w:t xml:space="preserve"> </w:t>
      </w:r>
      <w:r>
        <w:rPr>
          <w:rFonts w:hint="cs"/>
          <w:rtl/>
        </w:rPr>
        <w:t xml:space="preserve">ينبغي ألاّ تشارك في القرارات المتعلقة بأسماء </w:t>
      </w:r>
      <w:r w:rsidR="008553B0">
        <w:rPr>
          <w:rFonts w:hint="cs"/>
          <w:rtl/>
        </w:rPr>
        <w:t xml:space="preserve">الميادين </w:t>
      </w:r>
      <w:r>
        <w:rPr>
          <w:rFonts w:hint="cs"/>
          <w:rtl/>
        </w:rPr>
        <w:t>ذات المستوى الأعلى الخاص ببلد آخر</w:t>
      </w:r>
      <w:r>
        <w:rPr>
          <w:rFonts w:hint="cs"/>
          <w:rtl/>
          <w:lang w:bidi="ar-EG"/>
        </w:rPr>
        <w:t>.</w:t>
      </w:r>
    </w:p>
    <w:p w:rsidR="00B50180" w:rsidRPr="00015E3B" w:rsidRDefault="00024C90" w:rsidP="008553B0">
      <w:pPr>
        <w:rPr>
          <w:lang w:val="en-GB" w:bidi="ar-EG"/>
        </w:rPr>
      </w:pPr>
      <w:r>
        <w:rPr>
          <w:rFonts w:hint="cs"/>
          <w:rtl/>
          <w:lang w:bidi="ar-EG"/>
        </w:rPr>
        <w:t xml:space="preserve">وأخيراً، نعترف </w:t>
      </w:r>
      <w:r w:rsidR="008553B0">
        <w:rPr>
          <w:rFonts w:hint="cs"/>
          <w:rtl/>
          <w:lang w:bidi="ar-EG"/>
        </w:rPr>
        <w:t xml:space="preserve">بالإسهام </w:t>
      </w:r>
      <w:r>
        <w:rPr>
          <w:rFonts w:hint="cs"/>
          <w:rtl/>
          <w:lang w:bidi="ar-EG"/>
        </w:rPr>
        <w:t xml:space="preserve">الكبير </w:t>
      </w:r>
      <w:r w:rsidR="008553B0">
        <w:rPr>
          <w:rFonts w:hint="cs"/>
          <w:rtl/>
          <w:lang w:bidi="ar-EG"/>
        </w:rPr>
        <w:t xml:space="preserve">في التعددية اللغوية </w:t>
      </w:r>
      <w:r>
        <w:rPr>
          <w:rFonts w:hint="cs"/>
          <w:rtl/>
          <w:lang w:bidi="ar-EG"/>
        </w:rPr>
        <w:t xml:space="preserve">من خلال تسهيل استعمال الأحرف غير اللاتينية خاصة في الأسماء </w:t>
      </w:r>
      <w:r>
        <w:rPr>
          <w:lang w:bidi="ar-EG"/>
        </w:rPr>
        <w:t>ccTLD</w:t>
      </w:r>
      <w:r>
        <w:rPr>
          <w:rFonts w:hint="cs"/>
          <w:rtl/>
          <w:lang w:bidi="ar-EG"/>
        </w:rPr>
        <w:t>.</w:t>
      </w:r>
    </w:p>
    <w:p w:rsidR="002919E1" w:rsidRPr="002919E1" w:rsidRDefault="00024C90" w:rsidP="00024C90">
      <w:pPr>
        <w:spacing w:before="600"/>
        <w:jc w:val="center"/>
        <w:rPr>
          <w:noProof/>
          <w:rtl/>
          <w:lang w:bidi="ar-EG"/>
        </w:rPr>
      </w:pPr>
      <w:r>
        <w:rPr>
          <w:rFonts w:hint="cs"/>
          <w:noProof/>
          <w:rtl/>
          <w:lang w:bidi="ar-EG"/>
        </w:rPr>
        <w:t>___________</w:t>
      </w:r>
    </w:p>
    <w:sectPr w:rsidR="002919E1" w:rsidRPr="002919E1" w:rsidSect="004D4AE6">
      <w:headerReference w:type="even" r:id="rId10"/>
      <w:headerReference w:type="default" r:id="rId11"/>
      <w:footerReference w:type="default" r:id="rId12"/>
      <w:footerReference w:type="firs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2E" w:rsidRDefault="00A1112E" w:rsidP="002919E1">
      <w:r>
        <w:separator/>
      </w:r>
    </w:p>
    <w:p w:rsidR="00A1112E" w:rsidRDefault="00A1112E" w:rsidP="002919E1"/>
    <w:p w:rsidR="00A1112E" w:rsidRDefault="00A1112E" w:rsidP="002919E1"/>
    <w:p w:rsidR="00A1112E" w:rsidRDefault="00A1112E"/>
  </w:endnote>
  <w:endnote w:type="continuationSeparator" w:id="0">
    <w:p w:rsidR="00A1112E" w:rsidRDefault="00A1112E" w:rsidP="002919E1">
      <w:r>
        <w:continuationSeparator/>
      </w:r>
    </w:p>
    <w:p w:rsidR="00A1112E" w:rsidRDefault="00A1112E" w:rsidP="002919E1"/>
    <w:p w:rsidR="00A1112E" w:rsidRDefault="00A1112E" w:rsidP="002919E1"/>
    <w:p w:rsidR="00A1112E" w:rsidRDefault="00A11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8E0CBE">
    <w:pPr>
      <w:pStyle w:val="Footer"/>
      <w:tabs>
        <w:tab w:val="clear" w:pos="1871"/>
        <w:tab w:val="clear" w:pos="2268"/>
        <w:tab w:val="clear" w:pos="5812"/>
        <w:tab w:val="left" w:pos="5670"/>
      </w:tabs>
    </w:pPr>
    <w:r w:rsidRPr="00CB4300">
      <w:fldChar w:fldCharType="begin"/>
    </w:r>
    <w:r w:rsidRPr="00336C1A">
      <w:instrText xml:space="preserve"> FILENAME \p \* MERGEFORMAT </w:instrText>
    </w:r>
    <w:r w:rsidRPr="00CB4300">
      <w:fldChar w:fldCharType="separate"/>
    </w:r>
    <w:r w:rsidR="009367EB">
      <w:rPr>
        <w:noProof/>
      </w:rPr>
      <w:t>P:\ARA\SG\CONF-SG\WTPF13\000\010A.docx</w:t>
    </w:r>
    <w:r w:rsidRPr="00CB4300">
      <w:fldChar w:fldCharType="end"/>
    </w:r>
    <w:r w:rsidRPr="00336C1A">
      <w:t xml:space="preserve"> </w:t>
    </w:r>
    <w:r w:rsidR="008E0CBE">
      <w:t xml:space="preserve"> </w:t>
    </w:r>
    <w:r w:rsidRPr="00336C1A">
      <w:t xml:space="preserve"> (</w:t>
    </w:r>
    <w:r w:rsidR="008E0CBE">
      <w:t>343657</w:t>
    </w:r>
    <w:r w:rsidRPr="00336C1A">
      <w:t>)</w:t>
    </w:r>
    <w:r w:rsidRPr="00336C1A">
      <w:tab/>
    </w:r>
    <w:r w:rsidRPr="00CB4300">
      <w:fldChar w:fldCharType="begin"/>
    </w:r>
    <w:r w:rsidRPr="00CB4300">
      <w:instrText xml:space="preserve"> savedate \@ dd.MM.yy </w:instrText>
    </w:r>
    <w:r w:rsidRPr="00CB4300">
      <w:fldChar w:fldCharType="separate"/>
    </w:r>
    <w:r w:rsidR="00B76613">
      <w:rPr>
        <w:noProof/>
      </w:rPr>
      <w:t>08.05.13</w:t>
    </w:r>
    <w:r w:rsidRPr="00CB4300">
      <w:fldChar w:fldCharType="end"/>
    </w:r>
    <w:r w:rsidRPr="00336C1A">
      <w:tab/>
    </w:r>
    <w:r w:rsidRPr="00CB4300">
      <w:fldChar w:fldCharType="begin"/>
    </w:r>
    <w:r w:rsidRPr="00CB4300">
      <w:instrText xml:space="preserve"> printdate \@ dd.MM.yy </w:instrText>
    </w:r>
    <w:r w:rsidRPr="00CB4300">
      <w:fldChar w:fldCharType="separate"/>
    </w:r>
    <w:r w:rsidR="009367EB">
      <w:rPr>
        <w:noProof/>
      </w:rPr>
      <w:t>08.05.13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336C1A" w:rsidRDefault="002D28A9" w:rsidP="008E0CBE">
    <w:pPr>
      <w:pStyle w:val="Footer"/>
      <w:tabs>
        <w:tab w:val="clear" w:pos="1134"/>
        <w:tab w:val="clear" w:pos="1871"/>
        <w:tab w:val="clear" w:pos="2268"/>
        <w:tab w:val="clear" w:pos="5812"/>
        <w:tab w:val="left" w:pos="5670"/>
      </w:tabs>
    </w:pPr>
    <w:r>
      <w:fldChar w:fldCharType="begin"/>
    </w:r>
    <w:r w:rsidRPr="00336C1A">
      <w:instrText xml:space="preserve"> FILENAME \p \* MERGEFORMAT </w:instrText>
    </w:r>
    <w:r>
      <w:fldChar w:fldCharType="separate"/>
    </w:r>
    <w:r w:rsidR="009367EB">
      <w:rPr>
        <w:noProof/>
      </w:rPr>
      <w:t>P:\ARA\SG\CONF-SG\WTPF13\000\010A.docx</w:t>
    </w:r>
    <w:r>
      <w:fldChar w:fldCharType="end"/>
    </w:r>
    <w:r w:rsidRPr="00336C1A">
      <w:t xml:space="preserve">   (</w:t>
    </w:r>
    <w:r w:rsidR="008E0CBE">
      <w:t>343657</w:t>
    </w:r>
    <w:r w:rsidRPr="00336C1A">
      <w:t>)</w:t>
    </w:r>
    <w:r w:rsidRPr="00336C1A">
      <w:tab/>
    </w:r>
    <w:r w:rsidRPr="00B12661">
      <w:fldChar w:fldCharType="begin"/>
    </w:r>
    <w:r w:rsidRPr="00B12661">
      <w:instrText xml:space="preserve"> savedate \@ dd.MM.yy </w:instrText>
    </w:r>
    <w:r w:rsidRPr="00B12661">
      <w:fldChar w:fldCharType="separate"/>
    </w:r>
    <w:r w:rsidR="00B76613">
      <w:rPr>
        <w:noProof/>
      </w:rPr>
      <w:t>08.05.13</w:t>
    </w:r>
    <w:r w:rsidRPr="00B12661">
      <w:fldChar w:fldCharType="end"/>
    </w:r>
    <w:r w:rsidRPr="00336C1A">
      <w:tab/>
    </w:r>
    <w:r w:rsidRPr="00B12661">
      <w:fldChar w:fldCharType="begin"/>
    </w:r>
    <w:r w:rsidRPr="00B12661">
      <w:instrText xml:space="preserve"> printdate \@ dd.MM.yy </w:instrText>
    </w:r>
    <w:r w:rsidRPr="00B12661">
      <w:fldChar w:fldCharType="separate"/>
    </w:r>
    <w:r w:rsidR="009367EB">
      <w:rPr>
        <w:noProof/>
      </w:rPr>
      <w:t>08.05.13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2E" w:rsidRDefault="00A1112E" w:rsidP="002919E1">
      <w:r>
        <w:t>___________________</w:t>
      </w:r>
    </w:p>
  </w:footnote>
  <w:footnote w:type="continuationSeparator" w:id="0">
    <w:p w:rsidR="00A1112E" w:rsidRDefault="00A1112E" w:rsidP="002919E1">
      <w:r>
        <w:continuationSeparator/>
      </w:r>
    </w:p>
    <w:p w:rsidR="00A1112E" w:rsidRDefault="00A1112E" w:rsidP="002919E1"/>
    <w:p w:rsidR="00A1112E" w:rsidRDefault="00A1112E" w:rsidP="002919E1"/>
    <w:p w:rsidR="00A1112E" w:rsidRDefault="00A111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Default="002D28A9" w:rsidP="002919E1"/>
  <w:p w:rsidR="002D28A9" w:rsidRDefault="002D28A9" w:rsidP="002919E1"/>
  <w:p w:rsidR="002D28A9" w:rsidRDefault="002D28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8A9" w:rsidRPr="0088384B" w:rsidRDefault="002D28A9" w:rsidP="008E0CBE">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23A0D">
      <w:rPr>
        <w:rStyle w:val="PageNumber"/>
        <w:noProof/>
      </w:rPr>
      <w:t>2</w:t>
    </w:r>
    <w:r w:rsidRPr="0088384B">
      <w:rPr>
        <w:rStyle w:val="PageNumber"/>
      </w:rPr>
      <w:fldChar w:fldCharType="end"/>
    </w:r>
    <w:r>
      <w:rPr>
        <w:rStyle w:val="PageNumber"/>
        <w:rtl/>
      </w:rPr>
      <w:br/>
    </w:r>
    <w:r w:rsidR="00015E3B">
      <w:rPr>
        <w:rStyle w:val="PageNumber"/>
      </w:rPr>
      <w:t>WTPF13</w:t>
    </w:r>
    <w:r w:rsidRPr="0088384B">
      <w:rPr>
        <w:rStyle w:val="PageNumber"/>
      </w:rPr>
      <w:t>/</w:t>
    </w:r>
    <w:r w:rsidR="008E0CBE">
      <w:rPr>
        <w:rStyle w:val="PageNumber"/>
      </w:rPr>
      <w:t>10</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C79A10EA"/>
    <w:lvl w:ilvl="0">
      <w:start w:val="1"/>
      <w:numFmt w:val="decimal"/>
      <w:lvlText w:val="%1."/>
      <w:lvlJc w:val="left"/>
      <w:pPr>
        <w:tabs>
          <w:tab w:val="num" w:pos="926"/>
        </w:tabs>
        <w:ind w:left="926" w:hanging="360"/>
      </w:pPr>
    </w:lvl>
  </w:abstractNum>
  <w:abstractNum w:abstractNumId="3">
    <w:nsid w:val="FFFFFF7F"/>
    <w:multiLevelType w:val="singleLevel"/>
    <w:tmpl w:val="40009634"/>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A6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F45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B08B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2E"/>
    <w:rsid w:val="00011021"/>
    <w:rsid w:val="000114EC"/>
    <w:rsid w:val="00011F8C"/>
    <w:rsid w:val="00015E3B"/>
    <w:rsid w:val="00024C90"/>
    <w:rsid w:val="00040C94"/>
    <w:rsid w:val="000425FC"/>
    <w:rsid w:val="00044D43"/>
    <w:rsid w:val="00051907"/>
    <w:rsid w:val="00072A32"/>
    <w:rsid w:val="00075A3F"/>
    <w:rsid w:val="000A1B16"/>
    <w:rsid w:val="000B1219"/>
    <w:rsid w:val="000B324F"/>
    <w:rsid w:val="000B5404"/>
    <w:rsid w:val="000D1708"/>
    <w:rsid w:val="000E2AFC"/>
    <w:rsid w:val="000E6D30"/>
    <w:rsid w:val="000F05F5"/>
    <w:rsid w:val="000F518F"/>
    <w:rsid w:val="0010081C"/>
    <w:rsid w:val="001013E3"/>
    <w:rsid w:val="00123A0D"/>
    <w:rsid w:val="00140B00"/>
    <w:rsid w:val="001464F2"/>
    <w:rsid w:val="00167364"/>
    <w:rsid w:val="001903B2"/>
    <w:rsid w:val="001E190C"/>
    <w:rsid w:val="001E54F6"/>
    <w:rsid w:val="001E5A8C"/>
    <w:rsid w:val="00201A0A"/>
    <w:rsid w:val="002075D4"/>
    <w:rsid w:val="00211B2A"/>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6D8"/>
    <w:rsid w:val="002D0D6E"/>
    <w:rsid w:val="002D28A9"/>
    <w:rsid w:val="002D5F64"/>
    <w:rsid w:val="002D6FBF"/>
    <w:rsid w:val="002E48BF"/>
    <w:rsid w:val="002E61C2"/>
    <w:rsid w:val="002F589D"/>
    <w:rsid w:val="003025AC"/>
    <w:rsid w:val="00336C1A"/>
    <w:rsid w:val="003569E1"/>
    <w:rsid w:val="003815E2"/>
    <w:rsid w:val="00381FAD"/>
    <w:rsid w:val="003923B1"/>
    <w:rsid w:val="003965FE"/>
    <w:rsid w:val="003B27AD"/>
    <w:rsid w:val="003B4F23"/>
    <w:rsid w:val="003C12F6"/>
    <w:rsid w:val="003C3A13"/>
    <w:rsid w:val="003E02EF"/>
    <w:rsid w:val="003E1D90"/>
    <w:rsid w:val="00400CD4"/>
    <w:rsid w:val="00402947"/>
    <w:rsid w:val="00407E3A"/>
    <w:rsid w:val="004147B9"/>
    <w:rsid w:val="00422C04"/>
    <w:rsid w:val="00426144"/>
    <w:rsid w:val="00457118"/>
    <w:rsid w:val="00470CBD"/>
    <w:rsid w:val="004909DD"/>
    <w:rsid w:val="004A05E6"/>
    <w:rsid w:val="004A34A8"/>
    <w:rsid w:val="004A6C66"/>
    <w:rsid w:val="004A7AA0"/>
    <w:rsid w:val="004C11BC"/>
    <w:rsid w:val="004D4AE6"/>
    <w:rsid w:val="004E501D"/>
    <w:rsid w:val="004E6F65"/>
    <w:rsid w:val="004F1F4D"/>
    <w:rsid w:val="00505FCA"/>
    <w:rsid w:val="005169F4"/>
    <w:rsid w:val="005210D1"/>
    <w:rsid w:val="00523146"/>
    <w:rsid w:val="00523275"/>
    <w:rsid w:val="00531DC7"/>
    <w:rsid w:val="005350B0"/>
    <w:rsid w:val="00535432"/>
    <w:rsid w:val="00546A99"/>
    <w:rsid w:val="00553411"/>
    <w:rsid w:val="00564746"/>
    <w:rsid w:val="0056512C"/>
    <w:rsid w:val="00576D0A"/>
    <w:rsid w:val="00584333"/>
    <w:rsid w:val="005953EC"/>
    <w:rsid w:val="005A4E5A"/>
    <w:rsid w:val="005B00A1"/>
    <w:rsid w:val="005C29C8"/>
    <w:rsid w:val="005C5D25"/>
    <w:rsid w:val="005D72A4"/>
    <w:rsid w:val="005F05CC"/>
    <w:rsid w:val="005F65DE"/>
    <w:rsid w:val="006315B5"/>
    <w:rsid w:val="0065562F"/>
    <w:rsid w:val="00674951"/>
    <w:rsid w:val="00680A66"/>
    <w:rsid w:val="00681391"/>
    <w:rsid w:val="006A12AC"/>
    <w:rsid w:val="006A2162"/>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71F7E"/>
    <w:rsid w:val="00773E9C"/>
    <w:rsid w:val="00776F6B"/>
    <w:rsid w:val="00777694"/>
    <w:rsid w:val="00786A7E"/>
    <w:rsid w:val="007A0802"/>
    <w:rsid w:val="007A2BD9"/>
    <w:rsid w:val="007B1FCA"/>
    <w:rsid w:val="007C2C12"/>
    <w:rsid w:val="007C3CFA"/>
    <w:rsid w:val="007E0E8B"/>
    <w:rsid w:val="007F08CA"/>
    <w:rsid w:val="007F7FC3"/>
    <w:rsid w:val="00800BB8"/>
    <w:rsid w:val="00810482"/>
    <w:rsid w:val="008123A7"/>
    <w:rsid w:val="00817568"/>
    <w:rsid w:val="008204AC"/>
    <w:rsid w:val="008261C2"/>
    <w:rsid w:val="00830D96"/>
    <w:rsid w:val="008417E8"/>
    <w:rsid w:val="008553B0"/>
    <w:rsid w:val="0085569D"/>
    <w:rsid w:val="00855B59"/>
    <w:rsid w:val="00857D84"/>
    <w:rsid w:val="008657CB"/>
    <w:rsid w:val="0088384B"/>
    <w:rsid w:val="00893E53"/>
    <w:rsid w:val="008A1137"/>
    <w:rsid w:val="008A1788"/>
    <w:rsid w:val="008A4185"/>
    <w:rsid w:val="008A6552"/>
    <w:rsid w:val="008B4E93"/>
    <w:rsid w:val="008D6ACC"/>
    <w:rsid w:val="008D7AF0"/>
    <w:rsid w:val="008E0CBE"/>
    <w:rsid w:val="008E32DD"/>
    <w:rsid w:val="008F4626"/>
    <w:rsid w:val="009004DF"/>
    <w:rsid w:val="00904AA5"/>
    <w:rsid w:val="009367EB"/>
    <w:rsid w:val="00951718"/>
    <w:rsid w:val="00960962"/>
    <w:rsid w:val="00972CE0"/>
    <w:rsid w:val="009A3D30"/>
    <w:rsid w:val="009D6348"/>
    <w:rsid w:val="009E613F"/>
    <w:rsid w:val="009F042B"/>
    <w:rsid w:val="00A03FD6"/>
    <w:rsid w:val="00A10369"/>
    <w:rsid w:val="00A1112E"/>
    <w:rsid w:val="00A116A8"/>
    <w:rsid w:val="00A22AE9"/>
    <w:rsid w:val="00A26758"/>
    <w:rsid w:val="00A26D0E"/>
    <w:rsid w:val="00A278E9"/>
    <w:rsid w:val="00A3451F"/>
    <w:rsid w:val="00A36268"/>
    <w:rsid w:val="00A40210"/>
    <w:rsid w:val="00A40B2C"/>
    <w:rsid w:val="00A66D2B"/>
    <w:rsid w:val="00A66EAD"/>
    <w:rsid w:val="00A870AD"/>
    <w:rsid w:val="00A9645C"/>
    <w:rsid w:val="00AB2A33"/>
    <w:rsid w:val="00AC1275"/>
    <w:rsid w:val="00AC7395"/>
    <w:rsid w:val="00AD690F"/>
    <w:rsid w:val="00AD69DD"/>
    <w:rsid w:val="00AE40DC"/>
    <w:rsid w:val="00AF41D1"/>
    <w:rsid w:val="00B01623"/>
    <w:rsid w:val="00B033DF"/>
    <w:rsid w:val="00B07CEE"/>
    <w:rsid w:val="00B12661"/>
    <w:rsid w:val="00B1714C"/>
    <w:rsid w:val="00B357E9"/>
    <w:rsid w:val="00B4164D"/>
    <w:rsid w:val="00B425C1"/>
    <w:rsid w:val="00B50180"/>
    <w:rsid w:val="00B5251C"/>
    <w:rsid w:val="00B606BA"/>
    <w:rsid w:val="00B66817"/>
    <w:rsid w:val="00B71E3B"/>
    <w:rsid w:val="00B721D5"/>
    <w:rsid w:val="00B76613"/>
    <w:rsid w:val="00B81CB5"/>
    <w:rsid w:val="00B8351F"/>
    <w:rsid w:val="00B86C44"/>
    <w:rsid w:val="00BA7D44"/>
    <w:rsid w:val="00BB2B29"/>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30B67"/>
    <w:rsid w:val="00D419CB"/>
    <w:rsid w:val="00D44E3F"/>
    <w:rsid w:val="00D525F5"/>
    <w:rsid w:val="00D535D0"/>
    <w:rsid w:val="00D81703"/>
    <w:rsid w:val="00D82929"/>
    <w:rsid w:val="00D84214"/>
    <w:rsid w:val="00D943E5"/>
    <w:rsid w:val="00DA1AE0"/>
    <w:rsid w:val="00DC29DD"/>
    <w:rsid w:val="00DC7C0E"/>
    <w:rsid w:val="00DD2837"/>
    <w:rsid w:val="00DF2A6A"/>
    <w:rsid w:val="00DF3B72"/>
    <w:rsid w:val="00E22C9B"/>
    <w:rsid w:val="00E2489D"/>
    <w:rsid w:val="00E26520"/>
    <w:rsid w:val="00E343A3"/>
    <w:rsid w:val="00E51BFA"/>
    <w:rsid w:val="00E621A3"/>
    <w:rsid w:val="00E833BC"/>
    <w:rsid w:val="00E8580E"/>
    <w:rsid w:val="00EA1B76"/>
    <w:rsid w:val="00EA77D7"/>
    <w:rsid w:val="00EC09B9"/>
    <w:rsid w:val="00ED048C"/>
    <w:rsid w:val="00EF38AF"/>
    <w:rsid w:val="00EF71BA"/>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620"/>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0D6E"/>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lang w:bidi="ar-EG"/>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AE40DC"/>
    <w:pPr>
      <w:keepNext/>
      <w:keepLines/>
      <w:spacing w:before="180"/>
      <w:ind w:left="1134"/>
    </w:pPr>
    <w:rPr>
      <w:i/>
      <w:iCs/>
    </w:rPr>
  </w:style>
  <w:style w:type="character" w:customStyle="1" w:styleId="CallChar">
    <w:name w:val="Call Char"/>
    <w:basedOn w:val="DefaultParagraphFont"/>
    <w:link w:val="Call"/>
    <w:locked/>
    <w:rsid w:val="00AE40DC"/>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AE40DC"/>
    <w:pPr>
      <w:spacing w:before="80"/>
      <w:ind w:left="1134" w:hanging="1134"/>
    </w:pPr>
  </w:style>
  <w:style w:type="character" w:customStyle="1" w:styleId="enumlev1Char">
    <w:name w:val="enumlev1 Char"/>
    <w:basedOn w:val="DefaultParagraphFont"/>
    <w:link w:val="enumlev1"/>
    <w:rsid w:val="00AE40DC"/>
    <w:rPr>
      <w:rFonts w:asciiTheme="minorHAnsi" w:hAnsiTheme="minorHAnsi" w:cs="Traditional Arabic"/>
      <w:sz w:val="22"/>
      <w:szCs w:val="30"/>
      <w:lang w:eastAsia="en-US"/>
    </w:rPr>
  </w:style>
  <w:style w:type="paragraph" w:customStyle="1" w:styleId="enumlev2">
    <w:name w:val="enumlev2"/>
    <w:basedOn w:val="enumlev1"/>
    <w:next w:val="Normal"/>
    <w:link w:val="enumlev2Char"/>
    <w:qFormat/>
    <w:rsid w:val="00AE40DC"/>
    <w:pPr>
      <w:ind w:left="1871" w:hanging="737"/>
    </w:pPr>
  </w:style>
  <w:style w:type="character" w:customStyle="1" w:styleId="enumlev2Char">
    <w:name w:val="enumlev2 Char"/>
    <w:basedOn w:val="enumlev1Char"/>
    <w:link w:val="enumlev2"/>
    <w:rsid w:val="00AE40DC"/>
    <w:rPr>
      <w:rFonts w:asciiTheme="minorHAnsi" w:hAnsiTheme="minorHAnsi" w:cs="Traditional Arabic"/>
      <w:sz w:val="22"/>
      <w:szCs w:val="30"/>
      <w:lang w:eastAsia="en-US"/>
    </w:rPr>
  </w:style>
  <w:style w:type="paragraph" w:customStyle="1" w:styleId="enumlev3">
    <w:name w:val="enumlev3"/>
    <w:basedOn w:val="enumlev2"/>
    <w:next w:val="Normal"/>
    <w:link w:val="enumlev3Char"/>
    <w:qFormat/>
    <w:rsid w:val="00AE40DC"/>
    <w:pPr>
      <w:tabs>
        <w:tab w:val="clear" w:pos="1134"/>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WTPF13\WTPF13_A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C350B-93C7-4A81-9CB7-59088041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WTPF13_A_Template.dotm</Template>
  <TotalTime>82</TotalTime>
  <Pages>3</Pages>
  <Words>967</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Riz, Imad</dc:creator>
  <cp:keywords>WCIT12</cp:keywords>
  <cp:lastModifiedBy>Riz, Imad </cp:lastModifiedBy>
  <cp:revision>13</cp:revision>
  <cp:lastPrinted>2013-05-08T16:04:00Z</cp:lastPrinted>
  <dcterms:created xsi:type="dcterms:W3CDTF">2013-05-08T15:35:00Z</dcterms:created>
  <dcterms:modified xsi:type="dcterms:W3CDTF">2013-05-09T07:48:00Z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