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4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2"/>
        <w:gridCol w:w="3593"/>
      </w:tblGrid>
      <w:tr w:rsidR="000F4E2F" w:rsidRPr="00272688" w:rsidTr="00D13E53">
        <w:tc>
          <w:tcPr>
            <w:tcW w:w="9855" w:type="dxa"/>
            <w:gridSpan w:val="2"/>
            <w:hideMark/>
          </w:tcPr>
          <w:p w:rsidR="000F4E2F" w:rsidRPr="00272688" w:rsidRDefault="000F4E2F" w:rsidP="00D13E53">
            <w:pPr>
              <w:tabs>
                <w:tab w:val="left" w:pos="567"/>
                <w:tab w:val="left" w:pos="709"/>
                <w:tab w:val="left" w:pos="1134"/>
                <w:tab w:val="left" w:pos="1701"/>
                <w:tab w:val="left" w:pos="2268"/>
                <w:tab w:val="left" w:pos="2835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72688">
              <w:rPr>
                <w:noProof/>
                <w:lang w:val="en-US" w:eastAsia="zh-CN"/>
              </w:rPr>
              <w:drawing>
                <wp:inline distT="0" distB="0" distL="0" distR="0" wp14:anchorId="662684E8" wp14:editId="6EC59DA8">
                  <wp:extent cx="6120765" cy="96393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4E2F" w:rsidRPr="00272688" w:rsidTr="00D13E53">
        <w:tc>
          <w:tcPr>
            <w:tcW w:w="9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F4E2F" w:rsidRPr="00272688" w:rsidRDefault="000F4E2F" w:rsidP="00D13E53">
            <w:pPr>
              <w:pStyle w:val="Header"/>
              <w:tabs>
                <w:tab w:val="left" w:pos="284"/>
              </w:tabs>
              <w:spacing w:before="60" w:line="360" w:lineRule="auto"/>
              <w:ind w:left="284"/>
              <w:jc w:val="left"/>
              <w:rPr>
                <w:lang w:val="ru-RU"/>
              </w:rPr>
            </w:pPr>
            <w:r w:rsidRPr="00272688">
              <w:rPr>
                <w:sz w:val="28"/>
                <w:szCs w:val="28"/>
                <w:lang w:val="ru-RU"/>
              </w:rPr>
              <w:t>Женева, 14−16 мая 2013 г.</w:t>
            </w:r>
          </w:p>
        </w:tc>
      </w:tr>
      <w:tr w:rsidR="000F4E2F" w:rsidRPr="00272688" w:rsidTr="00D13E53">
        <w:tc>
          <w:tcPr>
            <w:tcW w:w="6262" w:type="dxa"/>
            <w:tcBorders>
              <w:top w:val="single" w:sz="12" w:space="0" w:color="auto"/>
              <w:left w:val="nil"/>
              <w:right w:val="nil"/>
            </w:tcBorders>
            <w:hideMark/>
          </w:tcPr>
          <w:p w:rsidR="000F4E2F" w:rsidRPr="00272688" w:rsidRDefault="000F4E2F" w:rsidP="00D13E53">
            <w:pPr>
              <w:overflowPunct/>
              <w:autoSpaceDE/>
              <w:autoSpaceDN/>
              <w:adjustRightInd/>
              <w:spacing w:before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3593" w:type="dxa"/>
            <w:tcBorders>
              <w:top w:val="single" w:sz="12" w:space="0" w:color="auto"/>
              <w:left w:val="nil"/>
              <w:right w:val="nil"/>
            </w:tcBorders>
          </w:tcPr>
          <w:p w:rsidR="000F4E2F" w:rsidRPr="00272688" w:rsidRDefault="000F4E2F" w:rsidP="00C7599E">
            <w:pPr>
              <w:pStyle w:val="Header"/>
              <w:tabs>
                <w:tab w:val="left" w:pos="6521"/>
              </w:tabs>
              <w:spacing w:before="120"/>
              <w:jc w:val="left"/>
              <w:rPr>
                <w:b/>
                <w:bCs/>
                <w:sz w:val="22"/>
                <w:lang w:val="ru-RU"/>
              </w:rPr>
            </w:pPr>
            <w:r w:rsidRPr="00272688">
              <w:rPr>
                <w:b/>
                <w:bCs/>
                <w:sz w:val="22"/>
                <w:lang w:val="ru-RU"/>
              </w:rPr>
              <w:t>Документ WTPF-13/</w:t>
            </w:r>
            <w:r>
              <w:rPr>
                <w:b/>
                <w:bCs/>
                <w:sz w:val="22"/>
                <w:lang w:val="en-US"/>
              </w:rPr>
              <w:t>DT</w:t>
            </w:r>
            <w:r w:rsidRPr="0063424C">
              <w:rPr>
                <w:b/>
                <w:bCs/>
                <w:sz w:val="22"/>
                <w:lang w:val="ru-RU"/>
              </w:rPr>
              <w:t>/</w:t>
            </w:r>
            <w:r w:rsidR="00C7599E" w:rsidRPr="0063424C">
              <w:rPr>
                <w:b/>
                <w:bCs/>
                <w:sz w:val="22"/>
                <w:lang w:val="ru-RU"/>
              </w:rPr>
              <w:t>2</w:t>
            </w:r>
            <w:r w:rsidRPr="00272688">
              <w:rPr>
                <w:b/>
                <w:bCs/>
                <w:sz w:val="22"/>
                <w:lang w:val="ru-RU"/>
              </w:rPr>
              <w:t>-R</w:t>
            </w:r>
            <w:r w:rsidRPr="00272688">
              <w:rPr>
                <w:b/>
                <w:bCs/>
                <w:sz w:val="22"/>
                <w:lang w:val="ru-RU"/>
              </w:rPr>
              <w:br/>
            </w:r>
            <w:r>
              <w:rPr>
                <w:b/>
                <w:bCs/>
                <w:sz w:val="22"/>
                <w:lang w:val="ru-RU"/>
              </w:rPr>
              <w:t>1</w:t>
            </w:r>
            <w:r w:rsidRPr="0063424C">
              <w:rPr>
                <w:b/>
                <w:bCs/>
                <w:sz w:val="22"/>
                <w:lang w:val="ru-RU"/>
              </w:rPr>
              <w:t>4</w:t>
            </w:r>
            <w:r w:rsidRPr="00272688">
              <w:rPr>
                <w:b/>
                <w:bCs/>
                <w:sz w:val="22"/>
                <w:lang w:val="ru-RU"/>
              </w:rPr>
              <w:t xml:space="preserve"> мая 2013 года</w:t>
            </w:r>
            <w:r w:rsidRPr="00272688">
              <w:rPr>
                <w:b/>
                <w:bCs/>
                <w:sz w:val="22"/>
                <w:lang w:val="ru-RU"/>
              </w:rPr>
              <w:br/>
              <w:t>Оригинал: английский</w:t>
            </w:r>
          </w:p>
        </w:tc>
      </w:tr>
    </w:tbl>
    <w:p w:rsidR="00C7599E" w:rsidRPr="0037593B" w:rsidRDefault="00C7599E" w:rsidP="00C7599E">
      <w:pPr>
        <w:pStyle w:val="ResNo"/>
      </w:pPr>
      <w:r w:rsidRPr="0050241D">
        <w:t>ПРОЕКТ МНЕНИЯ</w:t>
      </w:r>
      <w:r w:rsidRPr="0063424C">
        <w:t xml:space="preserve"> 2</w:t>
      </w:r>
    </w:p>
    <w:p w:rsidR="00C7599E" w:rsidRPr="00ED3408" w:rsidRDefault="00C7599E" w:rsidP="00C7599E">
      <w:pPr>
        <w:pStyle w:val="Restitle"/>
      </w:pPr>
      <w:r w:rsidRPr="00ED3408">
        <w:t xml:space="preserve">Обеспечение благоприятной среды для более активного роста </w:t>
      </w:r>
      <w:r>
        <w:br/>
      </w:r>
      <w:r w:rsidRPr="00ED3408">
        <w:t>и раз</w:t>
      </w:r>
      <w:r>
        <w:t>вития широкополосных соединений</w:t>
      </w:r>
    </w:p>
    <w:p w:rsidR="00C7599E" w:rsidRPr="00ED3408" w:rsidRDefault="00C7599E" w:rsidP="00C7599E">
      <w:pPr>
        <w:pStyle w:val="Normalaftertitle"/>
      </w:pPr>
      <w:r w:rsidRPr="00ED3408">
        <w:t>Пятый Всемирный форум по политике в области электросвязи/ИКТ (Женева, 2013 г.),</w:t>
      </w:r>
    </w:p>
    <w:p w:rsidR="00C7599E" w:rsidRPr="00ED3408" w:rsidRDefault="00C7599E" w:rsidP="00C7599E">
      <w:pPr>
        <w:pStyle w:val="Call"/>
      </w:pPr>
      <w:r w:rsidRPr="00ED3408">
        <w:t>напоминая</w:t>
      </w:r>
    </w:p>
    <w:p w:rsidR="00C7599E" w:rsidRPr="00ED3408" w:rsidRDefault="00C7599E" w:rsidP="00C7599E">
      <w:r w:rsidRPr="00ED3408">
        <w:rPr>
          <w:i/>
          <w:iCs/>
        </w:rPr>
        <w:t>а)</w:t>
      </w:r>
      <w:r w:rsidRPr="00ED3408">
        <w:tab/>
        <w:t>Резолюцию 71 (Пересм. Гвадалахара, 2010 г.) "Стратегический план Союза";</w:t>
      </w:r>
    </w:p>
    <w:p w:rsidR="00C7599E" w:rsidRPr="00ED3408" w:rsidRDefault="00C7599E" w:rsidP="00C7599E">
      <w:r w:rsidRPr="00ED3408">
        <w:rPr>
          <w:i/>
          <w:iCs/>
        </w:rPr>
        <w:t>b)</w:t>
      </w:r>
      <w:r w:rsidRPr="00ED3408">
        <w:tab/>
        <w:t>Резолюцию 101 (Пересм. Гвадалахара, 2010 г.) на тему о сетях, базирующихся на протоколе Интернет;</w:t>
      </w:r>
    </w:p>
    <w:p w:rsidR="00C7599E" w:rsidRPr="00C741B2" w:rsidRDefault="00C7599E" w:rsidP="00C7599E">
      <w:r w:rsidRPr="00C741B2">
        <w:rPr>
          <w:i/>
          <w:iCs/>
        </w:rPr>
        <w:t>c</w:t>
      </w:r>
      <w:r w:rsidRPr="00ED3408">
        <w:rPr>
          <w:i/>
          <w:iCs/>
        </w:rPr>
        <w:t>)</w:t>
      </w:r>
      <w:r w:rsidRPr="00ED3408">
        <w:rPr>
          <w:rtl/>
        </w:rPr>
        <w:tab/>
      </w:r>
      <w:r w:rsidRPr="00ED3408">
        <w:t>Резолюцию 139 (Пересм. Гвадалахара, 2010 г.) "Использов</w:t>
      </w:r>
      <w:r>
        <w:t>ание электросвязи/</w:t>
      </w:r>
      <w:r>
        <w:br/>
        <w:t>информационно-</w:t>
      </w:r>
      <w:r w:rsidRPr="00ED3408">
        <w:t>коммуникационных технологий для преодоления "цифрового разрыва" и построения открытого для всех информационного общества"</w:t>
      </w:r>
      <w:r w:rsidRPr="00C741B2">
        <w:t>;</w:t>
      </w:r>
    </w:p>
    <w:p w:rsidR="00C7599E" w:rsidRPr="00ED3408" w:rsidRDefault="00C7599E" w:rsidP="00C7599E">
      <w:r w:rsidRPr="00ED3408">
        <w:rPr>
          <w:i/>
          <w:iCs/>
        </w:rPr>
        <w:t>d)</w:t>
      </w:r>
      <w:r w:rsidRPr="00ED3408">
        <w:tab/>
        <w:t>итоговые документы Всемирной встречи на высшем уровне по вопросам информационного общества (ВВУИО) 2005 года;</w:t>
      </w:r>
    </w:p>
    <w:p w:rsidR="00C7599E" w:rsidRPr="00ED3408" w:rsidRDefault="00C7599E" w:rsidP="00C7599E">
      <w:r w:rsidRPr="00ED3408">
        <w:rPr>
          <w:i/>
          <w:iCs/>
        </w:rPr>
        <w:t>e)</w:t>
      </w:r>
      <w:r w:rsidRPr="00ED3408">
        <w:tab/>
        <w:t xml:space="preserve">Мнение А Всемирного форума по политике в области электросвязи (Женева, 2001 г.), касающееся общих последствий IP-телефонии для членов МСЭ, </w:t>
      </w:r>
    </w:p>
    <w:p w:rsidR="00C7599E" w:rsidRPr="00ED3408" w:rsidRDefault="00C7599E" w:rsidP="00C7599E">
      <w:pPr>
        <w:pStyle w:val="Call"/>
      </w:pPr>
      <w:r w:rsidRPr="00ED3408">
        <w:t>принимая во внимание</w:t>
      </w:r>
    </w:p>
    <w:p w:rsidR="00C7599E" w:rsidRPr="00ED3408" w:rsidRDefault="00C7599E" w:rsidP="00C7599E">
      <w:r w:rsidRPr="00ED3408">
        <w:t>Отчет пятой Всемирной конференции по развитию электросвязи (Хайдарабад, 2010 г.), в котором подчеркивается значение развития инфраструктуры и технологий электросвязи, в особенности в развивающихся странах, и принимаются региональные инициативы и Хайдарабадский план действий для содействия развивающимся странам в том, чтобы в большей степени достичь универсального доступа к электросвязи,</w:t>
      </w:r>
    </w:p>
    <w:p w:rsidR="00C7599E" w:rsidRPr="00ED3408" w:rsidRDefault="00C7599E" w:rsidP="00C7599E">
      <w:pPr>
        <w:pStyle w:val="Call"/>
      </w:pPr>
      <w:r w:rsidRPr="00ED3408">
        <w:t>учитывая</w:t>
      </w:r>
    </w:p>
    <w:p w:rsidR="00C7599E" w:rsidRPr="00ED3408" w:rsidRDefault="00C7599E" w:rsidP="00C7599E">
      <w:r w:rsidRPr="00ED3408">
        <w:rPr>
          <w:i/>
          <w:iCs/>
        </w:rPr>
        <w:t>a)</w:t>
      </w:r>
      <w:r w:rsidRPr="00ED3408">
        <w:tab/>
        <w:t>Женевскую декларацию принципов, принятую ВВУИО;</w:t>
      </w:r>
    </w:p>
    <w:p w:rsidR="00C7599E" w:rsidRPr="00ED3408" w:rsidRDefault="00C7599E" w:rsidP="00C7599E">
      <w:r w:rsidRPr="00ED3408">
        <w:rPr>
          <w:i/>
          <w:iCs/>
        </w:rPr>
        <w:t>b)</w:t>
      </w:r>
      <w:r w:rsidRPr="00ED3408">
        <w:tab/>
        <w:t>потенциальные преимущества от быстрого внедрения новых и различных услуг электросвязи, в том числе услуг, особо отмеченных в резолюции 66/184 Генеральной Ассамблеи ООН, и, в соответствии с п. 54 Тунисской программы, "способных обеспечить нахождение новых решений проблем в области развития, и могут способствовать активизации поступательного, всеобъемлющего и справедливого экономического роста и устойчивого развития, повышению конкурентоспособности, расширению доступа к информации и знаниям, ликвидации нищеты и обеспечению социальной интеграции, что поможет ускорить включение всех стран, в первую очередь развивающихся и, в частности, наименее развитых стран, в мировую экономику;</w:t>
      </w:r>
    </w:p>
    <w:p w:rsidR="00C7599E" w:rsidRPr="00ED3408" w:rsidRDefault="00C7599E" w:rsidP="00C7599E">
      <w:r w:rsidRPr="00ED3408">
        <w:rPr>
          <w:i/>
          <w:iCs/>
        </w:rPr>
        <w:t>c)</w:t>
      </w:r>
      <w:r w:rsidRPr="00ED3408">
        <w:tab/>
        <w:t>роль широкополосных соединений в достижении Целей развития тысячелетия ООН;</w:t>
      </w:r>
    </w:p>
    <w:p w:rsidR="00C7599E" w:rsidRPr="00ED3408" w:rsidRDefault="00C7599E" w:rsidP="00C7599E">
      <w:r w:rsidRPr="00ED3408">
        <w:rPr>
          <w:i/>
          <w:iCs/>
        </w:rPr>
        <w:lastRenderedPageBreak/>
        <w:t>d)</w:t>
      </w:r>
      <w:r w:rsidRPr="00ED3408">
        <w:tab/>
        <w:t>значение возможностей широкополосной передачи для содействия предоставлению более широкого диапазона услуг и приложений, поощрения инвестиций и предоставления доступа в интернет по приемлемым ценам как для существующих, так и для новых пользователей,</w:t>
      </w:r>
    </w:p>
    <w:p w:rsidR="00C7599E" w:rsidRPr="00ED3408" w:rsidRDefault="00C7599E" w:rsidP="00C7599E">
      <w:pPr>
        <w:pStyle w:val="Call"/>
      </w:pPr>
      <w:r w:rsidRPr="00ED3408">
        <w:t>признавая</w:t>
      </w:r>
      <w:r w:rsidRPr="00ED3408">
        <w:rPr>
          <w:i w:val="0"/>
          <w:iCs/>
        </w:rPr>
        <w:t>,</w:t>
      </w:r>
    </w:p>
    <w:p w:rsidR="00C7599E" w:rsidRPr="00ED3408" w:rsidRDefault="00C7599E" w:rsidP="00C7599E">
      <w:r w:rsidRPr="00ED3408">
        <w:rPr>
          <w:i/>
          <w:iCs/>
        </w:rPr>
        <w:t>a)</w:t>
      </w:r>
      <w:r w:rsidRPr="00ED3408">
        <w:tab/>
        <w:t>что, согласно п. 22 Женевской декларации принципов, принятой ВВУИО, хорошо развитая инфраструктура информационных и коммуникационных сетей и приложения, отвечающие региональным, национальным и местным условиям, легкодоступные и приемлемые в ценовом отношении, позволяющие в большей степени использовать широкополосную связь и другие инновационные технологии там, где это возможно, способны ускорить социально-экономический прогресс стран и повысить благосостояние всех людей, общин и народов;</w:t>
      </w:r>
    </w:p>
    <w:p w:rsidR="00C7599E" w:rsidRPr="00ED3408" w:rsidRDefault="00C7599E" w:rsidP="00C7599E">
      <w:r w:rsidRPr="00ED3408">
        <w:rPr>
          <w:i/>
          <w:iCs/>
        </w:rPr>
        <w:t>b)</w:t>
      </w:r>
      <w:r w:rsidRPr="00ED3408">
        <w:tab/>
        <w:t>значение конкуренции в содействии инвестициям, как это отражено в отчете Комиссии по широкополосной связи в интересах цифрового развития</w:t>
      </w:r>
      <w:r>
        <w:rPr>
          <w:rStyle w:val="FootnoteReference"/>
        </w:rPr>
        <w:footnoteReference w:customMarkFollows="1" w:id="1"/>
        <w:t>1</w:t>
      </w:r>
      <w:r w:rsidRPr="00ED3408">
        <w:t>;</w:t>
      </w:r>
    </w:p>
    <w:p w:rsidR="00C7599E" w:rsidRPr="00ED3408" w:rsidRDefault="00C7599E" w:rsidP="00C7599E">
      <w:r w:rsidRPr="00ED3408">
        <w:rPr>
          <w:i/>
          <w:iCs/>
        </w:rPr>
        <w:t>c)</w:t>
      </w:r>
      <w:r w:rsidRPr="00ED3408">
        <w:tab/>
        <w:t>политические рекомендации, содержащиеся в отчете Комиссии МСЭ/ЮНЕСКО по широкополосной связи в интересах цифрового развития</w:t>
      </w:r>
      <w:r>
        <w:rPr>
          <w:rStyle w:val="FootnoteReference"/>
        </w:rPr>
        <w:footnoteReference w:customMarkFollows="1" w:id="2"/>
        <w:t>2</w:t>
      </w:r>
      <w:r w:rsidRPr="00ED3408">
        <w:t>, в которых поощряется развитие инфраструктуры широкополосной связи и создание благоприятной среды для инвестиций в инфраструктуру электросвязи и с этой целью настоятельно рекомендуется всем Государствам-Членам:</w:t>
      </w:r>
    </w:p>
    <w:p w:rsidR="00C7599E" w:rsidRPr="00ED3408" w:rsidRDefault="00C7599E" w:rsidP="00C7599E">
      <w:pPr>
        <w:pStyle w:val="enumlev1"/>
      </w:pPr>
      <w:r w:rsidRPr="00ED3408">
        <w:t>i)</w:t>
      </w:r>
      <w:r w:rsidRPr="00ED3408">
        <w:tab/>
        <w:t>обеспечить политическое руководство для инвестиций, включая открытые консультации по необходимым политическим и правовым структурам;</w:t>
      </w:r>
    </w:p>
    <w:p w:rsidR="00C7599E" w:rsidRPr="00ED3408" w:rsidRDefault="00C7599E" w:rsidP="00C7599E">
      <w:pPr>
        <w:pStyle w:val="enumlev1"/>
      </w:pPr>
      <w:r w:rsidRPr="00ED3408">
        <w:t>ii)</w:t>
      </w:r>
      <w:r w:rsidRPr="00ED3408">
        <w:tab/>
        <w:t>открыть рынки электросвязи для конкуренции посредством реформ в сферах лицензирования и налогообложения, в том числе прозрачных режимов лицензирования;</w:t>
      </w:r>
    </w:p>
    <w:p w:rsidR="00C7599E" w:rsidRPr="00ED3408" w:rsidRDefault="00C7599E" w:rsidP="00C7599E">
      <w:pPr>
        <w:pStyle w:val="enumlev1"/>
      </w:pPr>
      <w:r w:rsidRPr="00ED3408">
        <w:t>iii)</w:t>
      </w:r>
      <w:r w:rsidRPr="00ED3408">
        <w:tab/>
        <w:t>ввести государственные услуги, которые стимулировали бы спрос на электросвязь и инвестиции в эту сферу, в первую очередь в развивающихся странах;</w:t>
      </w:r>
    </w:p>
    <w:p w:rsidR="00C7599E" w:rsidRPr="00ED3408" w:rsidRDefault="00C7599E" w:rsidP="00C7599E">
      <w:pPr>
        <w:pStyle w:val="enumlev1"/>
      </w:pPr>
      <w:r w:rsidRPr="00ED3408">
        <w:t>iv)</w:t>
      </w:r>
      <w:r w:rsidRPr="00ED3408">
        <w:tab/>
        <w:t>разработать программы универсального обслуживания для поддержки инвестиций в инфраструктуру электросвязи; и</w:t>
      </w:r>
    </w:p>
    <w:p w:rsidR="00C7599E" w:rsidRPr="00ED3408" w:rsidRDefault="00C7599E" w:rsidP="00C7599E">
      <w:pPr>
        <w:pStyle w:val="enumlev1"/>
      </w:pPr>
      <w:r w:rsidRPr="00ED3408">
        <w:t>v)</w:t>
      </w:r>
      <w:r w:rsidRPr="00ED3408">
        <w:tab/>
        <w:t>поощрять эффективные и инновационные виды практики в области подвижной широкополосной связи для новых участников рынка и потребителей</w:t>
      </w:r>
      <w:r w:rsidRPr="00ED3408">
        <w:rPr>
          <w:cs/>
        </w:rPr>
        <w:t>‎</w:t>
      </w:r>
      <w:r w:rsidRPr="00ED3408">
        <w:rPr>
          <w:rtl/>
          <w:cs/>
        </w:rPr>
        <w:t>,</w:t>
      </w:r>
    </w:p>
    <w:p w:rsidR="00C7599E" w:rsidRPr="00ED3408" w:rsidRDefault="00C7599E" w:rsidP="00C7599E">
      <w:pPr>
        <w:pStyle w:val="Call"/>
      </w:pPr>
      <w:r w:rsidRPr="00ED3408">
        <w:t>отмечая</w:t>
      </w:r>
      <w:r w:rsidRPr="00C7599E">
        <w:rPr>
          <w:i w:val="0"/>
          <w:iCs/>
        </w:rPr>
        <w:t>,</w:t>
      </w:r>
    </w:p>
    <w:p w:rsidR="00C7599E" w:rsidRPr="00ED3408" w:rsidRDefault="00C7599E" w:rsidP="00C7599E">
      <w:r w:rsidRPr="00ED3408">
        <w:rPr>
          <w:i/>
          <w:iCs/>
        </w:rPr>
        <w:t>a)</w:t>
      </w:r>
      <w:r w:rsidRPr="00ED3408">
        <w:tab/>
        <w:t xml:space="preserve">что достигнут прогресс в расширении доступа к информационно-коммуникационным технологиям, включающий неуклонное расширение доступа населения мира в интернет и наличие многоязычного контента и адресов интернета, и что международное сообщество подтвердило свою приверженность делу преобразования цифрового разрыва в цифровые возможности и обеспечения гармоничного и </w:t>
      </w:r>
      <w:r>
        <w:t>справедливого развития для всех</w:t>
      </w:r>
      <w:r w:rsidRPr="00ED3408">
        <w:t xml:space="preserve"> в соответствии с п. 49 Тунисской программы;</w:t>
      </w:r>
    </w:p>
    <w:p w:rsidR="00C7599E" w:rsidRPr="00ED3408" w:rsidRDefault="00C7599E" w:rsidP="00C7599E">
      <w:r w:rsidRPr="00ED3408">
        <w:rPr>
          <w:i/>
          <w:iCs/>
        </w:rPr>
        <w:t>b)</w:t>
      </w:r>
      <w:r w:rsidRPr="00ED3408">
        <w:tab/>
        <w:t xml:space="preserve">создание Комиссии по широкополосной связи в интересах цифрового развития по предложению Генерального секретаря МСЭ и Генерального директора ЮНЕСКО, и принимая во внимание отчет Комиссии под названием "Императив лидерства в 2010 году: к будущему, основанному на широкополосной связи", содержащий призыв к внедрению практики и политики, стимулирующих развитие широкополосной связи, которые направлены на достижение </w:t>
      </w:r>
      <w:r w:rsidRPr="00ED3408">
        <w:lastRenderedPageBreak/>
        <w:t>согласованных на международном уровне целей и задач в области развития, в том числе Целей развития тысячелетия ООН,</w:t>
      </w:r>
    </w:p>
    <w:p w:rsidR="00C7599E" w:rsidRPr="00ED3408" w:rsidRDefault="00C7599E" w:rsidP="00C7599E">
      <w:pPr>
        <w:pStyle w:val="Call"/>
      </w:pPr>
      <w:r w:rsidRPr="00ED3408">
        <w:t>считает</w:t>
      </w:r>
      <w:r w:rsidRPr="00C7599E">
        <w:rPr>
          <w:i w:val="0"/>
          <w:iCs/>
        </w:rPr>
        <w:t>,</w:t>
      </w:r>
      <w:r w:rsidRPr="00ED3408">
        <w:t xml:space="preserve"> </w:t>
      </w:r>
    </w:p>
    <w:p w:rsidR="00C7599E" w:rsidRPr="00ED3408" w:rsidRDefault="00C7599E" w:rsidP="00C7599E">
      <w:r w:rsidRPr="00ED3408">
        <w:t>что Государствам-Членам, Членам Секторов и другим заинтересованным сторонам следует принять все меры к обеспечению благоприятной среды для более активного роста и развития широкополосных соединений</w:t>
      </w:r>
      <w:r w:rsidRPr="00ED3408">
        <w:rPr>
          <w:cs/>
        </w:rPr>
        <w:t>‎</w:t>
      </w:r>
      <w:r w:rsidRPr="00ED3408">
        <w:t>,</w:t>
      </w:r>
    </w:p>
    <w:p w:rsidR="00C7599E" w:rsidRPr="00ED3408" w:rsidRDefault="00C7599E" w:rsidP="00C7599E">
      <w:pPr>
        <w:pStyle w:val="Call"/>
      </w:pPr>
      <w:r w:rsidRPr="00ED3408">
        <w:t>предлагает Государствам-Членам</w:t>
      </w:r>
      <w:r w:rsidRPr="00ED3408">
        <w:rPr>
          <w:i w:val="0"/>
          <w:iCs/>
        </w:rPr>
        <w:t>,</w:t>
      </w:r>
    </w:p>
    <w:p w:rsidR="00C7599E" w:rsidRPr="00ED3408" w:rsidRDefault="00C7599E" w:rsidP="00C7599E">
      <w:pPr>
        <w:rPr>
          <w:rFonts w:cs="Calibri"/>
          <w:sz w:val="24"/>
          <w:szCs w:val="24"/>
        </w:rPr>
      </w:pPr>
      <w:r w:rsidRPr="00ED3408">
        <w:rPr>
          <w:i/>
          <w:iCs/>
        </w:rPr>
        <w:t>a)</w:t>
      </w:r>
      <w:r w:rsidRPr="00B62174">
        <w:tab/>
      </w:r>
      <w:r w:rsidRPr="00ED3408">
        <w:t>создать повсеместный приемлемый в ценовом отношении доступ к инфраструктуре электросвязи, содействовать ему путем установления правовой и регуляторной среды и разработать политику, которая была бы справедливой, прозрачной, стабильной, предсказуемой и не допускающей дискриминации, а также содействовала бы конкуренции, способствовала бы дальнейшим инновациям в сферах технологий и услуг и создавала бы стимулы для инвестиций со стороны частного сектора</w:t>
      </w:r>
      <w:r w:rsidRPr="00ED3408">
        <w:rPr>
          <w:rFonts w:cs="Calibri"/>
          <w:sz w:val="24"/>
          <w:szCs w:val="24"/>
        </w:rPr>
        <w:t>;</w:t>
      </w:r>
    </w:p>
    <w:p w:rsidR="00C7599E" w:rsidRPr="00ED3408" w:rsidRDefault="00C7599E" w:rsidP="00C7599E">
      <w:r w:rsidRPr="00ED3408">
        <w:rPr>
          <w:i/>
          <w:iCs/>
        </w:rPr>
        <w:t>b)</w:t>
      </w:r>
      <w:r w:rsidRPr="00ED3408">
        <w:tab/>
        <w:t>рассмотреть свои существующие нормативно-правовые базы с целью принятия ориентированного на конкуренцию подхода в отношении сетей на базе IP,</w:t>
      </w:r>
      <w:r>
        <w:t xml:space="preserve"> </w:t>
      </w:r>
      <w:r w:rsidRPr="00ED3408">
        <w:t xml:space="preserve">с тем чтобы достичь четко определенных политических целей, учитывающих, в том числе, принцип технологической нейтральности, </w:t>
      </w:r>
    </w:p>
    <w:p w:rsidR="00C7599E" w:rsidRPr="00ED3408" w:rsidRDefault="00C7599E" w:rsidP="00C7599E">
      <w:pPr>
        <w:pStyle w:val="Call"/>
      </w:pPr>
      <w:r w:rsidRPr="00ED3408">
        <w:t>предлагает Государствам-Членам, Членам Секторов и всем заинтересованным сторонам</w:t>
      </w:r>
      <w:r w:rsidRPr="00C7599E">
        <w:rPr>
          <w:i w:val="0"/>
          <w:iCs/>
        </w:rPr>
        <w:t>,</w:t>
      </w:r>
      <w:r w:rsidRPr="00ED3408">
        <w:t xml:space="preserve"> </w:t>
      </w:r>
    </w:p>
    <w:p w:rsidR="00C7599E" w:rsidRPr="00ED3408" w:rsidRDefault="00C7599E" w:rsidP="00C7599E">
      <w:r w:rsidRPr="00ED3408">
        <w:t>продолжать работу, в надлежащих случаях, в рамках деятельности МСЭ и всех</w:t>
      </w:r>
      <w:r w:rsidR="0063424C" w:rsidRPr="0063424C">
        <w:t xml:space="preserve"> </w:t>
      </w:r>
      <w:r w:rsidR="0063424C">
        <w:t>соответствующих</w:t>
      </w:r>
      <w:r w:rsidRPr="00ED3408">
        <w:t xml:space="preserve"> международных, региональных и национальных форумов по тематике широкополосных соединений и обмениваться передовым опытом внедрения прогрессивных регуляторных</w:t>
      </w:r>
      <w:bookmarkStart w:id="0" w:name="_GoBack"/>
      <w:bookmarkEnd w:id="0"/>
      <w:r w:rsidRPr="00ED3408">
        <w:t xml:space="preserve"> режимов, рассчитанных на либерализацию рынков, содействие конкуренции и стимулирование инвестиций,</w:t>
      </w:r>
    </w:p>
    <w:p w:rsidR="00C7599E" w:rsidRPr="00ED3408" w:rsidRDefault="00C7599E" w:rsidP="00C7599E">
      <w:pPr>
        <w:pStyle w:val="Call"/>
      </w:pPr>
      <w:r w:rsidRPr="00ED3408">
        <w:t xml:space="preserve">просит Генерального секретаря </w:t>
      </w:r>
    </w:p>
    <w:p w:rsidR="00C7599E" w:rsidRPr="00ED3408" w:rsidRDefault="00C7599E" w:rsidP="00C7599E">
      <w:r w:rsidRPr="00ED3408">
        <w:t>обеспечить эффективное выполнение соответствующих программ и видов деятельности МСЭ, в том числе решений ВВУИО, путем содействия сотрудничеству в области развития широкополосных соединений и укрепления такого сотрудничества.</w:t>
      </w:r>
    </w:p>
    <w:p w:rsidR="002D2F57" w:rsidRPr="00C7599E" w:rsidRDefault="00C7599E" w:rsidP="00C7599E">
      <w:pPr>
        <w:spacing w:before="720"/>
        <w:jc w:val="center"/>
        <w:rPr>
          <w:lang w:val="en-US"/>
        </w:rPr>
      </w:pPr>
      <w:r w:rsidRPr="00ED3408">
        <w:t>______________</w:t>
      </w:r>
    </w:p>
    <w:sectPr w:rsidR="002D2F57" w:rsidRPr="00C7599E" w:rsidSect="00CF629C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EB3" w:rsidRDefault="005F2EB3">
      <w:r>
        <w:separator/>
      </w:r>
    </w:p>
  </w:endnote>
  <w:endnote w:type="continuationSeparator" w:id="0">
    <w:p w:rsidR="005F2EB3" w:rsidRDefault="005F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A0" w:rsidRPr="003E4FA0" w:rsidRDefault="0063424C" w:rsidP="00C7599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P:\RUS\SG\CONF-SG\WTPF13\DT\002R.docx</w:t>
    </w:r>
    <w:r>
      <w:fldChar w:fldCharType="end"/>
    </w:r>
    <w:r w:rsidR="003E4FA0">
      <w:t xml:space="preserve"> (</w:t>
    </w:r>
    <w:r w:rsidR="00C7599E">
      <w:t>344691</w:t>
    </w:r>
    <w:r w:rsidR="003E4FA0">
      <w:t>)</w:t>
    </w:r>
    <w:r w:rsidR="003E4FA0">
      <w:tab/>
    </w:r>
    <w:r w:rsidR="003E4FA0">
      <w:fldChar w:fldCharType="begin"/>
    </w:r>
    <w:r w:rsidR="003E4FA0">
      <w:instrText xml:space="preserve"> SAVEDATE \@ DD.MM.YY </w:instrText>
    </w:r>
    <w:r w:rsidR="003E4FA0">
      <w:fldChar w:fldCharType="separate"/>
    </w:r>
    <w:r>
      <w:t>14.05.13</w:t>
    </w:r>
    <w:r w:rsidR="003E4FA0">
      <w:fldChar w:fldCharType="end"/>
    </w:r>
    <w:r w:rsidR="003E4FA0">
      <w:tab/>
    </w:r>
    <w:r w:rsidR="003E4FA0">
      <w:fldChar w:fldCharType="begin"/>
    </w:r>
    <w:r w:rsidR="003E4FA0">
      <w:instrText xml:space="preserve"> PRINTDATE \@ DD.MM.YY </w:instrText>
    </w:r>
    <w:r w:rsidR="003E4FA0">
      <w:fldChar w:fldCharType="separate"/>
    </w:r>
    <w:r>
      <w:t>14.05.13</w:t>
    </w:r>
    <w:r w:rsidR="003E4FA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A0" w:rsidRPr="00C7599E" w:rsidRDefault="00C7599E" w:rsidP="00C7599E">
    <w:pPr>
      <w:pStyle w:val="Footer"/>
    </w:pPr>
    <w:fldSimple w:instr=" FILENAME \p  \* MERGEFORMAT ">
      <w:r w:rsidR="0063424C">
        <w:t>P:\RUS\SG\CONF-SG\WTPF13\DT\002R.docx</w:t>
      </w:r>
    </w:fldSimple>
    <w:r>
      <w:t xml:space="preserve"> (344691)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63424C">
      <w:t>14.05.13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63424C">
      <w:t>14.05.13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EB3" w:rsidRDefault="005F2EB3">
      <w:r>
        <w:t>____________________</w:t>
      </w:r>
    </w:p>
  </w:footnote>
  <w:footnote w:type="continuationSeparator" w:id="0">
    <w:p w:rsidR="005F2EB3" w:rsidRDefault="005F2EB3">
      <w:r>
        <w:continuationSeparator/>
      </w:r>
    </w:p>
  </w:footnote>
  <w:footnote w:id="1">
    <w:p w:rsidR="00C7599E" w:rsidRPr="00B16E73" w:rsidRDefault="00C7599E" w:rsidP="00C7599E">
      <w:pPr>
        <w:pStyle w:val="FootnoteText"/>
      </w:pPr>
      <w:r w:rsidRPr="00B16E73">
        <w:rPr>
          <w:rStyle w:val="FootnoteReference"/>
        </w:rPr>
        <w:t>1</w:t>
      </w:r>
      <w:r w:rsidRPr="00B16E73">
        <w:t xml:space="preserve"> </w:t>
      </w:r>
      <w:r>
        <w:tab/>
      </w:r>
      <w:r w:rsidRPr="00E2423D">
        <w:t xml:space="preserve">"Широкополосная связь: платформа для прогресса". Отчет Комиссии по широкополосной связи в интересах цифрового развития, сентябрь, 2010 г. (Размещен по адресу: </w:t>
      </w:r>
      <w:hyperlink r:id="rId1" w:history="1">
        <w:r w:rsidRPr="004B6A6D">
          <w:rPr>
            <w:rStyle w:val="Hyperlink"/>
          </w:rPr>
          <w:t>http://www.broadbandcommission.org/</w:t>
        </w:r>
        <w:r w:rsidRPr="004B6A6D">
          <w:rPr>
            <w:rStyle w:val="Hyperlink"/>
          </w:rPr>
          <w:br/>
          <w:t>Reports/Report 2.pdf</w:t>
        </w:r>
      </w:hyperlink>
      <w:r w:rsidRPr="00E2423D">
        <w:t>.)</w:t>
      </w:r>
    </w:p>
  </w:footnote>
  <w:footnote w:id="2">
    <w:p w:rsidR="00C7599E" w:rsidRPr="00B16E73" w:rsidRDefault="00C7599E" w:rsidP="00C7599E">
      <w:pPr>
        <w:pStyle w:val="FootnoteText"/>
      </w:pPr>
      <w:r w:rsidRPr="00B16E73">
        <w:rPr>
          <w:rStyle w:val="FootnoteReference"/>
        </w:rPr>
        <w:t>2</w:t>
      </w:r>
      <w:r w:rsidRPr="00B16E73">
        <w:t xml:space="preserve"> </w:t>
      </w:r>
      <w:r>
        <w:tab/>
      </w:r>
      <w:r w:rsidRPr="00E2423D">
        <w:t xml:space="preserve">"Состояние широкополосной связи в 2012 году: Достижение целей охвата всех цифровыми технологиями". Отчет Комиссии по широкополосной связи в интересах цифрового развития, сентябрь, 2012 г. (Размещен по адресу: </w:t>
      </w:r>
      <w:hyperlink r:id="rId2" w:history="1">
        <w:r w:rsidRPr="004B6A6D">
          <w:rPr>
            <w:rStyle w:val="Hyperlink"/>
          </w:rPr>
          <w:t>http://www.broadbandcommission.org/Documents/bb-annual report2012.pdf</w:t>
        </w:r>
      </w:hyperlink>
      <w:r w:rsidRPr="00E2423D">
        <w:t>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99E" w:rsidRDefault="00C7599E" w:rsidP="00C7599E">
    <w:pPr>
      <w:pStyle w:val="Header"/>
    </w:pPr>
    <w:r>
      <w:fldChar w:fldCharType="begin"/>
    </w:r>
    <w:r>
      <w:instrText>PAGE</w:instrText>
    </w:r>
    <w:r>
      <w:fldChar w:fldCharType="separate"/>
    </w:r>
    <w:r w:rsidR="0063424C">
      <w:rPr>
        <w:noProof/>
      </w:rPr>
      <w:t>3</w:t>
    </w:r>
    <w:r>
      <w:rPr>
        <w:noProof/>
      </w:rPr>
      <w:fldChar w:fldCharType="end"/>
    </w:r>
  </w:p>
  <w:p w:rsidR="000E568E" w:rsidRPr="00C7599E" w:rsidRDefault="00C7599E" w:rsidP="00C7599E">
    <w:pPr>
      <w:pStyle w:val="Header"/>
    </w:pPr>
    <w:r>
      <w:t>WTPF-13/</w:t>
    </w:r>
    <w:r>
      <w:rPr>
        <w:lang w:val="en-US"/>
      </w:rPr>
      <w:t>DT/2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285DB7"/>
    <w:multiLevelType w:val="hybridMultilevel"/>
    <w:tmpl w:val="2EA270B4"/>
    <w:lvl w:ilvl="0" w:tplc="063CACA4">
      <w:start w:val="1"/>
      <w:numFmt w:val="lowerLetter"/>
      <w:lvlText w:val="%1)"/>
      <w:lvlJc w:val="left"/>
      <w:pPr>
        <w:ind w:left="2781" w:hanging="360"/>
      </w:pPr>
      <w:rPr>
        <w:rFonts w:hint="default"/>
        <w:i w:val="0"/>
        <w:iCs/>
      </w:rPr>
    </w:lvl>
    <w:lvl w:ilvl="1" w:tplc="08090019">
      <w:start w:val="1"/>
      <w:numFmt w:val="lowerLetter"/>
      <w:lvlText w:val="%2."/>
      <w:lvlJc w:val="left"/>
      <w:pPr>
        <w:ind w:left="3501" w:hanging="360"/>
      </w:pPr>
    </w:lvl>
    <w:lvl w:ilvl="2" w:tplc="0809001B" w:tentative="1">
      <w:start w:val="1"/>
      <w:numFmt w:val="lowerRoman"/>
      <w:lvlText w:val="%3."/>
      <w:lvlJc w:val="right"/>
      <w:pPr>
        <w:ind w:left="4221" w:hanging="180"/>
      </w:pPr>
    </w:lvl>
    <w:lvl w:ilvl="3" w:tplc="0809000F" w:tentative="1">
      <w:start w:val="1"/>
      <w:numFmt w:val="decimal"/>
      <w:lvlText w:val="%4."/>
      <w:lvlJc w:val="left"/>
      <w:pPr>
        <w:ind w:left="4941" w:hanging="360"/>
      </w:pPr>
    </w:lvl>
    <w:lvl w:ilvl="4" w:tplc="08090019" w:tentative="1">
      <w:start w:val="1"/>
      <w:numFmt w:val="lowerLetter"/>
      <w:lvlText w:val="%5."/>
      <w:lvlJc w:val="left"/>
      <w:pPr>
        <w:ind w:left="5661" w:hanging="360"/>
      </w:pPr>
    </w:lvl>
    <w:lvl w:ilvl="5" w:tplc="0809001B" w:tentative="1">
      <w:start w:val="1"/>
      <w:numFmt w:val="lowerRoman"/>
      <w:lvlText w:val="%6."/>
      <w:lvlJc w:val="right"/>
      <w:pPr>
        <w:ind w:left="6381" w:hanging="180"/>
      </w:pPr>
    </w:lvl>
    <w:lvl w:ilvl="6" w:tplc="0809000F" w:tentative="1">
      <w:start w:val="1"/>
      <w:numFmt w:val="decimal"/>
      <w:lvlText w:val="%7."/>
      <w:lvlJc w:val="left"/>
      <w:pPr>
        <w:ind w:left="7101" w:hanging="360"/>
      </w:pPr>
    </w:lvl>
    <w:lvl w:ilvl="7" w:tplc="08090019" w:tentative="1">
      <w:start w:val="1"/>
      <w:numFmt w:val="lowerLetter"/>
      <w:lvlText w:val="%8."/>
      <w:lvlJc w:val="left"/>
      <w:pPr>
        <w:ind w:left="7821" w:hanging="360"/>
      </w:pPr>
    </w:lvl>
    <w:lvl w:ilvl="8" w:tplc="0809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2">
    <w:nsid w:val="26CC0A42"/>
    <w:multiLevelType w:val="hybridMultilevel"/>
    <w:tmpl w:val="81144814"/>
    <w:lvl w:ilvl="0" w:tplc="8BF6F9CA">
      <w:start w:val="1"/>
      <w:numFmt w:val="lowerLetter"/>
      <w:lvlText w:val="%1)"/>
      <w:lvlJc w:val="left"/>
      <w:pPr>
        <w:ind w:left="720" w:hanging="360"/>
      </w:pPr>
      <w:rPr>
        <w:lang w:val="ru-RU"/>
      </w:rPr>
    </w:lvl>
    <w:lvl w:ilvl="1" w:tplc="A6465DD6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9512B"/>
    <w:multiLevelType w:val="hybridMultilevel"/>
    <w:tmpl w:val="610A4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E058E"/>
    <w:multiLevelType w:val="hybridMultilevel"/>
    <w:tmpl w:val="04E8755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B3"/>
    <w:rsid w:val="00021244"/>
    <w:rsid w:val="0002183E"/>
    <w:rsid w:val="00045E19"/>
    <w:rsid w:val="000569B4"/>
    <w:rsid w:val="00080E82"/>
    <w:rsid w:val="00084EE8"/>
    <w:rsid w:val="000D70B5"/>
    <w:rsid w:val="000E568E"/>
    <w:rsid w:val="000F4E2F"/>
    <w:rsid w:val="00155AB0"/>
    <w:rsid w:val="0015710D"/>
    <w:rsid w:val="00163A32"/>
    <w:rsid w:val="00192B41"/>
    <w:rsid w:val="001B7B09"/>
    <w:rsid w:val="001E6719"/>
    <w:rsid w:val="00227FF0"/>
    <w:rsid w:val="00291EB6"/>
    <w:rsid w:val="002D2F57"/>
    <w:rsid w:val="002D48C5"/>
    <w:rsid w:val="003E4FA0"/>
    <w:rsid w:val="003F099E"/>
    <w:rsid w:val="003F235E"/>
    <w:rsid w:val="004023E0"/>
    <w:rsid w:val="00403DD8"/>
    <w:rsid w:val="0045686C"/>
    <w:rsid w:val="004918C4"/>
    <w:rsid w:val="004A45B5"/>
    <w:rsid w:val="004D0129"/>
    <w:rsid w:val="0050241D"/>
    <w:rsid w:val="005A4F72"/>
    <w:rsid w:val="005A64D5"/>
    <w:rsid w:val="005F2EB3"/>
    <w:rsid w:val="00601994"/>
    <w:rsid w:val="0063424C"/>
    <w:rsid w:val="006E2D42"/>
    <w:rsid w:val="00703676"/>
    <w:rsid w:val="00707304"/>
    <w:rsid w:val="00732269"/>
    <w:rsid w:val="00735344"/>
    <w:rsid w:val="0075086F"/>
    <w:rsid w:val="00785ABD"/>
    <w:rsid w:val="007A2DD4"/>
    <w:rsid w:val="007B26ED"/>
    <w:rsid w:val="007B3177"/>
    <w:rsid w:val="007D38B5"/>
    <w:rsid w:val="00807255"/>
    <w:rsid w:val="0081023E"/>
    <w:rsid w:val="008173AA"/>
    <w:rsid w:val="00840A14"/>
    <w:rsid w:val="008D2D7B"/>
    <w:rsid w:val="008E0737"/>
    <w:rsid w:val="008F7C2C"/>
    <w:rsid w:val="00940E96"/>
    <w:rsid w:val="009B0BAE"/>
    <w:rsid w:val="00A71773"/>
    <w:rsid w:val="00AE2C85"/>
    <w:rsid w:val="00B01732"/>
    <w:rsid w:val="00B63EF2"/>
    <w:rsid w:val="00BC0D39"/>
    <w:rsid w:val="00BC7BC0"/>
    <w:rsid w:val="00BD57B7"/>
    <w:rsid w:val="00BE2392"/>
    <w:rsid w:val="00BE63E2"/>
    <w:rsid w:val="00C7599E"/>
    <w:rsid w:val="00CF629C"/>
    <w:rsid w:val="00DA5D4E"/>
    <w:rsid w:val="00E176BA"/>
    <w:rsid w:val="00E423EC"/>
    <w:rsid w:val="00E93F66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5E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227FF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2E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Calibri" w:cs="Arial"/>
      <w:szCs w:val="22"/>
      <w:lang w:val="en-US" w:bidi="en-US"/>
    </w:rPr>
  </w:style>
  <w:style w:type="paragraph" w:styleId="PlainText">
    <w:name w:val="Plain Text"/>
    <w:basedOn w:val="Normal"/>
    <w:link w:val="PlainTextChar"/>
    <w:uiPriority w:val="99"/>
    <w:unhideWhenUsed/>
    <w:rsid w:val="005F2E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lang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5F2EB3"/>
    <w:rPr>
      <w:rFonts w:ascii="Calibri" w:eastAsia="Calibri" w:hAnsi="Calibri"/>
      <w:lang w:val="en-GB" w:eastAsia="x-none"/>
    </w:rPr>
  </w:style>
  <w:style w:type="character" w:customStyle="1" w:styleId="FootnoteTextChar">
    <w:name w:val="Footnote Text Char"/>
    <w:link w:val="FootnoteText"/>
    <w:rsid w:val="005F2EB3"/>
    <w:rPr>
      <w:rFonts w:ascii="Calibri" w:hAnsi="Calibri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84EE8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084EE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llChar">
    <w:name w:val="Call Char"/>
    <w:basedOn w:val="DefaultParagraphFont"/>
    <w:link w:val="Call"/>
    <w:locked/>
    <w:rsid w:val="00C7599E"/>
    <w:rPr>
      <w:rFonts w:ascii="Calibri" w:hAnsi="Calibri"/>
      <w:i/>
      <w:sz w:val="22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C7599E"/>
    <w:rPr>
      <w:rFonts w:ascii="Calibri" w:hAnsi="Calibri"/>
      <w:sz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5E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227FF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2E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Calibri" w:cs="Arial"/>
      <w:szCs w:val="22"/>
      <w:lang w:val="en-US" w:bidi="en-US"/>
    </w:rPr>
  </w:style>
  <w:style w:type="paragraph" w:styleId="PlainText">
    <w:name w:val="Plain Text"/>
    <w:basedOn w:val="Normal"/>
    <w:link w:val="PlainTextChar"/>
    <w:uiPriority w:val="99"/>
    <w:unhideWhenUsed/>
    <w:rsid w:val="005F2E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lang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5F2EB3"/>
    <w:rPr>
      <w:rFonts w:ascii="Calibri" w:eastAsia="Calibri" w:hAnsi="Calibri"/>
      <w:lang w:val="en-GB" w:eastAsia="x-none"/>
    </w:rPr>
  </w:style>
  <w:style w:type="character" w:customStyle="1" w:styleId="FootnoteTextChar">
    <w:name w:val="Footnote Text Char"/>
    <w:link w:val="FootnoteText"/>
    <w:rsid w:val="005F2EB3"/>
    <w:rPr>
      <w:rFonts w:ascii="Calibri" w:hAnsi="Calibri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84EE8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084EE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llChar">
    <w:name w:val="Call Char"/>
    <w:basedOn w:val="DefaultParagraphFont"/>
    <w:link w:val="Call"/>
    <w:locked/>
    <w:rsid w:val="00C7599E"/>
    <w:rPr>
      <w:rFonts w:ascii="Calibri" w:hAnsi="Calibri"/>
      <w:i/>
      <w:sz w:val="22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C7599E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oadbandcommission.org/Documents/bb-annual" TargetMode="External"/><Relationship Id="rId1" Type="http://schemas.openxmlformats.org/officeDocument/2006/relationships/hyperlink" Target="http://www.broadbandcommission.org/Reports/Repor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7B530-A51A-4136-BE13-7D4EF97F8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PR_C13.dotm</Template>
  <TotalTime>2</TotalTime>
  <Pages>3</Pages>
  <Words>828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6759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Komissarova, Olga</dc:creator>
  <cp:keywords>C2004, C04</cp:keywords>
  <dc:description>Документ C05/xx-R  For: _x000d_Document date: Дата_x000d_Saved by RUS38507 at 8:49:12 AM on 2/8/2005</dc:description>
  <cp:lastModifiedBy>Maloletkova, Svetlana</cp:lastModifiedBy>
  <cp:revision>4</cp:revision>
  <cp:lastPrinted>2013-05-14T18:52:00Z</cp:lastPrinted>
  <dcterms:created xsi:type="dcterms:W3CDTF">2013-05-14T18:14:00Z</dcterms:created>
  <dcterms:modified xsi:type="dcterms:W3CDTF">2013-05-14T18:53:00Z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