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3E826396" wp14:editId="2B33365A">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450278" w:rsidP="005E18A8">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sidR="002D0DCC">
              <w:rPr>
                <w:b/>
                <w:bCs/>
                <w:sz w:val="24"/>
                <w:szCs w:val="24"/>
              </w:rPr>
              <w:t>DT/</w:t>
            </w:r>
            <w:r w:rsidR="005E18A8">
              <w:rPr>
                <w:b/>
                <w:bCs/>
                <w:sz w:val="24"/>
                <w:szCs w:val="24"/>
              </w:rPr>
              <w:t>4</w:t>
            </w:r>
            <w:r w:rsidRPr="00450278">
              <w:rPr>
                <w:b/>
                <w:bCs/>
                <w:sz w:val="24"/>
                <w:szCs w:val="24"/>
              </w:rPr>
              <w:t>-E</w:t>
            </w:r>
            <w:r w:rsidRPr="00450278">
              <w:rPr>
                <w:b/>
                <w:bCs/>
                <w:sz w:val="24"/>
                <w:szCs w:val="24"/>
              </w:rPr>
              <w:br/>
            </w:r>
            <w:r w:rsidRPr="00450278">
              <w:rPr>
                <w:b/>
                <w:bCs/>
                <w:sz w:val="24"/>
                <w:szCs w:val="24"/>
              </w:rPr>
              <w:tab/>
              <w:t xml:space="preserve">15 </w:t>
            </w:r>
            <w:r w:rsidR="002D0DCC">
              <w:rPr>
                <w:b/>
                <w:bCs/>
                <w:sz w:val="24"/>
                <w:szCs w:val="24"/>
              </w:rPr>
              <w:t>May</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7D1F2C" w:rsidRPr="005E18A8" w:rsidRDefault="00AC1CD6" w:rsidP="005E18A8">
      <w:pPr>
        <w:pStyle w:val="Equation"/>
        <w:tabs>
          <w:tab w:val="left" w:pos="1191"/>
          <w:tab w:val="left" w:pos="1588"/>
          <w:tab w:val="left" w:pos="1985"/>
        </w:tabs>
        <w:spacing w:before="1080"/>
        <w:jc w:val="center"/>
        <w:rPr>
          <w:rFonts w:asciiTheme="minorHAnsi" w:hAnsiTheme="minorHAnsi" w:cstheme="minorHAnsi"/>
          <w:b/>
          <w:bCs/>
          <w:sz w:val="28"/>
          <w:szCs w:val="28"/>
        </w:rPr>
      </w:pPr>
      <w:r w:rsidRPr="005E18A8">
        <w:rPr>
          <w:rFonts w:asciiTheme="minorHAnsi" w:hAnsiTheme="minorHAnsi" w:cstheme="minorHAnsi"/>
          <w:b/>
          <w:sz w:val="28"/>
          <w:szCs w:val="28"/>
        </w:rPr>
        <w:t xml:space="preserve">DRAFT OPINION 4: </w:t>
      </w:r>
      <w:r w:rsidRPr="005E18A8">
        <w:rPr>
          <w:rFonts w:asciiTheme="minorHAnsi" w:hAnsiTheme="minorHAnsi" w:cstheme="minorHAnsi"/>
          <w:b/>
          <w:bCs/>
          <w:sz w:val="28"/>
          <w:szCs w:val="28"/>
        </w:rPr>
        <w:t>I</w:t>
      </w:r>
      <w:r w:rsidR="005E18A8">
        <w:rPr>
          <w:rFonts w:asciiTheme="minorHAnsi" w:hAnsiTheme="minorHAnsi" w:cstheme="minorHAnsi"/>
          <w:b/>
          <w:bCs/>
          <w:sz w:val="28"/>
          <w:szCs w:val="28"/>
        </w:rPr>
        <w:t xml:space="preserve">n support of </w:t>
      </w:r>
      <w:r w:rsidRPr="005E18A8">
        <w:rPr>
          <w:rFonts w:asciiTheme="minorHAnsi" w:hAnsiTheme="minorHAnsi" w:cstheme="minorHAnsi"/>
          <w:b/>
          <w:bCs/>
          <w:sz w:val="28"/>
          <w:szCs w:val="28"/>
        </w:rPr>
        <w:t xml:space="preserve">IPv6 </w:t>
      </w:r>
      <w:r w:rsidR="005E18A8">
        <w:rPr>
          <w:rFonts w:asciiTheme="minorHAnsi" w:hAnsiTheme="minorHAnsi" w:cstheme="minorHAnsi"/>
          <w:b/>
          <w:bCs/>
          <w:sz w:val="28"/>
          <w:szCs w:val="28"/>
        </w:rPr>
        <w:t xml:space="preserve">adoption and </w:t>
      </w:r>
      <w:r w:rsidR="005E18A8">
        <w:rPr>
          <w:rFonts w:asciiTheme="minorHAnsi" w:hAnsiTheme="minorHAnsi" w:cstheme="minorHAnsi"/>
          <w:b/>
          <w:bCs/>
          <w:sz w:val="28"/>
          <w:szCs w:val="28"/>
        </w:rPr>
        <w:br/>
        <w:t xml:space="preserve">transition from </w:t>
      </w:r>
      <w:r w:rsidRPr="005E18A8">
        <w:rPr>
          <w:rFonts w:asciiTheme="minorHAnsi" w:hAnsiTheme="minorHAnsi" w:cstheme="minorHAnsi"/>
          <w:b/>
          <w:bCs/>
          <w:sz w:val="28"/>
          <w:szCs w:val="28"/>
        </w:rPr>
        <w:t xml:space="preserve">IPv4 </w:t>
      </w:r>
    </w:p>
    <w:p w:rsidR="007D1F2C" w:rsidRDefault="00AC1CD6" w:rsidP="009459EA">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7D1F2C" w:rsidRDefault="00AC1CD6" w:rsidP="009459EA">
      <w:pPr>
        <w:tabs>
          <w:tab w:val="left" w:pos="567"/>
          <w:tab w:val="left" w:pos="1440"/>
        </w:tabs>
        <w:spacing w:before="160" w:after="0" w:line="240" w:lineRule="auto"/>
        <w:jc w:val="both"/>
        <w:rPr>
          <w:rFonts w:eastAsia="Arial" w:cs="Times New Roman"/>
          <w:sz w:val="24"/>
          <w:szCs w:val="24"/>
          <w:lang w:val="en-CA"/>
        </w:rPr>
      </w:pPr>
      <w:r w:rsidRPr="00AC1CD6">
        <w:rPr>
          <w:rFonts w:cs="Times New Roman"/>
          <w:sz w:val="24"/>
          <w:szCs w:val="24"/>
        </w:rPr>
        <w:t>a)</w:t>
      </w:r>
      <w:r w:rsidRPr="00AC1CD6">
        <w:rPr>
          <w:rFonts w:cs="Times New Roman"/>
          <w:sz w:val="24"/>
          <w:szCs w:val="24"/>
        </w:rPr>
        <w:tab/>
      </w:r>
      <w:r w:rsidRPr="00AC1CD6">
        <w:rPr>
          <w:rFonts w:eastAsia="Arial" w:cs="Times New Roman"/>
          <w:sz w:val="24"/>
          <w:szCs w:val="24"/>
          <w:lang w:val="en-CA"/>
        </w:rPr>
        <w:t xml:space="preserve">WTSA Resolution 64 (Rev. Dubai, 2012) on the subject of IP address allocation and facilitating the transition to and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instructs the Director of the TSB in close collaboration with the Director of the BDT to:</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1)</w:t>
      </w:r>
      <w:r w:rsidR="00AC1CD6" w:rsidRPr="00AC1CD6">
        <w:rPr>
          <w:rFonts w:eastAsia="Arial" w:cs="Times New Roman"/>
          <w:sz w:val="24"/>
          <w:szCs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2)</w:t>
      </w:r>
      <w:r w:rsidR="00AC1CD6" w:rsidRPr="00AC1CD6">
        <w:rPr>
          <w:rFonts w:eastAsia="Arial" w:cs="Times New Roman"/>
          <w:sz w:val="24"/>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7D1F2C" w:rsidRDefault="009459EA" w:rsidP="009459EA">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3)</w:t>
      </w:r>
      <w:r w:rsidR="00AC1CD6" w:rsidRPr="00AC1CD6">
        <w:rPr>
          <w:rFonts w:eastAsia="Arial" w:cs="Times New Roman"/>
          <w:sz w:val="24"/>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7D1F2C" w:rsidRDefault="00AC1CD6" w:rsidP="009459EA">
      <w:pPr>
        <w:tabs>
          <w:tab w:val="left" w:pos="567"/>
          <w:tab w:val="left" w:pos="1134"/>
        </w:tabs>
        <w:spacing w:before="160" w:after="0" w:line="240" w:lineRule="auto"/>
        <w:ind w:left="567"/>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r>
      <w:proofErr w:type="gramStart"/>
      <w:r w:rsidRPr="00AC1CD6">
        <w:rPr>
          <w:rFonts w:eastAsia="Arial" w:cs="Times New Roman"/>
          <w:sz w:val="24"/>
          <w:szCs w:val="24"/>
        </w:rPr>
        <w:t>take</w:t>
      </w:r>
      <w:proofErr w:type="gramEnd"/>
      <w:r w:rsidRPr="00AC1CD6">
        <w:rPr>
          <w:rFonts w:eastAsia="Arial" w:cs="Times New Roman"/>
          <w:sz w:val="24"/>
          <w:szCs w:val="24"/>
        </w:rPr>
        <w:t xml:space="preserve"> appropriate action to facilitate the activities for Study Group 2 and Study Group 3 in the area of IP addresses and to report annually to the ITU Council and to WTSA 2016.</w:t>
      </w:r>
    </w:p>
    <w:p w:rsidR="007D1F2C" w:rsidRDefault="00AC1CD6" w:rsidP="009459EA">
      <w:pPr>
        <w:tabs>
          <w:tab w:val="left" w:pos="567"/>
        </w:tabs>
        <w:spacing w:before="160" w:after="0" w:line="240" w:lineRule="auto"/>
        <w:jc w:val="both"/>
        <w:outlineLvl w:val="0"/>
        <w:rPr>
          <w:rFonts w:cs="Times New Roman"/>
          <w:sz w:val="24"/>
          <w:szCs w:val="24"/>
          <w:lang w:bidi="en-US"/>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lastRenderedPageBreak/>
        <w:t>c)</w:t>
      </w:r>
      <w:r w:rsidRPr="00AC1CD6">
        <w:rPr>
          <w:rFonts w:cs="Times New Roman"/>
          <w:sz w:val="24"/>
          <w:szCs w:val="24"/>
        </w:rPr>
        <w:tab/>
        <w:t>the work of the IPv6 working group, that was established by the Council at its 2009 session, as well as related discussions in WTSA-12 (Dubai 2012);</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WTPF Opinion 5 (Lisbon, 2009) calling for acceleration of activities related to WTSA Resolution 64 (Johannesburg 2008);</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work of BDT and TSB already undertaken on the subject of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 address allocation and deployment is an important issue for Member States and Sector Members;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ongoing work of the RIRs, ISOC, and other stakeholders in the areas of IPv4 and IPv6,</w:t>
      </w:r>
    </w:p>
    <w:p w:rsidR="007D1F2C" w:rsidRDefault="00AC1CD6" w:rsidP="009459EA">
      <w:pPr>
        <w:tabs>
          <w:tab w:val="left" w:pos="720"/>
        </w:tabs>
        <w:spacing w:before="160" w:after="0" w:line="240" w:lineRule="auto"/>
        <w:jc w:val="both"/>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IANA functions operator has allocated the last IPv4 blocks to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  RIRs</w:t>
      </w:r>
      <w:proofErr w:type="gramEnd"/>
      <w:r w:rsidRPr="00AC1CD6">
        <w:rPr>
          <w:rFonts w:cs="Times New Roman"/>
          <w:sz w:val="24"/>
          <w:szCs w:val="24"/>
        </w:rPr>
        <w:t xml:space="preserve"> are close to exhausting their IPv4 allocations;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migration to IPv6 is gaining speed and that many prominent international web-based businesses have already implemented IPv6 portals;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IPv6’s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 xml:space="preserve">;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IPv6’s security, when enabled and configured with the appropriate key infrastructure, such as IPsec, will enhance authentication, encryption, confidentiality and integrity protection at the network layer;</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proportion of IPv6 traffic on the Internet remains very small;</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new entrant Internet service providers will continue to require access to IPv4 addresses for an indeterminate period of time;</w:t>
      </w:r>
    </w:p>
    <w:p w:rsidR="007D1F2C" w:rsidRDefault="00AC1CD6" w:rsidP="009459EA">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large blocks  of IPv4 address space were allocated to individual companies and organizations prior to the establishment of the RIRs and that the status of some legacy address space is unclear;</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j)</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 growing market has developed in the transfer of IPv4 addresses between entities with a significant proportion of transferred addresses from legacy allocations which are not subject to the relevant policies of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k)</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consistent with the policies developed through the RIRs, all IP numbers continue to be allocated for use on a needs basis and should be returned to the numbering pool when no longer needed,</w:t>
      </w:r>
    </w:p>
    <w:p w:rsidR="007D1F2C" w:rsidRDefault="00AF1A95" w:rsidP="009459EA">
      <w:pPr>
        <w:tabs>
          <w:tab w:val="left" w:pos="720"/>
        </w:tabs>
        <w:spacing w:before="160" w:after="0" w:line="240" w:lineRule="auto"/>
        <w:jc w:val="both"/>
        <w:rPr>
          <w:rFonts w:cs="Times New Roman"/>
          <w:sz w:val="24"/>
          <w:szCs w:val="24"/>
        </w:rPr>
      </w:pPr>
      <w:r>
        <w:rPr>
          <w:rFonts w:cs="Times New Roman"/>
          <w:i/>
          <w:sz w:val="24"/>
          <w:szCs w:val="24"/>
        </w:rPr>
        <w:tab/>
      </w:r>
      <w:proofErr w:type="gramStart"/>
      <w:r w:rsidR="00AC1CD6" w:rsidRPr="00AC1CD6">
        <w:rPr>
          <w:rFonts w:cs="Times New Roman"/>
          <w:i/>
          <w:sz w:val="24"/>
          <w:szCs w:val="24"/>
        </w:rPr>
        <w:t>recognizing</w:t>
      </w:r>
      <w:proofErr w:type="gramEnd"/>
      <w:r w:rsidR="00AC1CD6" w:rsidRPr="00AC1CD6">
        <w:rPr>
          <w:rFonts w:cs="Times New Roman"/>
          <w:i/>
          <w:sz w:val="24"/>
          <w:szCs w:val="24"/>
        </w:rPr>
        <w:t xml:space="preserve"> further</w:t>
      </w:r>
    </w:p>
    <w:p w:rsidR="007D1F2C" w:rsidRDefault="00AC1CD6" w:rsidP="009459EA">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transfers of IPv4 addresses that are not coordinated through the RIRs could have undesirable consequences;</w:t>
      </w:r>
      <w:r w:rsidRPr="00AC1CD6">
        <w:rPr>
          <w:rFonts w:cs="Times New Roman"/>
          <w:color w:val="000000"/>
          <w:sz w:val="24"/>
          <w:szCs w:val="24"/>
        </w:rPr>
        <w:tab/>
      </w:r>
    </w:p>
    <w:p w:rsidR="007D1F2C" w:rsidRDefault="009459EA" w:rsidP="009459EA">
      <w:pPr>
        <w:tabs>
          <w:tab w:val="left" w:pos="567"/>
        </w:tabs>
        <w:spacing w:before="160" w:after="0" w:line="240" w:lineRule="auto"/>
        <w:jc w:val="both"/>
        <w:rPr>
          <w:rFonts w:cs="Times New Roman"/>
          <w:sz w:val="24"/>
          <w:szCs w:val="24"/>
        </w:rPr>
      </w:pPr>
      <w:r>
        <w:rPr>
          <w:rFonts w:cs="Times New Roman"/>
          <w:sz w:val="24"/>
          <w:szCs w:val="24"/>
        </w:rPr>
        <w:lastRenderedPageBreak/>
        <w:t>b)</w:t>
      </w:r>
      <w:r w:rsidR="00AC1CD6" w:rsidRPr="00AC1CD6">
        <w:rPr>
          <w:rFonts w:cs="Times New Roman"/>
          <w:sz w:val="24"/>
          <w:szCs w:val="24"/>
        </w:rPr>
        <w:tab/>
      </w:r>
      <w:proofErr w:type="gramStart"/>
      <w:r w:rsidR="00AC1CD6" w:rsidRPr="00AC1CD6">
        <w:rPr>
          <w:rFonts w:cs="Times New Roman"/>
          <w:sz w:val="24"/>
          <w:szCs w:val="24"/>
        </w:rPr>
        <w:t>that</w:t>
      </w:r>
      <w:proofErr w:type="gramEnd"/>
      <w:r w:rsidR="00AC1CD6" w:rsidRPr="00AC1CD6">
        <w:rPr>
          <w:rFonts w:cs="Times New Roman"/>
          <w:sz w:val="24"/>
          <w:szCs w:val="24"/>
        </w:rPr>
        <w:t xml:space="preserve"> such consequences could be minimized by accelerating the transition to IPv6,</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encourage and facilitate the transition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facilitate the optimal use of IPv4 addresses, including legacy addresses and by inter-region transfers; </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plans and policies should continue to be in place to allow new entrant ISPs to enter the market via access to a reasonable block of IPv4 addresses at reasonable prices;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d) </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needs-based address allocation should continue to underpin IP address allocation, irrespective of whether they are IPv6 or IPv4 addresses;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all IPv4 transactions should continue to be reported to the relevant RIRs;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policies of inter RIR transfer across all RIRs should work to ensure that such transfers are needs based and be common to all RIRs irrespective of the address space concerned;</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g) </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plans and policies should be in place to address the issue of legacy addresses which may not be subject to current policies of the RIRs,</w:t>
      </w:r>
    </w:p>
    <w:p w:rsidR="007D1F2C" w:rsidRDefault="00AC1CD6" w:rsidP="009459EA">
      <w:pPr>
        <w:pStyle w:val="ListParagraph"/>
        <w:tabs>
          <w:tab w:val="left" w:pos="720"/>
        </w:tabs>
        <w:spacing w:before="160" w:after="0" w:line="240" w:lineRule="auto"/>
        <w:ind w:left="0"/>
        <w:contextualSpacing w:val="0"/>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p>
    <w:p w:rsidR="007D1F2C" w:rsidRDefault="00AC1CD6" w:rsidP="009459EA">
      <w:pPr>
        <w:pStyle w:val="ListParagraph"/>
        <w:tabs>
          <w:tab w:val="left" w:pos="567"/>
        </w:tabs>
        <w:spacing w:before="160" w:after="0" w:line="240" w:lineRule="auto"/>
        <w:ind w:left="0"/>
        <w:contextualSpacing w:val="0"/>
        <w:jc w:val="both"/>
        <w:rPr>
          <w:rFonts w:cs="Times New Roman"/>
          <w:sz w:val="24"/>
          <w:szCs w:val="24"/>
        </w:rPr>
      </w:pPr>
      <w:r w:rsidRPr="00AC1CD6">
        <w:rPr>
          <w:rFonts w:cs="Times New Roman"/>
          <w:sz w:val="24"/>
          <w:szCs w:val="24"/>
        </w:rPr>
        <w:t>a)</w:t>
      </w:r>
      <w:bookmarkStart w:id="0" w:name="_GoBack"/>
      <w:bookmarkEnd w:id="0"/>
      <w:r w:rsidRPr="00AC1CD6">
        <w:rPr>
          <w:rFonts w:cs="Times New Roman"/>
          <w:sz w:val="24"/>
          <w:szCs w:val="24"/>
        </w:rPr>
        <w:tab/>
        <w:t xml:space="preserve">Member States to take appropriate measures to </w:t>
      </w:r>
      <w:proofErr w:type="gramStart"/>
      <w:r w:rsidRPr="00AC1CD6">
        <w:rPr>
          <w:rFonts w:cs="Times New Roman"/>
          <w:sz w:val="24"/>
          <w:szCs w:val="24"/>
        </w:rPr>
        <w:t>encourage,</w:t>
      </w:r>
      <w:proofErr w:type="gramEnd"/>
      <w:r w:rsidRPr="00AC1CD6">
        <w:rPr>
          <w:rFonts w:cs="Times New Roman"/>
          <w:sz w:val="24"/>
          <w:szCs w:val="24"/>
        </w:rPr>
        <w:t xml:space="preserve"> facilitate and support the fastest possible adoption and migration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Membership to promote affordable IPv6 compliant products and services as quickly as possible;</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 xml:space="preserve">c) </w:t>
      </w:r>
      <w:r w:rsidRPr="00AC1CD6">
        <w:rPr>
          <w:rFonts w:cs="Times New Roman"/>
          <w:sz w:val="24"/>
          <w:szCs w:val="24"/>
        </w:rPr>
        <w:tab/>
        <w:t>Member States to contribute to the Council Working Group on International Internet-related Public Policy Issues on matters pertaining to the Internet and the management of Internet resources, including addresses;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8E464A" w:rsidRDefault="00AC1CD6" w:rsidP="009459EA">
      <w:pPr>
        <w:spacing w:before="160" w:after="0" w:line="240" w:lineRule="auto"/>
        <w:jc w:val="center"/>
        <w:rPr>
          <w:rFonts w:cs="Times New Roman"/>
          <w:b/>
          <w:bCs/>
          <w:sz w:val="24"/>
          <w:szCs w:val="24"/>
        </w:rPr>
      </w:pPr>
      <w:r w:rsidRPr="00AC1CD6">
        <w:rPr>
          <w:rFonts w:cs="Times New Roman"/>
          <w:sz w:val="24"/>
          <w:szCs w:val="24"/>
        </w:rPr>
        <w:t>____________________________</w:t>
      </w:r>
    </w:p>
    <w:sectPr w:rsidR="008E464A"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78" w:rsidRDefault="00450278" w:rsidP="00087C07">
      <w:pPr>
        <w:spacing w:after="0" w:line="240" w:lineRule="auto"/>
      </w:pPr>
      <w:r>
        <w:separator/>
      </w:r>
    </w:p>
  </w:endnote>
  <w:endnote w:type="continuationSeparator" w:id="0">
    <w:p w:rsidR="00450278" w:rsidRDefault="00450278"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78" w:rsidRDefault="00450278" w:rsidP="00087C07">
      <w:pPr>
        <w:spacing w:after="0" w:line="240" w:lineRule="auto"/>
      </w:pPr>
      <w:r>
        <w:separator/>
      </w:r>
    </w:p>
  </w:footnote>
  <w:footnote w:type="continuationSeparator" w:id="0">
    <w:p w:rsidR="00450278" w:rsidRDefault="00450278"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78" w:rsidRPr="00F903D7" w:rsidRDefault="00450278"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AD6DBC">
      <w:rPr>
        <w:noProof/>
        <w:sz w:val="18"/>
        <w:szCs w:val="18"/>
      </w:rPr>
      <w:t>3</w:t>
    </w:r>
    <w:r w:rsidRPr="00F903D7">
      <w:rPr>
        <w:noProof/>
        <w:sz w:val="18"/>
        <w:szCs w:val="18"/>
      </w:rPr>
      <w:fldChar w:fldCharType="end"/>
    </w:r>
  </w:p>
  <w:p w:rsidR="00F903D7" w:rsidRDefault="00F903D7" w:rsidP="00AD6DBC">
    <w:pPr>
      <w:pStyle w:val="Header"/>
      <w:jc w:val="center"/>
      <w:rPr>
        <w:sz w:val="20"/>
        <w:szCs w:val="20"/>
      </w:rPr>
    </w:pPr>
    <w:r w:rsidRPr="00F903D7">
      <w:rPr>
        <w:sz w:val="20"/>
        <w:szCs w:val="20"/>
      </w:rPr>
      <w:t>WTPF-13/</w:t>
    </w:r>
    <w:r w:rsidR="00AD6DBC">
      <w:rPr>
        <w:sz w:val="20"/>
        <w:szCs w:val="20"/>
      </w:rPr>
      <w:t>DT/4</w:t>
    </w:r>
    <w:r w:rsidRPr="00F903D7">
      <w:rPr>
        <w:sz w:val="20"/>
        <w:szCs w:val="20"/>
      </w:rPr>
      <w:t>-E</w:t>
    </w:r>
  </w:p>
  <w:p w:rsidR="00F903D7" w:rsidRPr="00F903D7" w:rsidRDefault="00F903D7"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6"/>
  </w:num>
  <w:num w:numId="3">
    <w:abstractNumId w:val="29"/>
  </w:num>
  <w:num w:numId="4">
    <w:abstractNumId w:val="0"/>
  </w:num>
  <w:num w:numId="5">
    <w:abstractNumId w:val="23"/>
  </w:num>
  <w:num w:numId="6">
    <w:abstractNumId w:val="33"/>
  </w:num>
  <w:num w:numId="7">
    <w:abstractNumId w:val="16"/>
  </w:num>
  <w:num w:numId="8">
    <w:abstractNumId w:val="6"/>
  </w:num>
  <w:num w:numId="9">
    <w:abstractNumId w:val="40"/>
  </w:num>
  <w:num w:numId="10">
    <w:abstractNumId w:val="17"/>
  </w:num>
  <w:num w:numId="11">
    <w:abstractNumId w:val="24"/>
  </w:num>
  <w:num w:numId="12">
    <w:abstractNumId w:val="18"/>
  </w:num>
  <w:num w:numId="13">
    <w:abstractNumId w:val="8"/>
  </w:num>
  <w:num w:numId="14">
    <w:abstractNumId w:val="2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35"/>
  </w:num>
  <w:num w:numId="20">
    <w:abstractNumId w:val="19"/>
  </w:num>
  <w:num w:numId="21">
    <w:abstractNumId w:val="25"/>
  </w:num>
  <w:num w:numId="22">
    <w:abstractNumId w:val="42"/>
  </w:num>
  <w:num w:numId="23">
    <w:abstractNumId w:val="3"/>
  </w:num>
  <w:num w:numId="24">
    <w:abstractNumId w:val="9"/>
  </w:num>
  <w:num w:numId="25">
    <w:abstractNumId w:val="34"/>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0D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8A8"/>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C68"/>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6DBC"/>
    <w:rsid w:val="00AD7F72"/>
    <w:rsid w:val="00AE06DF"/>
    <w:rsid w:val="00AE0E53"/>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965"/>
    <w:rsid w:val="00E13AF0"/>
    <w:rsid w:val="00E14E5A"/>
    <w:rsid w:val="00E152EB"/>
    <w:rsid w:val="00E155D3"/>
    <w:rsid w:val="00E15866"/>
    <w:rsid w:val="00E15E5E"/>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CA19-86B9-4B4E-BA6E-9C28BB99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2013-05-15T08:55:00Z</dcterms:created>
  <dcterms:modified xsi:type="dcterms:W3CDTF">2013-05-15T08:57:00Z</dcterms:modified>
</cp:coreProperties>
</file>