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7C73BA" w:rsidTr="009345DB">
        <w:tc>
          <w:tcPr>
            <w:tcW w:w="9243" w:type="dxa"/>
          </w:tcPr>
          <w:p w:rsidR="007C73BA" w:rsidRDefault="007C73BA" w:rsidP="009345DB">
            <w:pPr>
              <w:tabs>
                <w:tab w:val="left" w:pos="709"/>
              </w:tabs>
              <w:spacing w:before="100" w:beforeAutospacing="1" w:after="100" w:afterAutospacing="1"/>
              <w:ind w:left="-567"/>
              <w:rPr>
                <w:szCs w:val="24"/>
              </w:rPr>
            </w:pPr>
            <w:r>
              <w:rPr>
                <w:noProof/>
                <w:szCs w:val="24"/>
                <w:lang w:val="en-US" w:eastAsia="zh-CN"/>
              </w:rPr>
              <w:drawing>
                <wp:inline distT="0" distB="0" distL="0" distR="0" wp14:anchorId="0B386A10" wp14:editId="0E49AF99">
                  <wp:extent cx="5732145" cy="90233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3BA" w:rsidRPr="00450278" w:rsidTr="009345DB">
        <w:tc>
          <w:tcPr>
            <w:tcW w:w="9243" w:type="dxa"/>
            <w:tcBorders>
              <w:bottom w:val="single" w:sz="12" w:space="0" w:color="auto"/>
            </w:tcBorders>
          </w:tcPr>
          <w:p w:rsidR="007C73BA" w:rsidRPr="00450278" w:rsidRDefault="007C73BA" w:rsidP="009345DB">
            <w:pPr>
              <w:pStyle w:val="Header"/>
              <w:spacing w:line="360" w:lineRule="auto"/>
              <w:ind w:left="142"/>
              <w:jc w:val="left"/>
              <w:rPr>
                <w:noProof/>
              </w:rPr>
            </w:pPr>
            <w:proofErr w:type="spellStart"/>
            <w:r>
              <w:rPr>
                <w:sz w:val="28"/>
                <w:szCs w:val="28"/>
              </w:rPr>
              <w:t>Ginebra</w:t>
            </w:r>
            <w:proofErr w:type="spellEnd"/>
            <w:r w:rsidRPr="00450278">
              <w:rPr>
                <w:sz w:val="28"/>
                <w:szCs w:val="28"/>
              </w:rPr>
              <w:t xml:space="preserve">, 14-16 </w:t>
            </w:r>
            <w:r>
              <w:rPr>
                <w:sz w:val="28"/>
                <w:szCs w:val="28"/>
              </w:rPr>
              <w:t>de m</w:t>
            </w:r>
            <w:r w:rsidRPr="0045027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yo de</w:t>
            </w:r>
            <w:r w:rsidRPr="00450278">
              <w:rPr>
                <w:sz w:val="28"/>
                <w:szCs w:val="28"/>
              </w:rPr>
              <w:t xml:space="preserve"> 2013</w:t>
            </w:r>
          </w:p>
        </w:tc>
      </w:tr>
      <w:tr w:rsidR="007C73BA" w:rsidRPr="00261B45" w:rsidTr="009345DB">
        <w:tc>
          <w:tcPr>
            <w:tcW w:w="9243" w:type="dxa"/>
            <w:tcBorders>
              <w:top w:val="single" w:sz="12" w:space="0" w:color="auto"/>
            </w:tcBorders>
          </w:tcPr>
          <w:p w:rsidR="007C73BA" w:rsidRPr="007C73BA" w:rsidRDefault="007C73BA" w:rsidP="007C73BA">
            <w:pPr>
              <w:pStyle w:val="Normalaftertitle"/>
              <w:jc w:val="center"/>
              <w:rPr>
                <w:b/>
                <w:caps/>
                <w:szCs w:val="24"/>
                <w:lang w:val="es-ES_tradnl"/>
              </w:rPr>
            </w:pPr>
            <w:r w:rsidRPr="007C73BA">
              <w:rPr>
                <w:rFonts w:asciiTheme="minorHAnsi" w:hAnsiTheme="minorHAnsi" w:cstheme="minorHAnsi"/>
                <w:b/>
                <w:caps/>
                <w:szCs w:val="28"/>
                <w:lang w:val="es-ES"/>
              </w:rPr>
              <w:t>PROYECTO DE OPINIÓN</w:t>
            </w:r>
            <w:r w:rsidRPr="007C73BA">
              <w:rPr>
                <w:rFonts w:asciiTheme="minorHAnsi" w:hAnsiTheme="minorHAnsi" w:cstheme="minorHAnsi"/>
                <w:b/>
                <w:caps/>
                <w:szCs w:val="28"/>
                <w:lang w:val="es-ES"/>
              </w:rPr>
              <w:t xml:space="preserve"> 3</w:t>
            </w:r>
            <w:r w:rsidRPr="007C73BA">
              <w:rPr>
                <w:rFonts w:asciiTheme="minorHAnsi" w:hAnsiTheme="minorHAnsi" w:cstheme="minorHAnsi"/>
                <w:b/>
                <w:caps/>
                <w:szCs w:val="28"/>
                <w:lang w:val="es-ES"/>
              </w:rPr>
              <w:t>: Apoyar la capacitación</w:t>
            </w:r>
            <w:r w:rsidRPr="007C73BA">
              <w:rPr>
                <w:rFonts w:asciiTheme="minorHAnsi" w:hAnsiTheme="minorHAnsi" w:cstheme="minorHAnsi"/>
                <w:b/>
                <w:caps/>
                <w:szCs w:val="28"/>
                <w:lang w:val="es-ES"/>
              </w:rPr>
              <w:br/>
              <w:t>para la implantación de IPv6</w:t>
            </w:r>
          </w:p>
        </w:tc>
      </w:tr>
    </w:tbl>
    <w:p w:rsidR="001C0F7A" w:rsidRPr="004F620D" w:rsidRDefault="001C0F7A" w:rsidP="00B2538C">
      <w:pPr>
        <w:pStyle w:val="Normalaftertitle"/>
        <w:rPr>
          <w:lang w:val="es-ES"/>
        </w:rPr>
      </w:pPr>
      <w:r w:rsidRPr="004F620D">
        <w:rPr>
          <w:lang w:val="es-ES"/>
        </w:rPr>
        <w:t xml:space="preserve">El </w:t>
      </w:r>
      <w:r>
        <w:rPr>
          <w:lang w:val="es-ES"/>
        </w:rPr>
        <w:t>quinto</w:t>
      </w:r>
      <w:r w:rsidRPr="004F620D">
        <w:rPr>
          <w:lang w:val="es-ES"/>
        </w:rPr>
        <w:t xml:space="preserve"> Foro Mundial de Política de las Telecomunicaciones</w:t>
      </w:r>
      <w:r>
        <w:rPr>
          <w:lang w:val="es-ES"/>
        </w:rPr>
        <w:t>/TIC</w:t>
      </w:r>
      <w:r w:rsidRPr="004F620D">
        <w:rPr>
          <w:lang w:val="es-ES"/>
        </w:rPr>
        <w:t xml:space="preserve"> (G</w:t>
      </w:r>
      <w:r>
        <w:rPr>
          <w:lang w:val="es-ES"/>
        </w:rPr>
        <w:t>inebr</w:t>
      </w:r>
      <w:r w:rsidRPr="004F620D">
        <w:rPr>
          <w:lang w:val="es-ES"/>
        </w:rPr>
        <w:t>a, 2013),</w:t>
      </w:r>
    </w:p>
    <w:p w:rsidR="001C0F7A" w:rsidRPr="004F620D" w:rsidRDefault="001C0F7A" w:rsidP="00B2538C">
      <w:pPr>
        <w:pStyle w:val="Call"/>
        <w:rPr>
          <w:lang w:val="es-ES"/>
        </w:rPr>
      </w:pPr>
      <w:proofErr w:type="gramStart"/>
      <w:r>
        <w:rPr>
          <w:lang w:val="es-ES"/>
        </w:rPr>
        <w:t>considerando</w:t>
      </w:r>
      <w:proofErr w:type="gramEnd"/>
      <w:r w:rsidRPr="004F620D">
        <w:rPr>
          <w:lang w:val="es-ES"/>
        </w:rPr>
        <w:t xml:space="preserve"> </w:t>
      </w:r>
    </w:p>
    <w:p w:rsidR="001C0F7A" w:rsidRDefault="001C0F7A" w:rsidP="000B6059">
      <w:pPr>
        <w:rPr>
          <w:lang w:val="es-ES"/>
        </w:rPr>
      </w:pPr>
      <w:r>
        <w:rPr>
          <w:lang w:val="es-ES"/>
        </w:rPr>
        <w:t>a)</w:t>
      </w:r>
      <w:r w:rsidR="00F143F0">
        <w:rPr>
          <w:lang w:val="es-ES"/>
        </w:rPr>
        <w:tab/>
      </w:r>
      <w:r>
        <w:rPr>
          <w:lang w:val="es-ES"/>
        </w:rPr>
        <w:t>el éxito de la</w:t>
      </w:r>
      <w:r w:rsidRPr="00D01867">
        <w:rPr>
          <w:lang w:val="es-ES"/>
        </w:rPr>
        <w:t xml:space="preserve"> Resolución 64 (Rev. </w:t>
      </w:r>
      <w:proofErr w:type="spellStart"/>
      <w:r w:rsidRPr="00D01867">
        <w:rPr>
          <w:lang w:val="es-ES"/>
        </w:rPr>
        <w:t>Dubai</w:t>
      </w:r>
      <w:proofErr w:type="spellEnd"/>
      <w:r w:rsidR="00CD4FD5">
        <w:rPr>
          <w:lang w:val="es-ES"/>
        </w:rPr>
        <w:t>,</w:t>
      </w:r>
      <w:r w:rsidRPr="00D01867">
        <w:rPr>
          <w:lang w:val="es-ES"/>
        </w:rPr>
        <w:t xml:space="preserve"> 2012) sobre Asignación de direcciones IP y </w:t>
      </w:r>
      <w:r>
        <w:rPr>
          <w:lang w:val="es-ES"/>
        </w:rPr>
        <w:t>el fomento de la implantación de</w:t>
      </w:r>
      <w:r w:rsidRPr="00D01867">
        <w:rPr>
          <w:lang w:val="es-ES"/>
        </w:rPr>
        <w:t xml:space="preserve"> IPv6</w:t>
      </w:r>
      <w:r>
        <w:rPr>
          <w:lang w:val="es-ES"/>
        </w:rPr>
        <w:t>,</w:t>
      </w:r>
      <w:r w:rsidRPr="00D01867">
        <w:rPr>
          <w:lang w:val="es-ES"/>
        </w:rPr>
        <w:t xml:space="preserve"> en la que, entre otras cosas, se encarga al Director de la Oficina de Normalización de las Telecomunicaci</w:t>
      </w:r>
      <w:bookmarkStart w:id="0" w:name="_GoBack"/>
      <w:bookmarkEnd w:id="0"/>
      <w:r w:rsidRPr="00D01867">
        <w:rPr>
          <w:lang w:val="es-ES"/>
        </w:rPr>
        <w:t>ones que</w:t>
      </w:r>
      <w:r>
        <w:rPr>
          <w:lang w:val="es-ES"/>
        </w:rPr>
        <w:t xml:space="preserve"> emprenda tareas</w:t>
      </w:r>
      <w:r w:rsidRPr="00D01867">
        <w:rPr>
          <w:lang w:val="es-ES"/>
        </w:rPr>
        <w:t>, en estrecha colaboración con el Director de la Oficina de Desarrollo de las Telecomunicaciones</w:t>
      </w:r>
      <w:r>
        <w:rPr>
          <w:lang w:val="es-ES"/>
        </w:rPr>
        <w:t>;</w:t>
      </w:r>
    </w:p>
    <w:p w:rsidR="001C0F7A" w:rsidRDefault="001C0F7A" w:rsidP="00F143F0">
      <w:pPr>
        <w:rPr>
          <w:lang w:val="es-ES"/>
        </w:rPr>
      </w:pPr>
      <w:r>
        <w:rPr>
          <w:lang w:val="es-ES"/>
        </w:rPr>
        <w:t>b)</w:t>
      </w:r>
      <w:r w:rsidR="00F143F0">
        <w:rPr>
          <w:lang w:val="es-ES"/>
        </w:rPr>
        <w:tab/>
      </w:r>
      <w:r>
        <w:rPr>
          <w:lang w:val="es-ES"/>
        </w:rPr>
        <w:t>l</w:t>
      </w:r>
      <w:r w:rsidRPr="00A110CF">
        <w:rPr>
          <w:lang w:val="es-ES"/>
        </w:rPr>
        <w:t>a Resolución 180 de la Conferencia de Plenipotenciarios (Guadalajara, 2010)</w:t>
      </w:r>
      <w:r>
        <w:rPr>
          <w:lang w:val="es-ES"/>
        </w:rPr>
        <w:t>, titulada</w:t>
      </w:r>
      <w:r w:rsidRPr="00A110CF">
        <w:rPr>
          <w:lang w:val="es-ES"/>
        </w:rPr>
        <w:t xml:space="preserve"> Facilitar la transición de IPv4 a IPv6</w:t>
      </w:r>
      <w:r>
        <w:rPr>
          <w:lang w:val="es-ES"/>
        </w:rPr>
        <w:t>;</w:t>
      </w:r>
    </w:p>
    <w:p w:rsidR="001C0F7A" w:rsidRDefault="001C0F7A" w:rsidP="00B148AC">
      <w:pPr>
        <w:rPr>
          <w:lang w:val="es-ES"/>
        </w:rPr>
      </w:pPr>
      <w:r>
        <w:rPr>
          <w:lang w:val="es-ES"/>
        </w:rPr>
        <w:t>c)</w:t>
      </w:r>
      <w:r w:rsidR="00F143F0">
        <w:rPr>
          <w:lang w:val="es-ES"/>
        </w:rPr>
        <w:tab/>
      </w:r>
      <w:r>
        <w:rPr>
          <w:lang w:val="es-ES"/>
        </w:rPr>
        <w:t>la labor del Grupo de Trabajo sobre el IPv6, que fue creado por el Consejo</w:t>
      </w:r>
      <w:r w:rsidR="00A53ED5">
        <w:rPr>
          <w:lang w:val="es-ES"/>
        </w:rPr>
        <w:t xml:space="preserve"> </w:t>
      </w:r>
      <w:r>
        <w:rPr>
          <w:lang w:val="es-ES"/>
        </w:rPr>
        <w:t>en su reunión de 2009, así como las discusiones conexas en el marco de la AMNT-12 (</w:t>
      </w:r>
      <w:proofErr w:type="spellStart"/>
      <w:r>
        <w:rPr>
          <w:lang w:val="es-ES"/>
        </w:rPr>
        <w:t>Dubai</w:t>
      </w:r>
      <w:proofErr w:type="spellEnd"/>
      <w:r>
        <w:rPr>
          <w:lang w:val="es-ES"/>
        </w:rPr>
        <w:t>);</w:t>
      </w:r>
    </w:p>
    <w:p w:rsidR="001C0F7A" w:rsidRDefault="001C0F7A" w:rsidP="00F143F0">
      <w:pPr>
        <w:rPr>
          <w:lang w:val="es-ES"/>
        </w:rPr>
      </w:pPr>
      <w:r>
        <w:rPr>
          <w:lang w:val="es-ES"/>
        </w:rPr>
        <w:t>d)</w:t>
      </w:r>
      <w:r w:rsidR="00F143F0">
        <w:rPr>
          <w:lang w:val="es-ES"/>
        </w:rPr>
        <w:tab/>
      </w:r>
      <w:r>
        <w:rPr>
          <w:lang w:val="es-ES"/>
        </w:rPr>
        <w:t xml:space="preserve">la Opinión 5 del FMPT (Lisboa, 2009) en la que se pide que se aceleren las actividades </w:t>
      </w:r>
      <w:proofErr w:type="gramStart"/>
      <w:r>
        <w:rPr>
          <w:lang w:val="es-ES"/>
        </w:rPr>
        <w:t>relacionadas</w:t>
      </w:r>
      <w:proofErr w:type="gramEnd"/>
      <w:r>
        <w:rPr>
          <w:lang w:val="es-ES"/>
        </w:rPr>
        <w:t xml:space="preserve"> con la Resolución 64 de la AMNT;</w:t>
      </w:r>
    </w:p>
    <w:p w:rsidR="001C0F7A" w:rsidRDefault="001C0F7A" w:rsidP="00F143F0">
      <w:pPr>
        <w:rPr>
          <w:lang w:val="es-ES"/>
        </w:rPr>
      </w:pPr>
      <w:r>
        <w:rPr>
          <w:lang w:val="es-ES"/>
        </w:rPr>
        <w:t>e)</w:t>
      </w:r>
      <w:r w:rsidR="00F143F0">
        <w:rPr>
          <w:lang w:val="es-ES"/>
        </w:rPr>
        <w:tab/>
      </w:r>
      <w:r>
        <w:rPr>
          <w:lang w:val="es-ES"/>
        </w:rPr>
        <w:t>la labor que ya han emprendido la BDT y la TSB sobre la cuestión de IPv6;</w:t>
      </w:r>
    </w:p>
    <w:p w:rsidR="001C0F7A" w:rsidRDefault="001C0F7A" w:rsidP="00F143F0">
      <w:pPr>
        <w:rPr>
          <w:lang w:val="es-ES"/>
        </w:rPr>
      </w:pPr>
      <w:r>
        <w:rPr>
          <w:lang w:val="es-ES"/>
        </w:rPr>
        <w:t>f)</w:t>
      </w:r>
      <w:r w:rsidR="00F143F0">
        <w:rPr>
          <w:lang w:val="es-ES"/>
        </w:rPr>
        <w:tab/>
      </w:r>
      <w:r>
        <w:rPr>
          <w:lang w:val="es-ES"/>
        </w:rPr>
        <w:t>que la atribución e implantación de direcciones IPv6 es una cuestión importante para los Estados Miembros y los Miembros de Sector;</w:t>
      </w:r>
    </w:p>
    <w:p w:rsidR="001C0F7A" w:rsidRDefault="001C0F7A" w:rsidP="00F143F0">
      <w:pPr>
        <w:rPr>
          <w:lang w:val="es-ES"/>
        </w:rPr>
      </w:pPr>
      <w:r>
        <w:rPr>
          <w:lang w:val="es-ES"/>
        </w:rPr>
        <w:t>g)</w:t>
      </w:r>
      <w:r w:rsidR="00F143F0">
        <w:rPr>
          <w:lang w:val="es-ES"/>
        </w:rPr>
        <w:tab/>
      </w:r>
      <w:r>
        <w:rPr>
          <w:lang w:val="es-ES"/>
        </w:rPr>
        <w:t>la labor en curso de los RIR, la ISOC y otras partes interesadas en los ámbitos de IPv4 e IPv6,</w:t>
      </w:r>
    </w:p>
    <w:p w:rsidR="001C0F7A" w:rsidRPr="00B2538C" w:rsidRDefault="001C0F7A" w:rsidP="00B2538C">
      <w:pPr>
        <w:pStyle w:val="Call"/>
        <w:rPr>
          <w:lang w:val="es-ES"/>
        </w:rPr>
      </w:pPr>
      <w:proofErr w:type="gramStart"/>
      <w:r w:rsidRPr="00B2538C">
        <w:rPr>
          <w:lang w:val="es-ES"/>
        </w:rPr>
        <w:t>reconociendo</w:t>
      </w:r>
      <w:proofErr w:type="gramEnd"/>
    </w:p>
    <w:p w:rsidR="001C0F7A" w:rsidRPr="00F143F0" w:rsidRDefault="001C0F7A" w:rsidP="00F143F0">
      <w:pPr>
        <w:rPr>
          <w:lang w:val="es-ES"/>
        </w:rPr>
      </w:pPr>
      <w:r w:rsidRPr="00F143F0">
        <w:rPr>
          <w:lang w:val="es-ES"/>
        </w:rPr>
        <w:t>a)</w:t>
      </w:r>
      <w:r w:rsidR="00F143F0" w:rsidRPr="00F143F0">
        <w:rPr>
          <w:lang w:val="es-ES"/>
        </w:rPr>
        <w:tab/>
      </w:r>
      <w:r w:rsidRPr="00F143F0">
        <w:rPr>
          <w:lang w:val="es-ES"/>
        </w:rPr>
        <w:t>que el IANA ha atribuido los últimos bloques IPv4 a los RIR;</w:t>
      </w:r>
    </w:p>
    <w:p w:rsidR="001C0F7A" w:rsidRPr="00F143F0" w:rsidRDefault="001C0F7A" w:rsidP="00F143F0">
      <w:pPr>
        <w:rPr>
          <w:lang w:val="es-ES"/>
        </w:rPr>
      </w:pPr>
      <w:r w:rsidRPr="00F143F0">
        <w:rPr>
          <w:lang w:val="es-ES"/>
        </w:rPr>
        <w:t>b)</w:t>
      </w:r>
      <w:r w:rsidR="00F143F0" w:rsidRPr="00F143F0">
        <w:rPr>
          <w:lang w:val="es-ES"/>
        </w:rPr>
        <w:tab/>
      </w:r>
      <w:r w:rsidRPr="00F143F0">
        <w:rPr>
          <w:lang w:val="es-ES"/>
        </w:rPr>
        <w:t>que los RIR han adoptado medidas para gestionar los bloques IPv4 restantes;</w:t>
      </w:r>
    </w:p>
    <w:p w:rsidR="001C0F7A" w:rsidRPr="00F143F0" w:rsidRDefault="001C0F7A" w:rsidP="00F143F0">
      <w:pPr>
        <w:rPr>
          <w:lang w:val="es-ES"/>
        </w:rPr>
      </w:pPr>
      <w:r w:rsidRPr="00F143F0">
        <w:rPr>
          <w:lang w:val="es-ES"/>
        </w:rPr>
        <w:t>c)</w:t>
      </w:r>
      <w:r w:rsidR="00F143F0" w:rsidRPr="00F143F0">
        <w:rPr>
          <w:lang w:val="es-ES"/>
        </w:rPr>
        <w:tab/>
      </w:r>
      <w:r w:rsidRPr="00F143F0">
        <w:rPr>
          <w:lang w:val="es-ES"/>
        </w:rPr>
        <w:t>que se está acelerando la migración a IPv6 y que muchas empresas importantes basadas en la web ya han implantado portales IPv6;</w:t>
      </w:r>
    </w:p>
    <w:p w:rsidR="001C0F7A" w:rsidRPr="00F143F0" w:rsidRDefault="001C0F7A" w:rsidP="00F143F0">
      <w:pPr>
        <w:rPr>
          <w:lang w:val="es-ES"/>
        </w:rPr>
      </w:pPr>
      <w:r w:rsidRPr="00F143F0">
        <w:rPr>
          <w:lang w:val="es-ES"/>
        </w:rPr>
        <w:t>d)</w:t>
      </w:r>
      <w:r w:rsidR="00F143F0" w:rsidRPr="00F143F0">
        <w:rPr>
          <w:lang w:val="es-ES"/>
        </w:rPr>
        <w:tab/>
      </w:r>
      <w:r w:rsidRPr="00F143F0">
        <w:rPr>
          <w:lang w:val="es-ES"/>
        </w:rPr>
        <w:t>que el enorme espacio de direcciones de IPv6 hace posible la conectividad global a un número mucho mayor de dispositivos, teléfonos móviles, computadoras portátiles, computadoras a bordo de vehículos, televisiones, cámaras, sensores de edificios, aparatos médicos, etc.;</w:t>
      </w:r>
    </w:p>
    <w:p w:rsidR="001C0F7A" w:rsidRPr="00F143F0" w:rsidRDefault="001C0F7A" w:rsidP="00F143F0">
      <w:pPr>
        <w:rPr>
          <w:lang w:val="es-ES"/>
        </w:rPr>
      </w:pPr>
      <w:r w:rsidRPr="00F143F0">
        <w:rPr>
          <w:lang w:val="es-ES"/>
        </w:rPr>
        <w:t>e)</w:t>
      </w:r>
      <w:r w:rsidR="00F143F0" w:rsidRPr="00F143F0">
        <w:rPr>
          <w:lang w:val="es-ES"/>
        </w:rPr>
        <w:tab/>
      </w:r>
      <w:r w:rsidRPr="00F143F0">
        <w:rPr>
          <w:lang w:val="es-ES"/>
        </w:rPr>
        <w:t xml:space="preserve">que la seguridad de IPv6, cuando se haya puesto en servicio y configurado con la infraestructura clave apropiada, en forma de </w:t>
      </w:r>
      <w:proofErr w:type="spellStart"/>
      <w:r w:rsidRPr="00F143F0">
        <w:rPr>
          <w:lang w:val="es-ES"/>
        </w:rPr>
        <w:t>I</w:t>
      </w:r>
      <w:r w:rsidR="00B148AC" w:rsidRPr="00F143F0">
        <w:rPr>
          <w:lang w:val="es-ES"/>
        </w:rPr>
        <w:t>P</w:t>
      </w:r>
      <w:r w:rsidRPr="00F143F0">
        <w:rPr>
          <w:lang w:val="es-ES"/>
        </w:rPr>
        <w:t>sec</w:t>
      </w:r>
      <w:proofErr w:type="spellEnd"/>
      <w:r w:rsidRPr="00F143F0">
        <w:rPr>
          <w:lang w:val="es-ES"/>
        </w:rPr>
        <w:t xml:space="preserve">, mejorará la autenticación, la </w:t>
      </w:r>
      <w:proofErr w:type="spellStart"/>
      <w:r w:rsidRPr="00F143F0">
        <w:rPr>
          <w:lang w:val="es-ES"/>
        </w:rPr>
        <w:t>criptación</w:t>
      </w:r>
      <w:proofErr w:type="spellEnd"/>
      <w:r w:rsidRPr="00F143F0">
        <w:rPr>
          <w:lang w:val="es-ES"/>
        </w:rPr>
        <w:t>, la</w:t>
      </w:r>
      <w:r w:rsidR="00A53ED5">
        <w:rPr>
          <w:lang w:val="es-ES"/>
        </w:rPr>
        <w:t xml:space="preserve"> </w:t>
      </w:r>
      <w:r w:rsidRPr="00F143F0">
        <w:rPr>
          <w:lang w:val="es-ES"/>
        </w:rPr>
        <w:t xml:space="preserve">confidencialidad y la protección de la integridad en la capa de red; </w:t>
      </w:r>
    </w:p>
    <w:p w:rsidR="001C0F7A" w:rsidRPr="00F143F0" w:rsidRDefault="001C0F7A" w:rsidP="00F143F0">
      <w:pPr>
        <w:rPr>
          <w:lang w:val="es-ES"/>
        </w:rPr>
      </w:pPr>
      <w:r w:rsidRPr="00F143F0">
        <w:rPr>
          <w:lang w:val="es-ES"/>
        </w:rPr>
        <w:t>f)</w:t>
      </w:r>
      <w:r w:rsidR="00F143F0" w:rsidRPr="00F143F0">
        <w:rPr>
          <w:lang w:val="es-ES"/>
        </w:rPr>
        <w:tab/>
      </w:r>
      <w:r w:rsidRPr="00F143F0">
        <w:rPr>
          <w:lang w:val="es-ES"/>
        </w:rPr>
        <w:t>que, ello no obstante, la proporción del tráfico de IPv6 en Internet sigue siendo muy reducida;</w:t>
      </w:r>
    </w:p>
    <w:p w:rsidR="00F143F0" w:rsidRDefault="00F143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1C0F7A" w:rsidRDefault="001C0F7A" w:rsidP="00F143F0">
      <w:pPr>
        <w:rPr>
          <w:lang w:val="es-ES"/>
        </w:rPr>
      </w:pPr>
      <w:r>
        <w:rPr>
          <w:lang w:val="es-ES"/>
        </w:rPr>
        <w:lastRenderedPageBreak/>
        <w:t>g)</w:t>
      </w:r>
      <w:r w:rsidR="00F143F0">
        <w:rPr>
          <w:lang w:val="es-ES"/>
        </w:rPr>
        <w:tab/>
      </w:r>
      <w:r>
        <w:rPr>
          <w:lang w:val="es-ES"/>
        </w:rPr>
        <w:t xml:space="preserve">que, debido a la oportunidad de explotar IPv4 e IPv6 en paralelo, ya sea por medio del doble protocolo o de la </w:t>
      </w:r>
      <w:proofErr w:type="spellStart"/>
      <w:r>
        <w:rPr>
          <w:lang w:val="es-ES"/>
        </w:rPr>
        <w:t>tunelización</w:t>
      </w:r>
      <w:proofErr w:type="spellEnd"/>
      <w:r>
        <w:rPr>
          <w:lang w:val="es-ES"/>
        </w:rPr>
        <w:t>, habrá una necesidad de direcciones IPv4 por un periodo indeterminado hasta que se disponga de una masa crítica de usuarios y servicios a través de direcciones IPv6;</w:t>
      </w:r>
    </w:p>
    <w:p w:rsidR="001C0F7A" w:rsidRDefault="001C0F7A" w:rsidP="00F143F0">
      <w:pPr>
        <w:rPr>
          <w:lang w:val="es-ES"/>
        </w:rPr>
      </w:pPr>
      <w:r>
        <w:rPr>
          <w:lang w:val="es-ES"/>
        </w:rPr>
        <w:t>h)</w:t>
      </w:r>
      <w:r w:rsidR="00F143F0">
        <w:rPr>
          <w:lang w:val="es-ES"/>
        </w:rPr>
        <w:tab/>
      </w:r>
      <w:r>
        <w:rPr>
          <w:lang w:val="es-ES"/>
        </w:rPr>
        <w:t>que los nuevos proveedores de servicio de Internet seguirán requiriendo el acceso a direcciones IPv4 por un periodo de tiempo indeterminado;</w:t>
      </w:r>
    </w:p>
    <w:p w:rsidR="001C0F7A" w:rsidRDefault="001C0F7A" w:rsidP="00F143F0">
      <w:pPr>
        <w:rPr>
          <w:lang w:val="es-ES"/>
        </w:rPr>
      </w:pPr>
      <w:r>
        <w:rPr>
          <w:lang w:val="es-ES"/>
        </w:rPr>
        <w:t>i)</w:t>
      </w:r>
      <w:r w:rsidR="00F143F0">
        <w:rPr>
          <w:lang w:val="es-ES"/>
        </w:rPr>
        <w:tab/>
      </w:r>
      <w:r>
        <w:rPr>
          <w:lang w:val="es-ES"/>
        </w:rPr>
        <w:t xml:space="preserve">que los RIR han concebido políticas específicas para la distribución de los últimos bloques de direcciones IPv4 a fin de garantizar que las redes nuevas e incipientes reciban una pequeña cantidad de IPv4 para el próximo futuro; </w:t>
      </w:r>
    </w:p>
    <w:p w:rsidR="001C0F7A" w:rsidRDefault="001C0F7A" w:rsidP="00F143F0">
      <w:pPr>
        <w:rPr>
          <w:lang w:val="es-ES"/>
        </w:rPr>
      </w:pPr>
      <w:r>
        <w:rPr>
          <w:lang w:val="es-ES"/>
        </w:rPr>
        <w:t>j)</w:t>
      </w:r>
      <w:r w:rsidR="00F143F0">
        <w:rPr>
          <w:lang w:val="es-ES"/>
        </w:rPr>
        <w:tab/>
      </w:r>
      <w:r>
        <w:rPr>
          <w:lang w:val="es-ES"/>
        </w:rPr>
        <w:t>que algunos RIR están tratando de reclamar el espacio de direcciones IPv4 que se atribuyó en grandes bloques a empresas particulares y organizaciones antes de la creación de los RIR;</w:t>
      </w:r>
    </w:p>
    <w:p w:rsidR="001C0F7A" w:rsidRDefault="001C0F7A" w:rsidP="00F143F0">
      <w:pPr>
        <w:rPr>
          <w:lang w:val="es-ES"/>
        </w:rPr>
      </w:pPr>
      <w:r>
        <w:rPr>
          <w:lang w:val="es-ES"/>
        </w:rPr>
        <w:t>k)</w:t>
      </w:r>
      <w:r w:rsidR="00F143F0">
        <w:rPr>
          <w:lang w:val="es-ES"/>
        </w:rPr>
        <w:tab/>
      </w:r>
      <w:r>
        <w:rPr>
          <w:lang w:val="es-ES"/>
        </w:rPr>
        <w:t>que se ha desarrollado un mercado creciente para la transferencia de direcciones IPv4 entre entidades y que una importante proporción de las direcciones transferidas procede de atribuciones tradicionales que no están sujetas a las políticas correspondientes de los RIR;</w:t>
      </w:r>
      <w:r w:rsidR="00A53ED5">
        <w:rPr>
          <w:lang w:val="es-ES"/>
        </w:rPr>
        <w:t xml:space="preserve"> </w:t>
      </w:r>
    </w:p>
    <w:p w:rsidR="001C0F7A" w:rsidRDefault="00B148AC" w:rsidP="00F143F0">
      <w:pPr>
        <w:rPr>
          <w:lang w:val="es-ES"/>
        </w:rPr>
      </w:pPr>
      <w:r>
        <w:rPr>
          <w:lang w:val="es-ES"/>
        </w:rPr>
        <w:t>l</w:t>
      </w:r>
      <w:r w:rsidR="001C0F7A">
        <w:rPr>
          <w:lang w:val="es-ES"/>
        </w:rPr>
        <w:t>)</w:t>
      </w:r>
      <w:r w:rsidR="00F143F0">
        <w:rPr>
          <w:lang w:val="es-ES"/>
        </w:rPr>
        <w:tab/>
      </w:r>
      <w:r w:rsidR="001C0F7A">
        <w:rPr>
          <w:lang w:val="es-ES"/>
        </w:rPr>
        <w:t>que los Directores de la TSB y de la BDT han:</w:t>
      </w:r>
    </w:p>
    <w:p w:rsidR="001C0F7A" w:rsidRDefault="001C0F7A" w:rsidP="00F143F0">
      <w:pPr>
        <w:pStyle w:val="enumlev1"/>
        <w:rPr>
          <w:lang w:val="es-ES"/>
        </w:rPr>
      </w:pPr>
      <w:r>
        <w:rPr>
          <w:lang w:val="es-ES"/>
        </w:rPr>
        <w:t>1)</w:t>
      </w:r>
      <w:r w:rsidR="00F143F0">
        <w:rPr>
          <w:lang w:val="es-ES"/>
        </w:rPr>
        <w:tab/>
      </w:r>
      <w:r>
        <w:rPr>
          <w:lang w:val="es-ES"/>
        </w:rPr>
        <w:t>puesto en marcha un</w:t>
      </w:r>
      <w:r w:rsidR="00A53ED5">
        <w:rPr>
          <w:lang w:val="es-ES"/>
        </w:rPr>
        <w:t xml:space="preserve"> </w:t>
      </w:r>
      <w:r>
        <w:rPr>
          <w:lang w:val="es-ES"/>
        </w:rPr>
        <w:t>proyecto para prestar asistencia a los países en desarrollo, respondiendo a sus necesidades regionales según fueron determinadas por la Oficina de Desarrollo de las Telecomunicaciones</w:t>
      </w:r>
      <w:r w:rsidR="00B148AC">
        <w:rPr>
          <w:lang w:val="es-ES"/>
        </w:rPr>
        <w:t xml:space="preserve"> (BDT)</w:t>
      </w:r>
      <w:r>
        <w:rPr>
          <w:lang w:val="es-ES"/>
        </w:rPr>
        <w:t>; este proyecto debería llevarse a cabo conjuntamente por la Oficina de Normalización de las Telecomunicaciones (TSB) y la BDT, teniendo en cuenta la implicación de aquellos asociados que estén dispuestos a sumarse y aportar su experiencia práctica;</w:t>
      </w:r>
    </w:p>
    <w:p w:rsidR="001C0F7A" w:rsidRDefault="001C0F7A" w:rsidP="00B148AC">
      <w:pPr>
        <w:pStyle w:val="enumlev1"/>
        <w:rPr>
          <w:lang w:val="es-ES"/>
        </w:rPr>
      </w:pPr>
      <w:r>
        <w:rPr>
          <w:lang w:val="es-ES"/>
        </w:rPr>
        <w:t>2)</w:t>
      </w:r>
      <w:r w:rsidR="00F143F0">
        <w:rPr>
          <w:lang w:val="es-ES"/>
        </w:rPr>
        <w:tab/>
      </w:r>
      <w:r>
        <w:rPr>
          <w:lang w:val="es-ES"/>
        </w:rPr>
        <w:t xml:space="preserve">creado un sitio web </w:t>
      </w:r>
      <w:r w:rsidRPr="00545EA8">
        <w:rPr>
          <w:lang w:val="es-ES"/>
        </w:rPr>
        <w:t xml:space="preserve">en el que se facilita información sobre las actividades relacionadas con IPv6 que se llevan a cabo en todo el mundo para dar a conocer y poner de manifiesto la importancia que reviste la implantación de IPv6 para todos los </w:t>
      </w:r>
      <w:r w:rsidR="00B148AC">
        <w:rPr>
          <w:lang w:val="es-ES"/>
        </w:rPr>
        <w:t>m</w:t>
      </w:r>
      <w:r w:rsidRPr="00545EA8">
        <w:rPr>
          <w:lang w:val="es-ES"/>
        </w:rPr>
        <w:t xml:space="preserve">iembros de la UIT y las entidades interesadas, y con información sobre los eventos de formación que emprenden la UIT y distintas organizaciones pertinentes (por ejemplo, los registros regionales de Internet (RIR), los grupos de operadores de red y la Internet </w:t>
      </w:r>
      <w:proofErr w:type="spellStart"/>
      <w:r w:rsidRPr="00545EA8">
        <w:rPr>
          <w:lang w:val="es-ES"/>
        </w:rPr>
        <w:t>Society</w:t>
      </w:r>
      <w:proofErr w:type="spellEnd"/>
      <w:r w:rsidRPr="00545EA8">
        <w:rPr>
          <w:lang w:val="es-ES"/>
        </w:rPr>
        <w:t xml:space="preserve"> (ISOC));</w:t>
      </w:r>
      <w:r>
        <w:rPr>
          <w:lang w:val="es-ES"/>
        </w:rPr>
        <w:t xml:space="preserve"> </w:t>
      </w:r>
    </w:p>
    <w:p w:rsidR="001C0F7A" w:rsidRDefault="001C0F7A" w:rsidP="00F143F0">
      <w:pPr>
        <w:pStyle w:val="enumlev1"/>
        <w:rPr>
          <w:lang w:val="es-ES"/>
        </w:rPr>
      </w:pPr>
      <w:r>
        <w:rPr>
          <w:lang w:val="es-ES"/>
        </w:rPr>
        <w:t>3)</w:t>
      </w:r>
      <w:r w:rsidR="00F143F0">
        <w:rPr>
          <w:lang w:val="es-ES"/>
        </w:rPr>
        <w:tab/>
      </w:r>
      <w:r>
        <w:rPr>
          <w:lang w:val="es-ES"/>
        </w:rPr>
        <w:t>promovido la sensibilización acerca de la importancia de la implantación de IPv6, a fin de facilitar actividades de formación conjuntas que impliquen a los expertos apropiados de las entidades pertinentes, y para facilitar información a los países en desarrollo;</w:t>
      </w:r>
    </w:p>
    <w:p w:rsidR="001C0F7A" w:rsidRDefault="001C0F7A" w:rsidP="00F143F0">
      <w:pPr>
        <w:pStyle w:val="enumlev1"/>
        <w:rPr>
          <w:lang w:val="es-ES"/>
        </w:rPr>
      </w:pPr>
      <w:r>
        <w:rPr>
          <w:lang w:val="es-ES"/>
        </w:rPr>
        <w:t>4)</w:t>
      </w:r>
      <w:r w:rsidR="00F143F0">
        <w:rPr>
          <w:lang w:val="es-ES"/>
        </w:rPr>
        <w:tab/>
      </w:r>
      <w:r>
        <w:rPr>
          <w:lang w:val="es-ES"/>
        </w:rPr>
        <w:t>estudiado la atribución y el registro de las direcciones IPv6 e informado al Consejo de la UIT en 2012,</w:t>
      </w:r>
    </w:p>
    <w:p w:rsidR="001C0F7A" w:rsidRPr="00B2538C" w:rsidRDefault="001C0F7A" w:rsidP="00B2538C">
      <w:pPr>
        <w:pStyle w:val="Call"/>
        <w:rPr>
          <w:lang w:val="es-ES"/>
        </w:rPr>
      </w:pPr>
      <w:proofErr w:type="gramStart"/>
      <w:r w:rsidRPr="00B2538C">
        <w:rPr>
          <w:lang w:val="es-ES"/>
        </w:rPr>
        <w:t>reconociendo</w:t>
      </w:r>
      <w:proofErr w:type="gramEnd"/>
      <w:r w:rsidRPr="00B2538C">
        <w:rPr>
          <w:lang w:val="es-ES"/>
        </w:rPr>
        <w:t xml:space="preserve"> además</w:t>
      </w:r>
    </w:p>
    <w:p w:rsidR="001C0F7A" w:rsidRPr="00F143F0" w:rsidRDefault="001C0F7A" w:rsidP="00F143F0">
      <w:pPr>
        <w:rPr>
          <w:lang w:val="es-ES"/>
        </w:rPr>
      </w:pPr>
      <w:r w:rsidRPr="00F143F0">
        <w:rPr>
          <w:lang w:val="es-ES"/>
        </w:rPr>
        <w:t>a)</w:t>
      </w:r>
      <w:r w:rsidR="00F143F0" w:rsidRPr="00F143F0">
        <w:rPr>
          <w:lang w:val="es-ES"/>
        </w:rPr>
        <w:tab/>
      </w:r>
      <w:r w:rsidRPr="00F143F0">
        <w:rPr>
          <w:lang w:val="es-ES"/>
        </w:rPr>
        <w:t>que los RIR están formulando políticas para gestionar la transferencia interregional de espacio de direcciones, fundamentadas en la demanda de direcciones IPv4 basada en las necesidades;</w:t>
      </w:r>
    </w:p>
    <w:p w:rsidR="001C0F7A" w:rsidRPr="00F143F0" w:rsidRDefault="001C0F7A" w:rsidP="00F143F0">
      <w:pPr>
        <w:rPr>
          <w:lang w:val="es-ES"/>
        </w:rPr>
      </w:pPr>
      <w:r w:rsidRPr="00F143F0">
        <w:rPr>
          <w:lang w:val="es-ES"/>
        </w:rPr>
        <w:t>b)</w:t>
      </w:r>
      <w:r w:rsidR="00F143F0" w:rsidRPr="00F143F0">
        <w:rPr>
          <w:lang w:val="es-ES"/>
        </w:rPr>
        <w:tab/>
      </w:r>
      <w:r w:rsidRPr="00F143F0">
        <w:rPr>
          <w:lang w:val="es-ES"/>
        </w:rPr>
        <w:t xml:space="preserve">que la atribución de direcciones basada en las necesidades debería seguir siendo la base para la atribución de direcciones IP, con independencia de que se trate de IPv4 o de IPv6 y, en el caso de IPv4, con independencia de que se trate de espacio de direcciones del legado o atribuido; </w:t>
      </w:r>
    </w:p>
    <w:p w:rsidR="001C0F7A" w:rsidRPr="00F143F0" w:rsidRDefault="001C0F7A" w:rsidP="00F143F0">
      <w:pPr>
        <w:rPr>
          <w:lang w:val="es-ES"/>
        </w:rPr>
      </w:pPr>
      <w:r w:rsidRPr="00F143F0">
        <w:rPr>
          <w:lang w:val="es-ES"/>
        </w:rPr>
        <w:t>c)</w:t>
      </w:r>
      <w:r w:rsidR="00F143F0" w:rsidRPr="00F143F0">
        <w:rPr>
          <w:lang w:val="es-ES"/>
        </w:rPr>
        <w:tab/>
      </w:r>
      <w:r w:rsidRPr="00F143F0">
        <w:rPr>
          <w:lang w:val="es-ES"/>
        </w:rPr>
        <w:t xml:space="preserve">que se informe de todas las transacciones de IPv4 a los RIR correspondientes, incluidas las transacciones de direcciones del legado que no estén necesariamente sujetas a las políticas de los </w:t>
      </w:r>
      <w:r w:rsidRPr="00F143F0">
        <w:rPr>
          <w:lang w:val="es-ES"/>
        </w:rPr>
        <w:lastRenderedPageBreak/>
        <w:t>RIR en relación con las transferencias, como se propugna en las políticas elaboradas por las comunidades de RIR;</w:t>
      </w:r>
    </w:p>
    <w:p w:rsidR="001C0F7A" w:rsidRPr="00F143F0" w:rsidRDefault="001C0F7A" w:rsidP="00F143F0">
      <w:pPr>
        <w:rPr>
          <w:lang w:val="es-ES"/>
        </w:rPr>
      </w:pPr>
      <w:r w:rsidRPr="00F143F0">
        <w:rPr>
          <w:lang w:val="es-ES"/>
        </w:rPr>
        <w:t>d)</w:t>
      </w:r>
      <w:r w:rsidR="00F143F0" w:rsidRPr="00F143F0">
        <w:rPr>
          <w:lang w:val="es-ES"/>
        </w:rPr>
        <w:tab/>
      </w:r>
      <w:r w:rsidRPr="00F143F0">
        <w:rPr>
          <w:lang w:val="es-ES"/>
        </w:rPr>
        <w:t>que los problemas relacionados con IPv4 pueden reducirse al mínimo acelerando la transición a IPv6,</w:t>
      </w:r>
    </w:p>
    <w:p w:rsidR="001C0F7A" w:rsidRPr="00B2538C" w:rsidRDefault="001C0F7A" w:rsidP="00F143F0">
      <w:pPr>
        <w:pStyle w:val="Call"/>
        <w:rPr>
          <w:lang w:val="es-ES"/>
        </w:rPr>
      </w:pPr>
      <w:proofErr w:type="gramStart"/>
      <w:r w:rsidRPr="00B2538C">
        <w:rPr>
          <w:lang w:val="es-ES"/>
        </w:rPr>
        <w:t>considera</w:t>
      </w:r>
      <w:proofErr w:type="gramEnd"/>
    </w:p>
    <w:p w:rsidR="001C0F7A" w:rsidRDefault="001C0F7A" w:rsidP="00F143F0">
      <w:pPr>
        <w:rPr>
          <w:lang w:val="es-ES"/>
        </w:rPr>
      </w:pPr>
      <w:r>
        <w:rPr>
          <w:lang w:val="es-ES"/>
        </w:rPr>
        <w:t>a)</w:t>
      </w:r>
      <w:r w:rsidR="00F143F0">
        <w:rPr>
          <w:lang w:val="es-ES"/>
        </w:rPr>
        <w:tab/>
      </w:r>
      <w:r>
        <w:rPr>
          <w:lang w:val="es-ES"/>
        </w:rPr>
        <w:t>que debería hacerse todo lo posible para fomentar y facilitar la transición a IPv6;</w:t>
      </w:r>
    </w:p>
    <w:p w:rsidR="001C0F7A" w:rsidRDefault="001C0F7A" w:rsidP="00F143F0">
      <w:pPr>
        <w:rPr>
          <w:lang w:val="es-ES"/>
        </w:rPr>
      </w:pPr>
      <w:r>
        <w:rPr>
          <w:lang w:val="es-ES"/>
        </w:rPr>
        <w:t>b)</w:t>
      </w:r>
      <w:r w:rsidR="00F143F0">
        <w:rPr>
          <w:lang w:val="es-ES"/>
        </w:rPr>
        <w:tab/>
      </w:r>
      <w:r>
        <w:rPr>
          <w:lang w:val="es-ES"/>
        </w:rPr>
        <w:t xml:space="preserve">que las políticas de transferencia entre RIR aplicables a todos los RIR deberían garantizar que dichas transferencias se basan en las necesidades y son comunes a todos los RIR, cualquiera que sea el espacio de direcciones de que se trate; </w:t>
      </w:r>
    </w:p>
    <w:p w:rsidR="001C0F7A" w:rsidRDefault="001C0F7A" w:rsidP="00F143F0">
      <w:pPr>
        <w:rPr>
          <w:lang w:val="es-ES"/>
        </w:rPr>
      </w:pPr>
      <w:r>
        <w:rPr>
          <w:lang w:val="es-ES"/>
        </w:rPr>
        <w:t>c)</w:t>
      </w:r>
      <w:r w:rsidR="00F143F0">
        <w:rPr>
          <w:lang w:val="es-ES"/>
        </w:rPr>
        <w:tab/>
      </w:r>
      <w:r>
        <w:rPr>
          <w:lang w:val="es-ES"/>
        </w:rPr>
        <w:t xml:space="preserve">que los Estados Miembros y Miembros de Sector deberían fomentar la disponibilidad en el menor plazo posible de equipos en las instalaciones del cliente (CPE) asequibles y compatibles con IPv6, </w:t>
      </w:r>
    </w:p>
    <w:p w:rsidR="001C0F7A" w:rsidRPr="00B2538C" w:rsidRDefault="001C0F7A" w:rsidP="00B2538C">
      <w:pPr>
        <w:pStyle w:val="Call"/>
        <w:rPr>
          <w:lang w:val="es-ES"/>
        </w:rPr>
      </w:pPr>
      <w:proofErr w:type="gramStart"/>
      <w:r w:rsidRPr="00B2538C">
        <w:rPr>
          <w:lang w:val="es-ES"/>
        </w:rPr>
        <w:t>invita</w:t>
      </w:r>
      <w:proofErr w:type="gramEnd"/>
    </w:p>
    <w:p w:rsidR="001C0F7A" w:rsidRDefault="001C0F7A" w:rsidP="00F143F0">
      <w:pPr>
        <w:rPr>
          <w:lang w:val="es-ES"/>
        </w:rPr>
      </w:pPr>
      <w:r>
        <w:rPr>
          <w:lang w:val="es-ES"/>
        </w:rPr>
        <w:t>a)</w:t>
      </w:r>
      <w:r w:rsidR="00F143F0">
        <w:rPr>
          <w:lang w:val="es-ES"/>
        </w:rPr>
        <w:tab/>
      </w:r>
      <w:r>
        <w:rPr>
          <w:lang w:val="es-ES"/>
        </w:rPr>
        <w:t>a los Estados Miembros a estudiar políticas e incentivos destinados a fomentar, facilitar y apoyar la adopción y migración más rápida que sea posible a IPv6 dentro de sus jurisdicciones;</w:t>
      </w:r>
    </w:p>
    <w:p w:rsidR="001C0F7A" w:rsidRDefault="001C0F7A" w:rsidP="00F143F0">
      <w:pPr>
        <w:rPr>
          <w:lang w:val="es-ES"/>
        </w:rPr>
      </w:pPr>
      <w:r>
        <w:rPr>
          <w:lang w:val="es-ES"/>
        </w:rPr>
        <w:t>b)</w:t>
      </w:r>
      <w:r w:rsidR="00F143F0">
        <w:rPr>
          <w:lang w:val="es-ES"/>
        </w:rPr>
        <w:tab/>
      </w:r>
      <w:r>
        <w:rPr>
          <w:lang w:val="es-ES"/>
        </w:rPr>
        <w:t>a los Miembros de Sector con empresas en la web e Internet a proponer sus servicios a través de IPv6</w:t>
      </w:r>
      <w:r w:rsidR="00A53ED5">
        <w:rPr>
          <w:lang w:val="es-ES"/>
        </w:rPr>
        <w:t xml:space="preserve"> </w:t>
      </w:r>
      <w:r>
        <w:rPr>
          <w:lang w:val="es-ES"/>
        </w:rPr>
        <w:t xml:space="preserve">en el menor plazo posible. </w:t>
      </w:r>
    </w:p>
    <w:p w:rsidR="00F143F0" w:rsidRPr="00A53ED5" w:rsidRDefault="00F143F0" w:rsidP="0032202E">
      <w:pPr>
        <w:pStyle w:val="Reasons"/>
        <w:rPr>
          <w:lang w:val="es-ES_tradnl"/>
        </w:rPr>
      </w:pPr>
    </w:p>
    <w:p w:rsidR="00F143F0" w:rsidRDefault="00F143F0">
      <w:pPr>
        <w:jc w:val="center"/>
      </w:pPr>
      <w:r>
        <w:t>______________</w:t>
      </w:r>
    </w:p>
    <w:p w:rsidR="002559B5" w:rsidRPr="001C0F7A" w:rsidRDefault="002559B5" w:rsidP="0032202E">
      <w:pPr>
        <w:pStyle w:val="Reasons"/>
        <w:rPr>
          <w:lang w:val="es-ES_tradnl"/>
        </w:rPr>
      </w:pPr>
    </w:p>
    <w:sectPr w:rsidR="002559B5" w:rsidRPr="001C0F7A" w:rsidSect="004D1851">
      <w:headerReference w:type="defaul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52" w:rsidRDefault="00CE6652">
      <w:r>
        <w:separator/>
      </w:r>
    </w:p>
  </w:endnote>
  <w:endnote w:type="continuationSeparator" w:id="0">
    <w:p w:rsidR="00CE6652" w:rsidRDefault="00CE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52" w:rsidRDefault="00CE6652">
      <w:r>
        <w:t>____________________</w:t>
      </w:r>
    </w:p>
  </w:footnote>
  <w:footnote w:type="continuationSeparator" w:id="0">
    <w:p w:rsidR="00CE6652" w:rsidRDefault="00CE6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7C73BA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D5B78"/>
    <w:multiLevelType w:val="hybridMultilevel"/>
    <w:tmpl w:val="1D186C50"/>
    <w:lvl w:ilvl="0" w:tplc="2B48C44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384A"/>
    <w:multiLevelType w:val="hybridMultilevel"/>
    <w:tmpl w:val="69AA01D6"/>
    <w:lvl w:ilvl="0" w:tplc="168E9C7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2056B"/>
    <w:multiLevelType w:val="hybridMultilevel"/>
    <w:tmpl w:val="B05667D8"/>
    <w:lvl w:ilvl="0" w:tplc="168E9C7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82328"/>
    <w:multiLevelType w:val="hybridMultilevel"/>
    <w:tmpl w:val="22DA6442"/>
    <w:lvl w:ilvl="0" w:tplc="5EAC6640">
      <w:start w:val="1"/>
      <w:numFmt w:val="lowerLetter"/>
      <w:lvlText w:val="%1)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52"/>
    <w:rsid w:val="00011809"/>
    <w:rsid w:val="00063016"/>
    <w:rsid w:val="00076AF6"/>
    <w:rsid w:val="00080C15"/>
    <w:rsid w:val="00085CF2"/>
    <w:rsid w:val="000A7F07"/>
    <w:rsid w:val="000B1705"/>
    <w:rsid w:val="000B6059"/>
    <w:rsid w:val="000D75B2"/>
    <w:rsid w:val="001121F5"/>
    <w:rsid w:val="00140CE1"/>
    <w:rsid w:val="0015738D"/>
    <w:rsid w:val="00162F53"/>
    <w:rsid w:val="0017539C"/>
    <w:rsid w:val="00175AC2"/>
    <w:rsid w:val="0017609F"/>
    <w:rsid w:val="001C0F7A"/>
    <w:rsid w:val="001C628E"/>
    <w:rsid w:val="001E0F7B"/>
    <w:rsid w:val="00200310"/>
    <w:rsid w:val="002119FD"/>
    <w:rsid w:val="002130E0"/>
    <w:rsid w:val="002372F7"/>
    <w:rsid w:val="002559B5"/>
    <w:rsid w:val="00265875"/>
    <w:rsid w:val="0027303B"/>
    <w:rsid w:val="0028109B"/>
    <w:rsid w:val="002B1F58"/>
    <w:rsid w:val="002C1C7A"/>
    <w:rsid w:val="002E2B05"/>
    <w:rsid w:val="0030160F"/>
    <w:rsid w:val="00322D0D"/>
    <w:rsid w:val="00325A40"/>
    <w:rsid w:val="0034352B"/>
    <w:rsid w:val="003942D4"/>
    <w:rsid w:val="003958A8"/>
    <w:rsid w:val="003C2533"/>
    <w:rsid w:val="0040435A"/>
    <w:rsid w:val="00431D9E"/>
    <w:rsid w:val="00433CE8"/>
    <w:rsid w:val="00434A5C"/>
    <w:rsid w:val="004544D9"/>
    <w:rsid w:val="0048422F"/>
    <w:rsid w:val="00490E72"/>
    <w:rsid w:val="004921C8"/>
    <w:rsid w:val="004927DC"/>
    <w:rsid w:val="004937A5"/>
    <w:rsid w:val="004950BE"/>
    <w:rsid w:val="004D1851"/>
    <w:rsid w:val="004D599D"/>
    <w:rsid w:val="004E2EA5"/>
    <w:rsid w:val="004E3AEB"/>
    <w:rsid w:val="0050223C"/>
    <w:rsid w:val="005133A8"/>
    <w:rsid w:val="00515DBC"/>
    <w:rsid w:val="005243FF"/>
    <w:rsid w:val="00564FBC"/>
    <w:rsid w:val="00573EC1"/>
    <w:rsid w:val="00582442"/>
    <w:rsid w:val="005B6F26"/>
    <w:rsid w:val="006535F1"/>
    <w:rsid w:val="0065557D"/>
    <w:rsid w:val="00662984"/>
    <w:rsid w:val="0067234E"/>
    <w:rsid w:val="006837B5"/>
    <w:rsid w:val="006B6DCC"/>
    <w:rsid w:val="006D37AB"/>
    <w:rsid w:val="006F2B15"/>
    <w:rsid w:val="007266F7"/>
    <w:rsid w:val="0075051B"/>
    <w:rsid w:val="00784790"/>
    <w:rsid w:val="00792B13"/>
    <w:rsid w:val="00794D34"/>
    <w:rsid w:val="007C73BA"/>
    <w:rsid w:val="00813E5E"/>
    <w:rsid w:val="0083581B"/>
    <w:rsid w:val="00864AFF"/>
    <w:rsid w:val="008B4A6A"/>
    <w:rsid w:val="008C7E27"/>
    <w:rsid w:val="008E1DF6"/>
    <w:rsid w:val="009173EF"/>
    <w:rsid w:val="00932906"/>
    <w:rsid w:val="00961B0B"/>
    <w:rsid w:val="00996A1F"/>
    <w:rsid w:val="009B544E"/>
    <w:rsid w:val="009C4E56"/>
    <w:rsid w:val="009D2829"/>
    <w:rsid w:val="009E17BD"/>
    <w:rsid w:val="00A04CEC"/>
    <w:rsid w:val="00A2101E"/>
    <w:rsid w:val="00A27F92"/>
    <w:rsid w:val="00A32257"/>
    <w:rsid w:val="00A53ED5"/>
    <w:rsid w:val="00A55622"/>
    <w:rsid w:val="00A66B20"/>
    <w:rsid w:val="00A83502"/>
    <w:rsid w:val="00A91A9D"/>
    <w:rsid w:val="00AB6124"/>
    <w:rsid w:val="00AD0F06"/>
    <w:rsid w:val="00AD72F3"/>
    <w:rsid w:val="00AE6776"/>
    <w:rsid w:val="00AF6E49"/>
    <w:rsid w:val="00B00DFE"/>
    <w:rsid w:val="00B04A67"/>
    <w:rsid w:val="00B0583C"/>
    <w:rsid w:val="00B148AC"/>
    <w:rsid w:val="00B2538C"/>
    <w:rsid w:val="00B40A81"/>
    <w:rsid w:val="00B44910"/>
    <w:rsid w:val="00B72267"/>
    <w:rsid w:val="00B76EB6"/>
    <w:rsid w:val="00B824C8"/>
    <w:rsid w:val="00BC251A"/>
    <w:rsid w:val="00BC3068"/>
    <w:rsid w:val="00BD032B"/>
    <w:rsid w:val="00BE2640"/>
    <w:rsid w:val="00C01189"/>
    <w:rsid w:val="00C374DE"/>
    <w:rsid w:val="00C47AD4"/>
    <w:rsid w:val="00C52D81"/>
    <w:rsid w:val="00C55198"/>
    <w:rsid w:val="00C6711E"/>
    <w:rsid w:val="00CA6393"/>
    <w:rsid w:val="00CB18FF"/>
    <w:rsid w:val="00CD0C08"/>
    <w:rsid w:val="00CD4FD5"/>
    <w:rsid w:val="00CE433C"/>
    <w:rsid w:val="00CE6652"/>
    <w:rsid w:val="00CE77A7"/>
    <w:rsid w:val="00CF33F3"/>
    <w:rsid w:val="00D06183"/>
    <w:rsid w:val="00D215AE"/>
    <w:rsid w:val="00D22C42"/>
    <w:rsid w:val="00D65041"/>
    <w:rsid w:val="00D66F78"/>
    <w:rsid w:val="00D735B3"/>
    <w:rsid w:val="00D76023"/>
    <w:rsid w:val="00E10E80"/>
    <w:rsid w:val="00E124F0"/>
    <w:rsid w:val="00E331C0"/>
    <w:rsid w:val="00E54195"/>
    <w:rsid w:val="00E76D75"/>
    <w:rsid w:val="00EB0D6F"/>
    <w:rsid w:val="00EB2232"/>
    <w:rsid w:val="00EC5337"/>
    <w:rsid w:val="00F143F0"/>
    <w:rsid w:val="00F2150A"/>
    <w:rsid w:val="00F22BA4"/>
    <w:rsid w:val="00F2307C"/>
    <w:rsid w:val="00F231D8"/>
    <w:rsid w:val="00F46C5F"/>
    <w:rsid w:val="00F94A63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72"/>
    <w:qFormat/>
    <w:rsid w:val="00E331C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Calibri" w:cs="Arial"/>
      <w:sz w:val="22"/>
      <w:szCs w:val="22"/>
      <w:lang w:val="en-US" w:bidi="en-US"/>
    </w:rPr>
  </w:style>
  <w:style w:type="character" w:customStyle="1" w:styleId="HeaderChar">
    <w:name w:val="Header Char"/>
    <w:basedOn w:val="DefaultParagraphFont"/>
    <w:link w:val="Header"/>
    <w:rsid w:val="007C73BA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C73B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72"/>
    <w:qFormat/>
    <w:rsid w:val="00E331C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Calibri" w:cs="Arial"/>
      <w:sz w:val="22"/>
      <w:szCs w:val="22"/>
      <w:lang w:val="en-US" w:bidi="en-US"/>
    </w:rPr>
  </w:style>
  <w:style w:type="character" w:customStyle="1" w:styleId="HeaderChar">
    <w:name w:val="Header Char"/>
    <w:basedOn w:val="DefaultParagraphFont"/>
    <w:link w:val="Header"/>
    <w:rsid w:val="007C73BA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C73B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7DC4-C58E-4BEE-AF9F-A8C9E2D8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PE_C13.dotm</Template>
  <TotalTime>3</TotalTime>
  <Pages>3</Pages>
  <Words>1075</Words>
  <Characters>5476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6538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2011</dc:subject>
  <dc:creator>Alidra, Patricia</dc:creator>
  <cp:lastModifiedBy>unknown</cp:lastModifiedBy>
  <cp:revision>3</cp:revision>
  <cp:lastPrinted>2013-03-25T13:21:00Z</cp:lastPrinted>
  <dcterms:created xsi:type="dcterms:W3CDTF">2013-04-03T12:13:00Z</dcterms:created>
  <dcterms:modified xsi:type="dcterms:W3CDTF">2013-04-03T12:15:00Z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