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2"/>
        <w:gridCol w:w="3593"/>
      </w:tblGrid>
      <w:tr w:rsidR="00B01732" w:rsidTr="009345DB">
        <w:tc>
          <w:tcPr>
            <w:tcW w:w="9855" w:type="dxa"/>
            <w:gridSpan w:val="2"/>
            <w:hideMark/>
          </w:tcPr>
          <w:p w:rsidR="00B01732" w:rsidRDefault="00B01732" w:rsidP="009345DB">
            <w:pPr>
              <w:tabs>
                <w:tab w:val="left" w:pos="567"/>
                <w:tab w:val="left" w:pos="709"/>
                <w:tab w:val="left" w:pos="1134"/>
                <w:tab w:val="left" w:pos="1701"/>
                <w:tab w:val="left" w:pos="2268"/>
                <w:tab w:val="left" w:pos="2835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C6B04DA" wp14:editId="30A6270B">
                  <wp:extent cx="6120765" cy="96393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PF-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732" w:rsidRPr="00D15C80" w:rsidTr="009345DB">
        <w:tc>
          <w:tcPr>
            <w:tcW w:w="98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01732" w:rsidRPr="00D15C80" w:rsidRDefault="00B01732" w:rsidP="009345DB">
            <w:pPr>
              <w:pStyle w:val="Header"/>
              <w:tabs>
                <w:tab w:val="left" w:pos="284"/>
              </w:tabs>
              <w:spacing w:before="60" w:line="360" w:lineRule="auto"/>
              <w:ind w:left="284"/>
              <w:jc w:val="left"/>
              <w:rPr>
                <w:noProof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Женева</w:t>
            </w:r>
            <w:r>
              <w:rPr>
                <w:sz w:val="28"/>
                <w:szCs w:val="28"/>
              </w:rPr>
              <w:t>, 14</w:t>
            </w:r>
            <w:r>
              <w:rPr>
                <w:sz w:val="28"/>
                <w:szCs w:val="28"/>
                <w:lang w:val="ru-RU"/>
              </w:rPr>
              <w:t>−</w:t>
            </w:r>
            <w:r>
              <w:rPr>
                <w:sz w:val="28"/>
                <w:szCs w:val="28"/>
              </w:rPr>
              <w:t xml:space="preserve">16 </w:t>
            </w:r>
            <w:r>
              <w:rPr>
                <w:sz w:val="28"/>
                <w:szCs w:val="28"/>
                <w:lang w:val="ru-RU"/>
              </w:rPr>
              <w:t>мая</w:t>
            </w:r>
            <w:r>
              <w:rPr>
                <w:sz w:val="28"/>
                <w:szCs w:val="28"/>
              </w:rPr>
              <w:t xml:space="preserve"> 2013</w:t>
            </w:r>
            <w:r>
              <w:rPr>
                <w:sz w:val="28"/>
                <w:szCs w:val="28"/>
                <w:lang w:val="ru-RU"/>
              </w:rPr>
              <w:t xml:space="preserve"> г.</w:t>
            </w:r>
          </w:p>
        </w:tc>
      </w:tr>
      <w:tr w:rsidR="00B01732" w:rsidRPr="00AE4516" w:rsidTr="009345DB">
        <w:tc>
          <w:tcPr>
            <w:tcW w:w="6262" w:type="dxa"/>
            <w:tcBorders>
              <w:top w:val="single" w:sz="12" w:space="0" w:color="auto"/>
              <w:left w:val="nil"/>
              <w:right w:val="nil"/>
            </w:tcBorders>
            <w:hideMark/>
          </w:tcPr>
          <w:p w:rsidR="00B01732" w:rsidRPr="00D15C80" w:rsidRDefault="00B01732" w:rsidP="009345DB">
            <w:pPr>
              <w:overflowPunct/>
              <w:autoSpaceDE/>
              <w:autoSpaceDN/>
              <w:adjustRightInd/>
              <w:spacing w:before="0"/>
              <w:rPr>
                <w:rFonts w:asciiTheme="minorHAnsi" w:hAnsiTheme="minorHAnsi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sz="12" w:space="0" w:color="auto"/>
              <w:left w:val="nil"/>
              <w:right w:val="nil"/>
            </w:tcBorders>
          </w:tcPr>
          <w:p w:rsidR="00B01732" w:rsidRPr="00AE4516" w:rsidRDefault="00B01732" w:rsidP="009345DB">
            <w:pPr>
              <w:pStyle w:val="Header"/>
              <w:tabs>
                <w:tab w:val="left" w:pos="6521"/>
              </w:tabs>
              <w:spacing w:before="120"/>
              <w:jc w:val="left"/>
              <w:rPr>
                <w:b/>
                <w:bCs/>
                <w:sz w:val="22"/>
                <w:lang w:val="ru-RU"/>
              </w:rPr>
            </w:pPr>
          </w:p>
        </w:tc>
      </w:tr>
    </w:tbl>
    <w:p w:rsidR="00B01732" w:rsidRPr="0037593B" w:rsidRDefault="00B01732" w:rsidP="00735344">
      <w:pPr>
        <w:pStyle w:val="ResNo"/>
      </w:pPr>
      <w:r w:rsidRPr="0050241D">
        <w:t>ПРОЕКТ МНЕНИЯ</w:t>
      </w:r>
      <w:r w:rsidRPr="0050241D">
        <w:rPr>
          <w:lang w:val="en-US"/>
        </w:rPr>
        <w:t xml:space="preserve"> </w:t>
      </w:r>
      <w:r>
        <w:rPr>
          <w:lang w:val="en-US"/>
        </w:rPr>
        <w:t>1</w:t>
      </w:r>
    </w:p>
    <w:p w:rsidR="005F2EB3" w:rsidRPr="00735344" w:rsidRDefault="005F2EB3" w:rsidP="00735344">
      <w:pPr>
        <w:pStyle w:val="Restitle"/>
      </w:pPr>
      <w:r w:rsidRPr="00735344">
        <w:t>Стимулирование создания пунктов обмена трафиком интернета (</w:t>
      </w:r>
      <w:proofErr w:type="spellStart"/>
      <w:r w:rsidRPr="00735344">
        <w:t>IXP</w:t>
      </w:r>
      <w:proofErr w:type="spellEnd"/>
      <w:r w:rsidRPr="00735344">
        <w:t xml:space="preserve">), </w:t>
      </w:r>
      <w:r w:rsidR="00E93F66" w:rsidRPr="00735344">
        <w:br/>
      </w:r>
      <w:r w:rsidRPr="00735344">
        <w:t xml:space="preserve">как долгосрочное решение, способствующее расширению </w:t>
      </w:r>
      <w:r w:rsidR="005A4F72" w:rsidRPr="00735344">
        <w:br/>
      </w:r>
      <w:r w:rsidRPr="00735344">
        <w:t>возможности установления соединений</w:t>
      </w:r>
    </w:p>
    <w:p w:rsidR="005F2EB3" w:rsidRPr="00BE2392" w:rsidRDefault="005F2EB3" w:rsidP="00E93F66">
      <w:pPr>
        <w:pStyle w:val="Normalaftertitle"/>
      </w:pPr>
      <w:r w:rsidRPr="00BE2392">
        <w:t>Пятый Всемирный форум по политике в области электросвязи/ИКТ (Женева, 2013 г.),</w:t>
      </w:r>
    </w:p>
    <w:p w:rsidR="005F2EB3" w:rsidRPr="00BE2392" w:rsidRDefault="005F2EB3" w:rsidP="00E93F66">
      <w:pPr>
        <w:pStyle w:val="Call"/>
        <w:rPr>
          <w:i w:val="0"/>
          <w:iCs/>
        </w:rPr>
      </w:pPr>
      <w:r w:rsidRPr="00BE2392">
        <w:t>напоминая</w:t>
      </w:r>
      <w:r w:rsidRPr="00BE2392">
        <w:rPr>
          <w:i w:val="0"/>
          <w:iCs/>
        </w:rPr>
        <w:t>,</w:t>
      </w:r>
    </w:p>
    <w:p w:rsidR="005F2EB3" w:rsidRPr="00BE2392" w:rsidRDefault="00021244" w:rsidP="005F2EB3">
      <w:r w:rsidRPr="00BE2392">
        <w:rPr>
          <w:i/>
          <w:iCs/>
        </w:rPr>
        <w:t>a)</w:t>
      </w:r>
      <w:r w:rsidRPr="00BE2392">
        <w:tab/>
      </w:r>
      <w:r w:rsidR="005F2EB3" w:rsidRPr="00BE2392">
        <w:t>что в подпункте с) пункта 27 Тунисской программы для информационного общества признается вклад, который могут внести пункты обмена трафиком интернета в снижение стоимости присоединения и расширения сетевого доступа;</w:t>
      </w:r>
    </w:p>
    <w:p w:rsidR="005F2EB3" w:rsidRPr="00BE2392" w:rsidRDefault="00021244" w:rsidP="005F2EB3">
      <w:proofErr w:type="gramStart"/>
      <w:r w:rsidRPr="00BE2392">
        <w:rPr>
          <w:i/>
          <w:iCs/>
        </w:rPr>
        <w:t>b)</w:t>
      </w:r>
      <w:r w:rsidRPr="00BE2392">
        <w:tab/>
      </w:r>
      <w:r w:rsidR="005F2EB3" w:rsidRPr="00BE2392">
        <w:t xml:space="preserve">что в пункте 50 Тунисской программы для информационного общества содержится призыв к созданию национальных, региональных и субрегиональных пунктов обмена трафиком интернета как одной из стратегий </w:t>
      </w:r>
      <w:r w:rsidR="005F2EB3" w:rsidRPr="00BE2392">
        <w:rPr>
          <w:rFonts w:eastAsia="'宋体"/>
        </w:rPr>
        <w:t>по расширению возможностей для установления приемлемых в ценовом отношении глобальных соединений, тем самым обеспечивая более широкий и равноправной доступ для всех</w:t>
      </w:r>
      <w:r w:rsidR="005F2EB3" w:rsidRPr="00BE2392">
        <w:t xml:space="preserve">; и </w:t>
      </w:r>
      <w:proofErr w:type="gramEnd"/>
    </w:p>
    <w:p w:rsidR="005F2EB3" w:rsidRPr="00BE2392" w:rsidRDefault="00021244" w:rsidP="005F2EB3">
      <w:r w:rsidRPr="00BE2392">
        <w:rPr>
          <w:i/>
          <w:iCs/>
        </w:rPr>
        <w:t>c)</w:t>
      </w:r>
      <w:r w:rsidRPr="00BE2392">
        <w:tab/>
      </w:r>
      <w:r w:rsidR="005F2EB3" w:rsidRPr="00BE2392">
        <w:t>что в Резолюции 101 (</w:t>
      </w:r>
      <w:proofErr w:type="spellStart"/>
      <w:r w:rsidR="005F2EB3" w:rsidRPr="00BE2392">
        <w:t>Пересм</w:t>
      </w:r>
      <w:proofErr w:type="spellEnd"/>
      <w:r w:rsidR="005F2EB3" w:rsidRPr="00BE2392">
        <w:t xml:space="preserve">. </w:t>
      </w:r>
      <w:proofErr w:type="gramStart"/>
      <w:r w:rsidR="005F2EB3" w:rsidRPr="00BE2392">
        <w:t>Гвадалахара, 2010 г.</w:t>
      </w:r>
      <w:r w:rsidRPr="00BE2392">
        <w:t>)</w:t>
      </w:r>
      <w:r w:rsidR="005F2EB3" w:rsidRPr="00BE2392">
        <w:t xml:space="preserve"> в пункте 2 раздела </w:t>
      </w:r>
      <w:r w:rsidR="005F2EB3" w:rsidRPr="00BE2392">
        <w:rPr>
          <w:i/>
          <w:iCs/>
        </w:rPr>
        <w:t>решает</w:t>
      </w:r>
      <w:r w:rsidR="005F2EB3" w:rsidRPr="00BE2392">
        <w:t xml:space="preserve"> принято решение о том, что МСЭ должен полностью использовать возможности развития электросвязи/ИКТ, которые появились в результате распространения сетей на основе IP, в соответствии с целями МСЭ и итогами Женевского (2003 г.) и Тунисского (2005 г.) этапов ВВУИО,</w:t>
      </w:r>
      <w:proofErr w:type="gramEnd"/>
    </w:p>
    <w:p w:rsidR="005F2EB3" w:rsidRPr="00BE2392" w:rsidRDefault="005F2EB3" w:rsidP="00E93F66">
      <w:pPr>
        <w:pStyle w:val="Call"/>
        <w:rPr>
          <w:i w:val="0"/>
          <w:iCs/>
        </w:rPr>
      </w:pPr>
      <w:r w:rsidRPr="00BE2392">
        <w:t>учитывая</w:t>
      </w:r>
      <w:r w:rsidRPr="00BE2392">
        <w:rPr>
          <w:i w:val="0"/>
          <w:iCs/>
        </w:rPr>
        <w:t>,</w:t>
      </w:r>
    </w:p>
    <w:p w:rsidR="005F2EB3" w:rsidRPr="00BE2392" w:rsidRDefault="00021244" w:rsidP="00155AB0">
      <w:r w:rsidRPr="00BE2392">
        <w:rPr>
          <w:i/>
          <w:iCs/>
        </w:rPr>
        <w:t>a)</w:t>
      </w:r>
      <w:r w:rsidRPr="00BE2392">
        <w:tab/>
      </w:r>
      <w:r w:rsidR="005F2EB3" w:rsidRPr="00BE2392">
        <w:t>что в докладе о проведенном Сообществом интернета, ОЭСР и ЮНЕСКО</w:t>
      </w:r>
      <w:r w:rsidR="00155AB0" w:rsidRPr="00BE2392">
        <w:rPr>
          <w:rStyle w:val="FootnoteReference"/>
        </w:rPr>
        <w:footnoteReference w:customMarkFollows="1" w:id="1"/>
        <w:t>1</w:t>
      </w:r>
      <w:r w:rsidR="005F2EB3" w:rsidRPr="00BE2392">
        <w:t xml:space="preserve"> исследовании говорится, что "в ходе данного исследования была выявлена существенная взаимозависимость между развитием международной полосы пропускания и тарифами на местное подключение к интернету";</w:t>
      </w:r>
    </w:p>
    <w:p w:rsidR="005F2EB3" w:rsidRPr="00BE2392" w:rsidRDefault="00021244" w:rsidP="00155AB0">
      <w:r w:rsidRPr="00BE2392">
        <w:rPr>
          <w:i/>
          <w:iCs/>
        </w:rPr>
        <w:t>b)</w:t>
      </w:r>
      <w:r w:rsidRPr="00BE2392">
        <w:tab/>
      </w:r>
      <w:r w:rsidR="005F2EB3" w:rsidRPr="00BE2392">
        <w:t>что в отчете Комиссии по широкополосной связи МСЭ и ЮНЕСКО</w:t>
      </w:r>
      <w:r w:rsidR="00155AB0" w:rsidRPr="00BE2392">
        <w:rPr>
          <w:rStyle w:val="FootnoteReference"/>
        </w:rPr>
        <w:footnoteReference w:customMarkFollows="1" w:id="2"/>
        <w:t>2</w:t>
      </w:r>
      <w:r w:rsidR="005F2EB3" w:rsidRPr="00BE2392">
        <w:t xml:space="preserve"> признается, что "</w:t>
      </w:r>
      <w:r w:rsidRPr="00BE2392">
        <w:t>достижения</w:t>
      </w:r>
      <w:r w:rsidR="005F2EB3" w:rsidRPr="00BE2392">
        <w:t xml:space="preserve"> на базе технологий, например сети распределения контента (CDN) и новые пункты обмена трафиком интернета (IXP), </w:t>
      </w:r>
      <w:r w:rsidRPr="00BE2392">
        <w:t>обусловливаю</w:t>
      </w:r>
      <w:r w:rsidR="005F2EB3" w:rsidRPr="00BE2392">
        <w:t>т определенную экономическую эффективность и широко доказали свою целесообразность в случае наличия благоприятной регуляторной среды";</w:t>
      </w:r>
    </w:p>
    <w:p w:rsidR="005F2EB3" w:rsidRPr="00BE2392" w:rsidRDefault="00021244" w:rsidP="005F2EB3">
      <w:proofErr w:type="gramStart"/>
      <w:r w:rsidRPr="00BE2392">
        <w:rPr>
          <w:i/>
          <w:iCs/>
        </w:rPr>
        <w:t>c)</w:t>
      </w:r>
      <w:r w:rsidRPr="00BE2392">
        <w:tab/>
      </w:r>
      <w:r w:rsidR="005F2EB3" w:rsidRPr="00BE2392">
        <w:t xml:space="preserve">что на состоявшейся в 2012 году встрече на высшем уровне "Соединим страны Северной и Южной Америки" региональные лидеры взяли обязательства развивать пункты обмена трафиком </w:t>
      </w:r>
      <w:r w:rsidR="005F2EB3" w:rsidRPr="00BE2392">
        <w:lastRenderedPageBreak/>
        <w:t>интернета на местном, национальном и региональном уровнях в целях сокращения стоимости доступа к интернету</w:t>
      </w:r>
      <w:r w:rsidR="005F2EB3" w:rsidRPr="00BE2392">
        <w:rPr>
          <w:rFonts w:eastAsia="MyriadPro-Light"/>
        </w:rPr>
        <w:t>;</w:t>
      </w:r>
      <w:proofErr w:type="gramEnd"/>
    </w:p>
    <w:p w:rsidR="005F2EB3" w:rsidRPr="00BE2392" w:rsidRDefault="005F2EB3" w:rsidP="00021244">
      <w:r w:rsidRPr="00BE2392">
        <w:rPr>
          <w:i/>
          <w:iCs/>
        </w:rPr>
        <w:t>d)</w:t>
      </w:r>
      <w:r w:rsidRPr="00BE2392">
        <w:tab/>
        <w:t xml:space="preserve">что пункты обмена трафиком интернета и пункты обмена трафиком электросвязи могут играть значимую роль в развитии инфраструктуры интернета и достижении общих целей повышения качества, расширении возможности установления соединений, повышении устойчивости сетей, стимулировании конкуренции и снижении </w:t>
      </w:r>
      <w:r w:rsidR="00021244" w:rsidRPr="00BE2392">
        <w:t>затрат на присоединения</w:t>
      </w:r>
      <w:r w:rsidRPr="00BE2392">
        <w:t>,</w:t>
      </w:r>
    </w:p>
    <w:p w:rsidR="005F2EB3" w:rsidRPr="00BE2392" w:rsidRDefault="005F2EB3" w:rsidP="00045E19">
      <w:pPr>
        <w:pStyle w:val="Call"/>
      </w:pPr>
      <w:r w:rsidRPr="00BE2392">
        <w:t>считает</w:t>
      </w:r>
      <w:r w:rsidRPr="00BE2392">
        <w:rPr>
          <w:i w:val="0"/>
          <w:iCs/>
        </w:rPr>
        <w:t>,</w:t>
      </w:r>
    </w:p>
    <w:p w:rsidR="005F2EB3" w:rsidRPr="00BE2392" w:rsidRDefault="000D70B5" w:rsidP="000D70B5">
      <w:r w:rsidRPr="00BE2392">
        <w:rPr>
          <w:i/>
          <w:iCs/>
        </w:rPr>
        <w:t>a)</w:t>
      </w:r>
      <w:r w:rsidRPr="00BE2392">
        <w:tab/>
      </w:r>
      <w:r w:rsidR="005F2EB3" w:rsidRPr="00BE2392">
        <w:t xml:space="preserve">что создание местных национальных, субрегиональных и региональных пунктов обмена трафиком интернета является приоритетным направлением для решения вопросов обеспечения возможности подключения, повышения качества обслуживания и снижения </w:t>
      </w:r>
      <w:r w:rsidRPr="00BE2392">
        <w:t>затрат на присоединение</w:t>
      </w:r>
      <w:r w:rsidR="005F2EB3" w:rsidRPr="00BE2392">
        <w:t>;</w:t>
      </w:r>
    </w:p>
    <w:p w:rsidR="005F2EB3" w:rsidRPr="00BE2392" w:rsidRDefault="000D70B5" w:rsidP="005F2EB3">
      <w:r w:rsidRPr="00BE2392">
        <w:rPr>
          <w:i/>
          <w:iCs/>
        </w:rPr>
        <w:t>b)</w:t>
      </w:r>
      <w:r w:rsidRPr="00BE2392">
        <w:tab/>
      </w:r>
      <w:r w:rsidR="005F2EB3" w:rsidRPr="00BE2392">
        <w:t xml:space="preserve">что обеспечение возможности присоединения международных, национальных и региональных сетей через IXP может стать эффективным способом повышения уровня международных </w:t>
      </w:r>
      <w:proofErr w:type="spellStart"/>
      <w:r w:rsidR="005F2EB3" w:rsidRPr="00BE2392">
        <w:t>интернет-соединений</w:t>
      </w:r>
      <w:proofErr w:type="spellEnd"/>
      <w:r w:rsidR="005F2EB3" w:rsidRPr="00BE2392">
        <w:t xml:space="preserve"> и снижения стоимости таких соединений при регулировании только в тех случаях, когда необходимо содействие конкуренции;</w:t>
      </w:r>
    </w:p>
    <w:p w:rsidR="005F2EB3" w:rsidRPr="00BE2392" w:rsidRDefault="000D70B5" w:rsidP="005F2EB3">
      <w:r w:rsidRPr="00BE2392">
        <w:rPr>
          <w:i/>
          <w:iCs/>
        </w:rPr>
        <w:t>c)</w:t>
      </w:r>
      <w:r w:rsidRPr="00BE2392">
        <w:tab/>
      </w:r>
      <w:r w:rsidR="005F2EB3" w:rsidRPr="00BE2392">
        <w:t>что в донорских программах и механизмах финансирования развития должна учитываться необходимость обеспечения финансирования инициатив, направленных на расширение возможности установления соединений, развитие IXP и местного контента в развивающихся странах;</w:t>
      </w:r>
    </w:p>
    <w:p w:rsidR="005F2EB3" w:rsidRPr="00BE2392" w:rsidRDefault="000D70B5" w:rsidP="005F2EB3">
      <w:r w:rsidRPr="00BE2392">
        <w:rPr>
          <w:i/>
          <w:iCs/>
        </w:rPr>
        <w:t>d)</w:t>
      </w:r>
      <w:r w:rsidRPr="00BE2392">
        <w:tab/>
      </w:r>
      <w:r w:rsidR="005F2EB3" w:rsidRPr="00BE2392">
        <w:t>что создание IXP обеспечивает позитивное циклическое развитие: пункты обмена трафиком интернета привлекают большее число ПУИ, вследствие чего будет происходить привлечение поставщиков местного, национального и международного контента вместе с пользователями – коммерческими предприятиями, академическими организациями и государственными органами, что, в свою очередь, будет привлекать большее число ПУИ;</w:t>
      </w:r>
    </w:p>
    <w:p w:rsidR="005F2EB3" w:rsidRPr="00BE2392" w:rsidRDefault="000D70B5" w:rsidP="005F2EB3">
      <w:r w:rsidRPr="00BE2392">
        <w:rPr>
          <w:i/>
          <w:iCs/>
        </w:rPr>
        <w:t>e)</w:t>
      </w:r>
      <w:r w:rsidRPr="00BE2392">
        <w:tab/>
      </w:r>
      <w:r w:rsidR="005F2EB3" w:rsidRPr="00BE2392">
        <w:t>что потенциал развития местного контента в развивающихся странах следует поощрять и поддерживать в благоприятной среде, обеспечивающей создание местных/региональных IXP;</w:t>
      </w:r>
    </w:p>
    <w:p w:rsidR="005F2EB3" w:rsidRPr="00BE2392" w:rsidRDefault="000D70B5" w:rsidP="005F2EB3">
      <w:r w:rsidRPr="00BE2392">
        <w:rPr>
          <w:i/>
          <w:iCs/>
        </w:rPr>
        <w:t>f)</w:t>
      </w:r>
      <w:r w:rsidRPr="00BE2392">
        <w:tab/>
      </w:r>
      <w:r w:rsidR="005F2EB3" w:rsidRPr="00BE2392">
        <w:t>что эффективные IXP появляются, как правило, в тех Государствах-Членах, в которых процессы выработки политики реализуются с участием многих заинтересованных сторон, поскольку основой IXP является сотрудничество соответствующих заинтересованных сторон;</w:t>
      </w:r>
    </w:p>
    <w:p w:rsidR="005F2EB3" w:rsidRPr="00BE2392" w:rsidRDefault="000D70B5" w:rsidP="005F2EB3">
      <w:r w:rsidRPr="00BE2392">
        <w:rPr>
          <w:i/>
          <w:iCs/>
        </w:rPr>
        <w:t>g)</w:t>
      </w:r>
      <w:r w:rsidRPr="00BE2392">
        <w:tab/>
      </w:r>
      <w:r w:rsidR="005F2EB3" w:rsidRPr="00BE2392">
        <w:t>что регуляторные меры не должны препятствовать заключению соглашений о транзите и равноправном обмене, формированию благоприятной и конкурентной среды для создания IXP;</w:t>
      </w:r>
    </w:p>
    <w:p w:rsidR="005F2EB3" w:rsidRPr="00BE2392" w:rsidRDefault="000D70B5" w:rsidP="005F2EB3">
      <w:r w:rsidRPr="00BE2392">
        <w:rPr>
          <w:i/>
          <w:iCs/>
        </w:rPr>
        <w:t>h)</w:t>
      </w:r>
      <w:r w:rsidRPr="00BE2392">
        <w:tab/>
      </w:r>
      <w:r w:rsidR="005F2EB3" w:rsidRPr="00BE2392">
        <w:t>что либерализация рынка электронных сре</w:t>
      </w:r>
      <w:proofErr w:type="gramStart"/>
      <w:r w:rsidR="005F2EB3" w:rsidRPr="00BE2392">
        <w:t>дств св</w:t>
      </w:r>
      <w:proofErr w:type="gramEnd"/>
      <w:r w:rsidR="005F2EB3" w:rsidRPr="00BE2392">
        <w:t>язи может играть значительную роль в том, что конкурентный рынок будет обеспечивать введение IXP и присоединение с их помощью; и</w:t>
      </w:r>
    </w:p>
    <w:p w:rsidR="005F2EB3" w:rsidRPr="00BE2392" w:rsidRDefault="000D70B5" w:rsidP="005F2EB3">
      <w:r w:rsidRPr="00BE2392">
        <w:rPr>
          <w:i/>
          <w:iCs/>
        </w:rPr>
        <w:t>i)</w:t>
      </w:r>
      <w:r w:rsidRPr="00BE2392">
        <w:tab/>
      </w:r>
      <w:r w:rsidR="005F2EB3" w:rsidRPr="00BE2392">
        <w:t>что более высокий уровень присоединения, обусловленный участием в IXP, способствует росту уровня устойчивости сетевой инфраструктуры,</w:t>
      </w:r>
    </w:p>
    <w:p w:rsidR="005F2EB3" w:rsidRPr="00BE2392" w:rsidRDefault="005F2EB3" w:rsidP="00045E19">
      <w:pPr>
        <w:pStyle w:val="Call"/>
      </w:pPr>
      <w:r w:rsidRPr="00BE2392">
        <w:t>предлагает</w:t>
      </w:r>
    </w:p>
    <w:p w:rsidR="005F2EB3" w:rsidRPr="00BE2392" w:rsidRDefault="005F2EB3" w:rsidP="005F2EB3">
      <w:r w:rsidRPr="00BE2392">
        <w:t>Государствам-Членам и Членам Секторов сотрудничать, с тем чтобы:</w:t>
      </w:r>
    </w:p>
    <w:p w:rsidR="005F2EB3" w:rsidRPr="00BE2392" w:rsidRDefault="000D70B5" w:rsidP="000D70B5">
      <w:pPr>
        <w:pStyle w:val="enumlev1"/>
      </w:pPr>
      <w:r w:rsidRPr="00BE2392">
        <w:t>•</w:t>
      </w:r>
      <w:r w:rsidRPr="00BE2392">
        <w:tab/>
      </w:r>
      <w:r w:rsidR="005F2EB3" w:rsidRPr="00BE2392">
        <w:t>содействовать дальнейшему развитию и расширению сетей на национальном</w:t>
      </w:r>
      <w:r w:rsidRPr="00BE2392">
        <w:t>, субрегиональном</w:t>
      </w:r>
      <w:r w:rsidR="005F2EB3" w:rsidRPr="00BE2392">
        <w:t xml:space="preserve"> и региональном уровнях; </w:t>
      </w:r>
    </w:p>
    <w:p w:rsidR="005F2EB3" w:rsidRPr="00BE2392" w:rsidRDefault="000D70B5" w:rsidP="000D70B5">
      <w:pPr>
        <w:pStyle w:val="enumlev1"/>
      </w:pPr>
      <w:r w:rsidRPr="00BE2392">
        <w:t>•</w:t>
      </w:r>
      <w:r w:rsidRPr="00BE2392">
        <w:tab/>
      </w:r>
      <w:r w:rsidR="005F2EB3" w:rsidRPr="00BE2392">
        <w:t>обеспечивать возможность появления пунктов обмена трафиком интернета путем, в том числе, обмена техническими знаниями и содействия формированию поддерживающей политической среды благодаря проведению открытых консультаций со многими заинтересованными сторонами;</w:t>
      </w:r>
    </w:p>
    <w:p w:rsidR="005F2EB3" w:rsidRPr="00BE2392" w:rsidRDefault="000D70B5" w:rsidP="000D70B5">
      <w:pPr>
        <w:pStyle w:val="enumlev1"/>
      </w:pPr>
      <w:r w:rsidRPr="00BE2392">
        <w:t>•</w:t>
      </w:r>
      <w:r w:rsidRPr="00BE2392">
        <w:tab/>
      </w:r>
      <w:r w:rsidR="005F2EB3" w:rsidRPr="00BE2392">
        <w:t>проводить политику, направленную на разрешение местным, региональным и международным</w:t>
      </w:r>
      <w:bookmarkStart w:id="0" w:name="_GoBack"/>
      <w:bookmarkEnd w:id="0"/>
      <w:r w:rsidR="005F2EB3" w:rsidRPr="00BE2392">
        <w:t xml:space="preserve"> операторам </w:t>
      </w:r>
      <w:r w:rsidRPr="00BE2392">
        <w:t xml:space="preserve">сети </w:t>
      </w:r>
      <w:r w:rsidR="005F2EB3" w:rsidRPr="00BE2392">
        <w:t>интернета осуществлять присоединение через IXP.</w:t>
      </w:r>
    </w:p>
    <w:p w:rsidR="002D2F57" w:rsidRPr="00BE2392" w:rsidRDefault="00045E19" w:rsidP="00735344">
      <w:pPr>
        <w:spacing w:before="0"/>
        <w:jc w:val="center"/>
      </w:pPr>
      <w:r w:rsidRPr="00BE2392">
        <w:t>______________</w:t>
      </w:r>
    </w:p>
    <w:sectPr w:rsidR="002D2F57" w:rsidRPr="00BE2392" w:rsidSect="00CF629C">
      <w:headerReference w:type="defaul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EB3" w:rsidRDefault="005F2EB3">
      <w:r>
        <w:separator/>
      </w:r>
    </w:p>
  </w:endnote>
  <w:endnote w:type="continuationSeparator" w:id="0">
    <w:p w:rsidR="005F2EB3" w:rsidRDefault="005F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'宋体">
    <w:altName w:val="SimSun"/>
    <w:panose1 w:val="00000000000000000000"/>
    <w:charset w:val="86"/>
    <w:family w:val="auto"/>
    <w:notTrueType/>
    <w:pitch w:val="variable"/>
    <w:sig w:usb0="00000000" w:usb1="080E0000" w:usb2="00000010" w:usb3="00000000" w:csb0="0004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Light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EB3" w:rsidRDefault="005F2EB3">
      <w:r>
        <w:t>____________________</w:t>
      </w:r>
    </w:p>
  </w:footnote>
  <w:footnote w:type="continuationSeparator" w:id="0">
    <w:p w:rsidR="005F2EB3" w:rsidRDefault="005F2EB3">
      <w:r>
        <w:continuationSeparator/>
      </w:r>
    </w:p>
  </w:footnote>
  <w:footnote w:id="1">
    <w:p w:rsidR="00155AB0" w:rsidRDefault="00155AB0">
      <w:pPr>
        <w:pStyle w:val="FootnoteText"/>
      </w:pPr>
      <w:r>
        <w:rPr>
          <w:rStyle w:val="FootnoteReference"/>
        </w:rPr>
        <w:t>1</w:t>
      </w:r>
      <w:r>
        <w:t xml:space="preserve"> </w:t>
      </w:r>
      <w:r>
        <w:tab/>
      </w:r>
      <w:r w:rsidRPr="00E93F66">
        <w:t>"</w:t>
      </w:r>
      <w:r>
        <w:t xml:space="preserve">Связь между местным контентом, </w:t>
      </w:r>
      <w:r w:rsidRPr="00E93F66">
        <w:rPr>
          <w:rFonts w:cs="TimesNewRoman"/>
          <w:lang w:eastAsia="zh-CN"/>
        </w:rPr>
        <w:t xml:space="preserve">развитием </w:t>
      </w:r>
      <w:r w:rsidR="00BE2392" w:rsidRPr="00E93F66">
        <w:rPr>
          <w:rFonts w:cs="TimesNewRoman"/>
          <w:lang w:eastAsia="zh-CN"/>
        </w:rPr>
        <w:t xml:space="preserve">интернета </w:t>
      </w:r>
      <w:r w:rsidRPr="00E93F66">
        <w:rPr>
          <w:rFonts w:cs="TimesNewRoman"/>
          <w:lang w:eastAsia="zh-CN"/>
        </w:rPr>
        <w:t xml:space="preserve">и </w:t>
      </w:r>
      <w:r>
        <w:rPr>
          <w:rFonts w:cs="TimesNewRoman"/>
          <w:lang w:eastAsia="zh-CN"/>
        </w:rPr>
        <w:t>ценами на доступ</w:t>
      </w:r>
      <w:r w:rsidRPr="00E93F66">
        <w:rPr>
          <w:rFonts w:cs="TimesNewRoman"/>
          <w:lang w:eastAsia="zh-CN"/>
        </w:rPr>
        <w:t>"</w:t>
      </w:r>
      <w:r w:rsidRPr="00E93F66">
        <w:t xml:space="preserve"> (ОЭСР, ЮНЕСКО, Сообщество интернета) (2011 г.).</w:t>
      </w:r>
    </w:p>
  </w:footnote>
  <w:footnote w:id="2">
    <w:p w:rsidR="00155AB0" w:rsidRDefault="00155AB0">
      <w:pPr>
        <w:pStyle w:val="FootnoteText"/>
      </w:pPr>
      <w:r>
        <w:rPr>
          <w:rStyle w:val="FootnoteReference"/>
        </w:rPr>
        <w:t>2</w:t>
      </w:r>
      <w:r>
        <w:t xml:space="preserve"> </w:t>
      </w:r>
      <w:r>
        <w:tab/>
      </w:r>
      <w:r w:rsidRPr="00E93F66">
        <w:t>"Широкополосная связь в 2012 году" (МСЭ и ЮНЕСКО, 2012 г.).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75086F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285DB7"/>
    <w:multiLevelType w:val="hybridMultilevel"/>
    <w:tmpl w:val="2EA270B4"/>
    <w:lvl w:ilvl="0" w:tplc="063CACA4">
      <w:start w:val="1"/>
      <w:numFmt w:val="lowerLetter"/>
      <w:lvlText w:val="%1)"/>
      <w:lvlJc w:val="left"/>
      <w:pPr>
        <w:ind w:left="2781" w:hanging="360"/>
      </w:pPr>
      <w:rPr>
        <w:rFonts w:hint="default"/>
        <w:i w:val="0"/>
        <w:iCs/>
      </w:rPr>
    </w:lvl>
    <w:lvl w:ilvl="1" w:tplc="08090019">
      <w:start w:val="1"/>
      <w:numFmt w:val="lowerLetter"/>
      <w:lvlText w:val="%2."/>
      <w:lvlJc w:val="left"/>
      <w:pPr>
        <w:ind w:left="3501" w:hanging="360"/>
      </w:pPr>
    </w:lvl>
    <w:lvl w:ilvl="2" w:tplc="0809001B" w:tentative="1">
      <w:start w:val="1"/>
      <w:numFmt w:val="lowerRoman"/>
      <w:lvlText w:val="%3."/>
      <w:lvlJc w:val="right"/>
      <w:pPr>
        <w:ind w:left="4221" w:hanging="180"/>
      </w:pPr>
    </w:lvl>
    <w:lvl w:ilvl="3" w:tplc="0809000F" w:tentative="1">
      <w:start w:val="1"/>
      <w:numFmt w:val="decimal"/>
      <w:lvlText w:val="%4."/>
      <w:lvlJc w:val="left"/>
      <w:pPr>
        <w:ind w:left="4941" w:hanging="360"/>
      </w:pPr>
    </w:lvl>
    <w:lvl w:ilvl="4" w:tplc="08090019" w:tentative="1">
      <w:start w:val="1"/>
      <w:numFmt w:val="lowerLetter"/>
      <w:lvlText w:val="%5."/>
      <w:lvlJc w:val="left"/>
      <w:pPr>
        <w:ind w:left="5661" w:hanging="360"/>
      </w:pPr>
    </w:lvl>
    <w:lvl w:ilvl="5" w:tplc="0809001B" w:tentative="1">
      <w:start w:val="1"/>
      <w:numFmt w:val="lowerRoman"/>
      <w:lvlText w:val="%6."/>
      <w:lvlJc w:val="right"/>
      <w:pPr>
        <w:ind w:left="6381" w:hanging="180"/>
      </w:pPr>
    </w:lvl>
    <w:lvl w:ilvl="6" w:tplc="0809000F" w:tentative="1">
      <w:start w:val="1"/>
      <w:numFmt w:val="decimal"/>
      <w:lvlText w:val="%7."/>
      <w:lvlJc w:val="left"/>
      <w:pPr>
        <w:ind w:left="7101" w:hanging="360"/>
      </w:pPr>
    </w:lvl>
    <w:lvl w:ilvl="7" w:tplc="08090019" w:tentative="1">
      <w:start w:val="1"/>
      <w:numFmt w:val="lowerLetter"/>
      <w:lvlText w:val="%8."/>
      <w:lvlJc w:val="left"/>
      <w:pPr>
        <w:ind w:left="7821" w:hanging="360"/>
      </w:pPr>
    </w:lvl>
    <w:lvl w:ilvl="8" w:tplc="0809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2">
    <w:nsid w:val="26CC0A42"/>
    <w:multiLevelType w:val="hybridMultilevel"/>
    <w:tmpl w:val="81144814"/>
    <w:lvl w:ilvl="0" w:tplc="8BF6F9CA">
      <w:start w:val="1"/>
      <w:numFmt w:val="lowerLetter"/>
      <w:lvlText w:val="%1)"/>
      <w:lvlJc w:val="left"/>
      <w:pPr>
        <w:ind w:left="720" w:hanging="360"/>
      </w:pPr>
      <w:rPr>
        <w:lang w:val="ru-RU"/>
      </w:rPr>
    </w:lvl>
    <w:lvl w:ilvl="1" w:tplc="A6465DD6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9512B"/>
    <w:multiLevelType w:val="hybridMultilevel"/>
    <w:tmpl w:val="610A4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E058E"/>
    <w:multiLevelType w:val="hybridMultilevel"/>
    <w:tmpl w:val="04E8755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B3"/>
    <w:rsid w:val="00021244"/>
    <w:rsid w:val="0002183E"/>
    <w:rsid w:val="00045E19"/>
    <w:rsid w:val="000569B4"/>
    <w:rsid w:val="00080E82"/>
    <w:rsid w:val="00084EE8"/>
    <w:rsid w:val="000D70B5"/>
    <w:rsid w:val="000E568E"/>
    <w:rsid w:val="00155AB0"/>
    <w:rsid w:val="0015710D"/>
    <w:rsid w:val="00163A32"/>
    <w:rsid w:val="00192B41"/>
    <w:rsid w:val="001B7B09"/>
    <w:rsid w:val="001E6719"/>
    <w:rsid w:val="00227FF0"/>
    <w:rsid w:val="00291EB6"/>
    <w:rsid w:val="002D2F57"/>
    <w:rsid w:val="002D48C5"/>
    <w:rsid w:val="003F099E"/>
    <w:rsid w:val="003F235E"/>
    <w:rsid w:val="004023E0"/>
    <w:rsid w:val="00403DD8"/>
    <w:rsid w:val="0045686C"/>
    <w:rsid w:val="004918C4"/>
    <w:rsid w:val="004A45B5"/>
    <w:rsid w:val="004D0129"/>
    <w:rsid w:val="0050241D"/>
    <w:rsid w:val="005A4F72"/>
    <w:rsid w:val="005A64D5"/>
    <w:rsid w:val="005F2EB3"/>
    <w:rsid w:val="00601994"/>
    <w:rsid w:val="006E2D42"/>
    <w:rsid w:val="00703676"/>
    <w:rsid w:val="00707304"/>
    <w:rsid w:val="00732269"/>
    <w:rsid w:val="00735344"/>
    <w:rsid w:val="0075086F"/>
    <w:rsid w:val="00785ABD"/>
    <w:rsid w:val="007A2DD4"/>
    <w:rsid w:val="007B26ED"/>
    <w:rsid w:val="007D38B5"/>
    <w:rsid w:val="00807255"/>
    <w:rsid w:val="0081023E"/>
    <w:rsid w:val="008173AA"/>
    <w:rsid w:val="00840A14"/>
    <w:rsid w:val="008D2D7B"/>
    <w:rsid w:val="008E0737"/>
    <w:rsid w:val="008F7C2C"/>
    <w:rsid w:val="00940E96"/>
    <w:rsid w:val="009B0BAE"/>
    <w:rsid w:val="00A71773"/>
    <w:rsid w:val="00AE2C85"/>
    <w:rsid w:val="00B01732"/>
    <w:rsid w:val="00B63EF2"/>
    <w:rsid w:val="00BC0D39"/>
    <w:rsid w:val="00BC7BC0"/>
    <w:rsid w:val="00BD57B7"/>
    <w:rsid w:val="00BE2392"/>
    <w:rsid w:val="00BE63E2"/>
    <w:rsid w:val="00CF629C"/>
    <w:rsid w:val="00DA5D4E"/>
    <w:rsid w:val="00E176BA"/>
    <w:rsid w:val="00E423EC"/>
    <w:rsid w:val="00E93F66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5E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227FF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2E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Calibri" w:cs="Arial"/>
      <w:szCs w:val="22"/>
      <w:lang w:val="en-US" w:bidi="en-US"/>
    </w:rPr>
  </w:style>
  <w:style w:type="paragraph" w:styleId="PlainText">
    <w:name w:val="Plain Text"/>
    <w:basedOn w:val="Normal"/>
    <w:link w:val="PlainTextChar"/>
    <w:uiPriority w:val="99"/>
    <w:unhideWhenUsed/>
    <w:rsid w:val="005F2E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lang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5F2EB3"/>
    <w:rPr>
      <w:rFonts w:ascii="Calibri" w:eastAsia="Calibri" w:hAnsi="Calibri"/>
      <w:lang w:val="en-GB" w:eastAsia="x-none"/>
    </w:rPr>
  </w:style>
  <w:style w:type="character" w:customStyle="1" w:styleId="FootnoteTextChar">
    <w:name w:val="Footnote Text Char"/>
    <w:link w:val="FootnoteText"/>
    <w:uiPriority w:val="99"/>
    <w:rsid w:val="005F2EB3"/>
    <w:rPr>
      <w:rFonts w:ascii="Calibri" w:hAnsi="Calibri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84EE8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084EE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5E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227FF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2E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Calibri" w:cs="Arial"/>
      <w:szCs w:val="22"/>
      <w:lang w:val="en-US" w:bidi="en-US"/>
    </w:rPr>
  </w:style>
  <w:style w:type="paragraph" w:styleId="PlainText">
    <w:name w:val="Plain Text"/>
    <w:basedOn w:val="Normal"/>
    <w:link w:val="PlainTextChar"/>
    <w:uiPriority w:val="99"/>
    <w:unhideWhenUsed/>
    <w:rsid w:val="005F2E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lang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5F2EB3"/>
    <w:rPr>
      <w:rFonts w:ascii="Calibri" w:eastAsia="Calibri" w:hAnsi="Calibri"/>
      <w:lang w:val="en-GB" w:eastAsia="x-none"/>
    </w:rPr>
  </w:style>
  <w:style w:type="character" w:customStyle="1" w:styleId="FootnoteTextChar">
    <w:name w:val="Footnote Text Char"/>
    <w:link w:val="FootnoteText"/>
    <w:uiPriority w:val="99"/>
    <w:rsid w:val="005F2EB3"/>
    <w:rPr>
      <w:rFonts w:ascii="Calibri" w:hAnsi="Calibri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84EE8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084EE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8A793-C866-4A43-8FBB-B317BEA0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PR_C13.dotm</Template>
  <TotalTime>51</TotalTime>
  <Pages>2</Pages>
  <Words>639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5234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Komissarova, Olga</dc:creator>
  <cp:keywords>C2004, C04</cp:keywords>
  <dc:description>Документ C05/xx-R  For: _x000d_Document date: Дата_x000d_Saved by RUS38507 at 8:49:12 AM on 2/8/2005</dc:description>
  <cp:lastModifiedBy>Maloletkova, Svetlana</cp:lastModifiedBy>
  <cp:revision>6</cp:revision>
  <cp:lastPrinted>2013-03-12T13:02:00Z</cp:lastPrinted>
  <dcterms:created xsi:type="dcterms:W3CDTF">2013-03-28T09:55:00Z</dcterms:created>
  <dcterms:modified xsi:type="dcterms:W3CDTF">2013-04-03T13:12:00Z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