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E1BDA" w:rsidRPr="00351A14" w:rsidTr="00B27013">
        <w:trPr>
          <w:cantSplit/>
        </w:trPr>
        <w:tc>
          <w:tcPr>
            <w:tcW w:w="6911" w:type="dxa"/>
          </w:tcPr>
          <w:p w:rsidR="006E1BDA" w:rsidRPr="00351A14" w:rsidRDefault="006E1BDA" w:rsidP="00B27013">
            <w:pPr>
              <w:spacing w:before="360" w:after="48" w:line="240" w:lineRule="atLeast"/>
              <w:rPr>
                <w:rFonts w:asciiTheme="minorHAnsi" w:hAnsiTheme="minorHAnsi" w:cs="Calibri"/>
                <w:position w:val="6"/>
              </w:rPr>
            </w:pPr>
            <w:bookmarkStart w:id="0" w:name="dc06"/>
            <w:bookmarkEnd w:id="0"/>
            <w:r w:rsidRPr="00351A14">
              <w:rPr>
                <w:rFonts w:asciiTheme="minorHAnsi" w:hAnsiTheme="minorHAnsi" w:cs="Calibri"/>
                <w:b/>
                <w:position w:val="6"/>
                <w:lang w:val="en-US"/>
              </w:rPr>
              <w:t>Council 2014</w:t>
            </w:r>
            <w:r w:rsidRPr="00351A14">
              <w:rPr>
                <w:rFonts w:asciiTheme="minorHAnsi" w:hAnsiTheme="minorHAnsi" w:cs="Calibri"/>
                <w:b/>
                <w:position w:val="6"/>
                <w:lang w:val="en-US"/>
              </w:rPr>
              <w:br/>
            </w:r>
            <w:r w:rsidRPr="00351A14">
              <w:rPr>
                <w:rFonts w:asciiTheme="minorHAnsi" w:hAnsiTheme="minorHAnsi" w:cs="Calibri"/>
                <w:b/>
                <w:bCs/>
                <w:position w:val="6"/>
                <w:lang w:val="en-US"/>
              </w:rPr>
              <w:t>Geneva, 6-15 May 2014</w:t>
            </w:r>
          </w:p>
        </w:tc>
        <w:tc>
          <w:tcPr>
            <w:tcW w:w="3120" w:type="dxa"/>
          </w:tcPr>
          <w:p w:rsidR="006E1BDA" w:rsidRPr="00351A14" w:rsidRDefault="004538CF" w:rsidP="00B27013">
            <w:pPr>
              <w:spacing w:before="0" w:line="240" w:lineRule="atLeast"/>
              <w:rPr>
                <w:rFonts w:asciiTheme="minorHAnsi" w:hAnsiTheme="minorHAnsi" w:cs="Calibri"/>
              </w:rPr>
            </w:pPr>
            <w:bookmarkStart w:id="1" w:name="ditulogo"/>
            <w:bookmarkEnd w:id="1"/>
            <w:r>
              <w:rPr>
                <w:rFonts w:asciiTheme="minorHAnsi" w:hAnsiTheme="minorHAnsi" w:cs="Calibri"/>
                <w:noProof/>
                <w:lang w:val="en-US" w:eastAsia="zh-CN" w:bidi="ar-SA"/>
              </w:rPr>
              <w:drawing>
                <wp:inline distT="0" distB="0" distL="0" distR="0">
                  <wp:extent cx="1760855" cy="7435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855" cy="743585"/>
                          </a:xfrm>
                          <a:prstGeom prst="rect">
                            <a:avLst/>
                          </a:prstGeom>
                          <a:noFill/>
                          <a:ln>
                            <a:noFill/>
                          </a:ln>
                        </pic:spPr>
                      </pic:pic>
                    </a:graphicData>
                  </a:graphic>
                </wp:inline>
              </w:drawing>
            </w:r>
          </w:p>
        </w:tc>
      </w:tr>
      <w:tr w:rsidR="006E1BDA" w:rsidRPr="00351A14" w:rsidTr="00B27013">
        <w:trPr>
          <w:cantSplit/>
        </w:trPr>
        <w:tc>
          <w:tcPr>
            <w:tcW w:w="6911" w:type="dxa"/>
            <w:tcBorders>
              <w:bottom w:val="single" w:sz="12" w:space="0" w:color="auto"/>
            </w:tcBorders>
          </w:tcPr>
          <w:p w:rsidR="006E1BDA" w:rsidRPr="00351A14" w:rsidRDefault="006E1BDA" w:rsidP="00B27013">
            <w:pPr>
              <w:spacing w:before="0" w:after="48" w:line="240" w:lineRule="atLeast"/>
              <w:rPr>
                <w:rFonts w:asciiTheme="minorHAnsi" w:hAnsiTheme="minorHAnsi" w:cs="Calibri"/>
                <w:b/>
                <w:smallCaps/>
              </w:rPr>
            </w:pPr>
          </w:p>
        </w:tc>
        <w:tc>
          <w:tcPr>
            <w:tcW w:w="3120" w:type="dxa"/>
            <w:tcBorders>
              <w:bottom w:val="single" w:sz="12" w:space="0" w:color="auto"/>
            </w:tcBorders>
          </w:tcPr>
          <w:p w:rsidR="006E1BDA" w:rsidRPr="00351A14" w:rsidRDefault="006E1BDA" w:rsidP="00B27013">
            <w:pPr>
              <w:spacing w:before="0" w:line="240" w:lineRule="atLeast"/>
              <w:rPr>
                <w:rFonts w:asciiTheme="minorHAnsi" w:hAnsiTheme="minorHAnsi" w:cs="Calibri"/>
              </w:rPr>
            </w:pPr>
          </w:p>
        </w:tc>
      </w:tr>
      <w:tr w:rsidR="006E1BDA" w:rsidRPr="00351A14" w:rsidTr="00B27013">
        <w:trPr>
          <w:cantSplit/>
        </w:trPr>
        <w:tc>
          <w:tcPr>
            <w:tcW w:w="6911" w:type="dxa"/>
            <w:tcBorders>
              <w:top w:val="single" w:sz="12" w:space="0" w:color="auto"/>
            </w:tcBorders>
          </w:tcPr>
          <w:p w:rsidR="006E1BDA" w:rsidRPr="00351A14" w:rsidRDefault="006E1BDA" w:rsidP="00B27013">
            <w:pPr>
              <w:spacing w:before="0" w:after="48" w:line="240" w:lineRule="atLeast"/>
              <w:rPr>
                <w:rFonts w:asciiTheme="minorHAnsi" w:hAnsiTheme="minorHAnsi" w:cs="Calibri"/>
                <w:b/>
                <w:smallCaps/>
              </w:rPr>
            </w:pPr>
          </w:p>
        </w:tc>
        <w:tc>
          <w:tcPr>
            <w:tcW w:w="3120" w:type="dxa"/>
            <w:tcBorders>
              <w:top w:val="single" w:sz="12" w:space="0" w:color="auto"/>
            </w:tcBorders>
          </w:tcPr>
          <w:p w:rsidR="006E1BDA" w:rsidRPr="00351A14" w:rsidRDefault="006E1BDA" w:rsidP="00B27013">
            <w:pPr>
              <w:spacing w:before="0" w:line="240" w:lineRule="atLeast"/>
              <w:rPr>
                <w:rFonts w:asciiTheme="minorHAnsi" w:hAnsiTheme="minorHAnsi" w:cs="Calibri"/>
              </w:rPr>
            </w:pPr>
          </w:p>
        </w:tc>
      </w:tr>
      <w:tr w:rsidR="006E1BDA" w:rsidRPr="00351A14" w:rsidTr="00B27013">
        <w:trPr>
          <w:cantSplit/>
          <w:trHeight w:val="23"/>
        </w:trPr>
        <w:tc>
          <w:tcPr>
            <w:tcW w:w="6911" w:type="dxa"/>
            <w:vMerge w:val="restart"/>
          </w:tcPr>
          <w:p w:rsidR="006E1BDA" w:rsidRPr="00351A14" w:rsidRDefault="006E1BDA" w:rsidP="00B27013">
            <w:pPr>
              <w:tabs>
                <w:tab w:val="left" w:pos="851"/>
              </w:tabs>
              <w:spacing w:before="0" w:line="240" w:lineRule="atLeast"/>
              <w:rPr>
                <w:rFonts w:asciiTheme="minorHAnsi" w:hAnsiTheme="minorHAnsi" w:cs="Calibri"/>
                <w:b/>
              </w:rPr>
            </w:pPr>
            <w:bookmarkStart w:id="2" w:name="dmeeting" w:colFirst="0" w:colLast="0"/>
            <w:bookmarkStart w:id="3" w:name="dnum" w:colFirst="1" w:colLast="1"/>
            <w:bookmarkStart w:id="4" w:name="_GoBack"/>
            <w:bookmarkEnd w:id="4"/>
            <w:r w:rsidRPr="00351A14">
              <w:rPr>
                <w:rFonts w:asciiTheme="minorHAnsi" w:hAnsiTheme="minorHAnsi" w:cs="Calibri"/>
                <w:b/>
              </w:rPr>
              <w:t>Agenda item: ADM 7</w:t>
            </w:r>
          </w:p>
        </w:tc>
        <w:tc>
          <w:tcPr>
            <w:tcW w:w="3120" w:type="dxa"/>
          </w:tcPr>
          <w:p w:rsidR="006E1BDA" w:rsidRPr="00351A14" w:rsidRDefault="006E1BDA" w:rsidP="00B27013">
            <w:pPr>
              <w:tabs>
                <w:tab w:val="left" w:pos="851"/>
              </w:tabs>
              <w:spacing w:before="0" w:line="240" w:lineRule="atLeast"/>
              <w:rPr>
                <w:rFonts w:asciiTheme="minorHAnsi" w:hAnsiTheme="minorHAnsi" w:cs="Calibri"/>
                <w:b/>
              </w:rPr>
            </w:pPr>
            <w:r w:rsidRPr="00351A14">
              <w:rPr>
                <w:rFonts w:asciiTheme="minorHAnsi" w:hAnsiTheme="minorHAnsi" w:cs="Calibri"/>
                <w:b/>
              </w:rPr>
              <w:t>Document C14/22-E</w:t>
            </w:r>
          </w:p>
        </w:tc>
      </w:tr>
      <w:tr w:rsidR="006E1BDA" w:rsidRPr="00351A14" w:rsidTr="00B27013">
        <w:trPr>
          <w:cantSplit/>
          <w:trHeight w:val="23"/>
        </w:trPr>
        <w:tc>
          <w:tcPr>
            <w:tcW w:w="6911" w:type="dxa"/>
            <w:vMerge/>
          </w:tcPr>
          <w:p w:rsidR="006E1BDA" w:rsidRPr="00351A14" w:rsidRDefault="006E1BDA" w:rsidP="00B27013">
            <w:pPr>
              <w:tabs>
                <w:tab w:val="left" w:pos="851"/>
              </w:tabs>
              <w:spacing w:line="240" w:lineRule="atLeast"/>
              <w:rPr>
                <w:rFonts w:asciiTheme="minorHAnsi" w:hAnsiTheme="minorHAnsi" w:cs="Calibri"/>
                <w:b/>
              </w:rPr>
            </w:pPr>
            <w:bookmarkStart w:id="5" w:name="ddate" w:colFirst="1" w:colLast="1"/>
            <w:bookmarkEnd w:id="2"/>
            <w:bookmarkEnd w:id="3"/>
          </w:p>
        </w:tc>
        <w:tc>
          <w:tcPr>
            <w:tcW w:w="3120" w:type="dxa"/>
          </w:tcPr>
          <w:p w:rsidR="006E1BDA" w:rsidRPr="00351A14" w:rsidRDefault="006E1BDA" w:rsidP="00B27013">
            <w:pPr>
              <w:tabs>
                <w:tab w:val="left" w:pos="993"/>
              </w:tabs>
              <w:spacing w:before="0"/>
              <w:rPr>
                <w:rFonts w:asciiTheme="minorHAnsi" w:hAnsiTheme="minorHAnsi" w:cs="Calibri"/>
                <w:b/>
              </w:rPr>
            </w:pPr>
            <w:r w:rsidRPr="00351A14">
              <w:rPr>
                <w:rFonts w:asciiTheme="minorHAnsi" w:hAnsiTheme="minorHAnsi" w:cs="Calibri"/>
                <w:b/>
              </w:rPr>
              <w:t>31 March 2014</w:t>
            </w:r>
          </w:p>
        </w:tc>
      </w:tr>
      <w:tr w:rsidR="006E1BDA" w:rsidRPr="00351A14" w:rsidTr="00B27013">
        <w:trPr>
          <w:cantSplit/>
          <w:trHeight w:val="23"/>
        </w:trPr>
        <w:tc>
          <w:tcPr>
            <w:tcW w:w="6911" w:type="dxa"/>
            <w:vMerge/>
          </w:tcPr>
          <w:p w:rsidR="006E1BDA" w:rsidRPr="00351A14" w:rsidRDefault="006E1BDA" w:rsidP="00B27013">
            <w:pPr>
              <w:tabs>
                <w:tab w:val="left" w:pos="851"/>
              </w:tabs>
              <w:spacing w:line="240" w:lineRule="atLeast"/>
              <w:rPr>
                <w:rFonts w:asciiTheme="minorHAnsi" w:hAnsiTheme="minorHAnsi" w:cs="Calibri"/>
                <w:b/>
              </w:rPr>
            </w:pPr>
            <w:bookmarkStart w:id="6" w:name="dorlang" w:colFirst="1" w:colLast="1"/>
            <w:bookmarkEnd w:id="5"/>
          </w:p>
        </w:tc>
        <w:tc>
          <w:tcPr>
            <w:tcW w:w="3120" w:type="dxa"/>
          </w:tcPr>
          <w:p w:rsidR="006E1BDA" w:rsidRPr="00351A14" w:rsidRDefault="006E1BDA" w:rsidP="00B27013">
            <w:pPr>
              <w:tabs>
                <w:tab w:val="left" w:pos="993"/>
              </w:tabs>
              <w:spacing w:before="0"/>
              <w:rPr>
                <w:rFonts w:asciiTheme="minorHAnsi" w:hAnsiTheme="minorHAnsi" w:cs="Calibri"/>
                <w:b/>
              </w:rPr>
            </w:pPr>
            <w:r w:rsidRPr="00351A14">
              <w:rPr>
                <w:rFonts w:asciiTheme="minorHAnsi" w:hAnsiTheme="minorHAnsi" w:cs="Calibri"/>
                <w:b/>
              </w:rPr>
              <w:t>Original: English</w:t>
            </w:r>
          </w:p>
        </w:tc>
      </w:tr>
      <w:tr w:rsidR="006E1BDA" w:rsidRPr="00351A14" w:rsidTr="00B27013">
        <w:trPr>
          <w:cantSplit/>
        </w:trPr>
        <w:tc>
          <w:tcPr>
            <w:tcW w:w="10031" w:type="dxa"/>
            <w:gridSpan w:val="2"/>
          </w:tcPr>
          <w:p w:rsidR="006E1BDA" w:rsidRPr="00351A14" w:rsidRDefault="006E1BDA" w:rsidP="00B27013">
            <w:pPr>
              <w:pStyle w:val="Source"/>
              <w:rPr>
                <w:rFonts w:asciiTheme="minorHAnsi" w:hAnsiTheme="minorHAnsi" w:cs="Calibri"/>
                <w:sz w:val="24"/>
                <w:szCs w:val="24"/>
              </w:rPr>
            </w:pPr>
            <w:bookmarkStart w:id="7" w:name="dsource" w:colFirst="0" w:colLast="0"/>
            <w:bookmarkEnd w:id="6"/>
            <w:r w:rsidRPr="00351A14">
              <w:rPr>
                <w:rFonts w:asciiTheme="minorHAnsi" w:hAnsiTheme="minorHAnsi" w:cs="Calibri"/>
                <w:sz w:val="24"/>
                <w:szCs w:val="24"/>
              </w:rPr>
              <w:t>Note by the Secretary-General</w:t>
            </w:r>
          </w:p>
        </w:tc>
      </w:tr>
      <w:tr w:rsidR="006E1BDA" w:rsidRPr="00351A14" w:rsidTr="00B27013">
        <w:trPr>
          <w:cantSplit/>
        </w:trPr>
        <w:tc>
          <w:tcPr>
            <w:tcW w:w="10031" w:type="dxa"/>
            <w:gridSpan w:val="2"/>
          </w:tcPr>
          <w:p w:rsidR="006E1BDA" w:rsidRPr="00351A14" w:rsidRDefault="006E1BDA" w:rsidP="006E1BDA">
            <w:pPr>
              <w:pStyle w:val="Title1"/>
              <w:spacing w:before="600" w:after="480"/>
              <w:rPr>
                <w:rFonts w:asciiTheme="minorHAnsi" w:hAnsiTheme="minorHAnsi" w:cs="Calibri"/>
                <w:sz w:val="24"/>
                <w:szCs w:val="24"/>
              </w:rPr>
            </w:pPr>
            <w:bookmarkStart w:id="8" w:name="dtitle1" w:colFirst="0" w:colLast="0"/>
            <w:bookmarkEnd w:id="7"/>
            <w:r w:rsidRPr="00351A14">
              <w:rPr>
                <w:rFonts w:asciiTheme="minorHAnsi" w:hAnsiTheme="minorHAnsi" w:cs="Calibri"/>
                <w:sz w:val="24"/>
                <w:szCs w:val="24"/>
              </w:rPr>
              <w:t xml:space="preserve">THIRD ANNUAL REPORT OF THE </w:t>
            </w:r>
            <w:r w:rsidRPr="00351A14">
              <w:rPr>
                <w:rFonts w:asciiTheme="minorHAnsi" w:hAnsiTheme="minorHAnsi" w:cs="Calibri"/>
                <w:sz w:val="24"/>
                <w:szCs w:val="24"/>
              </w:rPr>
              <w:br/>
              <w:t>INDEPENDENT MANAGEMENT ADVISORY COMMITTEE (IMAC)</w:t>
            </w:r>
          </w:p>
        </w:tc>
      </w:tr>
      <w:bookmarkEnd w:id="8"/>
    </w:tbl>
    <w:p w:rsidR="00F22459" w:rsidRPr="00351A14" w:rsidRDefault="00F22459" w:rsidP="004C2773">
      <w:pPr>
        <w:tabs>
          <w:tab w:val="clear" w:pos="567"/>
          <w:tab w:val="clear" w:pos="1134"/>
          <w:tab w:val="clear" w:pos="1701"/>
          <w:tab w:val="clear" w:pos="2268"/>
          <w:tab w:val="clear" w:pos="2835"/>
          <w:tab w:val="left" w:pos="1065"/>
        </w:tabs>
        <w:spacing w:before="0"/>
        <w:rPr>
          <w:rFonts w:asciiTheme="minorHAnsi" w:hAnsiTheme="minorHAnsi"/>
          <w:vanish/>
        </w:rPr>
      </w:pPr>
    </w:p>
    <w:p w:rsidR="00F22459" w:rsidRPr="00351A14" w:rsidRDefault="00BD7DF8" w:rsidP="006E1BDA">
      <w:pPr>
        <w:tabs>
          <w:tab w:val="clear" w:pos="567"/>
          <w:tab w:val="clear" w:pos="1134"/>
          <w:tab w:val="clear" w:pos="1701"/>
          <w:tab w:val="clear" w:pos="2268"/>
          <w:tab w:val="clear" w:pos="2835"/>
        </w:tabs>
        <w:spacing w:before="1680" w:after="200" w:line="276" w:lineRule="auto"/>
        <w:rPr>
          <w:rFonts w:asciiTheme="minorHAnsi" w:hAnsiTheme="minorHAnsi"/>
          <w:b/>
          <w:sz w:val="22"/>
          <w:lang w:val="en-US" w:eastAsia="zh-CN"/>
        </w:rPr>
      </w:pPr>
      <w:r w:rsidRPr="00351A14">
        <w:rPr>
          <w:rFonts w:asciiTheme="minorHAnsi" w:hAnsiTheme="minorHAnsi"/>
          <w:sz w:val="22"/>
          <w:lang w:val="en-US" w:eastAsia="zh-CN"/>
        </w:rPr>
        <w:t xml:space="preserve">I have the </w:t>
      </w:r>
      <w:proofErr w:type="spellStart"/>
      <w:r w:rsidRPr="00351A14">
        <w:rPr>
          <w:rFonts w:asciiTheme="minorHAnsi" w:hAnsiTheme="minorHAnsi"/>
          <w:sz w:val="22"/>
          <w:lang w:val="en-US" w:eastAsia="zh-CN"/>
        </w:rPr>
        <w:t>honour</w:t>
      </w:r>
      <w:proofErr w:type="spellEnd"/>
      <w:r w:rsidRPr="00351A14">
        <w:rPr>
          <w:rFonts w:asciiTheme="minorHAnsi" w:hAnsiTheme="minorHAnsi"/>
          <w:sz w:val="22"/>
          <w:lang w:val="en-US" w:eastAsia="zh-CN"/>
        </w:rPr>
        <w:t xml:space="preserve"> to transmit to the Member States of the Council a report from the Chairman of the Independent Management Advisory Committee (IMAC).</w:t>
      </w:r>
    </w:p>
    <w:p w:rsidR="00F22459" w:rsidRPr="00351A14" w:rsidRDefault="00BD7DF8" w:rsidP="006E1BDA">
      <w:pPr>
        <w:tabs>
          <w:tab w:val="clear" w:pos="567"/>
          <w:tab w:val="clear" w:pos="1134"/>
          <w:tab w:val="clear" w:pos="1701"/>
          <w:tab w:val="clear" w:pos="2268"/>
          <w:tab w:val="clear" w:pos="2835"/>
          <w:tab w:val="center" w:pos="7088"/>
        </w:tabs>
        <w:spacing w:before="840" w:line="276" w:lineRule="auto"/>
        <w:rPr>
          <w:rFonts w:asciiTheme="minorHAnsi" w:hAnsiTheme="minorHAnsi"/>
          <w:sz w:val="22"/>
          <w:lang w:val="es-ES" w:eastAsia="zh-CN"/>
        </w:rPr>
      </w:pPr>
      <w:r w:rsidRPr="00351A14">
        <w:rPr>
          <w:rFonts w:asciiTheme="minorHAnsi" w:hAnsiTheme="minorHAnsi"/>
          <w:sz w:val="22"/>
          <w:lang w:val="en-US" w:eastAsia="zh-CN"/>
        </w:rPr>
        <w:tab/>
      </w:r>
      <w:r w:rsidRPr="00351A14">
        <w:rPr>
          <w:rFonts w:asciiTheme="minorHAnsi" w:hAnsiTheme="minorHAnsi"/>
          <w:sz w:val="22"/>
          <w:lang w:val="es-ES" w:eastAsia="zh-CN"/>
        </w:rPr>
        <w:t>Dr Hamadoun I. TOURÉ</w:t>
      </w:r>
      <w:r w:rsidRPr="00351A14">
        <w:rPr>
          <w:rFonts w:asciiTheme="minorHAnsi" w:hAnsiTheme="minorHAnsi"/>
          <w:sz w:val="22"/>
          <w:lang w:val="es-ES" w:eastAsia="zh-CN"/>
        </w:rPr>
        <w:br/>
      </w:r>
      <w:r w:rsidRPr="00351A14">
        <w:rPr>
          <w:rFonts w:asciiTheme="minorHAnsi" w:hAnsiTheme="minorHAnsi"/>
          <w:sz w:val="22"/>
          <w:lang w:val="es-ES" w:eastAsia="zh-CN"/>
        </w:rPr>
        <w:tab/>
        <w:t>Secretary-General</w:t>
      </w:r>
    </w:p>
    <w:p w:rsidR="00F22459" w:rsidRPr="00351A14" w:rsidRDefault="00BD7DF8">
      <w:pPr>
        <w:jc w:val="center"/>
        <w:rPr>
          <w:rFonts w:asciiTheme="minorHAnsi" w:hAnsiTheme="minorHAnsi"/>
          <w:sz w:val="28"/>
          <w:lang w:val="en-US"/>
        </w:rPr>
      </w:pPr>
      <w:r w:rsidRPr="0087230C">
        <w:rPr>
          <w:rFonts w:asciiTheme="minorHAnsi" w:hAnsiTheme="minorHAnsi"/>
          <w:lang w:val="en-US"/>
        </w:rPr>
        <w:br w:type="page"/>
      </w:r>
      <w:r w:rsidRPr="00351A14">
        <w:rPr>
          <w:rFonts w:asciiTheme="minorHAnsi" w:hAnsiTheme="minorHAnsi"/>
          <w:sz w:val="28"/>
          <w:lang w:val="en-US"/>
        </w:rPr>
        <w:lastRenderedPageBreak/>
        <w:t xml:space="preserve">THIRD ANNUAL REPORT OF THE </w:t>
      </w:r>
      <w:r w:rsidRPr="00351A14">
        <w:rPr>
          <w:rFonts w:asciiTheme="minorHAnsi" w:hAnsiTheme="minorHAnsi"/>
          <w:sz w:val="28"/>
          <w:lang w:val="en-US"/>
        </w:rPr>
        <w:br/>
        <w:t>INDEPENDENT MANAGEMENT ADVISORY COMMITTEE (IMAC)</w:t>
      </w:r>
    </w:p>
    <w:p w:rsidR="00F22459" w:rsidRPr="00351A14" w:rsidRDefault="00F22459" w:rsidP="00E94465">
      <w:pPr>
        <w:spacing w:before="360"/>
        <w:jc w:val="center"/>
        <w:rPr>
          <w:rFonts w:asciiTheme="minorHAnsi" w:hAnsiTheme="minorHAnsi"/>
          <w:sz w:val="28"/>
          <w:lang w:val="en-US"/>
        </w:rPr>
      </w:pPr>
    </w:p>
    <w:p w:rsidR="00F22459" w:rsidRPr="00351A14" w:rsidRDefault="00F22459">
      <w:pPr>
        <w:rPr>
          <w:rFonts w:asciiTheme="minorHAnsi" w:hAnsi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1"/>
      </w:tblGrid>
      <w:tr w:rsidR="00F22459" w:rsidRPr="00351A14">
        <w:trPr>
          <w:trHeight w:val="3372"/>
          <w:jc w:val="center"/>
        </w:trPr>
        <w:tc>
          <w:tcPr>
            <w:tcW w:w="8541" w:type="dxa"/>
            <w:tcBorders>
              <w:top w:val="single" w:sz="12" w:space="0" w:color="auto"/>
              <w:left w:val="single" w:sz="12" w:space="0" w:color="auto"/>
              <w:bottom w:val="single" w:sz="12" w:space="0" w:color="auto"/>
              <w:right w:val="single" w:sz="12" w:space="0" w:color="auto"/>
            </w:tcBorders>
          </w:tcPr>
          <w:p w:rsidR="00F22459" w:rsidRPr="00351A14" w:rsidRDefault="00BD7DF8" w:rsidP="006E1BDA">
            <w:pPr>
              <w:pStyle w:val="Headingb"/>
              <w:tabs>
                <w:tab w:val="left" w:pos="567"/>
                <w:tab w:val="left" w:pos="1134"/>
                <w:tab w:val="left" w:pos="1701"/>
                <w:tab w:val="left" w:pos="2268"/>
                <w:tab w:val="left" w:pos="2835"/>
              </w:tabs>
              <w:spacing w:before="120" w:after="120"/>
              <w:rPr>
                <w:rFonts w:asciiTheme="minorHAnsi" w:hAnsiTheme="minorHAnsi"/>
                <w:sz w:val="22"/>
              </w:rPr>
            </w:pPr>
            <w:r w:rsidRPr="00351A14">
              <w:rPr>
                <w:rFonts w:asciiTheme="minorHAnsi" w:hAnsiTheme="minorHAnsi"/>
                <w:sz w:val="22"/>
              </w:rPr>
              <w:t>Summary</w:t>
            </w:r>
          </w:p>
          <w:p w:rsidR="00F22459" w:rsidRPr="00351A14" w:rsidRDefault="00BD7DF8" w:rsidP="00891125">
            <w:pPr>
              <w:spacing w:after="120"/>
              <w:jc w:val="both"/>
              <w:rPr>
                <w:rFonts w:asciiTheme="minorHAnsi" w:hAnsiTheme="minorHAnsi"/>
                <w:sz w:val="22"/>
              </w:rPr>
            </w:pPr>
            <w:r w:rsidRPr="00351A14">
              <w:rPr>
                <w:rFonts w:asciiTheme="minorHAnsi" w:hAnsiTheme="minorHAnsi"/>
                <w:sz w:val="22"/>
              </w:rPr>
              <w:t>This document presents the annual report of the Independent Management Advisory Commit</w:t>
            </w:r>
            <w:r w:rsidR="00891125">
              <w:rPr>
                <w:rFonts w:asciiTheme="minorHAnsi" w:hAnsiTheme="minorHAnsi"/>
                <w:sz w:val="22"/>
              </w:rPr>
              <w:t xml:space="preserve">tee (IMAC) to the ITU Council. </w:t>
            </w:r>
            <w:r w:rsidRPr="00351A14">
              <w:rPr>
                <w:rFonts w:asciiTheme="minorHAnsi" w:hAnsiTheme="minorHAnsi"/>
                <w:sz w:val="22"/>
              </w:rPr>
              <w:t xml:space="preserve">It contains conclusions and recommendations for the Council’s consideration in the areas of internal audit function, risk management and internal controls, financial statements, accounting and external audit, in compliance with IMAC’s terms of reference.  </w:t>
            </w:r>
          </w:p>
          <w:p w:rsidR="00F22459" w:rsidRPr="00351A14" w:rsidRDefault="00BD7DF8" w:rsidP="00891125">
            <w:pPr>
              <w:spacing w:after="120"/>
              <w:jc w:val="both"/>
              <w:rPr>
                <w:rFonts w:asciiTheme="minorHAnsi" w:hAnsiTheme="minorHAnsi"/>
                <w:sz w:val="22"/>
              </w:rPr>
            </w:pPr>
            <w:r w:rsidRPr="00351A14">
              <w:rPr>
                <w:rFonts w:asciiTheme="minorHAnsi" w:hAnsiTheme="minorHAnsi"/>
                <w:sz w:val="22"/>
              </w:rPr>
              <w:t xml:space="preserve">This third annual report by IMAC to the ITU Council provides an update on the Committee’s coverage and activity since June 2013 and presents </w:t>
            </w:r>
            <w:r w:rsidR="00891125">
              <w:rPr>
                <w:rFonts w:asciiTheme="minorHAnsi" w:hAnsiTheme="minorHAnsi"/>
                <w:sz w:val="22"/>
              </w:rPr>
              <w:t>nine</w:t>
            </w:r>
            <w:r w:rsidRPr="00351A14">
              <w:rPr>
                <w:rFonts w:asciiTheme="minorHAnsi" w:hAnsiTheme="minorHAnsi"/>
                <w:sz w:val="22"/>
              </w:rPr>
              <w:t xml:space="preserve"> specific recommendations intended to improve the oversight, internal control and governance arrange</w:t>
            </w:r>
            <w:r w:rsidR="00891125">
              <w:rPr>
                <w:rFonts w:asciiTheme="minorHAnsi" w:hAnsiTheme="minorHAnsi"/>
                <w:sz w:val="22"/>
              </w:rPr>
              <w:t>ments to better meet the organiz</w:t>
            </w:r>
            <w:r w:rsidRPr="00351A14">
              <w:rPr>
                <w:rFonts w:asciiTheme="minorHAnsi" w:hAnsiTheme="minorHAnsi"/>
                <w:sz w:val="22"/>
              </w:rPr>
              <w:t>ation’s current needs.</w:t>
            </w:r>
          </w:p>
          <w:p w:rsidR="00F22459" w:rsidRPr="00351A14" w:rsidRDefault="00BD7DF8" w:rsidP="00891125">
            <w:pPr>
              <w:spacing w:after="120"/>
              <w:jc w:val="both"/>
              <w:rPr>
                <w:rFonts w:asciiTheme="minorHAnsi" w:hAnsiTheme="minorHAnsi"/>
                <w:sz w:val="22"/>
              </w:rPr>
            </w:pPr>
            <w:r w:rsidRPr="00351A14">
              <w:rPr>
                <w:rFonts w:asciiTheme="minorHAnsi" w:hAnsiTheme="minorHAnsi"/>
                <w:sz w:val="22"/>
              </w:rPr>
              <w:t>This year, IMAC is inviting the Council to approve its recommendations in order to further encourage effective response and timely action in the interests of enhanced accountability.</w:t>
            </w:r>
          </w:p>
          <w:p w:rsidR="00F22459" w:rsidRPr="00351A14" w:rsidRDefault="00BD7DF8" w:rsidP="00891125">
            <w:pPr>
              <w:pStyle w:val="Headingb"/>
              <w:tabs>
                <w:tab w:val="left" w:pos="567"/>
                <w:tab w:val="left" w:pos="1134"/>
                <w:tab w:val="left" w:pos="1701"/>
                <w:tab w:val="left" w:pos="2268"/>
                <w:tab w:val="left" w:pos="2835"/>
              </w:tabs>
              <w:spacing w:before="120" w:after="120"/>
              <w:ind w:left="0" w:firstLine="0"/>
              <w:jc w:val="both"/>
              <w:rPr>
                <w:rFonts w:asciiTheme="minorHAnsi" w:hAnsiTheme="minorHAnsi"/>
                <w:sz w:val="22"/>
              </w:rPr>
            </w:pPr>
            <w:r w:rsidRPr="00351A14">
              <w:rPr>
                <w:rFonts w:asciiTheme="minorHAnsi" w:hAnsiTheme="minorHAnsi"/>
                <w:sz w:val="22"/>
              </w:rPr>
              <w:t>Action required</w:t>
            </w:r>
          </w:p>
          <w:p w:rsidR="00F22459" w:rsidRPr="00351A14" w:rsidRDefault="00BD7DF8" w:rsidP="00891125">
            <w:pPr>
              <w:spacing w:after="120"/>
              <w:jc w:val="both"/>
              <w:rPr>
                <w:rFonts w:asciiTheme="minorHAnsi" w:hAnsiTheme="minorHAnsi"/>
                <w:sz w:val="22"/>
              </w:rPr>
            </w:pPr>
            <w:r w:rsidRPr="00351A14">
              <w:rPr>
                <w:rFonts w:asciiTheme="minorHAnsi" w:hAnsiTheme="minorHAnsi"/>
                <w:sz w:val="22"/>
              </w:rPr>
              <w:t xml:space="preserve">The Council is invited </w:t>
            </w:r>
            <w:r w:rsidRPr="00351A14">
              <w:rPr>
                <w:rFonts w:asciiTheme="minorHAnsi" w:hAnsiTheme="minorHAnsi"/>
                <w:b/>
                <w:sz w:val="22"/>
              </w:rPr>
              <w:t>to approve</w:t>
            </w:r>
            <w:r w:rsidRPr="00351A14">
              <w:rPr>
                <w:rFonts w:asciiTheme="minorHAnsi" w:hAnsiTheme="minorHAnsi"/>
                <w:sz w:val="22"/>
              </w:rPr>
              <w:t xml:space="preserve"> the IMAC report and its recommendations.</w:t>
            </w:r>
          </w:p>
          <w:p w:rsidR="00F22459" w:rsidRPr="00351A14" w:rsidRDefault="00BD7DF8" w:rsidP="006E1BDA">
            <w:pPr>
              <w:spacing w:after="120"/>
              <w:jc w:val="center"/>
              <w:rPr>
                <w:rFonts w:asciiTheme="minorHAnsi" w:hAnsiTheme="minorHAnsi"/>
                <w:caps/>
                <w:sz w:val="22"/>
              </w:rPr>
            </w:pPr>
            <w:r w:rsidRPr="00351A14">
              <w:rPr>
                <w:rFonts w:asciiTheme="minorHAnsi" w:hAnsiTheme="minorHAnsi"/>
                <w:caps/>
                <w:sz w:val="22"/>
              </w:rPr>
              <w:t>____________</w:t>
            </w:r>
          </w:p>
          <w:p w:rsidR="00F22459" w:rsidRPr="00351A14" w:rsidRDefault="00BD7DF8" w:rsidP="006E1BDA">
            <w:pPr>
              <w:pStyle w:val="Headingb"/>
              <w:tabs>
                <w:tab w:val="left" w:pos="567"/>
                <w:tab w:val="left" w:pos="1134"/>
                <w:tab w:val="left" w:pos="1701"/>
                <w:tab w:val="left" w:pos="2268"/>
                <w:tab w:val="left" w:pos="2835"/>
              </w:tabs>
              <w:spacing w:before="120" w:after="120"/>
              <w:rPr>
                <w:rFonts w:asciiTheme="minorHAnsi" w:hAnsiTheme="minorHAnsi"/>
                <w:sz w:val="22"/>
              </w:rPr>
            </w:pPr>
            <w:r w:rsidRPr="00351A14">
              <w:rPr>
                <w:rFonts w:asciiTheme="minorHAnsi" w:hAnsiTheme="minorHAnsi"/>
                <w:sz w:val="22"/>
              </w:rPr>
              <w:t>References</w:t>
            </w:r>
          </w:p>
          <w:p w:rsidR="00F22459" w:rsidRPr="00351A14" w:rsidRDefault="0087230C" w:rsidP="00891125">
            <w:pPr>
              <w:spacing w:after="120"/>
              <w:jc w:val="both"/>
              <w:rPr>
                <w:rFonts w:asciiTheme="minorHAnsi" w:hAnsiTheme="minorHAnsi"/>
                <w:i/>
                <w:sz w:val="22"/>
              </w:rPr>
            </w:pPr>
            <w:hyperlink r:id="rId9" w:anchor="res162" w:history="1">
              <w:r w:rsidR="00BD7DF8" w:rsidRPr="00351A14">
                <w:rPr>
                  <w:rStyle w:val="Hyperlink"/>
                  <w:rFonts w:asciiTheme="minorHAnsi" w:hAnsiTheme="minorHAnsi"/>
                  <w:sz w:val="22"/>
                </w:rPr>
                <w:t>Resolution 162</w:t>
              </w:r>
            </w:hyperlink>
            <w:r w:rsidR="00BD7DF8" w:rsidRPr="00351A14">
              <w:rPr>
                <w:rFonts w:asciiTheme="minorHAnsi" w:hAnsiTheme="minorHAnsi"/>
                <w:sz w:val="22"/>
              </w:rPr>
              <w:t xml:space="preserve"> (Guadalajara, 2010); Council</w:t>
            </w:r>
            <w:r w:rsidR="004538CF">
              <w:rPr>
                <w:rFonts w:asciiTheme="minorHAnsi" w:hAnsiTheme="minorHAnsi"/>
                <w:sz w:val="22"/>
              </w:rPr>
              <w:t xml:space="preserve"> </w:t>
            </w:r>
            <w:hyperlink r:id="rId10" w:history="1">
              <w:r w:rsidR="00BD7DF8" w:rsidRPr="004538CF">
                <w:rPr>
                  <w:rStyle w:val="Hyperlink"/>
                  <w:rFonts w:asciiTheme="minorHAnsi" w:hAnsiTheme="minorHAnsi"/>
                  <w:sz w:val="22"/>
                </w:rPr>
                <w:t>Decision 565</w:t>
              </w:r>
            </w:hyperlink>
            <w:r w:rsidR="00BD7DF8" w:rsidRPr="00351A14">
              <w:rPr>
                <w:rFonts w:asciiTheme="minorHAnsi" w:hAnsiTheme="minorHAnsi"/>
                <w:sz w:val="22"/>
              </w:rPr>
              <w:t xml:space="preserve">; Documents </w:t>
            </w:r>
            <w:hyperlink r:id="rId11" w:history="1">
              <w:r w:rsidR="00BD7DF8" w:rsidRPr="00351A14">
                <w:rPr>
                  <w:rStyle w:val="Hyperlink"/>
                  <w:rFonts w:asciiTheme="minorHAnsi" w:hAnsiTheme="minorHAnsi"/>
                  <w:sz w:val="22"/>
                </w:rPr>
                <w:t>C12/44</w:t>
              </w:r>
            </w:hyperlink>
            <w:r w:rsidR="00BD7DF8" w:rsidRPr="00351A14">
              <w:rPr>
                <w:rFonts w:asciiTheme="minorHAnsi" w:hAnsiTheme="minorHAnsi"/>
                <w:sz w:val="22"/>
              </w:rPr>
              <w:t xml:space="preserve"> First annual report of IMAC to the Council and </w:t>
            </w:r>
            <w:hyperlink r:id="rId12" w:history="1">
              <w:r w:rsidR="00BD7DF8" w:rsidRPr="004538CF">
                <w:rPr>
                  <w:rStyle w:val="Hyperlink"/>
                  <w:rFonts w:asciiTheme="minorHAnsi" w:hAnsiTheme="minorHAnsi"/>
                  <w:sz w:val="22"/>
                </w:rPr>
                <w:t>C13/65 + Corr. 1</w:t>
              </w:r>
            </w:hyperlink>
            <w:r w:rsidR="00BD7DF8" w:rsidRPr="00351A14">
              <w:rPr>
                <w:rFonts w:asciiTheme="minorHAnsi" w:hAnsiTheme="minorHAnsi"/>
                <w:sz w:val="22"/>
              </w:rPr>
              <w:t xml:space="preserve"> Second annual report of IMAC to the Council</w:t>
            </w:r>
            <w:r w:rsidR="00E94465">
              <w:rPr>
                <w:rFonts w:asciiTheme="minorHAnsi" w:hAnsiTheme="minorHAnsi"/>
                <w:sz w:val="22"/>
              </w:rPr>
              <w:t>.</w:t>
            </w:r>
          </w:p>
        </w:tc>
      </w:tr>
    </w:tbl>
    <w:p w:rsidR="00F22459" w:rsidRPr="00351A14" w:rsidRDefault="00891125" w:rsidP="004538CF">
      <w:pPr>
        <w:tabs>
          <w:tab w:val="clear" w:pos="1134"/>
          <w:tab w:val="clear" w:pos="1701"/>
          <w:tab w:val="clear" w:pos="2268"/>
          <w:tab w:val="clear" w:pos="2835"/>
        </w:tabs>
        <w:spacing w:before="600"/>
        <w:rPr>
          <w:rFonts w:asciiTheme="minorHAnsi" w:hAnsiTheme="minorHAnsi"/>
          <w:b/>
          <w:sz w:val="22"/>
          <w:szCs w:val="22"/>
        </w:rPr>
      </w:pPr>
      <w:bookmarkStart w:id="9" w:name="dstart"/>
      <w:bookmarkStart w:id="10" w:name="dbreak"/>
      <w:bookmarkEnd w:id="9"/>
      <w:bookmarkEnd w:id="10"/>
      <w:r>
        <w:rPr>
          <w:rFonts w:asciiTheme="minorHAnsi" w:hAnsiTheme="minorHAnsi"/>
          <w:b/>
          <w:sz w:val="22"/>
          <w:szCs w:val="22"/>
        </w:rPr>
        <w:t>1.</w:t>
      </w:r>
      <w:r>
        <w:rPr>
          <w:rFonts w:asciiTheme="minorHAnsi" w:hAnsiTheme="minorHAnsi"/>
          <w:b/>
          <w:sz w:val="22"/>
          <w:szCs w:val="22"/>
        </w:rPr>
        <w:tab/>
      </w:r>
      <w:r>
        <w:rPr>
          <w:rFonts w:asciiTheme="minorHAnsi" w:hAnsiTheme="minorHAnsi"/>
          <w:b/>
          <w:sz w:val="22"/>
          <w:szCs w:val="22"/>
        </w:rPr>
        <w:tab/>
      </w:r>
      <w:r w:rsidR="00BD7DF8" w:rsidRPr="00351A14">
        <w:rPr>
          <w:rFonts w:asciiTheme="minorHAnsi" w:hAnsiTheme="minorHAnsi"/>
          <w:b/>
          <w:sz w:val="22"/>
          <w:szCs w:val="22"/>
        </w:rPr>
        <w:t>Introduction</w:t>
      </w:r>
    </w:p>
    <w:p w:rsidR="00F22459" w:rsidRPr="00351A14" w:rsidRDefault="00891125" w:rsidP="00A20A76">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1.1</w:t>
      </w:r>
      <w:r>
        <w:rPr>
          <w:rFonts w:asciiTheme="minorHAnsi" w:hAnsiTheme="minorHAnsi"/>
          <w:sz w:val="22"/>
          <w:szCs w:val="22"/>
        </w:rPr>
        <w:tab/>
      </w:r>
      <w:r w:rsidR="00BD7DF8" w:rsidRPr="00351A14">
        <w:rPr>
          <w:rFonts w:asciiTheme="minorHAnsi" w:hAnsiTheme="minorHAnsi"/>
          <w:sz w:val="22"/>
          <w:szCs w:val="22"/>
        </w:rPr>
        <w:t>The current members of IMAC appointed by the Council are:</w:t>
      </w:r>
    </w:p>
    <w:p w:rsidR="00F22459" w:rsidRPr="00351A14" w:rsidRDefault="00BD7DF8" w:rsidP="006E1BDA">
      <w:pPr>
        <w:numPr>
          <w:ilvl w:val="0"/>
          <w:numId w:val="1"/>
        </w:numPr>
        <w:tabs>
          <w:tab w:val="clear" w:pos="567"/>
          <w:tab w:val="clear" w:pos="1134"/>
          <w:tab w:val="clear" w:pos="1701"/>
          <w:tab w:val="clear" w:pos="2268"/>
          <w:tab w:val="clear" w:pos="2835"/>
          <w:tab w:val="left" w:pos="360"/>
        </w:tabs>
        <w:ind w:left="1800"/>
        <w:rPr>
          <w:rFonts w:asciiTheme="minorHAnsi" w:hAnsiTheme="minorHAnsi"/>
          <w:sz w:val="22"/>
          <w:szCs w:val="22"/>
        </w:rPr>
      </w:pPr>
      <w:r w:rsidRPr="00351A14">
        <w:rPr>
          <w:rFonts w:asciiTheme="minorHAnsi" w:hAnsiTheme="minorHAnsi"/>
          <w:sz w:val="22"/>
          <w:szCs w:val="22"/>
        </w:rPr>
        <w:t xml:space="preserve">Mr Eric </w:t>
      </w:r>
      <w:proofErr w:type="spellStart"/>
      <w:r w:rsidRPr="00351A14">
        <w:rPr>
          <w:rFonts w:asciiTheme="minorHAnsi" w:hAnsiTheme="minorHAnsi"/>
          <w:sz w:val="22"/>
          <w:szCs w:val="22"/>
        </w:rPr>
        <w:t>Adda</w:t>
      </w:r>
      <w:proofErr w:type="spellEnd"/>
      <w:r w:rsidRPr="00351A14">
        <w:rPr>
          <w:rFonts w:asciiTheme="minorHAnsi" w:hAnsiTheme="minorHAnsi"/>
          <w:sz w:val="22"/>
          <w:szCs w:val="22"/>
        </w:rPr>
        <w:t xml:space="preserve"> </w:t>
      </w:r>
    </w:p>
    <w:p w:rsidR="00F22459" w:rsidRPr="00351A14" w:rsidRDefault="00BD7DF8">
      <w:pPr>
        <w:numPr>
          <w:ilvl w:val="0"/>
          <w:numId w:val="1"/>
        </w:numPr>
        <w:tabs>
          <w:tab w:val="clear" w:pos="567"/>
          <w:tab w:val="clear" w:pos="1134"/>
          <w:tab w:val="clear" w:pos="1701"/>
          <w:tab w:val="clear" w:pos="2268"/>
          <w:tab w:val="clear" w:pos="2835"/>
          <w:tab w:val="left" w:pos="360"/>
        </w:tabs>
        <w:spacing w:before="0"/>
        <w:ind w:left="1800"/>
        <w:rPr>
          <w:rFonts w:asciiTheme="minorHAnsi" w:hAnsiTheme="minorHAnsi"/>
          <w:sz w:val="22"/>
          <w:szCs w:val="22"/>
        </w:rPr>
      </w:pPr>
      <w:r w:rsidRPr="00351A14">
        <w:rPr>
          <w:rFonts w:asciiTheme="minorHAnsi" w:hAnsiTheme="minorHAnsi"/>
          <w:sz w:val="22"/>
          <w:szCs w:val="22"/>
        </w:rPr>
        <w:t xml:space="preserve">Dr </w:t>
      </w:r>
      <w:proofErr w:type="spellStart"/>
      <w:r w:rsidRPr="00351A14">
        <w:rPr>
          <w:rFonts w:asciiTheme="minorHAnsi" w:hAnsiTheme="minorHAnsi"/>
          <w:sz w:val="22"/>
          <w:szCs w:val="22"/>
        </w:rPr>
        <w:t>Beate</w:t>
      </w:r>
      <w:proofErr w:type="spellEnd"/>
      <w:r w:rsidRPr="00351A14">
        <w:rPr>
          <w:rFonts w:asciiTheme="minorHAnsi" w:hAnsiTheme="minorHAnsi"/>
          <w:sz w:val="22"/>
          <w:szCs w:val="22"/>
        </w:rPr>
        <w:t xml:space="preserve"> </w:t>
      </w:r>
      <w:proofErr w:type="spellStart"/>
      <w:r w:rsidRPr="00351A14">
        <w:rPr>
          <w:rFonts w:asciiTheme="minorHAnsi" w:hAnsiTheme="minorHAnsi"/>
          <w:sz w:val="22"/>
          <w:szCs w:val="22"/>
        </w:rPr>
        <w:t>Degen</w:t>
      </w:r>
      <w:proofErr w:type="spellEnd"/>
      <w:r w:rsidRPr="00351A14">
        <w:rPr>
          <w:rFonts w:asciiTheme="minorHAnsi" w:hAnsiTheme="minorHAnsi"/>
          <w:sz w:val="22"/>
          <w:szCs w:val="22"/>
        </w:rPr>
        <w:t xml:space="preserve"> (Chairman)</w:t>
      </w:r>
    </w:p>
    <w:p w:rsidR="00F22459" w:rsidRPr="00351A14" w:rsidRDefault="00BD7DF8">
      <w:pPr>
        <w:numPr>
          <w:ilvl w:val="0"/>
          <w:numId w:val="1"/>
        </w:numPr>
        <w:tabs>
          <w:tab w:val="clear" w:pos="567"/>
          <w:tab w:val="clear" w:pos="1134"/>
          <w:tab w:val="clear" w:pos="1701"/>
          <w:tab w:val="clear" w:pos="2268"/>
          <w:tab w:val="clear" w:pos="2835"/>
          <w:tab w:val="left" w:pos="360"/>
        </w:tabs>
        <w:spacing w:before="0"/>
        <w:ind w:left="1800"/>
        <w:rPr>
          <w:rFonts w:asciiTheme="minorHAnsi" w:hAnsiTheme="minorHAnsi"/>
          <w:sz w:val="22"/>
          <w:szCs w:val="22"/>
        </w:rPr>
      </w:pPr>
      <w:r w:rsidRPr="00351A14">
        <w:rPr>
          <w:rFonts w:asciiTheme="minorHAnsi" w:hAnsiTheme="minorHAnsi"/>
          <w:sz w:val="22"/>
          <w:szCs w:val="22"/>
        </w:rPr>
        <w:t xml:space="preserve">Mr </w:t>
      </w:r>
      <w:proofErr w:type="spellStart"/>
      <w:r w:rsidRPr="00351A14">
        <w:rPr>
          <w:rFonts w:asciiTheme="minorHAnsi" w:hAnsiTheme="minorHAnsi"/>
          <w:sz w:val="22"/>
          <w:szCs w:val="22"/>
        </w:rPr>
        <w:t>Abdessalem</w:t>
      </w:r>
      <w:proofErr w:type="spellEnd"/>
      <w:r w:rsidRPr="00351A14">
        <w:rPr>
          <w:rFonts w:asciiTheme="minorHAnsi" w:hAnsiTheme="minorHAnsi"/>
          <w:sz w:val="22"/>
          <w:szCs w:val="22"/>
        </w:rPr>
        <w:t xml:space="preserve"> El </w:t>
      </w:r>
      <w:proofErr w:type="spellStart"/>
      <w:r w:rsidRPr="00351A14">
        <w:rPr>
          <w:rFonts w:asciiTheme="minorHAnsi" w:hAnsiTheme="minorHAnsi"/>
          <w:sz w:val="22"/>
          <w:szCs w:val="22"/>
        </w:rPr>
        <w:t>Harouchy</w:t>
      </w:r>
      <w:proofErr w:type="spellEnd"/>
    </w:p>
    <w:p w:rsidR="00F22459" w:rsidRPr="00351A14" w:rsidRDefault="00BD7DF8">
      <w:pPr>
        <w:numPr>
          <w:ilvl w:val="0"/>
          <w:numId w:val="1"/>
        </w:numPr>
        <w:tabs>
          <w:tab w:val="clear" w:pos="567"/>
          <w:tab w:val="clear" w:pos="1134"/>
          <w:tab w:val="clear" w:pos="1701"/>
          <w:tab w:val="clear" w:pos="2268"/>
          <w:tab w:val="clear" w:pos="2835"/>
          <w:tab w:val="left" w:pos="360"/>
        </w:tabs>
        <w:spacing w:before="0"/>
        <w:ind w:left="1800"/>
        <w:rPr>
          <w:rFonts w:asciiTheme="minorHAnsi" w:hAnsiTheme="minorHAnsi"/>
          <w:sz w:val="22"/>
          <w:szCs w:val="22"/>
        </w:rPr>
      </w:pPr>
      <w:r w:rsidRPr="00351A14">
        <w:rPr>
          <w:rFonts w:asciiTheme="minorHAnsi" w:hAnsiTheme="minorHAnsi"/>
          <w:sz w:val="22"/>
          <w:szCs w:val="22"/>
        </w:rPr>
        <w:t>Mr Graham Miller</w:t>
      </w:r>
    </w:p>
    <w:p w:rsidR="00F22459" w:rsidRPr="00351A14" w:rsidRDefault="00BD7DF8">
      <w:pPr>
        <w:numPr>
          <w:ilvl w:val="0"/>
          <w:numId w:val="1"/>
        </w:numPr>
        <w:tabs>
          <w:tab w:val="clear" w:pos="567"/>
          <w:tab w:val="clear" w:pos="1134"/>
          <w:tab w:val="clear" w:pos="1701"/>
          <w:tab w:val="clear" w:pos="2268"/>
          <w:tab w:val="clear" w:pos="2835"/>
          <w:tab w:val="left" w:pos="360"/>
        </w:tabs>
        <w:spacing w:before="0"/>
        <w:ind w:left="1800"/>
        <w:rPr>
          <w:rFonts w:asciiTheme="minorHAnsi" w:hAnsiTheme="minorHAnsi"/>
          <w:sz w:val="22"/>
          <w:szCs w:val="22"/>
        </w:rPr>
      </w:pPr>
      <w:r w:rsidRPr="00351A14">
        <w:rPr>
          <w:rFonts w:asciiTheme="minorHAnsi" w:hAnsiTheme="minorHAnsi"/>
          <w:sz w:val="22"/>
          <w:szCs w:val="22"/>
        </w:rPr>
        <w:t xml:space="preserve">Mr Thomas </w:t>
      </w:r>
      <w:proofErr w:type="spellStart"/>
      <w:r w:rsidRPr="00351A14">
        <w:rPr>
          <w:rFonts w:asciiTheme="minorHAnsi" w:hAnsiTheme="minorHAnsi"/>
          <w:sz w:val="22"/>
          <w:szCs w:val="22"/>
        </w:rPr>
        <w:t>Repasch</w:t>
      </w:r>
      <w:proofErr w:type="spellEnd"/>
    </w:p>
    <w:p w:rsidR="00F22459" w:rsidRPr="00351A14" w:rsidRDefault="00BD7DF8" w:rsidP="00A20A76">
      <w:pPr>
        <w:tabs>
          <w:tab w:val="clear" w:pos="567"/>
          <w:tab w:val="clear" w:pos="1134"/>
          <w:tab w:val="clear" w:pos="1701"/>
          <w:tab w:val="clear" w:pos="2268"/>
          <w:tab w:val="clear" w:pos="2835"/>
        </w:tabs>
        <w:spacing w:after="120"/>
        <w:jc w:val="both"/>
        <w:rPr>
          <w:rFonts w:asciiTheme="minorHAnsi" w:hAnsiTheme="minorHAnsi"/>
          <w:sz w:val="22"/>
          <w:szCs w:val="22"/>
        </w:rPr>
      </w:pPr>
      <w:r w:rsidRPr="00351A14">
        <w:rPr>
          <w:rFonts w:asciiTheme="minorHAnsi" w:hAnsiTheme="minorHAnsi"/>
          <w:sz w:val="22"/>
          <w:szCs w:val="22"/>
        </w:rPr>
        <w:t>1.2</w:t>
      </w:r>
      <w:r w:rsidR="00891125">
        <w:rPr>
          <w:rFonts w:asciiTheme="minorHAnsi" w:hAnsiTheme="minorHAnsi"/>
          <w:sz w:val="22"/>
          <w:szCs w:val="22"/>
        </w:rPr>
        <w:tab/>
      </w:r>
      <w:r w:rsidRPr="00A20A76">
        <w:rPr>
          <w:rFonts w:asciiTheme="minorHAnsi" w:hAnsiTheme="minorHAnsi"/>
          <w:sz w:val="22"/>
          <w:szCs w:val="22"/>
        </w:rPr>
        <w:t>Since</w:t>
      </w:r>
      <w:r w:rsidRPr="004538CF">
        <w:rPr>
          <w:rFonts w:asciiTheme="minorHAnsi" w:hAnsiTheme="minorHAnsi"/>
          <w:spacing w:val="4"/>
          <w:sz w:val="22"/>
          <w:szCs w:val="22"/>
        </w:rPr>
        <w:t xml:space="preserve"> IMAC’s second annual report was submitted to the Council in 2013, IMAC has met twice, on</w:t>
      </w:r>
      <w:r w:rsidRPr="00351A14">
        <w:rPr>
          <w:rFonts w:asciiTheme="minorHAnsi" w:hAnsiTheme="minorHAnsi"/>
          <w:sz w:val="22"/>
          <w:szCs w:val="22"/>
        </w:rPr>
        <w:t xml:space="preserve"> 6-7</w:t>
      </w:r>
      <w:r w:rsidR="004538CF">
        <w:rPr>
          <w:rFonts w:asciiTheme="minorHAnsi" w:hAnsiTheme="minorHAnsi"/>
          <w:sz w:val="22"/>
          <w:szCs w:val="22"/>
        </w:rPr>
        <w:t> </w:t>
      </w:r>
      <w:r w:rsidRPr="00351A14">
        <w:rPr>
          <w:rFonts w:asciiTheme="minorHAnsi" w:hAnsiTheme="minorHAnsi"/>
          <w:sz w:val="22"/>
          <w:szCs w:val="22"/>
        </w:rPr>
        <w:t xml:space="preserve">November 2013 and 24-26 February 2014. Under IMAC’s terms of reference, the findings of the November meeting were submitted to the Chairman of the Council and the Secretary-General. The findings of both the November and February meetings have been consolidated in this third annual report to the Council.  Reports of the Committee’s meetings and its annual reports as well as other key documents are available to the ITU membership on IMAC’s area of the ITU website, accessible via </w:t>
      </w:r>
      <w:hyperlink r:id="rId13" w:history="1">
        <w:r w:rsidRPr="00351A14">
          <w:rPr>
            <w:rStyle w:val="Hyperlink"/>
            <w:rFonts w:asciiTheme="minorHAnsi" w:hAnsiTheme="minorHAnsi"/>
            <w:sz w:val="22"/>
            <w:szCs w:val="22"/>
          </w:rPr>
          <w:t>ITU Council</w:t>
        </w:r>
      </w:hyperlink>
      <w:r w:rsidRPr="00351A14">
        <w:rPr>
          <w:rFonts w:asciiTheme="minorHAnsi" w:hAnsiTheme="minorHAnsi"/>
          <w:sz w:val="22"/>
          <w:szCs w:val="22"/>
        </w:rPr>
        <w:t>.</w:t>
      </w:r>
    </w:p>
    <w:p w:rsidR="00F22459" w:rsidRPr="00351A14" w:rsidRDefault="00891125" w:rsidP="00A20A76">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1.3</w:t>
      </w:r>
      <w:r>
        <w:rPr>
          <w:rFonts w:asciiTheme="minorHAnsi" w:hAnsiTheme="minorHAnsi"/>
          <w:sz w:val="22"/>
          <w:szCs w:val="22"/>
        </w:rPr>
        <w:tab/>
      </w:r>
      <w:r w:rsidR="00BD7DF8" w:rsidRPr="00351A14">
        <w:rPr>
          <w:rFonts w:asciiTheme="minorHAnsi" w:hAnsiTheme="minorHAnsi"/>
          <w:sz w:val="22"/>
          <w:szCs w:val="22"/>
        </w:rPr>
        <w:t xml:space="preserve">Meeting attendance: Dr </w:t>
      </w:r>
      <w:proofErr w:type="spellStart"/>
      <w:r w:rsidR="00BD7DF8" w:rsidRPr="00351A14">
        <w:rPr>
          <w:rFonts w:asciiTheme="minorHAnsi" w:hAnsiTheme="minorHAnsi"/>
          <w:sz w:val="22"/>
          <w:szCs w:val="22"/>
        </w:rPr>
        <w:t>Degen</w:t>
      </w:r>
      <w:proofErr w:type="spellEnd"/>
      <w:r w:rsidR="00BD7DF8" w:rsidRPr="00351A14">
        <w:rPr>
          <w:rFonts w:asciiTheme="minorHAnsi" w:hAnsiTheme="minorHAnsi"/>
          <w:sz w:val="22"/>
          <w:szCs w:val="22"/>
        </w:rPr>
        <w:t xml:space="preserve">, Mr El </w:t>
      </w:r>
      <w:proofErr w:type="spellStart"/>
      <w:r w:rsidR="00BD7DF8" w:rsidRPr="00351A14">
        <w:rPr>
          <w:rFonts w:asciiTheme="minorHAnsi" w:hAnsiTheme="minorHAnsi"/>
          <w:sz w:val="22"/>
          <w:szCs w:val="22"/>
        </w:rPr>
        <w:t>Harouchy</w:t>
      </w:r>
      <w:proofErr w:type="spellEnd"/>
      <w:r w:rsidR="00BD7DF8" w:rsidRPr="00351A14">
        <w:rPr>
          <w:rFonts w:asciiTheme="minorHAnsi" w:hAnsiTheme="minorHAnsi"/>
          <w:sz w:val="22"/>
          <w:szCs w:val="22"/>
        </w:rPr>
        <w:t xml:space="preserve">, Mr Miller and Mr </w:t>
      </w:r>
      <w:proofErr w:type="spellStart"/>
      <w:r w:rsidR="00BD7DF8" w:rsidRPr="00351A14">
        <w:rPr>
          <w:rFonts w:asciiTheme="minorHAnsi" w:hAnsiTheme="minorHAnsi"/>
          <w:sz w:val="22"/>
          <w:szCs w:val="22"/>
        </w:rPr>
        <w:t>Repasch</w:t>
      </w:r>
      <w:proofErr w:type="spellEnd"/>
      <w:r w:rsidR="00BD7DF8" w:rsidRPr="00351A14">
        <w:rPr>
          <w:rFonts w:asciiTheme="minorHAnsi" w:hAnsiTheme="minorHAnsi"/>
          <w:sz w:val="22"/>
          <w:szCs w:val="22"/>
        </w:rPr>
        <w:t xml:space="preserve"> attended both the November 2013 and February 2014 meetings, whereas Mr </w:t>
      </w:r>
      <w:proofErr w:type="spellStart"/>
      <w:r w:rsidR="00BD7DF8" w:rsidRPr="00351A14">
        <w:rPr>
          <w:rFonts w:asciiTheme="minorHAnsi" w:hAnsiTheme="minorHAnsi"/>
          <w:sz w:val="22"/>
          <w:szCs w:val="22"/>
        </w:rPr>
        <w:t>Adda</w:t>
      </w:r>
      <w:proofErr w:type="spellEnd"/>
      <w:r w:rsidR="00BD7DF8" w:rsidRPr="00351A14">
        <w:rPr>
          <w:rFonts w:asciiTheme="minorHAnsi" w:hAnsiTheme="minorHAnsi"/>
          <w:sz w:val="22"/>
          <w:szCs w:val="22"/>
        </w:rPr>
        <w:t xml:space="preserve"> was unable to attend the second meeting.</w:t>
      </w:r>
    </w:p>
    <w:p w:rsidR="00F22459" w:rsidRPr="00351A14" w:rsidRDefault="00891125" w:rsidP="00A20A76">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1.4</w:t>
      </w:r>
      <w:r>
        <w:rPr>
          <w:rFonts w:asciiTheme="minorHAnsi" w:hAnsiTheme="minorHAnsi"/>
          <w:sz w:val="22"/>
          <w:szCs w:val="22"/>
        </w:rPr>
        <w:tab/>
      </w:r>
      <w:r w:rsidR="00BD7DF8" w:rsidRPr="00351A14">
        <w:rPr>
          <w:rFonts w:asciiTheme="minorHAnsi" w:hAnsiTheme="minorHAnsi"/>
          <w:sz w:val="22"/>
          <w:szCs w:val="22"/>
        </w:rPr>
        <w:t>Since its last annual report to the Council in 2013, IMAC engaged with all areas of its responsibilities, covering internal audit; risk managemen</w:t>
      </w:r>
      <w:r>
        <w:rPr>
          <w:rFonts w:asciiTheme="minorHAnsi" w:hAnsiTheme="minorHAnsi"/>
          <w:sz w:val="22"/>
          <w:szCs w:val="22"/>
        </w:rPr>
        <w:t>t; internal control; the organiz</w:t>
      </w:r>
      <w:r w:rsidR="00BD7DF8" w:rsidRPr="00351A14">
        <w:rPr>
          <w:rFonts w:asciiTheme="minorHAnsi" w:hAnsiTheme="minorHAnsi"/>
          <w:sz w:val="22"/>
          <w:szCs w:val="22"/>
        </w:rPr>
        <w:t xml:space="preserve">ation’s audited financial statements and financial reporting; accounting policies and practice; external audit; and </w:t>
      </w:r>
      <w:r w:rsidR="00BD7DF8" w:rsidRPr="00351A14">
        <w:rPr>
          <w:rFonts w:asciiTheme="minorHAnsi" w:hAnsiTheme="minorHAnsi"/>
          <w:sz w:val="22"/>
          <w:szCs w:val="22"/>
        </w:rPr>
        <w:lastRenderedPageBreak/>
        <w:t>evaluation (noting that as yet there is no form</w:t>
      </w:r>
      <w:r>
        <w:rPr>
          <w:rFonts w:asciiTheme="minorHAnsi" w:hAnsiTheme="minorHAnsi"/>
          <w:sz w:val="22"/>
          <w:szCs w:val="22"/>
        </w:rPr>
        <w:t>al evaluation function in ITU).</w:t>
      </w:r>
      <w:r w:rsidR="00BD7DF8" w:rsidRPr="00351A14">
        <w:rPr>
          <w:rFonts w:asciiTheme="minorHAnsi" w:hAnsiTheme="minorHAnsi"/>
          <w:sz w:val="22"/>
          <w:szCs w:val="22"/>
        </w:rPr>
        <w:t xml:space="preserve"> IMAC’s coverage, conclusions and recommendations are set out below.</w:t>
      </w:r>
    </w:p>
    <w:p w:rsidR="00F22459" w:rsidRPr="00351A14" w:rsidRDefault="00891125" w:rsidP="00A20A76">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1.5</w:t>
      </w:r>
      <w:r>
        <w:rPr>
          <w:rFonts w:asciiTheme="minorHAnsi" w:hAnsiTheme="minorHAnsi"/>
          <w:sz w:val="22"/>
          <w:szCs w:val="22"/>
        </w:rPr>
        <w:tab/>
      </w:r>
      <w:r w:rsidR="00BD7DF8" w:rsidRPr="00351A14">
        <w:rPr>
          <w:rFonts w:asciiTheme="minorHAnsi" w:hAnsiTheme="minorHAnsi"/>
          <w:sz w:val="22"/>
          <w:szCs w:val="22"/>
        </w:rPr>
        <w:t>In order to further improve its communication with stakeholders, IMAC met with the Chairman of the Council Working Group on Fina</w:t>
      </w:r>
      <w:r>
        <w:rPr>
          <w:rFonts w:asciiTheme="minorHAnsi" w:hAnsiTheme="minorHAnsi"/>
          <w:sz w:val="22"/>
          <w:szCs w:val="22"/>
        </w:rPr>
        <w:t>ncial and Human Resources (CWG-</w:t>
      </w:r>
      <w:r w:rsidR="00BD7DF8" w:rsidRPr="00351A14">
        <w:rPr>
          <w:rFonts w:asciiTheme="minorHAnsi" w:hAnsiTheme="minorHAnsi"/>
          <w:sz w:val="22"/>
          <w:szCs w:val="22"/>
        </w:rPr>
        <w:t>FHR) and attended the Working Group’s February 2014 meeting for matters relating to the Committee’s areas of responsibility. At both the November 2013 and February 2014 meetings, IMAC held substantive discussions with the Secretary-General and Deputy Secretary-General, the Financial Resources Management Department</w:t>
      </w:r>
      <w:r>
        <w:rPr>
          <w:rFonts w:asciiTheme="minorHAnsi" w:hAnsiTheme="minorHAnsi"/>
          <w:sz w:val="22"/>
          <w:szCs w:val="22"/>
        </w:rPr>
        <w:t xml:space="preserve"> (FRMD)</w:t>
      </w:r>
      <w:r w:rsidR="00BD7DF8" w:rsidRPr="00351A14">
        <w:rPr>
          <w:rFonts w:asciiTheme="minorHAnsi" w:hAnsiTheme="minorHAnsi"/>
          <w:sz w:val="22"/>
          <w:szCs w:val="22"/>
        </w:rPr>
        <w:t>, the Internal Auditor, the External Auditor</w:t>
      </w:r>
      <w:r>
        <w:rPr>
          <w:rFonts w:asciiTheme="minorHAnsi" w:hAnsiTheme="minorHAnsi"/>
          <w:sz w:val="22"/>
          <w:szCs w:val="22"/>
        </w:rPr>
        <w:t>,</w:t>
      </w:r>
      <w:r w:rsidR="00BD7DF8" w:rsidRPr="00351A14">
        <w:rPr>
          <w:rFonts w:asciiTheme="minorHAnsi" w:hAnsiTheme="minorHAnsi"/>
          <w:sz w:val="22"/>
          <w:szCs w:val="22"/>
        </w:rPr>
        <w:t xml:space="preserve"> and other management representatives as appropriate.</w:t>
      </w:r>
    </w:p>
    <w:p w:rsidR="00F22459" w:rsidRPr="00351A14" w:rsidRDefault="00BD7DF8" w:rsidP="00891125">
      <w:pPr>
        <w:tabs>
          <w:tab w:val="clear" w:pos="567"/>
          <w:tab w:val="clear" w:pos="1134"/>
          <w:tab w:val="clear" w:pos="1701"/>
          <w:tab w:val="clear" w:pos="2268"/>
          <w:tab w:val="clear" w:pos="2835"/>
        </w:tabs>
        <w:spacing w:before="360"/>
        <w:jc w:val="both"/>
        <w:rPr>
          <w:rFonts w:asciiTheme="minorHAnsi" w:hAnsiTheme="minorHAnsi"/>
          <w:sz w:val="22"/>
          <w:szCs w:val="22"/>
        </w:rPr>
      </w:pPr>
      <w:r w:rsidRPr="00351A14">
        <w:rPr>
          <w:rFonts w:asciiTheme="minorHAnsi" w:hAnsiTheme="minorHAnsi"/>
          <w:b/>
          <w:sz w:val="22"/>
          <w:szCs w:val="22"/>
        </w:rPr>
        <w:t>2.</w:t>
      </w:r>
      <w:r w:rsidR="00891125">
        <w:rPr>
          <w:rFonts w:asciiTheme="minorHAnsi" w:hAnsiTheme="minorHAnsi"/>
          <w:b/>
          <w:sz w:val="22"/>
          <w:szCs w:val="22"/>
        </w:rPr>
        <w:tab/>
      </w:r>
      <w:r w:rsidRPr="00351A14">
        <w:rPr>
          <w:rFonts w:asciiTheme="minorHAnsi" w:hAnsiTheme="minorHAnsi"/>
          <w:b/>
          <w:sz w:val="22"/>
          <w:szCs w:val="22"/>
        </w:rPr>
        <w:t>Follow-up of IMAC’s second</w:t>
      </w:r>
      <w:r w:rsidR="00891125">
        <w:rPr>
          <w:rFonts w:asciiTheme="minorHAnsi" w:hAnsiTheme="minorHAnsi"/>
          <w:b/>
          <w:sz w:val="22"/>
          <w:szCs w:val="22"/>
        </w:rPr>
        <w:t xml:space="preserve"> annual report to the Council in</w:t>
      </w:r>
      <w:r w:rsidRPr="00351A14">
        <w:rPr>
          <w:rFonts w:asciiTheme="minorHAnsi" w:hAnsiTheme="minorHAnsi"/>
          <w:b/>
          <w:sz w:val="22"/>
          <w:szCs w:val="22"/>
        </w:rPr>
        <w:t xml:space="preserve"> 2013 and status of IMAC recommendations</w:t>
      </w:r>
    </w:p>
    <w:p w:rsidR="00F22459" w:rsidRPr="00351A14" w:rsidRDefault="00BD7DF8" w:rsidP="00A20A76">
      <w:pPr>
        <w:tabs>
          <w:tab w:val="clear" w:pos="567"/>
          <w:tab w:val="clear" w:pos="1134"/>
          <w:tab w:val="clear" w:pos="1701"/>
          <w:tab w:val="clear" w:pos="2268"/>
          <w:tab w:val="clear" w:pos="2835"/>
        </w:tabs>
        <w:spacing w:after="120"/>
        <w:jc w:val="both"/>
        <w:rPr>
          <w:rFonts w:asciiTheme="minorHAnsi" w:hAnsiTheme="minorHAnsi"/>
          <w:sz w:val="22"/>
          <w:szCs w:val="22"/>
        </w:rPr>
      </w:pPr>
      <w:r w:rsidRPr="00351A14">
        <w:rPr>
          <w:rFonts w:asciiTheme="minorHAnsi" w:hAnsiTheme="minorHAnsi"/>
          <w:sz w:val="22"/>
          <w:szCs w:val="22"/>
        </w:rPr>
        <w:t>2.1</w:t>
      </w:r>
      <w:r w:rsidR="00891125">
        <w:rPr>
          <w:rFonts w:asciiTheme="minorHAnsi" w:hAnsiTheme="minorHAnsi"/>
          <w:sz w:val="22"/>
          <w:szCs w:val="22"/>
        </w:rPr>
        <w:tab/>
      </w:r>
      <w:r w:rsidRPr="00351A14">
        <w:rPr>
          <w:rFonts w:asciiTheme="minorHAnsi" w:hAnsiTheme="minorHAnsi"/>
          <w:sz w:val="22"/>
          <w:szCs w:val="22"/>
        </w:rPr>
        <w:t>IMAC welcomed Council-13’s reaction to the Committee’s second annual report, the Council’s approval of the eight IMAC recommendations, as well as the Council’s modification of CWG-FHR’s terms of reference to include follow-up of IMAC recommendations.</w:t>
      </w:r>
    </w:p>
    <w:p w:rsidR="00F22459" w:rsidRPr="00351A14" w:rsidRDefault="00BD7DF8" w:rsidP="00A20A76">
      <w:pPr>
        <w:tabs>
          <w:tab w:val="clear" w:pos="567"/>
          <w:tab w:val="clear" w:pos="1134"/>
          <w:tab w:val="clear" w:pos="1701"/>
          <w:tab w:val="clear" w:pos="2268"/>
          <w:tab w:val="clear" w:pos="2835"/>
        </w:tabs>
        <w:spacing w:after="120"/>
        <w:jc w:val="both"/>
        <w:rPr>
          <w:rFonts w:asciiTheme="minorHAnsi" w:hAnsiTheme="minorHAnsi"/>
          <w:sz w:val="22"/>
          <w:szCs w:val="22"/>
        </w:rPr>
      </w:pPr>
      <w:r w:rsidRPr="00351A14">
        <w:rPr>
          <w:rFonts w:asciiTheme="minorHAnsi" w:hAnsiTheme="minorHAnsi"/>
          <w:sz w:val="22"/>
          <w:szCs w:val="22"/>
        </w:rPr>
        <w:t>2.2</w:t>
      </w:r>
      <w:r w:rsidR="00891125">
        <w:rPr>
          <w:rFonts w:asciiTheme="minorHAnsi" w:hAnsiTheme="minorHAnsi"/>
          <w:sz w:val="22"/>
          <w:szCs w:val="22"/>
        </w:rPr>
        <w:tab/>
      </w:r>
      <w:r w:rsidRPr="00351A14">
        <w:rPr>
          <w:rFonts w:asciiTheme="minorHAnsi" w:hAnsiTheme="minorHAnsi"/>
          <w:sz w:val="22"/>
          <w:szCs w:val="22"/>
        </w:rPr>
        <w:t>To assist the CWG-FHR’s follow-up of action taken in response to IMAC’s recommendations, IMAC reviewed the implementation status of the eight recommendations it had made in 2013, and presented a report to the third meeting of CWG-FHR in February 2014 (see Annex A: IMAC recommendations - 2013: Status 24 February 2014). Six of the eight recommendations remain outstanding or ongoing and should continue to be monitored by the Council Working Group. The Council Working Group expressed its appreciation for the work of the IMAC, and various delegates expressed their support for particular recommendations.</w:t>
      </w:r>
    </w:p>
    <w:p w:rsidR="00F22459" w:rsidRPr="00351A14" w:rsidRDefault="00891125" w:rsidP="00891125">
      <w:pPr>
        <w:tabs>
          <w:tab w:val="clear" w:pos="567"/>
          <w:tab w:val="clear" w:pos="1134"/>
          <w:tab w:val="clear" w:pos="1701"/>
          <w:tab w:val="clear" w:pos="2268"/>
          <w:tab w:val="clear" w:pos="2835"/>
        </w:tabs>
        <w:spacing w:before="360"/>
        <w:jc w:val="both"/>
        <w:rPr>
          <w:rFonts w:asciiTheme="minorHAnsi" w:hAnsiTheme="minorHAnsi"/>
          <w:b/>
          <w:sz w:val="22"/>
          <w:szCs w:val="22"/>
        </w:rPr>
      </w:pPr>
      <w:r>
        <w:rPr>
          <w:rFonts w:asciiTheme="minorHAnsi" w:hAnsiTheme="minorHAnsi"/>
          <w:b/>
          <w:sz w:val="22"/>
          <w:szCs w:val="22"/>
        </w:rPr>
        <w:t>3.</w:t>
      </w:r>
      <w:r>
        <w:rPr>
          <w:rFonts w:asciiTheme="minorHAnsi" w:hAnsiTheme="minorHAnsi"/>
          <w:b/>
          <w:sz w:val="22"/>
          <w:szCs w:val="22"/>
        </w:rPr>
        <w:tab/>
      </w:r>
      <w:r w:rsidR="00BD7DF8" w:rsidRPr="00351A14">
        <w:rPr>
          <w:rFonts w:asciiTheme="minorHAnsi" w:hAnsiTheme="minorHAnsi"/>
          <w:b/>
          <w:sz w:val="22"/>
          <w:szCs w:val="22"/>
        </w:rPr>
        <w:t>Main issues discussed, conclusions and recommendations</w:t>
      </w:r>
    </w:p>
    <w:p w:rsidR="00F22459" w:rsidRPr="00351A14" w:rsidRDefault="00BD7DF8" w:rsidP="00891125">
      <w:pPr>
        <w:tabs>
          <w:tab w:val="clear" w:pos="567"/>
          <w:tab w:val="clear" w:pos="1134"/>
          <w:tab w:val="clear" w:pos="1701"/>
          <w:tab w:val="clear" w:pos="2268"/>
          <w:tab w:val="clear" w:pos="2835"/>
        </w:tabs>
        <w:spacing w:before="160"/>
        <w:jc w:val="both"/>
        <w:rPr>
          <w:rFonts w:asciiTheme="minorHAnsi" w:hAnsiTheme="minorHAnsi"/>
          <w:b/>
          <w:sz w:val="22"/>
          <w:szCs w:val="22"/>
        </w:rPr>
      </w:pPr>
      <w:r w:rsidRPr="00351A14">
        <w:rPr>
          <w:rFonts w:asciiTheme="minorHAnsi" w:hAnsiTheme="minorHAnsi"/>
          <w:b/>
          <w:sz w:val="22"/>
          <w:szCs w:val="22"/>
        </w:rPr>
        <w:t xml:space="preserve">Internal audit </w:t>
      </w:r>
    </w:p>
    <w:p w:rsidR="00F22459" w:rsidRDefault="00891125" w:rsidP="00A20A76">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3.1</w:t>
      </w:r>
      <w:r>
        <w:rPr>
          <w:rFonts w:asciiTheme="minorHAnsi" w:hAnsiTheme="minorHAnsi"/>
          <w:sz w:val="22"/>
          <w:szCs w:val="22"/>
        </w:rPr>
        <w:tab/>
      </w:r>
      <w:r w:rsidR="00BD7DF8" w:rsidRPr="00351A14">
        <w:rPr>
          <w:rFonts w:asciiTheme="minorHAnsi" w:hAnsiTheme="minorHAnsi"/>
          <w:sz w:val="22"/>
          <w:szCs w:val="22"/>
        </w:rPr>
        <w:t>In discussing the Internal Audit Work Plan for 2014, IMAC expressed concern at limited overall level of resources available to the internal audit unit, especially in the light of the unit’s stated objectives for 2014 and the fact that the unit had not been able to implement past audit plans fully. It recommended that in future years the plan present clear and explicit risk assessment and priorities showing the basis on which the audit assignments had been selected. For completeness, the plan should acknowledge the unit’s internal consultancy/advisory role, for which no specific tasks and resources might have been scheduled when the plan was approved.</w:t>
      </w:r>
    </w:p>
    <w:p w:rsidR="00F22459" w:rsidRPr="00351A14" w:rsidRDefault="00BD7DF8" w:rsidP="00A20A76">
      <w:pPr>
        <w:tabs>
          <w:tab w:val="clear" w:pos="567"/>
          <w:tab w:val="clear" w:pos="1134"/>
          <w:tab w:val="clear" w:pos="1701"/>
          <w:tab w:val="clear" w:pos="2268"/>
          <w:tab w:val="clear" w:pos="2835"/>
        </w:tabs>
        <w:spacing w:after="120"/>
        <w:jc w:val="both"/>
        <w:rPr>
          <w:rFonts w:asciiTheme="minorHAnsi" w:hAnsiTheme="minorHAnsi"/>
          <w:sz w:val="22"/>
          <w:szCs w:val="22"/>
        </w:rPr>
      </w:pPr>
      <w:r w:rsidRPr="00351A14">
        <w:rPr>
          <w:rFonts w:asciiTheme="minorHAnsi" w:hAnsiTheme="minorHAnsi"/>
          <w:sz w:val="22"/>
          <w:szCs w:val="22"/>
        </w:rPr>
        <w:t>3.2</w:t>
      </w:r>
      <w:r w:rsidR="00891125">
        <w:rPr>
          <w:rFonts w:asciiTheme="minorHAnsi" w:hAnsiTheme="minorHAnsi"/>
          <w:sz w:val="22"/>
          <w:szCs w:val="22"/>
        </w:rPr>
        <w:tab/>
      </w:r>
      <w:r w:rsidRPr="00351A14">
        <w:rPr>
          <w:rFonts w:asciiTheme="minorHAnsi" w:hAnsiTheme="minorHAnsi"/>
          <w:sz w:val="22"/>
          <w:szCs w:val="22"/>
        </w:rPr>
        <w:t>IMAC reviewed Internal Audit progress reports and was informed</w:t>
      </w:r>
      <w:r w:rsidR="00891125">
        <w:rPr>
          <w:rFonts w:asciiTheme="minorHAnsi" w:hAnsiTheme="minorHAnsi"/>
          <w:sz w:val="22"/>
          <w:szCs w:val="22"/>
        </w:rPr>
        <w:t>,</w:t>
      </w:r>
      <w:r w:rsidRPr="00351A14">
        <w:rPr>
          <w:rFonts w:asciiTheme="minorHAnsi" w:hAnsiTheme="minorHAnsi"/>
          <w:sz w:val="22"/>
          <w:szCs w:val="22"/>
        </w:rPr>
        <w:t xml:space="preserve"> </w:t>
      </w:r>
      <w:r w:rsidRPr="00351A14">
        <w:rPr>
          <w:rFonts w:asciiTheme="minorHAnsi" w:hAnsiTheme="minorHAnsi"/>
          <w:i/>
          <w:sz w:val="22"/>
          <w:szCs w:val="22"/>
        </w:rPr>
        <w:t>inter alia</w:t>
      </w:r>
      <w:r w:rsidR="00891125">
        <w:rPr>
          <w:rFonts w:asciiTheme="minorHAnsi" w:hAnsiTheme="minorHAnsi"/>
          <w:sz w:val="22"/>
          <w:szCs w:val="22"/>
        </w:rPr>
        <w:t>,</w:t>
      </w:r>
      <w:r w:rsidRPr="00351A14">
        <w:rPr>
          <w:rFonts w:asciiTheme="minorHAnsi" w:hAnsiTheme="minorHAnsi"/>
          <w:sz w:val="22"/>
          <w:szCs w:val="22"/>
        </w:rPr>
        <w:t xml:space="preserve"> that service orders would be audited by the respective departments concerned, under the coordination of</w:t>
      </w:r>
      <w:r w:rsidR="00891125">
        <w:rPr>
          <w:rFonts w:asciiTheme="minorHAnsi" w:hAnsiTheme="minorHAnsi"/>
          <w:sz w:val="22"/>
          <w:szCs w:val="22"/>
        </w:rPr>
        <w:t xml:space="preserve"> the Human Resources Management Department</w:t>
      </w:r>
      <w:r w:rsidRPr="00351A14">
        <w:rPr>
          <w:rFonts w:asciiTheme="minorHAnsi" w:hAnsiTheme="minorHAnsi"/>
          <w:sz w:val="22"/>
          <w:szCs w:val="22"/>
        </w:rPr>
        <w:t xml:space="preserve"> </w:t>
      </w:r>
      <w:r w:rsidR="00891125">
        <w:rPr>
          <w:rFonts w:asciiTheme="minorHAnsi" w:hAnsiTheme="minorHAnsi"/>
          <w:sz w:val="22"/>
          <w:szCs w:val="22"/>
        </w:rPr>
        <w:t>(</w:t>
      </w:r>
      <w:r w:rsidRPr="00351A14">
        <w:rPr>
          <w:rFonts w:asciiTheme="minorHAnsi" w:hAnsiTheme="minorHAnsi"/>
          <w:sz w:val="22"/>
          <w:szCs w:val="22"/>
        </w:rPr>
        <w:t>HRMD</w:t>
      </w:r>
      <w:r w:rsidR="00891125">
        <w:rPr>
          <w:rFonts w:asciiTheme="minorHAnsi" w:hAnsiTheme="minorHAnsi"/>
          <w:sz w:val="22"/>
          <w:szCs w:val="22"/>
        </w:rPr>
        <w:t>)</w:t>
      </w:r>
      <w:r w:rsidRPr="00351A14">
        <w:rPr>
          <w:rFonts w:asciiTheme="minorHAnsi" w:hAnsiTheme="minorHAnsi"/>
          <w:sz w:val="22"/>
          <w:szCs w:val="22"/>
        </w:rPr>
        <w:t xml:space="preserve"> and the Legal Affairs Unit, the Internal Auditor being responsible for checking the final product. The Committee noted a marked improvement in follow-up of internal audit recommendations, regarding which it had expressed concern at the November 2013 meeting. Regarding the ratio of direct versus indirect audit activities (IMAC recommendation 2 (2013)), the Committee noted that the ratio could be improved</w:t>
      </w:r>
      <w:r w:rsidR="00450F6D">
        <w:rPr>
          <w:rFonts w:asciiTheme="minorHAnsi" w:hAnsiTheme="minorHAnsi"/>
          <w:sz w:val="22"/>
          <w:szCs w:val="22"/>
        </w:rPr>
        <w:t>,</w:t>
      </w:r>
      <w:r w:rsidRPr="00351A14">
        <w:rPr>
          <w:rFonts w:asciiTheme="minorHAnsi" w:hAnsiTheme="minorHAnsi"/>
          <w:sz w:val="22"/>
          <w:szCs w:val="22"/>
        </w:rPr>
        <w:t xml:space="preserve"> </w:t>
      </w:r>
      <w:r w:rsidRPr="00351A14">
        <w:rPr>
          <w:rFonts w:asciiTheme="minorHAnsi" w:hAnsiTheme="minorHAnsi"/>
          <w:i/>
          <w:sz w:val="22"/>
          <w:szCs w:val="22"/>
        </w:rPr>
        <w:t>inter alia</w:t>
      </w:r>
      <w:r w:rsidR="00450F6D">
        <w:rPr>
          <w:rFonts w:asciiTheme="minorHAnsi" w:hAnsiTheme="minorHAnsi"/>
          <w:sz w:val="22"/>
          <w:szCs w:val="22"/>
        </w:rPr>
        <w:t>,</w:t>
      </w:r>
      <w:r w:rsidRPr="00351A14">
        <w:rPr>
          <w:rFonts w:asciiTheme="minorHAnsi" w:hAnsiTheme="minorHAnsi"/>
          <w:sz w:val="22"/>
          <w:szCs w:val="22"/>
        </w:rPr>
        <w:t xml:space="preserve"> by recognizing and reflecting the fact that follow-up of External Auditor recommendations was the responsibility of the Secretary-General and was overseen by CWG-FHR; IMAC agreed to continue to monitor the matter. It noted with satisfaction that the Secretary-General had approved the revised Internal Audit Charter and that the 2014 Internal Audit Work Plan had been approved before the end of 2013, as recommended by the Committee (IMAC recommendation 1 (2013)), and that the progress report in February 2014 indicated that an internal audit peer review would be conducted in 2014 (IMAC recommendation 4 (2013)).</w:t>
      </w:r>
    </w:p>
    <w:p w:rsidR="00C87889" w:rsidRDefault="00A20A76" w:rsidP="00C87889">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3.3</w:t>
      </w:r>
      <w:r>
        <w:rPr>
          <w:rFonts w:asciiTheme="minorHAnsi" w:hAnsiTheme="minorHAnsi"/>
          <w:sz w:val="22"/>
          <w:szCs w:val="22"/>
        </w:rPr>
        <w:tab/>
      </w:r>
      <w:r w:rsidR="00BD7DF8" w:rsidRPr="00351A14">
        <w:rPr>
          <w:rFonts w:asciiTheme="minorHAnsi" w:hAnsiTheme="minorHAnsi"/>
          <w:sz w:val="22"/>
          <w:szCs w:val="22"/>
        </w:rPr>
        <w:t>Regarding operations outside ITU headquarters, the Committee received reports on audits of ITU’s area office for CIS (Moscow, Russian Federation) and its offices in the Americas Region</w:t>
      </w:r>
      <w:r w:rsidR="00B422BC">
        <w:rPr>
          <w:rFonts w:asciiTheme="minorHAnsi" w:hAnsiTheme="minorHAnsi"/>
          <w:sz w:val="22"/>
          <w:szCs w:val="22"/>
        </w:rPr>
        <w:t>,</w:t>
      </w:r>
      <w:r w:rsidR="00BD7DF8" w:rsidRPr="00351A14">
        <w:rPr>
          <w:rFonts w:asciiTheme="minorHAnsi" w:hAnsiTheme="minorHAnsi"/>
          <w:sz w:val="22"/>
          <w:szCs w:val="22"/>
        </w:rPr>
        <w:t xml:space="preserve"> and further information concerning the regional office for the Asia and Pacific Region (Bangkok, Thailand). The Committee regarded the reports as being extremely valid and useful, drawing attention to critical management, financial control, project management</w:t>
      </w:r>
      <w:r w:rsidR="00B422BC">
        <w:rPr>
          <w:rFonts w:asciiTheme="minorHAnsi" w:hAnsiTheme="minorHAnsi"/>
          <w:sz w:val="22"/>
          <w:szCs w:val="22"/>
        </w:rPr>
        <w:t>,</w:t>
      </w:r>
      <w:r w:rsidR="00BD7DF8" w:rsidRPr="00351A14">
        <w:rPr>
          <w:rFonts w:asciiTheme="minorHAnsi" w:hAnsiTheme="minorHAnsi"/>
          <w:sz w:val="22"/>
          <w:szCs w:val="22"/>
        </w:rPr>
        <w:t xml:space="preserve"> and governance issues which merit further attention by senior management.</w:t>
      </w:r>
    </w:p>
    <w:p w:rsidR="00F22459" w:rsidRPr="00351A14" w:rsidRDefault="00BD7DF8" w:rsidP="00C87889">
      <w:pPr>
        <w:tabs>
          <w:tab w:val="clear" w:pos="567"/>
          <w:tab w:val="clear" w:pos="1134"/>
          <w:tab w:val="clear" w:pos="1701"/>
          <w:tab w:val="clear" w:pos="2268"/>
          <w:tab w:val="clear" w:pos="2835"/>
        </w:tabs>
        <w:spacing w:after="120"/>
        <w:jc w:val="both"/>
        <w:rPr>
          <w:rFonts w:asciiTheme="minorHAnsi" w:hAnsiTheme="minorHAnsi"/>
          <w:sz w:val="22"/>
          <w:szCs w:val="22"/>
        </w:rPr>
      </w:pPr>
      <w:r w:rsidRPr="00351A14">
        <w:rPr>
          <w:rFonts w:asciiTheme="minorHAnsi" w:hAnsiTheme="minorHAnsi"/>
          <w:sz w:val="22"/>
          <w:szCs w:val="22"/>
        </w:rPr>
        <w:lastRenderedPageBreak/>
        <w:t>3.4</w:t>
      </w:r>
      <w:r w:rsidR="00C87889">
        <w:rPr>
          <w:rFonts w:asciiTheme="minorHAnsi" w:hAnsiTheme="minorHAnsi"/>
          <w:sz w:val="22"/>
          <w:szCs w:val="22"/>
        </w:rPr>
        <w:tab/>
      </w:r>
      <w:r w:rsidRPr="00351A14">
        <w:rPr>
          <w:rFonts w:asciiTheme="minorHAnsi" w:hAnsiTheme="minorHAnsi"/>
          <w:sz w:val="22"/>
          <w:szCs w:val="22"/>
        </w:rPr>
        <w:t xml:space="preserve">The Committee reviewed with the Internal Auditor his proposed annual report to the ITU Council and discussed ways in which it could be made more comprehensive in the future, to include some assurance on the overall internal control environment, in line with IMAC recommendation 1 (2013). </w:t>
      </w:r>
    </w:p>
    <w:p w:rsidR="00F22459" w:rsidRPr="00351A14" w:rsidRDefault="00F22459" w:rsidP="00891125">
      <w:pPr>
        <w:spacing w:before="0"/>
        <w:jc w:val="both"/>
        <w:rPr>
          <w:rFonts w:asciiTheme="minorHAnsi" w:hAnsiTheme="minorHAnsi"/>
          <w:sz w:val="22"/>
          <w:szCs w:val="22"/>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2"/>
      </w:tblGrid>
      <w:tr w:rsidR="00F22459" w:rsidRPr="00351A14" w:rsidTr="00443581">
        <w:trPr>
          <w:jc w:val="center"/>
        </w:trPr>
        <w:tc>
          <w:tcPr>
            <w:tcW w:w="9752" w:type="dxa"/>
          </w:tcPr>
          <w:p w:rsidR="00F22459" w:rsidRPr="00351A14" w:rsidRDefault="00BD7DF8" w:rsidP="00891125">
            <w:pPr>
              <w:spacing w:after="120"/>
              <w:jc w:val="both"/>
              <w:rPr>
                <w:rFonts w:asciiTheme="minorHAnsi" w:hAnsiTheme="minorHAnsi"/>
                <w:sz w:val="22"/>
                <w:szCs w:val="22"/>
              </w:rPr>
            </w:pPr>
            <w:r w:rsidRPr="00351A14">
              <w:rPr>
                <w:rFonts w:asciiTheme="minorHAnsi" w:hAnsiTheme="minorHAnsi"/>
                <w:b/>
                <w:sz w:val="22"/>
                <w:szCs w:val="22"/>
              </w:rPr>
              <w:t>Recommendation 1 (2014):</w:t>
            </w:r>
            <w:r w:rsidRPr="00351A14">
              <w:rPr>
                <w:rFonts w:asciiTheme="minorHAnsi" w:hAnsiTheme="minorHAnsi"/>
                <w:sz w:val="22"/>
                <w:szCs w:val="22"/>
              </w:rPr>
              <w:t xml:space="preserve"> IMAC recommends that the Internal Auditor make further efforts towards providing more comprehensive annual reporting to the Council in future years.</w:t>
            </w:r>
          </w:p>
          <w:p w:rsidR="00F22459" w:rsidRPr="00351A14" w:rsidRDefault="00BD7DF8" w:rsidP="00891125">
            <w:pPr>
              <w:spacing w:after="120"/>
              <w:jc w:val="both"/>
              <w:rPr>
                <w:rFonts w:asciiTheme="minorHAnsi" w:hAnsiTheme="minorHAnsi"/>
                <w:sz w:val="22"/>
                <w:szCs w:val="22"/>
              </w:rPr>
            </w:pPr>
            <w:r w:rsidRPr="00351A14">
              <w:rPr>
                <w:rFonts w:asciiTheme="minorHAnsi" w:hAnsiTheme="minorHAnsi"/>
                <w:b/>
                <w:sz w:val="22"/>
                <w:szCs w:val="22"/>
              </w:rPr>
              <w:t xml:space="preserve">Recommendation 2 (2014): </w:t>
            </w:r>
            <w:r w:rsidRPr="00351A14">
              <w:rPr>
                <w:rFonts w:asciiTheme="minorHAnsi" w:hAnsiTheme="minorHAnsi"/>
                <w:sz w:val="22"/>
                <w:szCs w:val="22"/>
              </w:rPr>
              <w:t>IMAC recommends that the Secretary-General consider whether internal audit findings, taken as a whole, indicate a need for more rigorous management oversight of field activities.</w:t>
            </w:r>
          </w:p>
          <w:p w:rsidR="00F22459" w:rsidRPr="00351A14" w:rsidRDefault="00BD7DF8" w:rsidP="00891125">
            <w:pPr>
              <w:spacing w:after="120"/>
              <w:jc w:val="both"/>
              <w:rPr>
                <w:rFonts w:asciiTheme="minorHAnsi" w:hAnsiTheme="minorHAnsi"/>
                <w:sz w:val="22"/>
                <w:szCs w:val="22"/>
              </w:rPr>
            </w:pPr>
            <w:r w:rsidRPr="00351A14">
              <w:rPr>
                <w:rFonts w:asciiTheme="minorHAnsi" w:hAnsiTheme="minorHAnsi"/>
                <w:b/>
                <w:sz w:val="22"/>
                <w:szCs w:val="22"/>
              </w:rPr>
              <w:t xml:space="preserve">Recommendation 3 (2014): </w:t>
            </w:r>
            <w:r w:rsidRPr="00351A14">
              <w:rPr>
                <w:rFonts w:asciiTheme="minorHAnsi" w:hAnsiTheme="minorHAnsi"/>
                <w:sz w:val="22"/>
                <w:szCs w:val="22"/>
              </w:rPr>
              <w:t>IMAC recommends that ITU take advantage of the CWF-FHR review of access to ITU documents to seek ways of making internal audit reports more easily available to Member States and other stakeholders.</w:t>
            </w:r>
          </w:p>
        </w:tc>
      </w:tr>
    </w:tbl>
    <w:p w:rsidR="00F22459" w:rsidRPr="00351A14" w:rsidRDefault="00BD7DF8" w:rsidP="00891125">
      <w:pPr>
        <w:spacing w:before="480"/>
        <w:jc w:val="both"/>
        <w:rPr>
          <w:rFonts w:asciiTheme="minorHAnsi" w:hAnsiTheme="minorHAnsi"/>
          <w:b/>
          <w:sz w:val="22"/>
          <w:szCs w:val="22"/>
        </w:rPr>
      </w:pPr>
      <w:r w:rsidRPr="00351A14">
        <w:rPr>
          <w:rFonts w:asciiTheme="minorHAnsi" w:hAnsiTheme="minorHAnsi"/>
          <w:b/>
          <w:sz w:val="22"/>
          <w:szCs w:val="22"/>
        </w:rPr>
        <w:t>External Audit</w:t>
      </w:r>
    </w:p>
    <w:p w:rsidR="00F22459" w:rsidRPr="00351A14" w:rsidRDefault="00BD7DF8" w:rsidP="00567986">
      <w:pPr>
        <w:tabs>
          <w:tab w:val="clear" w:pos="567"/>
          <w:tab w:val="clear" w:pos="1134"/>
          <w:tab w:val="clear" w:pos="1701"/>
          <w:tab w:val="clear" w:pos="2268"/>
          <w:tab w:val="clear" w:pos="2835"/>
        </w:tabs>
        <w:spacing w:after="120"/>
        <w:jc w:val="both"/>
        <w:rPr>
          <w:rFonts w:asciiTheme="minorHAnsi" w:hAnsiTheme="minorHAnsi"/>
          <w:sz w:val="22"/>
          <w:szCs w:val="22"/>
        </w:rPr>
      </w:pPr>
      <w:r w:rsidRPr="00351A14">
        <w:rPr>
          <w:rFonts w:asciiTheme="minorHAnsi" w:hAnsiTheme="minorHAnsi"/>
          <w:sz w:val="22"/>
          <w:szCs w:val="22"/>
        </w:rPr>
        <w:t>3.5</w:t>
      </w:r>
      <w:r w:rsidR="00567986">
        <w:rPr>
          <w:rFonts w:asciiTheme="minorHAnsi" w:hAnsiTheme="minorHAnsi"/>
          <w:sz w:val="22"/>
          <w:szCs w:val="22"/>
        </w:rPr>
        <w:tab/>
      </w:r>
      <w:r w:rsidRPr="00351A14">
        <w:rPr>
          <w:rFonts w:asciiTheme="minorHAnsi" w:hAnsiTheme="minorHAnsi"/>
          <w:sz w:val="22"/>
          <w:szCs w:val="22"/>
        </w:rPr>
        <w:t xml:space="preserve">IMAC met with the External Auditor, Corte </w:t>
      </w:r>
      <w:proofErr w:type="spellStart"/>
      <w:r w:rsidRPr="00351A14">
        <w:rPr>
          <w:rFonts w:asciiTheme="minorHAnsi" w:hAnsiTheme="minorHAnsi"/>
          <w:sz w:val="22"/>
          <w:szCs w:val="22"/>
        </w:rPr>
        <w:t>dei</w:t>
      </w:r>
      <w:proofErr w:type="spellEnd"/>
      <w:r w:rsidRPr="00351A14">
        <w:rPr>
          <w:rFonts w:asciiTheme="minorHAnsi" w:hAnsiTheme="minorHAnsi"/>
          <w:sz w:val="22"/>
          <w:szCs w:val="22"/>
        </w:rPr>
        <w:t xml:space="preserve"> Conti, at both its November 2013 and February 2014 meetings, noting the External Auditor’s commitment to sharing their 2013 report with IMAC by the end of June 2014. IMAC decided to meet with the External Auditor to discuss the report in the first week of July 2014, when the Committee planned to hold its eighth meeting.</w:t>
      </w:r>
    </w:p>
    <w:p w:rsidR="00F22459" w:rsidRPr="00351A14" w:rsidRDefault="00BD7DF8" w:rsidP="004C2773">
      <w:pPr>
        <w:tabs>
          <w:tab w:val="clear" w:pos="567"/>
          <w:tab w:val="clear" w:pos="1134"/>
          <w:tab w:val="clear" w:pos="1701"/>
          <w:tab w:val="clear" w:pos="2268"/>
          <w:tab w:val="clear" w:pos="2835"/>
        </w:tabs>
        <w:spacing w:after="120"/>
        <w:jc w:val="both"/>
        <w:rPr>
          <w:rFonts w:asciiTheme="minorHAnsi" w:hAnsiTheme="minorHAnsi"/>
          <w:sz w:val="22"/>
          <w:szCs w:val="22"/>
        </w:rPr>
      </w:pPr>
      <w:r w:rsidRPr="00351A14">
        <w:rPr>
          <w:rFonts w:asciiTheme="minorHAnsi" w:hAnsiTheme="minorHAnsi"/>
          <w:sz w:val="22"/>
          <w:szCs w:val="22"/>
        </w:rPr>
        <w:t>3.6</w:t>
      </w:r>
      <w:r w:rsidR="00567986">
        <w:rPr>
          <w:rFonts w:asciiTheme="minorHAnsi" w:hAnsiTheme="minorHAnsi"/>
          <w:sz w:val="22"/>
          <w:szCs w:val="22"/>
        </w:rPr>
        <w:tab/>
      </w:r>
      <w:r w:rsidRPr="00351A14">
        <w:rPr>
          <w:rFonts w:asciiTheme="minorHAnsi" w:hAnsiTheme="minorHAnsi"/>
          <w:sz w:val="22"/>
          <w:szCs w:val="22"/>
        </w:rPr>
        <w:t xml:space="preserve">The Committee was pleased to learn that the External Auditor would pursue the evaluation of the Internal Audit function in line with IMAC recommendation 5 (2013). It also noted the External Auditor’s </w:t>
      </w:r>
      <w:r w:rsidRPr="00351A14">
        <w:rPr>
          <w:rFonts w:asciiTheme="minorHAnsi" w:hAnsiTheme="minorHAnsi"/>
          <w:sz w:val="22"/>
          <w:szCs w:val="22"/>
        </w:rPr>
        <w:t>intention to hold an informal session at PP-14 in Busan (Republic of Korea) presenting their 2013 report, in order to explain the report and its terminology to delegates.</w:t>
      </w:r>
    </w:p>
    <w:p w:rsidR="00F22459" w:rsidRPr="00351A14" w:rsidRDefault="00BD7DF8" w:rsidP="00891125">
      <w:pPr>
        <w:spacing w:before="360"/>
        <w:jc w:val="both"/>
        <w:rPr>
          <w:rFonts w:asciiTheme="minorHAnsi" w:hAnsiTheme="minorHAnsi"/>
          <w:b/>
          <w:sz w:val="22"/>
          <w:szCs w:val="22"/>
        </w:rPr>
      </w:pPr>
      <w:r w:rsidRPr="00351A14">
        <w:rPr>
          <w:rFonts w:asciiTheme="minorHAnsi" w:hAnsiTheme="minorHAnsi"/>
          <w:b/>
          <w:sz w:val="22"/>
          <w:szCs w:val="22"/>
        </w:rPr>
        <w:t>Internal controls</w:t>
      </w:r>
    </w:p>
    <w:p w:rsidR="00F22459" w:rsidRPr="00351A14" w:rsidRDefault="00BD7DF8" w:rsidP="00567986">
      <w:pPr>
        <w:tabs>
          <w:tab w:val="clear" w:pos="567"/>
          <w:tab w:val="clear" w:pos="1134"/>
          <w:tab w:val="clear" w:pos="1701"/>
          <w:tab w:val="clear" w:pos="2268"/>
          <w:tab w:val="clear" w:pos="2835"/>
        </w:tabs>
        <w:spacing w:after="120"/>
        <w:jc w:val="both"/>
        <w:rPr>
          <w:rFonts w:asciiTheme="minorHAnsi" w:hAnsiTheme="minorHAnsi"/>
          <w:sz w:val="22"/>
          <w:szCs w:val="22"/>
        </w:rPr>
      </w:pPr>
      <w:r w:rsidRPr="00351A14">
        <w:rPr>
          <w:rFonts w:asciiTheme="minorHAnsi" w:hAnsiTheme="minorHAnsi"/>
          <w:bCs/>
          <w:sz w:val="22"/>
          <w:szCs w:val="22"/>
        </w:rPr>
        <w:t>3.7</w:t>
      </w:r>
      <w:r w:rsidR="00567986">
        <w:rPr>
          <w:rFonts w:asciiTheme="minorHAnsi" w:hAnsiTheme="minorHAnsi"/>
          <w:bCs/>
          <w:sz w:val="22"/>
          <w:szCs w:val="22"/>
        </w:rPr>
        <w:tab/>
      </w:r>
      <w:r w:rsidRPr="00351A14">
        <w:rPr>
          <w:rFonts w:asciiTheme="minorHAnsi" w:hAnsiTheme="minorHAnsi"/>
          <w:bCs/>
          <w:sz w:val="22"/>
          <w:szCs w:val="22"/>
        </w:rPr>
        <w:t xml:space="preserve">IMAC </w:t>
      </w:r>
      <w:r w:rsidRPr="00567986">
        <w:rPr>
          <w:rFonts w:asciiTheme="minorHAnsi" w:hAnsiTheme="minorHAnsi"/>
          <w:sz w:val="22"/>
          <w:szCs w:val="22"/>
        </w:rPr>
        <w:t>reviewed</w:t>
      </w:r>
      <w:r w:rsidRPr="00351A14">
        <w:rPr>
          <w:rFonts w:asciiTheme="minorHAnsi" w:hAnsiTheme="minorHAnsi"/>
          <w:bCs/>
          <w:sz w:val="22"/>
          <w:szCs w:val="22"/>
        </w:rPr>
        <w:t xml:space="preserve"> the Statement of Internal Control for 2013, discussed its content with the Chief of the FRMD and expressed satisfaction that the statement was becoming part of a regular procedure within ITU. IMAC noted the update of progress in risk arrangements reported in the statement. For the future, the statement could be improved</w:t>
      </w:r>
      <w:r w:rsidRPr="00351A14">
        <w:rPr>
          <w:rFonts w:asciiTheme="minorHAnsi" w:hAnsiTheme="minorHAnsi"/>
          <w:sz w:val="22"/>
          <w:szCs w:val="22"/>
        </w:rPr>
        <w:t xml:space="preserve"> by establishing a formal arrangement for the Secretary-General to obtain evidenced assurance on the effectiveness of the internal controls applied in the year, for example certification by ITU senior management that they have discharged their responsibilities for the maintenance of the internal control framework in their respective areas of responsibility.</w:t>
      </w:r>
    </w:p>
    <w:p w:rsidR="00F22459" w:rsidRPr="00351A14" w:rsidRDefault="00567986" w:rsidP="00567986">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3.8</w:t>
      </w:r>
      <w:r>
        <w:rPr>
          <w:rFonts w:asciiTheme="minorHAnsi" w:hAnsiTheme="minorHAnsi"/>
          <w:sz w:val="22"/>
          <w:szCs w:val="22"/>
        </w:rPr>
        <w:tab/>
      </w:r>
      <w:r w:rsidR="00BD7DF8" w:rsidRPr="00351A14">
        <w:rPr>
          <w:rFonts w:asciiTheme="minorHAnsi" w:hAnsiTheme="minorHAnsi"/>
          <w:sz w:val="22"/>
          <w:szCs w:val="22"/>
        </w:rPr>
        <w:t>IMAC noted with concern that the ethics officer position, on which the Secretary-General relies as part of the control and governance framework, has been vacant since 1 July 2013.</w:t>
      </w:r>
    </w:p>
    <w:p w:rsidR="00F22459" w:rsidRPr="00351A14" w:rsidRDefault="00F22459" w:rsidP="00891125">
      <w:pPr>
        <w:spacing w:before="0"/>
        <w:jc w:val="both"/>
        <w:rPr>
          <w:rFonts w:asciiTheme="minorHAnsi" w:hAnsiTheme="minorHAnsi"/>
          <w:sz w:val="22"/>
          <w:szCs w:val="22"/>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2"/>
      </w:tblGrid>
      <w:tr w:rsidR="00F22459" w:rsidRPr="00351A14" w:rsidTr="00443581">
        <w:trPr>
          <w:trHeight w:val="930"/>
          <w:jc w:val="center"/>
        </w:trPr>
        <w:tc>
          <w:tcPr>
            <w:tcW w:w="9842" w:type="dxa"/>
          </w:tcPr>
          <w:p w:rsidR="00F22459" w:rsidRPr="00351A14" w:rsidRDefault="00BD7DF8" w:rsidP="00891125">
            <w:pPr>
              <w:spacing w:after="120"/>
              <w:jc w:val="both"/>
              <w:rPr>
                <w:rFonts w:asciiTheme="minorHAnsi" w:hAnsiTheme="minorHAnsi"/>
                <w:sz w:val="22"/>
                <w:szCs w:val="22"/>
              </w:rPr>
            </w:pPr>
            <w:r w:rsidRPr="00351A14">
              <w:rPr>
                <w:rFonts w:asciiTheme="minorHAnsi" w:hAnsiTheme="minorHAnsi"/>
                <w:b/>
                <w:sz w:val="22"/>
                <w:szCs w:val="22"/>
              </w:rPr>
              <w:t xml:space="preserve">Recommendation 4 (2014): </w:t>
            </w:r>
            <w:r w:rsidRPr="00351A14">
              <w:rPr>
                <w:rFonts w:asciiTheme="minorHAnsi" w:hAnsiTheme="minorHAnsi"/>
                <w:sz w:val="22"/>
                <w:szCs w:val="22"/>
              </w:rPr>
              <w:t>IMAC recommends that ITU appoint an ethics officer as a matter of key priority.</w:t>
            </w:r>
          </w:p>
          <w:p w:rsidR="00F22459" w:rsidRPr="00351A14" w:rsidRDefault="00BD7DF8" w:rsidP="00891125">
            <w:pPr>
              <w:spacing w:after="120"/>
              <w:jc w:val="both"/>
              <w:rPr>
                <w:rFonts w:asciiTheme="minorHAnsi" w:hAnsiTheme="minorHAnsi"/>
                <w:sz w:val="22"/>
                <w:szCs w:val="22"/>
              </w:rPr>
            </w:pPr>
            <w:r w:rsidRPr="00351A14">
              <w:rPr>
                <w:rFonts w:asciiTheme="minorHAnsi" w:hAnsiTheme="minorHAnsi"/>
                <w:b/>
                <w:sz w:val="22"/>
                <w:szCs w:val="22"/>
              </w:rPr>
              <w:t>Recommendation 5 (2014):</w:t>
            </w:r>
            <w:r w:rsidRPr="00351A14">
              <w:rPr>
                <w:rFonts w:asciiTheme="minorHAnsi" w:hAnsiTheme="minorHAnsi"/>
                <w:sz w:val="22"/>
                <w:szCs w:val="22"/>
              </w:rPr>
              <w:t xml:space="preserve"> IMAC recommends that the Secretary-General obtain evidenced assurance on the effectiveness of the internal control framework by requiring senior managers to certify that they have discharged their responsibilities for internal control for the year.</w:t>
            </w:r>
          </w:p>
        </w:tc>
      </w:tr>
    </w:tbl>
    <w:p w:rsidR="00F22459" w:rsidRPr="00351A14" w:rsidRDefault="00BD7DF8" w:rsidP="00CA1CE5">
      <w:pPr>
        <w:keepNext/>
        <w:keepLines/>
        <w:spacing w:after="120"/>
        <w:rPr>
          <w:rFonts w:asciiTheme="minorHAnsi" w:hAnsiTheme="minorHAnsi"/>
          <w:b/>
          <w:sz w:val="22"/>
          <w:szCs w:val="22"/>
        </w:rPr>
      </w:pPr>
      <w:r w:rsidRPr="00351A14">
        <w:rPr>
          <w:rFonts w:asciiTheme="minorHAnsi" w:hAnsiTheme="minorHAnsi"/>
          <w:b/>
          <w:sz w:val="22"/>
          <w:szCs w:val="22"/>
        </w:rPr>
        <w:t>Risk management</w:t>
      </w:r>
    </w:p>
    <w:p w:rsidR="00F22459" w:rsidRPr="00351A14" w:rsidRDefault="00321287" w:rsidP="00321287">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3.9</w:t>
      </w:r>
      <w:r>
        <w:rPr>
          <w:rFonts w:asciiTheme="minorHAnsi" w:hAnsiTheme="minorHAnsi"/>
          <w:sz w:val="22"/>
          <w:szCs w:val="22"/>
        </w:rPr>
        <w:tab/>
      </w:r>
      <w:r w:rsidR="00BD7DF8" w:rsidRPr="00351A14">
        <w:rPr>
          <w:rFonts w:asciiTheme="minorHAnsi" w:hAnsiTheme="minorHAnsi"/>
          <w:sz w:val="22"/>
          <w:szCs w:val="22"/>
        </w:rPr>
        <w:t xml:space="preserve">In 2013, while noting that its recommendation on risk management was under implementation internally, IMAC recommended that ITU pursue the development of systematic, enterprise-wide risk management arrangements as a matter of priority to support the organization’s strategic planning process for 2016-2019, that risk management also be applied to operational planning, and that risk management also become a yearly exercise. IMAC noted at its meeting in February 2014 that the draft strategic plan now identifies a set of strategic risks on which the subsequent operational plans will be based. This represents </w:t>
      </w:r>
      <w:r w:rsidR="00BD7DF8" w:rsidRPr="00351A14">
        <w:rPr>
          <w:rFonts w:asciiTheme="minorHAnsi" w:hAnsiTheme="minorHAnsi"/>
          <w:sz w:val="22"/>
          <w:szCs w:val="22"/>
        </w:rPr>
        <w:lastRenderedPageBreak/>
        <w:t>considerable and commendable progress in addressing risk at an organizational level. Although the strategic planning process is essentially a four-yearly exercise, the organization therefore is now well placed to establish a risk management process to monitor and manage the changing risk environment on a continuous basis, for example by formalizing a risk register with risk owners, which can be reviewed at top management level on a more frequent (perhaps quarterly) basis as part of the operational business process.</w:t>
      </w:r>
    </w:p>
    <w:p w:rsidR="00F22459" w:rsidRPr="00351A14" w:rsidRDefault="00F22459" w:rsidP="006E1BDA">
      <w:pPr>
        <w:spacing w:before="0"/>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8"/>
      </w:tblGrid>
      <w:tr w:rsidR="00F22459" w:rsidRPr="00351A14" w:rsidTr="00443581">
        <w:trPr>
          <w:trHeight w:val="930"/>
          <w:jc w:val="center"/>
        </w:trPr>
        <w:tc>
          <w:tcPr>
            <w:tcW w:w="9688" w:type="dxa"/>
          </w:tcPr>
          <w:p w:rsidR="00F22459" w:rsidRPr="00351A14" w:rsidRDefault="00BD7DF8" w:rsidP="00443581">
            <w:pPr>
              <w:spacing w:before="160" w:after="160"/>
              <w:jc w:val="both"/>
              <w:rPr>
                <w:rFonts w:asciiTheme="minorHAnsi" w:hAnsiTheme="minorHAnsi"/>
                <w:sz w:val="22"/>
                <w:szCs w:val="22"/>
              </w:rPr>
            </w:pPr>
            <w:r w:rsidRPr="00351A14">
              <w:rPr>
                <w:rFonts w:asciiTheme="minorHAnsi" w:hAnsiTheme="minorHAnsi"/>
                <w:b/>
                <w:sz w:val="22"/>
                <w:szCs w:val="22"/>
              </w:rPr>
              <w:t xml:space="preserve">Recommendation 6 (2014): </w:t>
            </w:r>
            <w:r w:rsidRPr="00351A14">
              <w:rPr>
                <w:rFonts w:asciiTheme="minorHAnsi" w:hAnsiTheme="minorHAnsi"/>
                <w:sz w:val="22"/>
                <w:szCs w:val="22"/>
              </w:rPr>
              <w:t>IMAC recommends that the development of systematic risk management arrangements be further pursued and applied to the operational level as a continuous part of the business process, with a risk register, risk owners and regular top management review.</w:t>
            </w:r>
          </w:p>
        </w:tc>
      </w:tr>
    </w:tbl>
    <w:p w:rsidR="00F22459" w:rsidRPr="00351A14" w:rsidRDefault="00BD7DF8" w:rsidP="00E50F16">
      <w:pPr>
        <w:spacing w:before="480" w:after="120"/>
        <w:rPr>
          <w:rFonts w:asciiTheme="minorHAnsi" w:hAnsiTheme="minorHAnsi"/>
          <w:b/>
          <w:sz w:val="22"/>
          <w:szCs w:val="22"/>
        </w:rPr>
      </w:pPr>
      <w:r w:rsidRPr="00351A14">
        <w:rPr>
          <w:rFonts w:asciiTheme="minorHAnsi" w:hAnsiTheme="minorHAnsi"/>
          <w:b/>
          <w:sz w:val="22"/>
          <w:szCs w:val="22"/>
        </w:rPr>
        <w:t>Financial management</w:t>
      </w:r>
    </w:p>
    <w:p w:rsidR="00F22459" w:rsidRPr="00351A14" w:rsidRDefault="00321287">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3.10</w:t>
      </w:r>
      <w:r>
        <w:rPr>
          <w:rFonts w:asciiTheme="minorHAnsi" w:hAnsiTheme="minorHAnsi"/>
          <w:sz w:val="22"/>
          <w:szCs w:val="22"/>
        </w:rPr>
        <w:tab/>
      </w:r>
      <w:r w:rsidR="00BD7DF8" w:rsidRPr="00351A14">
        <w:rPr>
          <w:rFonts w:asciiTheme="minorHAnsi" w:hAnsiTheme="minorHAnsi"/>
          <w:sz w:val="22"/>
          <w:szCs w:val="22"/>
        </w:rPr>
        <w:t xml:space="preserve">At its meeting in November 2013, IMAC received information regarding a proposal to PP-14 to revise Decision 5 to take account of the creation of IMAC; regarding decisions taken by the Council for withdrawals from the Reserve Account to cater for the fact that RA-15 and WRC-15 had not been included </w:t>
      </w:r>
      <w:r w:rsidR="00BD7DF8" w:rsidRPr="00351A14">
        <w:rPr>
          <w:rFonts w:asciiTheme="minorHAnsi" w:hAnsiTheme="minorHAnsi"/>
          <w:sz w:val="22"/>
          <w:szCs w:val="22"/>
        </w:rPr>
        <w:t xml:space="preserve">in the </w:t>
      </w:r>
      <w:r w:rsidR="004C2773">
        <w:rPr>
          <w:rFonts w:asciiTheme="minorHAnsi" w:hAnsiTheme="minorHAnsi"/>
          <w:sz w:val="22"/>
          <w:szCs w:val="22"/>
        </w:rPr>
        <w:t xml:space="preserve">financial plan </w:t>
      </w:r>
      <w:r w:rsidR="00D156E0" w:rsidRPr="00351A14">
        <w:rPr>
          <w:rFonts w:asciiTheme="minorHAnsi" w:hAnsiTheme="minorHAnsi"/>
          <w:sz w:val="22"/>
          <w:szCs w:val="22"/>
        </w:rPr>
        <w:t>201</w:t>
      </w:r>
      <w:r w:rsidR="00D156E0">
        <w:rPr>
          <w:rFonts w:asciiTheme="minorHAnsi" w:hAnsiTheme="minorHAnsi"/>
          <w:sz w:val="22"/>
          <w:szCs w:val="22"/>
        </w:rPr>
        <w:t>2</w:t>
      </w:r>
      <w:r w:rsidR="00BD7DF8" w:rsidRPr="00351A14">
        <w:rPr>
          <w:rFonts w:asciiTheme="minorHAnsi" w:hAnsiTheme="minorHAnsi"/>
          <w:sz w:val="22"/>
          <w:szCs w:val="22"/>
        </w:rPr>
        <w:t xml:space="preserve">-2015, and for ASHI; and regarding the fact that the recent increase in the mandatory retirement age should have a positive impact </w:t>
      </w:r>
      <w:r w:rsidR="00BD7DF8" w:rsidRPr="00351A14">
        <w:rPr>
          <w:rFonts w:asciiTheme="minorHAnsi" w:hAnsiTheme="minorHAnsi"/>
          <w:sz w:val="22"/>
          <w:szCs w:val="22"/>
        </w:rPr>
        <w:t>on long-term ASHI liabilities. The Council had also agreed to give the Secretary-General flexibility to make transfers between budget categories.</w:t>
      </w:r>
    </w:p>
    <w:p w:rsidR="00F22459" w:rsidRPr="00351A14" w:rsidRDefault="00321287" w:rsidP="00321287">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3.11</w:t>
      </w:r>
      <w:r>
        <w:rPr>
          <w:rFonts w:asciiTheme="minorHAnsi" w:hAnsiTheme="minorHAnsi"/>
          <w:sz w:val="22"/>
          <w:szCs w:val="22"/>
        </w:rPr>
        <w:tab/>
      </w:r>
      <w:r w:rsidR="00BD7DF8" w:rsidRPr="00351A14">
        <w:rPr>
          <w:rFonts w:asciiTheme="minorHAnsi" w:hAnsiTheme="minorHAnsi"/>
          <w:sz w:val="22"/>
          <w:szCs w:val="22"/>
        </w:rPr>
        <w:t xml:space="preserve">At its meeting in February 2014, IMAC was briefed on the ITU’s draft financial plan for 2016-2019. It showed a deficit of CHF 60 million which, according to the Secretary-General, would be eliminated by the time it was approved by PP-14. Among the assumptions built into the plan were: zero nominal growth in the amount of the contributory unit; CHF 2 million annual </w:t>
      </w:r>
      <w:proofErr w:type="gramStart"/>
      <w:r w:rsidR="00BD7DF8" w:rsidRPr="00351A14">
        <w:rPr>
          <w:rFonts w:asciiTheme="minorHAnsi" w:hAnsiTheme="minorHAnsi"/>
          <w:sz w:val="22"/>
          <w:szCs w:val="22"/>
        </w:rPr>
        <w:t>allocation</w:t>
      </w:r>
      <w:proofErr w:type="gramEnd"/>
      <w:r w:rsidR="00BD7DF8" w:rsidRPr="00351A14">
        <w:rPr>
          <w:rFonts w:asciiTheme="minorHAnsi" w:hAnsiTheme="minorHAnsi"/>
          <w:sz w:val="22"/>
          <w:szCs w:val="22"/>
        </w:rPr>
        <w:t xml:space="preserve"> for ASHI and other liabilities; CHF 3 million annual expense to pay for construction of a building to replace the </w:t>
      </w:r>
      <w:proofErr w:type="spellStart"/>
      <w:r w:rsidR="00BD7DF8" w:rsidRPr="00351A14">
        <w:rPr>
          <w:rFonts w:asciiTheme="minorHAnsi" w:hAnsiTheme="minorHAnsi"/>
          <w:sz w:val="22"/>
          <w:szCs w:val="22"/>
        </w:rPr>
        <w:t>Varembé</w:t>
      </w:r>
      <w:proofErr w:type="spellEnd"/>
      <w:r w:rsidR="00BD7DF8" w:rsidRPr="00351A14">
        <w:rPr>
          <w:rFonts w:asciiTheme="minorHAnsi" w:hAnsiTheme="minorHAnsi"/>
          <w:sz w:val="22"/>
          <w:szCs w:val="22"/>
        </w:rPr>
        <w:t xml:space="preserve"> building; and no new posts.</w:t>
      </w:r>
    </w:p>
    <w:p w:rsidR="00F22459" w:rsidRPr="00351A14" w:rsidRDefault="00321287" w:rsidP="00321287">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3.12</w:t>
      </w:r>
      <w:r>
        <w:rPr>
          <w:rFonts w:asciiTheme="minorHAnsi" w:hAnsiTheme="minorHAnsi"/>
          <w:sz w:val="22"/>
          <w:szCs w:val="22"/>
        </w:rPr>
        <w:tab/>
      </w:r>
      <w:r w:rsidR="00BD7DF8" w:rsidRPr="00351A14">
        <w:rPr>
          <w:rFonts w:asciiTheme="minorHAnsi" w:hAnsiTheme="minorHAnsi"/>
          <w:sz w:val="22"/>
          <w:szCs w:val="22"/>
        </w:rPr>
        <w:t xml:space="preserve">IMAC noted that the allocation for ASHI liabilities is a gesture to recognize and provide for these significant future costs. The Committee also noted that the </w:t>
      </w:r>
      <w:proofErr w:type="spellStart"/>
      <w:r w:rsidR="00BD7DF8" w:rsidRPr="00351A14">
        <w:rPr>
          <w:rFonts w:asciiTheme="minorHAnsi" w:hAnsiTheme="minorHAnsi"/>
          <w:sz w:val="22"/>
          <w:szCs w:val="22"/>
        </w:rPr>
        <w:t>Varembé</w:t>
      </w:r>
      <w:proofErr w:type="spellEnd"/>
      <w:r w:rsidR="00BD7DF8" w:rsidRPr="00351A14">
        <w:rPr>
          <w:rFonts w:asciiTheme="minorHAnsi" w:hAnsiTheme="minorHAnsi"/>
          <w:sz w:val="22"/>
          <w:szCs w:val="22"/>
        </w:rPr>
        <w:t xml:space="preserve"> building replacement has been based on ITU’s receipt of a CHF 150 million interest-free loan from the Government of Switzerland. The proposed construction project does not appear to be based on a comprehensive business case or on a comparative analysis and costing of various alternative options.</w:t>
      </w:r>
    </w:p>
    <w:p w:rsidR="006E1BDA" w:rsidRPr="00351A14" w:rsidRDefault="006E1BDA" w:rsidP="006E1BDA">
      <w:pPr>
        <w:tabs>
          <w:tab w:val="clear" w:pos="567"/>
          <w:tab w:val="clear" w:pos="1134"/>
          <w:tab w:val="clear" w:pos="1701"/>
          <w:tab w:val="clear" w:pos="2268"/>
          <w:tab w:val="clear" w:pos="2835"/>
        </w:tabs>
        <w:spacing w:before="0" w:line="276" w:lineRule="auto"/>
        <w:rPr>
          <w:rFonts w:asciiTheme="minorHAnsi" w:hAnsiTheme="minorHAnsi"/>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F22459" w:rsidRPr="00351A14" w:rsidTr="00443581">
        <w:trPr>
          <w:trHeight w:val="870"/>
        </w:trPr>
        <w:tc>
          <w:tcPr>
            <w:tcW w:w="9729" w:type="dxa"/>
          </w:tcPr>
          <w:p w:rsidR="00F22459" w:rsidRPr="00351A14" w:rsidRDefault="00BD7DF8" w:rsidP="00443581">
            <w:pPr>
              <w:spacing w:before="160" w:after="160"/>
              <w:jc w:val="both"/>
              <w:rPr>
                <w:rFonts w:asciiTheme="minorHAnsi" w:hAnsiTheme="minorHAnsi"/>
                <w:sz w:val="22"/>
                <w:szCs w:val="22"/>
              </w:rPr>
            </w:pPr>
            <w:r w:rsidRPr="00351A14">
              <w:rPr>
                <w:rFonts w:asciiTheme="minorHAnsi" w:hAnsiTheme="minorHAnsi"/>
                <w:b/>
                <w:sz w:val="22"/>
                <w:szCs w:val="22"/>
              </w:rPr>
              <w:t>Recommendation 7 (2014)</w:t>
            </w:r>
            <w:r w:rsidRPr="00351A14">
              <w:rPr>
                <w:rFonts w:asciiTheme="minorHAnsi" w:hAnsiTheme="minorHAnsi"/>
                <w:sz w:val="22"/>
                <w:szCs w:val="22"/>
              </w:rPr>
              <w:t xml:space="preserve">: IMAC recommends that ITU should consider whether it is appropriate to develop a comprehensive business case, with </w:t>
            </w:r>
            <w:proofErr w:type="spellStart"/>
            <w:r w:rsidRPr="00351A14">
              <w:rPr>
                <w:rFonts w:asciiTheme="minorHAnsi" w:hAnsiTheme="minorHAnsi"/>
                <w:sz w:val="22"/>
                <w:szCs w:val="22"/>
              </w:rPr>
              <w:t>costed</w:t>
            </w:r>
            <w:proofErr w:type="spellEnd"/>
            <w:r w:rsidRPr="00351A14">
              <w:rPr>
                <w:rFonts w:asciiTheme="minorHAnsi" w:hAnsiTheme="minorHAnsi"/>
                <w:sz w:val="22"/>
                <w:szCs w:val="22"/>
              </w:rPr>
              <w:t xml:space="preserve"> options, to support its decision on such a major long-term expenditure.</w:t>
            </w:r>
          </w:p>
        </w:tc>
      </w:tr>
    </w:tbl>
    <w:p w:rsidR="00F22459" w:rsidRPr="00351A14" w:rsidRDefault="00BD7DF8" w:rsidP="00E44DD7">
      <w:pPr>
        <w:spacing w:before="480" w:after="120"/>
        <w:rPr>
          <w:rFonts w:asciiTheme="minorHAnsi" w:hAnsiTheme="minorHAnsi"/>
          <w:sz w:val="22"/>
          <w:szCs w:val="22"/>
        </w:rPr>
      </w:pPr>
      <w:r w:rsidRPr="00351A14">
        <w:rPr>
          <w:rFonts w:asciiTheme="minorHAnsi" w:hAnsiTheme="minorHAnsi"/>
          <w:b/>
          <w:sz w:val="22"/>
          <w:szCs w:val="22"/>
        </w:rPr>
        <w:t>Strategic planning</w:t>
      </w:r>
    </w:p>
    <w:p w:rsidR="00F22459" w:rsidRPr="00351A14" w:rsidRDefault="00443581" w:rsidP="00321287">
      <w:pPr>
        <w:tabs>
          <w:tab w:val="clear" w:pos="567"/>
          <w:tab w:val="clear" w:pos="1134"/>
          <w:tab w:val="clear" w:pos="1701"/>
          <w:tab w:val="clear" w:pos="2268"/>
          <w:tab w:val="clear" w:pos="2835"/>
        </w:tabs>
        <w:spacing w:after="120"/>
        <w:jc w:val="both"/>
        <w:rPr>
          <w:rFonts w:asciiTheme="minorHAnsi" w:hAnsiTheme="minorHAnsi"/>
          <w:iCs/>
          <w:sz w:val="22"/>
          <w:szCs w:val="22"/>
        </w:rPr>
      </w:pPr>
      <w:r>
        <w:rPr>
          <w:rFonts w:asciiTheme="minorHAnsi" w:hAnsiTheme="minorHAnsi"/>
          <w:sz w:val="22"/>
          <w:szCs w:val="22"/>
        </w:rPr>
        <w:t>3.13</w:t>
      </w:r>
      <w:r>
        <w:rPr>
          <w:rFonts w:asciiTheme="minorHAnsi" w:hAnsiTheme="minorHAnsi"/>
          <w:sz w:val="22"/>
          <w:szCs w:val="22"/>
        </w:rPr>
        <w:tab/>
      </w:r>
      <w:r w:rsidR="00BD7DF8" w:rsidRPr="00351A14">
        <w:rPr>
          <w:rFonts w:asciiTheme="minorHAnsi" w:hAnsiTheme="minorHAnsi"/>
          <w:sz w:val="22"/>
          <w:szCs w:val="22"/>
        </w:rPr>
        <w:t xml:space="preserve">IMAC </w:t>
      </w:r>
      <w:r w:rsidR="00BD7DF8" w:rsidRPr="00351A14">
        <w:rPr>
          <w:rFonts w:asciiTheme="minorHAnsi" w:hAnsiTheme="minorHAnsi"/>
          <w:iCs/>
          <w:sz w:val="22"/>
          <w:szCs w:val="22"/>
        </w:rPr>
        <w:t xml:space="preserve">welcomed the presentations made, at its two meetings, on development of the draft strategic plan 2016-2019, noting the significant improvements made and excellent and innovative approaches adopted. </w:t>
      </w:r>
      <w:r w:rsidR="00BD7DF8" w:rsidRPr="00321287">
        <w:rPr>
          <w:rFonts w:asciiTheme="minorHAnsi" w:hAnsiTheme="minorHAnsi"/>
          <w:sz w:val="22"/>
          <w:szCs w:val="22"/>
        </w:rPr>
        <w:t>IMAC</w:t>
      </w:r>
      <w:r w:rsidR="00BD7DF8" w:rsidRPr="00351A14">
        <w:rPr>
          <w:rFonts w:asciiTheme="minorHAnsi" w:hAnsiTheme="minorHAnsi"/>
          <w:iCs/>
          <w:sz w:val="22"/>
          <w:szCs w:val="22"/>
        </w:rPr>
        <w:t xml:space="preserve"> recommended using fewer and clearer key performance indicators (KPIs). IMAC expressed satisfaction</w:t>
      </w:r>
      <w:r>
        <w:rPr>
          <w:rFonts w:asciiTheme="minorHAnsi" w:hAnsiTheme="minorHAnsi"/>
          <w:iCs/>
          <w:sz w:val="22"/>
          <w:szCs w:val="22"/>
        </w:rPr>
        <w:t xml:space="preserve"> that the plan addresses organiz</w:t>
      </w:r>
      <w:r w:rsidR="00BD7DF8" w:rsidRPr="00351A14">
        <w:rPr>
          <w:rFonts w:asciiTheme="minorHAnsi" w:hAnsiTheme="minorHAnsi"/>
          <w:iCs/>
          <w:sz w:val="22"/>
          <w:szCs w:val="22"/>
        </w:rPr>
        <w:t>ational risks. The plan seeks to reflect a more unitary view of ITU, which would offer opportunities to strengthen core capabilities and improve internal cohesion. If successful, the approach should also achieve management and administrative efficiencies.</w:t>
      </w:r>
    </w:p>
    <w:p w:rsidR="00F22459" w:rsidRPr="00351A14" w:rsidRDefault="00F22459" w:rsidP="00E50F16">
      <w:pPr>
        <w:spacing w:before="0" w:after="40"/>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7"/>
      </w:tblGrid>
      <w:tr w:rsidR="00F22459" w:rsidRPr="00351A14" w:rsidTr="00443581">
        <w:trPr>
          <w:trHeight w:val="870"/>
          <w:jc w:val="center"/>
        </w:trPr>
        <w:tc>
          <w:tcPr>
            <w:tcW w:w="9737" w:type="dxa"/>
          </w:tcPr>
          <w:p w:rsidR="00F22459" w:rsidRPr="00351A14" w:rsidRDefault="00BD7DF8" w:rsidP="00443581">
            <w:pPr>
              <w:spacing w:before="160" w:after="160"/>
              <w:jc w:val="both"/>
              <w:rPr>
                <w:rFonts w:asciiTheme="minorHAnsi" w:hAnsiTheme="minorHAnsi"/>
                <w:sz w:val="22"/>
                <w:szCs w:val="22"/>
              </w:rPr>
            </w:pPr>
            <w:r w:rsidRPr="00351A14">
              <w:rPr>
                <w:rFonts w:asciiTheme="minorHAnsi" w:hAnsiTheme="minorHAnsi"/>
                <w:b/>
                <w:sz w:val="22"/>
                <w:szCs w:val="22"/>
              </w:rPr>
              <w:t>Recommendation 8 (2014)</w:t>
            </w:r>
            <w:r w:rsidRPr="00351A14">
              <w:rPr>
                <w:rFonts w:asciiTheme="minorHAnsi" w:hAnsiTheme="minorHAnsi"/>
                <w:sz w:val="22"/>
                <w:szCs w:val="22"/>
              </w:rPr>
              <w:t>: IMAC commends the progress made on strategic planning and recommends that development be continued in this direction.</w:t>
            </w:r>
          </w:p>
        </w:tc>
      </w:tr>
    </w:tbl>
    <w:p w:rsidR="00F22459" w:rsidRPr="00351A14" w:rsidRDefault="00BD7DF8" w:rsidP="00443581">
      <w:pPr>
        <w:keepNext/>
        <w:keepLines/>
        <w:spacing w:before="480" w:after="120"/>
        <w:rPr>
          <w:rFonts w:asciiTheme="minorHAnsi" w:hAnsiTheme="minorHAnsi"/>
          <w:sz w:val="22"/>
          <w:szCs w:val="22"/>
        </w:rPr>
      </w:pPr>
      <w:r w:rsidRPr="00351A14">
        <w:rPr>
          <w:rFonts w:asciiTheme="minorHAnsi" w:hAnsiTheme="minorHAnsi"/>
          <w:b/>
          <w:sz w:val="22"/>
          <w:szCs w:val="22"/>
        </w:rPr>
        <w:lastRenderedPageBreak/>
        <w:t>IMAC webpage</w:t>
      </w:r>
    </w:p>
    <w:p w:rsidR="00F22459" w:rsidRPr="00351A14" w:rsidRDefault="00443581" w:rsidP="00443581">
      <w:pPr>
        <w:keepNext/>
        <w:keepLines/>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3.14</w:t>
      </w:r>
      <w:r>
        <w:rPr>
          <w:rFonts w:asciiTheme="minorHAnsi" w:hAnsiTheme="minorHAnsi"/>
          <w:sz w:val="22"/>
          <w:szCs w:val="22"/>
        </w:rPr>
        <w:tab/>
      </w:r>
      <w:r w:rsidR="00BD7DF8" w:rsidRPr="00351A14">
        <w:rPr>
          <w:rFonts w:asciiTheme="minorHAnsi" w:hAnsiTheme="minorHAnsi"/>
          <w:sz w:val="22"/>
          <w:szCs w:val="22"/>
        </w:rPr>
        <w:t>In the course of a brief presentation on its webpage, IMAC welcomed the arrangements made and stressed the importance of document accessibility for transparency and good governance.</w:t>
      </w:r>
    </w:p>
    <w:p w:rsidR="00F22459" w:rsidRPr="00351A14" w:rsidRDefault="00F22459" w:rsidP="00E50F16">
      <w:pPr>
        <w:spacing w:before="0" w:after="40"/>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F22459" w:rsidRPr="00351A14" w:rsidTr="00E50F16">
        <w:trPr>
          <w:trHeight w:val="870"/>
          <w:jc w:val="center"/>
        </w:trPr>
        <w:tc>
          <w:tcPr>
            <w:tcW w:w="9853" w:type="dxa"/>
          </w:tcPr>
          <w:p w:rsidR="00F22459" w:rsidRPr="00351A14" w:rsidRDefault="00BD7DF8" w:rsidP="00E50F16">
            <w:pPr>
              <w:spacing w:before="160" w:after="160"/>
              <w:rPr>
                <w:rFonts w:asciiTheme="minorHAnsi" w:hAnsiTheme="minorHAnsi"/>
                <w:sz w:val="22"/>
                <w:szCs w:val="22"/>
              </w:rPr>
            </w:pPr>
            <w:r w:rsidRPr="00351A14">
              <w:rPr>
                <w:rFonts w:asciiTheme="minorHAnsi" w:hAnsiTheme="minorHAnsi"/>
                <w:b/>
                <w:sz w:val="22"/>
                <w:szCs w:val="22"/>
              </w:rPr>
              <w:t>Recommendation 9 (2014)</w:t>
            </w:r>
            <w:r w:rsidRPr="00351A14">
              <w:rPr>
                <w:rFonts w:asciiTheme="minorHAnsi" w:hAnsiTheme="minorHAnsi"/>
                <w:sz w:val="22"/>
                <w:szCs w:val="22"/>
              </w:rPr>
              <w:t xml:space="preserve">: IMAC recommends that, in pursuit of the principles of transparency and good </w:t>
            </w:r>
            <w:r w:rsidRPr="00351A14">
              <w:rPr>
                <w:rFonts w:asciiTheme="minorHAnsi" w:hAnsiTheme="minorHAnsi"/>
                <w:spacing w:val="2"/>
                <w:sz w:val="22"/>
                <w:szCs w:val="22"/>
              </w:rPr>
              <w:t>governance, all documents relating to the Committee should be publicly available. Having regard to</w:t>
            </w:r>
            <w:r w:rsidRPr="00351A14">
              <w:rPr>
                <w:rFonts w:asciiTheme="minorHAnsi" w:hAnsiTheme="minorHAnsi"/>
                <w:sz w:val="22"/>
                <w:szCs w:val="22"/>
              </w:rPr>
              <w:t xml:space="preserve"> CWG-FHR’s review of document accessibility, IMAC urges that the Committee’s approach be applied by ITU to document accessibility at all possible levels.</w:t>
            </w:r>
          </w:p>
        </w:tc>
      </w:tr>
    </w:tbl>
    <w:p w:rsidR="00F22459" w:rsidRPr="00351A14" w:rsidRDefault="00BD7DF8" w:rsidP="00E44DD7">
      <w:pPr>
        <w:tabs>
          <w:tab w:val="clear" w:pos="567"/>
          <w:tab w:val="clear" w:pos="1134"/>
          <w:tab w:val="clear" w:pos="1701"/>
          <w:tab w:val="clear" w:pos="2268"/>
          <w:tab w:val="clear" w:pos="2835"/>
        </w:tabs>
        <w:spacing w:before="360"/>
        <w:jc w:val="both"/>
        <w:rPr>
          <w:rFonts w:asciiTheme="minorHAnsi" w:hAnsiTheme="minorHAnsi"/>
          <w:sz w:val="22"/>
          <w:szCs w:val="22"/>
        </w:rPr>
      </w:pPr>
      <w:r w:rsidRPr="00351A14">
        <w:rPr>
          <w:rFonts w:asciiTheme="minorHAnsi" w:hAnsiTheme="minorHAnsi"/>
          <w:b/>
          <w:sz w:val="22"/>
          <w:szCs w:val="22"/>
        </w:rPr>
        <w:t>4.</w:t>
      </w:r>
      <w:r w:rsidR="00E44DD7">
        <w:rPr>
          <w:rFonts w:asciiTheme="minorHAnsi" w:hAnsiTheme="minorHAnsi"/>
          <w:b/>
          <w:sz w:val="22"/>
          <w:szCs w:val="22"/>
        </w:rPr>
        <w:tab/>
      </w:r>
      <w:r w:rsidRPr="00351A14">
        <w:rPr>
          <w:rFonts w:asciiTheme="minorHAnsi" w:hAnsiTheme="minorHAnsi"/>
          <w:b/>
          <w:sz w:val="22"/>
          <w:szCs w:val="22"/>
        </w:rPr>
        <w:t>Future meetings</w:t>
      </w:r>
    </w:p>
    <w:p w:rsidR="00F22459" w:rsidRPr="00351A14" w:rsidRDefault="00BD7DF8" w:rsidP="00443581">
      <w:pPr>
        <w:tabs>
          <w:tab w:val="clear" w:pos="567"/>
          <w:tab w:val="clear" w:pos="1134"/>
          <w:tab w:val="clear" w:pos="1701"/>
          <w:tab w:val="clear" w:pos="2268"/>
          <w:tab w:val="clear" w:pos="2835"/>
        </w:tabs>
        <w:spacing w:after="120"/>
        <w:jc w:val="both"/>
        <w:rPr>
          <w:rFonts w:asciiTheme="minorHAnsi" w:hAnsiTheme="minorHAnsi"/>
          <w:sz w:val="22"/>
          <w:szCs w:val="22"/>
        </w:rPr>
      </w:pPr>
      <w:r w:rsidRPr="00351A14">
        <w:rPr>
          <w:rFonts w:asciiTheme="minorHAnsi" w:hAnsiTheme="minorHAnsi"/>
          <w:sz w:val="22"/>
          <w:szCs w:val="22"/>
        </w:rPr>
        <w:t>4.1</w:t>
      </w:r>
      <w:r w:rsidR="00E44DD7">
        <w:rPr>
          <w:rFonts w:asciiTheme="minorHAnsi" w:hAnsiTheme="minorHAnsi"/>
          <w:sz w:val="22"/>
          <w:szCs w:val="22"/>
        </w:rPr>
        <w:tab/>
      </w:r>
      <w:r w:rsidRPr="00351A14">
        <w:rPr>
          <w:rFonts w:asciiTheme="minorHAnsi" w:hAnsiTheme="minorHAnsi"/>
          <w:sz w:val="22"/>
          <w:szCs w:val="22"/>
        </w:rPr>
        <w:t>IMAC plans to hold its next meetings on 3-4 July and 1-2 December 2014.</w:t>
      </w:r>
    </w:p>
    <w:p w:rsidR="00F22459" w:rsidRPr="00351A14" w:rsidRDefault="00BD7DF8" w:rsidP="00E44DD7">
      <w:pPr>
        <w:tabs>
          <w:tab w:val="clear" w:pos="567"/>
          <w:tab w:val="clear" w:pos="1134"/>
          <w:tab w:val="clear" w:pos="1701"/>
          <w:tab w:val="clear" w:pos="2268"/>
          <w:tab w:val="clear" w:pos="2835"/>
        </w:tabs>
        <w:spacing w:before="360"/>
        <w:jc w:val="both"/>
        <w:rPr>
          <w:rFonts w:asciiTheme="minorHAnsi" w:hAnsiTheme="minorHAnsi"/>
          <w:b/>
          <w:sz w:val="22"/>
          <w:szCs w:val="22"/>
        </w:rPr>
      </w:pPr>
      <w:r w:rsidRPr="00351A14">
        <w:rPr>
          <w:rFonts w:asciiTheme="minorHAnsi" w:hAnsiTheme="minorHAnsi"/>
          <w:b/>
          <w:sz w:val="22"/>
          <w:szCs w:val="22"/>
        </w:rPr>
        <w:t>5.</w:t>
      </w:r>
      <w:r w:rsidR="00E44DD7">
        <w:rPr>
          <w:rFonts w:asciiTheme="minorHAnsi" w:hAnsiTheme="minorHAnsi"/>
          <w:b/>
          <w:sz w:val="22"/>
          <w:szCs w:val="22"/>
        </w:rPr>
        <w:tab/>
      </w:r>
      <w:proofErr w:type="gramStart"/>
      <w:r w:rsidRPr="00351A14">
        <w:rPr>
          <w:rFonts w:asciiTheme="minorHAnsi" w:hAnsiTheme="minorHAnsi"/>
          <w:b/>
          <w:sz w:val="22"/>
          <w:szCs w:val="22"/>
        </w:rPr>
        <w:t>In</w:t>
      </w:r>
      <w:proofErr w:type="gramEnd"/>
      <w:r w:rsidRPr="00351A14">
        <w:rPr>
          <w:rFonts w:asciiTheme="minorHAnsi" w:hAnsiTheme="minorHAnsi"/>
          <w:b/>
          <w:sz w:val="22"/>
          <w:szCs w:val="22"/>
        </w:rPr>
        <w:t xml:space="preserve"> appreciation</w:t>
      </w:r>
    </w:p>
    <w:p w:rsidR="00F22459" w:rsidRPr="00351A14" w:rsidRDefault="00E44DD7" w:rsidP="00443581">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5.1</w:t>
      </w:r>
      <w:r>
        <w:rPr>
          <w:rFonts w:asciiTheme="minorHAnsi" w:hAnsiTheme="minorHAnsi"/>
          <w:sz w:val="22"/>
          <w:szCs w:val="22"/>
        </w:rPr>
        <w:tab/>
      </w:r>
      <w:r w:rsidR="00BD7DF8" w:rsidRPr="00351A14">
        <w:rPr>
          <w:rFonts w:asciiTheme="minorHAnsi" w:hAnsiTheme="minorHAnsi"/>
          <w:sz w:val="22"/>
          <w:szCs w:val="22"/>
        </w:rPr>
        <w:t xml:space="preserve">In conclusion, the Committee expresses its deep appreciation to the Secretary-General and his staff in ITU for their commitment and cooperation in supporting the </w:t>
      </w:r>
      <w:r w:rsidR="00BD7DF8" w:rsidRPr="00E44DD7">
        <w:rPr>
          <w:rFonts w:asciiTheme="minorHAnsi" w:hAnsiTheme="minorHAnsi"/>
          <w:sz w:val="22"/>
          <w:szCs w:val="22"/>
        </w:rPr>
        <w:t xml:space="preserve">work of </w:t>
      </w:r>
      <w:r w:rsidR="00BD7DF8" w:rsidRPr="00351A14">
        <w:rPr>
          <w:rFonts w:asciiTheme="minorHAnsi" w:hAnsiTheme="minorHAnsi"/>
          <w:sz w:val="22"/>
          <w:szCs w:val="22"/>
        </w:rPr>
        <w:t xml:space="preserve">the Independent </w:t>
      </w:r>
      <w:r>
        <w:rPr>
          <w:rFonts w:asciiTheme="minorHAnsi" w:hAnsiTheme="minorHAnsi"/>
          <w:sz w:val="22"/>
          <w:szCs w:val="22"/>
        </w:rPr>
        <w:t xml:space="preserve">Management Advisory Committee. </w:t>
      </w:r>
      <w:r w:rsidR="00BD7DF8" w:rsidRPr="00351A14">
        <w:rPr>
          <w:rFonts w:asciiTheme="minorHAnsi" w:hAnsiTheme="minorHAnsi"/>
          <w:sz w:val="22"/>
          <w:szCs w:val="22"/>
        </w:rPr>
        <w:t>The Committee also thanks the members of the Council Working Group on Financial and Human Resources for its interest and engagement with IMAC on matters critical to the management and governance of ITU.</w:t>
      </w:r>
    </w:p>
    <w:p w:rsidR="00F22459" w:rsidRPr="00351A14" w:rsidRDefault="00BD7DF8" w:rsidP="00351A14">
      <w:pPr>
        <w:spacing w:before="1200"/>
        <w:rPr>
          <w:rFonts w:asciiTheme="minorHAnsi" w:hAnsiTheme="minorHAnsi"/>
          <w:sz w:val="22"/>
          <w:szCs w:val="22"/>
        </w:rPr>
      </w:pPr>
      <w:r w:rsidRPr="00351A14">
        <w:rPr>
          <w:rFonts w:asciiTheme="minorHAnsi" w:hAnsiTheme="minorHAnsi"/>
          <w:sz w:val="22"/>
          <w:szCs w:val="22"/>
        </w:rPr>
        <w:t>Annexes: 1</w:t>
      </w:r>
    </w:p>
    <w:p w:rsidR="00F22459" w:rsidRPr="00351A14" w:rsidRDefault="00F22459">
      <w:pPr>
        <w:jc w:val="center"/>
        <w:rPr>
          <w:rFonts w:asciiTheme="minorHAnsi" w:hAnsiTheme="minorHAnsi"/>
          <w:b/>
          <w:color w:val="000000"/>
          <w:sz w:val="28"/>
        </w:rPr>
        <w:sectPr w:rsidR="00F22459" w:rsidRPr="00351A14" w:rsidSect="006A6F6E">
          <w:headerReference w:type="default" r:id="rId14"/>
          <w:footerReference w:type="first" r:id="rId15"/>
          <w:pgSz w:w="11907" w:h="16840" w:code="9"/>
          <w:pgMar w:top="1134" w:right="1134" w:bottom="851" w:left="1134" w:header="720" w:footer="720" w:gutter="0"/>
          <w:cols w:space="720"/>
          <w:titlePg/>
          <w:docGrid w:linePitch="360"/>
        </w:sectPr>
      </w:pPr>
    </w:p>
    <w:tbl>
      <w:tblPr>
        <w:tblW w:w="0" w:type="auto"/>
        <w:tblInd w:w="93" w:type="dxa"/>
        <w:tblLayout w:type="fixed"/>
        <w:tblLook w:val="0000" w:firstRow="0" w:lastRow="0" w:firstColumn="0" w:lastColumn="0" w:noHBand="0" w:noVBand="0"/>
      </w:tblPr>
      <w:tblGrid>
        <w:gridCol w:w="1240"/>
        <w:gridCol w:w="5800"/>
        <w:gridCol w:w="1906"/>
        <w:gridCol w:w="4110"/>
        <w:gridCol w:w="1784"/>
      </w:tblGrid>
      <w:tr w:rsidR="00F22459" w:rsidRPr="00351A14">
        <w:trPr>
          <w:trHeight w:val="450"/>
        </w:trPr>
        <w:tc>
          <w:tcPr>
            <w:tcW w:w="14840" w:type="dxa"/>
            <w:gridSpan w:val="5"/>
            <w:tcBorders>
              <w:top w:val="nil"/>
              <w:left w:val="nil"/>
              <w:bottom w:val="nil"/>
              <w:right w:val="nil"/>
            </w:tcBorders>
            <w:vAlign w:val="center"/>
          </w:tcPr>
          <w:p w:rsidR="00F22459" w:rsidRPr="00351A14" w:rsidRDefault="00BD7DF8" w:rsidP="00351A14">
            <w:pPr>
              <w:spacing w:before="60"/>
              <w:jc w:val="center"/>
              <w:rPr>
                <w:rFonts w:asciiTheme="minorHAnsi" w:hAnsiTheme="minorHAnsi"/>
                <w:b/>
                <w:color w:val="000000"/>
                <w:sz w:val="28"/>
              </w:rPr>
            </w:pPr>
            <w:r w:rsidRPr="00351A14">
              <w:rPr>
                <w:rFonts w:asciiTheme="minorHAnsi" w:hAnsiTheme="minorHAnsi"/>
                <w:b/>
                <w:color w:val="000000"/>
                <w:sz w:val="28"/>
              </w:rPr>
              <w:lastRenderedPageBreak/>
              <w:t>ANNEX A</w:t>
            </w:r>
          </w:p>
          <w:p w:rsidR="00F22459" w:rsidRPr="00351A14" w:rsidRDefault="00BD7DF8">
            <w:pPr>
              <w:jc w:val="center"/>
              <w:rPr>
                <w:rFonts w:asciiTheme="minorHAnsi" w:hAnsiTheme="minorHAnsi"/>
                <w:b/>
                <w:color w:val="000000"/>
                <w:sz w:val="28"/>
              </w:rPr>
            </w:pPr>
            <w:r w:rsidRPr="00351A14">
              <w:rPr>
                <w:rFonts w:asciiTheme="minorHAnsi" w:hAnsiTheme="minorHAnsi"/>
                <w:b/>
                <w:color w:val="000000"/>
                <w:sz w:val="28"/>
              </w:rPr>
              <w:t>Recommendations of the Independent Management Advisory Committee - 2013</w:t>
            </w:r>
          </w:p>
        </w:tc>
      </w:tr>
      <w:tr w:rsidR="00F22459" w:rsidRPr="00351A14">
        <w:trPr>
          <w:trHeight w:val="450"/>
        </w:trPr>
        <w:tc>
          <w:tcPr>
            <w:tcW w:w="14840" w:type="dxa"/>
            <w:gridSpan w:val="5"/>
            <w:tcBorders>
              <w:top w:val="nil"/>
              <w:left w:val="nil"/>
              <w:bottom w:val="nil"/>
              <w:right w:val="nil"/>
            </w:tcBorders>
            <w:vAlign w:val="center"/>
          </w:tcPr>
          <w:p w:rsidR="00F22459" w:rsidRPr="00351A14" w:rsidRDefault="00BD7DF8" w:rsidP="00CA1CE5">
            <w:pPr>
              <w:spacing w:after="120"/>
              <w:jc w:val="center"/>
              <w:rPr>
                <w:rFonts w:asciiTheme="minorHAnsi" w:hAnsiTheme="minorHAnsi"/>
                <w:b/>
                <w:color w:val="000000"/>
                <w:sz w:val="22"/>
              </w:rPr>
            </w:pPr>
            <w:r w:rsidRPr="00351A14">
              <w:rPr>
                <w:rFonts w:asciiTheme="minorHAnsi" w:hAnsiTheme="minorHAnsi"/>
                <w:b/>
                <w:color w:val="000000"/>
                <w:sz w:val="22"/>
              </w:rPr>
              <w:t>Status 24 February 2014</w:t>
            </w:r>
          </w:p>
        </w:tc>
      </w:tr>
      <w:tr w:rsidR="00F22459" w:rsidRPr="00351A14">
        <w:trPr>
          <w:trHeight w:val="300"/>
        </w:trPr>
        <w:tc>
          <w:tcPr>
            <w:tcW w:w="1240" w:type="dxa"/>
            <w:tcBorders>
              <w:top w:val="nil"/>
              <w:left w:val="nil"/>
              <w:bottom w:val="nil"/>
              <w:right w:val="nil"/>
            </w:tcBorders>
            <w:vAlign w:val="bottom"/>
          </w:tcPr>
          <w:p w:rsidR="00F22459" w:rsidRPr="00351A14" w:rsidRDefault="00F22459" w:rsidP="00351A14">
            <w:pPr>
              <w:spacing w:before="40"/>
              <w:rPr>
                <w:rFonts w:asciiTheme="minorHAnsi" w:hAnsiTheme="minorHAnsi"/>
                <w:color w:val="000000"/>
                <w:sz w:val="22"/>
              </w:rPr>
            </w:pPr>
          </w:p>
        </w:tc>
        <w:tc>
          <w:tcPr>
            <w:tcW w:w="5800" w:type="dxa"/>
            <w:tcBorders>
              <w:top w:val="nil"/>
              <w:left w:val="nil"/>
              <w:bottom w:val="nil"/>
              <w:right w:val="nil"/>
            </w:tcBorders>
            <w:vAlign w:val="bottom"/>
          </w:tcPr>
          <w:p w:rsidR="00F22459" w:rsidRPr="00351A14" w:rsidRDefault="00F22459" w:rsidP="00351A14">
            <w:pPr>
              <w:spacing w:before="40"/>
              <w:rPr>
                <w:rFonts w:asciiTheme="minorHAnsi" w:hAnsiTheme="minorHAnsi"/>
                <w:color w:val="000000"/>
                <w:sz w:val="22"/>
              </w:rPr>
            </w:pPr>
          </w:p>
        </w:tc>
        <w:tc>
          <w:tcPr>
            <w:tcW w:w="1906" w:type="dxa"/>
            <w:tcBorders>
              <w:top w:val="nil"/>
              <w:left w:val="nil"/>
              <w:bottom w:val="nil"/>
              <w:right w:val="nil"/>
            </w:tcBorders>
            <w:vAlign w:val="bottom"/>
          </w:tcPr>
          <w:p w:rsidR="00F22459" w:rsidRPr="00351A14" w:rsidRDefault="00F22459" w:rsidP="00351A14">
            <w:pPr>
              <w:spacing w:before="40"/>
              <w:jc w:val="center"/>
              <w:rPr>
                <w:rFonts w:asciiTheme="minorHAnsi" w:hAnsiTheme="minorHAnsi"/>
                <w:color w:val="000000"/>
                <w:sz w:val="22"/>
              </w:rPr>
            </w:pPr>
          </w:p>
        </w:tc>
        <w:tc>
          <w:tcPr>
            <w:tcW w:w="4110" w:type="dxa"/>
            <w:tcBorders>
              <w:top w:val="nil"/>
              <w:left w:val="nil"/>
              <w:bottom w:val="nil"/>
              <w:right w:val="nil"/>
            </w:tcBorders>
            <w:vAlign w:val="bottom"/>
          </w:tcPr>
          <w:p w:rsidR="00F22459" w:rsidRPr="00351A14" w:rsidRDefault="00F22459" w:rsidP="00351A14">
            <w:pPr>
              <w:spacing w:before="40"/>
              <w:rPr>
                <w:rFonts w:asciiTheme="minorHAnsi" w:hAnsiTheme="minorHAnsi"/>
                <w:color w:val="000000"/>
                <w:sz w:val="22"/>
              </w:rPr>
            </w:pPr>
          </w:p>
        </w:tc>
        <w:tc>
          <w:tcPr>
            <w:tcW w:w="1784" w:type="dxa"/>
            <w:tcBorders>
              <w:top w:val="nil"/>
              <w:left w:val="nil"/>
              <w:bottom w:val="nil"/>
              <w:right w:val="nil"/>
            </w:tcBorders>
            <w:vAlign w:val="bottom"/>
          </w:tcPr>
          <w:p w:rsidR="00F22459" w:rsidRPr="00351A14" w:rsidRDefault="00F22459" w:rsidP="00351A14">
            <w:pPr>
              <w:spacing w:before="40"/>
              <w:jc w:val="center"/>
              <w:rPr>
                <w:rFonts w:asciiTheme="minorHAnsi" w:hAnsiTheme="minorHAnsi"/>
                <w:color w:val="000000"/>
                <w:sz w:val="22"/>
              </w:rPr>
            </w:pPr>
          </w:p>
        </w:tc>
      </w:tr>
      <w:tr w:rsidR="00F22459" w:rsidRPr="00351A14">
        <w:trPr>
          <w:trHeight w:val="675"/>
        </w:trPr>
        <w:tc>
          <w:tcPr>
            <w:tcW w:w="1240" w:type="dxa"/>
            <w:tcBorders>
              <w:top w:val="single" w:sz="4" w:space="0" w:color="auto"/>
              <w:left w:val="single" w:sz="4" w:space="0" w:color="auto"/>
              <w:bottom w:val="single" w:sz="4" w:space="0" w:color="auto"/>
              <w:right w:val="single" w:sz="4" w:space="0" w:color="auto"/>
            </w:tcBorders>
            <w:vAlign w:val="center"/>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Rec No</w:t>
            </w:r>
          </w:p>
        </w:tc>
        <w:tc>
          <w:tcPr>
            <w:tcW w:w="5800" w:type="dxa"/>
            <w:tcBorders>
              <w:top w:val="single" w:sz="4" w:space="0" w:color="auto"/>
              <w:left w:val="nil"/>
              <w:bottom w:val="single" w:sz="4" w:space="0" w:color="auto"/>
              <w:right w:val="single" w:sz="4" w:space="0" w:color="auto"/>
            </w:tcBorders>
            <w:vAlign w:val="center"/>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Description</w:t>
            </w:r>
          </w:p>
        </w:tc>
        <w:tc>
          <w:tcPr>
            <w:tcW w:w="1906" w:type="dxa"/>
            <w:tcBorders>
              <w:top w:val="single" w:sz="4" w:space="0" w:color="auto"/>
              <w:left w:val="nil"/>
              <w:bottom w:val="single" w:sz="4" w:space="0" w:color="auto"/>
              <w:right w:val="single" w:sz="4" w:space="0" w:color="auto"/>
            </w:tcBorders>
            <w:vAlign w:val="center"/>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Implementation Status</w:t>
            </w:r>
          </w:p>
        </w:tc>
        <w:tc>
          <w:tcPr>
            <w:tcW w:w="4110" w:type="dxa"/>
            <w:tcBorders>
              <w:top w:val="single" w:sz="4" w:space="0" w:color="auto"/>
              <w:left w:val="nil"/>
              <w:bottom w:val="single" w:sz="4" w:space="0" w:color="auto"/>
              <w:right w:val="single" w:sz="4" w:space="0" w:color="auto"/>
            </w:tcBorders>
            <w:vAlign w:val="center"/>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Progress</w:t>
            </w:r>
          </w:p>
        </w:tc>
        <w:tc>
          <w:tcPr>
            <w:tcW w:w="1784" w:type="dxa"/>
            <w:tcBorders>
              <w:top w:val="single" w:sz="4" w:space="0" w:color="auto"/>
              <w:left w:val="nil"/>
              <w:bottom w:val="single" w:sz="4" w:space="0" w:color="auto"/>
              <w:right w:val="single" w:sz="4" w:space="0" w:color="auto"/>
            </w:tcBorders>
            <w:vAlign w:val="center"/>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Responsibility</w:t>
            </w:r>
          </w:p>
        </w:tc>
      </w:tr>
      <w:tr w:rsidR="00F22459" w:rsidRPr="00351A14">
        <w:trPr>
          <w:trHeight w:val="2871"/>
        </w:trPr>
        <w:tc>
          <w:tcPr>
            <w:tcW w:w="1240" w:type="dxa"/>
            <w:tcBorders>
              <w:top w:val="nil"/>
              <w:left w:val="single" w:sz="4" w:space="0" w:color="auto"/>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Rec.1</w:t>
            </w:r>
            <w:r w:rsidRPr="00351A14">
              <w:rPr>
                <w:rFonts w:asciiTheme="minorHAnsi" w:hAnsiTheme="minorHAnsi"/>
                <w:color w:val="000000"/>
                <w:sz w:val="20"/>
                <w:lang w:val="en-US"/>
              </w:rPr>
              <w:t xml:space="preserve"> (2013)</w:t>
            </w:r>
          </w:p>
        </w:tc>
        <w:tc>
          <w:tcPr>
            <w:tcW w:w="5800" w:type="dxa"/>
            <w:tcBorders>
              <w:top w:val="nil"/>
              <w:left w:val="nil"/>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 xml:space="preserve">IMAC recommends that the Secretary-General approve the revised Internal Audit Charter to be consistent with the IIA standards, with some further revisions to ensure that: </w:t>
            </w:r>
            <w:r w:rsidRPr="00351A14">
              <w:rPr>
                <w:rFonts w:asciiTheme="minorHAnsi" w:hAnsiTheme="minorHAnsi"/>
                <w:color w:val="000000"/>
                <w:sz w:val="20"/>
              </w:rPr>
              <w:br/>
              <w:t>- IMAC review the proposed Internal Audit work plan before its approval by the Secretary-General;</w:t>
            </w:r>
            <w:r w:rsidRPr="00351A14">
              <w:rPr>
                <w:rFonts w:asciiTheme="minorHAnsi" w:hAnsiTheme="minorHAnsi"/>
                <w:color w:val="000000"/>
                <w:sz w:val="20"/>
              </w:rPr>
              <w:br/>
              <w:t>- that this annual work plan is reviewed and approved prior to the beginning of the year  to which it applies;</w:t>
            </w:r>
            <w:r w:rsidRPr="00351A14">
              <w:rPr>
                <w:rFonts w:asciiTheme="minorHAnsi" w:hAnsiTheme="minorHAnsi"/>
                <w:color w:val="000000"/>
                <w:sz w:val="20"/>
              </w:rPr>
              <w:br/>
              <w:t>- and that a more comprehensive Annual Report by the Internal Auditor, to include an assurance on the overall internal control environment, be submitted and presented to Council for discussion each year.</w:t>
            </w:r>
          </w:p>
        </w:tc>
        <w:tc>
          <w:tcPr>
            <w:tcW w:w="1906" w:type="dxa"/>
            <w:tcBorders>
              <w:top w:val="nil"/>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br/>
            </w:r>
            <w:r w:rsidRPr="00351A14">
              <w:rPr>
                <w:rFonts w:asciiTheme="minorHAnsi" w:hAnsiTheme="minorHAnsi"/>
                <w:color w:val="000000"/>
                <w:sz w:val="20"/>
              </w:rPr>
              <w:br/>
            </w:r>
            <w:r w:rsidRPr="00351A14">
              <w:rPr>
                <w:rFonts w:asciiTheme="minorHAnsi" w:hAnsiTheme="minorHAnsi"/>
                <w:color w:val="000000"/>
                <w:sz w:val="20"/>
              </w:rPr>
              <w:br/>
              <w:t>Completed</w:t>
            </w:r>
            <w:r w:rsidRPr="00351A14">
              <w:rPr>
                <w:rFonts w:asciiTheme="minorHAnsi" w:hAnsiTheme="minorHAnsi"/>
                <w:color w:val="000000"/>
                <w:sz w:val="20"/>
              </w:rPr>
              <w:br/>
            </w:r>
            <w:r w:rsidRPr="00351A14">
              <w:rPr>
                <w:rFonts w:asciiTheme="minorHAnsi" w:hAnsiTheme="minorHAnsi"/>
                <w:color w:val="000000"/>
                <w:sz w:val="20"/>
              </w:rPr>
              <w:br/>
            </w:r>
            <w:proofErr w:type="spellStart"/>
            <w:r w:rsidRPr="00351A14">
              <w:rPr>
                <w:rFonts w:asciiTheme="minorHAnsi" w:hAnsiTheme="minorHAnsi"/>
                <w:color w:val="000000"/>
                <w:sz w:val="20"/>
              </w:rPr>
              <w:t>Completed</w:t>
            </w:r>
            <w:proofErr w:type="spellEnd"/>
            <w:r w:rsidRPr="00351A14">
              <w:rPr>
                <w:rFonts w:asciiTheme="minorHAnsi" w:hAnsiTheme="minorHAnsi"/>
                <w:color w:val="000000"/>
                <w:sz w:val="20"/>
              </w:rPr>
              <w:br/>
            </w:r>
            <w:r w:rsidRPr="00351A14">
              <w:rPr>
                <w:rFonts w:asciiTheme="minorHAnsi" w:hAnsiTheme="minorHAnsi"/>
                <w:color w:val="000000"/>
                <w:sz w:val="20"/>
              </w:rPr>
              <w:br/>
              <w:t>Outstanding</w:t>
            </w:r>
          </w:p>
        </w:tc>
        <w:tc>
          <w:tcPr>
            <w:tcW w:w="4110" w:type="dxa"/>
            <w:tcBorders>
              <w:top w:val="nil"/>
              <w:left w:val="nil"/>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The revised Internal Audit Charter developed in consultation with IMAC was approved by the Secretary-General in June 2013 and a revised Service Order was issued.</w:t>
            </w:r>
            <w:r w:rsidRPr="00351A14">
              <w:rPr>
                <w:rFonts w:asciiTheme="minorHAnsi" w:hAnsiTheme="minorHAnsi"/>
                <w:color w:val="000000"/>
                <w:sz w:val="20"/>
              </w:rPr>
              <w:br/>
              <w:t>The Annual Report by the Internal Auditor will be submitted and presented to Council 2014 for discussion in accordance with Service Order 13/09. This draft Annual Report will be reviewed by IMAC at the 7th IMAC meeting, 24-26 February 2014.</w:t>
            </w:r>
          </w:p>
        </w:tc>
        <w:tc>
          <w:tcPr>
            <w:tcW w:w="1784" w:type="dxa"/>
            <w:tcBorders>
              <w:top w:val="nil"/>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IAU/SG</w:t>
            </w:r>
          </w:p>
        </w:tc>
      </w:tr>
      <w:tr w:rsidR="00F22459" w:rsidRPr="00351A14">
        <w:trPr>
          <w:trHeight w:val="1268"/>
        </w:trPr>
        <w:tc>
          <w:tcPr>
            <w:tcW w:w="1240" w:type="dxa"/>
            <w:tcBorders>
              <w:top w:val="nil"/>
              <w:left w:val="single" w:sz="4" w:space="0" w:color="auto"/>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Rec.2</w:t>
            </w:r>
            <w:r w:rsidRPr="00351A14">
              <w:rPr>
                <w:rFonts w:asciiTheme="minorHAnsi" w:hAnsiTheme="minorHAnsi"/>
                <w:color w:val="000000"/>
                <w:sz w:val="20"/>
                <w:lang w:val="en-US"/>
              </w:rPr>
              <w:t xml:space="preserve"> (2013)</w:t>
            </w:r>
          </w:p>
        </w:tc>
        <w:tc>
          <w:tcPr>
            <w:tcW w:w="5800" w:type="dxa"/>
            <w:tcBorders>
              <w:top w:val="nil"/>
              <w:left w:val="nil"/>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IMAC recommends that the Internal Audit annual work plan focus resources more extensively on direct audit activities and less on audit support activities.</w:t>
            </w:r>
          </w:p>
        </w:tc>
        <w:tc>
          <w:tcPr>
            <w:tcW w:w="1906" w:type="dxa"/>
            <w:tcBorders>
              <w:top w:val="nil"/>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In progress</w:t>
            </w:r>
          </w:p>
        </w:tc>
        <w:tc>
          <w:tcPr>
            <w:tcW w:w="4110" w:type="dxa"/>
            <w:tcBorders>
              <w:top w:val="nil"/>
              <w:left w:val="nil"/>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IA work Plan 2014 reviewed by IMAC at its 6th meeting, 6-7 November 2013. IMAC provided comments to the SG. 2014 Audit plan approved by SG before end of year 2013.</w:t>
            </w:r>
          </w:p>
        </w:tc>
        <w:tc>
          <w:tcPr>
            <w:tcW w:w="1784" w:type="dxa"/>
            <w:tcBorders>
              <w:top w:val="nil"/>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IAU</w:t>
            </w:r>
          </w:p>
        </w:tc>
      </w:tr>
      <w:tr w:rsidR="00F22459" w:rsidRPr="00351A14">
        <w:trPr>
          <w:trHeight w:val="1200"/>
        </w:trPr>
        <w:tc>
          <w:tcPr>
            <w:tcW w:w="1240" w:type="dxa"/>
            <w:tcBorders>
              <w:top w:val="nil"/>
              <w:left w:val="single" w:sz="4" w:space="0" w:color="auto"/>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Rec.3</w:t>
            </w:r>
            <w:r w:rsidRPr="00351A14">
              <w:rPr>
                <w:rFonts w:asciiTheme="minorHAnsi" w:hAnsiTheme="minorHAnsi"/>
                <w:color w:val="000000"/>
                <w:sz w:val="20"/>
                <w:lang w:val="en-US"/>
              </w:rPr>
              <w:t xml:space="preserve"> (2013)</w:t>
            </w:r>
          </w:p>
        </w:tc>
        <w:tc>
          <w:tcPr>
            <w:tcW w:w="5800" w:type="dxa"/>
            <w:tcBorders>
              <w:top w:val="nil"/>
              <w:left w:val="nil"/>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In addition, to ensure adequate internal audit coverage, IMAC recommends that ITU reconsider the adequacy of resources allocated to the Internal Audit Unit and the activities assigned to Internal Audit.</w:t>
            </w:r>
          </w:p>
        </w:tc>
        <w:tc>
          <w:tcPr>
            <w:tcW w:w="1906" w:type="dxa"/>
            <w:tcBorders>
              <w:top w:val="nil"/>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Outstanding</w:t>
            </w:r>
          </w:p>
        </w:tc>
        <w:tc>
          <w:tcPr>
            <w:tcW w:w="4110" w:type="dxa"/>
            <w:tcBorders>
              <w:top w:val="nil"/>
              <w:left w:val="nil"/>
              <w:bottom w:val="single" w:sz="4" w:space="0" w:color="auto"/>
              <w:right w:val="single" w:sz="4" w:space="0" w:color="auto"/>
            </w:tcBorders>
          </w:tcPr>
          <w:p w:rsidR="00F22459" w:rsidRPr="00351A14" w:rsidRDefault="00BD7DF8">
            <w:pPr>
              <w:rPr>
                <w:rFonts w:asciiTheme="minorHAnsi" w:hAnsiTheme="minorHAnsi"/>
                <w:sz w:val="20"/>
              </w:rPr>
            </w:pPr>
            <w:r w:rsidRPr="00351A14">
              <w:rPr>
                <w:rFonts w:asciiTheme="minorHAnsi" w:hAnsiTheme="minorHAnsi"/>
                <w:sz w:val="20"/>
              </w:rPr>
              <w:t>No additional resources made available or in prospect.</w:t>
            </w:r>
          </w:p>
        </w:tc>
        <w:tc>
          <w:tcPr>
            <w:tcW w:w="1784" w:type="dxa"/>
            <w:tcBorders>
              <w:top w:val="nil"/>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IAU/SG</w:t>
            </w:r>
          </w:p>
        </w:tc>
      </w:tr>
      <w:tr w:rsidR="00F22459" w:rsidRPr="00351A14">
        <w:trPr>
          <w:trHeight w:val="900"/>
        </w:trPr>
        <w:tc>
          <w:tcPr>
            <w:tcW w:w="1240" w:type="dxa"/>
            <w:tcBorders>
              <w:top w:val="single" w:sz="4" w:space="0" w:color="auto"/>
              <w:left w:val="single" w:sz="4" w:space="0" w:color="auto"/>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Rec.4</w:t>
            </w:r>
            <w:r w:rsidRPr="00351A14">
              <w:rPr>
                <w:rFonts w:asciiTheme="minorHAnsi" w:hAnsiTheme="minorHAnsi"/>
                <w:color w:val="000000"/>
                <w:sz w:val="20"/>
                <w:lang w:val="en-US"/>
              </w:rPr>
              <w:t xml:space="preserve"> (2013)</w:t>
            </w:r>
          </w:p>
        </w:tc>
        <w:tc>
          <w:tcPr>
            <w:tcW w:w="5800" w:type="dxa"/>
            <w:tcBorders>
              <w:top w:val="single" w:sz="4" w:space="0" w:color="auto"/>
              <w:left w:val="nil"/>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IMAC recommends that Internal Audit pursue the commissioning of a peer review to take place preferably by 2014.</w:t>
            </w:r>
          </w:p>
        </w:tc>
        <w:tc>
          <w:tcPr>
            <w:tcW w:w="1906" w:type="dxa"/>
            <w:tcBorders>
              <w:top w:val="single" w:sz="4" w:space="0" w:color="auto"/>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Outstanding</w:t>
            </w:r>
          </w:p>
        </w:tc>
        <w:tc>
          <w:tcPr>
            <w:tcW w:w="4110" w:type="dxa"/>
            <w:tcBorders>
              <w:top w:val="single" w:sz="4" w:space="0" w:color="auto"/>
              <w:left w:val="nil"/>
              <w:bottom w:val="single" w:sz="4" w:space="0" w:color="auto"/>
              <w:right w:val="single" w:sz="4" w:space="0" w:color="auto"/>
            </w:tcBorders>
          </w:tcPr>
          <w:p w:rsidR="00F22459" w:rsidRPr="00351A14" w:rsidRDefault="00BD7DF8">
            <w:pPr>
              <w:rPr>
                <w:rFonts w:asciiTheme="minorHAnsi" w:hAnsiTheme="minorHAnsi"/>
                <w:sz w:val="20"/>
              </w:rPr>
            </w:pPr>
            <w:r w:rsidRPr="00351A14">
              <w:rPr>
                <w:rFonts w:asciiTheme="minorHAnsi" w:hAnsiTheme="minorHAnsi"/>
                <w:sz w:val="20"/>
              </w:rPr>
              <w:t>IA Progress report indicates action will be taken in 2014.</w:t>
            </w:r>
          </w:p>
        </w:tc>
        <w:tc>
          <w:tcPr>
            <w:tcW w:w="1784" w:type="dxa"/>
            <w:tcBorders>
              <w:top w:val="single" w:sz="4" w:space="0" w:color="auto"/>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IAU</w:t>
            </w:r>
          </w:p>
        </w:tc>
      </w:tr>
      <w:tr w:rsidR="00F22459" w:rsidRPr="00351A14" w:rsidTr="00351A14">
        <w:trPr>
          <w:trHeight w:val="675"/>
        </w:trPr>
        <w:tc>
          <w:tcPr>
            <w:tcW w:w="1240" w:type="dxa"/>
            <w:tcBorders>
              <w:top w:val="nil"/>
              <w:left w:val="single" w:sz="4" w:space="0" w:color="auto"/>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Rec.5</w:t>
            </w:r>
            <w:r w:rsidRPr="00351A14">
              <w:rPr>
                <w:rFonts w:asciiTheme="minorHAnsi" w:hAnsiTheme="minorHAnsi"/>
                <w:color w:val="000000"/>
                <w:sz w:val="20"/>
                <w:lang w:val="en-US"/>
              </w:rPr>
              <w:t xml:space="preserve"> (2013</w:t>
            </w:r>
          </w:p>
        </w:tc>
        <w:tc>
          <w:tcPr>
            <w:tcW w:w="5800" w:type="dxa"/>
            <w:tcBorders>
              <w:top w:val="nil"/>
              <w:left w:val="nil"/>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 xml:space="preserve">IMAC recommends that an evaluation of the Internal Audit function be carried out by the External Auditor. </w:t>
            </w:r>
          </w:p>
        </w:tc>
        <w:tc>
          <w:tcPr>
            <w:tcW w:w="1906" w:type="dxa"/>
            <w:tcBorders>
              <w:top w:val="nil"/>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Outstanding</w:t>
            </w:r>
          </w:p>
        </w:tc>
        <w:tc>
          <w:tcPr>
            <w:tcW w:w="4110" w:type="dxa"/>
            <w:tcBorders>
              <w:top w:val="nil"/>
              <w:left w:val="nil"/>
              <w:bottom w:val="single" w:sz="4" w:space="0" w:color="auto"/>
              <w:right w:val="single" w:sz="4" w:space="0" w:color="auto"/>
            </w:tcBorders>
          </w:tcPr>
          <w:p w:rsidR="00F22459" w:rsidRPr="00351A14" w:rsidRDefault="00BD7DF8">
            <w:pPr>
              <w:rPr>
                <w:rFonts w:asciiTheme="minorHAnsi" w:hAnsiTheme="minorHAnsi"/>
                <w:sz w:val="20"/>
              </w:rPr>
            </w:pPr>
            <w:r w:rsidRPr="00351A14">
              <w:rPr>
                <w:rFonts w:asciiTheme="minorHAnsi" w:hAnsiTheme="minorHAnsi"/>
                <w:sz w:val="20"/>
              </w:rPr>
              <w:t> </w:t>
            </w:r>
          </w:p>
        </w:tc>
        <w:tc>
          <w:tcPr>
            <w:tcW w:w="1784" w:type="dxa"/>
            <w:tcBorders>
              <w:top w:val="nil"/>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EA</w:t>
            </w:r>
          </w:p>
        </w:tc>
      </w:tr>
      <w:tr w:rsidR="00F22459" w:rsidRPr="00351A14" w:rsidTr="00351A14">
        <w:trPr>
          <w:trHeight w:val="4937"/>
        </w:trPr>
        <w:tc>
          <w:tcPr>
            <w:tcW w:w="1240" w:type="dxa"/>
            <w:tcBorders>
              <w:top w:val="single" w:sz="4" w:space="0" w:color="auto"/>
              <w:left w:val="single" w:sz="4" w:space="0" w:color="auto"/>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lastRenderedPageBreak/>
              <w:t>Rec.</w:t>
            </w:r>
            <w:r w:rsidRPr="00351A14">
              <w:rPr>
                <w:rFonts w:asciiTheme="minorHAnsi" w:hAnsiTheme="minorHAnsi"/>
                <w:color w:val="000000"/>
                <w:sz w:val="20"/>
                <w:lang w:val="en-US"/>
              </w:rPr>
              <w:t>6 (2013)</w:t>
            </w:r>
          </w:p>
        </w:tc>
        <w:tc>
          <w:tcPr>
            <w:tcW w:w="5800" w:type="dxa"/>
            <w:tcBorders>
              <w:top w:val="single" w:sz="4" w:space="0" w:color="auto"/>
              <w:left w:val="nil"/>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IMAC recommends that ITU consider imposing and enforcing a clear and well understood timeframe for the negotiation and signature of Host Country Agreemen</w:t>
            </w:r>
            <w:r w:rsidR="00E44DD7">
              <w:rPr>
                <w:rFonts w:asciiTheme="minorHAnsi" w:hAnsiTheme="minorHAnsi"/>
                <w:color w:val="000000"/>
                <w:sz w:val="20"/>
              </w:rPr>
              <w:t>ts (HCAs) for its regional and a</w:t>
            </w:r>
            <w:r w:rsidRPr="00351A14">
              <w:rPr>
                <w:rFonts w:asciiTheme="minorHAnsi" w:hAnsiTheme="minorHAnsi"/>
                <w:color w:val="000000"/>
                <w:sz w:val="20"/>
              </w:rPr>
              <w:t>rea offices, beyond which alternative measures should be considered.</w:t>
            </w:r>
          </w:p>
        </w:tc>
        <w:tc>
          <w:tcPr>
            <w:tcW w:w="1906" w:type="dxa"/>
            <w:tcBorders>
              <w:top w:val="single" w:sz="4" w:space="0" w:color="auto"/>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Ongoing</w:t>
            </w:r>
          </w:p>
        </w:tc>
        <w:tc>
          <w:tcPr>
            <w:tcW w:w="4110" w:type="dxa"/>
            <w:tcBorders>
              <w:top w:val="single" w:sz="4" w:space="0" w:color="auto"/>
              <w:left w:val="nil"/>
              <w:bottom w:val="single" w:sz="4" w:space="0" w:color="auto"/>
              <w:right w:val="single" w:sz="4" w:space="0" w:color="auto"/>
            </w:tcBorders>
          </w:tcPr>
          <w:p w:rsidR="00F22459" w:rsidRPr="00351A14" w:rsidRDefault="00E44DD7" w:rsidP="00E44DD7">
            <w:pPr>
              <w:rPr>
                <w:rFonts w:asciiTheme="minorHAnsi" w:hAnsiTheme="minorHAnsi"/>
                <w:color w:val="000000"/>
                <w:sz w:val="20"/>
              </w:rPr>
            </w:pPr>
            <w:r>
              <w:rPr>
                <w:rFonts w:asciiTheme="minorHAnsi" w:hAnsiTheme="minorHAnsi"/>
                <w:color w:val="000000"/>
                <w:sz w:val="20"/>
              </w:rPr>
              <w:t>Concerning Jakarta Office, five</w:t>
            </w:r>
            <w:r w:rsidR="00BD7DF8" w:rsidRPr="00351A14">
              <w:rPr>
                <w:rFonts w:asciiTheme="minorHAnsi" w:hAnsiTheme="minorHAnsi"/>
                <w:color w:val="000000"/>
                <w:sz w:val="20"/>
              </w:rPr>
              <w:t xml:space="preserve"> alternative text proposals of paragraph 4 of Art III of the </w:t>
            </w:r>
            <w:r>
              <w:rPr>
                <w:rFonts w:asciiTheme="minorHAnsi" w:hAnsiTheme="minorHAnsi"/>
                <w:color w:val="000000"/>
                <w:sz w:val="20"/>
              </w:rPr>
              <w:t>HCA have been submitted by the s</w:t>
            </w:r>
            <w:r w:rsidR="00BD7DF8" w:rsidRPr="00351A14">
              <w:rPr>
                <w:rFonts w:asciiTheme="minorHAnsi" w:hAnsiTheme="minorHAnsi"/>
                <w:color w:val="000000"/>
                <w:sz w:val="20"/>
              </w:rPr>
              <w:t>ecretariat to the Indonesian Administration on 17 July 2013 and have been discussed end of July between BDT and the Country Authorities. Internal consultation is taking place among the concer</w:t>
            </w:r>
            <w:r>
              <w:rPr>
                <w:rFonts w:asciiTheme="minorHAnsi" w:hAnsiTheme="minorHAnsi"/>
                <w:color w:val="000000"/>
                <w:sz w:val="20"/>
              </w:rPr>
              <w:t>ned Indonesian Ministries. The s</w:t>
            </w:r>
            <w:r w:rsidR="00BD7DF8" w:rsidRPr="00351A14">
              <w:rPr>
                <w:rFonts w:asciiTheme="minorHAnsi" w:hAnsiTheme="minorHAnsi"/>
                <w:color w:val="000000"/>
                <w:sz w:val="20"/>
              </w:rPr>
              <w:t xml:space="preserve">ecretariat took the opportunity to remind Indonesia of this issue at the upcoming </w:t>
            </w:r>
            <w:r>
              <w:rPr>
                <w:rFonts w:asciiTheme="minorHAnsi" w:hAnsiTheme="minorHAnsi"/>
                <w:color w:val="000000"/>
                <w:sz w:val="20"/>
              </w:rPr>
              <w:t>“</w:t>
            </w:r>
            <w:r w:rsidR="00BD7DF8" w:rsidRPr="00351A14">
              <w:rPr>
                <w:rFonts w:asciiTheme="minorHAnsi" w:hAnsiTheme="minorHAnsi"/>
                <w:color w:val="000000"/>
                <w:sz w:val="20"/>
              </w:rPr>
              <w:t>Connect Asia</w:t>
            </w:r>
            <w:r>
              <w:rPr>
                <w:rFonts w:asciiTheme="minorHAnsi" w:hAnsiTheme="minorHAnsi"/>
                <w:color w:val="000000"/>
                <w:sz w:val="20"/>
              </w:rPr>
              <w:t>”</w:t>
            </w:r>
            <w:r w:rsidR="00BD7DF8" w:rsidRPr="00351A14">
              <w:rPr>
                <w:rFonts w:asciiTheme="minorHAnsi" w:hAnsiTheme="minorHAnsi"/>
                <w:color w:val="000000"/>
                <w:sz w:val="20"/>
              </w:rPr>
              <w:t xml:space="preserve">, </w:t>
            </w:r>
            <w:r>
              <w:rPr>
                <w:rFonts w:asciiTheme="minorHAnsi" w:hAnsiTheme="minorHAnsi"/>
                <w:color w:val="000000"/>
                <w:sz w:val="20"/>
              </w:rPr>
              <w:t>18 November 2013.The Permanent M</w:t>
            </w:r>
            <w:r w:rsidR="00BD7DF8" w:rsidRPr="00351A14">
              <w:rPr>
                <w:rFonts w:asciiTheme="minorHAnsi" w:hAnsiTheme="minorHAnsi"/>
                <w:color w:val="000000"/>
                <w:sz w:val="20"/>
              </w:rPr>
              <w:t xml:space="preserve">ission in Geneva would contact the </w:t>
            </w:r>
            <w:r>
              <w:rPr>
                <w:rFonts w:asciiTheme="minorHAnsi" w:hAnsiTheme="minorHAnsi"/>
                <w:color w:val="000000"/>
                <w:sz w:val="20"/>
              </w:rPr>
              <w:t>s</w:t>
            </w:r>
            <w:r w:rsidR="00BD7DF8" w:rsidRPr="00351A14">
              <w:rPr>
                <w:rFonts w:asciiTheme="minorHAnsi" w:hAnsiTheme="minorHAnsi"/>
                <w:color w:val="000000"/>
                <w:sz w:val="20"/>
              </w:rPr>
              <w:t>ecretariat to solve this issue prior Council 2014.</w:t>
            </w:r>
            <w:r w:rsidR="00BD7DF8" w:rsidRPr="00351A14">
              <w:rPr>
                <w:rFonts w:asciiTheme="minorHAnsi" w:hAnsiTheme="minorHAnsi"/>
                <w:color w:val="000000"/>
                <w:sz w:val="20"/>
              </w:rPr>
              <w:br/>
              <w:t>Revision of the HCA for the Bangkok Office is being finalized and expected to be signed soon.</w:t>
            </w:r>
            <w:r w:rsidR="00BD7DF8" w:rsidRPr="00351A14">
              <w:rPr>
                <w:rFonts w:asciiTheme="minorHAnsi" w:hAnsiTheme="minorHAnsi"/>
                <w:color w:val="000000"/>
                <w:sz w:val="20"/>
              </w:rPr>
              <w:br/>
              <w:t>The latest Internal Audit report on Americas Regional and Area Offices indicates that the HCA issue has come up again.</w:t>
            </w:r>
          </w:p>
        </w:tc>
        <w:tc>
          <w:tcPr>
            <w:tcW w:w="1784" w:type="dxa"/>
            <w:tcBorders>
              <w:top w:val="single" w:sz="4" w:space="0" w:color="auto"/>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LAU</w:t>
            </w:r>
          </w:p>
        </w:tc>
      </w:tr>
      <w:tr w:rsidR="00F22459" w:rsidRPr="00351A14">
        <w:trPr>
          <w:trHeight w:val="2721"/>
        </w:trPr>
        <w:tc>
          <w:tcPr>
            <w:tcW w:w="1240" w:type="dxa"/>
            <w:tcBorders>
              <w:top w:val="single" w:sz="4" w:space="0" w:color="auto"/>
              <w:left w:val="single" w:sz="4" w:space="0" w:color="auto"/>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Rec.</w:t>
            </w:r>
            <w:r w:rsidRPr="00351A14">
              <w:rPr>
                <w:rFonts w:asciiTheme="minorHAnsi" w:hAnsiTheme="minorHAnsi"/>
                <w:color w:val="000000"/>
                <w:sz w:val="20"/>
                <w:lang w:val="en-US"/>
              </w:rPr>
              <w:t>7 (2013)</w:t>
            </w:r>
          </w:p>
        </w:tc>
        <w:tc>
          <w:tcPr>
            <w:tcW w:w="5800" w:type="dxa"/>
            <w:tcBorders>
              <w:top w:val="single" w:sz="4" w:space="0" w:color="auto"/>
              <w:left w:val="nil"/>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IMAC recommends that ITU pursue development of systematic, enterprise-wide risk management arrangements as a matter of priority, supported by the allocation of necessary budgetary resources, so that risk management can be incorporated in the strategic planning process for the period 2016-2019.</w:t>
            </w:r>
          </w:p>
        </w:tc>
        <w:tc>
          <w:tcPr>
            <w:tcW w:w="1906" w:type="dxa"/>
            <w:tcBorders>
              <w:top w:val="single" w:sz="4" w:space="0" w:color="auto"/>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Ongoing</w:t>
            </w:r>
          </w:p>
        </w:tc>
        <w:tc>
          <w:tcPr>
            <w:tcW w:w="4110" w:type="dxa"/>
            <w:tcBorders>
              <w:top w:val="single" w:sz="4" w:space="0" w:color="auto"/>
              <w:left w:val="nil"/>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Report developed by the Intersectoral Task Force on Strategic Risk Management (SRM TF) and used by the Intersectoral Task Force for the elaboration of draft Strategic Plan for the Union 2016-2019. The SRM TF recommendations have been implemented. Strategic Risks integrated in the input document to the CWG on SP &amp; FP and a results framework has been developed in line with Res 151 and applying best practices. ERM has yet to be developed.</w:t>
            </w:r>
          </w:p>
        </w:tc>
        <w:tc>
          <w:tcPr>
            <w:tcW w:w="1784" w:type="dxa"/>
            <w:tcBorders>
              <w:top w:val="single" w:sz="4" w:space="0" w:color="auto"/>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SGO</w:t>
            </w:r>
          </w:p>
        </w:tc>
      </w:tr>
      <w:tr w:rsidR="00F22459" w:rsidRPr="00351A14">
        <w:trPr>
          <w:trHeight w:val="1200"/>
        </w:trPr>
        <w:tc>
          <w:tcPr>
            <w:tcW w:w="1240" w:type="dxa"/>
            <w:tcBorders>
              <w:top w:val="nil"/>
              <w:left w:val="single" w:sz="4" w:space="0" w:color="auto"/>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Rec.</w:t>
            </w:r>
            <w:r w:rsidRPr="00351A14">
              <w:rPr>
                <w:rFonts w:asciiTheme="minorHAnsi" w:hAnsiTheme="minorHAnsi"/>
                <w:color w:val="000000"/>
                <w:sz w:val="20"/>
                <w:lang w:val="en-US"/>
              </w:rPr>
              <w:t>8 (2013)</w:t>
            </w:r>
          </w:p>
        </w:tc>
        <w:tc>
          <w:tcPr>
            <w:tcW w:w="5800" w:type="dxa"/>
            <w:tcBorders>
              <w:top w:val="nil"/>
              <w:left w:val="nil"/>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IMAC recommends that the Secretary-General approve an annual Statement on Internal Control to be issued together with the financial statements.</w:t>
            </w:r>
          </w:p>
        </w:tc>
        <w:tc>
          <w:tcPr>
            <w:tcW w:w="1906" w:type="dxa"/>
            <w:tcBorders>
              <w:top w:val="nil"/>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Completed</w:t>
            </w:r>
          </w:p>
        </w:tc>
        <w:tc>
          <w:tcPr>
            <w:tcW w:w="4110" w:type="dxa"/>
            <w:tcBorders>
              <w:top w:val="nil"/>
              <w:left w:val="nil"/>
              <w:bottom w:val="single" w:sz="4" w:space="0" w:color="auto"/>
              <w:right w:val="single" w:sz="4" w:space="0" w:color="auto"/>
            </w:tcBorders>
          </w:tcPr>
          <w:p w:rsidR="00F22459" w:rsidRPr="00351A14" w:rsidRDefault="00BD7DF8">
            <w:pPr>
              <w:rPr>
                <w:rFonts w:asciiTheme="minorHAnsi" w:hAnsiTheme="minorHAnsi"/>
                <w:color w:val="000000"/>
                <w:sz w:val="20"/>
              </w:rPr>
            </w:pPr>
            <w:r w:rsidRPr="00351A14">
              <w:rPr>
                <w:rFonts w:asciiTheme="minorHAnsi" w:hAnsiTheme="minorHAnsi"/>
                <w:color w:val="000000"/>
                <w:sz w:val="20"/>
              </w:rPr>
              <w:t>The Statement on Internal Control was issued together with the financial statements at Council 2013 and will be in future.</w:t>
            </w:r>
          </w:p>
        </w:tc>
        <w:tc>
          <w:tcPr>
            <w:tcW w:w="1784" w:type="dxa"/>
            <w:tcBorders>
              <w:top w:val="nil"/>
              <w:left w:val="nil"/>
              <w:bottom w:val="single" w:sz="4" w:space="0" w:color="auto"/>
              <w:right w:val="single" w:sz="4" w:space="0" w:color="auto"/>
            </w:tcBorders>
          </w:tcPr>
          <w:p w:rsidR="00F22459" w:rsidRPr="00351A14" w:rsidRDefault="00BD7DF8">
            <w:pPr>
              <w:jc w:val="center"/>
              <w:rPr>
                <w:rFonts w:asciiTheme="minorHAnsi" w:hAnsiTheme="minorHAnsi"/>
                <w:color w:val="000000"/>
                <w:sz w:val="20"/>
              </w:rPr>
            </w:pPr>
            <w:r w:rsidRPr="00351A14">
              <w:rPr>
                <w:rFonts w:asciiTheme="minorHAnsi" w:hAnsiTheme="minorHAnsi"/>
                <w:color w:val="000000"/>
                <w:sz w:val="20"/>
              </w:rPr>
              <w:t>FRM</w:t>
            </w:r>
          </w:p>
        </w:tc>
      </w:tr>
    </w:tbl>
    <w:p w:rsidR="00F22459" w:rsidRPr="00351A14" w:rsidRDefault="00351A14" w:rsidP="0087230C">
      <w:pPr>
        <w:spacing w:before="240"/>
        <w:jc w:val="center"/>
        <w:rPr>
          <w:rFonts w:asciiTheme="minorHAnsi" w:hAnsiTheme="minorHAnsi"/>
        </w:rPr>
      </w:pPr>
      <w:r w:rsidRPr="00351A14">
        <w:rPr>
          <w:rFonts w:asciiTheme="minorHAnsi" w:hAnsiTheme="minorHAnsi"/>
        </w:rPr>
        <w:t>______________________</w:t>
      </w:r>
    </w:p>
    <w:sectPr w:rsidR="00F22459" w:rsidRPr="00351A14" w:rsidSect="00351A14">
      <w:headerReference w:type="first" r:id="rId16"/>
      <w:footerReference w:type="first" r:id="rId17"/>
      <w:pgSz w:w="16834" w:h="11907" w:orient="landscape" w:code="9"/>
      <w:pgMar w:top="1134" w:right="1418" w:bottom="1021"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59" w:rsidRDefault="00BD7DF8">
      <w:pPr>
        <w:spacing w:before="0"/>
      </w:pPr>
      <w:r>
        <w:separator/>
      </w:r>
    </w:p>
  </w:endnote>
  <w:endnote w:type="continuationSeparator" w:id="0">
    <w:p w:rsidR="00F22459" w:rsidRDefault="00BD7D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DA" w:rsidRDefault="006E1BDA" w:rsidP="006E1BDA">
    <w:pPr>
      <w:spacing w:after="120"/>
      <w:jc w:val="center"/>
    </w:pPr>
    <w:r w:rsidRPr="006E1BDA">
      <w:t xml:space="preserve">• </w:t>
    </w:r>
    <w:hyperlink r:id="rId1" w:history="1">
      <w:r w:rsidRPr="006E1BDA">
        <w:rPr>
          <w:rStyle w:val="Hyperlink"/>
        </w:rPr>
        <w:t>http://www.itu.int/council</w:t>
      </w:r>
    </w:hyperlink>
    <w:r w:rsidRPr="006E1BDA">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DA" w:rsidRPr="006E1BDA" w:rsidRDefault="006E1BDA" w:rsidP="006E1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59" w:rsidRDefault="00BD7DF8">
      <w:pPr>
        <w:spacing w:before="0"/>
      </w:pPr>
      <w:r>
        <w:separator/>
      </w:r>
    </w:p>
  </w:footnote>
  <w:footnote w:type="continuationSeparator" w:id="0">
    <w:p w:rsidR="00F22459" w:rsidRDefault="00BD7DF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DA" w:rsidRPr="006E1BDA" w:rsidRDefault="006E1BDA" w:rsidP="006E1BDA">
    <w:pPr>
      <w:pStyle w:val="Header"/>
    </w:pPr>
    <w:r w:rsidRPr="006E1BDA">
      <w:t xml:space="preserve">- </w:t>
    </w:r>
    <w:r w:rsidRPr="006E1BDA">
      <w:fldChar w:fldCharType="begin"/>
    </w:r>
    <w:r w:rsidRPr="006E1BDA">
      <w:instrText>PAGE</w:instrText>
    </w:r>
    <w:r w:rsidRPr="006E1BDA">
      <w:fldChar w:fldCharType="separate"/>
    </w:r>
    <w:r w:rsidR="0087230C">
      <w:rPr>
        <w:noProof/>
      </w:rPr>
      <w:t>2</w:t>
    </w:r>
    <w:r w:rsidRPr="006E1BDA">
      <w:fldChar w:fldCharType="end"/>
    </w:r>
    <w:r w:rsidRPr="006E1BDA">
      <w:t>/</w:t>
    </w:r>
    <w:r w:rsidRPr="006E1BDA">
      <w:fldChar w:fldCharType="begin"/>
    </w:r>
    <w:r>
      <w:instrText xml:space="preserve"> NUMPAGES   \* MERGEFORMAT </w:instrText>
    </w:r>
    <w:r w:rsidRPr="006E1BDA">
      <w:fldChar w:fldCharType="separate"/>
    </w:r>
    <w:r w:rsidR="0087230C">
      <w:rPr>
        <w:noProof/>
      </w:rPr>
      <w:t>8</w:t>
    </w:r>
    <w:r w:rsidRPr="006E1BDA">
      <w:rPr>
        <w:noProof/>
      </w:rPr>
      <w:fldChar w:fldCharType="end"/>
    </w:r>
    <w:r w:rsidRPr="006E1BDA">
      <w:t xml:space="preserve"> -</w:t>
    </w:r>
  </w:p>
  <w:p w:rsidR="006E1BDA" w:rsidRPr="006E1BDA" w:rsidRDefault="006E1BDA" w:rsidP="006E1BDA">
    <w:pPr>
      <w:pStyle w:val="Header"/>
    </w:pPr>
    <w:r w:rsidRPr="006E1BDA">
      <w:t>C14/</w:t>
    </w:r>
    <w:r>
      <w:t>22</w:t>
    </w:r>
    <w:r w:rsidRPr="006E1BDA">
      <w:t>-E</w:t>
    </w:r>
  </w:p>
  <w:p w:rsidR="00F22459" w:rsidRPr="006E1BDA" w:rsidRDefault="00F22459">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DA" w:rsidRPr="006E1BDA" w:rsidRDefault="006E1BDA" w:rsidP="006E1BDA">
    <w:pPr>
      <w:pStyle w:val="Header"/>
    </w:pPr>
    <w:r w:rsidRPr="006E1BDA">
      <w:t xml:space="preserve">- </w:t>
    </w:r>
    <w:r w:rsidRPr="006E1BDA">
      <w:fldChar w:fldCharType="begin"/>
    </w:r>
    <w:r w:rsidRPr="006E1BDA">
      <w:instrText>PAGE</w:instrText>
    </w:r>
    <w:r w:rsidRPr="006E1BDA">
      <w:fldChar w:fldCharType="separate"/>
    </w:r>
    <w:r w:rsidR="0087230C">
      <w:rPr>
        <w:noProof/>
      </w:rPr>
      <w:t>7</w:t>
    </w:r>
    <w:r w:rsidRPr="006E1BDA">
      <w:fldChar w:fldCharType="end"/>
    </w:r>
    <w:r w:rsidRPr="006E1BDA">
      <w:t>/</w:t>
    </w:r>
    <w:r w:rsidRPr="006E1BDA">
      <w:fldChar w:fldCharType="begin"/>
    </w:r>
    <w:r>
      <w:instrText xml:space="preserve"> NUMPAGES   \* MERGEFORMAT </w:instrText>
    </w:r>
    <w:r w:rsidRPr="006E1BDA">
      <w:fldChar w:fldCharType="separate"/>
    </w:r>
    <w:r w:rsidR="0087230C">
      <w:rPr>
        <w:noProof/>
      </w:rPr>
      <w:t>8</w:t>
    </w:r>
    <w:r w:rsidRPr="006E1BDA">
      <w:rPr>
        <w:noProof/>
      </w:rPr>
      <w:fldChar w:fldCharType="end"/>
    </w:r>
    <w:r w:rsidRPr="006E1BDA">
      <w:t xml:space="preserve"> -</w:t>
    </w:r>
  </w:p>
  <w:p w:rsidR="006E1BDA" w:rsidRPr="006E1BDA" w:rsidRDefault="006E1BDA" w:rsidP="006E1BDA">
    <w:pPr>
      <w:pStyle w:val="Header"/>
    </w:pPr>
    <w:r w:rsidRPr="006E1BDA">
      <w:t>C14/</w:t>
    </w:r>
    <w:r>
      <w:t>22</w:t>
    </w:r>
    <w:r w:rsidRPr="006E1BDA">
      <w:t>-E</w:t>
    </w:r>
  </w:p>
  <w:p w:rsidR="006E1BDA" w:rsidRDefault="006E1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70B9F"/>
    <w:multiLevelType w:val="singleLevel"/>
    <w:tmpl w:val="6D470B9F"/>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1228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21287"/>
    <w:rsid w:val="00351A14"/>
    <w:rsid w:val="00443581"/>
    <w:rsid w:val="00450F6D"/>
    <w:rsid w:val="004538CF"/>
    <w:rsid w:val="004C2773"/>
    <w:rsid w:val="00567986"/>
    <w:rsid w:val="006A6F6E"/>
    <w:rsid w:val="006E1BDA"/>
    <w:rsid w:val="0087230C"/>
    <w:rsid w:val="00891125"/>
    <w:rsid w:val="00A20A76"/>
    <w:rsid w:val="00B422BC"/>
    <w:rsid w:val="00BD7DF8"/>
    <w:rsid w:val="00C87889"/>
    <w:rsid w:val="00CA1CE5"/>
    <w:rsid w:val="00D156E0"/>
    <w:rsid w:val="00E44DD7"/>
    <w:rsid w:val="00E50F16"/>
    <w:rsid w:val="00E94465"/>
    <w:rsid w:val="00F224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Title" w:semiHidden="0" w:uiPriority="10" w:unhideWhenUsed="0" w:qFormat="1"/>
    <w:lsdException w:name="Default Paragraph Font" w:uiPriority="0"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Balloon Text" w:uiPriority="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 w:val="left" w:pos="1134"/>
        <w:tab w:val="left" w:pos="1701"/>
        <w:tab w:val="left" w:pos="2268"/>
        <w:tab w:val="left" w:pos="2835"/>
      </w:tabs>
      <w:autoSpaceDE w:val="0"/>
      <w:autoSpaceDN w:val="0"/>
      <w:spacing w:before="120"/>
    </w:pPr>
    <w:rPr>
      <w:rFonts w:cs="SimSun"/>
      <w:sz w:val="24"/>
      <w:szCs w:val="24"/>
      <w:lang w:val="en-GB" w:eastAsia="en-GB" w:bidi="en-US"/>
    </w:rPr>
  </w:style>
  <w:style w:type="paragraph" w:styleId="Heading1">
    <w:name w:val="heading 1"/>
    <w:basedOn w:val="Normal"/>
    <w:next w:val="Normal"/>
    <w:qFormat/>
    <w:pPr>
      <w:keepNext/>
      <w:keepLines/>
      <w:tabs>
        <w:tab w:val="clear" w:pos="567"/>
        <w:tab w:val="clear" w:pos="1134"/>
        <w:tab w:val="clear" w:pos="1701"/>
        <w:tab w:val="clear" w:pos="2268"/>
        <w:tab w:val="clear" w:pos="2835"/>
      </w:tabs>
      <w:spacing w:before="480" w:line="276" w:lineRule="auto"/>
      <w:outlineLvl w:val="0"/>
    </w:pPr>
    <w:rPr>
      <w:rFonts w:ascii="Cambria" w:hAnsi="Cambria" w:cs="Times New Roman"/>
      <w:b/>
      <w:bCs/>
      <w:color w:val="365F91"/>
      <w:sz w:val="28"/>
      <w:szCs w:val="28"/>
      <w:lang w:val="en-US" w:eastAsia="zh-CN"/>
    </w:rPr>
  </w:style>
  <w:style w:type="paragraph" w:styleId="Heading3">
    <w:name w:val="heading 3"/>
    <w:basedOn w:val="Normal"/>
    <w:next w:val="Normal"/>
    <w:qFormat/>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Heading1Char">
    <w:name w:val="Heading 1 Char"/>
    <w:rPr>
      <w:rFonts w:ascii="Cambria" w:eastAsia="SimSun" w:hAnsi="Cambria" w:cs="Times New Roman"/>
      <w:b/>
      <w:bCs/>
      <w:color w:val="365F91"/>
      <w:sz w:val="28"/>
    </w:rPr>
  </w:style>
  <w:style w:type="character" w:customStyle="1" w:styleId="FooterChar">
    <w:name w:val="Footer Char"/>
    <w:semiHidden/>
    <w:rPr>
      <w:rFonts w:ascii="Calibri" w:hAnsi="Calibri" w:cs="SimSun"/>
      <w:caps/>
      <w:sz w:val="16"/>
      <w:lang w:eastAsia="en-GB"/>
    </w:rPr>
  </w:style>
  <w:style w:type="character" w:customStyle="1" w:styleId="HeaderChar">
    <w:name w:val="Header Char"/>
    <w:rPr>
      <w:rFonts w:ascii="Calibri" w:hAnsi="Calibri" w:cs="SimSun"/>
      <w:sz w:val="18"/>
      <w:lang w:val="en-GB" w:eastAsia="en-GB"/>
    </w:rPr>
  </w:style>
  <w:style w:type="character" w:customStyle="1" w:styleId="Heading3Char">
    <w:name w:val="Heading 3 Char"/>
    <w:semiHidden/>
    <w:rPr>
      <w:rFonts w:ascii="Cambria" w:eastAsia="SimSun" w:hAnsi="Cambria" w:cs="Times New Roman"/>
      <w:b/>
      <w:bCs/>
      <w:color w:val="4F81BD"/>
      <w:sz w:val="24"/>
      <w:lang w:val="en-GB" w:eastAsia="en-GB"/>
    </w:rPr>
  </w:style>
  <w:style w:type="character" w:customStyle="1" w:styleId="BalloonTextChar">
    <w:name w:val="Balloon Text Char"/>
    <w:semiHidden/>
    <w:rPr>
      <w:rFonts w:ascii="Tahoma" w:hAnsi="Tahoma" w:cs="Tahoma"/>
      <w:sz w:val="16"/>
      <w:lang w:val="en-GB" w:eastAsia="en-GB"/>
    </w:rPr>
  </w:style>
  <w:style w:type="paragraph" w:styleId="Footer">
    <w:name w:val="footer"/>
    <w:basedOn w:val="Normal"/>
    <w:semiHidden/>
    <w:pPr>
      <w:tabs>
        <w:tab w:val="clear" w:pos="567"/>
        <w:tab w:val="clear" w:pos="1134"/>
        <w:tab w:val="clear" w:pos="1701"/>
        <w:tab w:val="clear" w:pos="2268"/>
        <w:tab w:val="clear" w:pos="2835"/>
        <w:tab w:val="left" w:pos="5954"/>
        <w:tab w:val="right" w:pos="9639"/>
      </w:tabs>
      <w:spacing w:before="0"/>
    </w:pPr>
    <w:rPr>
      <w:caps/>
      <w:sz w:val="16"/>
      <w:szCs w:val="16"/>
      <w:lang w:val="en-US"/>
    </w:rPr>
  </w:style>
  <w:style w:type="paragraph" w:styleId="Header">
    <w:name w:val="header"/>
    <w:basedOn w:val="Normal"/>
    <w:pPr>
      <w:tabs>
        <w:tab w:val="clear" w:pos="567"/>
        <w:tab w:val="clear" w:pos="1134"/>
        <w:tab w:val="clear" w:pos="1701"/>
        <w:tab w:val="clear" w:pos="2268"/>
        <w:tab w:val="clear" w:pos="2835"/>
      </w:tabs>
      <w:spacing w:before="0"/>
      <w:jc w:val="center"/>
    </w:pPr>
    <w:rPr>
      <w:sz w:val="18"/>
      <w:szCs w:val="18"/>
    </w:rPr>
  </w:style>
  <w:style w:type="paragraph" w:styleId="BalloonText">
    <w:name w:val="Balloon Text"/>
    <w:basedOn w:val="Normal"/>
    <w:semiHidden/>
    <w:pPr>
      <w:spacing w:before="0"/>
    </w:pPr>
    <w:rPr>
      <w:rFonts w:ascii="Tahoma" w:hAnsi="Tahoma" w:cs="Tahoma"/>
      <w:sz w:val="16"/>
      <w:szCs w:val="16"/>
    </w:rPr>
  </w:style>
  <w:style w:type="paragraph" w:customStyle="1" w:styleId="Source">
    <w:name w:val="Source"/>
    <w:basedOn w:val="Normal"/>
    <w:next w:val="Title1"/>
    <w:pPr>
      <w:spacing w:before="840"/>
      <w:jc w:val="center"/>
    </w:pPr>
    <w:rPr>
      <w:b/>
      <w:bCs/>
      <w:sz w:val="28"/>
      <w:szCs w:val="28"/>
    </w:rPr>
  </w:style>
  <w:style w:type="paragraph" w:customStyle="1" w:styleId="Title1">
    <w:name w:val="Title 1"/>
    <w:basedOn w:val="Source"/>
    <w:next w:val="Normal"/>
    <w:pPr>
      <w:tabs>
        <w:tab w:val="clear" w:pos="567"/>
        <w:tab w:val="clear" w:pos="1134"/>
        <w:tab w:val="clear" w:pos="1701"/>
        <w:tab w:val="clear" w:pos="2268"/>
        <w:tab w:val="clear" w:pos="2835"/>
      </w:tabs>
      <w:spacing w:before="240"/>
    </w:pPr>
    <w:rPr>
      <w:b w:val="0"/>
      <w:bCs w:val="0"/>
      <w:caps/>
    </w:rPr>
  </w:style>
  <w:style w:type="paragraph" w:customStyle="1" w:styleId="Title4">
    <w:name w:val="Title 4"/>
    <w:basedOn w:val="Normal"/>
    <w:next w:val="Heading1"/>
    <w:pPr>
      <w:tabs>
        <w:tab w:val="clear" w:pos="567"/>
        <w:tab w:val="clear" w:pos="1134"/>
        <w:tab w:val="clear" w:pos="1701"/>
        <w:tab w:val="clear" w:pos="2268"/>
        <w:tab w:val="clear" w:pos="2835"/>
      </w:tabs>
      <w:spacing w:before="240"/>
      <w:jc w:val="center"/>
    </w:pPr>
    <w:rPr>
      <w:rFonts w:ascii="Times New Roman" w:hAnsi="Times New Roman" w:cs="Times New Roman"/>
      <w:b/>
      <w:sz w:val="28"/>
      <w:szCs w:val="20"/>
      <w:lang w:eastAsia="en-US"/>
    </w:rPr>
  </w:style>
  <w:style w:type="paragraph" w:customStyle="1" w:styleId="Headingb">
    <w:name w:val="Heading_b"/>
    <w:basedOn w:val="Heading3"/>
    <w:next w:val="Normal"/>
    <w:pPr>
      <w:tabs>
        <w:tab w:val="clear" w:pos="567"/>
        <w:tab w:val="clear" w:pos="1134"/>
        <w:tab w:val="clear" w:pos="1701"/>
        <w:tab w:val="clear" w:pos="2268"/>
        <w:tab w:val="clear" w:pos="2835"/>
      </w:tabs>
      <w:spacing w:before="160"/>
      <w:ind w:left="567" w:hanging="567"/>
      <w:outlineLvl w:val="0"/>
    </w:pPr>
    <w:rPr>
      <w:rFonts w:ascii="Calibri" w:hAnsi="Calibri" w:cs="SimSun"/>
      <w:color w:val="auto"/>
    </w:rPr>
  </w:style>
  <w:style w:type="paragraph" w:styleId="ListParagraph">
    <w:name w:val="List Paragraph"/>
    <w:basedOn w:val="Normal"/>
    <w:qFormat/>
    <w:pPr>
      <w:ind w:left="720"/>
    </w:pPr>
  </w:style>
  <w:style w:type="character" w:styleId="FollowedHyperlink">
    <w:name w:val="FollowedHyperlink"/>
    <w:basedOn w:val="DefaultParagraphFont"/>
    <w:uiPriority w:val="99"/>
    <w:semiHidden/>
    <w:unhideWhenUsed/>
    <w:rsid w:val="004538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Title" w:semiHidden="0" w:uiPriority="10" w:unhideWhenUsed="0" w:qFormat="1"/>
    <w:lsdException w:name="Default Paragraph Font" w:uiPriority="0"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Balloon Text" w:uiPriority="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 w:val="left" w:pos="1134"/>
        <w:tab w:val="left" w:pos="1701"/>
        <w:tab w:val="left" w:pos="2268"/>
        <w:tab w:val="left" w:pos="2835"/>
      </w:tabs>
      <w:autoSpaceDE w:val="0"/>
      <w:autoSpaceDN w:val="0"/>
      <w:spacing w:before="120"/>
    </w:pPr>
    <w:rPr>
      <w:rFonts w:cs="SimSun"/>
      <w:sz w:val="24"/>
      <w:szCs w:val="24"/>
      <w:lang w:val="en-GB" w:eastAsia="en-GB" w:bidi="en-US"/>
    </w:rPr>
  </w:style>
  <w:style w:type="paragraph" w:styleId="Heading1">
    <w:name w:val="heading 1"/>
    <w:basedOn w:val="Normal"/>
    <w:next w:val="Normal"/>
    <w:qFormat/>
    <w:pPr>
      <w:keepNext/>
      <w:keepLines/>
      <w:tabs>
        <w:tab w:val="clear" w:pos="567"/>
        <w:tab w:val="clear" w:pos="1134"/>
        <w:tab w:val="clear" w:pos="1701"/>
        <w:tab w:val="clear" w:pos="2268"/>
        <w:tab w:val="clear" w:pos="2835"/>
      </w:tabs>
      <w:spacing w:before="480" w:line="276" w:lineRule="auto"/>
      <w:outlineLvl w:val="0"/>
    </w:pPr>
    <w:rPr>
      <w:rFonts w:ascii="Cambria" w:hAnsi="Cambria" w:cs="Times New Roman"/>
      <w:b/>
      <w:bCs/>
      <w:color w:val="365F91"/>
      <w:sz w:val="28"/>
      <w:szCs w:val="28"/>
      <w:lang w:val="en-US" w:eastAsia="zh-CN"/>
    </w:rPr>
  </w:style>
  <w:style w:type="paragraph" w:styleId="Heading3">
    <w:name w:val="heading 3"/>
    <w:basedOn w:val="Normal"/>
    <w:next w:val="Normal"/>
    <w:qFormat/>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Heading1Char">
    <w:name w:val="Heading 1 Char"/>
    <w:rPr>
      <w:rFonts w:ascii="Cambria" w:eastAsia="SimSun" w:hAnsi="Cambria" w:cs="Times New Roman"/>
      <w:b/>
      <w:bCs/>
      <w:color w:val="365F91"/>
      <w:sz w:val="28"/>
    </w:rPr>
  </w:style>
  <w:style w:type="character" w:customStyle="1" w:styleId="FooterChar">
    <w:name w:val="Footer Char"/>
    <w:semiHidden/>
    <w:rPr>
      <w:rFonts w:ascii="Calibri" w:hAnsi="Calibri" w:cs="SimSun"/>
      <w:caps/>
      <w:sz w:val="16"/>
      <w:lang w:eastAsia="en-GB"/>
    </w:rPr>
  </w:style>
  <w:style w:type="character" w:customStyle="1" w:styleId="HeaderChar">
    <w:name w:val="Header Char"/>
    <w:rPr>
      <w:rFonts w:ascii="Calibri" w:hAnsi="Calibri" w:cs="SimSun"/>
      <w:sz w:val="18"/>
      <w:lang w:val="en-GB" w:eastAsia="en-GB"/>
    </w:rPr>
  </w:style>
  <w:style w:type="character" w:customStyle="1" w:styleId="Heading3Char">
    <w:name w:val="Heading 3 Char"/>
    <w:semiHidden/>
    <w:rPr>
      <w:rFonts w:ascii="Cambria" w:eastAsia="SimSun" w:hAnsi="Cambria" w:cs="Times New Roman"/>
      <w:b/>
      <w:bCs/>
      <w:color w:val="4F81BD"/>
      <w:sz w:val="24"/>
      <w:lang w:val="en-GB" w:eastAsia="en-GB"/>
    </w:rPr>
  </w:style>
  <w:style w:type="character" w:customStyle="1" w:styleId="BalloonTextChar">
    <w:name w:val="Balloon Text Char"/>
    <w:semiHidden/>
    <w:rPr>
      <w:rFonts w:ascii="Tahoma" w:hAnsi="Tahoma" w:cs="Tahoma"/>
      <w:sz w:val="16"/>
      <w:lang w:val="en-GB" w:eastAsia="en-GB"/>
    </w:rPr>
  </w:style>
  <w:style w:type="paragraph" w:styleId="Footer">
    <w:name w:val="footer"/>
    <w:basedOn w:val="Normal"/>
    <w:semiHidden/>
    <w:pPr>
      <w:tabs>
        <w:tab w:val="clear" w:pos="567"/>
        <w:tab w:val="clear" w:pos="1134"/>
        <w:tab w:val="clear" w:pos="1701"/>
        <w:tab w:val="clear" w:pos="2268"/>
        <w:tab w:val="clear" w:pos="2835"/>
        <w:tab w:val="left" w:pos="5954"/>
        <w:tab w:val="right" w:pos="9639"/>
      </w:tabs>
      <w:spacing w:before="0"/>
    </w:pPr>
    <w:rPr>
      <w:caps/>
      <w:sz w:val="16"/>
      <w:szCs w:val="16"/>
      <w:lang w:val="en-US"/>
    </w:rPr>
  </w:style>
  <w:style w:type="paragraph" w:styleId="Header">
    <w:name w:val="header"/>
    <w:basedOn w:val="Normal"/>
    <w:pPr>
      <w:tabs>
        <w:tab w:val="clear" w:pos="567"/>
        <w:tab w:val="clear" w:pos="1134"/>
        <w:tab w:val="clear" w:pos="1701"/>
        <w:tab w:val="clear" w:pos="2268"/>
        <w:tab w:val="clear" w:pos="2835"/>
      </w:tabs>
      <w:spacing w:before="0"/>
      <w:jc w:val="center"/>
    </w:pPr>
    <w:rPr>
      <w:sz w:val="18"/>
      <w:szCs w:val="18"/>
    </w:rPr>
  </w:style>
  <w:style w:type="paragraph" w:styleId="BalloonText">
    <w:name w:val="Balloon Text"/>
    <w:basedOn w:val="Normal"/>
    <w:semiHidden/>
    <w:pPr>
      <w:spacing w:before="0"/>
    </w:pPr>
    <w:rPr>
      <w:rFonts w:ascii="Tahoma" w:hAnsi="Tahoma" w:cs="Tahoma"/>
      <w:sz w:val="16"/>
      <w:szCs w:val="16"/>
    </w:rPr>
  </w:style>
  <w:style w:type="paragraph" w:customStyle="1" w:styleId="Source">
    <w:name w:val="Source"/>
    <w:basedOn w:val="Normal"/>
    <w:next w:val="Title1"/>
    <w:pPr>
      <w:spacing w:before="840"/>
      <w:jc w:val="center"/>
    </w:pPr>
    <w:rPr>
      <w:b/>
      <w:bCs/>
      <w:sz w:val="28"/>
      <w:szCs w:val="28"/>
    </w:rPr>
  </w:style>
  <w:style w:type="paragraph" w:customStyle="1" w:styleId="Title1">
    <w:name w:val="Title 1"/>
    <w:basedOn w:val="Source"/>
    <w:next w:val="Normal"/>
    <w:pPr>
      <w:tabs>
        <w:tab w:val="clear" w:pos="567"/>
        <w:tab w:val="clear" w:pos="1134"/>
        <w:tab w:val="clear" w:pos="1701"/>
        <w:tab w:val="clear" w:pos="2268"/>
        <w:tab w:val="clear" w:pos="2835"/>
      </w:tabs>
      <w:spacing w:before="240"/>
    </w:pPr>
    <w:rPr>
      <w:b w:val="0"/>
      <w:bCs w:val="0"/>
      <w:caps/>
    </w:rPr>
  </w:style>
  <w:style w:type="paragraph" w:customStyle="1" w:styleId="Title4">
    <w:name w:val="Title 4"/>
    <w:basedOn w:val="Normal"/>
    <w:next w:val="Heading1"/>
    <w:pPr>
      <w:tabs>
        <w:tab w:val="clear" w:pos="567"/>
        <w:tab w:val="clear" w:pos="1134"/>
        <w:tab w:val="clear" w:pos="1701"/>
        <w:tab w:val="clear" w:pos="2268"/>
        <w:tab w:val="clear" w:pos="2835"/>
      </w:tabs>
      <w:spacing w:before="240"/>
      <w:jc w:val="center"/>
    </w:pPr>
    <w:rPr>
      <w:rFonts w:ascii="Times New Roman" w:hAnsi="Times New Roman" w:cs="Times New Roman"/>
      <w:b/>
      <w:sz w:val="28"/>
      <w:szCs w:val="20"/>
      <w:lang w:eastAsia="en-US"/>
    </w:rPr>
  </w:style>
  <w:style w:type="paragraph" w:customStyle="1" w:styleId="Headingb">
    <w:name w:val="Heading_b"/>
    <w:basedOn w:val="Heading3"/>
    <w:next w:val="Normal"/>
    <w:pPr>
      <w:tabs>
        <w:tab w:val="clear" w:pos="567"/>
        <w:tab w:val="clear" w:pos="1134"/>
        <w:tab w:val="clear" w:pos="1701"/>
        <w:tab w:val="clear" w:pos="2268"/>
        <w:tab w:val="clear" w:pos="2835"/>
      </w:tabs>
      <w:spacing w:before="160"/>
      <w:ind w:left="567" w:hanging="567"/>
      <w:outlineLvl w:val="0"/>
    </w:pPr>
    <w:rPr>
      <w:rFonts w:ascii="Calibri" w:hAnsi="Calibri" w:cs="SimSun"/>
      <w:color w:val="auto"/>
    </w:rPr>
  </w:style>
  <w:style w:type="paragraph" w:styleId="ListParagraph">
    <w:name w:val="List Paragraph"/>
    <w:basedOn w:val="Normal"/>
    <w:qFormat/>
    <w:pPr>
      <w:ind w:left="720"/>
    </w:pPr>
  </w:style>
  <w:style w:type="character" w:styleId="FollowedHyperlink">
    <w:name w:val="FollowedHyperlink"/>
    <w:basedOn w:val="DefaultParagraphFont"/>
    <w:uiPriority w:val="99"/>
    <w:semiHidden/>
    <w:unhideWhenUsed/>
    <w:rsid w:val="004538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council/Pages/default.asp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S12-CL-C-004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1-CL-C-0109/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Basic-Texts/ResDecRec-PP10-e.doc"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2972</Words>
  <Characters>16932</Characters>
  <Application>Microsoft Office Word</Application>
  <DocSecurity>0</DocSecurity>
  <PresentationFormat/>
  <Lines>141</Lines>
  <Paragraphs>39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Council 2014</vt:lpstr>
    </vt:vector>
  </TitlesOfParts>
  <Company>ITU</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2014</dc:title>
  <dc:creator>Eldridge, Timothy</dc:creator>
  <cp:lastModifiedBy>Brouard, Ricarda</cp:lastModifiedBy>
  <cp:revision>4</cp:revision>
  <cp:lastPrinted>2014-04-08T12:46:00Z</cp:lastPrinted>
  <dcterms:created xsi:type="dcterms:W3CDTF">2014-04-07T14:50:00Z</dcterms:created>
  <dcterms:modified xsi:type="dcterms:W3CDTF">2014-04-10T11:55:00Z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