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721"/>
        <w:tblW w:w="10031" w:type="dxa"/>
        <w:tblLayout w:type="fixed"/>
        <w:tblLook w:val="0000" w:firstRow="0" w:lastRow="0" w:firstColumn="0" w:lastColumn="0" w:noHBand="0" w:noVBand="0"/>
      </w:tblPr>
      <w:tblGrid>
        <w:gridCol w:w="6911"/>
        <w:gridCol w:w="3120"/>
      </w:tblGrid>
      <w:tr w:rsidR="00417565" w:rsidRPr="00F15D14" w:rsidTr="00927D4A">
        <w:trPr>
          <w:cantSplit/>
        </w:trPr>
        <w:tc>
          <w:tcPr>
            <w:tcW w:w="6911" w:type="dxa"/>
          </w:tcPr>
          <w:p w:rsidR="00417565" w:rsidRPr="00F15D14" w:rsidRDefault="00417565" w:rsidP="00D71511">
            <w:pPr>
              <w:spacing w:before="360" w:after="48"/>
              <w:rPr>
                <w:position w:val="6"/>
                <w:szCs w:val="22"/>
                <w:lang w:val="ru-RU"/>
              </w:rPr>
            </w:pPr>
            <w:r w:rsidRPr="00F15D14">
              <w:rPr>
                <w:b/>
                <w:smallCaps/>
                <w:sz w:val="28"/>
                <w:szCs w:val="28"/>
                <w:lang w:val="ru-RU"/>
              </w:rPr>
              <w:t>СОВЕТ 201</w:t>
            </w:r>
            <w:r w:rsidR="00D71511" w:rsidRPr="00F15D14">
              <w:rPr>
                <w:b/>
                <w:smallCaps/>
                <w:sz w:val="28"/>
                <w:szCs w:val="28"/>
                <w:lang w:val="ru-RU"/>
              </w:rPr>
              <w:t>4</w:t>
            </w:r>
            <w:r w:rsidRPr="00F15D14">
              <w:rPr>
                <w:b/>
                <w:smallCaps/>
                <w:sz w:val="24"/>
                <w:szCs w:val="24"/>
                <w:lang w:val="ru-RU"/>
              </w:rPr>
              <w:br/>
            </w:r>
            <w:r w:rsidRPr="00F15D14">
              <w:rPr>
                <w:rFonts w:cs="Arial"/>
                <w:b/>
                <w:bCs/>
                <w:szCs w:val="22"/>
                <w:lang w:val="ru-RU"/>
              </w:rPr>
              <w:t>Женева</w:t>
            </w:r>
            <w:r w:rsidRPr="00F15D14">
              <w:rPr>
                <w:b/>
                <w:bCs/>
                <w:szCs w:val="22"/>
                <w:lang w:val="ru-RU"/>
              </w:rPr>
              <w:t xml:space="preserve">, </w:t>
            </w:r>
            <w:r w:rsidR="00D71511" w:rsidRPr="00F15D14">
              <w:rPr>
                <w:b/>
                <w:bCs/>
                <w:szCs w:val="22"/>
                <w:lang w:val="ru-RU"/>
              </w:rPr>
              <w:t>6</w:t>
            </w:r>
            <w:r w:rsidRPr="00F15D14">
              <w:rPr>
                <w:b/>
                <w:bCs/>
                <w:szCs w:val="22"/>
                <w:lang w:val="ru-RU"/>
              </w:rPr>
              <w:t>–</w:t>
            </w:r>
            <w:r w:rsidR="00D71511" w:rsidRPr="00F15D14">
              <w:rPr>
                <w:b/>
                <w:bCs/>
                <w:szCs w:val="22"/>
                <w:lang w:val="ru-RU"/>
              </w:rPr>
              <w:t>15</w:t>
            </w:r>
            <w:r w:rsidRPr="00F15D14">
              <w:rPr>
                <w:b/>
                <w:bCs/>
                <w:szCs w:val="22"/>
                <w:lang w:val="ru-RU"/>
              </w:rPr>
              <w:t xml:space="preserve"> </w:t>
            </w:r>
            <w:r w:rsidR="00D71511" w:rsidRPr="00F15D14">
              <w:rPr>
                <w:b/>
                <w:bCs/>
                <w:szCs w:val="22"/>
                <w:lang w:val="ru-RU"/>
              </w:rPr>
              <w:t>мая</w:t>
            </w:r>
            <w:r w:rsidRPr="00F15D14">
              <w:rPr>
                <w:b/>
                <w:bCs/>
                <w:szCs w:val="22"/>
                <w:lang w:val="ru-RU"/>
              </w:rPr>
              <w:t xml:space="preserve"> 201</w:t>
            </w:r>
            <w:r w:rsidR="00D71511" w:rsidRPr="00F15D14">
              <w:rPr>
                <w:b/>
                <w:bCs/>
                <w:szCs w:val="22"/>
                <w:lang w:val="ru-RU"/>
              </w:rPr>
              <w:t>4</w:t>
            </w:r>
            <w:r w:rsidRPr="00F15D14">
              <w:rPr>
                <w:b/>
                <w:bCs/>
                <w:szCs w:val="22"/>
                <w:lang w:val="ru-RU"/>
              </w:rPr>
              <w:t xml:space="preserve"> г.</w:t>
            </w:r>
          </w:p>
        </w:tc>
        <w:tc>
          <w:tcPr>
            <w:tcW w:w="3120" w:type="dxa"/>
          </w:tcPr>
          <w:p w:rsidR="00417565" w:rsidRPr="00F15D14" w:rsidRDefault="00417565" w:rsidP="00927D4A">
            <w:pPr>
              <w:spacing w:before="0" w:line="240" w:lineRule="atLeast"/>
              <w:rPr>
                <w:szCs w:val="22"/>
                <w:lang w:val="ru-RU"/>
              </w:rPr>
            </w:pPr>
            <w:bookmarkStart w:id="0" w:name="ditulogo"/>
            <w:bookmarkEnd w:id="0"/>
            <w:r w:rsidRPr="00F15D14">
              <w:rPr>
                <w:noProof/>
                <w:szCs w:val="22"/>
                <w:lang w:val="en-US" w:eastAsia="zh-CN"/>
              </w:rPr>
              <w:drawing>
                <wp:inline distT="0" distB="0" distL="0" distR="0" wp14:anchorId="677FE434" wp14:editId="30629880">
                  <wp:extent cx="1310640" cy="701040"/>
                  <wp:effectExtent l="19050" t="0" r="3810" b="0"/>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9" cstate="print"/>
                          <a:srcRect/>
                          <a:stretch>
                            <a:fillRect/>
                          </a:stretch>
                        </pic:blipFill>
                        <pic:spPr bwMode="auto">
                          <a:xfrm>
                            <a:off x="0" y="0"/>
                            <a:ext cx="1310640" cy="701040"/>
                          </a:xfrm>
                          <a:prstGeom prst="rect">
                            <a:avLst/>
                          </a:prstGeom>
                          <a:noFill/>
                          <a:ln w="9525">
                            <a:noFill/>
                            <a:miter lim="800000"/>
                            <a:headEnd/>
                            <a:tailEnd/>
                          </a:ln>
                        </pic:spPr>
                      </pic:pic>
                    </a:graphicData>
                  </a:graphic>
                </wp:inline>
              </w:drawing>
            </w:r>
          </w:p>
        </w:tc>
      </w:tr>
      <w:tr w:rsidR="00417565" w:rsidRPr="00F15D14" w:rsidTr="00927D4A">
        <w:trPr>
          <w:cantSplit/>
        </w:trPr>
        <w:tc>
          <w:tcPr>
            <w:tcW w:w="6911" w:type="dxa"/>
            <w:tcBorders>
              <w:bottom w:val="single" w:sz="12" w:space="0" w:color="auto"/>
            </w:tcBorders>
          </w:tcPr>
          <w:p w:rsidR="00417565" w:rsidRPr="00F15D14" w:rsidRDefault="00417565" w:rsidP="00927D4A">
            <w:pPr>
              <w:spacing w:before="0" w:after="48" w:line="240" w:lineRule="atLeast"/>
              <w:rPr>
                <w:b/>
                <w:smallCaps/>
                <w:szCs w:val="22"/>
                <w:lang w:val="ru-RU"/>
              </w:rPr>
            </w:pPr>
          </w:p>
        </w:tc>
        <w:tc>
          <w:tcPr>
            <w:tcW w:w="3120" w:type="dxa"/>
            <w:tcBorders>
              <w:bottom w:val="single" w:sz="12" w:space="0" w:color="auto"/>
            </w:tcBorders>
          </w:tcPr>
          <w:p w:rsidR="00417565" w:rsidRPr="00F15D14" w:rsidRDefault="00417565" w:rsidP="00927D4A">
            <w:pPr>
              <w:spacing w:before="0" w:line="240" w:lineRule="atLeast"/>
              <w:rPr>
                <w:szCs w:val="22"/>
                <w:lang w:val="ru-RU"/>
              </w:rPr>
            </w:pPr>
          </w:p>
        </w:tc>
      </w:tr>
      <w:tr w:rsidR="00417565" w:rsidRPr="00F15D14" w:rsidTr="00927D4A">
        <w:trPr>
          <w:cantSplit/>
        </w:trPr>
        <w:tc>
          <w:tcPr>
            <w:tcW w:w="6911" w:type="dxa"/>
            <w:tcBorders>
              <w:top w:val="single" w:sz="12" w:space="0" w:color="auto"/>
            </w:tcBorders>
          </w:tcPr>
          <w:p w:rsidR="00417565" w:rsidRPr="00F15D14" w:rsidRDefault="00417565" w:rsidP="00927D4A">
            <w:pPr>
              <w:spacing w:before="0" w:line="240" w:lineRule="atLeast"/>
              <w:rPr>
                <w:b/>
                <w:smallCaps/>
                <w:szCs w:val="22"/>
                <w:lang w:val="ru-RU"/>
              </w:rPr>
            </w:pPr>
          </w:p>
        </w:tc>
        <w:tc>
          <w:tcPr>
            <w:tcW w:w="3120" w:type="dxa"/>
            <w:tcBorders>
              <w:top w:val="single" w:sz="12" w:space="0" w:color="auto"/>
            </w:tcBorders>
          </w:tcPr>
          <w:p w:rsidR="00417565" w:rsidRPr="00F15D14" w:rsidRDefault="00417565" w:rsidP="00927D4A">
            <w:pPr>
              <w:spacing w:before="0" w:line="240" w:lineRule="atLeast"/>
              <w:rPr>
                <w:szCs w:val="22"/>
                <w:lang w:val="ru-RU"/>
              </w:rPr>
            </w:pPr>
          </w:p>
        </w:tc>
      </w:tr>
      <w:tr w:rsidR="00417565" w:rsidRPr="00F15D14" w:rsidTr="00927D4A">
        <w:trPr>
          <w:cantSplit/>
          <w:trHeight w:val="23"/>
        </w:trPr>
        <w:tc>
          <w:tcPr>
            <w:tcW w:w="6911" w:type="dxa"/>
            <w:vMerge w:val="restart"/>
          </w:tcPr>
          <w:p w:rsidR="00417565" w:rsidRPr="00F15D14" w:rsidRDefault="00417565" w:rsidP="00E51A77">
            <w:pPr>
              <w:tabs>
                <w:tab w:val="left" w:pos="851"/>
              </w:tabs>
              <w:spacing w:before="0" w:line="240" w:lineRule="atLeast"/>
              <w:rPr>
                <w:b/>
                <w:szCs w:val="22"/>
                <w:lang w:val="ru-RU"/>
              </w:rPr>
            </w:pPr>
            <w:r w:rsidRPr="00F15D14">
              <w:rPr>
                <w:b/>
                <w:bCs/>
                <w:szCs w:val="22"/>
                <w:lang w:val="ru-RU"/>
              </w:rPr>
              <w:t>Пункт повестки дня:</w:t>
            </w:r>
            <w:r w:rsidRPr="00F15D14">
              <w:rPr>
                <w:b/>
                <w:bCs/>
                <w:caps/>
                <w:szCs w:val="22"/>
                <w:lang w:val="ru-RU"/>
              </w:rPr>
              <w:t xml:space="preserve"> </w:t>
            </w:r>
            <w:proofErr w:type="spellStart"/>
            <w:r w:rsidR="00E51A77" w:rsidRPr="00F15D14">
              <w:rPr>
                <w:rFonts w:cs="Times"/>
                <w:b/>
                <w:bCs/>
                <w:szCs w:val="24"/>
                <w:lang w:val="ru-RU"/>
              </w:rPr>
              <w:t>ADM</w:t>
            </w:r>
            <w:proofErr w:type="spellEnd"/>
            <w:r w:rsidR="00E51A77" w:rsidRPr="00F15D14">
              <w:rPr>
                <w:rFonts w:cs="Times"/>
                <w:b/>
                <w:bCs/>
                <w:szCs w:val="24"/>
                <w:lang w:val="ru-RU"/>
              </w:rPr>
              <w:t xml:space="preserve"> 7</w:t>
            </w:r>
          </w:p>
        </w:tc>
        <w:tc>
          <w:tcPr>
            <w:tcW w:w="3120" w:type="dxa"/>
          </w:tcPr>
          <w:p w:rsidR="00417565" w:rsidRPr="00F15D14" w:rsidRDefault="00417565" w:rsidP="00E51A77">
            <w:pPr>
              <w:tabs>
                <w:tab w:val="left" w:pos="851"/>
              </w:tabs>
              <w:spacing w:before="0" w:line="240" w:lineRule="atLeast"/>
              <w:rPr>
                <w:b/>
                <w:bCs/>
                <w:szCs w:val="22"/>
                <w:lang w:val="ru-RU"/>
              </w:rPr>
            </w:pPr>
            <w:r w:rsidRPr="00F15D14">
              <w:rPr>
                <w:b/>
                <w:bCs/>
                <w:szCs w:val="22"/>
                <w:lang w:val="ru-RU"/>
              </w:rPr>
              <w:t>Документ C1</w:t>
            </w:r>
            <w:r w:rsidR="00D71511" w:rsidRPr="00F15D14">
              <w:rPr>
                <w:b/>
                <w:bCs/>
                <w:szCs w:val="22"/>
                <w:lang w:val="ru-RU"/>
              </w:rPr>
              <w:t>4</w:t>
            </w:r>
            <w:r w:rsidRPr="00F15D14">
              <w:rPr>
                <w:b/>
                <w:bCs/>
                <w:szCs w:val="22"/>
                <w:lang w:val="ru-RU"/>
              </w:rPr>
              <w:t>/</w:t>
            </w:r>
            <w:r w:rsidR="00CB7FF1" w:rsidRPr="00F15D14">
              <w:rPr>
                <w:b/>
                <w:bCs/>
                <w:szCs w:val="22"/>
                <w:lang w:val="ru-RU"/>
              </w:rPr>
              <w:t>2</w:t>
            </w:r>
            <w:r w:rsidR="00E51A77" w:rsidRPr="00F15D14">
              <w:rPr>
                <w:b/>
                <w:bCs/>
                <w:szCs w:val="22"/>
                <w:lang w:val="ru-RU"/>
              </w:rPr>
              <w:t>2</w:t>
            </w:r>
            <w:r w:rsidRPr="00F15D14">
              <w:rPr>
                <w:b/>
                <w:bCs/>
                <w:szCs w:val="22"/>
                <w:lang w:val="ru-RU"/>
              </w:rPr>
              <w:t>-R</w:t>
            </w:r>
          </w:p>
        </w:tc>
      </w:tr>
      <w:tr w:rsidR="00417565" w:rsidRPr="00F15D14" w:rsidTr="00927D4A">
        <w:trPr>
          <w:cantSplit/>
          <w:trHeight w:val="23"/>
        </w:trPr>
        <w:tc>
          <w:tcPr>
            <w:tcW w:w="6911" w:type="dxa"/>
            <w:vMerge/>
          </w:tcPr>
          <w:p w:rsidR="00417565" w:rsidRPr="00F15D14" w:rsidRDefault="00417565" w:rsidP="00927D4A">
            <w:pPr>
              <w:tabs>
                <w:tab w:val="left" w:pos="851"/>
              </w:tabs>
              <w:spacing w:line="240" w:lineRule="atLeast"/>
              <w:rPr>
                <w:b/>
                <w:szCs w:val="22"/>
                <w:lang w:val="ru-RU"/>
              </w:rPr>
            </w:pPr>
          </w:p>
        </w:tc>
        <w:tc>
          <w:tcPr>
            <w:tcW w:w="3120" w:type="dxa"/>
          </w:tcPr>
          <w:p w:rsidR="00417565" w:rsidRPr="00F15D14" w:rsidRDefault="00E51A77" w:rsidP="00D71511">
            <w:pPr>
              <w:tabs>
                <w:tab w:val="left" w:pos="993"/>
              </w:tabs>
              <w:spacing w:before="0"/>
              <w:rPr>
                <w:b/>
                <w:bCs/>
                <w:szCs w:val="22"/>
                <w:lang w:val="ru-RU"/>
              </w:rPr>
            </w:pPr>
            <w:r w:rsidRPr="00F15D14">
              <w:rPr>
                <w:b/>
                <w:bCs/>
                <w:szCs w:val="22"/>
                <w:lang w:val="ru-RU"/>
              </w:rPr>
              <w:t>31</w:t>
            </w:r>
            <w:r w:rsidR="00D71511" w:rsidRPr="00F15D14">
              <w:rPr>
                <w:b/>
                <w:bCs/>
                <w:szCs w:val="22"/>
                <w:lang w:val="ru-RU"/>
              </w:rPr>
              <w:t xml:space="preserve"> марта</w:t>
            </w:r>
            <w:r w:rsidR="00417565" w:rsidRPr="00F15D14">
              <w:rPr>
                <w:b/>
                <w:bCs/>
                <w:szCs w:val="22"/>
                <w:lang w:val="ru-RU"/>
              </w:rPr>
              <w:t xml:space="preserve"> 201</w:t>
            </w:r>
            <w:r w:rsidR="00D71511" w:rsidRPr="00F15D14">
              <w:rPr>
                <w:b/>
                <w:bCs/>
                <w:szCs w:val="22"/>
                <w:lang w:val="ru-RU"/>
              </w:rPr>
              <w:t>4</w:t>
            </w:r>
            <w:r w:rsidR="00417565" w:rsidRPr="00F15D14">
              <w:rPr>
                <w:b/>
                <w:bCs/>
                <w:szCs w:val="22"/>
                <w:lang w:val="ru-RU"/>
              </w:rPr>
              <w:t xml:space="preserve"> года</w:t>
            </w:r>
          </w:p>
        </w:tc>
      </w:tr>
      <w:tr w:rsidR="00417565" w:rsidRPr="00F15D14" w:rsidTr="00927D4A">
        <w:trPr>
          <w:cantSplit/>
          <w:trHeight w:val="23"/>
        </w:trPr>
        <w:tc>
          <w:tcPr>
            <w:tcW w:w="6911" w:type="dxa"/>
            <w:vMerge/>
          </w:tcPr>
          <w:p w:rsidR="00417565" w:rsidRPr="00F15D14" w:rsidRDefault="00417565" w:rsidP="00927D4A">
            <w:pPr>
              <w:tabs>
                <w:tab w:val="left" w:pos="851"/>
              </w:tabs>
              <w:spacing w:line="240" w:lineRule="atLeast"/>
              <w:rPr>
                <w:b/>
                <w:szCs w:val="22"/>
                <w:lang w:val="ru-RU"/>
              </w:rPr>
            </w:pPr>
          </w:p>
        </w:tc>
        <w:tc>
          <w:tcPr>
            <w:tcW w:w="3120" w:type="dxa"/>
          </w:tcPr>
          <w:p w:rsidR="00417565" w:rsidRPr="00F15D14" w:rsidRDefault="00417565" w:rsidP="00927D4A">
            <w:pPr>
              <w:tabs>
                <w:tab w:val="left" w:pos="993"/>
              </w:tabs>
              <w:spacing w:before="0"/>
              <w:rPr>
                <w:b/>
                <w:bCs/>
                <w:szCs w:val="22"/>
                <w:lang w:val="ru-RU"/>
              </w:rPr>
            </w:pPr>
            <w:r w:rsidRPr="00F15D14">
              <w:rPr>
                <w:b/>
                <w:bCs/>
                <w:szCs w:val="22"/>
                <w:lang w:val="ru-RU"/>
              </w:rPr>
              <w:t>Оригинал: английский</w:t>
            </w:r>
          </w:p>
        </w:tc>
      </w:tr>
      <w:tr w:rsidR="00417565" w:rsidRPr="00F15D14" w:rsidTr="00927D4A">
        <w:trPr>
          <w:cantSplit/>
        </w:trPr>
        <w:tc>
          <w:tcPr>
            <w:tcW w:w="10031" w:type="dxa"/>
            <w:gridSpan w:val="2"/>
          </w:tcPr>
          <w:p w:rsidR="00417565" w:rsidRPr="00F15D14" w:rsidRDefault="00E51A77" w:rsidP="00E51A77">
            <w:pPr>
              <w:pStyle w:val="Source"/>
              <w:rPr>
                <w:szCs w:val="22"/>
                <w:lang w:val="ru-RU"/>
              </w:rPr>
            </w:pPr>
            <w:bookmarkStart w:id="1" w:name="dtitle2" w:colFirst="0" w:colLast="0"/>
            <w:r w:rsidRPr="00F15D14">
              <w:rPr>
                <w:lang w:val="ru-RU"/>
              </w:rPr>
              <w:t xml:space="preserve">Записка </w:t>
            </w:r>
            <w:r w:rsidR="00417565" w:rsidRPr="00F15D14">
              <w:rPr>
                <w:lang w:val="ru-RU"/>
              </w:rPr>
              <w:t>Генерального секретаря</w:t>
            </w:r>
          </w:p>
        </w:tc>
      </w:tr>
      <w:tr w:rsidR="00417565" w:rsidRPr="00115193" w:rsidTr="00927D4A">
        <w:trPr>
          <w:cantSplit/>
        </w:trPr>
        <w:tc>
          <w:tcPr>
            <w:tcW w:w="10031" w:type="dxa"/>
            <w:gridSpan w:val="2"/>
          </w:tcPr>
          <w:p w:rsidR="00417565" w:rsidRPr="00F15D14" w:rsidRDefault="00E51A77" w:rsidP="00DC3A05">
            <w:pPr>
              <w:pStyle w:val="Title1"/>
              <w:rPr>
                <w:szCs w:val="22"/>
                <w:lang w:val="ru-RU"/>
              </w:rPr>
            </w:pPr>
            <w:bookmarkStart w:id="2" w:name="dtitle3" w:colFirst="0" w:colLast="0"/>
            <w:bookmarkEnd w:id="1"/>
            <w:r w:rsidRPr="00F15D14">
              <w:rPr>
                <w:lang w:val="ru-RU"/>
              </w:rPr>
              <w:t xml:space="preserve">третий ЕЖЕГОДНЫЙ ОТЧЕТ НЕЗАВИСИМОГО КОНСУЛЬТАТИВНОГО КОМИТЕТА </w:t>
            </w:r>
            <w:r w:rsidRPr="00F15D14">
              <w:rPr>
                <w:lang w:val="ru-RU"/>
              </w:rPr>
              <w:br/>
              <w:t>ПО УПРАВЛЕНИЮ (</w:t>
            </w:r>
            <w:proofErr w:type="spellStart"/>
            <w:r w:rsidRPr="00F15D14">
              <w:rPr>
                <w:lang w:val="ru-RU"/>
              </w:rPr>
              <w:t>imac</w:t>
            </w:r>
            <w:proofErr w:type="spellEnd"/>
            <w:r w:rsidRPr="00F15D14">
              <w:rPr>
                <w:lang w:val="ru-RU"/>
              </w:rPr>
              <w:t>)</w:t>
            </w:r>
          </w:p>
        </w:tc>
      </w:tr>
    </w:tbl>
    <w:bookmarkEnd w:id="2"/>
    <w:p w:rsidR="00E51A77" w:rsidRPr="00F15D14" w:rsidRDefault="00E51A77" w:rsidP="00E51A77">
      <w:pPr>
        <w:pStyle w:val="Normalaftertitle"/>
        <w:spacing w:before="720"/>
        <w:rPr>
          <w:lang w:val="ru-RU"/>
        </w:rPr>
      </w:pPr>
      <w:r w:rsidRPr="00F15D14">
        <w:rPr>
          <w:lang w:val="ru-RU"/>
        </w:rPr>
        <w:t>Имею честь направить Государствам – Членам Совета отчет Председателя Независимого консультативного комитета по управлению (</w:t>
      </w:r>
      <w:proofErr w:type="spellStart"/>
      <w:r w:rsidRPr="00F15D14">
        <w:rPr>
          <w:lang w:val="ru-RU"/>
        </w:rPr>
        <w:t>IMAC</w:t>
      </w:r>
      <w:proofErr w:type="spellEnd"/>
      <w:r w:rsidRPr="00F15D14">
        <w:rPr>
          <w:lang w:val="ru-RU"/>
        </w:rPr>
        <w:t>).</w:t>
      </w:r>
    </w:p>
    <w:p w:rsidR="00E51A77" w:rsidRPr="00F15D14" w:rsidRDefault="00E51A77" w:rsidP="00E51A77">
      <w:pPr>
        <w:tabs>
          <w:tab w:val="clear" w:pos="794"/>
          <w:tab w:val="clear" w:pos="1191"/>
          <w:tab w:val="clear" w:pos="1588"/>
          <w:tab w:val="clear" w:pos="1985"/>
          <w:tab w:val="center" w:pos="7088"/>
        </w:tabs>
        <w:spacing w:before="1080"/>
        <w:jc w:val="center"/>
        <w:rPr>
          <w:lang w:val="ru-RU"/>
        </w:rPr>
      </w:pPr>
      <w:r w:rsidRPr="00F15D14">
        <w:rPr>
          <w:lang w:val="ru-RU"/>
        </w:rPr>
        <w:tab/>
        <w:t xml:space="preserve">Д-р </w:t>
      </w:r>
      <w:proofErr w:type="spellStart"/>
      <w:r w:rsidRPr="00F15D14">
        <w:rPr>
          <w:lang w:val="ru-RU"/>
        </w:rPr>
        <w:t>Хамадун</w:t>
      </w:r>
      <w:proofErr w:type="spellEnd"/>
      <w:r w:rsidRPr="00F15D14">
        <w:rPr>
          <w:lang w:val="ru-RU"/>
        </w:rPr>
        <w:t xml:space="preserve"> И. ТУРЕ</w:t>
      </w:r>
      <w:r w:rsidRPr="00F15D14">
        <w:rPr>
          <w:lang w:val="ru-RU"/>
        </w:rPr>
        <w:br/>
      </w:r>
      <w:r w:rsidRPr="00F15D14">
        <w:rPr>
          <w:lang w:val="ru-RU"/>
        </w:rPr>
        <w:tab/>
        <w:t>Генеральный секретарь</w:t>
      </w:r>
    </w:p>
    <w:p w:rsidR="00E51A77" w:rsidRPr="00F15D14" w:rsidRDefault="00E51A77" w:rsidP="00E51A77">
      <w:pPr>
        <w:spacing w:before="240"/>
        <w:rPr>
          <w:rFonts w:asciiTheme="minorHAnsi" w:hAnsiTheme="minorHAnsi"/>
          <w:lang w:val="ru-RU"/>
        </w:rPr>
      </w:pPr>
      <w:r w:rsidRPr="00F15D14">
        <w:rPr>
          <w:rFonts w:asciiTheme="minorHAnsi" w:hAnsiTheme="minorHAnsi"/>
          <w:lang w:val="ru-RU"/>
        </w:rPr>
        <w:br w:type="page"/>
      </w:r>
    </w:p>
    <w:p w:rsidR="002D2F57" w:rsidRPr="00F15D14" w:rsidRDefault="00E51A77" w:rsidP="00E51A77">
      <w:pPr>
        <w:pStyle w:val="Title1"/>
        <w:rPr>
          <w:lang w:val="ru-RU"/>
        </w:rPr>
      </w:pPr>
      <w:r w:rsidRPr="00F15D14">
        <w:rPr>
          <w:lang w:val="ru-RU"/>
        </w:rPr>
        <w:lastRenderedPageBreak/>
        <w:t xml:space="preserve">ТРЕТИЙ ЕЖЕГОДНЫЙ ОТЧЕТ НЕЗАВИСИМОГО КОНСУЛЬТАТИВНОГО КОМИТЕТА </w:t>
      </w:r>
      <w:r w:rsidRPr="00F15D14">
        <w:rPr>
          <w:lang w:val="ru-RU"/>
        </w:rPr>
        <w:br/>
        <w:t>ПО УПРАВЛЕНИЮ (</w:t>
      </w:r>
      <w:proofErr w:type="spellStart"/>
      <w:r w:rsidRPr="00F15D14">
        <w:rPr>
          <w:lang w:val="ru-RU"/>
        </w:rPr>
        <w:t>IMAC</w:t>
      </w:r>
      <w:proofErr w:type="spellEnd"/>
      <w:r w:rsidRPr="00F15D14">
        <w:rPr>
          <w:lang w:val="ru-RU"/>
        </w:rPr>
        <w:t>)</w:t>
      </w:r>
    </w:p>
    <w:p w:rsidR="00E51A77" w:rsidRPr="00F15D14" w:rsidRDefault="00E51A77" w:rsidP="00E51A77">
      <w:pPr>
        <w:rPr>
          <w:lang w:val="ru-RU"/>
        </w:rPr>
      </w:pPr>
    </w:p>
    <w:tbl>
      <w:tblPr>
        <w:tblW w:w="822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1"/>
      </w:tblGrid>
      <w:tr w:rsidR="002D2F57" w:rsidRPr="00115193" w:rsidTr="00454B16">
        <w:trPr>
          <w:trHeight w:val="3372"/>
        </w:trPr>
        <w:tc>
          <w:tcPr>
            <w:tcW w:w="8221" w:type="dxa"/>
            <w:tcBorders>
              <w:top w:val="single" w:sz="12" w:space="0" w:color="auto"/>
              <w:left w:val="single" w:sz="12" w:space="0" w:color="auto"/>
              <w:bottom w:val="single" w:sz="12" w:space="0" w:color="auto"/>
              <w:right w:val="single" w:sz="12" w:space="0" w:color="auto"/>
            </w:tcBorders>
          </w:tcPr>
          <w:p w:rsidR="002D2F57" w:rsidRPr="00F15D14" w:rsidRDefault="002D2F57" w:rsidP="006E4606">
            <w:pPr>
              <w:pStyle w:val="Headingb"/>
              <w:rPr>
                <w:lang w:val="ru-RU"/>
              </w:rPr>
            </w:pPr>
            <w:r w:rsidRPr="00F15D14">
              <w:rPr>
                <w:lang w:val="ru-RU"/>
              </w:rPr>
              <w:t>Резюме</w:t>
            </w:r>
          </w:p>
          <w:p w:rsidR="00E51A77" w:rsidRPr="00F15D14" w:rsidRDefault="00E51A77" w:rsidP="00E51A77">
            <w:pPr>
              <w:rPr>
                <w:lang w:val="ru-RU"/>
              </w:rPr>
            </w:pPr>
            <w:r w:rsidRPr="00F15D14">
              <w:rPr>
                <w:lang w:val="ru-RU"/>
              </w:rPr>
              <w:t>В настоящем документе представлен ежегодный отчет Независимого консультативного комитета по управлению (</w:t>
            </w:r>
            <w:proofErr w:type="spellStart"/>
            <w:r w:rsidRPr="00F15D14">
              <w:rPr>
                <w:lang w:val="ru-RU"/>
              </w:rPr>
              <w:t>IMAC</w:t>
            </w:r>
            <w:proofErr w:type="spellEnd"/>
            <w:r w:rsidRPr="00F15D14">
              <w:rPr>
                <w:lang w:val="ru-RU"/>
              </w:rPr>
              <w:t xml:space="preserve">) Совету МСЭ. В нем содержатся выводы и рекомендации, представляемые на рассмотрение Совету в связи с функцией внутреннего аудита, управлением рисками и внутренним контролем, финансовой отчетностью, бухгалтерским учетом и внешним аудитом в соответствии с кругом ведения </w:t>
            </w:r>
            <w:proofErr w:type="spellStart"/>
            <w:r w:rsidRPr="00F15D14">
              <w:rPr>
                <w:lang w:val="ru-RU"/>
              </w:rPr>
              <w:t>IMAC</w:t>
            </w:r>
            <w:proofErr w:type="spellEnd"/>
            <w:r w:rsidRPr="00F15D14">
              <w:rPr>
                <w:lang w:val="ru-RU"/>
              </w:rPr>
              <w:t>.</w:t>
            </w:r>
          </w:p>
          <w:p w:rsidR="00E51A77" w:rsidRPr="00F15D14" w:rsidRDefault="00E51A77" w:rsidP="00E51A77">
            <w:pPr>
              <w:rPr>
                <w:lang w:val="ru-RU"/>
              </w:rPr>
            </w:pPr>
            <w:r w:rsidRPr="00F15D14">
              <w:rPr>
                <w:lang w:val="ru-RU"/>
              </w:rPr>
              <w:t xml:space="preserve">В настоящем третьем ежегодном отчете </w:t>
            </w:r>
            <w:proofErr w:type="spellStart"/>
            <w:r w:rsidRPr="00F15D14">
              <w:rPr>
                <w:lang w:val="ru-RU"/>
              </w:rPr>
              <w:t>IMAC</w:t>
            </w:r>
            <w:proofErr w:type="spellEnd"/>
            <w:r w:rsidRPr="00F15D14">
              <w:rPr>
                <w:lang w:val="ru-RU"/>
              </w:rPr>
              <w:t xml:space="preserve"> Совету МСЭ представлены обновленные данные о сфере работы и о деятельности Комитета с июня 2013 года, а также приводятся девять конкретных рекомендаций, предназначенных для совершенствования мер по надзору, внутреннему контролю и управлению в интересах лучшего удовлетворения текущих потребностей организации. </w:t>
            </w:r>
          </w:p>
          <w:p w:rsidR="002D2F57" w:rsidRPr="00F15D14" w:rsidRDefault="00E51A77" w:rsidP="00E51A77">
            <w:pPr>
              <w:rPr>
                <w:lang w:val="ru-RU"/>
              </w:rPr>
            </w:pPr>
            <w:r w:rsidRPr="00F15D14">
              <w:rPr>
                <w:lang w:val="ru-RU"/>
              </w:rPr>
              <w:t xml:space="preserve">В этом году </w:t>
            </w:r>
            <w:proofErr w:type="spellStart"/>
            <w:r w:rsidRPr="00F15D14">
              <w:rPr>
                <w:lang w:val="ru-RU"/>
              </w:rPr>
              <w:t>IMAC</w:t>
            </w:r>
            <w:proofErr w:type="spellEnd"/>
            <w:r w:rsidRPr="00F15D14">
              <w:rPr>
                <w:lang w:val="ru-RU"/>
              </w:rPr>
              <w:t xml:space="preserve"> предлагает Совету утвердить его рекомендации в целях дальнейшего содействия эффективному реагированию и своевременному принятию мер в интересах усиления подотчетности</w:t>
            </w:r>
            <w:r w:rsidR="002D2F57" w:rsidRPr="00F15D14">
              <w:rPr>
                <w:lang w:val="ru-RU"/>
              </w:rPr>
              <w:t>.</w:t>
            </w:r>
          </w:p>
          <w:p w:rsidR="002D2F57" w:rsidRPr="00F15D14" w:rsidRDefault="002D2F57" w:rsidP="006E4606">
            <w:pPr>
              <w:pStyle w:val="Headingb"/>
              <w:rPr>
                <w:lang w:val="ru-RU"/>
              </w:rPr>
            </w:pPr>
            <w:r w:rsidRPr="00F15D14">
              <w:rPr>
                <w:lang w:val="ru-RU"/>
              </w:rPr>
              <w:t xml:space="preserve">Необходимые </w:t>
            </w:r>
            <w:r w:rsidR="00F5225B" w:rsidRPr="00F15D14">
              <w:rPr>
                <w:lang w:val="ru-RU"/>
              </w:rPr>
              <w:t>действия</w:t>
            </w:r>
          </w:p>
          <w:p w:rsidR="002D2F57" w:rsidRPr="00F15D14" w:rsidRDefault="00E51A77" w:rsidP="002D3F07">
            <w:pPr>
              <w:rPr>
                <w:szCs w:val="22"/>
                <w:lang w:val="ru-RU"/>
              </w:rPr>
            </w:pPr>
            <w:r w:rsidRPr="00F15D14">
              <w:rPr>
                <w:lang w:val="ru-RU"/>
              </w:rPr>
              <w:t xml:space="preserve">Совету предлагается </w:t>
            </w:r>
            <w:r w:rsidRPr="00F15D14">
              <w:rPr>
                <w:b/>
                <w:bCs/>
                <w:lang w:val="ru-RU"/>
              </w:rPr>
              <w:t xml:space="preserve">утвердить </w:t>
            </w:r>
            <w:r w:rsidRPr="00F15D14">
              <w:rPr>
                <w:lang w:val="ru-RU"/>
              </w:rPr>
              <w:t xml:space="preserve">отчет </w:t>
            </w:r>
            <w:proofErr w:type="spellStart"/>
            <w:r w:rsidRPr="00F15D14">
              <w:rPr>
                <w:lang w:val="ru-RU"/>
              </w:rPr>
              <w:t>IMAC</w:t>
            </w:r>
            <w:proofErr w:type="spellEnd"/>
            <w:r w:rsidRPr="00F15D14">
              <w:rPr>
                <w:lang w:val="ru-RU"/>
              </w:rPr>
              <w:t xml:space="preserve"> и содержащиеся в нем рекомендации</w:t>
            </w:r>
            <w:r w:rsidR="00B4160E" w:rsidRPr="00F15D14">
              <w:rPr>
                <w:lang w:val="ru-RU"/>
              </w:rPr>
              <w:t>.</w:t>
            </w:r>
          </w:p>
          <w:p w:rsidR="002D2F57" w:rsidRPr="00F15D14" w:rsidRDefault="002D2F57" w:rsidP="00927D4A">
            <w:pPr>
              <w:jc w:val="center"/>
              <w:rPr>
                <w:caps/>
                <w:szCs w:val="22"/>
                <w:lang w:val="ru-RU"/>
              </w:rPr>
            </w:pPr>
            <w:r w:rsidRPr="00F15D14">
              <w:rPr>
                <w:caps/>
                <w:szCs w:val="22"/>
                <w:lang w:val="ru-RU"/>
              </w:rPr>
              <w:t>____________</w:t>
            </w:r>
          </w:p>
          <w:p w:rsidR="002D2F57" w:rsidRPr="00F15D14" w:rsidRDefault="002D2F57" w:rsidP="006E4606">
            <w:pPr>
              <w:pStyle w:val="Headingb"/>
              <w:rPr>
                <w:lang w:val="ru-RU"/>
              </w:rPr>
            </w:pPr>
            <w:r w:rsidRPr="00F15D14">
              <w:rPr>
                <w:lang w:val="ru-RU"/>
              </w:rPr>
              <w:t>Справочные материалы</w:t>
            </w:r>
          </w:p>
          <w:p w:rsidR="002D2F57" w:rsidRPr="00F15D14" w:rsidRDefault="00593398" w:rsidP="00115193">
            <w:pPr>
              <w:spacing w:after="120"/>
              <w:rPr>
                <w:i/>
                <w:iCs/>
                <w:lang w:val="ru-RU"/>
              </w:rPr>
            </w:pPr>
            <w:hyperlink r:id="rId10" w:anchor="res162" w:history="1">
              <w:r w:rsidR="00E51A77" w:rsidRPr="00F15D14">
                <w:rPr>
                  <w:rStyle w:val="Hyperlink"/>
                  <w:i/>
                  <w:iCs/>
                  <w:lang w:val="ru-RU"/>
                </w:rPr>
                <w:t>Резолюция 162</w:t>
              </w:r>
            </w:hyperlink>
            <w:r w:rsidR="00E51A77" w:rsidRPr="00F15D14">
              <w:rPr>
                <w:i/>
                <w:iCs/>
                <w:lang w:val="ru-RU"/>
              </w:rPr>
              <w:t xml:space="preserve"> (Гвадалахара, 2010 г.); </w:t>
            </w:r>
            <w:hyperlink r:id="rId11" w:history="1">
              <w:r w:rsidR="00E51A77" w:rsidRPr="00F15D14">
                <w:rPr>
                  <w:rStyle w:val="Hyperlink"/>
                  <w:i/>
                  <w:iCs/>
                  <w:lang w:val="ru-RU"/>
                </w:rPr>
                <w:t>Решение 565</w:t>
              </w:r>
            </w:hyperlink>
            <w:r w:rsidR="00E51A77" w:rsidRPr="00F15D14">
              <w:rPr>
                <w:i/>
                <w:iCs/>
                <w:lang w:val="ru-RU"/>
              </w:rPr>
              <w:t xml:space="preserve"> Совета; Документы </w:t>
            </w:r>
            <w:hyperlink r:id="rId12" w:history="1">
              <w:r w:rsidR="00E51A77" w:rsidRPr="00F15D14">
                <w:rPr>
                  <w:rStyle w:val="Hyperlink"/>
                  <w:i/>
                  <w:iCs/>
                  <w:lang w:val="ru-RU"/>
                </w:rPr>
                <w:t>C12/44</w:t>
              </w:r>
            </w:hyperlink>
            <w:r w:rsidR="00E51A77" w:rsidRPr="00F15D14">
              <w:rPr>
                <w:i/>
                <w:iCs/>
                <w:lang w:val="ru-RU"/>
              </w:rPr>
              <w:t xml:space="preserve">, где представлен первый ежегодный отчет </w:t>
            </w:r>
            <w:proofErr w:type="spellStart"/>
            <w:r w:rsidR="00E51A77" w:rsidRPr="00F15D14">
              <w:rPr>
                <w:i/>
                <w:iCs/>
                <w:lang w:val="ru-RU"/>
              </w:rPr>
              <w:t>IMAC</w:t>
            </w:r>
            <w:proofErr w:type="spellEnd"/>
            <w:r w:rsidR="00E51A77" w:rsidRPr="00F15D14">
              <w:rPr>
                <w:i/>
                <w:iCs/>
                <w:lang w:val="ru-RU"/>
              </w:rPr>
              <w:t xml:space="preserve"> Совету, и </w:t>
            </w:r>
            <w:hyperlink r:id="rId13" w:history="1">
              <w:r w:rsidR="00E51A77" w:rsidRPr="00F15D14">
                <w:rPr>
                  <w:rStyle w:val="Hyperlink"/>
                  <w:i/>
                  <w:iCs/>
                  <w:lang w:val="ru-RU"/>
                </w:rPr>
                <w:t xml:space="preserve">C13/65 + </w:t>
              </w:r>
              <w:proofErr w:type="spellStart"/>
              <w:r w:rsidR="00E51A77" w:rsidRPr="00F15D14">
                <w:rPr>
                  <w:rStyle w:val="Hyperlink"/>
                  <w:i/>
                  <w:iCs/>
                  <w:lang w:val="ru-RU"/>
                </w:rPr>
                <w:t>Co</w:t>
              </w:r>
              <w:proofErr w:type="spellEnd"/>
              <w:r w:rsidR="00115193">
                <w:rPr>
                  <w:rStyle w:val="Hyperlink"/>
                  <w:i/>
                  <w:iCs/>
                  <w:lang w:val="fr-CH"/>
                </w:rPr>
                <w:t>r</w:t>
              </w:r>
              <w:r w:rsidR="00E51A77" w:rsidRPr="00F15D14">
                <w:rPr>
                  <w:rStyle w:val="Hyperlink"/>
                  <w:i/>
                  <w:iCs/>
                  <w:lang w:val="ru-RU"/>
                </w:rPr>
                <w:t>r</w:t>
              </w:r>
              <w:r w:rsidR="00C64D09">
                <w:rPr>
                  <w:rStyle w:val="Hyperlink"/>
                  <w:i/>
                  <w:iCs/>
                  <w:lang w:val="ru-RU"/>
                </w:rPr>
                <w:t>.</w:t>
              </w:r>
              <w:r w:rsidR="00E51A77" w:rsidRPr="00F15D14">
                <w:rPr>
                  <w:rStyle w:val="Hyperlink"/>
                  <w:i/>
                  <w:iCs/>
                  <w:lang w:val="ru-RU"/>
                </w:rPr>
                <w:t>1</w:t>
              </w:r>
            </w:hyperlink>
            <w:r w:rsidR="00E51A77" w:rsidRPr="00F15D14">
              <w:rPr>
                <w:i/>
                <w:iCs/>
                <w:lang w:val="ru-RU"/>
              </w:rPr>
              <w:t xml:space="preserve">, где представлен второй ежегодный отчет </w:t>
            </w:r>
            <w:proofErr w:type="spellStart"/>
            <w:r w:rsidR="00E51A77" w:rsidRPr="00F15D14">
              <w:rPr>
                <w:i/>
                <w:iCs/>
                <w:lang w:val="ru-RU"/>
              </w:rPr>
              <w:t>IMAC</w:t>
            </w:r>
            <w:proofErr w:type="spellEnd"/>
            <w:r w:rsidR="00E51A77" w:rsidRPr="00F15D14">
              <w:rPr>
                <w:i/>
                <w:iCs/>
                <w:lang w:val="ru-RU"/>
              </w:rPr>
              <w:t xml:space="preserve"> Совету.</w:t>
            </w:r>
          </w:p>
        </w:tc>
      </w:tr>
    </w:tbl>
    <w:p w:rsidR="00454B16" w:rsidRPr="00F15D14" w:rsidRDefault="00454B16" w:rsidP="00414D3F">
      <w:pPr>
        <w:pStyle w:val="Heading1"/>
        <w:rPr>
          <w:rFonts w:asciiTheme="minorHAnsi" w:hAnsiTheme="minorHAnsi"/>
          <w:szCs w:val="22"/>
          <w:lang w:val="ru-RU"/>
        </w:rPr>
      </w:pPr>
      <w:r w:rsidRPr="00F15D14">
        <w:rPr>
          <w:lang w:val="ru-RU"/>
        </w:rPr>
        <w:t>1</w:t>
      </w:r>
      <w:r w:rsidRPr="00F15D14">
        <w:rPr>
          <w:lang w:val="ru-RU"/>
        </w:rPr>
        <w:tab/>
      </w:r>
      <w:r w:rsidR="00414D3F" w:rsidRPr="00F15D14">
        <w:rPr>
          <w:lang w:val="ru-RU"/>
        </w:rPr>
        <w:t>Введение</w:t>
      </w:r>
    </w:p>
    <w:p w:rsidR="00E51A77" w:rsidRPr="00F15D14" w:rsidRDefault="00E51A77" w:rsidP="00F15D14">
      <w:pPr>
        <w:rPr>
          <w:lang w:val="ru-RU"/>
        </w:rPr>
      </w:pPr>
      <w:r w:rsidRPr="00F15D14">
        <w:rPr>
          <w:lang w:val="ru-RU"/>
        </w:rPr>
        <w:t>1.1</w:t>
      </w:r>
      <w:proofErr w:type="gramStart"/>
      <w:r w:rsidRPr="00F15D14">
        <w:rPr>
          <w:lang w:val="ru-RU"/>
        </w:rPr>
        <w:tab/>
        <w:t>В</w:t>
      </w:r>
      <w:proofErr w:type="gramEnd"/>
      <w:r w:rsidRPr="00F15D14">
        <w:rPr>
          <w:lang w:val="ru-RU"/>
        </w:rPr>
        <w:t xml:space="preserve"> настоящее время членами </w:t>
      </w:r>
      <w:proofErr w:type="spellStart"/>
      <w:r w:rsidRPr="00F15D14">
        <w:rPr>
          <w:lang w:val="ru-RU"/>
        </w:rPr>
        <w:t>IMAC</w:t>
      </w:r>
      <w:proofErr w:type="spellEnd"/>
      <w:r w:rsidRPr="00F15D14">
        <w:rPr>
          <w:lang w:val="ru-RU"/>
        </w:rPr>
        <w:t>, назначенными Советом, являются:</w:t>
      </w:r>
    </w:p>
    <w:p w:rsidR="00E51A77" w:rsidRPr="00F15D14" w:rsidRDefault="00E51A77" w:rsidP="00F15D14">
      <w:pPr>
        <w:pStyle w:val="enumlev1"/>
        <w:rPr>
          <w:lang w:val="ru-RU"/>
        </w:rPr>
      </w:pPr>
      <w:r w:rsidRPr="00F15D14">
        <w:rPr>
          <w:lang w:val="ru-RU"/>
        </w:rPr>
        <w:t>•</w:t>
      </w:r>
      <w:r w:rsidRPr="00F15D14">
        <w:rPr>
          <w:lang w:val="ru-RU"/>
        </w:rPr>
        <w:tab/>
        <w:t xml:space="preserve">г-н Эрик </w:t>
      </w:r>
      <w:proofErr w:type="spellStart"/>
      <w:r w:rsidRPr="00F15D14">
        <w:rPr>
          <w:lang w:val="ru-RU"/>
        </w:rPr>
        <w:t>Адда</w:t>
      </w:r>
      <w:proofErr w:type="spellEnd"/>
      <w:r w:rsidRPr="00F15D14">
        <w:rPr>
          <w:lang w:val="ru-RU"/>
        </w:rPr>
        <w:t>;</w:t>
      </w:r>
    </w:p>
    <w:p w:rsidR="00E51A77" w:rsidRPr="00F15D14" w:rsidRDefault="00E51A77" w:rsidP="00F15D14">
      <w:pPr>
        <w:pStyle w:val="enumlev1"/>
        <w:rPr>
          <w:lang w:val="ru-RU"/>
        </w:rPr>
      </w:pPr>
      <w:r w:rsidRPr="00F15D14">
        <w:rPr>
          <w:lang w:val="ru-RU"/>
        </w:rPr>
        <w:t>•</w:t>
      </w:r>
      <w:r w:rsidRPr="00F15D14">
        <w:rPr>
          <w:lang w:val="ru-RU"/>
        </w:rPr>
        <w:tab/>
        <w:t xml:space="preserve">д-р Беате </w:t>
      </w:r>
      <w:proofErr w:type="spellStart"/>
      <w:r w:rsidRPr="00F15D14">
        <w:rPr>
          <w:lang w:val="ru-RU"/>
        </w:rPr>
        <w:t>Деген</w:t>
      </w:r>
      <w:proofErr w:type="spellEnd"/>
      <w:r w:rsidRPr="00F15D14">
        <w:rPr>
          <w:lang w:val="ru-RU"/>
        </w:rPr>
        <w:t xml:space="preserve"> (Председатель);</w:t>
      </w:r>
    </w:p>
    <w:p w:rsidR="00E51A77" w:rsidRPr="00F15D14" w:rsidRDefault="00E51A77" w:rsidP="00F15D14">
      <w:pPr>
        <w:pStyle w:val="enumlev1"/>
        <w:rPr>
          <w:lang w:val="ru-RU"/>
        </w:rPr>
      </w:pPr>
      <w:r w:rsidRPr="00F15D14">
        <w:rPr>
          <w:lang w:val="ru-RU"/>
        </w:rPr>
        <w:t>•</w:t>
      </w:r>
      <w:r w:rsidRPr="00F15D14">
        <w:rPr>
          <w:lang w:val="ru-RU"/>
        </w:rPr>
        <w:tab/>
        <w:t xml:space="preserve">г-н </w:t>
      </w:r>
      <w:proofErr w:type="spellStart"/>
      <w:r w:rsidRPr="00F15D14">
        <w:rPr>
          <w:lang w:val="ru-RU"/>
        </w:rPr>
        <w:t>Абдессалам</w:t>
      </w:r>
      <w:proofErr w:type="spellEnd"/>
      <w:r w:rsidRPr="00F15D14">
        <w:rPr>
          <w:lang w:val="ru-RU"/>
        </w:rPr>
        <w:t xml:space="preserve"> Эль-</w:t>
      </w:r>
      <w:proofErr w:type="spellStart"/>
      <w:r w:rsidRPr="00F15D14">
        <w:rPr>
          <w:lang w:val="ru-RU"/>
        </w:rPr>
        <w:t>Харуши</w:t>
      </w:r>
      <w:proofErr w:type="spellEnd"/>
      <w:r w:rsidRPr="00F15D14">
        <w:rPr>
          <w:lang w:val="ru-RU"/>
        </w:rPr>
        <w:t>;</w:t>
      </w:r>
    </w:p>
    <w:p w:rsidR="00E51A77" w:rsidRPr="00F15D14" w:rsidRDefault="00E51A77" w:rsidP="00F15D14">
      <w:pPr>
        <w:pStyle w:val="enumlev1"/>
        <w:rPr>
          <w:lang w:val="ru-RU"/>
        </w:rPr>
      </w:pPr>
      <w:r w:rsidRPr="00F15D14">
        <w:rPr>
          <w:lang w:val="ru-RU"/>
        </w:rPr>
        <w:t>•</w:t>
      </w:r>
      <w:r w:rsidRPr="00F15D14">
        <w:rPr>
          <w:lang w:val="ru-RU"/>
        </w:rPr>
        <w:tab/>
        <w:t xml:space="preserve">г-н </w:t>
      </w:r>
      <w:proofErr w:type="spellStart"/>
      <w:r w:rsidRPr="00F15D14">
        <w:rPr>
          <w:lang w:val="ru-RU"/>
        </w:rPr>
        <w:t>Грэм</w:t>
      </w:r>
      <w:proofErr w:type="spellEnd"/>
      <w:r w:rsidRPr="00F15D14">
        <w:rPr>
          <w:lang w:val="ru-RU"/>
        </w:rPr>
        <w:t xml:space="preserve"> Миллер;</w:t>
      </w:r>
    </w:p>
    <w:p w:rsidR="00E51A77" w:rsidRPr="00F15D14" w:rsidRDefault="00E51A77" w:rsidP="00F15D14">
      <w:pPr>
        <w:pStyle w:val="enumlev1"/>
        <w:rPr>
          <w:rFonts w:asciiTheme="minorHAnsi" w:hAnsiTheme="minorHAnsi"/>
          <w:szCs w:val="22"/>
          <w:lang w:val="ru-RU"/>
        </w:rPr>
      </w:pPr>
      <w:r w:rsidRPr="00F15D14">
        <w:rPr>
          <w:lang w:val="ru-RU"/>
        </w:rPr>
        <w:t>•</w:t>
      </w:r>
      <w:r w:rsidRPr="00F15D14">
        <w:rPr>
          <w:lang w:val="ru-RU"/>
        </w:rPr>
        <w:tab/>
        <w:t xml:space="preserve">г-н Томас </w:t>
      </w:r>
      <w:proofErr w:type="spellStart"/>
      <w:r w:rsidRPr="00F15D14">
        <w:rPr>
          <w:lang w:val="ru-RU"/>
        </w:rPr>
        <w:t>Репаш</w:t>
      </w:r>
      <w:proofErr w:type="spellEnd"/>
      <w:r w:rsidRPr="00F15D14">
        <w:rPr>
          <w:lang w:val="ru-RU"/>
        </w:rPr>
        <w:t xml:space="preserve"> (Председатель).</w:t>
      </w:r>
    </w:p>
    <w:p w:rsidR="00E51A77" w:rsidRPr="00F15D14" w:rsidRDefault="00E51A77" w:rsidP="00F15D14">
      <w:pPr>
        <w:rPr>
          <w:lang w:val="ru-RU"/>
        </w:rPr>
      </w:pPr>
      <w:r w:rsidRPr="00F15D14">
        <w:rPr>
          <w:lang w:val="ru-RU"/>
        </w:rPr>
        <w:t>1.2</w:t>
      </w:r>
      <w:proofErr w:type="gramStart"/>
      <w:r w:rsidRPr="00F15D14">
        <w:rPr>
          <w:lang w:val="ru-RU"/>
        </w:rPr>
        <w:tab/>
        <w:t>П</w:t>
      </w:r>
      <w:proofErr w:type="gramEnd"/>
      <w:r w:rsidRPr="00F15D14">
        <w:rPr>
          <w:lang w:val="ru-RU"/>
        </w:rPr>
        <w:t xml:space="preserve">осле того как </w:t>
      </w:r>
      <w:proofErr w:type="spellStart"/>
      <w:r w:rsidRPr="00F15D14">
        <w:rPr>
          <w:lang w:val="ru-RU"/>
        </w:rPr>
        <w:t>IMAC</w:t>
      </w:r>
      <w:proofErr w:type="spellEnd"/>
      <w:r w:rsidRPr="00F15D14">
        <w:rPr>
          <w:lang w:val="ru-RU"/>
        </w:rPr>
        <w:t xml:space="preserve"> представил Совету в 2013 году свой второй ежегодный отчет, </w:t>
      </w:r>
      <w:proofErr w:type="spellStart"/>
      <w:r w:rsidRPr="00F15D14">
        <w:rPr>
          <w:lang w:val="ru-RU"/>
        </w:rPr>
        <w:t>IMAC</w:t>
      </w:r>
      <w:proofErr w:type="spellEnd"/>
      <w:r w:rsidRPr="00F15D14">
        <w:rPr>
          <w:lang w:val="ru-RU"/>
        </w:rPr>
        <w:t xml:space="preserve"> провел два собрания: 6−7 ноября 2013 года и 24−26 февраля 2014 года. Согласно кругу ведения </w:t>
      </w:r>
      <w:proofErr w:type="spellStart"/>
      <w:r w:rsidRPr="00F15D14">
        <w:rPr>
          <w:lang w:val="ru-RU"/>
        </w:rPr>
        <w:t>IMAC</w:t>
      </w:r>
      <w:proofErr w:type="spellEnd"/>
      <w:r w:rsidRPr="00F15D14">
        <w:rPr>
          <w:lang w:val="ru-RU"/>
        </w:rPr>
        <w:t xml:space="preserve"> выводы собрания, состоявшегося в ноябре, были представлены Председателю Совета и Генеральному секретарю. Выводы ноябрьского и февральского собраний включены в настоящий третий ежегодный отчет Совету. Отчеты о собраниях Комитета и его ежегодные отчеты, а также другие важнейшие документы доступны для членов МСЭ в относящейся к </w:t>
      </w:r>
      <w:proofErr w:type="spellStart"/>
      <w:r w:rsidRPr="00F15D14">
        <w:rPr>
          <w:lang w:val="ru-RU"/>
        </w:rPr>
        <w:t>IMAC</w:t>
      </w:r>
      <w:proofErr w:type="spellEnd"/>
      <w:r w:rsidRPr="00F15D14">
        <w:rPr>
          <w:lang w:val="ru-RU"/>
        </w:rPr>
        <w:t xml:space="preserve"> области веб</w:t>
      </w:r>
      <w:r w:rsidRPr="00F15D14">
        <w:rPr>
          <w:lang w:val="ru-RU"/>
        </w:rPr>
        <w:noBreakHyphen/>
        <w:t xml:space="preserve">сайта МСЭ, размещенной в разделе </w:t>
      </w:r>
      <w:hyperlink r:id="rId14" w:history="1">
        <w:r w:rsidRPr="00F15D14">
          <w:rPr>
            <w:rStyle w:val="Hyperlink"/>
            <w:lang w:val="ru-RU"/>
          </w:rPr>
          <w:t>Совет МСЭ</w:t>
        </w:r>
      </w:hyperlink>
      <w:r w:rsidRPr="00F15D14">
        <w:rPr>
          <w:lang w:val="ru-RU"/>
        </w:rPr>
        <w:t>.</w:t>
      </w:r>
    </w:p>
    <w:p w:rsidR="00E51A77" w:rsidRPr="00F15D14" w:rsidRDefault="00E51A77" w:rsidP="00F15D14">
      <w:pPr>
        <w:rPr>
          <w:lang w:val="ru-RU"/>
        </w:rPr>
      </w:pPr>
      <w:r w:rsidRPr="00F15D14">
        <w:rPr>
          <w:lang w:val="ru-RU"/>
        </w:rPr>
        <w:lastRenderedPageBreak/>
        <w:t>1.3</w:t>
      </w:r>
      <w:r w:rsidRPr="00F15D14">
        <w:rPr>
          <w:lang w:val="ru-RU"/>
        </w:rPr>
        <w:tab/>
        <w:t xml:space="preserve">Участие в собраниях: д-р </w:t>
      </w:r>
      <w:proofErr w:type="spellStart"/>
      <w:r w:rsidRPr="00F15D14">
        <w:rPr>
          <w:lang w:val="ru-RU"/>
        </w:rPr>
        <w:t>Деген</w:t>
      </w:r>
      <w:proofErr w:type="spellEnd"/>
      <w:r w:rsidRPr="00F15D14">
        <w:rPr>
          <w:lang w:val="ru-RU"/>
        </w:rPr>
        <w:t>, г-н Эль-</w:t>
      </w:r>
      <w:proofErr w:type="spellStart"/>
      <w:r w:rsidRPr="00F15D14">
        <w:rPr>
          <w:lang w:val="ru-RU"/>
        </w:rPr>
        <w:t>Харуши</w:t>
      </w:r>
      <w:proofErr w:type="spellEnd"/>
      <w:r w:rsidRPr="00F15D14">
        <w:rPr>
          <w:lang w:val="ru-RU"/>
        </w:rPr>
        <w:t xml:space="preserve">, г-н Миллер и г-н </w:t>
      </w:r>
      <w:proofErr w:type="spellStart"/>
      <w:r w:rsidRPr="00F15D14">
        <w:rPr>
          <w:lang w:val="ru-RU"/>
        </w:rPr>
        <w:t>Репаш</w:t>
      </w:r>
      <w:proofErr w:type="spellEnd"/>
      <w:r w:rsidRPr="00F15D14">
        <w:rPr>
          <w:lang w:val="ru-RU"/>
        </w:rPr>
        <w:t xml:space="preserve"> присутствовали на обоих собраниях в ноябре 2013 года и феврале 2014 года, а г-н </w:t>
      </w:r>
      <w:proofErr w:type="spellStart"/>
      <w:r w:rsidRPr="00F15D14">
        <w:rPr>
          <w:lang w:val="ru-RU"/>
        </w:rPr>
        <w:t>Адда</w:t>
      </w:r>
      <w:proofErr w:type="spellEnd"/>
      <w:r w:rsidRPr="00F15D14">
        <w:rPr>
          <w:lang w:val="ru-RU"/>
        </w:rPr>
        <w:t xml:space="preserve"> не смог принять участие в</w:t>
      </w:r>
      <w:r w:rsidR="00C64D09">
        <w:rPr>
          <w:lang w:val="ru-RU"/>
        </w:rPr>
        <w:t>о втором собрании.</w:t>
      </w:r>
    </w:p>
    <w:p w:rsidR="00E51A77" w:rsidRPr="00F15D14" w:rsidRDefault="00E51A77" w:rsidP="00F15D14">
      <w:pPr>
        <w:rPr>
          <w:lang w:val="ru-RU"/>
        </w:rPr>
      </w:pPr>
      <w:r w:rsidRPr="00F15D14">
        <w:rPr>
          <w:lang w:val="ru-RU"/>
        </w:rPr>
        <w:t>1.4</w:t>
      </w:r>
      <w:proofErr w:type="gramStart"/>
      <w:r w:rsidRPr="00F15D14">
        <w:rPr>
          <w:lang w:val="ru-RU"/>
        </w:rPr>
        <w:tab/>
        <w:t>П</w:t>
      </w:r>
      <w:proofErr w:type="gramEnd"/>
      <w:r w:rsidRPr="00F15D14">
        <w:rPr>
          <w:lang w:val="ru-RU"/>
        </w:rPr>
        <w:t xml:space="preserve">осле своего последнего по времени ежегодного отчета Совету в 2013 году </w:t>
      </w:r>
      <w:proofErr w:type="spellStart"/>
      <w:r w:rsidRPr="00F15D14">
        <w:rPr>
          <w:lang w:val="ru-RU"/>
        </w:rPr>
        <w:t>IMAC</w:t>
      </w:r>
      <w:proofErr w:type="spellEnd"/>
      <w:r w:rsidRPr="00F15D14">
        <w:rPr>
          <w:lang w:val="ru-RU"/>
        </w:rPr>
        <w:t xml:space="preserve"> занимался всеми сферами своей ответственности, которые охватывали внутренний аудит; управление рисками; внутренний контроль; представление отчетов по проверенной финансовой отчетности организации и финансовых отчетов; политику и практику бухгалтерского учета; внешний аудит; а также оценку (следует отметить, что до настоящего времени в МСЭ не имеется официальной функции оценки). Сфера охвата </w:t>
      </w:r>
      <w:proofErr w:type="spellStart"/>
      <w:r w:rsidRPr="00F15D14">
        <w:rPr>
          <w:lang w:val="ru-RU"/>
        </w:rPr>
        <w:t>IMAC</w:t>
      </w:r>
      <w:proofErr w:type="spellEnd"/>
      <w:r w:rsidRPr="00F15D14">
        <w:rPr>
          <w:lang w:val="ru-RU"/>
        </w:rPr>
        <w:t xml:space="preserve">, выводы и рекомендации излагаются ниже. </w:t>
      </w:r>
    </w:p>
    <w:p w:rsidR="00E51A77" w:rsidRPr="00F15D14" w:rsidRDefault="00E51A77" w:rsidP="00F15D14">
      <w:pPr>
        <w:rPr>
          <w:lang w:val="ru-RU"/>
        </w:rPr>
      </w:pPr>
      <w:r w:rsidRPr="00F15D14">
        <w:rPr>
          <w:lang w:val="ru-RU"/>
        </w:rPr>
        <w:t>1.5</w:t>
      </w:r>
      <w:proofErr w:type="gramStart"/>
      <w:r w:rsidRPr="00F15D14">
        <w:rPr>
          <w:lang w:val="ru-RU"/>
        </w:rPr>
        <w:tab/>
        <w:t>В</w:t>
      </w:r>
      <w:proofErr w:type="gramEnd"/>
      <w:r w:rsidRPr="00F15D14">
        <w:rPr>
          <w:lang w:val="ru-RU"/>
        </w:rPr>
        <w:t xml:space="preserve"> целях дальнейшего укрепления связей с заинтересованными сторонами </w:t>
      </w:r>
      <w:proofErr w:type="spellStart"/>
      <w:r w:rsidRPr="00F15D14">
        <w:rPr>
          <w:lang w:val="ru-RU"/>
        </w:rPr>
        <w:t>IMAC</w:t>
      </w:r>
      <w:proofErr w:type="spellEnd"/>
      <w:r w:rsidRPr="00F15D14">
        <w:rPr>
          <w:lang w:val="ru-RU"/>
        </w:rPr>
        <w:t xml:space="preserve"> встретился с Председателем Рабочей группы Совета по финансовым и людским ресурсам (</w:t>
      </w:r>
      <w:proofErr w:type="spellStart"/>
      <w:r w:rsidRPr="00F15D14">
        <w:rPr>
          <w:lang w:val="ru-RU"/>
        </w:rPr>
        <w:t>РГС-ФЛР</w:t>
      </w:r>
      <w:proofErr w:type="spellEnd"/>
      <w:r w:rsidRPr="00F15D14">
        <w:rPr>
          <w:lang w:val="ru-RU"/>
        </w:rPr>
        <w:t xml:space="preserve">) и участвовал в собрании Рабочей группы, которое проходило в феврале 2014 года и было посвящено вопросам, касающимся сфер ответственности Комитета. На обоих собраниях, проходивших в ноябре 2013 года и феврале 2014 года, </w:t>
      </w:r>
      <w:proofErr w:type="spellStart"/>
      <w:r w:rsidRPr="00F15D14">
        <w:rPr>
          <w:lang w:val="ru-RU"/>
        </w:rPr>
        <w:t>IMAC</w:t>
      </w:r>
      <w:proofErr w:type="spellEnd"/>
      <w:r w:rsidRPr="00F15D14">
        <w:rPr>
          <w:lang w:val="ru-RU"/>
        </w:rPr>
        <w:t xml:space="preserve"> проводил предметные обсуждения с Генеральным секретарем и заместителем Генерального секретаря, Департаментом управления финансовыми ресурсами (</w:t>
      </w:r>
      <w:proofErr w:type="spellStart"/>
      <w:r w:rsidRPr="00F15D14">
        <w:rPr>
          <w:lang w:val="ru-RU"/>
        </w:rPr>
        <w:t>FRMD</w:t>
      </w:r>
      <w:proofErr w:type="spellEnd"/>
      <w:r w:rsidRPr="00F15D14">
        <w:rPr>
          <w:lang w:val="ru-RU"/>
        </w:rPr>
        <w:t xml:space="preserve">), внутренним аудитором, внешним аудитором и, при необходимости, с другими представителями от руководства. </w:t>
      </w:r>
    </w:p>
    <w:p w:rsidR="00E51A77" w:rsidRPr="00F15D14" w:rsidRDefault="00E51A77" w:rsidP="00F15D14">
      <w:pPr>
        <w:pStyle w:val="Heading1"/>
        <w:rPr>
          <w:rFonts w:asciiTheme="minorHAnsi" w:hAnsiTheme="minorHAnsi"/>
          <w:szCs w:val="22"/>
          <w:lang w:val="ru-RU"/>
        </w:rPr>
      </w:pPr>
      <w:r w:rsidRPr="00F15D14">
        <w:rPr>
          <w:rFonts w:asciiTheme="minorHAnsi" w:hAnsiTheme="minorHAnsi"/>
          <w:szCs w:val="22"/>
          <w:lang w:val="ru-RU"/>
        </w:rPr>
        <w:t>2</w:t>
      </w:r>
      <w:r w:rsidRPr="00F15D14">
        <w:rPr>
          <w:rFonts w:asciiTheme="minorHAnsi" w:hAnsiTheme="minorHAnsi"/>
          <w:szCs w:val="22"/>
          <w:lang w:val="ru-RU"/>
        </w:rPr>
        <w:tab/>
      </w:r>
      <w:r w:rsidRPr="00F15D14">
        <w:rPr>
          <w:lang w:val="ru-RU"/>
        </w:rPr>
        <w:t xml:space="preserve">Последующие меры в связи со вторым отчетом </w:t>
      </w:r>
      <w:proofErr w:type="spellStart"/>
      <w:r w:rsidRPr="00F15D14">
        <w:rPr>
          <w:lang w:val="ru-RU"/>
        </w:rPr>
        <w:t>IMAC</w:t>
      </w:r>
      <w:proofErr w:type="spellEnd"/>
      <w:r w:rsidRPr="00F15D14">
        <w:rPr>
          <w:lang w:val="ru-RU"/>
        </w:rPr>
        <w:t xml:space="preserve"> Совету в 2013 году и состояние выполнения рекомендаций </w:t>
      </w:r>
      <w:proofErr w:type="spellStart"/>
      <w:r w:rsidRPr="00F15D14">
        <w:rPr>
          <w:rFonts w:asciiTheme="minorHAnsi" w:hAnsiTheme="minorHAnsi"/>
          <w:szCs w:val="22"/>
          <w:lang w:val="ru-RU"/>
        </w:rPr>
        <w:t>IMAC</w:t>
      </w:r>
      <w:proofErr w:type="spellEnd"/>
      <w:r w:rsidRPr="00F15D14">
        <w:rPr>
          <w:rFonts w:asciiTheme="minorHAnsi" w:hAnsiTheme="minorHAnsi"/>
          <w:szCs w:val="22"/>
          <w:lang w:val="ru-RU"/>
        </w:rPr>
        <w:t xml:space="preserve"> </w:t>
      </w:r>
    </w:p>
    <w:p w:rsidR="00E51A77" w:rsidRPr="00F15D14" w:rsidRDefault="00E51A77" w:rsidP="00F15D14">
      <w:pPr>
        <w:rPr>
          <w:lang w:val="ru-RU"/>
        </w:rPr>
      </w:pPr>
      <w:r w:rsidRPr="00F15D14">
        <w:rPr>
          <w:lang w:val="ru-RU"/>
        </w:rPr>
        <w:t>2.1</w:t>
      </w:r>
      <w:r w:rsidRPr="00F15D14">
        <w:rPr>
          <w:lang w:val="ru-RU"/>
        </w:rPr>
        <w:tab/>
      </w:r>
      <w:proofErr w:type="spellStart"/>
      <w:r w:rsidRPr="00F15D14">
        <w:rPr>
          <w:lang w:val="ru-RU"/>
        </w:rPr>
        <w:t>IMAC</w:t>
      </w:r>
      <w:proofErr w:type="spellEnd"/>
      <w:r w:rsidRPr="00F15D14">
        <w:rPr>
          <w:lang w:val="ru-RU"/>
        </w:rPr>
        <w:t xml:space="preserve"> высоко оценил реакцию Совета 2013 года на второй ежегодный отчет Комитета, утверждение Советом восьми рекомендаций </w:t>
      </w:r>
      <w:proofErr w:type="spellStart"/>
      <w:r w:rsidRPr="00F15D14">
        <w:rPr>
          <w:lang w:val="ru-RU"/>
        </w:rPr>
        <w:t>IMAC</w:t>
      </w:r>
      <w:proofErr w:type="spellEnd"/>
      <w:r w:rsidRPr="00F15D14">
        <w:rPr>
          <w:lang w:val="ru-RU"/>
        </w:rPr>
        <w:t xml:space="preserve">, а также внесенные Советом изменения в круг ведения </w:t>
      </w:r>
      <w:proofErr w:type="spellStart"/>
      <w:r w:rsidRPr="00F15D14">
        <w:rPr>
          <w:lang w:val="ru-RU"/>
        </w:rPr>
        <w:t>РГС-ФЛР</w:t>
      </w:r>
      <w:proofErr w:type="spellEnd"/>
      <w:r w:rsidRPr="00F15D14">
        <w:rPr>
          <w:lang w:val="ru-RU"/>
        </w:rPr>
        <w:t xml:space="preserve"> для включения в него последующих мер в связи с рекомендациями </w:t>
      </w:r>
      <w:proofErr w:type="spellStart"/>
      <w:r w:rsidRPr="00F15D14">
        <w:rPr>
          <w:lang w:val="ru-RU"/>
        </w:rPr>
        <w:t>IMAC</w:t>
      </w:r>
      <w:proofErr w:type="spellEnd"/>
      <w:r w:rsidRPr="00F15D14">
        <w:rPr>
          <w:lang w:val="ru-RU"/>
        </w:rPr>
        <w:t>.</w:t>
      </w:r>
    </w:p>
    <w:p w:rsidR="00E51A77" w:rsidRPr="00F15D14" w:rsidRDefault="00E51A77" w:rsidP="00F15D14">
      <w:pPr>
        <w:rPr>
          <w:lang w:val="ru-RU"/>
        </w:rPr>
      </w:pPr>
      <w:r w:rsidRPr="00F15D14">
        <w:rPr>
          <w:lang w:val="ru-RU"/>
        </w:rPr>
        <w:t>2.2</w:t>
      </w:r>
      <w:proofErr w:type="gramStart"/>
      <w:r w:rsidRPr="00F15D14">
        <w:rPr>
          <w:lang w:val="ru-RU"/>
        </w:rPr>
        <w:tab/>
        <w:t>В</w:t>
      </w:r>
      <w:proofErr w:type="gramEnd"/>
      <w:r w:rsidRPr="00F15D14">
        <w:rPr>
          <w:lang w:val="ru-RU"/>
        </w:rPr>
        <w:t xml:space="preserve"> целях</w:t>
      </w:r>
      <w:bookmarkStart w:id="3" w:name="_GoBack"/>
      <w:bookmarkEnd w:id="3"/>
      <w:r w:rsidRPr="00F15D14">
        <w:rPr>
          <w:lang w:val="ru-RU"/>
        </w:rPr>
        <w:t xml:space="preserve"> содействия </w:t>
      </w:r>
      <w:proofErr w:type="spellStart"/>
      <w:r w:rsidRPr="00F15D14">
        <w:rPr>
          <w:lang w:val="ru-RU"/>
        </w:rPr>
        <w:t>РГС-ФЛР</w:t>
      </w:r>
      <w:proofErr w:type="spellEnd"/>
      <w:r w:rsidRPr="00F15D14">
        <w:rPr>
          <w:lang w:val="ru-RU"/>
        </w:rPr>
        <w:t xml:space="preserve"> в отслеживании мер, принятых в ответ на рекомендации </w:t>
      </w:r>
      <w:proofErr w:type="spellStart"/>
      <w:r w:rsidRPr="00F15D14">
        <w:rPr>
          <w:lang w:val="ru-RU"/>
        </w:rPr>
        <w:t>IMAC</w:t>
      </w:r>
      <w:proofErr w:type="spellEnd"/>
      <w:r w:rsidRPr="00F15D14">
        <w:rPr>
          <w:lang w:val="ru-RU"/>
        </w:rPr>
        <w:t xml:space="preserve">, Комитет рассмотрел состояние выполнения восьми рекомендаций, сформулированных им в 2013 году, и представил отчет третьему собранию </w:t>
      </w:r>
      <w:proofErr w:type="spellStart"/>
      <w:r w:rsidRPr="00F15D14">
        <w:rPr>
          <w:lang w:val="ru-RU"/>
        </w:rPr>
        <w:t>РГС-ФЛР</w:t>
      </w:r>
      <w:proofErr w:type="spellEnd"/>
      <w:r w:rsidRPr="00F15D14">
        <w:rPr>
          <w:lang w:val="ru-RU"/>
        </w:rPr>
        <w:t xml:space="preserve"> в феврале 2014 года (см. Приложение A: </w:t>
      </w:r>
      <w:proofErr w:type="gramStart"/>
      <w:r w:rsidRPr="00F15D14">
        <w:rPr>
          <w:lang w:val="ru-RU"/>
        </w:rPr>
        <w:t xml:space="preserve">Рекомендации </w:t>
      </w:r>
      <w:proofErr w:type="spellStart"/>
      <w:r w:rsidRPr="00F15D14">
        <w:rPr>
          <w:lang w:val="ru-RU"/>
        </w:rPr>
        <w:t>IMAC</w:t>
      </w:r>
      <w:proofErr w:type="spellEnd"/>
      <w:r w:rsidRPr="00F15D14">
        <w:rPr>
          <w:lang w:val="ru-RU"/>
        </w:rPr>
        <w:t xml:space="preserve"> − 2013 год: состояние на 24 февраля 2014 года).</w:t>
      </w:r>
      <w:proofErr w:type="gramEnd"/>
      <w:r w:rsidRPr="00F15D14">
        <w:rPr>
          <w:lang w:val="ru-RU"/>
        </w:rPr>
        <w:t xml:space="preserve"> Шесть из восьми рекомендаций еще не выполнены или выполняются, и Рабочей группе Совета следует по-прежнему держать их под контролем. Рабочая группа Совета высоко оценила работу </w:t>
      </w:r>
      <w:proofErr w:type="spellStart"/>
      <w:r w:rsidRPr="00F15D14">
        <w:rPr>
          <w:lang w:val="ru-RU"/>
        </w:rPr>
        <w:t>IMAC</w:t>
      </w:r>
      <w:proofErr w:type="spellEnd"/>
      <w:r w:rsidRPr="00F15D14">
        <w:rPr>
          <w:lang w:val="ru-RU"/>
        </w:rPr>
        <w:t xml:space="preserve">, а различные делегаты выразили свою поддержку конкретным рекомендациям. </w:t>
      </w:r>
    </w:p>
    <w:p w:rsidR="00E51A77" w:rsidRPr="00F15D14" w:rsidRDefault="00E51A77" w:rsidP="00F15D14">
      <w:pPr>
        <w:pStyle w:val="Heading1"/>
        <w:rPr>
          <w:rFonts w:asciiTheme="minorHAnsi" w:hAnsiTheme="minorHAnsi"/>
          <w:szCs w:val="22"/>
          <w:lang w:val="ru-RU"/>
        </w:rPr>
      </w:pPr>
      <w:r w:rsidRPr="00F15D14">
        <w:rPr>
          <w:rFonts w:asciiTheme="minorHAnsi" w:hAnsiTheme="minorHAnsi"/>
          <w:szCs w:val="22"/>
          <w:lang w:val="ru-RU"/>
        </w:rPr>
        <w:t>3</w:t>
      </w:r>
      <w:r w:rsidRPr="00F15D14">
        <w:rPr>
          <w:rFonts w:asciiTheme="minorHAnsi" w:hAnsiTheme="minorHAnsi"/>
          <w:szCs w:val="22"/>
          <w:lang w:val="ru-RU"/>
        </w:rPr>
        <w:tab/>
      </w:r>
      <w:r w:rsidRPr="00F15D14">
        <w:rPr>
          <w:lang w:val="ru-RU"/>
        </w:rPr>
        <w:t xml:space="preserve">Основные обсуждаемые вопросы, выводы и рекомендации </w:t>
      </w:r>
    </w:p>
    <w:p w:rsidR="00E51A77" w:rsidRPr="00F15D14" w:rsidRDefault="00E51A77" w:rsidP="00F15D14">
      <w:pPr>
        <w:pStyle w:val="Headingb"/>
        <w:rPr>
          <w:lang w:val="ru-RU"/>
        </w:rPr>
      </w:pPr>
      <w:r w:rsidRPr="00F15D14">
        <w:rPr>
          <w:lang w:val="ru-RU"/>
        </w:rPr>
        <w:t>Внутренний аудит</w:t>
      </w:r>
    </w:p>
    <w:p w:rsidR="00E51A77" w:rsidRPr="00F15D14" w:rsidRDefault="00E51A77" w:rsidP="00F15D14">
      <w:pPr>
        <w:rPr>
          <w:lang w:val="ru-RU"/>
        </w:rPr>
      </w:pPr>
      <w:r w:rsidRPr="00F15D14">
        <w:rPr>
          <w:lang w:val="ru-RU"/>
        </w:rPr>
        <w:t>3.1</w:t>
      </w:r>
      <w:proofErr w:type="gramStart"/>
      <w:r w:rsidRPr="00F15D14">
        <w:rPr>
          <w:lang w:val="ru-RU"/>
        </w:rPr>
        <w:tab/>
        <w:t>П</w:t>
      </w:r>
      <w:proofErr w:type="gramEnd"/>
      <w:r w:rsidRPr="00F15D14">
        <w:rPr>
          <w:lang w:val="ru-RU"/>
        </w:rPr>
        <w:t xml:space="preserve">ри обсуждении плана работы по внутреннему аудиту на 2014 год </w:t>
      </w:r>
      <w:proofErr w:type="spellStart"/>
      <w:r w:rsidRPr="00F15D14">
        <w:rPr>
          <w:lang w:val="ru-RU"/>
        </w:rPr>
        <w:t>IMAC</w:t>
      </w:r>
      <w:proofErr w:type="spellEnd"/>
      <w:r w:rsidRPr="00F15D14">
        <w:rPr>
          <w:lang w:val="ru-RU"/>
        </w:rPr>
        <w:t xml:space="preserve"> высказал озабоченность по поводу ограниченного общего уровня имеющихся ресурсов в </w:t>
      </w:r>
      <w:r w:rsidR="00F15D14" w:rsidRPr="00F15D14">
        <w:rPr>
          <w:lang w:val="ru-RU"/>
        </w:rPr>
        <w:t>п</w:t>
      </w:r>
      <w:r w:rsidRPr="00F15D14">
        <w:rPr>
          <w:lang w:val="ru-RU"/>
        </w:rPr>
        <w:t xml:space="preserve">одразделении внутреннего аудита, особенно в свете установленных задач </w:t>
      </w:r>
      <w:r w:rsidR="00F15D14" w:rsidRPr="00F15D14">
        <w:rPr>
          <w:lang w:val="ru-RU"/>
        </w:rPr>
        <w:t>п</w:t>
      </w:r>
      <w:r w:rsidRPr="00F15D14">
        <w:rPr>
          <w:lang w:val="ru-RU"/>
        </w:rPr>
        <w:t xml:space="preserve">одразделения на 2014 год и того факта, что </w:t>
      </w:r>
      <w:r w:rsidR="00F15D14" w:rsidRPr="00F15D14">
        <w:rPr>
          <w:lang w:val="ru-RU"/>
        </w:rPr>
        <w:t>п</w:t>
      </w:r>
      <w:r w:rsidRPr="00F15D14">
        <w:rPr>
          <w:lang w:val="ru-RU"/>
        </w:rPr>
        <w:t xml:space="preserve">одразделение не смогло в полной мере выполнить прошлые планы по аудиторской проверке. Комитет рекомендовал, чтобы в предстоящие годы в плане были представлены четкая и подробная оценка рисков и приоритеты, показывающие основу, на которой были выбраны задания на проведение аудиторской проверки. </w:t>
      </w:r>
      <w:proofErr w:type="gramStart"/>
      <w:r w:rsidRPr="00F15D14">
        <w:rPr>
          <w:lang w:val="ru-RU"/>
        </w:rPr>
        <w:t xml:space="preserve">Чтобы план был полным, в нем следует признать роль </w:t>
      </w:r>
      <w:r w:rsidR="00F15D14" w:rsidRPr="00F15D14">
        <w:rPr>
          <w:lang w:val="ru-RU"/>
        </w:rPr>
        <w:t>п</w:t>
      </w:r>
      <w:r w:rsidRPr="00F15D14">
        <w:rPr>
          <w:lang w:val="ru-RU"/>
        </w:rPr>
        <w:t xml:space="preserve">одразделения по предоставлению внутренних консультаций/рекомендаций, для которой при утверждении плана могли и не предусматриваться какие-либо конкретные задачи и ресурсы. </w:t>
      </w:r>
      <w:proofErr w:type="gramEnd"/>
    </w:p>
    <w:p w:rsidR="00E51A77" w:rsidRPr="00F15D14" w:rsidRDefault="00E51A77" w:rsidP="00A76CAE">
      <w:pPr>
        <w:rPr>
          <w:lang w:val="ru-RU"/>
        </w:rPr>
      </w:pPr>
      <w:r w:rsidRPr="00F15D14">
        <w:rPr>
          <w:lang w:val="ru-RU"/>
        </w:rPr>
        <w:t>3.2</w:t>
      </w:r>
      <w:r w:rsidRPr="00F15D14">
        <w:rPr>
          <w:lang w:val="ru-RU"/>
        </w:rPr>
        <w:tab/>
      </w:r>
      <w:proofErr w:type="spellStart"/>
      <w:r w:rsidRPr="00F15D14">
        <w:rPr>
          <w:lang w:val="ru-RU"/>
        </w:rPr>
        <w:t>IMAC</w:t>
      </w:r>
      <w:proofErr w:type="spellEnd"/>
      <w:r w:rsidRPr="00F15D14">
        <w:rPr>
          <w:lang w:val="ru-RU"/>
        </w:rPr>
        <w:t xml:space="preserve"> рассмотрел отчеты о ходе работы по внутреннему аудиту и, среди прочего, был информирован о том, что служебные приказы будут проверяться соответствующими заинтересованными департаментами при координации с Департаментом управления людскими ресурсами (</w:t>
      </w:r>
      <w:proofErr w:type="spellStart"/>
      <w:r w:rsidRPr="00F15D14">
        <w:rPr>
          <w:lang w:val="ru-RU"/>
        </w:rPr>
        <w:t>HRMD</w:t>
      </w:r>
      <w:proofErr w:type="spellEnd"/>
      <w:r w:rsidRPr="00F15D14">
        <w:rPr>
          <w:lang w:val="ru-RU"/>
        </w:rPr>
        <w:t xml:space="preserve">) и </w:t>
      </w:r>
      <w:r w:rsidR="00F15D14" w:rsidRPr="00F15D14">
        <w:rPr>
          <w:lang w:val="ru-RU"/>
        </w:rPr>
        <w:t>п</w:t>
      </w:r>
      <w:r w:rsidRPr="00F15D14">
        <w:rPr>
          <w:lang w:val="ru-RU"/>
        </w:rPr>
        <w:t xml:space="preserve">одразделением по правовым вопросам, при этом внутренний аудитор отвечает за проверку окончательных результатов. Комитет отметил заметное улучшение в последующих </w:t>
      </w:r>
      <w:r w:rsidRPr="00F15D14">
        <w:rPr>
          <w:lang w:val="ru-RU"/>
        </w:rPr>
        <w:lastRenderedPageBreak/>
        <w:t xml:space="preserve">мерах в связи с рекомендациями по внутреннему аудиту, при </w:t>
      </w:r>
      <w:proofErr w:type="gramStart"/>
      <w:r w:rsidRPr="00F15D14">
        <w:rPr>
          <w:lang w:val="ru-RU"/>
        </w:rPr>
        <w:t>том</w:t>
      </w:r>
      <w:proofErr w:type="gramEnd"/>
      <w:r w:rsidRPr="00F15D14">
        <w:rPr>
          <w:lang w:val="ru-RU"/>
        </w:rPr>
        <w:t xml:space="preserve"> что на собрании в ноябре 2013</w:t>
      </w:r>
      <w:r w:rsidR="00A76CAE">
        <w:rPr>
          <w:lang w:val="ru-RU"/>
        </w:rPr>
        <w:t> </w:t>
      </w:r>
      <w:r w:rsidRPr="00F15D14">
        <w:rPr>
          <w:lang w:val="ru-RU"/>
        </w:rPr>
        <w:t>года он высказывал о</w:t>
      </w:r>
      <w:r w:rsidR="00F15D14" w:rsidRPr="00F15D14">
        <w:rPr>
          <w:lang w:val="ru-RU"/>
        </w:rPr>
        <w:t>беспокое</w:t>
      </w:r>
      <w:r w:rsidRPr="00F15D14">
        <w:rPr>
          <w:lang w:val="ru-RU"/>
        </w:rPr>
        <w:t xml:space="preserve">нность в этом отношении. </w:t>
      </w:r>
      <w:proofErr w:type="gramStart"/>
      <w:r w:rsidRPr="00F15D14">
        <w:rPr>
          <w:lang w:val="ru-RU"/>
        </w:rPr>
        <w:t xml:space="preserve">В том что касается соотношения непосредственной и вспомогательной деятельности по аудиту (рекомендация 2 </w:t>
      </w:r>
      <w:proofErr w:type="spellStart"/>
      <w:r w:rsidRPr="00F15D14">
        <w:rPr>
          <w:lang w:val="ru-RU"/>
        </w:rPr>
        <w:t>IMAC</w:t>
      </w:r>
      <w:proofErr w:type="spellEnd"/>
      <w:r w:rsidRPr="00F15D14">
        <w:rPr>
          <w:lang w:val="ru-RU"/>
        </w:rPr>
        <w:t xml:space="preserve"> (2013 г.)), Комитет отметил, что это соотношение можно улучшить, среди прочего, путем признания и отражения того факта, что последующая деятельность по рекомендациям внешнего аудитора относится к ответственности Генерального секретаря и надзор за ней осуществляет </w:t>
      </w:r>
      <w:proofErr w:type="spellStart"/>
      <w:r w:rsidRPr="00F15D14">
        <w:rPr>
          <w:lang w:val="ru-RU"/>
        </w:rPr>
        <w:t>РГС-ФЛР</w:t>
      </w:r>
      <w:proofErr w:type="spellEnd"/>
      <w:r w:rsidRPr="00F15D14">
        <w:rPr>
          <w:lang w:val="ru-RU"/>
        </w:rPr>
        <w:t xml:space="preserve">; </w:t>
      </w:r>
      <w:proofErr w:type="spellStart"/>
      <w:r w:rsidRPr="00F15D14">
        <w:rPr>
          <w:lang w:val="ru-RU"/>
        </w:rPr>
        <w:t>IMAC</w:t>
      </w:r>
      <w:proofErr w:type="spellEnd"/>
      <w:r w:rsidRPr="00F15D14">
        <w:rPr>
          <w:lang w:val="ru-RU"/>
        </w:rPr>
        <w:t xml:space="preserve"> решил по-прежнему держать этот вопрос под контролем.</w:t>
      </w:r>
      <w:proofErr w:type="gramEnd"/>
      <w:r w:rsidRPr="00F15D14">
        <w:rPr>
          <w:lang w:val="ru-RU"/>
        </w:rPr>
        <w:t xml:space="preserve"> </w:t>
      </w:r>
      <w:proofErr w:type="gramStart"/>
      <w:r w:rsidRPr="00F15D14">
        <w:rPr>
          <w:lang w:val="ru-RU"/>
        </w:rPr>
        <w:t xml:space="preserve">Он отметил с удовлетворением, что Генеральный секретарь утвердил пересмотренный Устав службы внутреннего аудита и что план работы по внутреннему аудиту на 2014 год утвержден до конца 2013 года, как это рекомендовано Комитетом (рекомендация 1 </w:t>
      </w:r>
      <w:proofErr w:type="spellStart"/>
      <w:r w:rsidRPr="00F15D14">
        <w:rPr>
          <w:lang w:val="ru-RU"/>
        </w:rPr>
        <w:t>IMAC</w:t>
      </w:r>
      <w:proofErr w:type="spellEnd"/>
      <w:r w:rsidRPr="00F15D14">
        <w:rPr>
          <w:lang w:val="ru-RU"/>
        </w:rPr>
        <w:t xml:space="preserve"> (2013 г.)), а также что в отчете о ходе работы, представленном в феврале 2014 года, указано, что в 2014 году в рамках внутреннего аудита будет</w:t>
      </w:r>
      <w:proofErr w:type="gramEnd"/>
      <w:r w:rsidRPr="00F15D14">
        <w:rPr>
          <w:lang w:val="ru-RU"/>
        </w:rPr>
        <w:t xml:space="preserve"> проведена экспертная оценка (рекомендация 4 </w:t>
      </w:r>
      <w:proofErr w:type="spellStart"/>
      <w:r w:rsidRPr="00F15D14">
        <w:rPr>
          <w:lang w:val="ru-RU"/>
        </w:rPr>
        <w:t>IMAC</w:t>
      </w:r>
      <w:proofErr w:type="spellEnd"/>
      <w:r w:rsidRPr="00F15D14">
        <w:rPr>
          <w:lang w:val="ru-RU"/>
        </w:rPr>
        <w:t xml:space="preserve"> (2013 г.)).</w:t>
      </w:r>
    </w:p>
    <w:p w:rsidR="00E51A77" w:rsidRPr="00F15D14" w:rsidRDefault="00E51A77" w:rsidP="00F15D14">
      <w:pPr>
        <w:rPr>
          <w:lang w:val="ru-RU"/>
        </w:rPr>
      </w:pPr>
      <w:r w:rsidRPr="00F15D14">
        <w:rPr>
          <w:lang w:val="ru-RU"/>
        </w:rPr>
        <w:t>3.3</w:t>
      </w:r>
      <w:proofErr w:type="gramStart"/>
      <w:r w:rsidRPr="00F15D14">
        <w:rPr>
          <w:lang w:val="ru-RU"/>
        </w:rPr>
        <w:tab/>
        <w:t>В</w:t>
      </w:r>
      <w:proofErr w:type="gramEnd"/>
      <w:r w:rsidRPr="00F15D14">
        <w:rPr>
          <w:lang w:val="ru-RU"/>
        </w:rPr>
        <w:t xml:space="preserve"> том что касается деятельности вне штаб-квартиры МСЭ, Комитет получил отчеты по аудиту зональных отделений МСЭ для СНГ (Москва, Российская Федерация) и отделений Союза в регионе Северной и Южной Америки, а также дополнительную информацию, касающуюся регионального отделения для Азиатско-Тихоокеанского региона (Бангкок, Таиланд). Комитет счел эти отчеты чрезвычайно важными и полезными, привлекающими внимание к важнейшим вопросам управления, финансового контроля, управления проектами и организации управления, которые заслуживают большего внимания со стороны стершего руководства. </w:t>
      </w:r>
    </w:p>
    <w:p w:rsidR="00E51A77" w:rsidRPr="00F15D14" w:rsidRDefault="00E51A77" w:rsidP="00AA7849">
      <w:pPr>
        <w:spacing w:after="120"/>
        <w:rPr>
          <w:lang w:val="ru-RU"/>
        </w:rPr>
      </w:pPr>
      <w:r w:rsidRPr="00F15D14">
        <w:rPr>
          <w:lang w:val="ru-RU"/>
        </w:rPr>
        <w:t>3.4</w:t>
      </w:r>
      <w:r w:rsidRPr="00F15D14">
        <w:rPr>
          <w:lang w:val="ru-RU"/>
        </w:rPr>
        <w:tab/>
        <w:t xml:space="preserve">Комитет рассмотрел вместе с внутренним аудитором предлагаемый им ежегодный отчет Совету МСЭ и обсудил пути, с помощью которых его можно было бы сделать в будущем </w:t>
      </w:r>
      <w:proofErr w:type="gramStart"/>
      <w:r w:rsidRPr="00F15D14">
        <w:rPr>
          <w:lang w:val="ru-RU"/>
        </w:rPr>
        <w:t>более всесторонним</w:t>
      </w:r>
      <w:proofErr w:type="gramEnd"/>
      <w:r w:rsidRPr="00F15D14">
        <w:rPr>
          <w:lang w:val="ru-RU"/>
        </w:rPr>
        <w:t xml:space="preserve">, чтобы он включал подтверждение достоверности общей среды внутреннего контроля, в соответствии с рекомендацией 1 </w:t>
      </w:r>
      <w:proofErr w:type="spellStart"/>
      <w:r w:rsidRPr="00F15D14">
        <w:rPr>
          <w:lang w:val="ru-RU"/>
        </w:rPr>
        <w:t>IMAC</w:t>
      </w:r>
      <w:proofErr w:type="spellEnd"/>
      <w:r w:rsidRPr="00F15D14">
        <w:rPr>
          <w:lang w:val="ru-RU"/>
        </w:rPr>
        <w:t xml:space="preserve"> (2013 г.</w:t>
      </w:r>
      <w:r w:rsidR="00A76CAE">
        <w:rPr>
          <w:lang w:val="ru-RU"/>
        </w:rPr>
        <w:t>).</w:t>
      </w: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2"/>
      </w:tblGrid>
      <w:tr w:rsidR="00E51A77" w:rsidRPr="00115193" w:rsidTr="00D760E8">
        <w:trPr>
          <w:jc w:val="center"/>
        </w:trPr>
        <w:tc>
          <w:tcPr>
            <w:tcW w:w="9752" w:type="dxa"/>
          </w:tcPr>
          <w:p w:rsidR="00E51A77" w:rsidRPr="00F15D14" w:rsidRDefault="00E51A77" w:rsidP="00F15D14">
            <w:pPr>
              <w:rPr>
                <w:lang w:val="ru-RU"/>
              </w:rPr>
            </w:pPr>
            <w:r w:rsidRPr="00F15D14">
              <w:rPr>
                <w:b/>
                <w:bCs/>
                <w:lang w:val="ru-RU"/>
              </w:rPr>
              <w:t>Рекомендация 1 (2014 г.)</w:t>
            </w:r>
            <w:r w:rsidRPr="00F15D14">
              <w:rPr>
                <w:lang w:val="ru-RU"/>
              </w:rPr>
              <w:t xml:space="preserve">: </w:t>
            </w:r>
            <w:proofErr w:type="spellStart"/>
            <w:r w:rsidRPr="00F15D14">
              <w:rPr>
                <w:lang w:val="ru-RU"/>
              </w:rPr>
              <w:t>IMAC</w:t>
            </w:r>
            <w:proofErr w:type="spellEnd"/>
            <w:r w:rsidRPr="00F15D14">
              <w:rPr>
                <w:lang w:val="ru-RU"/>
              </w:rPr>
              <w:t xml:space="preserve"> рекомендует внутреннему аудитору предпринять дополнительные усилия к тому, чтобы в предстоящие годы представлять Совету более всесторонние ежегодные отчеты. </w:t>
            </w:r>
          </w:p>
          <w:p w:rsidR="00E51A77" w:rsidRPr="00F15D14" w:rsidRDefault="00E51A77" w:rsidP="00F15D14">
            <w:pPr>
              <w:rPr>
                <w:lang w:val="ru-RU"/>
              </w:rPr>
            </w:pPr>
            <w:r w:rsidRPr="00F15D14">
              <w:rPr>
                <w:b/>
                <w:bCs/>
                <w:lang w:val="ru-RU"/>
              </w:rPr>
              <w:t>Рекомендация 2 (2014 г.)</w:t>
            </w:r>
            <w:r w:rsidRPr="00F15D14">
              <w:rPr>
                <w:lang w:val="ru-RU"/>
              </w:rPr>
              <w:t xml:space="preserve">: </w:t>
            </w:r>
            <w:proofErr w:type="spellStart"/>
            <w:r w:rsidRPr="00F15D14">
              <w:rPr>
                <w:lang w:val="ru-RU"/>
              </w:rPr>
              <w:t>IMAC</w:t>
            </w:r>
            <w:proofErr w:type="spellEnd"/>
            <w:r w:rsidRPr="00F15D14">
              <w:rPr>
                <w:lang w:val="ru-RU"/>
              </w:rPr>
              <w:t xml:space="preserve"> рекомендует Генеральному секретарю рассмотреть вопрос о том, указывают ли заключения по результатам внутреннего аудита в целом на необходимость более тщательного </w:t>
            </w:r>
            <w:proofErr w:type="gramStart"/>
            <w:r w:rsidRPr="00F15D14">
              <w:rPr>
                <w:lang w:val="ru-RU"/>
              </w:rPr>
              <w:t>контроля за</w:t>
            </w:r>
            <w:proofErr w:type="gramEnd"/>
            <w:r w:rsidRPr="00F15D14">
              <w:rPr>
                <w:lang w:val="ru-RU"/>
              </w:rPr>
              <w:t xml:space="preserve"> управлением деятельностью на местах. </w:t>
            </w:r>
          </w:p>
          <w:p w:rsidR="00E51A77" w:rsidRPr="00F15D14" w:rsidRDefault="00E51A77" w:rsidP="00115193">
            <w:pPr>
              <w:spacing w:after="120"/>
              <w:rPr>
                <w:lang w:val="ru-RU"/>
              </w:rPr>
            </w:pPr>
            <w:r w:rsidRPr="00F15D14">
              <w:rPr>
                <w:b/>
                <w:bCs/>
                <w:lang w:val="ru-RU"/>
              </w:rPr>
              <w:t>Рекомендация 3 (2014 г.)</w:t>
            </w:r>
            <w:r w:rsidRPr="00F15D14">
              <w:rPr>
                <w:lang w:val="ru-RU"/>
              </w:rPr>
              <w:t xml:space="preserve">: </w:t>
            </w:r>
            <w:proofErr w:type="spellStart"/>
            <w:r w:rsidRPr="00F15D14">
              <w:rPr>
                <w:lang w:val="ru-RU"/>
              </w:rPr>
              <w:t>IMAC</w:t>
            </w:r>
            <w:proofErr w:type="spellEnd"/>
            <w:r w:rsidRPr="00F15D14">
              <w:rPr>
                <w:lang w:val="ru-RU"/>
              </w:rPr>
              <w:t xml:space="preserve"> рекомендует МСЭ воспользоваться преимуществами проводимого </w:t>
            </w:r>
            <w:proofErr w:type="spellStart"/>
            <w:r w:rsidRPr="00F15D14">
              <w:rPr>
                <w:lang w:val="ru-RU"/>
              </w:rPr>
              <w:t>РГС-ФЛР</w:t>
            </w:r>
            <w:proofErr w:type="spellEnd"/>
            <w:r w:rsidRPr="00F15D14">
              <w:rPr>
                <w:lang w:val="ru-RU"/>
              </w:rPr>
              <w:t xml:space="preserve"> рассмотрения вопроса о доступе к документам МСЭ для поиска путей обеспечения того, чтобы </w:t>
            </w:r>
            <w:r w:rsidR="00F15D14" w:rsidRPr="00F15D14">
              <w:rPr>
                <w:lang w:val="ru-RU"/>
              </w:rPr>
              <w:t xml:space="preserve">еще больше упростить доступ к </w:t>
            </w:r>
            <w:r w:rsidRPr="00F15D14">
              <w:rPr>
                <w:lang w:val="ru-RU"/>
              </w:rPr>
              <w:t>отчет</w:t>
            </w:r>
            <w:r w:rsidR="00F15D14" w:rsidRPr="00F15D14">
              <w:rPr>
                <w:lang w:val="ru-RU"/>
              </w:rPr>
              <w:t>ам</w:t>
            </w:r>
            <w:r w:rsidRPr="00F15D14">
              <w:rPr>
                <w:lang w:val="ru-RU"/>
              </w:rPr>
              <w:t xml:space="preserve"> о внутреннем аудите для Государств-Членов и других заинтересованных сторон. </w:t>
            </w:r>
          </w:p>
        </w:tc>
      </w:tr>
    </w:tbl>
    <w:p w:rsidR="00E51A77" w:rsidRPr="00F15D14" w:rsidRDefault="00E51A77" w:rsidP="00F15D14">
      <w:pPr>
        <w:pStyle w:val="Headingb"/>
        <w:rPr>
          <w:lang w:val="ru-RU"/>
        </w:rPr>
      </w:pPr>
      <w:r w:rsidRPr="00F15D14">
        <w:rPr>
          <w:lang w:val="ru-RU"/>
        </w:rPr>
        <w:t>Внешний аудит</w:t>
      </w:r>
    </w:p>
    <w:p w:rsidR="00E51A77" w:rsidRPr="00F15D14" w:rsidRDefault="00E51A77" w:rsidP="00F15D14">
      <w:pPr>
        <w:rPr>
          <w:lang w:val="ru-RU"/>
        </w:rPr>
      </w:pPr>
      <w:r w:rsidRPr="00F15D14">
        <w:rPr>
          <w:lang w:val="ru-RU"/>
        </w:rPr>
        <w:t>3.5</w:t>
      </w:r>
      <w:r w:rsidRPr="00F15D14">
        <w:rPr>
          <w:lang w:val="ru-RU"/>
        </w:rPr>
        <w:tab/>
      </w:r>
      <w:proofErr w:type="spellStart"/>
      <w:r w:rsidRPr="00F15D14">
        <w:rPr>
          <w:lang w:val="ru-RU"/>
        </w:rPr>
        <w:t>IMAC</w:t>
      </w:r>
      <w:proofErr w:type="spellEnd"/>
      <w:r w:rsidRPr="00F15D14">
        <w:rPr>
          <w:lang w:val="ru-RU"/>
        </w:rPr>
        <w:t xml:space="preserve"> встречался с внешним аудитором, компанией </w:t>
      </w:r>
      <w:proofErr w:type="spellStart"/>
      <w:r w:rsidRPr="00F15D14">
        <w:rPr>
          <w:lang w:val="ru-RU"/>
        </w:rPr>
        <w:t>Corte</w:t>
      </w:r>
      <w:proofErr w:type="spellEnd"/>
      <w:r w:rsidRPr="00F15D14">
        <w:rPr>
          <w:lang w:val="ru-RU"/>
        </w:rPr>
        <w:t xml:space="preserve"> </w:t>
      </w:r>
      <w:proofErr w:type="spellStart"/>
      <w:r w:rsidRPr="00F15D14">
        <w:rPr>
          <w:lang w:val="ru-RU"/>
        </w:rPr>
        <w:t>dei</w:t>
      </w:r>
      <w:proofErr w:type="spellEnd"/>
      <w:r w:rsidRPr="00F15D14">
        <w:rPr>
          <w:lang w:val="ru-RU"/>
        </w:rPr>
        <w:t xml:space="preserve"> </w:t>
      </w:r>
      <w:proofErr w:type="spellStart"/>
      <w:r w:rsidRPr="00F15D14">
        <w:rPr>
          <w:lang w:val="ru-RU"/>
        </w:rPr>
        <w:t>Conti</w:t>
      </w:r>
      <w:proofErr w:type="spellEnd"/>
      <w:r w:rsidRPr="00F15D14">
        <w:rPr>
          <w:lang w:val="ru-RU"/>
        </w:rPr>
        <w:t xml:space="preserve">, на собраниях, которые состоялись как в ноябре 2013 года, так и в феврале 2014 года, и при этом отметил, что внешний аудитор обязался направить свой отчет за 2013 год Комитету до конца июня 2014 года. </w:t>
      </w:r>
      <w:proofErr w:type="spellStart"/>
      <w:r w:rsidRPr="00F15D14">
        <w:rPr>
          <w:lang w:val="ru-RU"/>
        </w:rPr>
        <w:t>IMAC</w:t>
      </w:r>
      <w:proofErr w:type="spellEnd"/>
      <w:r w:rsidRPr="00F15D14">
        <w:rPr>
          <w:lang w:val="ru-RU"/>
        </w:rPr>
        <w:t xml:space="preserve"> решил встретиться с внешним аудитором для обсуждения отчета на первой неделе июля 2014 года, когда Комитет планирует провести свое восьмое собрание. </w:t>
      </w:r>
    </w:p>
    <w:p w:rsidR="00E51A77" w:rsidRPr="00F15D14" w:rsidRDefault="00E51A77" w:rsidP="00F15D14">
      <w:pPr>
        <w:rPr>
          <w:lang w:val="ru-RU"/>
        </w:rPr>
      </w:pPr>
      <w:r w:rsidRPr="00F15D14">
        <w:rPr>
          <w:lang w:val="ru-RU"/>
        </w:rPr>
        <w:t>3.6</w:t>
      </w:r>
      <w:r w:rsidRPr="00F15D14">
        <w:rPr>
          <w:lang w:val="ru-RU"/>
        </w:rPr>
        <w:tab/>
        <w:t xml:space="preserve">Комитет с удовлетворением узнал о том, что внешний аудитор продолжит осуществлять оценку функции внутреннего аудита в соответствии с рекомендацией 5 </w:t>
      </w:r>
      <w:proofErr w:type="spellStart"/>
      <w:r w:rsidRPr="00F15D14">
        <w:rPr>
          <w:lang w:val="ru-RU"/>
        </w:rPr>
        <w:t>IMAC</w:t>
      </w:r>
      <w:proofErr w:type="spellEnd"/>
      <w:r w:rsidRPr="00F15D14">
        <w:rPr>
          <w:lang w:val="ru-RU"/>
        </w:rPr>
        <w:t xml:space="preserve"> (2013 г.). Он также принял к сведению намерение внешнего аудитора провести неофициальную сессию во время ПК-14 в </w:t>
      </w:r>
      <w:proofErr w:type="spellStart"/>
      <w:r w:rsidRPr="00F15D14">
        <w:rPr>
          <w:lang w:val="ru-RU"/>
        </w:rPr>
        <w:t>Пусане</w:t>
      </w:r>
      <w:proofErr w:type="spellEnd"/>
      <w:r w:rsidRPr="00F15D14">
        <w:rPr>
          <w:lang w:val="ru-RU"/>
        </w:rPr>
        <w:t xml:space="preserve"> (Республика Корея), представив на ней свой отчет, с </w:t>
      </w:r>
      <w:proofErr w:type="gramStart"/>
      <w:r w:rsidRPr="00F15D14">
        <w:rPr>
          <w:lang w:val="ru-RU"/>
        </w:rPr>
        <w:t>тем</w:t>
      </w:r>
      <w:proofErr w:type="gramEnd"/>
      <w:r w:rsidRPr="00F15D14">
        <w:rPr>
          <w:lang w:val="ru-RU"/>
        </w:rPr>
        <w:t xml:space="preserve"> чтобы объяснить делегатам содержание отчета и представленную в нем терминологию. </w:t>
      </w:r>
    </w:p>
    <w:p w:rsidR="00E51A77" w:rsidRPr="00F15D14" w:rsidRDefault="00E51A77" w:rsidP="00F15D14">
      <w:pPr>
        <w:pStyle w:val="Headingb"/>
        <w:rPr>
          <w:lang w:val="ru-RU"/>
        </w:rPr>
      </w:pPr>
      <w:r w:rsidRPr="00F15D14">
        <w:rPr>
          <w:lang w:val="ru-RU"/>
        </w:rPr>
        <w:t>Внутренний контроль</w:t>
      </w:r>
    </w:p>
    <w:p w:rsidR="00E51A77" w:rsidRPr="00F15D14" w:rsidRDefault="00E51A77" w:rsidP="00F15D14">
      <w:pPr>
        <w:rPr>
          <w:lang w:val="ru-RU"/>
        </w:rPr>
      </w:pPr>
      <w:r w:rsidRPr="00F15D14">
        <w:rPr>
          <w:lang w:val="ru-RU"/>
        </w:rPr>
        <w:t>3.7</w:t>
      </w:r>
      <w:r w:rsidRPr="00F15D14">
        <w:rPr>
          <w:lang w:val="ru-RU"/>
        </w:rPr>
        <w:tab/>
      </w:r>
      <w:proofErr w:type="spellStart"/>
      <w:r w:rsidRPr="00F15D14">
        <w:rPr>
          <w:lang w:val="ru-RU"/>
        </w:rPr>
        <w:t>IMAC</w:t>
      </w:r>
      <w:proofErr w:type="spellEnd"/>
      <w:r w:rsidRPr="00F15D14">
        <w:rPr>
          <w:lang w:val="ru-RU"/>
        </w:rPr>
        <w:t xml:space="preserve"> рассмотрел заявление о внутреннем контроле за 2013 год, обсудил его содержание с руководителем </w:t>
      </w:r>
      <w:proofErr w:type="spellStart"/>
      <w:r w:rsidRPr="00F15D14">
        <w:rPr>
          <w:lang w:val="ru-RU"/>
        </w:rPr>
        <w:t>FRMD</w:t>
      </w:r>
      <w:proofErr w:type="spellEnd"/>
      <w:r w:rsidRPr="00F15D14">
        <w:rPr>
          <w:lang w:val="ru-RU"/>
        </w:rPr>
        <w:t xml:space="preserve"> и выразил удовлетворение в связи с тем, что такое заявление становится в МСЭ </w:t>
      </w:r>
      <w:r w:rsidRPr="00F15D14">
        <w:rPr>
          <w:lang w:val="ru-RU"/>
        </w:rPr>
        <w:lastRenderedPageBreak/>
        <w:t xml:space="preserve">частью регулярной процедуры. </w:t>
      </w:r>
      <w:proofErr w:type="spellStart"/>
      <w:r w:rsidRPr="00F15D14">
        <w:rPr>
          <w:lang w:val="ru-RU"/>
        </w:rPr>
        <w:t>IMAC</w:t>
      </w:r>
      <w:proofErr w:type="spellEnd"/>
      <w:r w:rsidRPr="00F15D14">
        <w:rPr>
          <w:lang w:val="ru-RU"/>
        </w:rPr>
        <w:t xml:space="preserve"> принял к сведению приведенные в заявлении обновленные данные о прогрессе в связи мерами, касающимися рисков. В будущем заявление можно было бы усовершенствовать, определив для Генерального секретаря официальный порядок получения доказанной гарантии эффективности внутреннего контроля, который применялся в течение года, например удостоверение высшим руководящим составом МСЭ того, что оно выполняло свои обязанности по поддержанию структуры внутреннего контроля в своих соответствующих сферах ответственности. </w:t>
      </w:r>
    </w:p>
    <w:p w:rsidR="00E51A77" w:rsidRPr="00F15D14" w:rsidRDefault="00E51A77" w:rsidP="00AA7849">
      <w:pPr>
        <w:spacing w:after="120"/>
        <w:rPr>
          <w:lang w:val="ru-RU"/>
        </w:rPr>
      </w:pPr>
      <w:r w:rsidRPr="00F15D14">
        <w:rPr>
          <w:lang w:val="ru-RU"/>
        </w:rPr>
        <w:t>3.8</w:t>
      </w:r>
      <w:r w:rsidRPr="00F15D14">
        <w:rPr>
          <w:lang w:val="ru-RU"/>
        </w:rPr>
        <w:tab/>
      </w:r>
      <w:proofErr w:type="spellStart"/>
      <w:r w:rsidRPr="00F15D14">
        <w:rPr>
          <w:lang w:val="ru-RU"/>
        </w:rPr>
        <w:t>IMAC</w:t>
      </w:r>
      <w:proofErr w:type="spellEnd"/>
      <w:r w:rsidRPr="00F15D14">
        <w:rPr>
          <w:lang w:val="ru-RU"/>
        </w:rPr>
        <w:t xml:space="preserve"> отметил с озабоченностью, что должность сотрудника по вопросам этики, на которого Генеральный секретарь полагается как на часть структуры контроля и управления, с 1 июля 2013 года остается вакантной. </w:t>
      </w:r>
    </w:p>
    <w:tbl>
      <w:tblPr>
        <w:tblW w:w="9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42"/>
      </w:tblGrid>
      <w:tr w:rsidR="00E51A77" w:rsidRPr="00115193" w:rsidTr="00D760E8">
        <w:trPr>
          <w:trHeight w:val="930"/>
          <w:jc w:val="center"/>
        </w:trPr>
        <w:tc>
          <w:tcPr>
            <w:tcW w:w="9842" w:type="dxa"/>
          </w:tcPr>
          <w:p w:rsidR="00E51A77" w:rsidRPr="00F15D14" w:rsidRDefault="00E51A77" w:rsidP="00F15D14">
            <w:pPr>
              <w:rPr>
                <w:lang w:val="ru-RU"/>
              </w:rPr>
            </w:pPr>
            <w:r w:rsidRPr="00F15D14">
              <w:rPr>
                <w:b/>
                <w:bCs/>
                <w:lang w:val="ru-RU"/>
              </w:rPr>
              <w:t>Рекомендация 4 (2014 г.)</w:t>
            </w:r>
            <w:r w:rsidRPr="00F15D14">
              <w:rPr>
                <w:lang w:val="ru-RU"/>
              </w:rPr>
              <w:t xml:space="preserve">: </w:t>
            </w:r>
            <w:proofErr w:type="spellStart"/>
            <w:r w:rsidRPr="00F15D14">
              <w:rPr>
                <w:lang w:val="ru-RU"/>
              </w:rPr>
              <w:t>IMAC</w:t>
            </w:r>
            <w:proofErr w:type="spellEnd"/>
            <w:r w:rsidRPr="00F15D14">
              <w:rPr>
                <w:lang w:val="ru-RU"/>
              </w:rPr>
              <w:t xml:space="preserve"> рекомендует МСЭ назначить в срочном порядке сотрудника по вопросам этики.</w:t>
            </w:r>
          </w:p>
          <w:p w:rsidR="00E51A77" w:rsidRPr="00F15D14" w:rsidRDefault="00E51A77" w:rsidP="00115193">
            <w:pPr>
              <w:spacing w:after="120"/>
              <w:rPr>
                <w:lang w:val="ru-RU"/>
              </w:rPr>
            </w:pPr>
            <w:r w:rsidRPr="00F15D14">
              <w:rPr>
                <w:b/>
                <w:bCs/>
                <w:lang w:val="ru-RU"/>
              </w:rPr>
              <w:t>Рекомендация 5 (2014 г.)</w:t>
            </w:r>
            <w:r w:rsidRPr="00F15D14">
              <w:rPr>
                <w:lang w:val="ru-RU"/>
              </w:rPr>
              <w:t xml:space="preserve">: </w:t>
            </w:r>
            <w:proofErr w:type="spellStart"/>
            <w:r w:rsidRPr="00F15D14">
              <w:rPr>
                <w:lang w:val="ru-RU"/>
              </w:rPr>
              <w:t>IMAC</w:t>
            </w:r>
            <w:proofErr w:type="spellEnd"/>
            <w:r w:rsidRPr="00F15D14">
              <w:rPr>
                <w:lang w:val="ru-RU"/>
              </w:rPr>
              <w:t xml:space="preserve"> рекомендует Генеральному секретарю получить доказанную гарантию эффективности структуры внутреннего контроля, потребовав от представителей высшего руководства удостоверить, что они выполняли свои обязанности по внутреннему контролю в течение года. </w:t>
            </w:r>
          </w:p>
        </w:tc>
      </w:tr>
    </w:tbl>
    <w:p w:rsidR="00E51A77" w:rsidRPr="00F15D14" w:rsidRDefault="00E51A77" w:rsidP="00F15D14">
      <w:pPr>
        <w:pStyle w:val="Headingb"/>
        <w:rPr>
          <w:lang w:val="ru-RU"/>
        </w:rPr>
      </w:pPr>
      <w:r w:rsidRPr="00F15D14">
        <w:rPr>
          <w:lang w:val="ru-RU"/>
        </w:rPr>
        <w:t>Управление рисками</w:t>
      </w:r>
    </w:p>
    <w:p w:rsidR="00E51A77" w:rsidRPr="00F15D14" w:rsidRDefault="00E51A77" w:rsidP="00AA7849">
      <w:pPr>
        <w:spacing w:after="120"/>
        <w:rPr>
          <w:lang w:val="ru-RU"/>
        </w:rPr>
      </w:pPr>
      <w:r w:rsidRPr="00F15D14">
        <w:rPr>
          <w:lang w:val="ru-RU"/>
        </w:rPr>
        <w:t>3.9</w:t>
      </w:r>
      <w:proofErr w:type="gramStart"/>
      <w:r w:rsidRPr="00F15D14">
        <w:rPr>
          <w:lang w:val="ru-RU"/>
        </w:rPr>
        <w:tab/>
        <w:t>В</w:t>
      </w:r>
      <w:proofErr w:type="gramEnd"/>
      <w:r w:rsidRPr="00F15D14">
        <w:rPr>
          <w:lang w:val="ru-RU"/>
        </w:rPr>
        <w:t xml:space="preserve"> 2013 году, в то время как рекомендация </w:t>
      </w:r>
      <w:proofErr w:type="spellStart"/>
      <w:r w:rsidRPr="00F15D14">
        <w:rPr>
          <w:lang w:val="ru-RU"/>
        </w:rPr>
        <w:t>IMAC</w:t>
      </w:r>
      <w:proofErr w:type="spellEnd"/>
      <w:r w:rsidRPr="00F15D14">
        <w:rPr>
          <w:lang w:val="ru-RU"/>
        </w:rPr>
        <w:t xml:space="preserve"> по управлению рисками выполнялась на внутреннем уровне, Комитет рекомендовал МСЭ в качестве приоритетной меры продолжить разработку мер по систематическому управлению рисками предприятия в поддержку процесса стратегического планирования в организации на период 2016−2019 годов, а также рекомендовал, чтобы управление рисками применялось также к оперативному планированию и чтобы управление рисками стало ежегодной задачей. </w:t>
      </w:r>
      <w:proofErr w:type="spellStart"/>
      <w:r w:rsidRPr="00F15D14">
        <w:rPr>
          <w:lang w:val="ru-RU"/>
        </w:rPr>
        <w:t>IMAC</w:t>
      </w:r>
      <w:proofErr w:type="spellEnd"/>
      <w:r w:rsidRPr="00F15D14">
        <w:rPr>
          <w:lang w:val="ru-RU"/>
        </w:rPr>
        <w:t xml:space="preserve"> отметил на своем собрании в феврале 2014 года, что теперь в проекте стратегического плана определен набор стратегических рисков, на котором будут основаны последующие оперативные планы. Это представляет собой существенный и заслуживающий одобрения прогресс в рассмотрении связанных с рисками вопросов на организационном уровне. </w:t>
      </w:r>
      <w:proofErr w:type="gramStart"/>
      <w:r w:rsidRPr="00F15D14">
        <w:rPr>
          <w:lang w:val="ru-RU"/>
        </w:rPr>
        <w:t xml:space="preserve">Процесс стратегического планирования рассчитан в основном на четыре года, и поэтому организация теперь имеет все возможности для внедрения процесса управления рисками в целях мониторинга и управления изменяющейся средой рисков на постоянной основе, например путем официального составления реестра рисков с указанием ответственных за риски, который может рассматриваться на уровне высшего руководства на более частой основе (возможно, ежеквартально) в рамках оперативного бизнес-процесса. </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88"/>
      </w:tblGrid>
      <w:tr w:rsidR="00E51A77" w:rsidRPr="00115193" w:rsidTr="00D760E8">
        <w:trPr>
          <w:trHeight w:val="930"/>
          <w:jc w:val="center"/>
        </w:trPr>
        <w:tc>
          <w:tcPr>
            <w:tcW w:w="9688" w:type="dxa"/>
          </w:tcPr>
          <w:p w:rsidR="00E51A77" w:rsidRPr="00F15D14" w:rsidRDefault="00E51A77" w:rsidP="00115193">
            <w:pPr>
              <w:spacing w:after="120"/>
              <w:rPr>
                <w:lang w:val="ru-RU"/>
              </w:rPr>
            </w:pPr>
            <w:r w:rsidRPr="00F15D14">
              <w:rPr>
                <w:b/>
                <w:bCs/>
                <w:lang w:val="ru-RU"/>
              </w:rPr>
              <w:t>Рекомендация 6 (2014 г.)</w:t>
            </w:r>
            <w:r w:rsidRPr="00F15D14">
              <w:rPr>
                <w:lang w:val="ru-RU"/>
              </w:rPr>
              <w:t xml:space="preserve">: </w:t>
            </w:r>
            <w:proofErr w:type="spellStart"/>
            <w:r w:rsidRPr="00F15D14">
              <w:rPr>
                <w:lang w:val="ru-RU"/>
              </w:rPr>
              <w:t>IMAC</w:t>
            </w:r>
            <w:proofErr w:type="spellEnd"/>
            <w:r w:rsidRPr="00F15D14">
              <w:rPr>
                <w:lang w:val="ru-RU"/>
              </w:rPr>
              <w:t xml:space="preserve"> рекомендует продолжить разработку мер по систематическому управлению рисками и применять их на оперативном уровне в качестве непрерывной части бизнес-процесса с использованием реестра рисков с указанием ответственных за риски и регулярного рассмотрения на уровне высшего руководства. </w:t>
            </w:r>
          </w:p>
        </w:tc>
      </w:tr>
    </w:tbl>
    <w:p w:rsidR="00E51A77" w:rsidRPr="00F15D14" w:rsidRDefault="00E51A77" w:rsidP="00F15D14">
      <w:pPr>
        <w:pStyle w:val="Headingb"/>
        <w:rPr>
          <w:lang w:val="ru-RU"/>
        </w:rPr>
      </w:pPr>
      <w:r w:rsidRPr="00F15D14">
        <w:rPr>
          <w:lang w:val="ru-RU"/>
        </w:rPr>
        <w:t>Финансовое управление</w:t>
      </w:r>
    </w:p>
    <w:p w:rsidR="00E51A77" w:rsidRPr="00F15D14" w:rsidRDefault="00E51A77" w:rsidP="00F15D14">
      <w:pPr>
        <w:rPr>
          <w:lang w:val="ru-RU"/>
        </w:rPr>
      </w:pPr>
      <w:r w:rsidRPr="00F15D14">
        <w:rPr>
          <w:lang w:val="ru-RU"/>
        </w:rPr>
        <w:t>3.10</w:t>
      </w:r>
      <w:proofErr w:type="gramStart"/>
      <w:r w:rsidRPr="00F15D14">
        <w:rPr>
          <w:lang w:val="ru-RU"/>
        </w:rPr>
        <w:tab/>
        <w:t>Н</w:t>
      </w:r>
      <w:proofErr w:type="gramEnd"/>
      <w:r w:rsidRPr="00F15D14">
        <w:rPr>
          <w:lang w:val="ru-RU"/>
        </w:rPr>
        <w:t xml:space="preserve">а своем собрании в ноябре 2013 года </w:t>
      </w:r>
      <w:proofErr w:type="spellStart"/>
      <w:r w:rsidRPr="00F15D14">
        <w:rPr>
          <w:lang w:val="ru-RU"/>
        </w:rPr>
        <w:t>IMAC</w:t>
      </w:r>
      <w:proofErr w:type="spellEnd"/>
      <w:r w:rsidRPr="00F15D14">
        <w:rPr>
          <w:lang w:val="ru-RU"/>
        </w:rPr>
        <w:t xml:space="preserve"> получил информацию, касающуюся предложения для ПК-14 о пересмотре Решения 5 в целях учета создания </w:t>
      </w:r>
      <w:proofErr w:type="spellStart"/>
      <w:r w:rsidRPr="00F15D14">
        <w:rPr>
          <w:lang w:val="ru-RU"/>
        </w:rPr>
        <w:t>IMAC</w:t>
      </w:r>
      <w:proofErr w:type="spellEnd"/>
      <w:r w:rsidRPr="00F15D14">
        <w:rPr>
          <w:lang w:val="ru-RU"/>
        </w:rPr>
        <w:t xml:space="preserve">; </w:t>
      </w:r>
      <w:proofErr w:type="gramStart"/>
      <w:r w:rsidRPr="00F15D14">
        <w:rPr>
          <w:lang w:val="ru-RU"/>
        </w:rPr>
        <w:t>решений, принятых Советом для снятия средств с Резервного счета для учета того факта, что АР-15 и ВКР-15 не были включены в финансовый план на 2012−2015 годы, а также для Плана медицинского страхования после выхода в отставку (</w:t>
      </w:r>
      <w:proofErr w:type="spellStart"/>
      <w:r w:rsidRPr="00F15D14">
        <w:rPr>
          <w:lang w:val="ru-RU"/>
        </w:rPr>
        <w:t>АСХИ</w:t>
      </w:r>
      <w:proofErr w:type="spellEnd"/>
      <w:r w:rsidRPr="00F15D14">
        <w:rPr>
          <w:lang w:val="ru-RU"/>
        </w:rPr>
        <w:t xml:space="preserve">); и того факта, что недавнее увеличение обязательного возраста выхода на пенсию окажет положительное воздействие на долгосрочные обязательства </w:t>
      </w:r>
      <w:proofErr w:type="spellStart"/>
      <w:r w:rsidRPr="00F15D14">
        <w:rPr>
          <w:lang w:val="ru-RU"/>
        </w:rPr>
        <w:t>АСХИ</w:t>
      </w:r>
      <w:proofErr w:type="spellEnd"/>
      <w:r w:rsidRPr="00F15D14">
        <w:rPr>
          <w:lang w:val="ru-RU"/>
        </w:rPr>
        <w:t>.</w:t>
      </w:r>
      <w:proofErr w:type="gramEnd"/>
      <w:r w:rsidRPr="00F15D14">
        <w:rPr>
          <w:lang w:val="ru-RU"/>
        </w:rPr>
        <w:t xml:space="preserve"> Совет также решил предоставить Генеральному секретарю гибкость для осуществления трансфертов между бюджетными </w:t>
      </w:r>
      <w:r w:rsidR="00F15D14" w:rsidRPr="00F15D14">
        <w:rPr>
          <w:lang w:val="ru-RU"/>
        </w:rPr>
        <w:t>категориями.</w:t>
      </w:r>
    </w:p>
    <w:p w:rsidR="00E51A77" w:rsidRPr="00F15D14" w:rsidRDefault="00E51A77" w:rsidP="00F15D14">
      <w:pPr>
        <w:rPr>
          <w:lang w:val="ru-RU"/>
        </w:rPr>
      </w:pPr>
      <w:r w:rsidRPr="00F15D14">
        <w:rPr>
          <w:lang w:val="ru-RU"/>
        </w:rPr>
        <w:lastRenderedPageBreak/>
        <w:t>3.11</w:t>
      </w:r>
      <w:proofErr w:type="gramStart"/>
      <w:r w:rsidRPr="00F15D14">
        <w:rPr>
          <w:lang w:val="ru-RU"/>
        </w:rPr>
        <w:tab/>
        <w:t>Н</w:t>
      </w:r>
      <w:proofErr w:type="gramEnd"/>
      <w:r w:rsidRPr="00F15D14">
        <w:rPr>
          <w:lang w:val="ru-RU"/>
        </w:rPr>
        <w:t xml:space="preserve">а своем собрании в феврале 2014 года </w:t>
      </w:r>
      <w:proofErr w:type="spellStart"/>
      <w:r w:rsidRPr="00F15D14">
        <w:rPr>
          <w:lang w:val="ru-RU"/>
        </w:rPr>
        <w:t>IMAC</w:t>
      </w:r>
      <w:proofErr w:type="spellEnd"/>
      <w:r w:rsidRPr="00F15D14">
        <w:rPr>
          <w:lang w:val="ru-RU"/>
        </w:rPr>
        <w:t xml:space="preserve"> был ознакомлен с проектом финансового плана МСЭ на 2016−2019 года. В нем показан дефицит в размере 60 млн. швейцарских франков, который, согласно Генеральному секретарю, будет устранен ко времени утверждения ПК-14. К числу допущений, включенных в план, относятся: нулевой номинальный рост размера единицы взноса; ежегодные отчисления в </w:t>
      </w:r>
      <w:proofErr w:type="spellStart"/>
      <w:r w:rsidRPr="00F15D14">
        <w:rPr>
          <w:lang w:val="ru-RU"/>
        </w:rPr>
        <w:t>АСХИ</w:t>
      </w:r>
      <w:proofErr w:type="spellEnd"/>
      <w:r w:rsidRPr="00F15D14">
        <w:rPr>
          <w:lang w:val="ru-RU"/>
        </w:rPr>
        <w:t xml:space="preserve"> и другие обязательства в размере 2 млн. швейцарских франков; ежегодные расходы в размере 3 млн. швейцарских франков на оплату сооружения здания для замены здания "</w:t>
      </w:r>
      <w:proofErr w:type="spellStart"/>
      <w:r w:rsidRPr="00F15D14">
        <w:rPr>
          <w:lang w:val="ru-RU"/>
        </w:rPr>
        <w:t>Варембе</w:t>
      </w:r>
      <w:proofErr w:type="spellEnd"/>
      <w:r w:rsidRPr="00F15D14">
        <w:rPr>
          <w:lang w:val="ru-RU"/>
        </w:rPr>
        <w:t>";</w:t>
      </w:r>
      <w:r w:rsidR="00F15D14" w:rsidRPr="00F15D14">
        <w:rPr>
          <w:lang w:val="ru-RU"/>
        </w:rPr>
        <w:t xml:space="preserve"> и отсутствие новых должностей.</w:t>
      </w:r>
    </w:p>
    <w:p w:rsidR="00E51A77" w:rsidRPr="00F15D14" w:rsidRDefault="00E51A77" w:rsidP="00AA7849">
      <w:pPr>
        <w:spacing w:after="120"/>
        <w:rPr>
          <w:lang w:val="ru-RU"/>
        </w:rPr>
      </w:pPr>
      <w:r w:rsidRPr="00F15D14">
        <w:rPr>
          <w:lang w:val="ru-RU"/>
        </w:rPr>
        <w:t>3.12</w:t>
      </w:r>
      <w:r w:rsidRPr="00F15D14">
        <w:rPr>
          <w:lang w:val="ru-RU"/>
        </w:rPr>
        <w:tab/>
      </w:r>
      <w:proofErr w:type="spellStart"/>
      <w:r w:rsidRPr="00F15D14">
        <w:rPr>
          <w:lang w:val="ru-RU"/>
        </w:rPr>
        <w:t>IMAC</w:t>
      </w:r>
      <w:proofErr w:type="spellEnd"/>
      <w:r w:rsidRPr="00F15D14">
        <w:rPr>
          <w:lang w:val="ru-RU"/>
        </w:rPr>
        <w:t xml:space="preserve"> отметил, что ассигнования на обязательства </w:t>
      </w:r>
      <w:proofErr w:type="spellStart"/>
      <w:r w:rsidRPr="00F15D14">
        <w:rPr>
          <w:lang w:val="ru-RU"/>
        </w:rPr>
        <w:t>АСХИ</w:t>
      </w:r>
      <w:proofErr w:type="spellEnd"/>
      <w:r w:rsidRPr="00F15D14">
        <w:rPr>
          <w:lang w:val="ru-RU"/>
        </w:rPr>
        <w:t xml:space="preserve"> указывают на то, что связанные с ним значительные затраты признаются и предусматриваются. Комитет также отметил, что замена здания "</w:t>
      </w:r>
      <w:proofErr w:type="spellStart"/>
      <w:r w:rsidRPr="00F15D14">
        <w:rPr>
          <w:lang w:val="ru-RU"/>
        </w:rPr>
        <w:t>Варембе</w:t>
      </w:r>
      <w:proofErr w:type="spellEnd"/>
      <w:r w:rsidRPr="00F15D14">
        <w:rPr>
          <w:lang w:val="ru-RU"/>
        </w:rPr>
        <w:t>" будет происходить на основе получения МСЭ от правительства Швейцарии беспроцентного займа в размере 150 млн. швейцарских франков. Как представляется, по предложенному проекту строительства не составлено всестороннее экономическое обоснование и не проведены сопоставительный анализ и определение затрат по разл</w:t>
      </w:r>
      <w:r w:rsidR="00F15D14" w:rsidRPr="00F15D14">
        <w:rPr>
          <w:lang w:val="ru-RU"/>
        </w:rPr>
        <w:t>ичным альтернативным вариантам.</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9"/>
      </w:tblGrid>
      <w:tr w:rsidR="00E51A77" w:rsidRPr="00115193" w:rsidTr="00D760E8">
        <w:trPr>
          <w:trHeight w:val="870"/>
        </w:trPr>
        <w:tc>
          <w:tcPr>
            <w:tcW w:w="9729" w:type="dxa"/>
          </w:tcPr>
          <w:p w:rsidR="00E51A77" w:rsidRPr="00F15D14" w:rsidRDefault="00E51A77" w:rsidP="00115193">
            <w:pPr>
              <w:spacing w:after="120"/>
              <w:rPr>
                <w:lang w:val="ru-RU"/>
              </w:rPr>
            </w:pPr>
            <w:r w:rsidRPr="00F15D14">
              <w:rPr>
                <w:b/>
                <w:bCs/>
                <w:lang w:val="ru-RU"/>
              </w:rPr>
              <w:t>Рекомендация 7 (2014 г.)</w:t>
            </w:r>
            <w:r w:rsidRPr="00F15D14">
              <w:rPr>
                <w:lang w:val="ru-RU"/>
              </w:rPr>
              <w:t xml:space="preserve">: </w:t>
            </w:r>
            <w:proofErr w:type="spellStart"/>
            <w:r w:rsidRPr="00F15D14">
              <w:rPr>
                <w:lang w:val="ru-RU"/>
              </w:rPr>
              <w:t>IMAC</w:t>
            </w:r>
            <w:proofErr w:type="spellEnd"/>
            <w:r w:rsidRPr="00F15D14">
              <w:rPr>
                <w:lang w:val="ru-RU"/>
              </w:rPr>
              <w:t xml:space="preserve"> рекомендует МСЭ рассмотреть вопрос о целесообразности разработки всестороннего экономического обоснования с указанием вариантов с рассчитанными затратами в поддержку своего решения, связанного с такими </w:t>
            </w:r>
            <w:r w:rsidR="00F15D14" w:rsidRPr="00F15D14">
              <w:rPr>
                <w:lang w:val="ru-RU"/>
              </w:rPr>
              <w:t xml:space="preserve">масштабными </w:t>
            </w:r>
            <w:r w:rsidRPr="00F15D14">
              <w:rPr>
                <w:lang w:val="ru-RU"/>
              </w:rPr>
              <w:t xml:space="preserve">долгосрочными издержками. </w:t>
            </w:r>
          </w:p>
        </w:tc>
      </w:tr>
    </w:tbl>
    <w:p w:rsidR="00E51A77" w:rsidRPr="00F15D14" w:rsidRDefault="00E51A77" w:rsidP="00F15D14">
      <w:pPr>
        <w:pStyle w:val="Headingb"/>
        <w:rPr>
          <w:lang w:val="ru-RU"/>
        </w:rPr>
      </w:pPr>
      <w:r w:rsidRPr="00F15D14">
        <w:rPr>
          <w:lang w:val="ru-RU"/>
        </w:rPr>
        <w:t>Стратегическое планирование</w:t>
      </w:r>
    </w:p>
    <w:p w:rsidR="00E51A77" w:rsidRPr="00F15D14" w:rsidRDefault="00E51A77" w:rsidP="00AA7849">
      <w:pPr>
        <w:spacing w:after="120"/>
        <w:rPr>
          <w:lang w:val="ru-RU"/>
        </w:rPr>
      </w:pPr>
      <w:r w:rsidRPr="00F15D14">
        <w:rPr>
          <w:lang w:val="ru-RU"/>
        </w:rPr>
        <w:t>3.13</w:t>
      </w:r>
      <w:r w:rsidRPr="00F15D14">
        <w:rPr>
          <w:lang w:val="ru-RU"/>
        </w:rPr>
        <w:tab/>
      </w:r>
      <w:proofErr w:type="spellStart"/>
      <w:r w:rsidRPr="00F15D14">
        <w:rPr>
          <w:lang w:val="ru-RU"/>
        </w:rPr>
        <w:t>IMAC</w:t>
      </w:r>
      <w:proofErr w:type="spellEnd"/>
      <w:r w:rsidRPr="00F15D14">
        <w:rPr>
          <w:lang w:val="ru-RU"/>
        </w:rPr>
        <w:t xml:space="preserve"> с удовлетворением отметил сделанные на его двух собраниях презентации, связанные с разработкой проекта стратегического плана на 2016−2019 годы, отметив внесенные в него существенные доработки и принятые отличные инновационные подходы. </w:t>
      </w:r>
      <w:proofErr w:type="spellStart"/>
      <w:r w:rsidRPr="00F15D14">
        <w:rPr>
          <w:lang w:val="ru-RU"/>
        </w:rPr>
        <w:t>IMAC</w:t>
      </w:r>
      <w:proofErr w:type="spellEnd"/>
      <w:r w:rsidRPr="00F15D14">
        <w:rPr>
          <w:lang w:val="ru-RU"/>
        </w:rPr>
        <w:t xml:space="preserve"> рекомендовал использовать меньше ключевых показателей деятельности (</w:t>
      </w:r>
      <w:proofErr w:type="spellStart"/>
      <w:r w:rsidRPr="00F15D14">
        <w:rPr>
          <w:lang w:val="ru-RU"/>
        </w:rPr>
        <w:t>KPI</w:t>
      </w:r>
      <w:proofErr w:type="spellEnd"/>
      <w:r w:rsidRPr="00F15D14">
        <w:rPr>
          <w:lang w:val="ru-RU"/>
        </w:rPr>
        <w:t xml:space="preserve">), которые должны быть более четкими. </w:t>
      </w:r>
      <w:proofErr w:type="spellStart"/>
      <w:r w:rsidRPr="00F15D14">
        <w:rPr>
          <w:lang w:val="ru-RU"/>
        </w:rPr>
        <w:t>IMAC</w:t>
      </w:r>
      <w:proofErr w:type="spellEnd"/>
      <w:r w:rsidRPr="00F15D14">
        <w:rPr>
          <w:lang w:val="ru-RU"/>
        </w:rPr>
        <w:t xml:space="preserve"> выразил удовлетворение в связи с тем, что в плане учитываются организационные риски. План рассчитан на то, чтобы отразить </w:t>
      </w:r>
      <w:proofErr w:type="gramStart"/>
      <w:r w:rsidRPr="00F15D14">
        <w:rPr>
          <w:lang w:val="ru-RU"/>
        </w:rPr>
        <w:t>более единый</w:t>
      </w:r>
      <w:proofErr w:type="gramEnd"/>
      <w:r w:rsidRPr="00F15D14">
        <w:rPr>
          <w:lang w:val="ru-RU"/>
        </w:rPr>
        <w:t xml:space="preserve"> взгляд на МСЭ, что позволит укрепить основные возможности и усилить внутреннее взаимодействие. Если такой подход окажется успешным, он также обеспечит эффективность управления и административного руководства.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37"/>
      </w:tblGrid>
      <w:tr w:rsidR="00E51A77" w:rsidRPr="00115193" w:rsidTr="00F15D14">
        <w:trPr>
          <w:trHeight w:val="710"/>
          <w:jc w:val="center"/>
        </w:trPr>
        <w:tc>
          <w:tcPr>
            <w:tcW w:w="9737" w:type="dxa"/>
          </w:tcPr>
          <w:p w:rsidR="00E51A77" w:rsidRPr="00F15D14" w:rsidRDefault="00E51A77" w:rsidP="00115193">
            <w:pPr>
              <w:spacing w:after="120"/>
              <w:rPr>
                <w:lang w:val="ru-RU"/>
              </w:rPr>
            </w:pPr>
            <w:r w:rsidRPr="00F15D14">
              <w:rPr>
                <w:b/>
                <w:bCs/>
                <w:lang w:val="ru-RU"/>
              </w:rPr>
              <w:t>Рекомендация 8 (2014 г.)</w:t>
            </w:r>
            <w:r w:rsidRPr="00F15D14">
              <w:rPr>
                <w:lang w:val="ru-RU"/>
              </w:rPr>
              <w:t xml:space="preserve">: </w:t>
            </w:r>
            <w:proofErr w:type="spellStart"/>
            <w:r w:rsidRPr="00F15D14">
              <w:rPr>
                <w:lang w:val="ru-RU"/>
              </w:rPr>
              <w:t>IMAC</w:t>
            </w:r>
            <w:proofErr w:type="spellEnd"/>
            <w:r w:rsidRPr="00F15D14">
              <w:rPr>
                <w:lang w:val="ru-RU"/>
              </w:rPr>
              <w:t xml:space="preserve"> одобряет прогресс, достигнутый в области стратегического планирования, и рекомендует продолжить развитие в этом направлении. </w:t>
            </w:r>
          </w:p>
        </w:tc>
      </w:tr>
    </w:tbl>
    <w:p w:rsidR="00E51A77" w:rsidRPr="00F15D14" w:rsidRDefault="00E51A77" w:rsidP="00F15D14">
      <w:pPr>
        <w:pStyle w:val="Headingb"/>
        <w:rPr>
          <w:lang w:val="ru-RU"/>
        </w:rPr>
      </w:pPr>
      <w:r w:rsidRPr="00F15D14">
        <w:rPr>
          <w:lang w:val="ru-RU"/>
        </w:rPr>
        <w:t xml:space="preserve">Веб-страница </w:t>
      </w:r>
      <w:proofErr w:type="spellStart"/>
      <w:r w:rsidRPr="00F15D14">
        <w:rPr>
          <w:lang w:val="ru-RU"/>
        </w:rPr>
        <w:t>IMAC</w:t>
      </w:r>
      <w:proofErr w:type="spellEnd"/>
    </w:p>
    <w:p w:rsidR="00E51A77" w:rsidRPr="00F15D14" w:rsidRDefault="00E51A77" w:rsidP="00AA7849">
      <w:pPr>
        <w:spacing w:after="120"/>
        <w:rPr>
          <w:lang w:val="ru-RU"/>
        </w:rPr>
      </w:pPr>
      <w:r w:rsidRPr="00F15D14">
        <w:rPr>
          <w:lang w:val="ru-RU"/>
        </w:rPr>
        <w:t>3.14</w:t>
      </w:r>
      <w:proofErr w:type="gramStart"/>
      <w:r w:rsidRPr="00F15D14">
        <w:rPr>
          <w:lang w:val="ru-RU"/>
        </w:rPr>
        <w:tab/>
        <w:t>В</w:t>
      </w:r>
      <w:proofErr w:type="gramEnd"/>
      <w:r w:rsidRPr="00F15D14">
        <w:rPr>
          <w:lang w:val="ru-RU"/>
        </w:rPr>
        <w:t xml:space="preserve"> ходе краткой презентации на своей веб-странице </w:t>
      </w:r>
      <w:proofErr w:type="spellStart"/>
      <w:r w:rsidRPr="00F15D14">
        <w:rPr>
          <w:lang w:val="ru-RU"/>
        </w:rPr>
        <w:t>IMAC</w:t>
      </w:r>
      <w:proofErr w:type="spellEnd"/>
      <w:r w:rsidRPr="00F15D14">
        <w:rPr>
          <w:lang w:val="ru-RU"/>
        </w:rPr>
        <w:t xml:space="preserve"> высоко оценил принятые меры и подчеркнул важность доступности документов для обеспечения прозрачности и </w:t>
      </w:r>
      <w:r w:rsidR="00F15D14" w:rsidRPr="00F15D14">
        <w:rPr>
          <w:lang w:val="ru-RU"/>
        </w:rPr>
        <w:t>надлежащего управления.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3"/>
      </w:tblGrid>
      <w:tr w:rsidR="00E51A77" w:rsidRPr="00115193" w:rsidTr="00D760E8">
        <w:trPr>
          <w:trHeight w:val="870"/>
          <w:jc w:val="center"/>
        </w:trPr>
        <w:tc>
          <w:tcPr>
            <w:tcW w:w="9853" w:type="dxa"/>
          </w:tcPr>
          <w:p w:rsidR="00E51A77" w:rsidRPr="00F15D14" w:rsidRDefault="00E51A77" w:rsidP="00115193">
            <w:pPr>
              <w:spacing w:after="120"/>
              <w:rPr>
                <w:lang w:val="ru-RU"/>
              </w:rPr>
            </w:pPr>
            <w:r w:rsidRPr="00F15D14">
              <w:rPr>
                <w:b/>
                <w:bCs/>
                <w:lang w:val="ru-RU"/>
              </w:rPr>
              <w:t>Рекомендация 9 (2014 г.)</w:t>
            </w:r>
            <w:r w:rsidRPr="00F15D14">
              <w:rPr>
                <w:lang w:val="ru-RU"/>
              </w:rPr>
              <w:t xml:space="preserve">: В интересах принципов прозрачности и надлежащего управления </w:t>
            </w:r>
            <w:proofErr w:type="spellStart"/>
            <w:r w:rsidRPr="00F15D14">
              <w:rPr>
                <w:lang w:val="ru-RU"/>
              </w:rPr>
              <w:t>IMAC</w:t>
            </w:r>
            <w:proofErr w:type="spellEnd"/>
            <w:r w:rsidRPr="00F15D14">
              <w:rPr>
                <w:lang w:val="ru-RU"/>
              </w:rPr>
              <w:t xml:space="preserve"> рекомендует, чтобы все документы, касающиеся Комитета, были общедоступными. С учетом рассмотрения </w:t>
            </w:r>
            <w:proofErr w:type="spellStart"/>
            <w:r w:rsidRPr="00F15D14">
              <w:rPr>
                <w:lang w:val="ru-RU"/>
              </w:rPr>
              <w:t>РГС-ФЛР</w:t>
            </w:r>
            <w:proofErr w:type="spellEnd"/>
            <w:r w:rsidRPr="00F15D14">
              <w:rPr>
                <w:lang w:val="ru-RU"/>
              </w:rPr>
              <w:t xml:space="preserve"> вопроса о доступности документов, </w:t>
            </w:r>
            <w:proofErr w:type="spellStart"/>
            <w:r w:rsidRPr="00F15D14">
              <w:rPr>
                <w:lang w:val="ru-RU"/>
              </w:rPr>
              <w:t>IMAC</w:t>
            </w:r>
            <w:proofErr w:type="spellEnd"/>
            <w:r w:rsidRPr="00F15D14">
              <w:rPr>
                <w:lang w:val="ru-RU"/>
              </w:rPr>
              <w:t xml:space="preserve"> настоятельно рекомендует применять в МСЭ предлагаемый Комитетом подход к обеспечению доступности документов на всех возможных уровнях. </w:t>
            </w:r>
          </w:p>
        </w:tc>
      </w:tr>
    </w:tbl>
    <w:p w:rsidR="00E51A77" w:rsidRPr="00F15D14" w:rsidRDefault="00E51A77" w:rsidP="00F15D14">
      <w:pPr>
        <w:pStyle w:val="Heading1"/>
        <w:rPr>
          <w:lang w:val="ru-RU"/>
        </w:rPr>
      </w:pPr>
      <w:r w:rsidRPr="00F15D14">
        <w:rPr>
          <w:lang w:val="ru-RU"/>
        </w:rPr>
        <w:t>4</w:t>
      </w:r>
      <w:r w:rsidRPr="00F15D14">
        <w:rPr>
          <w:lang w:val="ru-RU"/>
        </w:rPr>
        <w:tab/>
        <w:t>Будущие собрания</w:t>
      </w:r>
    </w:p>
    <w:p w:rsidR="00E51A77" w:rsidRPr="00F15D14" w:rsidRDefault="00E51A77" w:rsidP="00F15D14">
      <w:pPr>
        <w:rPr>
          <w:lang w:val="ru-RU"/>
        </w:rPr>
      </w:pPr>
      <w:r w:rsidRPr="00F15D14">
        <w:rPr>
          <w:lang w:val="ru-RU"/>
        </w:rPr>
        <w:t>4.1</w:t>
      </w:r>
      <w:r w:rsidRPr="00F15D14">
        <w:rPr>
          <w:lang w:val="ru-RU"/>
        </w:rPr>
        <w:tab/>
      </w:r>
      <w:proofErr w:type="spellStart"/>
      <w:r w:rsidRPr="00F15D14">
        <w:rPr>
          <w:lang w:val="ru-RU"/>
        </w:rPr>
        <w:t>IMAC</w:t>
      </w:r>
      <w:proofErr w:type="spellEnd"/>
      <w:r w:rsidRPr="00F15D14">
        <w:rPr>
          <w:lang w:val="ru-RU"/>
        </w:rPr>
        <w:t xml:space="preserve"> планирует провести свои следующие собрания 3−4 июля и 1−2 декабря 2014 года.</w:t>
      </w:r>
    </w:p>
    <w:p w:rsidR="00E51A77" w:rsidRPr="00F15D14" w:rsidRDefault="00E51A77" w:rsidP="00F15D14">
      <w:pPr>
        <w:pStyle w:val="Heading1"/>
        <w:rPr>
          <w:lang w:val="ru-RU"/>
        </w:rPr>
      </w:pPr>
      <w:r w:rsidRPr="00F15D14">
        <w:rPr>
          <w:lang w:val="ru-RU"/>
        </w:rPr>
        <w:lastRenderedPageBreak/>
        <w:t>5</w:t>
      </w:r>
      <w:r w:rsidRPr="00F15D14">
        <w:rPr>
          <w:lang w:val="ru-RU"/>
        </w:rPr>
        <w:tab/>
        <w:t xml:space="preserve">Выражение признательности </w:t>
      </w:r>
    </w:p>
    <w:p w:rsidR="00E51A77" w:rsidRPr="00F15D14" w:rsidRDefault="00E51A77" w:rsidP="00F15D14">
      <w:pPr>
        <w:rPr>
          <w:lang w:val="ru-RU"/>
        </w:rPr>
      </w:pPr>
      <w:r w:rsidRPr="00F15D14">
        <w:rPr>
          <w:lang w:val="ru-RU"/>
        </w:rPr>
        <w:t>5.1</w:t>
      </w:r>
      <w:proofErr w:type="gramStart"/>
      <w:r w:rsidRPr="00F15D14">
        <w:rPr>
          <w:lang w:val="ru-RU"/>
        </w:rPr>
        <w:tab/>
        <w:t>В</w:t>
      </w:r>
      <w:proofErr w:type="gramEnd"/>
      <w:r w:rsidRPr="00F15D14">
        <w:rPr>
          <w:lang w:val="ru-RU"/>
        </w:rPr>
        <w:t xml:space="preserve"> заключение Комитет выражает глубокую признательность Генеральному секретарю и персоналу МСЭ за их участие и сотрудничество при оказании содействия Независимому консультативному комитету по управлению в его работе. Комитет также благодарит членов Рабочей группы Совета по финансовым и людским ресурсам за проявленный интерес и сотрудничество с </w:t>
      </w:r>
      <w:proofErr w:type="spellStart"/>
      <w:r w:rsidRPr="00F15D14">
        <w:rPr>
          <w:lang w:val="ru-RU"/>
        </w:rPr>
        <w:t>IMAC</w:t>
      </w:r>
      <w:proofErr w:type="spellEnd"/>
      <w:r w:rsidRPr="00F15D14">
        <w:rPr>
          <w:lang w:val="ru-RU"/>
        </w:rPr>
        <w:t xml:space="preserve"> по вопросам, которые имеют решающее значение для управления и руководства в МСЭ. </w:t>
      </w:r>
    </w:p>
    <w:p w:rsidR="00E51A77" w:rsidRPr="00F15D14" w:rsidRDefault="00E51A77" w:rsidP="00E51A77">
      <w:pPr>
        <w:spacing w:before="1440"/>
        <w:rPr>
          <w:lang w:val="ru-RU"/>
        </w:rPr>
      </w:pPr>
      <w:r w:rsidRPr="00F15D14">
        <w:rPr>
          <w:b/>
          <w:bCs/>
          <w:lang w:val="ru-RU"/>
        </w:rPr>
        <w:t>Приложение</w:t>
      </w:r>
      <w:r w:rsidRPr="00F15D14">
        <w:rPr>
          <w:lang w:val="ru-RU"/>
        </w:rPr>
        <w:t>: 1</w:t>
      </w:r>
    </w:p>
    <w:p w:rsidR="00E51A77" w:rsidRPr="00F15D14" w:rsidRDefault="00E51A77" w:rsidP="00E51A77">
      <w:pPr>
        <w:spacing w:before="1440"/>
        <w:rPr>
          <w:lang w:val="ru-RU"/>
        </w:rPr>
        <w:sectPr w:rsidR="00E51A77" w:rsidRPr="00F15D14" w:rsidSect="00F665C2">
          <w:headerReference w:type="default" r:id="rId15"/>
          <w:footerReference w:type="default" r:id="rId16"/>
          <w:footerReference w:type="first" r:id="rId17"/>
          <w:pgSz w:w="11907" w:h="16840" w:code="9"/>
          <w:pgMar w:top="1134" w:right="1134" w:bottom="851" w:left="1134" w:header="720" w:footer="720" w:gutter="0"/>
          <w:cols w:space="720"/>
          <w:titlePg/>
          <w:docGrid w:linePitch="360"/>
        </w:sectPr>
      </w:pPr>
    </w:p>
    <w:p w:rsidR="00E51A77" w:rsidRPr="00F15D14" w:rsidRDefault="00E51A77" w:rsidP="00E51A77">
      <w:pPr>
        <w:pStyle w:val="AnnexNo"/>
        <w:rPr>
          <w:lang w:val="ru-RU"/>
        </w:rPr>
      </w:pPr>
      <w:r w:rsidRPr="00F15D14">
        <w:rPr>
          <w:lang w:val="ru-RU"/>
        </w:rPr>
        <w:lastRenderedPageBreak/>
        <w:t>ПРИЛОЖЕНИЕ A</w:t>
      </w:r>
    </w:p>
    <w:p w:rsidR="00E51A77" w:rsidRPr="00F15D14" w:rsidRDefault="00E51A77" w:rsidP="00E51A77">
      <w:pPr>
        <w:pStyle w:val="Annextitle"/>
        <w:rPr>
          <w:lang w:val="ru-RU"/>
        </w:rPr>
      </w:pPr>
      <w:r w:rsidRPr="00F15D14">
        <w:rPr>
          <w:lang w:val="ru-RU"/>
        </w:rPr>
        <w:t>Рекомендации Независимого консультативного комитета по управлению – 2013 год</w:t>
      </w:r>
    </w:p>
    <w:p w:rsidR="00E51A77" w:rsidRPr="00F15D14" w:rsidRDefault="00E51A77" w:rsidP="00E51A77">
      <w:pPr>
        <w:pStyle w:val="Annextitle"/>
        <w:rPr>
          <w:sz w:val="22"/>
          <w:szCs w:val="22"/>
          <w:lang w:val="ru-RU"/>
        </w:rPr>
      </w:pPr>
      <w:r w:rsidRPr="00F15D14">
        <w:rPr>
          <w:sz w:val="22"/>
          <w:szCs w:val="22"/>
          <w:lang w:val="ru-RU"/>
        </w:rPr>
        <w:t>Состояние на 24 февраля 2014 года</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0"/>
        <w:gridCol w:w="5800"/>
        <w:gridCol w:w="1906"/>
        <w:gridCol w:w="4110"/>
        <w:gridCol w:w="1784"/>
      </w:tblGrid>
      <w:tr w:rsidR="00E51A77" w:rsidRPr="00F15D14" w:rsidTr="00E51A77">
        <w:trPr>
          <w:trHeight w:val="675"/>
          <w:tblHeader/>
        </w:trPr>
        <w:tc>
          <w:tcPr>
            <w:tcW w:w="1240" w:type="dxa"/>
            <w:vAlign w:val="center"/>
          </w:tcPr>
          <w:p w:rsidR="00E51A77" w:rsidRPr="00F15D14" w:rsidRDefault="00E51A77" w:rsidP="00E51A77">
            <w:pPr>
              <w:pStyle w:val="Tablehead"/>
              <w:rPr>
                <w:lang w:val="ru-RU"/>
              </w:rPr>
            </w:pPr>
            <w:r w:rsidRPr="00F15D14">
              <w:rPr>
                <w:lang w:val="ru-RU"/>
              </w:rPr>
              <w:t>Рек. №</w:t>
            </w:r>
          </w:p>
        </w:tc>
        <w:tc>
          <w:tcPr>
            <w:tcW w:w="5800" w:type="dxa"/>
            <w:vAlign w:val="center"/>
          </w:tcPr>
          <w:p w:rsidR="00E51A77" w:rsidRPr="00F15D14" w:rsidRDefault="00E51A77" w:rsidP="00E51A77">
            <w:pPr>
              <w:pStyle w:val="Tablehead"/>
              <w:rPr>
                <w:lang w:val="ru-RU"/>
              </w:rPr>
            </w:pPr>
            <w:r w:rsidRPr="00F15D14">
              <w:rPr>
                <w:lang w:val="ru-RU"/>
              </w:rPr>
              <w:t>Описание</w:t>
            </w:r>
          </w:p>
        </w:tc>
        <w:tc>
          <w:tcPr>
            <w:tcW w:w="1906" w:type="dxa"/>
            <w:vAlign w:val="center"/>
          </w:tcPr>
          <w:p w:rsidR="00E51A77" w:rsidRPr="00F15D14" w:rsidRDefault="00E51A77" w:rsidP="00F15D14">
            <w:pPr>
              <w:pStyle w:val="Tablehead"/>
              <w:rPr>
                <w:lang w:val="ru-RU"/>
              </w:rPr>
            </w:pPr>
            <w:r w:rsidRPr="00F15D14">
              <w:rPr>
                <w:lang w:val="ru-RU"/>
              </w:rPr>
              <w:t>Состояние выполнения</w:t>
            </w:r>
          </w:p>
        </w:tc>
        <w:tc>
          <w:tcPr>
            <w:tcW w:w="4110" w:type="dxa"/>
            <w:vAlign w:val="center"/>
          </w:tcPr>
          <w:p w:rsidR="00E51A77" w:rsidRPr="00F15D14" w:rsidRDefault="00E51A77" w:rsidP="00E51A77">
            <w:pPr>
              <w:pStyle w:val="Tablehead"/>
              <w:rPr>
                <w:lang w:val="ru-RU"/>
              </w:rPr>
            </w:pPr>
            <w:r w:rsidRPr="00F15D14">
              <w:rPr>
                <w:lang w:val="ru-RU"/>
              </w:rPr>
              <w:t>Прогресс</w:t>
            </w:r>
          </w:p>
        </w:tc>
        <w:tc>
          <w:tcPr>
            <w:tcW w:w="1784" w:type="dxa"/>
            <w:vAlign w:val="center"/>
          </w:tcPr>
          <w:p w:rsidR="00E51A77" w:rsidRPr="00F15D14" w:rsidRDefault="00E51A77" w:rsidP="00F15D14">
            <w:pPr>
              <w:pStyle w:val="Tablehead"/>
              <w:rPr>
                <w:lang w:val="ru-RU"/>
              </w:rPr>
            </w:pPr>
            <w:r w:rsidRPr="00F15D14">
              <w:rPr>
                <w:lang w:val="ru-RU"/>
              </w:rPr>
              <w:t>Ответственность</w:t>
            </w:r>
          </w:p>
        </w:tc>
      </w:tr>
      <w:tr w:rsidR="00E51A77" w:rsidRPr="00F15D14" w:rsidTr="00E51A77">
        <w:trPr>
          <w:trHeight w:val="2871"/>
        </w:trPr>
        <w:tc>
          <w:tcPr>
            <w:tcW w:w="1240" w:type="dxa"/>
          </w:tcPr>
          <w:p w:rsidR="00E51A77" w:rsidRPr="00F15D14" w:rsidRDefault="00E51A77" w:rsidP="00E51A77">
            <w:pPr>
              <w:pStyle w:val="Tabletext"/>
              <w:rPr>
                <w:lang w:val="ru-RU"/>
              </w:rPr>
            </w:pPr>
            <w:r w:rsidRPr="00F15D14">
              <w:rPr>
                <w:lang w:val="ru-RU"/>
              </w:rPr>
              <w:t>Рек. 1 (2013 г.)</w:t>
            </w:r>
          </w:p>
        </w:tc>
        <w:tc>
          <w:tcPr>
            <w:tcW w:w="5800" w:type="dxa"/>
          </w:tcPr>
          <w:p w:rsidR="00E51A77" w:rsidRPr="00F15D14" w:rsidRDefault="00E51A77" w:rsidP="00E51A77">
            <w:pPr>
              <w:pStyle w:val="Tabletext"/>
              <w:rPr>
                <w:lang w:val="ru-RU"/>
              </w:rPr>
            </w:pPr>
            <w:proofErr w:type="spellStart"/>
            <w:r w:rsidRPr="00F15D14">
              <w:rPr>
                <w:lang w:val="ru-RU"/>
              </w:rPr>
              <w:t>IMAC</w:t>
            </w:r>
            <w:proofErr w:type="spellEnd"/>
            <w:r w:rsidRPr="00F15D14">
              <w:rPr>
                <w:lang w:val="ru-RU"/>
              </w:rPr>
              <w:t xml:space="preserve"> рекомендует Генеральному секретарю утвердить пересмотренный Устав службы внутреннего аудита, с </w:t>
            </w:r>
            <w:proofErr w:type="gramStart"/>
            <w:r w:rsidRPr="00F15D14">
              <w:rPr>
                <w:lang w:val="ru-RU"/>
              </w:rPr>
              <w:t>тем</w:t>
            </w:r>
            <w:proofErr w:type="gramEnd"/>
            <w:r w:rsidRPr="00F15D14">
              <w:rPr>
                <w:lang w:val="ru-RU"/>
              </w:rPr>
              <w:t xml:space="preserve"> чтобы он соответствовал стандартам Института внутренних ревизоров (</w:t>
            </w:r>
            <w:proofErr w:type="spellStart"/>
            <w:r w:rsidRPr="00F15D14">
              <w:rPr>
                <w:lang w:val="ru-RU"/>
              </w:rPr>
              <w:t>ИВР</w:t>
            </w:r>
            <w:proofErr w:type="spellEnd"/>
            <w:r w:rsidRPr="00F15D14">
              <w:rPr>
                <w:lang w:val="ru-RU"/>
              </w:rPr>
              <w:t xml:space="preserve">), с некоторыми дополнительными изменениями для обеспечения того, чтобы: </w:t>
            </w:r>
          </w:p>
          <w:p w:rsidR="00E51A77" w:rsidRPr="00F15D14" w:rsidRDefault="00E51A77" w:rsidP="00115193">
            <w:pPr>
              <w:pStyle w:val="Tabletext"/>
              <w:tabs>
                <w:tab w:val="clear" w:pos="284"/>
                <w:tab w:val="left" w:pos="368"/>
              </w:tabs>
              <w:ind w:left="368" w:hanging="368"/>
              <w:rPr>
                <w:lang w:val="ru-RU"/>
              </w:rPr>
            </w:pPr>
            <w:r w:rsidRPr="00F15D14">
              <w:rPr>
                <w:lang w:val="ru-RU"/>
              </w:rPr>
              <w:t>−</w:t>
            </w:r>
            <w:r w:rsidRPr="00F15D14">
              <w:rPr>
                <w:lang w:val="ru-RU"/>
              </w:rPr>
              <w:tab/>
            </w:r>
            <w:proofErr w:type="spellStart"/>
            <w:r w:rsidRPr="00F15D14">
              <w:rPr>
                <w:lang w:val="ru-RU"/>
              </w:rPr>
              <w:t>IMAC</w:t>
            </w:r>
            <w:proofErr w:type="spellEnd"/>
            <w:r w:rsidRPr="00F15D14">
              <w:rPr>
                <w:lang w:val="ru-RU"/>
              </w:rPr>
              <w:t xml:space="preserve"> рассматривал предлагаемый план работы по внутреннему аудиту до его утверждения Генеральным секретарем;</w:t>
            </w:r>
          </w:p>
          <w:p w:rsidR="00E51A77" w:rsidRPr="00F15D14" w:rsidRDefault="00E51A77" w:rsidP="00115193">
            <w:pPr>
              <w:pStyle w:val="Tabletext"/>
              <w:tabs>
                <w:tab w:val="clear" w:pos="284"/>
                <w:tab w:val="left" w:pos="368"/>
              </w:tabs>
              <w:ind w:left="368" w:hanging="368"/>
              <w:rPr>
                <w:lang w:val="ru-RU"/>
              </w:rPr>
            </w:pPr>
            <w:r w:rsidRPr="00F15D14">
              <w:rPr>
                <w:lang w:val="ru-RU"/>
              </w:rPr>
              <w:t>−</w:t>
            </w:r>
            <w:r w:rsidRPr="00F15D14">
              <w:rPr>
                <w:lang w:val="ru-RU"/>
              </w:rPr>
              <w:tab/>
              <w:t>этот ежегодный план работы рассматривался и утверждался до начала года, к которому он относится;</w:t>
            </w:r>
          </w:p>
          <w:p w:rsidR="00E51A77" w:rsidRPr="00F15D14" w:rsidRDefault="00E51A77" w:rsidP="00115193">
            <w:pPr>
              <w:pStyle w:val="Tabletext"/>
              <w:tabs>
                <w:tab w:val="clear" w:pos="284"/>
                <w:tab w:val="left" w:pos="368"/>
              </w:tabs>
              <w:ind w:left="368" w:hanging="368"/>
              <w:rPr>
                <w:lang w:val="ru-RU"/>
              </w:rPr>
            </w:pPr>
            <w:r w:rsidRPr="00F15D14">
              <w:rPr>
                <w:lang w:val="ru-RU"/>
              </w:rPr>
              <w:t>−</w:t>
            </w:r>
            <w:r w:rsidRPr="00F15D14">
              <w:rPr>
                <w:lang w:val="ru-RU"/>
              </w:rPr>
              <w:tab/>
              <w:t xml:space="preserve">и Совету на обсуждение каждый год представлялся </w:t>
            </w:r>
            <w:proofErr w:type="gramStart"/>
            <w:r w:rsidRPr="00F15D14">
              <w:rPr>
                <w:lang w:val="ru-RU"/>
              </w:rPr>
              <w:t>более всесторонний</w:t>
            </w:r>
            <w:proofErr w:type="gramEnd"/>
            <w:r w:rsidRPr="00F15D14">
              <w:rPr>
                <w:lang w:val="ru-RU"/>
              </w:rPr>
              <w:t xml:space="preserve"> ежегодный отчет внутреннего аудитора, включающий подтверждение достоверности общей среды внутреннего контроля.</w:t>
            </w:r>
          </w:p>
        </w:tc>
        <w:tc>
          <w:tcPr>
            <w:tcW w:w="1906" w:type="dxa"/>
          </w:tcPr>
          <w:p w:rsidR="00A76CAE" w:rsidRDefault="00E51A77" w:rsidP="00F15D14">
            <w:pPr>
              <w:pStyle w:val="Tabletext"/>
              <w:jc w:val="center"/>
              <w:rPr>
                <w:lang w:val="ru-RU"/>
              </w:rPr>
            </w:pPr>
            <w:r w:rsidRPr="00F15D14">
              <w:rPr>
                <w:lang w:val="ru-RU"/>
              </w:rPr>
              <w:br/>
            </w:r>
            <w:r w:rsidRPr="00F15D14">
              <w:rPr>
                <w:lang w:val="ru-RU"/>
              </w:rPr>
              <w:br/>
            </w:r>
            <w:r w:rsidR="00A76CAE">
              <w:rPr>
                <w:lang w:val="ru-RU"/>
              </w:rPr>
              <w:br/>
            </w:r>
            <w:r w:rsidRPr="00F15D14">
              <w:rPr>
                <w:lang w:val="ru-RU"/>
              </w:rPr>
              <w:br/>
            </w:r>
          </w:p>
          <w:p w:rsidR="00A76CAE" w:rsidRDefault="00E51A77" w:rsidP="00F15D14">
            <w:pPr>
              <w:pStyle w:val="Tabletext"/>
              <w:jc w:val="center"/>
              <w:rPr>
                <w:lang w:val="ru-RU"/>
              </w:rPr>
            </w:pPr>
            <w:r w:rsidRPr="00F15D14">
              <w:rPr>
                <w:lang w:val="ru-RU"/>
              </w:rPr>
              <w:t>Выполнено</w:t>
            </w:r>
            <w:r w:rsidRPr="00F15D14">
              <w:rPr>
                <w:lang w:val="ru-RU"/>
              </w:rPr>
              <w:br/>
            </w:r>
            <w:r w:rsidRPr="00F15D14">
              <w:rPr>
                <w:lang w:val="ru-RU"/>
              </w:rPr>
              <w:br/>
            </w:r>
          </w:p>
          <w:p w:rsidR="00A76CAE" w:rsidRDefault="00E51A77" w:rsidP="00A76CAE">
            <w:pPr>
              <w:pStyle w:val="Tabletext"/>
              <w:jc w:val="center"/>
              <w:rPr>
                <w:lang w:val="ru-RU"/>
              </w:rPr>
            </w:pPr>
            <w:r w:rsidRPr="00F15D14">
              <w:rPr>
                <w:lang w:val="ru-RU"/>
              </w:rPr>
              <w:t>Выполнено</w:t>
            </w:r>
            <w:r w:rsidRPr="00F15D14">
              <w:rPr>
                <w:lang w:val="ru-RU"/>
              </w:rPr>
              <w:br/>
            </w:r>
          </w:p>
          <w:p w:rsidR="00E51A77" w:rsidRPr="00F15D14" w:rsidRDefault="00E51A77" w:rsidP="00A76CAE">
            <w:pPr>
              <w:pStyle w:val="Tabletext"/>
              <w:jc w:val="center"/>
              <w:rPr>
                <w:lang w:val="ru-RU"/>
              </w:rPr>
            </w:pPr>
            <w:r w:rsidRPr="00F15D14">
              <w:rPr>
                <w:lang w:val="ru-RU"/>
              </w:rPr>
              <w:t>Не выполнено</w:t>
            </w:r>
          </w:p>
        </w:tc>
        <w:tc>
          <w:tcPr>
            <w:tcW w:w="4110" w:type="dxa"/>
          </w:tcPr>
          <w:p w:rsidR="00E51A77" w:rsidRPr="00F15D14" w:rsidRDefault="00E51A77" w:rsidP="00E51A77">
            <w:pPr>
              <w:pStyle w:val="Tabletext"/>
              <w:rPr>
                <w:lang w:val="ru-RU"/>
              </w:rPr>
            </w:pPr>
            <w:r w:rsidRPr="00F15D14">
              <w:rPr>
                <w:lang w:val="ru-RU"/>
              </w:rPr>
              <w:t xml:space="preserve">Пересмотренный Устав службы внутреннего аудита, разработанный при консультациях с </w:t>
            </w:r>
            <w:proofErr w:type="spellStart"/>
            <w:r w:rsidRPr="00F15D14">
              <w:rPr>
                <w:lang w:val="ru-RU"/>
              </w:rPr>
              <w:t>IMAC</w:t>
            </w:r>
            <w:proofErr w:type="spellEnd"/>
            <w:r w:rsidRPr="00F15D14">
              <w:rPr>
                <w:lang w:val="ru-RU"/>
              </w:rPr>
              <w:t>, утвержден Генеральным секретарем в июне 2013 года, и опубликован пересмотренный служебный приказ.</w:t>
            </w:r>
          </w:p>
          <w:p w:rsidR="00E51A77" w:rsidRPr="00F15D14" w:rsidRDefault="00E51A77" w:rsidP="00C64D09">
            <w:pPr>
              <w:pStyle w:val="Tabletext"/>
              <w:rPr>
                <w:lang w:val="ru-RU"/>
              </w:rPr>
            </w:pPr>
            <w:r w:rsidRPr="00F15D14">
              <w:rPr>
                <w:lang w:val="ru-RU"/>
              </w:rPr>
              <w:t xml:space="preserve">Ежегодный отчет внутреннего аудитора будет направлен и представлен Совету 2014 года для обсуждения в соответствии со Служебным приказом 13/09. Проект этого ежегодного отчета будет рассмотрен </w:t>
            </w:r>
            <w:proofErr w:type="spellStart"/>
            <w:r w:rsidRPr="00F15D14">
              <w:rPr>
                <w:lang w:val="ru-RU"/>
              </w:rPr>
              <w:t>IMAC</w:t>
            </w:r>
            <w:proofErr w:type="spellEnd"/>
            <w:r w:rsidRPr="00F15D14">
              <w:rPr>
                <w:lang w:val="ru-RU"/>
              </w:rPr>
              <w:t xml:space="preserve"> на его седьмом собрании</w:t>
            </w:r>
            <w:r w:rsidR="00C64D09">
              <w:rPr>
                <w:lang w:val="ru-RU"/>
              </w:rPr>
              <w:t xml:space="preserve"> </w:t>
            </w:r>
            <w:r w:rsidRPr="00F15D14">
              <w:rPr>
                <w:lang w:val="ru-RU"/>
              </w:rPr>
              <w:t>24−26 февраля 2014 года.</w:t>
            </w:r>
          </w:p>
        </w:tc>
        <w:tc>
          <w:tcPr>
            <w:tcW w:w="1784" w:type="dxa"/>
          </w:tcPr>
          <w:p w:rsidR="00E51A77" w:rsidRPr="00F15D14" w:rsidRDefault="00E51A77" w:rsidP="00F15D14">
            <w:pPr>
              <w:pStyle w:val="Tabletext"/>
              <w:jc w:val="center"/>
              <w:rPr>
                <w:lang w:val="ru-RU"/>
              </w:rPr>
            </w:pPr>
            <w:proofErr w:type="spellStart"/>
            <w:r w:rsidRPr="00F15D14">
              <w:rPr>
                <w:lang w:val="ru-RU"/>
              </w:rPr>
              <w:t>IAU</w:t>
            </w:r>
            <w:proofErr w:type="spellEnd"/>
            <w:r w:rsidRPr="00F15D14">
              <w:rPr>
                <w:lang w:val="ru-RU"/>
              </w:rPr>
              <w:t>/</w:t>
            </w:r>
            <w:proofErr w:type="spellStart"/>
            <w:r w:rsidRPr="00F15D14">
              <w:rPr>
                <w:lang w:val="ru-RU"/>
              </w:rPr>
              <w:t>ГС</w:t>
            </w:r>
            <w:proofErr w:type="spellEnd"/>
          </w:p>
        </w:tc>
      </w:tr>
      <w:tr w:rsidR="00E51A77" w:rsidRPr="00F15D14" w:rsidTr="00E51A77">
        <w:trPr>
          <w:trHeight w:val="1268"/>
        </w:trPr>
        <w:tc>
          <w:tcPr>
            <w:tcW w:w="1240" w:type="dxa"/>
          </w:tcPr>
          <w:p w:rsidR="00E51A77" w:rsidRPr="00F15D14" w:rsidRDefault="00E51A77" w:rsidP="00E51A77">
            <w:pPr>
              <w:pStyle w:val="Tabletext"/>
              <w:rPr>
                <w:lang w:val="ru-RU"/>
              </w:rPr>
            </w:pPr>
            <w:r w:rsidRPr="00F15D14">
              <w:rPr>
                <w:lang w:val="ru-RU"/>
              </w:rPr>
              <w:t>Рек. 2 (2013 г.)</w:t>
            </w:r>
          </w:p>
        </w:tc>
        <w:tc>
          <w:tcPr>
            <w:tcW w:w="5800" w:type="dxa"/>
          </w:tcPr>
          <w:p w:rsidR="00E51A77" w:rsidRPr="00F15D14" w:rsidRDefault="00E51A77" w:rsidP="00E51A77">
            <w:pPr>
              <w:pStyle w:val="Tabletext"/>
              <w:rPr>
                <w:lang w:val="ru-RU"/>
              </w:rPr>
            </w:pPr>
            <w:proofErr w:type="spellStart"/>
            <w:r w:rsidRPr="00F15D14">
              <w:rPr>
                <w:lang w:val="ru-RU"/>
              </w:rPr>
              <w:t>IMAC</w:t>
            </w:r>
            <w:proofErr w:type="spellEnd"/>
            <w:r w:rsidRPr="00F15D14">
              <w:rPr>
                <w:lang w:val="ru-RU"/>
              </w:rPr>
              <w:t xml:space="preserve"> рекомендует, чтобы в ежегодном плане работы по внутреннему аудиту больше ресурсов направлялось на непосредственную аудиторскую деятельность и меньше – на вспомогательную деятельность по аудиту.</w:t>
            </w:r>
          </w:p>
        </w:tc>
        <w:tc>
          <w:tcPr>
            <w:tcW w:w="1906" w:type="dxa"/>
          </w:tcPr>
          <w:p w:rsidR="00E51A77" w:rsidRPr="00F15D14" w:rsidRDefault="00E51A77" w:rsidP="00F15D14">
            <w:pPr>
              <w:pStyle w:val="Tabletext"/>
              <w:jc w:val="center"/>
              <w:rPr>
                <w:lang w:val="ru-RU"/>
              </w:rPr>
            </w:pPr>
            <w:r w:rsidRPr="00F15D14">
              <w:rPr>
                <w:lang w:val="ru-RU"/>
              </w:rPr>
              <w:t>Выполняется</w:t>
            </w:r>
          </w:p>
        </w:tc>
        <w:tc>
          <w:tcPr>
            <w:tcW w:w="4110" w:type="dxa"/>
          </w:tcPr>
          <w:p w:rsidR="00E51A77" w:rsidRPr="00F15D14" w:rsidRDefault="00E51A77" w:rsidP="00C64D09">
            <w:pPr>
              <w:pStyle w:val="Tabletext"/>
              <w:rPr>
                <w:lang w:val="ru-RU"/>
              </w:rPr>
            </w:pPr>
            <w:r w:rsidRPr="00F15D14">
              <w:rPr>
                <w:lang w:val="ru-RU"/>
              </w:rPr>
              <w:t xml:space="preserve">План работы по внутреннему аудиту на 2014 год рассмотрен </w:t>
            </w:r>
            <w:proofErr w:type="spellStart"/>
            <w:r w:rsidRPr="00F15D14">
              <w:rPr>
                <w:lang w:val="ru-RU"/>
              </w:rPr>
              <w:t>IMAC</w:t>
            </w:r>
            <w:proofErr w:type="spellEnd"/>
            <w:r w:rsidRPr="00F15D14">
              <w:rPr>
                <w:lang w:val="ru-RU"/>
              </w:rPr>
              <w:t xml:space="preserve"> на его шестом собрании 6−7 ноября 2013 года. </w:t>
            </w:r>
            <w:proofErr w:type="spellStart"/>
            <w:r w:rsidRPr="00F15D14">
              <w:rPr>
                <w:lang w:val="ru-RU"/>
              </w:rPr>
              <w:t>IMAC</w:t>
            </w:r>
            <w:proofErr w:type="spellEnd"/>
            <w:r w:rsidRPr="00F15D14">
              <w:rPr>
                <w:lang w:val="ru-RU"/>
              </w:rPr>
              <w:t xml:space="preserve"> представил </w:t>
            </w:r>
            <w:proofErr w:type="spellStart"/>
            <w:r w:rsidRPr="00F15D14">
              <w:rPr>
                <w:lang w:val="ru-RU"/>
              </w:rPr>
              <w:t>ГС</w:t>
            </w:r>
            <w:proofErr w:type="spellEnd"/>
            <w:r w:rsidRPr="00F15D14">
              <w:rPr>
                <w:lang w:val="ru-RU"/>
              </w:rPr>
              <w:t xml:space="preserve"> замечания. План работы по внутреннему аудиту на 2014 год</w:t>
            </w:r>
            <w:r w:rsidR="00C64D09">
              <w:rPr>
                <w:lang w:val="ru-RU"/>
              </w:rPr>
              <w:t xml:space="preserve"> </w:t>
            </w:r>
            <w:r w:rsidRPr="00F15D14">
              <w:rPr>
                <w:lang w:val="ru-RU"/>
              </w:rPr>
              <w:t xml:space="preserve">утвержден </w:t>
            </w:r>
            <w:proofErr w:type="spellStart"/>
            <w:r w:rsidRPr="00F15D14">
              <w:rPr>
                <w:lang w:val="ru-RU"/>
              </w:rPr>
              <w:t>ГС</w:t>
            </w:r>
            <w:proofErr w:type="spellEnd"/>
            <w:r w:rsidRPr="00F15D14">
              <w:rPr>
                <w:lang w:val="ru-RU"/>
              </w:rPr>
              <w:t xml:space="preserve"> до конца 2013 года.</w:t>
            </w:r>
          </w:p>
        </w:tc>
        <w:tc>
          <w:tcPr>
            <w:tcW w:w="1784" w:type="dxa"/>
          </w:tcPr>
          <w:p w:rsidR="00E51A77" w:rsidRPr="00F15D14" w:rsidRDefault="00E51A77" w:rsidP="00F15D14">
            <w:pPr>
              <w:pStyle w:val="Tabletext"/>
              <w:jc w:val="center"/>
              <w:rPr>
                <w:lang w:val="ru-RU"/>
              </w:rPr>
            </w:pPr>
            <w:proofErr w:type="spellStart"/>
            <w:r w:rsidRPr="00F15D14">
              <w:rPr>
                <w:lang w:val="ru-RU"/>
              </w:rPr>
              <w:t>IAU</w:t>
            </w:r>
            <w:proofErr w:type="spellEnd"/>
          </w:p>
        </w:tc>
      </w:tr>
      <w:tr w:rsidR="00E51A77" w:rsidRPr="00F15D14" w:rsidTr="00E51A77">
        <w:trPr>
          <w:trHeight w:val="1200"/>
        </w:trPr>
        <w:tc>
          <w:tcPr>
            <w:tcW w:w="1240" w:type="dxa"/>
          </w:tcPr>
          <w:p w:rsidR="00E51A77" w:rsidRPr="00F15D14" w:rsidRDefault="00E51A77" w:rsidP="00E51A77">
            <w:pPr>
              <w:pStyle w:val="Tabletext"/>
              <w:rPr>
                <w:lang w:val="ru-RU"/>
              </w:rPr>
            </w:pPr>
            <w:r w:rsidRPr="00F15D14">
              <w:rPr>
                <w:lang w:val="ru-RU"/>
              </w:rPr>
              <w:t>Рек. 3 (2013 г.)</w:t>
            </w:r>
          </w:p>
        </w:tc>
        <w:tc>
          <w:tcPr>
            <w:tcW w:w="5800" w:type="dxa"/>
          </w:tcPr>
          <w:p w:rsidR="00E51A77" w:rsidRPr="00F15D14" w:rsidRDefault="00E51A77" w:rsidP="00F15D14">
            <w:pPr>
              <w:pStyle w:val="Tabletext"/>
              <w:rPr>
                <w:lang w:val="ru-RU"/>
              </w:rPr>
            </w:pPr>
            <w:r w:rsidRPr="00F15D14">
              <w:rPr>
                <w:lang w:val="ru-RU"/>
              </w:rPr>
              <w:t xml:space="preserve">Кроме того, для обеспечения надлежащего охвата внутренней аудиторской проверки </w:t>
            </w:r>
            <w:proofErr w:type="spellStart"/>
            <w:r w:rsidRPr="00F15D14">
              <w:rPr>
                <w:lang w:val="ru-RU"/>
              </w:rPr>
              <w:t>IMAC</w:t>
            </w:r>
            <w:proofErr w:type="spellEnd"/>
            <w:r w:rsidRPr="00F15D14">
              <w:rPr>
                <w:lang w:val="ru-RU"/>
              </w:rPr>
              <w:t xml:space="preserve"> рекомендует МСЭ вновь рассмотреть вопрос об адекватности ресурсов, выделенных </w:t>
            </w:r>
            <w:r w:rsidR="00F15D14" w:rsidRPr="00F15D14">
              <w:rPr>
                <w:lang w:val="ru-RU"/>
              </w:rPr>
              <w:t>п</w:t>
            </w:r>
            <w:r w:rsidRPr="00F15D14">
              <w:rPr>
                <w:lang w:val="ru-RU"/>
              </w:rPr>
              <w:t>одразделению внутреннего аудита, и о видах деятельности, закрепленных за службой внутреннего аудита.</w:t>
            </w:r>
          </w:p>
        </w:tc>
        <w:tc>
          <w:tcPr>
            <w:tcW w:w="1906" w:type="dxa"/>
          </w:tcPr>
          <w:p w:rsidR="00E51A77" w:rsidRPr="00F15D14" w:rsidRDefault="00E51A77" w:rsidP="00F15D14">
            <w:pPr>
              <w:pStyle w:val="Tabletext"/>
              <w:jc w:val="center"/>
              <w:rPr>
                <w:lang w:val="ru-RU"/>
              </w:rPr>
            </w:pPr>
            <w:r w:rsidRPr="00F15D14">
              <w:rPr>
                <w:lang w:val="ru-RU"/>
              </w:rPr>
              <w:t>Не выполнено</w:t>
            </w:r>
          </w:p>
        </w:tc>
        <w:tc>
          <w:tcPr>
            <w:tcW w:w="4110" w:type="dxa"/>
          </w:tcPr>
          <w:p w:rsidR="00E51A77" w:rsidRPr="00F15D14" w:rsidRDefault="00E51A77" w:rsidP="00E51A77">
            <w:pPr>
              <w:pStyle w:val="Tabletext"/>
              <w:rPr>
                <w:lang w:val="ru-RU"/>
              </w:rPr>
            </w:pPr>
            <w:r w:rsidRPr="00F15D14">
              <w:rPr>
                <w:lang w:val="ru-RU"/>
              </w:rPr>
              <w:t>Дополнительные ресурсы выделены не были и на будущее не предусматривались.</w:t>
            </w:r>
          </w:p>
        </w:tc>
        <w:tc>
          <w:tcPr>
            <w:tcW w:w="1784" w:type="dxa"/>
          </w:tcPr>
          <w:p w:rsidR="00E51A77" w:rsidRPr="00F15D14" w:rsidRDefault="00E51A77" w:rsidP="00F15D14">
            <w:pPr>
              <w:pStyle w:val="Tabletext"/>
              <w:jc w:val="center"/>
              <w:rPr>
                <w:lang w:val="ru-RU"/>
              </w:rPr>
            </w:pPr>
            <w:proofErr w:type="spellStart"/>
            <w:r w:rsidRPr="00F15D14">
              <w:rPr>
                <w:lang w:val="ru-RU"/>
              </w:rPr>
              <w:t>IAU</w:t>
            </w:r>
            <w:proofErr w:type="spellEnd"/>
            <w:r w:rsidRPr="00F15D14">
              <w:rPr>
                <w:lang w:val="ru-RU"/>
              </w:rPr>
              <w:t>/</w:t>
            </w:r>
            <w:proofErr w:type="spellStart"/>
            <w:r w:rsidRPr="00F15D14">
              <w:rPr>
                <w:lang w:val="ru-RU"/>
              </w:rPr>
              <w:t>ГС</w:t>
            </w:r>
            <w:proofErr w:type="spellEnd"/>
          </w:p>
        </w:tc>
      </w:tr>
      <w:tr w:rsidR="00E51A77" w:rsidRPr="00F15D14" w:rsidTr="00115193">
        <w:trPr>
          <w:trHeight w:val="741"/>
        </w:trPr>
        <w:tc>
          <w:tcPr>
            <w:tcW w:w="1240" w:type="dxa"/>
          </w:tcPr>
          <w:p w:rsidR="00E51A77" w:rsidRPr="00F15D14" w:rsidRDefault="00E51A77" w:rsidP="00E51A77">
            <w:pPr>
              <w:pStyle w:val="Tabletext"/>
              <w:rPr>
                <w:lang w:val="ru-RU"/>
              </w:rPr>
            </w:pPr>
            <w:r w:rsidRPr="00F15D14">
              <w:rPr>
                <w:lang w:val="ru-RU"/>
              </w:rPr>
              <w:lastRenderedPageBreak/>
              <w:t>Рек. 4 (2013 г.)</w:t>
            </w:r>
          </w:p>
        </w:tc>
        <w:tc>
          <w:tcPr>
            <w:tcW w:w="5800" w:type="dxa"/>
          </w:tcPr>
          <w:p w:rsidR="00E51A77" w:rsidRPr="00F15D14" w:rsidRDefault="00E51A77" w:rsidP="00E51A77">
            <w:pPr>
              <w:pStyle w:val="Tabletext"/>
              <w:rPr>
                <w:lang w:val="ru-RU"/>
              </w:rPr>
            </w:pPr>
            <w:proofErr w:type="spellStart"/>
            <w:r w:rsidRPr="00F15D14">
              <w:rPr>
                <w:lang w:val="ru-RU"/>
              </w:rPr>
              <w:t>IMAC</w:t>
            </w:r>
            <w:proofErr w:type="spellEnd"/>
            <w:r w:rsidRPr="00F15D14">
              <w:rPr>
                <w:lang w:val="ru-RU"/>
              </w:rPr>
              <w:t xml:space="preserve"> рекомендует, чтобы в рамках внутреннего аудита была поставлена задача проведения экспертной оценки предпочтительно до 2014 года.</w:t>
            </w:r>
          </w:p>
        </w:tc>
        <w:tc>
          <w:tcPr>
            <w:tcW w:w="1906" w:type="dxa"/>
          </w:tcPr>
          <w:p w:rsidR="00E51A77" w:rsidRPr="00F15D14" w:rsidRDefault="00E51A77" w:rsidP="00F15D14">
            <w:pPr>
              <w:pStyle w:val="Tabletext"/>
              <w:jc w:val="center"/>
              <w:rPr>
                <w:lang w:val="ru-RU"/>
              </w:rPr>
            </w:pPr>
            <w:r w:rsidRPr="00F15D14">
              <w:rPr>
                <w:lang w:val="ru-RU"/>
              </w:rPr>
              <w:t>Не выполнено</w:t>
            </w:r>
          </w:p>
        </w:tc>
        <w:tc>
          <w:tcPr>
            <w:tcW w:w="4110" w:type="dxa"/>
          </w:tcPr>
          <w:p w:rsidR="00E51A77" w:rsidRPr="00F15D14" w:rsidRDefault="00E51A77" w:rsidP="00E51A77">
            <w:pPr>
              <w:pStyle w:val="Tabletext"/>
              <w:rPr>
                <w:lang w:val="ru-RU"/>
              </w:rPr>
            </w:pPr>
            <w:r w:rsidRPr="00F15D14">
              <w:rPr>
                <w:lang w:val="ru-RU"/>
              </w:rPr>
              <w:t>В отчете о ходе работы по внутреннему аудиту указаны действия, которые будут предприняты в 2014 году.</w:t>
            </w:r>
          </w:p>
        </w:tc>
        <w:tc>
          <w:tcPr>
            <w:tcW w:w="1784" w:type="dxa"/>
          </w:tcPr>
          <w:p w:rsidR="00E51A77" w:rsidRPr="00F15D14" w:rsidRDefault="00E51A77" w:rsidP="00F15D14">
            <w:pPr>
              <w:pStyle w:val="Tabletext"/>
              <w:jc w:val="center"/>
              <w:rPr>
                <w:lang w:val="ru-RU"/>
              </w:rPr>
            </w:pPr>
            <w:proofErr w:type="spellStart"/>
            <w:r w:rsidRPr="00F15D14">
              <w:rPr>
                <w:lang w:val="ru-RU"/>
              </w:rPr>
              <w:t>IAU</w:t>
            </w:r>
            <w:proofErr w:type="spellEnd"/>
          </w:p>
        </w:tc>
      </w:tr>
      <w:tr w:rsidR="00E51A77" w:rsidRPr="00F15D14" w:rsidTr="00115193">
        <w:trPr>
          <w:trHeight w:val="541"/>
        </w:trPr>
        <w:tc>
          <w:tcPr>
            <w:tcW w:w="1240" w:type="dxa"/>
          </w:tcPr>
          <w:p w:rsidR="00E51A77" w:rsidRPr="00F15D14" w:rsidRDefault="00E51A77" w:rsidP="00E51A77">
            <w:pPr>
              <w:pStyle w:val="Tabletext"/>
              <w:rPr>
                <w:lang w:val="ru-RU"/>
              </w:rPr>
            </w:pPr>
            <w:r w:rsidRPr="00F15D14">
              <w:rPr>
                <w:lang w:val="ru-RU"/>
              </w:rPr>
              <w:t>Рек. 5 (2013 г.)</w:t>
            </w:r>
          </w:p>
        </w:tc>
        <w:tc>
          <w:tcPr>
            <w:tcW w:w="5800" w:type="dxa"/>
          </w:tcPr>
          <w:p w:rsidR="00E51A77" w:rsidRPr="00F15D14" w:rsidRDefault="00E51A77" w:rsidP="00E51A77">
            <w:pPr>
              <w:pStyle w:val="Tabletext"/>
              <w:rPr>
                <w:lang w:val="ru-RU"/>
              </w:rPr>
            </w:pPr>
            <w:proofErr w:type="spellStart"/>
            <w:r w:rsidRPr="00F15D14">
              <w:rPr>
                <w:lang w:val="ru-RU"/>
              </w:rPr>
              <w:t>IMAC</w:t>
            </w:r>
            <w:proofErr w:type="spellEnd"/>
            <w:r w:rsidRPr="00F15D14">
              <w:rPr>
                <w:lang w:val="ru-RU"/>
              </w:rPr>
              <w:t xml:space="preserve"> рекомендует внешнему аудитору осуществлять оценку функции внутреннего аудита. </w:t>
            </w:r>
          </w:p>
        </w:tc>
        <w:tc>
          <w:tcPr>
            <w:tcW w:w="1906" w:type="dxa"/>
          </w:tcPr>
          <w:p w:rsidR="00E51A77" w:rsidRPr="00F15D14" w:rsidRDefault="00E51A77" w:rsidP="00F15D14">
            <w:pPr>
              <w:pStyle w:val="Tabletext"/>
              <w:jc w:val="center"/>
              <w:rPr>
                <w:lang w:val="ru-RU"/>
              </w:rPr>
            </w:pPr>
            <w:r w:rsidRPr="00F15D14">
              <w:rPr>
                <w:lang w:val="ru-RU"/>
              </w:rPr>
              <w:t>Не выполнено</w:t>
            </w:r>
          </w:p>
        </w:tc>
        <w:tc>
          <w:tcPr>
            <w:tcW w:w="4110" w:type="dxa"/>
          </w:tcPr>
          <w:p w:rsidR="00E51A77" w:rsidRPr="00F15D14" w:rsidRDefault="00E51A77" w:rsidP="00E51A77">
            <w:pPr>
              <w:pStyle w:val="Tabletext"/>
              <w:rPr>
                <w:lang w:val="ru-RU"/>
              </w:rPr>
            </w:pPr>
            <w:r w:rsidRPr="00F15D14">
              <w:rPr>
                <w:lang w:val="ru-RU"/>
              </w:rPr>
              <w:t> </w:t>
            </w:r>
          </w:p>
        </w:tc>
        <w:tc>
          <w:tcPr>
            <w:tcW w:w="1784" w:type="dxa"/>
          </w:tcPr>
          <w:p w:rsidR="00E51A77" w:rsidRPr="00F15D14" w:rsidRDefault="00E51A77" w:rsidP="00F15D14">
            <w:pPr>
              <w:pStyle w:val="Tabletext"/>
              <w:jc w:val="center"/>
              <w:rPr>
                <w:lang w:val="ru-RU"/>
              </w:rPr>
            </w:pPr>
            <w:proofErr w:type="spellStart"/>
            <w:r w:rsidRPr="00F15D14">
              <w:rPr>
                <w:lang w:val="ru-RU"/>
              </w:rPr>
              <w:t>EA</w:t>
            </w:r>
            <w:proofErr w:type="spellEnd"/>
          </w:p>
        </w:tc>
      </w:tr>
      <w:tr w:rsidR="00E51A77" w:rsidRPr="00F15D14" w:rsidTr="00E51A77">
        <w:trPr>
          <w:trHeight w:val="4937"/>
        </w:trPr>
        <w:tc>
          <w:tcPr>
            <w:tcW w:w="1240" w:type="dxa"/>
          </w:tcPr>
          <w:p w:rsidR="00E51A77" w:rsidRPr="00F15D14" w:rsidRDefault="00E51A77" w:rsidP="00E51A77">
            <w:pPr>
              <w:pStyle w:val="Tabletext"/>
              <w:rPr>
                <w:lang w:val="ru-RU"/>
              </w:rPr>
            </w:pPr>
            <w:r w:rsidRPr="00F15D14">
              <w:rPr>
                <w:lang w:val="ru-RU"/>
              </w:rPr>
              <w:t>Рек. 6 (2013 г.)</w:t>
            </w:r>
          </w:p>
        </w:tc>
        <w:tc>
          <w:tcPr>
            <w:tcW w:w="5800" w:type="dxa"/>
          </w:tcPr>
          <w:p w:rsidR="00E51A77" w:rsidRPr="00F15D14" w:rsidRDefault="00E51A77" w:rsidP="00E51A77">
            <w:pPr>
              <w:pStyle w:val="Tabletext"/>
              <w:rPr>
                <w:lang w:val="ru-RU"/>
              </w:rPr>
            </w:pPr>
            <w:proofErr w:type="spellStart"/>
            <w:r w:rsidRPr="00F15D14">
              <w:rPr>
                <w:lang w:val="ru-RU"/>
              </w:rPr>
              <w:t>IMAC</w:t>
            </w:r>
            <w:proofErr w:type="spellEnd"/>
            <w:r w:rsidRPr="00F15D14">
              <w:rPr>
                <w:lang w:val="ru-RU"/>
              </w:rPr>
              <w:t xml:space="preserve"> рекомендует МСЭ рассмотреть вопрос о внедрении и исполнении четкого и понятного графика проведения переговоров и подписания соглашений с принимающими странами для своих региональных и зональных отделений, помимо этого следует рассмотреть альтернативные меры.</w:t>
            </w:r>
          </w:p>
        </w:tc>
        <w:tc>
          <w:tcPr>
            <w:tcW w:w="1906" w:type="dxa"/>
          </w:tcPr>
          <w:p w:rsidR="00E51A77" w:rsidRPr="00F15D14" w:rsidRDefault="00E51A77" w:rsidP="00F15D14">
            <w:pPr>
              <w:pStyle w:val="Tabletext"/>
              <w:jc w:val="center"/>
              <w:rPr>
                <w:lang w:val="ru-RU"/>
              </w:rPr>
            </w:pPr>
            <w:r w:rsidRPr="00F15D14">
              <w:rPr>
                <w:lang w:val="ru-RU"/>
              </w:rPr>
              <w:t>Выполняется</w:t>
            </w:r>
          </w:p>
        </w:tc>
        <w:tc>
          <w:tcPr>
            <w:tcW w:w="4110" w:type="dxa"/>
          </w:tcPr>
          <w:p w:rsidR="00E51A77" w:rsidRPr="00F15D14" w:rsidRDefault="00E51A77" w:rsidP="00E51A77">
            <w:pPr>
              <w:pStyle w:val="Tabletext"/>
              <w:rPr>
                <w:lang w:val="ru-RU"/>
              </w:rPr>
            </w:pPr>
            <w:r w:rsidRPr="00F15D14">
              <w:rPr>
                <w:lang w:val="ru-RU"/>
              </w:rPr>
              <w:t xml:space="preserve">В </w:t>
            </w:r>
            <w:proofErr w:type="gramStart"/>
            <w:r w:rsidRPr="00F15D14">
              <w:rPr>
                <w:lang w:val="ru-RU"/>
              </w:rPr>
              <w:t>том</w:t>
            </w:r>
            <w:proofErr w:type="gramEnd"/>
            <w:r w:rsidRPr="00F15D14">
              <w:rPr>
                <w:lang w:val="ru-RU"/>
              </w:rPr>
              <w:t xml:space="preserve"> что касается отделения в Джакарте, секретариат представил 17 июля 2013 года администрации Индонезии пять предложений по альтернативному тексту пункта 6 Статьи </w:t>
            </w:r>
            <w:proofErr w:type="spellStart"/>
            <w:r w:rsidRPr="00F15D14">
              <w:rPr>
                <w:lang w:val="ru-RU"/>
              </w:rPr>
              <w:t>III</w:t>
            </w:r>
            <w:proofErr w:type="spellEnd"/>
            <w:r w:rsidRPr="00F15D14">
              <w:rPr>
                <w:lang w:val="ru-RU"/>
              </w:rPr>
              <w:t xml:space="preserve"> соглашения с принимающей страной, и эти предложения обсуждались в конце июля </w:t>
            </w:r>
            <w:proofErr w:type="spellStart"/>
            <w:r w:rsidRPr="00F15D14">
              <w:rPr>
                <w:lang w:val="ru-RU"/>
              </w:rPr>
              <w:t>БРЭ</w:t>
            </w:r>
            <w:proofErr w:type="spellEnd"/>
            <w:r w:rsidRPr="00F15D14">
              <w:rPr>
                <w:lang w:val="ru-RU"/>
              </w:rPr>
              <w:t xml:space="preserve"> и властями страны. Были проведены внутренние консультации среди заинтересованных министерств Индонезии. Секретариат воспользовался возможностью, чтобы напомнить Индонезии об этом вопросе на последующей встрече "Соединим Азию", которая состоялась 18 ноября 2013 года. Постоянное представительство в Женеве свяжется с секретариатом для решения этого вопроса до Совета 2014 года. </w:t>
            </w:r>
          </w:p>
          <w:p w:rsidR="00E51A77" w:rsidRPr="00F15D14" w:rsidRDefault="00E51A77" w:rsidP="00E51A77">
            <w:pPr>
              <w:pStyle w:val="Tabletext"/>
              <w:rPr>
                <w:lang w:val="ru-RU"/>
              </w:rPr>
            </w:pPr>
            <w:r w:rsidRPr="00F15D14">
              <w:rPr>
                <w:lang w:val="ru-RU"/>
              </w:rPr>
              <w:t xml:space="preserve">Пересмотр соглашения с принимающей страной в отношении отделения в Бангкоке завершен, и ожидается, что вскоре оно будет подписано. </w:t>
            </w:r>
          </w:p>
          <w:p w:rsidR="00E51A77" w:rsidRPr="00F15D14" w:rsidRDefault="00E51A77" w:rsidP="00E51A77">
            <w:pPr>
              <w:pStyle w:val="Tabletext"/>
              <w:rPr>
                <w:lang w:val="ru-RU"/>
              </w:rPr>
            </w:pPr>
            <w:r w:rsidRPr="00F15D14">
              <w:rPr>
                <w:lang w:val="ru-RU"/>
              </w:rPr>
              <w:t xml:space="preserve">В последнем по времени отчете о внутреннем аудите региональных и зональных отделений в Северной и Южной Америке отмечено, что вопрос о соглашении с принимающей страной возникнет вновь. </w:t>
            </w:r>
          </w:p>
        </w:tc>
        <w:tc>
          <w:tcPr>
            <w:tcW w:w="1784" w:type="dxa"/>
          </w:tcPr>
          <w:p w:rsidR="00E51A77" w:rsidRPr="00F15D14" w:rsidRDefault="00E51A77" w:rsidP="00F15D14">
            <w:pPr>
              <w:pStyle w:val="Tabletext"/>
              <w:jc w:val="center"/>
              <w:rPr>
                <w:lang w:val="ru-RU"/>
              </w:rPr>
            </w:pPr>
            <w:proofErr w:type="spellStart"/>
            <w:r w:rsidRPr="00F15D14">
              <w:rPr>
                <w:lang w:val="ru-RU"/>
              </w:rPr>
              <w:t>LAU</w:t>
            </w:r>
            <w:proofErr w:type="spellEnd"/>
          </w:p>
        </w:tc>
      </w:tr>
      <w:tr w:rsidR="00E51A77" w:rsidRPr="00F15D14" w:rsidTr="00E51A77">
        <w:trPr>
          <w:trHeight w:val="2721"/>
        </w:trPr>
        <w:tc>
          <w:tcPr>
            <w:tcW w:w="1240" w:type="dxa"/>
          </w:tcPr>
          <w:p w:rsidR="00E51A77" w:rsidRPr="00F15D14" w:rsidRDefault="00E51A77" w:rsidP="00E51A77">
            <w:pPr>
              <w:pStyle w:val="Tabletext"/>
              <w:rPr>
                <w:lang w:val="ru-RU"/>
              </w:rPr>
            </w:pPr>
            <w:r w:rsidRPr="00F15D14">
              <w:rPr>
                <w:lang w:val="ru-RU"/>
              </w:rPr>
              <w:lastRenderedPageBreak/>
              <w:t>Рек. 7 (2013 г.)</w:t>
            </w:r>
          </w:p>
        </w:tc>
        <w:tc>
          <w:tcPr>
            <w:tcW w:w="5800" w:type="dxa"/>
          </w:tcPr>
          <w:p w:rsidR="00E51A77" w:rsidRPr="00F15D14" w:rsidRDefault="00E51A77" w:rsidP="00E51A77">
            <w:pPr>
              <w:pStyle w:val="Tabletext"/>
              <w:rPr>
                <w:lang w:val="ru-RU"/>
              </w:rPr>
            </w:pPr>
            <w:proofErr w:type="spellStart"/>
            <w:r w:rsidRPr="00F15D14">
              <w:rPr>
                <w:lang w:val="ru-RU"/>
              </w:rPr>
              <w:t>IMAC</w:t>
            </w:r>
            <w:proofErr w:type="spellEnd"/>
            <w:r w:rsidRPr="00F15D14">
              <w:rPr>
                <w:lang w:val="ru-RU"/>
              </w:rPr>
              <w:t xml:space="preserve"> рекомендует МСЭ продолжить в приоритетном порядке разработку мер по систематическому управлению рисками предприятия, обеспечивая выделение необходимых бюджетных ресурсов, с </w:t>
            </w:r>
            <w:proofErr w:type="gramStart"/>
            <w:r w:rsidRPr="00F15D14">
              <w:rPr>
                <w:lang w:val="ru-RU"/>
              </w:rPr>
              <w:t>тем</w:t>
            </w:r>
            <w:proofErr w:type="gramEnd"/>
            <w:r w:rsidRPr="00F15D14">
              <w:rPr>
                <w:lang w:val="ru-RU"/>
              </w:rPr>
              <w:t xml:space="preserve"> чтобы управление рисками можно было включить в процесс стратегического планирования на период 2016–2019 годов.</w:t>
            </w:r>
          </w:p>
        </w:tc>
        <w:tc>
          <w:tcPr>
            <w:tcW w:w="1906" w:type="dxa"/>
          </w:tcPr>
          <w:p w:rsidR="00E51A77" w:rsidRPr="00F15D14" w:rsidRDefault="00E51A77" w:rsidP="00F15D14">
            <w:pPr>
              <w:pStyle w:val="Tabletext"/>
              <w:jc w:val="center"/>
              <w:rPr>
                <w:lang w:val="ru-RU"/>
              </w:rPr>
            </w:pPr>
            <w:r w:rsidRPr="00F15D14">
              <w:rPr>
                <w:lang w:val="ru-RU"/>
              </w:rPr>
              <w:t>Выполняется</w:t>
            </w:r>
          </w:p>
        </w:tc>
        <w:tc>
          <w:tcPr>
            <w:tcW w:w="4110" w:type="dxa"/>
          </w:tcPr>
          <w:p w:rsidR="00E51A77" w:rsidRPr="00F15D14" w:rsidRDefault="00E51A77" w:rsidP="00A76CAE">
            <w:pPr>
              <w:pStyle w:val="Tabletext"/>
              <w:rPr>
                <w:lang w:val="ru-RU"/>
              </w:rPr>
            </w:pPr>
            <w:proofErr w:type="spellStart"/>
            <w:r w:rsidRPr="00F15D14">
              <w:rPr>
                <w:lang w:val="ru-RU"/>
              </w:rPr>
              <w:t>Межсекторальная</w:t>
            </w:r>
            <w:proofErr w:type="spellEnd"/>
            <w:r w:rsidRPr="00F15D14">
              <w:rPr>
                <w:lang w:val="ru-RU"/>
              </w:rPr>
              <w:t xml:space="preserve"> целевая группа по управлению стратегическими рисками (</w:t>
            </w:r>
            <w:proofErr w:type="spellStart"/>
            <w:r w:rsidRPr="00F15D14">
              <w:rPr>
                <w:lang w:val="ru-RU"/>
              </w:rPr>
              <w:t>ЦГ</w:t>
            </w:r>
            <w:r w:rsidR="00A76CAE">
              <w:rPr>
                <w:lang w:val="ru-RU"/>
              </w:rPr>
              <w:noBreakHyphen/>
            </w:r>
            <w:r w:rsidRPr="00F15D14">
              <w:rPr>
                <w:lang w:val="ru-RU"/>
              </w:rPr>
              <w:t>УСР</w:t>
            </w:r>
            <w:proofErr w:type="spellEnd"/>
            <w:r w:rsidRPr="00F15D14">
              <w:rPr>
                <w:lang w:val="ru-RU"/>
              </w:rPr>
              <w:t xml:space="preserve">) составила отчет, который использовала </w:t>
            </w:r>
            <w:proofErr w:type="spellStart"/>
            <w:r w:rsidRPr="00F15D14">
              <w:rPr>
                <w:lang w:val="ru-RU"/>
              </w:rPr>
              <w:t>Межсекторальная</w:t>
            </w:r>
            <w:proofErr w:type="spellEnd"/>
            <w:r w:rsidRPr="00F15D14">
              <w:rPr>
                <w:lang w:val="ru-RU"/>
              </w:rPr>
              <w:t xml:space="preserve"> целевая группа по разработке проекта стратегического плана Союза на 2016−2019</w:t>
            </w:r>
            <w:r w:rsidR="00A76CAE">
              <w:rPr>
                <w:lang w:val="ru-RU"/>
              </w:rPr>
              <w:t> </w:t>
            </w:r>
            <w:r w:rsidRPr="00F15D14">
              <w:rPr>
                <w:lang w:val="ru-RU"/>
              </w:rPr>
              <w:t>годы. Рекомендации</w:t>
            </w:r>
            <w:r w:rsidR="00C64D09">
              <w:rPr>
                <w:lang w:val="ru-RU"/>
              </w:rPr>
              <w:t xml:space="preserve"> </w:t>
            </w:r>
            <w:proofErr w:type="spellStart"/>
            <w:r w:rsidRPr="00F15D14">
              <w:rPr>
                <w:lang w:val="ru-RU"/>
              </w:rPr>
              <w:t>ЦГ-УСР</w:t>
            </w:r>
            <w:proofErr w:type="spellEnd"/>
            <w:r w:rsidRPr="00F15D14">
              <w:rPr>
                <w:lang w:val="ru-RU"/>
              </w:rPr>
              <w:t xml:space="preserve"> были выполнены. Стратегические риски включены во входной документ для собрания </w:t>
            </w:r>
            <w:proofErr w:type="spellStart"/>
            <w:r w:rsidRPr="00F15D14">
              <w:rPr>
                <w:lang w:val="ru-RU"/>
              </w:rPr>
              <w:t>РГС</w:t>
            </w:r>
            <w:proofErr w:type="spellEnd"/>
            <w:r w:rsidRPr="00F15D14">
              <w:rPr>
                <w:lang w:val="ru-RU"/>
              </w:rPr>
              <w:t xml:space="preserve"> СП</w:t>
            </w:r>
            <w:r w:rsidR="00A76CAE">
              <w:rPr>
                <w:lang w:val="ru-RU"/>
              </w:rPr>
              <w:noBreakHyphen/>
            </w:r>
            <w:proofErr w:type="spellStart"/>
            <w:r w:rsidRPr="00F15D14">
              <w:rPr>
                <w:lang w:val="ru-RU"/>
              </w:rPr>
              <w:t>ФП</w:t>
            </w:r>
            <w:proofErr w:type="spellEnd"/>
            <w:r w:rsidRPr="00F15D14">
              <w:rPr>
                <w:lang w:val="ru-RU"/>
              </w:rPr>
              <w:t xml:space="preserve">, а структура результатов была разработана в соответствии с Рез. 151 и с применением передового опыта. Меры по управлению рисками предприятия еще не разработаны. </w:t>
            </w:r>
          </w:p>
        </w:tc>
        <w:tc>
          <w:tcPr>
            <w:tcW w:w="1784" w:type="dxa"/>
          </w:tcPr>
          <w:p w:rsidR="00E51A77" w:rsidRPr="00F15D14" w:rsidRDefault="00E51A77" w:rsidP="00F15D14">
            <w:pPr>
              <w:pStyle w:val="Tabletext"/>
              <w:jc w:val="center"/>
              <w:rPr>
                <w:lang w:val="ru-RU"/>
              </w:rPr>
            </w:pPr>
            <w:proofErr w:type="spellStart"/>
            <w:r w:rsidRPr="00F15D14">
              <w:rPr>
                <w:lang w:val="ru-RU"/>
              </w:rPr>
              <w:t>SGO</w:t>
            </w:r>
            <w:proofErr w:type="spellEnd"/>
          </w:p>
        </w:tc>
      </w:tr>
      <w:tr w:rsidR="00E51A77" w:rsidRPr="00F15D14" w:rsidTr="00105089">
        <w:trPr>
          <w:trHeight w:val="777"/>
        </w:trPr>
        <w:tc>
          <w:tcPr>
            <w:tcW w:w="1240" w:type="dxa"/>
          </w:tcPr>
          <w:p w:rsidR="00E51A77" w:rsidRPr="00F15D14" w:rsidRDefault="00E51A77" w:rsidP="00E51A77">
            <w:pPr>
              <w:pStyle w:val="Tabletext"/>
              <w:rPr>
                <w:lang w:val="ru-RU"/>
              </w:rPr>
            </w:pPr>
            <w:r w:rsidRPr="00F15D14">
              <w:rPr>
                <w:lang w:val="ru-RU"/>
              </w:rPr>
              <w:t>Рек. 8 (2013 г.)</w:t>
            </w:r>
          </w:p>
        </w:tc>
        <w:tc>
          <w:tcPr>
            <w:tcW w:w="5800" w:type="dxa"/>
          </w:tcPr>
          <w:p w:rsidR="00E51A77" w:rsidRPr="00F15D14" w:rsidRDefault="00E51A77" w:rsidP="00E51A77">
            <w:pPr>
              <w:pStyle w:val="Tabletext"/>
              <w:rPr>
                <w:lang w:val="ru-RU"/>
              </w:rPr>
            </w:pPr>
            <w:proofErr w:type="spellStart"/>
            <w:r w:rsidRPr="00F15D14">
              <w:rPr>
                <w:lang w:val="ru-RU"/>
              </w:rPr>
              <w:t>IMAC</w:t>
            </w:r>
            <w:proofErr w:type="spellEnd"/>
            <w:r w:rsidRPr="00F15D14">
              <w:rPr>
                <w:lang w:val="ru-RU"/>
              </w:rPr>
              <w:t xml:space="preserve"> рекомендует Генеральному секретарю утвердить ежегодный Заявление о внутреннем контроле, которое будет опубликовано вместе с финансовой отчетностью.</w:t>
            </w:r>
          </w:p>
        </w:tc>
        <w:tc>
          <w:tcPr>
            <w:tcW w:w="1906" w:type="dxa"/>
          </w:tcPr>
          <w:p w:rsidR="00E51A77" w:rsidRPr="00F15D14" w:rsidRDefault="00E51A77" w:rsidP="00F15D14">
            <w:pPr>
              <w:pStyle w:val="Tabletext"/>
              <w:jc w:val="center"/>
              <w:rPr>
                <w:lang w:val="ru-RU"/>
              </w:rPr>
            </w:pPr>
            <w:r w:rsidRPr="00F15D14">
              <w:rPr>
                <w:lang w:val="ru-RU"/>
              </w:rPr>
              <w:t>Выполнено</w:t>
            </w:r>
          </w:p>
        </w:tc>
        <w:tc>
          <w:tcPr>
            <w:tcW w:w="4110" w:type="dxa"/>
          </w:tcPr>
          <w:p w:rsidR="00E51A77" w:rsidRPr="00F15D14" w:rsidRDefault="00E51A77" w:rsidP="00E51A77">
            <w:pPr>
              <w:pStyle w:val="Tabletext"/>
              <w:rPr>
                <w:lang w:val="ru-RU"/>
              </w:rPr>
            </w:pPr>
            <w:r w:rsidRPr="00F15D14">
              <w:rPr>
                <w:lang w:val="ru-RU"/>
              </w:rPr>
              <w:t>Заявление о внутреннем контроле выдано вместе с финансовой отчетностью на Совете 2013 года и будет выдаваться в будущем.</w:t>
            </w:r>
          </w:p>
        </w:tc>
        <w:tc>
          <w:tcPr>
            <w:tcW w:w="1784" w:type="dxa"/>
          </w:tcPr>
          <w:p w:rsidR="00E51A77" w:rsidRPr="00F15D14" w:rsidRDefault="00E51A77" w:rsidP="00F15D14">
            <w:pPr>
              <w:pStyle w:val="Tabletext"/>
              <w:jc w:val="center"/>
              <w:rPr>
                <w:lang w:val="ru-RU"/>
              </w:rPr>
            </w:pPr>
            <w:proofErr w:type="spellStart"/>
            <w:r w:rsidRPr="00F15D14">
              <w:rPr>
                <w:lang w:val="ru-RU"/>
              </w:rPr>
              <w:t>FRM</w:t>
            </w:r>
            <w:proofErr w:type="spellEnd"/>
          </w:p>
        </w:tc>
      </w:tr>
    </w:tbl>
    <w:p w:rsidR="00E51A77" w:rsidRPr="00F15D14" w:rsidRDefault="00E51A77" w:rsidP="00E51A77">
      <w:pPr>
        <w:rPr>
          <w:lang w:val="ru-RU"/>
        </w:rPr>
      </w:pPr>
    </w:p>
    <w:p w:rsidR="00FC29C4" w:rsidRPr="00F15D14" w:rsidRDefault="00470EB5" w:rsidP="00470EB5">
      <w:pPr>
        <w:spacing w:before="720"/>
        <w:jc w:val="center"/>
        <w:rPr>
          <w:lang w:val="ru-RU"/>
        </w:rPr>
      </w:pPr>
      <w:r w:rsidRPr="00F15D14">
        <w:rPr>
          <w:lang w:val="ru-RU"/>
        </w:rPr>
        <w:t>______________</w:t>
      </w:r>
    </w:p>
    <w:sectPr w:rsidR="00FC29C4" w:rsidRPr="00F15D14" w:rsidSect="00E51A77">
      <w:headerReference w:type="default" r:id="rId18"/>
      <w:footerReference w:type="default" r:id="rId19"/>
      <w:headerReference w:type="first" r:id="rId20"/>
      <w:footerReference w:type="first" r:id="rId21"/>
      <w:pgSz w:w="16834" w:h="11907" w:orient="landscape"/>
      <w:pgMar w:top="1134" w:right="1418" w:bottom="1134" w:left="1418" w:header="624" w:footer="624" w:gutter="0"/>
      <w:paperSrc w:first="15" w:other="1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B2F" w:rsidRDefault="00206B2F">
      <w:r>
        <w:separator/>
      </w:r>
    </w:p>
  </w:endnote>
  <w:endnote w:type="continuationSeparator" w:id="0">
    <w:p w:rsidR="00206B2F" w:rsidRDefault="00206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pitch w:val="variable"/>
    <w:sig w:usb0="00000000"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A77" w:rsidRPr="00582BFF" w:rsidRDefault="00E51A77" w:rsidP="00E51A77">
    <w:pPr>
      <w:pStyle w:val="Footer"/>
      <w:spacing w:before="240"/>
      <w:rPr>
        <w:sz w:val="18"/>
        <w:szCs w:val="18"/>
        <w:lang w:val="fr-CH"/>
      </w:rPr>
    </w:pPr>
    <w:r>
      <w:fldChar w:fldCharType="begin"/>
    </w:r>
    <w:r w:rsidRPr="00582BFF">
      <w:rPr>
        <w:lang w:val="fr-CH"/>
      </w:rPr>
      <w:instrText xml:space="preserve"> FILENAME \p  \* MERGEFORMAT </w:instrText>
    </w:r>
    <w:r>
      <w:fldChar w:fldCharType="separate"/>
    </w:r>
    <w:r w:rsidR="00593398">
      <w:rPr>
        <w:lang w:val="fr-CH"/>
      </w:rPr>
      <w:t>P:\RUS\SG\CONSEIL\C14\000\022R.DOCX</w:t>
    </w:r>
    <w:r>
      <w:rPr>
        <w:lang w:val="en-US"/>
      </w:rPr>
      <w:fldChar w:fldCharType="end"/>
    </w:r>
    <w:r w:rsidRPr="00582BFF">
      <w:rPr>
        <w:lang w:val="fr-CH"/>
      </w:rPr>
      <w:t xml:space="preserve"> (</w:t>
    </w:r>
    <w:r w:rsidRPr="005E032F">
      <w:t>3546</w:t>
    </w:r>
    <w:r w:rsidRPr="00E51A77">
      <w:t>90</w:t>
    </w:r>
    <w:r w:rsidRPr="00582BFF">
      <w:rPr>
        <w:lang w:val="fr-CH"/>
      </w:rPr>
      <w:t>)</w:t>
    </w:r>
    <w:r w:rsidRPr="00582BFF">
      <w:rPr>
        <w:lang w:val="fr-CH"/>
      </w:rPr>
      <w:tab/>
    </w:r>
    <w:r>
      <w:fldChar w:fldCharType="begin"/>
    </w:r>
    <w:r>
      <w:instrText xml:space="preserve"> SAVEDATE \@ DD.MM.YY </w:instrText>
    </w:r>
    <w:r>
      <w:fldChar w:fldCharType="separate"/>
    </w:r>
    <w:r w:rsidR="00593398">
      <w:t>29.04.14</w:t>
    </w:r>
    <w:r>
      <w:fldChar w:fldCharType="end"/>
    </w:r>
    <w:r w:rsidRPr="00582BFF">
      <w:rPr>
        <w:lang w:val="fr-CH"/>
      </w:rPr>
      <w:tab/>
    </w:r>
    <w:r>
      <w:fldChar w:fldCharType="begin"/>
    </w:r>
    <w:r>
      <w:instrText xml:space="preserve"> PRINTDATE \@ DD.MM.YY </w:instrText>
    </w:r>
    <w:r>
      <w:fldChar w:fldCharType="separate"/>
    </w:r>
    <w:r w:rsidR="00593398">
      <w:t>29.04.14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A77" w:rsidRDefault="00E51A77" w:rsidP="00F665C2">
    <w:pPr>
      <w:spacing w:after="120"/>
      <w:jc w:val="center"/>
      <w:rPr>
        <w:lang w:val="ru-RU"/>
      </w:rPr>
    </w:pPr>
    <w:r w:rsidRPr="006E1BDA">
      <w:t xml:space="preserve">• </w:t>
    </w:r>
    <w:hyperlink r:id="rId1" w:history="1">
      <w:r w:rsidRPr="006E1BDA">
        <w:rPr>
          <w:rStyle w:val="Hyperlink"/>
        </w:rPr>
        <w:t>http://www.itu.int/council</w:t>
      </w:r>
    </w:hyperlink>
    <w:r w:rsidRPr="006E1BDA">
      <w:t xml:space="preserve"> •</w:t>
    </w:r>
  </w:p>
  <w:p w:rsidR="00E51A77" w:rsidRPr="00E51A77" w:rsidRDefault="00E51A77" w:rsidP="00E51A77">
    <w:pPr>
      <w:pStyle w:val="Footer"/>
    </w:pPr>
    <w:fldSimple w:instr=" FILENAME \p  \* MERGEFORMAT ">
      <w:r w:rsidR="00593398" w:rsidRPr="00593398">
        <w:rPr>
          <w:lang w:val="fr-CH"/>
        </w:rPr>
        <w:t>P</w:t>
      </w:r>
      <w:r w:rsidR="00593398">
        <w:t>:\RUS\SG\CONSEIL\C14\000\022R.DOCX</w:t>
      </w:r>
    </w:fldSimple>
    <w:r w:rsidRPr="00582BFF">
      <w:rPr>
        <w:lang w:val="fr-CH"/>
      </w:rPr>
      <w:t xml:space="preserve"> (</w:t>
    </w:r>
    <w:r w:rsidRPr="00ED0D21">
      <w:t>3546</w:t>
    </w:r>
    <w:r w:rsidRPr="00E51A77">
      <w:t>90</w:t>
    </w:r>
    <w:r w:rsidRPr="00582BFF">
      <w:rPr>
        <w:lang w:val="fr-CH"/>
      </w:rPr>
      <w:t>)</w:t>
    </w:r>
    <w:r w:rsidRPr="00582BFF">
      <w:rPr>
        <w:lang w:val="fr-CH"/>
      </w:rPr>
      <w:tab/>
    </w:r>
    <w:r>
      <w:fldChar w:fldCharType="begin"/>
    </w:r>
    <w:r>
      <w:instrText xml:space="preserve"> SAVEDATE \@ DD.MM.YY </w:instrText>
    </w:r>
    <w:r>
      <w:fldChar w:fldCharType="separate"/>
    </w:r>
    <w:r w:rsidR="00593398">
      <w:t>29.04.14</w:t>
    </w:r>
    <w:r>
      <w:fldChar w:fldCharType="end"/>
    </w:r>
    <w:r w:rsidRPr="00582BFF">
      <w:rPr>
        <w:lang w:val="fr-CH"/>
      </w:rPr>
      <w:tab/>
    </w:r>
    <w:r>
      <w:fldChar w:fldCharType="begin"/>
    </w:r>
    <w:r>
      <w:instrText xml:space="preserve"> PRINTDATE \@ DD.MM.YY </w:instrText>
    </w:r>
    <w:r>
      <w:fldChar w:fldCharType="separate"/>
    </w:r>
    <w:r w:rsidR="00593398">
      <w:t>29.04.14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B2F" w:rsidRPr="00885ACC" w:rsidRDefault="00206B2F" w:rsidP="00115193">
    <w:pPr>
      <w:pStyle w:val="Footer"/>
      <w:tabs>
        <w:tab w:val="clear" w:pos="5954"/>
        <w:tab w:val="clear" w:pos="9639"/>
        <w:tab w:val="left" w:pos="9356"/>
        <w:tab w:val="right" w:pos="14034"/>
      </w:tabs>
    </w:pPr>
    <w:r>
      <w:fldChar w:fldCharType="begin"/>
    </w:r>
    <w:r w:rsidRPr="00885ACC">
      <w:instrText xml:space="preserve"> FILENAME \p  \* MERGEFORMAT </w:instrText>
    </w:r>
    <w:r>
      <w:fldChar w:fldCharType="separate"/>
    </w:r>
    <w:r w:rsidR="00593398">
      <w:t>P:\RUS\SG\CONSEIL\C14\000\022R.DOCX</w:t>
    </w:r>
    <w:r>
      <w:fldChar w:fldCharType="end"/>
    </w:r>
    <w:r>
      <w:t xml:space="preserve"> (</w:t>
    </w:r>
    <w:r w:rsidR="00115193" w:rsidRPr="00115193">
      <w:rPr>
        <w:lang w:val="fr-CH"/>
      </w:rPr>
      <w:t>354690</w:t>
    </w:r>
    <w:r w:rsidRPr="00885ACC">
      <w:t>)</w:t>
    </w:r>
    <w:r w:rsidRPr="00885ACC">
      <w:tab/>
    </w:r>
    <w:r>
      <w:fldChar w:fldCharType="begin"/>
    </w:r>
    <w:r>
      <w:instrText xml:space="preserve"> SAVEDATE \@ DD.MM.YY </w:instrText>
    </w:r>
    <w:r>
      <w:fldChar w:fldCharType="separate"/>
    </w:r>
    <w:r w:rsidR="00593398">
      <w:t>29.04.14</w:t>
    </w:r>
    <w:r>
      <w:fldChar w:fldCharType="end"/>
    </w:r>
    <w:r w:rsidRPr="00885ACC">
      <w:tab/>
    </w:r>
    <w:r>
      <w:fldChar w:fldCharType="begin"/>
    </w:r>
    <w:r>
      <w:instrText xml:space="preserve"> PRINTDATE \@ DD.MM.YY </w:instrText>
    </w:r>
    <w:r>
      <w:fldChar w:fldCharType="separate"/>
    </w:r>
    <w:r w:rsidR="00593398">
      <w:t>29.04.14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B2F" w:rsidRPr="00885ACC" w:rsidRDefault="00206B2F" w:rsidP="00F15D14">
    <w:pPr>
      <w:pStyle w:val="Footer"/>
      <w:tabs>
        <w:tab w:val="clear" w:pos="5954"/>
        <w:tab w:val="clear" w:pos="9639"/>
        <w:tab w:val="left" w:pos="9356"/>
        <w:tab w:val="right" w:pos="14034"/>
      </w:tabs>
      <w:rPr>
        <w:rPrChange w:id="4" w:author="Shishaev, Serguei" w:date="2013-06-13T17:55:00Z">
          <w:rPr>
            <w:lang w:val="fr-CH"/>
          </w:rPr>
        </w:rPrChange>
      </w:rPr>
    </w:pPr>
    <w:r>
      <w:fldChar w:fldCharType="begin"/>
    </w:r>
    <w:r w:rsidRPr="00885ACC">
      <w:instrText xml:space="preserve"> FILENAME \p  \* MERGEFORMAT </w:instrText>
    </w:r>
    <w:r>
      <w:fldChar w:fldCharType="separate"/>
    </w:r>
    <w:r w:rsidR="00593398">
      <w:t>P:\RUS\SG\CONSEIL\C14\000\022R.DOCX</w:t>
    </w:r>
    <w:r>
      <w:fldChar w:fldCharType="end"/>
    </w:r>
    <w:r>
      <w:t xml:space="preserve"> (</w:t>
    </w:r>
    <w:r w:rsidRPr="004313A5">
      <w:t>3</w:t>
    </w:r>
    <w:r w:rsidRPr="00DE4D88">
      <w:t>54692</w:t>
    </w:r>
    <w:r w:rsidRPr="00885ACC">
      <w:t>)</w:t>
    </w:r>
    <w:r w:rsidRPr="00885ACC">
      <w:tab/>
    </w:r>
    <w:r>
      <w:fldChar w:fldCharType="begin"/>
    </w:r>
    <w:r>
      <w:instrText xml:space="preserve"> SAVEDATE \@ DD.MM.YY </w:instrText>
    </w:r>
    <w:r>
      <w:fldChar w:fldCharType="separate"/>
    </w:r>
    <w:r w:rsidR="00593398">
      <w:t>29.04.14</w:t>
    </w:r>
    <w:r>
      <w:fldChar w:fldCharType="end"/>
    </w:r>
    <w:r w:rsidRPr="00885ACC">
      <w:tab/>
    </w:r>
    <w:r>
      <w:fldChar w:fldCharType="begin"/>
    </w:r>
    <w:r>
      <w:instrText xml:space="preserve"> PRINTDATE \@ DD.MM.YY </w:instrText>
    </w:r>
    <w:r>
      <w:fldChar w:fldCharType="separate"/>
    </w:r>
    <w:r w:rsidR="00593398">
      <w:t>29.04.14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B2F" w:rsidRDefault="00206B2F">
      <w:r>
        <w:t>____________________</w:t>
      </w:r>
    </w:p>
  </w:footnote>
  <w:footnote w:type="continuationSeparator" w:id="0">
    <w:p w:rsidR="00206B2F" w:rsidRDefault="00206B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A77" w:rsidRDefault="00E51A77" w:rsidP="00E51A77">
    <w:pPr>
      <w:pStyle w:val="Header"/>
    </w:pPr>
    <w:r>
      <w:fldChar w:fldCharType="begin"/>
    </w:r>
    <w:r>
      <w:instrText>PAGE</w:instrText>
    </w:r>
    <w:r>
      <w:fldChar w:fldCharType="separate"/>
    </w:r>
    <w:r w:rsidR="00593398">
      <w:rPr>
        <w:noProof/>
      </w:rPr>
      <w:t>7</w:t>
    </w:r>
    <w:r>
      <w:rPr>
        <w:noProof/>
      </w:rPr>
      <w:fldChar w:fldCharType="end"/>
    </w:r>
  </w:p>
  <w:p w:rsidR="00E51A77" w:rsidRPr="00E51A77" w:rsidRDefault="00E51A77" w:rsidP="00AA7849">
    <w:pPr>
      <w:pStyle w:val="Header"/>
      <w:spacing w:after="360"/>
    </w:pPr>
    <w:r>
      <w:t>C1</w:t>
    </w:r>
    <w:r>
      <w:rPr>
        <w:lang w:val="ru-RU"/>
      </w:rPr>
      <w:t>4</w:t>
    </w:r>
    <w:r>
      <w:t>/</w:t>
    </w:r>
    <w:r>
      <w:rPr>
        <w:lang w:val="ru-RU"/>
      </w:rPr>
      <w:t>22</w:t>
    </w:r>
    <w:r>
      <w:t>-R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B2F" w:rsidRDefault="00206B2F" w:rsidP="00927D4A">
    <w:pPr>
      <w:pStyle w:val="Header"/>
    </w:pPr>
    <w:r>
      <w:fldChar w:fldCharType="begin"/>
    </w:r>
    <w:r>
      <w:instrText>PAGE</w:instrText>
    </w:r>
    <w:r>
      <w:fldChar w:fldCharType="separate"/>
    </w:r>
    <w:r w:rsidR="00593398">
      <w:rPr>
        <w:noProof/>
      </w:rPr>
      <w:t>10</w:t>
    </w:r>
    <w:r>
      <w:rPr>
        <w:noProof/>
      </w:rPr>
      <w:fldChar w:fldCharType="end"/>
    </w:r>
  </w:p>
  <w:p w:rsidR="00206B2F" w:rsidRDefault="00206B2F" w:rsidP="00115193">
    <w:pPr>
      <w:pStyle w:val="Header"/>
      <w:spacing w:after="480"/>
    </w:pPr>
    <w:r>
      <w:t>C1</w:t>
    </w:r>
    <w:r>
      <w:rPr>
        <w:lang w:val="ru-RU"/>
      </w:rPr>
      <w:t>4</w:t>
    </w:r>
    <w:r>
      <w:t>/</w:t>
    </w:r>
    <w:r>
      <w:rPr>
        <w:lang w:val="ru-RU"/>
      </w:rPr>
      <w:t>2</w:t>
    </w:r>
    <w:r w:rsidR="00115193">
      <w:rPr>
        <w:lang w:val="ru-RU"/>
      </w:rPr>
      <w:t>2</w:t>
    </w:r>
    <w:r>
      <w:t>-R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D14" w:rsidRDefault="00F15D14" w:rsidP="00F15D14">
    <w:pPr>
      <w:pStyle w:val="Header"/>
    </w:pPr>
    <w:r>
      <w:fldChar w:fldCharType="begin"/>
    </w:r>
    <w:r>
      <w:instrText>PAGE</w:instrText>
    </w:r>
    <w:r>
      <w:fldChar w:fldCharType="separate"/>
    </w:r>
    <w:r w:rsidR="00593398">
      <w:rPr>
        <w:noProof/>
      </w:rPr>
      <w:t>8</w:t>
    </w:r>
    <w:r>
      <w:rPr>
        <w:noProof/>
      </w:rPr>
      <w:fldChar w:fldCharType="end"/>
    </w:r>
  </w:p>
  <w:p w:rsidR="00F15D14" w:rsidRDefault="00F15D14" w:rsidP="00F15D14">
    <w:pPr>
      <w:pStyle w:val="Header"/>
    </w:pPr>
    <w:r>
      <w:t>C1</w:t>
    </w:r>
    <w:r>
      <w:rPr>
        <w:lang w:val="ru-RU"/>
      </w:rPr>
      <w:t>4</w:t>
    </w:r>
    <w:r>
      <w:t>/</w:t>
    </w:r>
    <w:r>
      <w:rPr>
        <w:lang w:val="ru-RU"/>
      </w:rPr>
      <w:t>22</w:t>
    </w:r>
    <w:r>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C8C448C"/>
    <w:lvl w:ilvl="0">
      <w:start w:val="1"/>
      <w:numFmt w:val="decimal"/>
      <w:lvlText w:val="%1."/>
      <w:lvlJc w:val="left"/>
      <w:pPr>
        <w:tabs>
          <w:tab w:val="num" w:pos="1492"/>
        </w:tabs>
        <w:ind w:left="1492" w:hanging="360"/>
      </w:pPr>
    </w:lvl>
  </w:abstractNum>
  <w:abstractNum w:abstractNumId="1">
    <w:nsid w:val="FFFFFF7D"/>
    <w:multiLevelType w:val="singleLevel"/>
    <w:tmpl w:val="DB8872E0"/>
    <w:lvl w:ilvl="0">
      <w:start w:val="1"/>
      <w:numFmt w:val="decimal"/>
      <w:lvlText w:val="%1."/>
      <w:lvlJc w:val="left"/>
      <w:pPr>
        <w:tabs>
          <w:tab w:val="num" w:pos="1209"/>
        </w:tabs>
        <w:ind w:left="1209" w:hanging="360"/>
      </w:pPr>
    </w:lvl>
  </w:abstractNum>
  <w:abstractNum w:abstractNumId="2">
    <w:nsid w:val="FFFFFF7E"/>
    <w:multiLevelType w:val="singleLevel"/>
    <w:tmpl w:val="8E942662"/>
    <w:lvl w:ilvl="0">
      <w:start w:val="1"/>
      <w:numFmt w:val="decimal"/>
      <w:lvlText w:val="%1."/>
      <w:lvlJc w:val="left"/>
      <w:pPr>
        <w:tabs>
          <w:tab w:val="num" w:pos="926"/>
        </w:tabs>
        <w:ind w:left="926" w:hanging="360"/>
      </w:pPr>
    </w:lvl>
  </w:abstractNum>
  <w:abstractNum w:abstractNumId="3">
    <w:nsid w:val="FFFFFF7F"/>
    <w:multiLevelType w:val="singleLevel"/>
    <w:tmpl w:val="E118F78E"/>
    <w:lvl w:ilvl="0">
      <w:start w:val="1"/>
      <w:numFmt w:val="decimal"/>
      <w:lvlText w:val="%1."/>
      <w:lvlJc w:val="left"/>
      <w:pPr>
        <w:tabs>
          <w:tab w:val="num" w:pos="643"/>
        </w:tabs>
        <w:ind w:left="643" w:hanging="360"/>
      </w:pPr>
    </w:lvl>
  </w:abstractNum>
  <w:abstractNum w:abstractNumId="4">
    <w:nsid w:val="FFFFFF80"/>
    <w:multiLevelType w:val="singleLevel"/>
    <w:tmpl w:val="59883B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2B49AA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C2C89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E8C77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73E72D6"/>
    <w:lvl w:ilvl="0">
      <w:start w:val="1"/>
      <w:numFmt w:val="decimal"/>
      <w:lvlText w:val="%1."/>
      <w:lvlJc w:val="left"/>
      <w:pPr>
        <w:tabs>
          <w:tab w:val="num" w:pos="360"/>
        </w:tabs>
        <w:ind w:left="360" w:hanging="360"/>
      </w:pPr>
    </w:lvl>
  </w:abstractNum>
  <w:abstractNum w:abstractNumId="9">
    <w:nsid w:val="FFFFFF89"/>
    <w:multiLevelType w:val="singleLevel"/>
    <w:tmpl w:val="91EEBAB0"/>
    <w:lvl w:ilvl="0">
      <w:start w:val="1"/>
      <w:numFmt w:val="bullet"/>
      <w:lvlText w:val=""/>
      <w:lvlJc w:val="left"/>
      <w:pPr>
        <w:tabs>
          <w:tab w:val="num" w:pos="360"/>
        </w:tabs>
        <w:ind w:left="360" w:hanging="360"/>
      </w:pPr>
      <w:rPr>
        <w:rFonts w:ascii="Symbol" w:hAnsi="Symbol" w:hint="default"/>
      </w:rPr>
    </w:lvl>
  </w:abstractNum>
  <w:abstractNum w:abstractNumId="10">
    <w:nsid w:val="09454734"/>
    <w:multiLevelType w:val="hybridMultilevel"/>
    <w:tmpl w:val="B2667E58"/>
    <w:lvl w:ilvl="0" w:tplc="13C6057C">
      <w:start w:val="3"/>
      <w:numFmt w:val="bullet"/>
      <w:lvlText w:val="-"/>
      <w:lvlJc w:val="left"/>
      <w:pPr>
        <w:ind w:left="720" w:hanging="360"/>
      </w:pPr>
      <w:rPr>
        <w:rFonts w:ascii="Calibri" w:eastAsiaTheme="minorEastAsia"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111E35"/>
    <w:multiLevelType w:val="hybridMultilevel"/>
    <w:tmpl w:val="27B46F38"/>
    <w:lvl w:ilvl="0" w:tplc="0409001B">
      <w:start w:val="1"/>
      <w:numFmt w:val="lowerRoman"/>
      <w:lvlText w:val="%1."/>
      <w:lvlJc w:val="right"/>
      <w:pPr>
        <w:ind w:left="360" w:hanging="360"/>
      </w:pPr>
      <w:rPr>
        <w:rFonts w:hint="default"/>
      </w:rPr>
    </w:lvl>
    <w:lvl w:ilvl="1" w:tplc="BAACCEEE">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D6766E3"/>
    <w:multiLevelType w:val="hybridMultilevel"/>
    <w:tmpl w:val="212E40B2"/>
    <w:lvl w:ilvl="0" w:tplc="7FB6D032">
      <w:start w:val="1"/>
      <w:numFmt w:val="lowerRoman"/>
      <w:lvlText w:val="%1)"/>
      <w:lvlJc w:val="left"/>
      <w:pPr>
        <w:ind w:left="720" w:hanging="720"/>
      </w:pPr>
      <w:rPr>
        <w:rFonts w:asciiTheme="minorHAnsi" w:eastAsia="Times New Roman" w:hAnsiTheme="minorHAnsi" w:cstheme="minorHAnsi"/>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027297F"/>
    <w:multiLevelType w:val="hybridMultilevel"/>
    <w:tmpl w:val="27B46F38"/>
    <w:lvl w:ilvl="0" w:tplc="0409001B">
      <w:start w:val="1"/>
      <w:numFmt w:val="lowerRoman"/>
      <w:lvlText w:val="%1."/>
      <w:lvlJc w:val="right"/>
      <w:pPr>
        <w:ind w:left="360" w:hanging="360"/>
      </w:pPr>
      <w:rPr>
        <w:rFonts w:hint="default"/>
      </w:rPr>
    </w:lvl>
    <w:lvl w:ilvl="1" w:tplc="BAACCEEE">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1F270A0"/>
    <w:multiLevelType w:val="hybridMultilevel"/>
    <w:tmpl w:val="DD102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5137BB"/>
    <w:multiLevelType w:val="hybridMultilevel"/>
    <w:tmpl w:val="27B46F38"/>
    <w:lvl w:ilvl="0" w:tplc="0409001B">
      <w:start w:val="1"/>
      <w:numFmt w:val="lowerRoman"/>
      <w:lvlText w:val="%1."/>
      <w:lvlJc w:val="right"/>
      <w:pPr>
        <w:ind w:left="360" w:hanging="360"/>
      </w:pPr>
      <w:rPr>
        <w:rFonts w:hint="default"/>
      </w:rPr>
    </w:lvl>
    <w:lvl w:ilvl="1" w:tplc="BAACCEEE">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40C7435"/>
    <w:multiLevelType w:val="hybridMultilevel"/>
    <w:tmpl w:val="98BA7E9A"/>
    <w:lvl w:ilvl="0" w:tplc="7EE20726">
      <w:start w:val="3"/>
      <w:numFmt w:val="bullet"/>
      <w:lvlText w:val="-"/>
      <w:lvlJc w:val="left"/>
      <w:pPr>
        <w:ind w:left="720" w:hanging="360"/>
      </w:pPr>
      <w:rPr>
        <w:rFonts w:ascii="Calibri" w:eastAsiaTheme="minorEastAsia" w:hAnsi="Calibri" w:cstheme="minorHAnsi" w:hint="default"/>
        <w:lang w:val="ru-RU"/>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9C6C09"/>
    <w:multiLevelType w:val="multilevel"/>
    <w:tmpl w:val="4DAAF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D470B9F"/>
    <w:multiLevelType w:val="singleLevel"/>
    <w:tmpl w:val="6D470B9F"/>
    <w:lvl w:ilvl="0">
      <w:start w:val="1"/>
      <w:numFmt w:val="bullet"/>
      <w:lvlText w:val=""/>
      <w:lvlJc w:val="left"/>
      <w:pPr>
        <w:tabs>
          <w:tab w:val="num" w:pos="360"/>
        </w:tabs>
        <w:ind w:left="360" w:hanging="360"/>
      </w:pPr>
      <w:rPr>
        <w:rFonts w:ascii="Symbol" w:hAnsi="Symbol" w:hint="default"/>
      </w:rPr>
    </w:lvl>
  </w:abstractNum>
  <w:abstractNum w:abstractNumId="19">
    <w:nsid w:val="7190021D"/>
    <w:multiLevelType w:val="hybridMultilevel"/>
    <w:tmpl w:val="72327AF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7"/>
  </w:num>
  <w:num w:numId="3">
    <w:abstractNumId w:val="12"/>
  </w:num>
  <w:num w:numId="4">
    <w:abstractNumId w:val="13"/>
  </w:num>
  <w:num w:numId="5">
    <w:abstractNumId w:val="15"/>
  </w:num>
  <w:num w:numId="6">
    <w:abstractNumId w:val="11"/>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10"/>
  </w:num>
  <w:num w:numId="18">
    <w:abstractNumId w:val="19"/>
  </w:num>
  <w:num w:numId="19">
    <w:abstractNumId w:val="18"/>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9393"/>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125"/>
    <w:rsid w:val="00001EE0"/>
    <w:rsid w:val="00010BDB"/>
    <w:rsid w:val="0002183E"/>
    <w:rsid w:val="000438EA"/>
    <w:rsid w:val="000538EA"/>
    <w:rsid w:val="000569B4"/>
    <w:rsid w:val="000612FD"/>
    <w:rsid w:val="00072488"/>
    <w:rsid w:val="0008081E"/>
    <w:rsid w:val="00080E82"/>
    <w:rsid w:val="000864F6"/>
    <w:rsid w:val="000955B9"/>
    <w:rsid w:val="00097E1B"/>
    <w:rsid w:val="000A047E"/>
    <w:rsid w:val="000A2FD8"/>
    <w:rsid w:val="000A6DF1"/>
    <w:rsid w:val="000B032D"/>
    <w:rsid w:val="000B1D2E"/>
    <w:rsid w:val="000B1E1D"/>
    <w:rsid w:val="000C359F"/>
    <w:rsid w:val="000D1615"/>
    <w:rsid w:val="000D307A"/>
    <w:rsid w:val="000D4618"/>
    <w:rsid w:val="000E4A09"/>
    <w:rsid w:val="000E568E"/>
    <w:rsid w:val="000F56C4"/>
    <w:rsid w:val="00105089"/>
    <w:rsid w:val="0011092E"/>
    <w:rsid w:val="00113322"/>
    <w:rsid w:val="00115193"/>
    <w:rsid w:val="00117137"/>
    <w:rsid w:val="0012661D"/>
    <w:rsid w:val="00145920"/>
    <w:rsid w:val="00147B53"/>
    <w:rsid w:val="001560F3"/>
    <w:rsid w:val="0015710D"/>
    <w:rsid w:val="001600BA"/>
    <w:rsid w:val="00163A32"/>
    <w:rsid w:val="00167A0B"/>
    <w:rsid w:val="00167E30"/>
    <w:rsid w:val="0017724F"/>
    <w:rsid w:val="00192B41"/>
    <w:rsid w:val="001A0610"/>
    <w:rsid w:val="001A1182"/>
    <w:rsid w:val="001A4747"/>
    <w:rsid w:val="001B3693"/>
    <w:rsid w:val="001B7B09"/>
    <w:rsid w:val="001D4F51"/>
    <w:rsid w:val="001D6440"/>
    <w:rsid w:val="001E4221"/>
    <w:rsid w:val="001E5125"/>
    <w:rsid w:val="001E6719"/>
    <w:rsid w:val="001E7335"/>
    <w:rsid w:val="001F07B9"/>
    <w:rsid w:val="00206B2F"/>
    <w:rsid w:val="00224687"/>
    <w:rsid w:val="00227FF0"/>
    <w:rsid w:val="00237151"/>
    <w:rsid w:val="00252878"/>
    <w:rsid w:val="00255E46"/>
    <w:rsid w:val="0026057E"/>
    <w:rsid w:val="00273432"/>
    <w:rsid w:val="00274ABF"/>
    <w:rsid w:val="00280198"/>
    <w:rsid w:val="00291EB6"/>
    <w:rsid w:val="00296086"/>
    <w:rsid w:val="00297425"/>
    <w:rsid w:val="00297E51"/>
    <w:rsid w:val="002A4604"/>
    <w:rsid w:val="002B1105"/>
    <w:rsid w:val="002B7C58"/>
    <w:rsid w:val="002D037A"/>
    <w:rsid w:val="002D2F57"/>
    <w:rsid w:val="002D3F07"/>
    <w:rsid w:val="002D48C5"/>
    <w:rsid w:val="002E23A5"/>
    <w:rsid w:val="002E4F5F"/>
    <w:rsid w:val="002E740C"/>
    <w:rsid w:val="002F7BEE"/>
    <w:rsid w:val="003008AC"/>
    <w:rsid w:val="003020B6"/>
    <w:rsid w:val="00302D42"/>
    <w:rsid w:val="0030432A"/>
    <w:rsid w:val="00315F66"/>
    <w:rsid w:val="003235D3"/>
    <w:rsid w:val="00332B03"/>
    <w:rsid w:val="00333B9B"/>
    <w:rsid w:val="00342B24"/>
    <w:rsid w:val="00356462"/>
    <w:rsid w:val="0035697C"/>
    <w:rsid w:val="00367652"/>
    <w:rsid w:val="00386806"/>
    <w:rsid w:val="00392D42"/>
    <w:rsid w:val="00392F92"/>
    <w:rsid w:val="003A55E5"/>
    <w:rsid w:val="003B3F38"/>
    <w:rsid w:val="003C1794"/>
    <w:rsid w:val="003D37F5"/>
    <w:rsid w:val="003D5015"/>
    <w:rsid w:val="003D76EE"/>
    <w:rsid w:val="003F099E"/>
    <w:rsid w:val="003F21F5"/>
    <w:rsid w:val="003F235E"/>
    <w:rsid w:val="004023E0"/>
    <w:rsid w:val="00402CF5"/>
    <w:rsid w:val="00403DD8"/>
    <w:rsid w:val="00407AD4"/>
    <w:rsid w:val="0041221B"/>
    <w:rsid w:val="00414D3F"/>
    <w:rsid w:val="0041636D"/>
    <w:rsid w:val="00417565"/>
    <w:rsid w:val="00420E2B"/>
    <w:rsid w:val="00421886"/>
    <w:rsid w:val="00421EDF"/>
    <w:rsid w:val="004313A5"/>
    <w:rsid w:val="00433ACB"/>
    <w:rsid w:val="00437AAE"/>
    <w:rsid w:val="00441DB8"/>
    <w:rsid w:val="00454B16"/>
    <w:rsid w:val="0045686C"/>
    <w:rsid w:val="00466761"/>
    <w:rsid w:val="00470EB5"/>
    <w:rsid w:val="004720E3"/>
    <w:rsid w:val="00476D91"/>
    <w:rsid w:val="004918C4"/>
    <w:rsid w:val="0049218C"/>
    <w:rsid w:val="00492259"/>
    <w:rsid w:val="00497B54"/>
    <w:rsid w:val="004A298B"/>
    <w:rsid w:val="004A45B5"/>
    <w:rsid w:val="004B467F"/>
    <w:rsid w:val="004B51EB"/>
    <w:rsid w:val="004B6D77"/>
    <w:rsid w:val="004D0129"/>
    <w:rsid w:val="004D380B"/>
    <w:rsid w:val="00501461"/>
    <w:rsid w:val="005042D1"/>
    <w:rsid w:val="00520BEE"/>
    <w:rsid w:val="005268A1"/>
    <w:rsid w:val="00534B16"/>
    <w:rsid w:val="0054344D"/>
    <w:rsid w:val="005476F8"/>
    <w:rsid w:val="00553E4E"/>
    <w:rsid w:val="005553D6"/>
    <w:rsid w:val="00563419"/>
    <w:rsid w:val="005707EF"/>
    <w:rsid w:val="00586542"/>
    <w:rsid w:val="00593398"/>
    <w:rsid w:val="005A64D5"/>
    <w:rsid w:val="005A70EA"/>
    <w:rsid w:val="005B0F0C"/>
    <w:rsid w:val="005C0A54"/>
    <w:rsid w:val="005D1415"/>
    <w:rsid w:val="005E53DD"/>
    <w:rsid w:val="005E75E4"/>
    <w:rsid w:val="005E763E"/>
    <w:rsid w:val="005F4B97"/>
    <w:rsid w:val="00601994"/>
    <w:rsid w:val="00613BC7"/>
    <w:rsid w:val="006368DD"/>
    <w:rsid w:val="006427CD"/>
    <w:rsid w:val="006450A9"/>
    <w:rsid w:val="00670CEE"/>
    <w:rsid w:val="00672E02"/>
    <w:rsid w:val="00685AC2"/>
    <w:rsid w:val="0068614A"/>
    <w:rsid w:val="00694220"/>
    <w:rsid w:val="006948AF"/>
    <w:rsid w:val="006A4482"/>
    <w:rsid w:val="006B4072"/>
    <w:rsid w:val="006C1314"/>
    <w:rsid w:val="006C4A0C"/>
    <w:rsid w:val="006D3392"/>
    <w:rsid w:val="006E2D42"/>
    <w:rsid w:val="006E4606"/>
    <w:rsid w:val="006E77A8"/>
    <w:rsid w:val="006F2D93"/>
    <w:rsid w:val="00703676"/>
    <w:rsid w:val="00707304"/>
    <w:rsid w:val="00711123"/>
    <w:rsid w:val="00732269"/>
    <w:rsid w:val="00751EA4"/>
    <w:rsid w:val="007556DD"/>
    <w:rsid w:val="0075797E"/>
    <w:rsid w:val="007579B2"/>
    <w:rsid w:val="007857D4"/>
    <w:rsid w:val="00785ABD"/>
    <w:rsid w:val="0078749A"/>
    <w:rsid w:val="007937A9"/>
    <w:rsid w:val="007A2DD4"/>
    <w:rsid w:val="007A5804"/>
    <w:rsid w:val="007C0477"/>
    <w:rsid w:val="007C0DC8"/>
    <w:rsid w:val="007C4F11"/>
    <w:rsid w:val="007C5819"/>
    <w:rsid w:val="007D38B5"/>
    <w:rsid w:val="007E172B"/>
    <w:rsid w:val="007F2460"/>
    <w:rsid w:val="008020C4"/>
    <w:rsid w:val="00804E00"/>
    <w:rsid w:val="00807255"/>
    <w:rsid w:val="0081023E"/>
    <w:rsid w:val="008173AA"/>
    <w:rsid w:val="00820763"/>
    <w:rsid w:val="0082653F"/>
    <w:rsid w:val="00827308"/>
    <w:rsid w:val="00827788"/>
    <w:rsid w:val="00840A14"/>
    <w:rsid w:val="00842D50"/>
    <w:rsid w:val="008458D5"/>
    <w:rsid w:val="00847383"/>
    <w:rsid w:val="008541ED"/>
    <w:rsid w:val="00854DF4"/>
    <w:rsid w:val="00865DDF"/>
    <w:rsid w:val="00866823"/>
    <w:rsid w:val="00885ACC"/>
    <w:rsid w:val="008B182F"/>
    <w:rsid w:val="008B1E9F"/>
    <w:rsid w:val="008B762C"/>
    <w:rsid w:val="008B7B20"/>
    <w:rsid w:val="008C229B"/>
    <w:rsid w:val="008C27B2"/>
    <w:rsid w:val="008D2D7B"/>
    <w:rsid w:val="008D4746"/>
    <w:rsid w:val="008D70AD"/>
    <w:rsid w:val="008E0737"/>
    <w:rsid w:val="008E4673"/>
    <w:rsid w:val="008F5699"/>
    <w:rsid w:val="008F6271"/>
    <w:rsid w:val="008F7C2C"/>
    <w:rsid w:val="00900B0D"/>
    <w:rsid w:val="00900EB4"/>
    <w:rsid w:val="00907200"/>
    <w:rsid w:val="009128B4"/>
    <w:rsid w:val="0092790C"/>
    <w:rsid w:val="00927D4A"/>
    <w:rsid w:val="00931B14"/>
    <w:rsid w:val="00933700"/>
    <w:rsid w:val="00940E96"/>
    <w:rsid w:val="00942B64"/>
    <w:rsid w:val="00951D73"/>
    <w:rsid w:val="00953BB6"/>
    <w:rsid w:val="00972B30"/>
    <w:rsid w:val="00994682"/>
    <w:rsid w:val="009A738F"/>
    <w:rsid w:val="009B0BAE"/>
    <w:rsid w:val="009B2C29"/>
    <w:rsid w:val="009B43DA"/>
    <w:rsid w:val="009C1096"/>
    <w:rsid w:val="009C6DB9"/>
    <w:rsid w:val="009E4CD9"/>
    <w:rsid w:val="009E57BE"/>
    <w:rsid w:val="009E7A81"/>
    <w:rsid w:val="009F08B7"/>
    <w:rsid w:val="009F34BA"/>
    <w:rsid w:val="009F7C7C"/>
    <w:rsid w:val="00A077CE"/>
    <w:rsid w:val="00A17A86"/>
    <w:rsid w:val="00A3075C"/>
    <w:rsid w:val="00A3685A"/>
    <w:rsid w:val="00A40DBC"/>
    <w:rsid w:val="00A43B38"/>
    <w:rsid w:val="00A4797A"/>
    <w:rsid w:val="00A5177E"/>
    <w:rsid w:val="00A62A4E"/>
    <w:rsid w:val="00A63AF3"/>
    <w:rsid w:val="00A71773"/>
    <w:rsid w:val="00A76CAE"/>
    <w:rsid w:val="00A778BF"/>
    <w:rsid w:val="00A81E45"/>
    <w:rsid w:val="00A831AB"/>
    <w:rsid w:val="00AA39A1"/>
    <w:rsid w:val="00AA7849"/>
    <w:rsid w:val="00AB0103"/>
    <w:rsid w:val="00AB05A2"/>
    <w:rsid w:val="00AB0E98"/>
    <w:rsid w:val="00AD00AE"/>
    <w:rsid w:val="00AE2C85"/>
    <w:rsid w:val="00B207D7"/>
    <w:rsid w:val="00B336E7"/>
    <w:rsid w:val="00B4160E"/>
    <w:rsid w:val="00B5208F"/>
    <w:rsid w:val="00B55A7A"/>
    <w:rsid w:val="00B63EF2"/>
    <w:rsid w:val="00B867C0"/>
    <w:rsid w:val="00B91AA6"/>
    <w:rsid w:val="00B9780B"/>
    <w:rsid w:val="00BA6380"/>
    <w:rsid w:val="00BC0D39"/>
    <w:rsid w:val="00BC7BC0"/>
    <w:rsid w:val="00BD57B7"/>
    <w:rsid w:val="00BD6B87"/>
    <w:rsid w:val="00BE019F"/>
    <w:rsid w:val="00BE5617"/>
    <w:rsid w:val="00BE6358"/>
    <w:rsid w:val="00BE63E2"/>
    <w:rsid w:val="00BF2CA1"/>
    <w:rsid w:val="00BF6CC8"/>
    <w:rsid w:val="00C007AF"/>
    <w:rsid w:val="00C02842"/>
    <w:rsid w:val="00C11D90"/>
    <w:rsid w:val="00C133D0"/>
    <w:rsid w:val="00C138EE"/>
    <w:rsid w:val="00C23E0B"/>
    <w:rsid w:val="00C2748D"/>
    <w:rsid w:val="00C3011C"/>
    <w:rsid w:val="00C35C57"/>
    <w:rsid w:val="00C365CC"/>
    <w:rsid w:val="00C44154"/>
    <w:rsid w:val="00C5606A"/>
    <w:rsid w:val="00C64D09"/>
    <w:rsid w:val="00C73B67"/>
    <w:rsid w:val="00C75F29"/>
    <w:rsid w:val="00C76FA0"/>
    <w:rsid w:val="00C81C0E"/>
    <w:rsid w:val="00C82140"/>
    <w:rsid w:val="00C82C44"/>
    <w:rsid w:val="00C90B8C"/>
    <w:rsid w:val="00CA5277"/>
    <w:rsid w:val="00CA6053"/>
    <w:rsid w:val="00CB7FF1"/>
    <w:rsid w:val="00CC4514"/>
    <w:rsid w:val="00CC62A5"/>
    <w:rsid w:val="00CF20DA"/>
    <w:rsid w:val="00CF3BFB"/>
    <w:rsid w:val="00CF629C"/>
    <w:rsid w:val="00D06A01"/>
    <w:rsid w:val="00D07A2E"/>
    <w:rsid w:val="00D127FF"/>
    <w:rsid w:val="00D21A3A"/>
    <w:rsid w:val="00D24B36"/>
    <w:rsid w:val="00D25666"/>
    <w:rsid w:val="00D40542"/>
    <w:rsid w:val="00D4570E"/>
    <w:rsid w:val="00D71511"/>
    <w:rsid w:val="00D71870"/>
    <w:rsid w:val="00D84D4E"/>
    <w:rsid w:val="00D92C7C"/>
    <w:rsid w:val="00D947BB"/>
    <w:rsid w:val="00DA5D4E"/>
    <w:rsid w:val="00DB17F8"/>
    <w:rsid w:val="00DC3A05"/>
    <w:rsid w:val="00DD07E6"/>
    <w:rsid w:val="00DD4A7D"/>
    <w:rsid w:val="00DE4D88"/>
    <w:rsid w:val="00DF16A8"/>
    <w:rsid w:val="00DF29AE"/>
    <w:rsid w:val="00E016F8"/>
    <w:rsid w:val="00E02640"/>
    <w:rsid w:val="00E06FEB"/>
    <w:rsid w:val="00E176BA"/>
    <w:rsid w:val="00E25BEC"/>
    <w:rsid w:val="00E30F8F"/>
    <w:rsid w:val="00E315C4"/>
    <w:rsid w:val="00E423EC"/>
    <w:rsid w:val="00E509BA"/>
    <w:rsid w:val="00E51A77"/>
    <w:rsid w:val="00E56533"/>
    <w:rsid w:val="00E70FF8"/>
    <w:rsid w:val="00E77974"/>
    <w:rsid w:val="00E813CA"/>
    <w:rsid w:val="00E85A46"/>
    <w:rsid w:val="00E85D22"/>
    <w:rsid w:val="00E912BD"/>
    <w:rsid w:val="00EA1E95"/>
    <w:rsid w:val="00EB393A"/>
    <w:rsid w:val="00EB422D"/>
    <w:rsid w:val="00EC02FF"/>
    <w:rsid w:val="00EC1157"/>
    <w:rsid w:val="00ED1834"/>
    <w:rsid w:val="00ED3323"/>
    <w:rsid w:val="00ED6A6E"/>
    <w:rsid w:val="00EE4647"/>
    <w:rsid w:val="00EF59AC"/>
    <w:rsid w:val="00F0135D"/>
    <w:rsid w:val="00F15D14"/>
    <w:rsid w:val="00F2186A"/>
    <w:rsid w:val="00F24DC5"/>
    <w:rsid w:val="00F315F2"/>
    <w:rsid w:val="00F32F7C"/>
    <w:rsid w:val="00F35898"/>
    <w:rsid w:val="00F4202D"/>
    <w:rsid w:val="00F43242"/>
    <w:rsid w:val="00F4632F"/>
    <w:rsid w:val="00F5225B"/>
    <w:rsid w:val="00F66D24"/>
    <w:rsid w:val="00FC29C4"/>
    <w:rsid w:val="00FD171D"/>
    <w:rsid w:val="00FD3A61"/>
    <w:rsid w:val="00FD4A93"/>
    <w:rsid w:val="00FD513C"/>
    <w:rsid w:val="00FD6D6F"/>
    <w:rsid w:val="00FE1E49"/>
    <w:rsid w:val="00FE5701"/>
    <w:rsid w:val="00FE7733"/>
    <w:rsid w:val="00FE7E2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68A1"/>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link w:val="Heading1Char"/>
    <w:qFormat/>
    <w:rsid w:val="00227FF0"/>
    <w:pPr>
      <w:keepNext/>
      <w:keepLines/>
      <w:spacing w:before="480"/>
      <w:ind w:left="794" w:hanging="794"/>
      <w:outlineLvl w:val="0"/>
    </w:pPr>
    <w:rPr>
      <w:b/>
      <w:sz w:val="26"/>
    </w:rPr>
  </w:style>
  <w:style w:type="paragraph" w:styleId="Heading2">
    <w:name w:val="heading 2"/>
    <w:basedOn w:val="Heading1"/>
    <w:next w:val="Normal"/>
    <w:qFormat/>
    <w:rsid w:val="00227FF0"/>
    <w:pPr>
      <w:spacing w:before="320"/>
      <w:outlineLvl w:val="1"/>
    </w:pPr>
    <w:rPr>
      <w:sz w:val="22"/>
    </w:rPr>
  </w:style>
  <w:style w:type="paragraph" w:styleId="Heading3">
    <w:name w:val="heading 3"/>
    <w:basedOn w:val="Heading1"/>
    <w:next w:val="Normal"/>
    <w:qFormat/>
    <w:rsid w:val="00927D4A"/>
    <w:pPr>
      <w:spacing w:before="200"/>
      <w:ind w:left="0" w:firstLine="0"/>
      <w:outlineLvl w:val="2"/>
    </w:pPr>
    <w:rPr>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link w:val="FooterChar"/>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227FF0"/>
    <w:rPr>
      <w:position w:val="6"/>
      <w:sz w:val="16"/>
    </w:rPr>
  </w:style>
  <w:style w:type="paragraph" w:styleId="FootnoteText">
    <w:name w:val="footnote text"/>
    <w:basedOn w:val="Normal"/>
    <w:rsid w:val="0015710D"/>
    <w:pPr>
      <w:keepLines/>
      <w:tabs>
        <w:tab w:val="left" w:pos="255"/>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link w:val="enumlev1Char"/>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qFormat/>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927D4A"/>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927D4A"/>
    <w:pPr>
      <w:spacing w:before="160"/>
    </w:pPr>
    <w:rPr>
      <w:b w:val="0"/>
      <w:i/>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paragraph" w:styleId="BalloonText">
    <w:name w:val="Balloon Text"/>
    <w:basedOn w:val="Normal"/>
    <w:rsid w:val="00227FF0"/>
    <w:rPr>
      <w:rFonts w:ascii="Tahoma" w:hAnsi="Tahoma" w:cs="Tahoma"/>
      <w:sz w:val="16"/>
      <w:szCs w:val="16"/>
    </w:rPr>
  </w:style>
  <w:style w:type="character" w:customStyle="1" w:styleId="Heading1Char">
    <w:name w:val="Heading 1 Char"/>
    <w:basedOn w:val="DefaultParagraphFont"/>
    <w:link w:val="Heading1"/>
    <w:rsid w:val="00927D4A"/>
    <w:rPr>
      <w:rFonts w:ascii="Calibri" w:hAnsi="Calibri"/>
      <w:b/>
      <w:sz w:val="26"/>
      <w:lang w:val="en-GB" w:eastAsia="en-US"/>
    </w:rPr>
  </w:style>
  <w:style w:type="paragraph" w:customStyle="1" w:styleId="plist">
    <w:name w:val="plist"/>
    <w:basedOn w:val="Normal"/>
    <w:uiPriority w:val="99"/>
    <w:rsid w:val="0099468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SimSun" w:hAnsi="Times New Roman"/>
      <w:sz w:val="24"/>
      <w:szCs w:val="24"/>
      <w:lang w:val="en-US" w:eastAsia="zh-CN"/>
    </w:rPr>
  </w:style>
  <w:style w:type="paragraph" w:styleId="NormalWeb">
    <w:name w:val="Normal (Web)"/>
    <w:basedOn w:val="Normal"/>
    <w:link w:val="NormalWebChar"/>
    <w:uiPriority w:val="99"/>
    <w:rsid w:val="0049225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 w:val="24"/>
      <w:szCs w:val="24"/>
      <w:lang w:val="en-US"/>
    </w:rPr>
  </w:style>
  <w:style w:type="character" w:customStyle="1" w:styleId="NormalWebChar">
    <w:name w:val="Normal (Web) Char"/>
    <w:basedOn w:val="DefaultParagraphFont"/>
    <w:link w:val="NormalWeb"/>
    <w:uiPriority w:val="99"/>
    <w:locked/>
    <w:rsid w:val="00492259"/>
    <w:rPr>
      <w:rFonts w:ascii="Times New Roman" w:eastAsiaTheme="minorEastAsia" w:hAnsi="Times New Roman"/>
      <w:sz w:val="24"/>
      <w:szCs w:val="24"/>
      <w:lang w:eastAsia="en-US"/>
    </w:rPr>
  </w:style>
  <w:style w:type="table" w:styleId="TableGrid">
    <w:name w:val="Table Grid"/>
    <w:basedOn w:val="TableNormal"/>
    <w:rsid w:val="00492259"/>
    <w:rPr>
      <w:rFonts w:eastAsiaTheme="minorEastAsia"/>
      <w:sz w:val="22"/>
      <w:szCs w:val="22"/>
      <w:lang w:val="en-CA"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41DB8"/>
    <w:pPr>
      <w:ind w:left="720"/>
      <w:contextualSpacing/>
    </w:pPr>
    <w:rPr>
      <w:rFonts w:ascii="Times New Roman" w:eastAsiaTheme="minorEastAsia" w:hAnsi="Times New Roman"/>
      <w:sz w:val="24"/>
    </w:rPr>
  </w:style>
  <w:style w:type="paragraph" w:styleId="NoSpacing">
    <w:name w:val="No Spacing"/>
    <w:uiPriority w:val="1"/>
    <w:qFormat/>
    <w:rsid w:val="00B867C0"/>
    <w:pPr>
      <w:tabs>
        <w:tab w:val="left" w:pos="794"/>
        <w:tab w:val="left" w:pos="1191"/>
        <w:tab w:val="left" w:pos="1588"/>
        <w:tab w:val="left" w:pos="1985"/>
      </w:tabs>
      <w:overflowPunct w:val="0"/>
      <w:autoSpaceDE w:val="0"/>
      <w:autoSpaceDN w:val="0"/>
      <w:adjustRightInd w:val="0"/>
      <w:textAlignment w:val="baseline"/>
    </w:pPr>
    <w:rPr>
      <w:rFonts w:ascii="Calibri" w:hAnsi="Calibri"/>
      <w:sz w:val="22"/>
      <w:lang w:val="en-GB" w:eastAsia="en-US"/>
    </w:rPr>
  </w:style>
  <w:style w:type="paragraph" w:customStyle="1" w:styleId="Table">
    <w:name w:val="Table_#"/>
    <w:basedOn w:val="Normal"/>
    <w:next w:val="Normal"/>
    <w:rsid w:val="00E51A77"/>
    <w:pPr>
      <w:keepNext/>
      <w:overflowPunct/>
      <w:autoSpaceDE/>
      <w:autoSpaceDN/>
      <w:adjustRightInd/>
      <w:spacing w:before="560" w:after="120"/>
      <w:jc w:val="center"/>
      <w:textAlignment w:val="auto"/>
    </w:pPr>
    <w:rPr>
      <w:rFonts w:ascii="Times New Roman" w:hAnsi="Times New Roman"/>
      <w:caps/>
      <w:sz w:val="24"/>
    </w:rPr>
  </w:style>
  <w:style w:type="character" w:styleId="Strong">
    <w:name w:val="Strong"/>
    <w:qFormat/>
    <w:rsid w:val="00E51A77"/>
    <w:rPr>
      <w:rFonts w:ascii="Trebuchet MS" w:hAnsi="Trebuchet MS"/>
      <w:b/>
      <w:bCs/>
      <w:noProof w:val="0"/>
      <w:lang w:val="en-US"/>
    </w:rPr>
  </w:style>
  <w:style w:type="character" w:customStyle="1" w:styleId="HeaderChar">
    <w:name w:val="Header Char"/>
    <w:basedOn w:val="DefaultParagraphFont"/>
    <w:link w:val="Header"/>
    <w:uiPriority w:val="99"/>
    <w:rsid w:val="00E51A77"/>
    <w:rPr>
      <w:rFonts w:ascii="Calibri" w:hAnsi="Calibri"/>
      <w:sz w:val="18"/>
      <w:lang w:val="fr-FR" w:eastAsia="en-US"/>
    </w:rPr>
  </w:style>
  <w:style w:type="character" w:customStyle="1" w:styleId="FooterChar">
    <w:name w:val="Footer Char"/>
    <w:basedOn w:val="DefaultParagraphFont"/>
    <w:link w:val="Footer"/>
    <w:rsid w:val="00E51A77"/>
    <w:rPr>
      <w:rFonts w:ascii="Calibri" w:hAnsi="Calibri"/>
      <w:caps/>
      <w:noProof/>
      <w:sz w:val="16"/>
      <w:lang w:val="fr-FR" w:eastAsia="en-US"/>
    </w:rPr>
  </w:style>
  <w:style w:type="character" w:customStyle="1" w:styleId="enumlev1Char">
    <w:name w:val="enumlev1 Char"/>
    <w:basedOn w:val="DefaultParagraphFont"/>
    <w:link w:val="enumlev1"/>
    <w:locked/>
    <w:rsid w:val="00E51A77"/>
    <w:rPr>
      <w:rFonts w:ascii="Calibri" w:hAnsi="Calibri"/>
      <w:sz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68A1"/>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link w:val="Heading1Char"/>
    <w:qFormat/>
    <w:rsid w:val="00227FF0"/>
    <w:pPr>
      <w:keepNext/>
      <w:keepLines/>
      <w:spacing w:before="480"/>
      <w:ind w:left="794" w:hanging="794"/>
      <w:outlineLvl w:val="0"/>
    </w:pPr>
    <w:rPr>
      <w:b/>
      <w:sz w:val="26"/>
    </w:rPr>
  </w:style>
  <w:style w:type="paragraph" w:styleId="Heading2">
    <w:name w:val="heading 2"/>
    <w:basedOn w:val="Heading1"/>
    <w:next w:val="Normal"/>
    <w:qFormat/>
    <w:rsid w:val="00227FF0"/>
    <w:pPr>
      <w:spacing w:before="320"/>
      <w:outlineLvl w:val="1"/>
    </w:pPr>
    <w:rPr>
      <w:sz w:val="22"/>
    </w:rPr>
  </w:style>
  <w:style w:type="paragraph" w:styleId="Heading3">
    <w:name w:val="heading 3"/>
    <w:basedOn w:val="Heading1"/>
    <w:next w:val="Normal"/>
    <w:qFormat/>
    <w:rsid w:val="00927D4A"/>
    <w:pPr>
      <w:spacing w:before="200"/>
      <w:ind w:left="0" w:firstLine="0"/>
      <w:outlineLvl w:val="2"/>
    </w:pPr>
    <w:rPr>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link w:val="FooterChar"/>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227FF0"/>
    <w:rPr>
      <w:position w:val="6"/>
      <w:sz w:val="16"/>
    </w:rPr>
  </w:style>
  <w:style w:type="paragraph" w:styleId="FootnoteText">
    <w:name w:val="footnote text"/>
    <w:basedOn w:val="Normal"/>
    <w:rsid w:val="0015710D"/>
    <w:pPr>
      <w:keepLines/>
      <w:tabs>
        <w:tab w:val="left" w:pos="255"/>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link w:val="enumlev1Char"/>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qFormat/>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927D4A"/>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927D4A"/>
    <w:pPr>
      <w:spacing w:before="160"/>
    </w:pPr>
    <w:rPr>
      <w:b w:val="0"/>
      <w:i/>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paragraph" w:styleId="BalloonText">
    <w:name w:val="Balloon Text"/>
    <w:basedOn w:val="Normal"/>
    <w:rsid w:val="00227FF0"/>
    <w:rPr>
      <w:rFonts w:ascii="Tahoma" w:hAnsi="Tahoma" w:cs="Tahoma"/>
      <w:sz w:val="16"/>
      <w:szCs w:val="16"/>
    </w:rPr>
  </w:style>
  <w:style w:type="character" w:customStyle="1" w:styleId="Heading1Char">
    <w:name w:val="Heading 1 Char"/>
    <w:basedOn w:val="DefaultParagraphFont"/>
    <w:link w:val="Heading1"/>
    <w:rsid w:val="00927D4A"/>
    <w:rPr>
      <w:rFonts w:ascii="Calibri" w:hAnsi="Calibri"/>
      <w:b/>
      <w:sz w:val="26"/>
      <w:lang w:val="en-GB" w:eastAsia="en-US"/>
    </w:rPr>
  </w:style>
  <w:style w:type="paragraph" w:customStyle="1" w:styleId="plist">
    <w:name w:val="plist"/>
    <w:basedOn w:val="Normal"/>
    <w:uiPriority w:val="99"/>
    <w:rsid w:val="0099468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SimSun" w:hAnsi="Times New Roman"/>
      <w:sz w:val="24"/>
      <w:szCs w:val="24"/>
      <w:lang w:val="en-US" w:eastAsia="zh-CN"/>
    </w:rPr>
  </w:style>
  <w:style w:type="paragraph" w:styleId="NormalWeb">
    <w:name w:val="Normal (Web)"/>
    <w:basedOn w:val="Normal"/>
    <w:link w:val="NormalWebChar"/>
    <w:uiPriority w:val="99"/>
    <w:rsid w:val="0049225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 w:val="24"/>
      <w:szCs w:val="24"/>
      <w:lang w:val="en-US"/>
    </w:rPr>
  </w:style>
  <w:style w:type="character" w:customStyle="1" w:styleId="NormalWebChar">
    <w:name w:val="Normal (Web) Char"/>
    <w:basedOn w:val="DefaultParagraphFont"/>
    <w:link w:val="NormalWeb"/>
    <w:uiPriority w:val="99"/>
    <w:locked/>
    <w:rsid w:val="00492259"/>
    <w:rPr>
      <w:rFonts w:ascii="Times New Roman" w:eastAsiaTheme="minorEastAsia" w:hAnsi="Times New Roman"/>
      <w:sz w:val="24"/>
      <w:szCs w:val="24"/>
      <w:lang w:eastAsia="en-US"/>
    </w:rPr>
  </w:style>
  <w:style w:type="table" w:styleId="TableGrid">
    <w:name w:val="Table Grid"/>
    <w:basedOn w:val="TableNormal"/>
    <w:rsid w:val="00492259"/>
    <w:rPr>
      <w:rFonts w:eastAsiaTheme="minorEastAsia"/>
      <w:sz w:val="22"/>
      <w:szCs w:val="22"/>
      <w:lang w:val="en-CA"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41DB8"/>
    <w:pPr>
      <w:ind w:left="720"/>
      <w:contextualSpacing/>
    </w:pPr>
    <w:rPr>
      <w:rFonts w:ascii="Times New Roman" w:eastAsiaTheme="minorEastAsia" w:hAnsi="Times New Roman"/>
      <w:sz w:val="24"/>
    </w:rPr>
  </w:style>
  <w:style w:type="paragraph" w:styleId="NoSpacing">
    <w:name w:val="No Spacing"/>
    <w:uiPriority w:val="1"/>
    <w:qFormat/>
    <w:rsid w:val="00B867C0"/>
    <w:pPr>
      <w:tabs>
        <w:tab w:val="left" w:pos="794"/>
        <w:tab w:val="left" w:pos="1191"/>
        <w:tab w:val="left" w:pos="1588"/>
        <w:tab w:val="left" w:pos="1985"/>
      </w:tabs>
      <w:overflowPunct w:val="0"/>
      <w:autoSpaceDE w:val="0"/>
      <w:autoSpaceDN w:val="0"/>
      <w:adjustRightInd w:val="0"/>
      <w:textAlignment w:val="baseline"/>
    </w:pPr>
    <w:rPr>
      <w:rFonts w:ascii="Calibri" w:hAnsi="Calibri"/>
      <w:sz w:val="22"/>
      <w:lang w:val="en-GB" w:eastAsia="en-US"/>
    </w:rPr>
  </w:style>
  <w:style w:type="paragraph" w:customStyle="1" w:styleId="Table">
    <w:name w:val="Table_#"/>
    <w:basedOn w:val="Normal"/>
    <w:next w:val="Normal"/>
    <w:rsid w:val="00E51A77"/>
    <w:pPr>
      <w:keepNext/>
      <w:overflowPunct/>
      <w:autoSpaceDE/>
      <w:autoSpaceDN/>
      <w:adjustRightInd/>
      <w:spacing w:before="560" w:after="120"/>
      <w:jc w:val="center"/>
      <w:textAlignment w:val="auto"/>
    </w:pPr>
    <w:rPr>
      <w:rFonts w:ascii="Times New Roman" w:hAnsi="Times New Roman"/>
      <w:caps/>
      <w:sz w:val="24"/>
    </w:rPr>
  </w:style>
  <w:style w:type="character" w:styleId="Strong">
    <w:name w:val="Strong"/>
    <w:qFormat/>
    <w:rsid w:val="00E51A77"/>
    <w:rPr>
      <w:rFonts w:ascii="Trebuchet MS" w:hAnsi="Trebuchet MS"/>
      <w:b/>
      <w:bCs/>
      <w:noProof w:val="0"/>
      <w:lang w:val="en-US"/>
    </w:rPr>
  </w:style>
  <w:style w:type="character" w:customStyle="1" w:styleId="HeaderChar">
    <w:name w:val="Header Char"/>
    <w:basedOn w:val="DefaultParagraphFont"/>
    <w:link w:val="Header"/>
    <w:uiPriority w:val="99"/>
    <w:rsid w:val="00E51A77"/>
    <w:rPr>
      <w:rFonts w:ascii="Calibri" w:hAnsi="Calibri"/>
      <w:sz w:val="18"/>
      <w:lang w:val="fr-FR" w:eastAsia="en-US"/>
    </w:rPr>
  </w:style>
  <w:style w:type="character" w:customStyle="1" w:styleId="FooterChar">
    <w:name w:val="Footer Char"/>
    <w:basedOn w:val="DefaultParagraphFont"/>
    <w:link w:val="Footer"/>
    <w:rsid w:val="00E51A77"/>
    <w:rPr>
      <w:rFonts w:ascii="Calibri" w:hAnsi="Calibri"/>
      <w:caps/>
      <w:noProof/>
      <w:sz w:val="16"/>
      <w:lang w:val="fr-FR" w:eastAsia="en-US"/>
    </w:rPr>
  </w:style>
  <w:style w:type="character" w:customStyle="1" w:styleId="enumlev1Char">
    <w:name w:val="enumlev1 Char"/>
    <w:basedOn w:val="DefaultParagraphFont"/>
    <w:link w:val="enumlev1"/>
    <w:locked/>
    <w:rsid w:val="00E51A77"/>
    <w:rPr>
      <w:rFonts w:ascii="Calibri" w:hAnsi="Calibri"/>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S13-CL-C-0065/en"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www.itu.int/md/S12-CL-C-0044/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S11-CL-C-0109/en"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itu.int/council/Basic-Texts/ResDecRec-PP10-e.doc"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en/council/Pages/default.aspx"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ovikov\AppData\Roaming\Microsoft\Templates\POOL%20R%20-%20ITU\PR_C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E4460-E98E-44D3-ACCA-B35086A66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PR_C14.dotm</Template>
  <TotalTime>85</TotalTime>
  <Pages>10</Pages>
  <Words>2877</Words>
  <Characters>19183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НАЗВАНИЕ</vt:lpstr>
    </vt:vector>
  </TitlesOfParts>
  <Manager>General Secretariat - Pool</Manager>
  <Company>International Telecommunication Union (ITU)</Company>
  <LinksUpToDate>false</LinksUpToDate>
  <CharactersWithSpaces>22016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dc:title>
  <dc:subject>Council 2004</dc:subject>
  <dc:creator>Maloletkova, Svetlana</dc:creator>
  <cp:keywords>C2004, C04</cp:keywords>
  <dc:description>Документ C05/xx-R  For: _x000d_Document date: Дата_x000d_Saved by RUS38507 at 8:49:12 AM on 2/8/2005</dc:description>
  <cp:lastModifiedBy>Antipina, Nadezda</cp:lastModifiedBy>
  <cp:revision>7</cp:revision>
  <cp:lastPrinted>2014-04-29T13:38:00Z</cp:lastPrinted>
  <dcterms:created xsi:type="dcterms:W3CDTF">2014-04-28T13:36:00Z</dcterms:created>
  <dcterms:modified xsi:type="dcterms:W3CDTF">2014-04-29T13:39:00Z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