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D03AEC" w:rsidRPr="000C6ABF">
        <w:trPr>
          <w:cantSplit/>
        </w:trPr>
        <w:tc>
          <w:tcPr>
            <w:tcW w:w="6912" w:type="dxa"/>
          </w:tcPr>
          <w:p w:rsidR="00D03AEC" w:rsidRPr="000C6ABF" w:rsidRDefault="00D03AEC" w:rsidP="00AB0C69">
            <w:pPr>
              <w:spacing w:before="360"/>
              <w:rPr>
                <w:lang w:val="fr-CH"/>
              </w:rPr>
            </w:pPr>
            <w:bookmarkStart w:id="0" w:name="dc06"/>
            <w:bookmarkEnd w:id="0"/>
            <w:r w:rsidRPr="000C6ABF">
              <w:rPr>
                <w:b/>
                <w:bCs/>
                <w:sz w:val="30"/>
                <w:szCs w:val="30"/>
                <w:lang w:val="fr-CH"/>
              </w:rPr>
              <w:t>Conseil 2014</w:t>
            </w:r>
            <w:r w:rsidRPr="000C6ABF">
              <w:rPr>
                <w:rFonts w:ascii="Verdana" w:hAnsi="Verdana"/>
                <w:b/>
                <w:bCs/>
                <w:sz w:val="26"/>
                <w:szCs w:val="26"/>
                <w:lang w:val="fr-CH"/>
              </w:rPr>
              <w:br/>
            </w:r>
            <w:r w:rsidRPr="000C6ABF">
              <w:rPr>
                <w:b/>
                <w:bCs/>
                <w:szCs w:val="24"/>
                <w:lang w:val="fr-CH"/>
              </w:rPr>
              <w:t>Genève, 6-15 mai 2014</w:t>
            </w:r>
          </w:p>
        </w:tc>
        <w:tc>
          <w:tcPr>
            <w:tcW w:w="3261" w:type="dxa"/>
          </w:tcPr>
          <w:p w:rsidR="00D03AEC" w:rsidRPr="000C6ABF" w:rsidRDefault="00D03AEC" w:rsidP="00AB0C69">
            <w:pPr>
              <w:spacing w:before="0"/>
              <w:rPr>
                <w:lang w:val="fr-CH"/>
              </w:rPr>
            </w:pPr>
            <w:bookmarkStart w:id="1" w:name="ditulogo"/>
            <w:bookmarkEnd w:id="1"/>
            <w:r w:rsidRPr="000C6ABF">
              <w:rPr>
                <w:rFonts w:ascii="Verdana" w:hAnsi="Verdana"/>
                <w:b/>
                <w:bCs/>
                <w:noProof/>
                <w:lang w:val="en-US" w:eastAsia="zh-CN"/>
              </w:rPr>
              <w:drawing>
                <wp:inline distT="0" distB="0" distL="0" distR="0">
                  <wp:extent cx="1775460" cy="701040"/>
                  <wp:effectExtent l="19050" t="0" r="0" b="0"/>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9"/>
                          <a:srcRect/>
                          <a:stretch>
                            <a:fillRect/>
                          </a:stretch>
                        </pic:blipFill>
                        <pic:spPr bwMode="auto">
                          <a:xfrm>
                            <a:off x="0" y="0"/>
                            <a:ext cx="1775460" cy="701040"/>
                          </a:xfrm>
                          <a:prstGeom prst="rect">
                            <a:avLst/>
                          </a:prstGeom>
                          <a:noFill/>
                          <a:ln w="9525">
                            <a:noFill/>
                            <a:miter lim="800000"/>
                            <a:headEnd/>
                            <a:tailEnd/>
                          </a:ln>
                        </pic:spPr>
                      </pic:pic>
                    </a:graphicData>
                  </a:graphic>
                </wp:inline>
              </w:drawing>
            </w:r>
          </w:p>
        </w:tc>
      </w:tr>
      <w:tr w:rsidR="00D03AEC" w:rsidRPr="000C6ABF">
        <w:trPr>
          <w:cantSplit/>
          <w:trHeight w:val="20"/>
        </w:trPr>
        <w:tc>
          <w:tcPr>
            <w:tcW w:w="6912" w:type="dxa"/>
            <w:tcBorders>
              <w:bottom w:val="single" w:sz="12" w:space="0" w:color="auto"/>
            </w:tcBorders>
          </w:tcPr>
          <w:p w:rsidR="00D03AEC" w:rsidRPr="000C6ABF" w:rsidRDefault="00D03AEC" w:rsidP="00AB0C69">
            <w:pPr>
              <w:spacing w:before="0"/>
              <w:rPr>
                <w:smallCaps/>
                <w:sz w:val="22"/>
                <w:lang w:val="fr-CH"/>
              </w:rPr>
            </w:pPr>
          </w:p>
        </w:tc>
        <w:tc>
          <w:tcPr>
            <w:tcW w:w="3261" w:type="dxa"/>
            <w:tcBorders>
              <w:bottom w:val="single" w:sz="12" w:space="0" w:color="auto"/>
            </w:tcBorders>
          </w:tcPr>
          <w:p w:rsidR="00D03AEC" w:rsidRPr="000C6ABF" w:rsidRDefault="00D03AEC" w:rsidP="00AB0C69">
            <w:pPr>
              <w:spacing w:before="0"/>
              <w:rPr>
                <w:b/>
                <w:bCs/>
                <w:lang w:val="fr-CH"/>
              </w:rPr>
            </w:pPr>
          </w:p>
        </w:tc>
      </w:tr>
      <w:tr w:rsidR="00D03AEC" w:rsidRPr="000C6ABF">
        <w:trPr>
          <w:cantSplit/>
          <w:trHeight w:val="20"/>
        </w:trPr>
        <w:tc>
          <w:tcPr>
            <w:tcW w:w="6912" w:type="dxa"/>
            <w:tcBorders>
              <w:top w:val="single" w:sz="12" w:space="0" w:color="auto"/>
            </w:tcBorders>
          </w:tcPr>
          <w:p w:rsidR="00D03AEC" w:rsidRPr="000C6ABF" w:rsidRDefault="00D03AEC" w:rsidP="00AB0C69">
            <w:pPr>
              <w:spacing w:before="0"/>
              <w:rPr>
                <w:smallCaps/>
                <w:sz w:val="22"/>
                <w:lang w:val="fr-CH"/>
              </w:rPr>
            </w:pPr>
          </w:p>
        </w:tc>
        <w:tc>
          <w:tcPr>
            <w:tcW w:w="3261" w:type="dxa"/>
            <w:tcBorders>
              <w:top w:val="single" w:sz="12" w:space="0" w:color="auto"/>
            </w:tcBorders>
          </w:tcPr>
          <w:p w:rsidR="00D03AEC" w:rsidRPr="000C6ABF" w:rsidRDefault="00D03AEC" w:rsidP="00AB0C69">
            <w:pPr>
              <w:spacing w:before="0"/>
              <w:rPr>
                <w:b/>
                <w:bCs/>
                <w:lang w:val="fr-CH"/>
              </w:rPr>
            </w:pPr>
          </w:p>
        </w:tc>
      </w:tr>
      <w:tr w:rsidR="00D03AEC" w:rsidRPr="000C6ABF">
        <w:trPr>
          <w:cantSplit/>
          <w:trHeight w:val="20"/>
        </w:trPr>
        <w:tc>
          <w:tcPr>
            <w:tcW w:w="6912" w:type="dxa"/>
            <w:vMerge w:val="restart"/>
          </w:tcPr>
          <w:p w:rsidR="00D03AEC" w:rsidRPr="000C6ABF" w:rsidRDefault="00D03AEC" w:rsidP="00AB0C69">
            <w:pPr>
              <w:spacing w:before="0"/>
              <w:rPr>
                <w:rFonts w:cs="Times"/>
                <w:b/>
                <w:bCs/>
                <w:szCs w:val="24"/>
                <w:lang w:val="fr-CH"/>
              </w:rPr>
            </w:pPr>
            <w:bookmarkStart w:id="2" w:name="dnum" w:colFirst="1" w:colLast="1"/>
            <w:bookmarkStart w:id="3" w:name="dmeeting" w:colFirst="0" w:colLast="0"/>
          </w:p>
        </w:tc>
        <w:tc>
          <w:tcPr>
            <w:tcW w:w="3261" w:type="dxa"/>
          </w:tcPr>
          <w:p w:rsidR="00D03AEC" w:rsidRPr="000C6ABF" w:rsidRDefault="00D03AEC" w:rsidP="00AB0C69">
            <w:pPr>
              <w:spacing w:before="0"/>
              <w:rPr>
                <w:b/>
                <w:bCs/>
                <w:lang w:val="fr-CH"/>
              </w:rPr>
            </w:pPr>
            <w:r w:rsidRPr="000C6ABF">
              <w:rPr>
                <w:b/>
                <w:bCs/>
                <w:lang w:val="fr-CH"/>
              </w:rPr>
              <w:t>Document C14/105-F</w:t>
            </w:r>
          </w:p>
        </w:tc>
      </w:tr>
      <w:tr w:rsidR="00D03AEC" w:rsidRPr="000C6ABF">
        <w:trPr>
          <w:cantSplit/>
          <w:trHeight w:val="20"/>
        </w:trPr>
        <w:tc>
          <w:tcPr>
            <w:tcW w:w="6912" w:type="dxa"/>
            <w:vMerge/>
          </w:tcPr>
          <w:p w:rsidR="00D03AEC" w:rsidRPr="000C6ABF" w:rsidRDefault="00D03AEC" w:rsidP="00AB0C69">
            <w:pPr>
              <w:shd w:val="solid" w:color="FFFFFF" w:fill="FFFFFF"/>
              <w:spacing w:before="180"/>
              <w:rPr>
                <w:smallCaps/>
                <w:lang w:val="fr-CH"/>
              </w:rPr>
            </w:pPr>
            <w:bookmarkStart w:id="4" w:name="ddate" w:colFirst="1" w:colLast="1"/>
            <w:bookmarkEnd w:id="2"/>
            <w:bookmarkEnd w:id="3"/>
          </w:p>
        </w:tc>
        <w:tc>
          <w:tcPr>
            <w:tcW w:w="3261" w:type="dxa"/>
          </w:tcPr>
          <w:p w:rsidR="00D03AEC" w:rsidRPr="000C6ABF" w:rsidRDefault="00D03AEC" w:rsidP="00AB0C69">
            <w:pPr>
              <w:spacing w:before="0"/>
              <w:rPr>
                <w:b/>
                <w:bCs/>
                <w:lang w:val="fr-CH"/>
              </w:rPr>
            </w:pPr>
            <w:r w:rsidRPr="000C6ABF">
              <w:rPr>
                <w:b/>
                <w:bCs/>
                <w:lang w:val="fr-CH"/>
              </w:rPr>
              <w:t>29 juillet 2014</w:t>
            </w:r>
          </w:p>
        </w:tc>
      </w:tr>
      <w:tr w:rsidR="00D03AEC" w:rsidRPr="000C6ABF">
        <w:trPr>
          <w:cantSplit/>
          <w:trHeight w:val="20"/>
        </w:trPr>
        <w:tc>
          <w:tcPr>
            <w:tcW w:w="6912" w:type="dxa"/>
            <w:vMerge/>
          </w:tcPr>
          <w:p w:rsidR="00D03AEC" w:rsidRPr="000C6ABF" w:rsidRDefault="00D03AEC" w:rsidP="00AB0C69">
            <w:pPr>
              <w:shd w:val="solid" w:color="FFFFFF" w:fill="FFFFFF"/>
              <w:spacing w:before="180"/>
              <w:rPr>
                <w:smallCaps/>
                <w:lang w:val="fr-CH"/>
              </w:rPr>
            </w:pPr>
            <w:bookmarkStart w:id="5" w:name="dorlang" w:colFirst="1" w:colLast="1"/>
            <w:bookmarkEnd w:id="4"/>
          </w:p>
        </w:tc>
        <w:tc>
          <w:tcPr>
            <w:tcW w:w="3261" w:type="dxa"/>
          </w:tcPr>
          <w:p w:rsidR="00D03AEC" w:rsidRPr="000C6ABF" w:rsidRDefault="00D03AEC" w:rsidP="00AB0C69">
            <w:pPr>
              <w:spacing w:before="0"/>
              <w:rPr>
                <w:b/>
                <w:bCs/>
                <w:lang w:val="fr-CH"/>
              </w:rPr>
            </w:pPr>
            <w:r w:rsidRPr="000C6ABF">
              <w:rPr>
                <w:b/>
                <w:bCs/>
                <w:lang w:val="fr-CH"/>
              </w:rPr>
              <w:t>Original: anglais</w:t>
            </w:r>
          </w:p>
        </w:tc>
      </w:tr>
      <w:tr w:rsidR="00D03AEC" w:rsidRPr="000C6ABF">
        <w:trPr>
          <w:cantSplit/>
        </w:trPr>
        <w:tc>
          <w:tcPr>
            <w:tcW w:w="10173" w:type="dxa"/>
            <w:gridSpan w:val="2"/>
          </w:tcPr>
          <w:p w:rsidR="00D03AEC" w:rsidRPr="000C6ABF" w:rsidRDefault="00D03AEC" w:rsidP="00AB0C69">
            <w:pPr>
              <w:pStyle w:val="Source"/>
              <w:rPr>
                <w:lang w:val="fr-CH"/>
              </w:rPr>
            </w:pPr>
            <w:bookmarkStart w:id="6" w:name="dsource" w:colFirst="0" w:colLast="0"/>
            <w:bookmarkEnd w:id="5"/>
            <w:r w:rsidRPr="000C6ABF">
              <w:rPr>
                <w:lang w:val="fr-CH"/>
              </w:rPr>
              <w:t>Rapport du Secrétaire général</w:t>
            </w:r>
          </w:p>
        </w:tc>
      </w:tr>
      <w:tr w:rsidR="00D03AEC" w:rsidRPr="000C6ABF">
        <w:trPr>
          <w:cantSplit/>
        </w:trPr>
        <w:tc>
          <w:tcPr>
            <w:tcW w:w="10173" w:type="dxa"/>
            <w:gridSpan w:val="2"/>
          </w:tcPr>
          <w:p w:rsidR="00D03AEC" w:rsidRPr="000C6ABF" w:rsidRDefault="000C6D98" w:rsidP="00AB0C69">
            <w:pPr>
              <w:pStyle w:val="Title1"/>
              <w:rPr>
                <w:lang w:val="fr-CH"/>
              </w:rPr>
            </w:pPr>
            <w:bookmarkStart w:id="7" w:name="_Toc396386915"/>
            <w:bookmarkStart w:id="8" w:name="dtitle1" w:colFirst="0" w:colLast="0"/>
            <w:bookmarkEnd w:id="6"/>
            <w:r w:rsidRPr="000C6ABF">
              <w:rPr>
                <w:lang w:val="fr-CH"/>
              </w:rPr>
              <w:t>VÉ</w:t>
            </w:r>
            <w:bookmarkStart w:id="9" w:name="bookmark2"/>
            <w:r w:rsidRPr="000C6ABF">
              <w:rPr>
                <w:color w:val="000000"/>
                <w:lang w:val="fr-CH"/>
              </w:rPr>
              <w:t>RIFICATION EXT</w:t>
            </w:r>
            <w:r w:rsidRPr="000C6ABF">
              <w:rPr>
                <w:lang w:val="fr-CH"/>
              </w:rPr>
              <w:t>É</w:t>
            </w:r>
            <w:r w:rsidRPr="000C6ABF">
              <w:rPr>
                <w:color w:val="000000"/>
                <w:lang w:val="fr-CH"/>
              </w:rPr>
              <w:t>RIEURE DES COMPTES DE L'UNION</w:t>
            </w:r>
            <w:bookmarkEnd w:id="7"/>
            <w:bookmarkEnd w:id="9"/>
          </w:p>
        </w:tc>
      </w:tr>
      <w:bookmarkEnd w:id="8"/>
    </w:tbl>
    <w:p w:rsidR="00D03AEC" w:rsidRPr="000C6ABF" w:rsidRDefault="00D03AEC" w:rsidP="00AB0C69">
      <w:pPr>
        <w:rPr>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D03AEC" w:rsidRPr="000C6ABF">
        <w:trPr>
          <w:trHeight w:val="3372"/>
        </w:trPr>
        <w:tc>
          <w:tcPr>
            <w:tcW w:w="8080" w:type="dxa"/>
            <w:tcBorders>
              <w:top w:val="single" w:sz="12" w:space="0" w:color="auto"/>
              <w:left w:val="single" w:sz="12" w:space="0" w:color="auto"/>
              <w:bottom w:val="single" w:sz="12" w:space="0" w:color="auto"/>
              <w:right w:val="single" w:sz="12" w:space="0" w:color="auto"/>
            </w:tcBorders>
          </w:tcPr>
          <w:p w:rsidR="00D03AEC" w:rsidRPr="0086358D" w:rsidRDefault="00D03AEC" w:rsidP="0086358D">
            <w:pPr>
              <w:rPr>
                <w:b/>
                <w:bCs/>
                <w:lang w:val="fr-CH"/>
              </w:rPr>
            </w:pPr>
            <w:bookmarkStart w:id="10" w:name="_Toc396386916"/>
            <w:bookmarkStart w:id="11" w:name="_Toc396387804"/>
            <w:bookmarkStart w:id="12" w:name="_Toc396387923"/>
            <w:r w:rsidRPr="0086358D">
              <w:rPr>
                <w:b/>
                <w:bCs/>
                <w:lang w:val="fr-CH"/>
              </w:rPr>
              <w:t>Résumé</w:t>
            </w:r>
            <w:bookmarkEnd w:id="10"/>
            <w:bookmarkEnd w:id="11"/>
            <w:bookmarkEnd w:id="12"/>
          </w:p>
          <w:p w:rsidR="000C6D98" w:rsidRPr="000C6ABF" w:rsidRDefault="000C6D98" w:rsidP="00AB0C69">
            <w:pPr>
              <w:rPr>
                <w:lang w:val="fr-CH"/>
              </w:rPr>
            </w:pPr>
            <w:r w:rsidRPr="000C6ABF">
              <w:rPr>
                <w:lang w:val="fr-CH"/>
              </w:rPr>
              <w:t>Les rapports du Vérificateur extérieur des comptes portent sur:</w:t>
            </w:r>
          </w:p>
          <w:p w:rsidR="000C6D98" w:rsidRPr="000C6ABF" w:rsidRDefault="000C6D98" w:rsidP="00AB0C69">
            <w:pPr>
              <w:rPr>
                <w:lang w:val="fr-CH"/>
              </w:rPr>
            </w:pPr>
            <w:r w:rsidRPr="000C6ABF">
              <w:rPr>
                <w:lang w:val="fr-CH"/>
              </w:rPr>
              <w:t>Les comptes audités de 2013 pour:</w:t>
            </w:r>
          </w:p>
          <w:p w:rsidR="000C6D98" w:rsidRPr="000C6ABF" w:rsidRDefault="000C6D98" w:rsidP="00AB0C69">
            <w:pPr>
              <w:rPr>
                <w:lang w:val="fr-CH"/>
              </w:rPr>
            </w:pPr>
            <w:r w:rsidRPr="000C6ABF">
              <w:rPr>
                <w:lang w:val="fr-CH"/>
              </w:rPr>
              <w:t>1)</w:t>
            </w:r>
            <w:r w:rsidRPr="000C6ABF">
              <w:rPr>
                <w:lang w:val="fr-CH"/>
              </w:rPr>
              <w:tab/>
              <w:t>l'audit des états financiers de l'exercice 201</w:t>
            </w:r>
            <w:r w:rsidR="00AB0C69" w:rsidRPr="000C6ABF">
              <w:rPr>
                <w:lang w:val="fr-CH"/>
              </w:rPr>
              <w:t>3</w:t>
            </w:r>
            <w:r w:rsidRPr="000C6ABF">
              <w:rPr>
                <w:lang w:val="fr-CH"/>
              </w:rPr>
              <w:t>;</w:t>
            </w:r>
          </w:p>
          <w:p w:rsidR="00D03AEC" w:rsidRPr="000C6ABF" w:rsidRDefault="000C6D98" w:rsidP="00D67395">
            <w:pPr>
              <w:rPr>
                <w:lang w:val="fr-CH"/>
              </w:rPr>
            </w:pPr>
            <w:r w:rsidRPr="000C6ABF">
              <w:rPr>
                <w:lang w:val="fr-CH"/>
              </w:rPr>
              <w:t>2)</w:t>
            </w:r>
            <w:r w:rsidRPr="000C6ABF">
              <w:rPr>
                <w:lang w:val="fr-CH"/>
              </w:rPr>
              <w:tab/>
              <w:t>la Caisse d</w:t>
            </w:r>
            <w:r w:rsidR="00560617" w:rsidRPr="000C6ABF">
              <w:rPr>
                <w:lang w:val="fr-CH"/>
              </w:rPr>
              <w:t>'assurance du personnel de l'U</w:t>
            </w:r>
            <w:r w:rsidR="00D67395">
              <w:rPr>
                <w:lang w:val="fr-CH"/>
              </w:rPr>
              <w:t>I</w:t>
            </w:r>
            <w:r w:rsidR="00560617" w:rsidRPr="000C6ABF">
              <w:rPr>
                <w:lang w:val="fr-CH"/>
              </w:rPr>
              <w:t>T</w:t>
            </w:r>
            <w:r w:rsidR="008F7439">
              <w:rPr>
                <w:lang w:val="fr-CH"/>
              </w:rPr>
              <w:t>.</w:t>
            </w:r>
            <w:bookmarkStart w:id="13" w:name="_GoBack"/>
            <w:bookmarkEnd w:id="13"/>
          </w:p>
          <w:p w:rsidR="000C6D98" w:rsidRPr="0086358D" w:rsidRDefault="000C6D98" w:rsidP="0086358D">
            <w:pPr>
              <w:rPr>
                <w:b/>
                <w:bCs/>
                <w:lang w:val="fr-CH"/>
              </w:rPr>
            </w:pPr>
            <w:bookmarkStart w:id="14" w:name="_Toc358123255"/>
            <w:bookmarkStart w:id="15" w:name="_Toc396386917"/>
            <w:bookmarkStart w:id="16" w:name="_Toc396387805"/>
            <w:bookmarkStart w:id="17" w:name="_Toc396387924"/>
            <w:r w:rsidRPr="0086358D">
              <w:rPr>
                <w:b/>
                <w:bCs/>
                <w:lang w:val="fr-CH"/>
              </w:rPr>
              <w:t>Suite à donner</w:t>
            </w:r>
            <w:bookmarkEnd w:id="14"/>
            <w:bookmarkEnd w:id="15"/>
            <w:bookmarkEnd w:id="16"/>
            <w:bookmarkEnd w:id="17"/>
          </w:p>
          <w:p w:rsidR="000C6D98" w:rsidRPr="000C6ABF" w:rsidRDefault="000C6D98" w:rsidP="00AB0C69">
            <w:pPr>
              <w:rPr>
                <w:lang w:val="fr-CH"/>
              </w:rPr>
            </w:pPr>
            <w:r w:rsidRPr="000C6ABF">
              <w:rPr>
                <w:lang w:val="fr-CH"/>
              </w:rPr>
              <w:t>Le Conseil est invité à examiner les rapports du Vérificateur extérieur des comptes pour 201</w:t>
            </w:r>
            <w:r w:rsidR="00AB0C69" w:rsidRPr="000C6ABF">
              <w:rPr>
                <w:lang w:val="fr-CH"/>
              </w:rPr>
              <w:t>3</w:t>
            </w:r>
            <w:r w:rsidRPr="000C6ABF">
              <w:rPr>
                <w:lang w:val="fr-CH"/>
              </w:rPr>
              <w:t xml:space="preserve"> et à </w:t>
            </w:r>
            <w:r w:rsidRPr="000C6ABF">
              <w:rPr>
                <w:b/>
                <w:bCs/>
                <w:lang w:val="fr-CH"/>
              </w:rPr>
              <w:t>approuver</w:t>
            </w:r>
            <w:r w:rsidRPr="000C6ABF">
              <w:rPr>
                <w:lang w:val="fr-CH"/>
              </w:rPr>
              <w:t xml:space="preserve"> les comptes tels qu'ils ont été audités.</w:t>
            </w:r>
          </w:p>
          <w:p w:rsidR="00D03AEC" w:rsidRPr="000C6ABF" w:rsidRDefault="00D03AEC" w:rsidP="00AB0C69">
            <w:pPr>
              <w:pStyle w:val="Table"/>
              <w:keepNext w:val="0"/>
              <w:spacing w:before="0" w:after="0"/>
              <w:rPr>
                <w:rFonts w:ascii="Calibri" w:hAnsi="Calibri"/>
                <w:caps w:val="0"/>
                <w:sz w:val="22"/>
                <w:lang w:val="fr-CH"/>
              </w:rPr>
            </w:pPr>
            <w:r w:rsidRPr="000C6ABF">
              <w:rPr>
                <w:rFonts w:ascii="Calibri" w:hAnsi="Calibri"/>
                <w:caps w:val="0"/>
                <w:sz w:val="22"/>
                <w:lang w:val="fr-CH"/>
              </w:rPr>
              <w:t>____________</w:t>
            </w:r>
          </w:p>
          <w:p w:rsidR="00D03AEC" w:rsidRPr="0086358D" w:rsidRDefault="00D03AEC" w:rsidP="0086358D">
            <w:pPr>
              <w:rPr>
                <w:b/>
                <w:bCs/>
                <w:lang w:val="fr-CH"/>
              </w:rPr>
            </w:pPr>
            <w:bookmarkStart w:id="18" w:name="_Toc396386918"/>
            <w:bookmarkStart w:id="19" w:name="_Toc396387806"/>
            <w:bookmarkStart w:id="20" w:name="_Toc396387925"/>
            <w:r w:rsidRPr="0086358D">
              <w:rPr>
                <w:b/>
                <w:bCs/>
                <w:lang w:val="fr-CH"/>
              </w:rPr>
              <w:t>Références</w:t>
            </w:r>
            <w:bookmarkEnd w:id="18"/>
            <w:bookmarkEnd w:id="19"/>
            <w:bookmarkEnd w:id="20"/>
          </w:p>
          <w:p w:rsidR="00D03AEC" w:rsidRPr="000C6ABF" w:rsidRDefault="005B044C" w:rsidP="00AB0C69">
            <w:pPr>
              <w:spacing w:after="120"/>
              <w:rPr>
                <w:i/>
                <w:iCs/>
                <w:lang w:val="fr-CH"/>
              </w:rPr>
            </w:pPr>
            <w:hyperlink r:id="rId10" w:history="1">
              <w:r w:rsidR="000C6D98" w:rsidRPr="000C6ABF">
                <w:rPr>
                  <w:rStyle w:val="Hyperlink"/>
                  <w:i/>
                  <w:iCs/>
                  <w:lang w:val="fr-CH"/>
                </w:rPr>
                <w:t>Règlement financier (édition de 2010)</w:t>
              </w:r>
            </w:hyperlink>
            <w:r w:rsidR="000C6D98" w:rsidRPr="000C6ABF">
              <w:rPr>
                <w:i/>
                <w:iCs/>
                <w:lang w:val="fr-CH"/>
              </w:rPr>
              <w:t>: Article 28 et mandat additionnel</w:t>
            </w:r>
          </w:p>
        </w:tc>
      </w:tr>
    </w:tbl>
    <w:p w:rsidR="00D03AEC" w:rsidRPr="000C6ABF" w:rsidRDefault="00D03AEC" w:rsidP="00AB0C69">
      <w:pPr>
        <w:overflowPunct/>
        <w:autoSpaceDE/>
        <w:autoSpaceDN/>
        <w:adjustRightInd/>
        <w:spacing w:before="0"/>
        <w:textAlignment w:val="auto"/>
        <w:rPr>
          <w:lang w:val="fr-CH"/>
        </w:rPr>
      </w:pPr>
    </w:p>
    <w:p w:rsidR="00A23A51" w:rsidRPr="000C6ABF" w:rsidRDefault="00A23A51" w:rsidP="00AB0C69">
      <w:pPr>
        <w:rPr>
          <w:lang w:val="fr-CH"/>
        </w:rPr>
      </w:pPr>
    </w:p>
    <w:p w:rsidR="00AB0CB6" w:rsidRPr="000C6ABF" w:rsidRDefault="00AB0CB6" w:rsidP="003C23FC">
      <w:pPr>
        <w:rPr>
          <w:lang w:val="fr-CH" w:eastAsia="it-IT"/>
        </w:rPr>
      </w:pPr>
    </w:p>
    <w:p w:rsidR="004B2314" w:rsidRPr="000C6ABF" w:rsidRDefault="004B2314" w:rsidP="00AB0C69">
      <w:pPr>
        <w:adjustRightInd/>
        <w:spacing w:after="200"/>
        <w:rPr>
          <w:lang w:val="fr-CH"/>
        </w:rPr>
      </w:pPr>
      <w:r w:rsidRPr="000C6ABF">
        <w:rPr>
          <w:lang w:val="fr-CH"/>
        </w:rPr>
        <w:br w:type="page"/>
      </w:r>
    </w:p>
    <w:p w:rsidR="00AB0CB6" w:rsidRPr="000C6ABF" w:rsidRDefault="00AB0CB6" w:rsidP="00AB0C69">
      <w:pPr>
        <w:ind w:left="4253" w:right="108"/>
        <w:rPr>
          <w:lang w:val="fr-CH"/>
        </w:rPr>
      </w:pPr>
      <w:r w:rsidRPr="000C6ABF">
        <w:rPr>
          <w:noProof/>
          <w:lang w:val="en-US" w:eastAsia="zh-CN"/>
        </w:rPr>
        <w:lastRenderedPageBreak/>
        <w:drawing>
          <wp:inline distT="0" distB="0" distL="0" distR="0" wp14:anchorId="2881A655" wp14:editId="10D6DC8E">
            <wp:extent cx="796060" cy="895082"/>
            <wp:effectExtent l="0" t="0" r="4445" b="63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a_repubblica.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6162" cy="895197"/>
                    </a:xfrm>
                    <a:prstGeom prst="rect">
                      <a:avLst/>
                    </a:prstGeom>
                  </pic:spPr>
                </pic:pic>
              </a:graphicData>
            </a:graphic>
          </wp:inline>
        </w:drawing>
      </w:r>
    </w:p>
    <w:p w:rsidR="00AB0CB6" w:rsidRPr="000C6ABF" w:rsidRDefault="00AB0CB6" w:rsidP="00AB0C69">
      <w:pPr>
        <w:ind w:right="107"/>
        <w:jc w:val="center"/>
        <w:rPr>
          <w:rFonts w:ascii="Kunstler Script" w:hAnsi="Kunstler Script"/>
          <w:sz w:val="72"/>
          <w:szCs w:val="72"/>
          <w:lang w:val="fr-CH"/>
        </w:rPr>
      </w:pPr>
      <w:r w:rsidRPr="000C6ABF">
        <w:rPr>
          <w:rFonts w:ascii="Kunstler Script" w:hAnsi="Kunstler Script"/>
          <w:sz w:val="72"/>
          <w:szCs w:val="72"/>
          <w:lang w:val="fr-CH"/>
        </w:rPr>
        <w:t xml:space="preserve">Corte dei </w:t>
      </w:r>
      <w:proofErr w:type="spellStart"/>
      <w:r w:rsidRPr="000C6ABF">
        <w:rPr>
          <w:rFonts w:ascii="Kunstler Script" w:hAnsi="Kunstler Script"/>
          <w:sz w:val="72"/>
          <w:szCs w:val="72"/>
          <w:lang w:val="fr-CH"/>
        </w:rPr>
        <w:t>conti</w:t>
      </w:r>
      <w:proofErr w:type="spellEnd"/>
    </w:p>
    <w:p w:rsidR="00AB0CB6" w:rsidRPr="000C6ABF" w:rsidRDefault="00AB0CB6" w:rsidP="00AB0C69">
      <w:pPr>
        <w:jc w:val="center"/>
        <w:rPr>
          <w:color w:val="FF0000"/>
          <w:lang w:val="fr-CH"/>
        </w:rPr>
      </w:pPr>
    </w:p>
    <w:p w:rsidR="00AB0CB6" w:rsidRPr="000C6ABF" w:rsidRDefault="00AB0CB6" w:rsidP="00AB0C69">
      <w:pPr>
        <w:jc w:val="center"/>
        <w:rPr>
          <w:color w:val="FF0000"/>
          <w:lang w:val="fr-CH"/>
        </w:rPr>
      </w:pPr>
    </w:p>
    <w:p w:rsidR="00AB0CB6" w:rsidRPr="000C6ABF" w:rsidRDefault="00AB0CB6" w:rsidP="00AB0C69">
      <w:pPr>
        <w:jc w:val="center"/>
        <w:rPr>
          <w:color w:val="FF0000"/>
          <w:lang w:val="fr-CH"/>
        </w:rPr>
      </w:pPr>
    </w:p>
    <w:p w:rsidR="00AB0CB6" w:rsidRPr="000C6ABF" w:rsidRDefault="00AB0CB6" w:rsidP="00AB0C69">
      <w:pPr>
        <w:jc w:val="center"/>
        <w:rPr>
          <w:color w:val="FF0000"/>
          <w:lang w:val="fr-CH"/>
        </w:rPr>
      </w:pPr>
      <w:r w:rsidRPr="000C6ABF">
        <w:rPr>
          <w:color w:val="FF0000"/>
          <w:lang w:val="fr-CH"/>
        </w:rPr>
        <w:t>RAPPORT DU VÉRIFICATEUR EXTÉRIEUR</w:t>
      </w:r>
    </w:p>
    <w:p w:rsidR="00AB0CB6" w:rsidRPr="000C6ABF" w:rsidRDefault="00AB0CB6" w:rsidP="00AB0C69">
      <w:pPr>
        <w:rPr>
          <w:lang w:val="fr-CH"/>
        </w:rPr>
      </w:pPr>
    </w:p>
    <w:p w:rsidR="00AB0CB6" w:rsidRPr="000C6ABF" w:rsidRDefault="00AB0CB6" w:rsidP="00AB0C69">
      <w:pPr>
        <w:rPr>
          <w:lang w:val="fr-CH"/>
        </w:rPr>
      </w:pPr>
    </w:p>
    <w:p w:rsidR="00AB0CB6" w:rsidRPr="000C6ABF" w:rsidRDefault="00AB0CB6" w:rsidP="00AB0C69">
      <w:pPr>
        <w:rPr>
          <w:lang w:val="fr-CH"/>
        </w:rPr>
      </w:pPr>
    </w:p>
    <w:p w:rsidR="00AB0CB6" w:rsidRPr="000C6ABF" w:rsidRDefault="00AB0CB6" w:rsidP="00AB0C69">
      <w:pPr>
        <w:rPr>
          <w:lang w:val="fr-CH"/>
        </w:rPr>
      </w:pPr>
    </w:p>
    <w:p w:rsidR="00AB0CB6" w:rsidRPr="000C6ABF" w:rsidRDefault="00AB0CB6" w:rsidP="00AB0C69">
      <w:pPr>
        <w:rPr>
          <w:lang w:val="fr-CH"/>
        </w:rPr>
      </w:pPr>
    </w:p>
    <w:p w:rsidR="00AB0CB6" w:rsidRPr="000C6ABF" w:rsidRDefault="00AB0CB6" w:rsidP="00AB0C69">
      <w:pPr>
        <w:rPr>
          <w:lang w:val="fr-CH"/>
        </w:rPr>
      </w:pPr>
    </w:p>
    <w:p w:rsidR="00AB0CB6" w:rsidRPr="000C6ABF" w:rsidRDefault="00AB0CB6" w:rsidP="00AB0C69">
      <w:pPr>
        <w:rPr>
          <w:lang w:val="fr-CH"/>
        </w:rPr>
      </w:pPr>
    </w:p>
    <w:p w:rsidR="00AB0CB6" w:rsidRPr="000C6ABF" w:rsidRDefault="00AB0CB6" w:rsidP="00AB0C69">
      <w:pPr>
        <w:jc w:val="center"/>
        <w:rPr>
          <w:b/>
          <w:lang w:val="fr-CH"/>
        </w:rPr>
      </w:pPr>
      <w:r w:rsidRPr="000C6ABF">
        <w:rPr>
          <w:b/>
          <w:lang w:val="fr-CH"/>
        </w:rPr>
        <w:t>UNION</w:t>
      </w:r>
      <w:r w:rsidR="00C44936" w:rsidRPr="000C6ABF">
        <w:rPr>
          <w:b/>
          <w:lang w:val="fr-CH"/>
        </w:rPr>
        <w:t xml:space="preserve"> INTERNATIONALE</w:t>
      </w:r>
      <w:r w:rsidR="00C44936" w:rsidRPr="000C6ABF">
        <w:rPr>
          <w:b/>
          <w:lang w:val="fr-CH"/>
        </w:rPr>
        <w:br/>
        <w:t>DES TÉLÉCOMMUNICATIONS</w:t>
      </w:r>
    </w:p>
    <w:p w:rsidR="00AB0CB6" w:rsidRPr="000C6ABF" w:rsidRDefault="00C44936" w:rsidP="00AB0C69">
      <w:pPr>
        <w:jc w:val="center"/>
        <w:rPr>
          <w:color w:val="0D0D0D"/>
          <w:lang w:val="fr-CH"/>
        </w:rPr>
      </w:pPr>
      <w:r w:rsidRPr="000C6ABF">
        <w:rPr>
          <w:lang w:val="fr-CH"/>
        </w:rPr>
        <w:t xml:space="preserve">Audit des états financiers de l'exercice de </w:t>
      </w:r>
      <w:r w:rsidR="00AB0CB6" w:rsidRPr="000C6ABF">
        <w:rPr>
          <w:lang w:val="fr-CH"/>
        </w:rPr>
        <w:t>2013</w:t>
      </w:r>
    </w:p>
    <w:p w:rsidR="00AB0CB6" w:rsidRPr="000C6ABF" w:rsidRDefault="00AB0CB6" w:rsidP="00AB0C69">
      <w:pPr>
        <w:rPr>
          <w:lang w:val="fr-CH"/>
        </w:rPr>
      </w:pPr>
    </w:p>
    <w:p w:rsidR="00AB0CB6" w:rsidRPr="000C6ABF" w:rsidRDefault="00AB0CB6" w:rsidP="00AB0C69">
      <w:pPr>
        <w:jc w:val="center"/>
        <w:rPr>
          <w:lang w:val="fr-CH"/>
        </w:rPr>
      </w:pPr>
      <w:r w:rsidRPr="000C6ABF">
        <w:rPr>
          <w:lang w:val="fr-CH"/>
        </w:rPr>
        <w:t>28.07.2014</w:t>
      </w:r>
    </w:p>
    <w:p w:rsidR="00AB0CB6" w:rsidRPr="000C6ABF" w:rsidRDefault="00AB0CB6" w:rsidP="00AB0C69">
      <w:pPr>
        <w:rPr>
          <w:lang w:val="fr-CH"/>
        </w:rPr>
      </w:pPr>
      <w:r w:rsidRPr="000C6ABF">
        <w:rPr>
          <w:lang w:val="fr-CH"/>
        </w:rPr>
        <w:br w:type="page"/>
      </w:r>
    </w:p>
    <w:p w:rsidR="00AB0CB6" w:rsidRPr="000C6ABF" w:rsidRDefault="00AB0CB6" w:rsidP="00AB0C69">
      <w:pPr>
        <w:pStyle w:val="Title1"/>
        <w:rPr>
          <w:lang w:val="fr-CH"/>
        </w:rPr>
      </w:pPr>
      <w:bookmarkStart w:id="21" w:name="_Toc396386919"/>
      <w:r w:rsidRPr="000C6ABF">
        <w:rPr>
          <w:lang w:val="fr-CH"/>
        </w:rPr>
        <w:lastRenderedPageBreak/>
        <w:t xml:space="preserve">TABLE </w:t>
      </w:r>
      <w:r w:rsidR="00C44936" w:rsidRPr="000C6ABF">
        <w:rPr>
          <w:lang w:val="fr-CH"/>
        </w:rPr>
        <w:t>des matières</w:t>
      </w:r>
      <w:bookmarkEnd w:id="21"/>
    </w:p>
    <w:p w:rsidR="00C44936" w:rsidRPr="000C6ABF" w:rsidRDefault="00C44936" w:rsidP="00A44170">
      <w:pPr>
        <w:pStyle w:val="toc0"/>
        <w:tabs>
          <w:tab w:val="clear" w:pos="9781"/>
          <w:tab w:val="right" w:pos="9072"/>
        </w:tabs>
        <w:ind w:right="425"/>
        <w:rPr>
          <w:lang w:val="fr-CH"/>
        </w:rPr>
      </w:pPr>
      <w:r w:rsidRPr="000C6ABF">
        <w:rPr>
          <w:lang w:val="fr-CH"/>
        </w:rPr>
        <w:tab/>
        <w:t>Page</w:t>
      </w:r>
    </w:p>
    <w:p w:rsidR="0086358D" w:rsidRDefault="0086358D" w:rsidP="008F7439">
      <w:pPr>
        <w:pStyle w:val="TOC1"/>
        <w:spacing w:before="120"/>
        <w:rPr>
          <w:rFonts w:asciiTheme="minorHAnsi" w:eastAsiaTheme="minorEastAsia" w:hAnsiTheme="minorHAnsi" w:cstheme="minorBidi"/>
          <w:noProof/>
          <w:sz w:val="22"/>
          <w:szCs w:val="22"/>
          <w:lang w:val="en-US" w:eastAsia="zh-CN"/>
        </w:rPr>
      </w:pPr>
      <w:r>
        <w:rPr>
          <w:lang w:val="fr-CH"/>
        </w:rPr>
        <w:fldChar w:fldCharType="begin"/>
      </w:r>
      <w:r>
        <w:rPr>
          <w:lang w:val="fr-CH"/>
        </w:rPr>
        <w:instrText xml:space="preserve"> TOC \o "2-2" \h \z \t "Heading 1,1,Heading_b,2,Annex_No,1,Heading_i,3" </w:instrText>
      </w:r>
      <w:r>
        <w:rPr>
          <w:lang w:val="fr-CH"/>
        </w:rPr>
        <w:fldChar w:fldCharType="separate"/>
      </w:r>
      <w:hyperlink w:anchor="_Toc398277611" w:history="1">
        <w:r w:rsidRPr="00D569DE">
          <w:rPr>
            <w:rStyle w:val="Hyperlink"/>
            <w:noProof/>
            <w:lang w:val="fr-CH"/>
          </w:rPr>
          <w:t>INTRODUCTION</w:t>
        </w:r>
        <w:r>
          <w:rPr>
            <w:noProof/>
            <w:webHidden/>
          </w:rPr>
          <w:tab/>
        </w:r>
        <w:r>
          <w:rPr>
            <w:noProof/>
            <w:webHidden/>
          </w:rPr>
          <w:fldChar w:fldCharType="begin"/>
        </w:r>
        <w:r>
          <w:rPr>
            <w:noProof/>
            <w:webHidden/>
          </w:rPr>
          <w:instrText xml:space="preserve"> PAGEREF _Toc398277611 \h </w:instrText>
        </w:r>
        <w:r>
          <w:rPr>
            <w:noProof/>
            <w:webHidden/>
          </w:rPr>
        </w:r>
        <w:r>
          <w:rPr>
            <w:noProof/>
            <w:webHidden/>
          </w:rPr>
          <w:fldChar w:fldCharType="separate"/>
        </w:r>
        <w:r w:rsidR="00CF0D16">
          <w:rPr>
            <w:noProof/>
            <w:webHidden/>
          </w:rPr>
          <w:t>5</w:t>
        </w:r>
        <w:r>
          <w:rPr>
            <w:noProof/>
            <w:webHidden/>
          </w:rPr>
          <w:fldChar w:fldCharType="end"/>
        </w:r>
      </w:hyperlink>
    </w:p>
    <w:p w:rsidR="0086358D" w:rsidRDefault="005B044C" w:rsidP="008F7439">
      <w:pPr>
        <w:pStyle w:val="TOC1"/>
        <w:spacing w:before="120"/>
        <w:rPr>
          <w:rFonts w:asciiTheme="minorHAnsi" w:eastAsiaTheme="minorEastAsia" w:hAnsiTheme="minorHAnsi" w:cstheme="minorBidi"/>
          <w:noProof/>
          <w:sz w:val="22"/>
          <w:szCs w:val="22"/>
          <w:lang w:val="en-US" w:eastAsia="zh-CN"/>
        </w:rPr>
      </w:pPr>
      <w:hyperlink w:anchor="_Toc398277612" w:history="1">
        <w:r w:rsidR="0086358D" w:rsidRPr="00D569DE">
          <w:rPr>
            <w:rStyle w:val="Hyperlink"/>
            <w:noProof/>
            <w:lang w:val="fr-CH"/>
          </w:rPr>
          <w:t>ATTESTATION D'AUDIT</w:t>
        </w:r>
        <w:r w:rsidR="0086358D">
          <w:rPr>
            <w:noProof/>
            <w:webHidden/>
          </w:rPr>
          <w:tab/>
        </w:r>
        <w:r w:rsidR="0086358D">
          <w:rPr>
            <w:noProof/>
            <w:webHidden/>
          </w:rPr>
          <w:fldChar w:fldCharType="begin"/>
        </w:r>
        <w:r w:rsidR="0086358D">
          <w:rPr>
            <w:noProof/>
            <w:webHidden/>
          </w:rPr>
          <w:instrText xml:space="preserve"> PAGEREF _Toc398277612 \h </w:instrText>
        </w:r>
        <w:r w:rsidR="0086358D">
          <w:rPr>
            <w:noProof/>
            <w:webHidden/>
          </w:rPr>
        </w:r>
        <w:r w:rsidR="0086358D">
          <w:rPr>
            <w:noProof/>
            <w:webHidden/>
          </w:rPr>
          <w:fldChar w:fldCharType="separate"/>
        </w:r>
        <w:r w:rsidR="00CF0D16">
          <w:rPr>
            <w:noProof/>
            <w:webHidden/>
          </w:rPr>
          <w:t>7</w:t>
        </w:r>
        <w:r w:rsidR="0086358D">
          <w:rPr>
            <w:noProof/>
            <w:webHidden/>
          </w:rPr>
          <w:fldChar w:fldCharType="end"/>
        </w:r>
      </w:hyperlink>
    </w:p>
    <w:p w:rsidR="0086358D" w:rsidRDefault="005B044C" w:rsidP="008F7439">
      <w:pPr>
        <w:pStyle w:val="TOC1"/>
        <w:spacing w:before="120"/>
        <w:rPr>
          <w:rFonts w:asciiTheme="minorHAnsi" w:eastAsiaTheme="minorEastAsia" w:hAnsiTheme="minorHAnsi" w:cstheme="minorBidi"/>
          <w:noProof/>
          <w:sz w:val="22"/>
          <w:szCs w:val="22"/>
          <w:lang w:val="en-US" w:eastAsia="zh-CN"/>
        </w:rPr>
      </w:pPr>
      <w:hyperlink w:anchor="_Toc398277613" w:history="1">
        <w:r w:rsidR="0086358D" w:rsidRPr="00D569DE">
          <w:rPr>
            <w:rStyle w:val="Hyperlink"/>
            <w:noProof/>
            <w:lang w:val="fr-CH"/>
          </w:rPr>
          <w:t>STRUCTURE DES ÉTATS COMPTABLES</w:t>
        </w:r>
        <w:r w:rsidR="0086358D">
          <w:rPr>
            <w:noProof/>
            <w:webHidden/>
          </w:rPr>
          <w:tab/>
        </w:r>
        <w:r w:rsidR="0086358D">
          <w:rPr>
            <w:noProof/>
            <w:webHidden/>
          </w:rPr>
          <w:fldChar w:fldCharType="begin"/>
        </w:r>
        <w:r w:rsidR="0086358D">
          <w:rPr>
            <w:noProof/>
            <w:webHidden/>
          </w:rPr>
          <w:instrText xml:space="preserve"> PAGEREF _Toc398277613 \h </w:instrText>
        </w:r>
        <w:r w:rsidR="0086358D">
          <w:rPr>
            <w:noProof/>
            <w:webHidden/>
          </w:rPr>
        </w:r>
        <w:r w:rsidR="0086358D">
          <w:rPr>
            <w:noProof/>
            <w:webHidden/>
          </w:rPr>
          <w:fldChar w:fldCharType="separate"/>
        </w:r>
        <w:r w:rsidR="00CF0D16">
          <w:rPr>
            <w:noProof/>
            <w:webHidden/>
          </w:rPr>
          <w:t>9</w:t>
        </w:r>
        <w:r w:rsidR="0086358D">
          <w:rPr>
            <w:noProof/>
            <w:webHidden/>
          </w:rPr>
          <w:fldChar w:fldCharType="end"/>
        </w:r>
      </w:hyperlink>
    </w:p>
    <w:p w:rsidR="0086358D" w:rsidRDefault="005B044C" w:rsidP="008F7439">
      <w:pPr>
        <w:pStyle w:val="TOC1"/>
        <w:spacing w:before="120"/>
        <w:rPr>
          <w:rFonts w:asciiTheme="minorHAnsi" w:eastAsiaTheme="minorEastAsia" w:hAnsiTheme="minorHAnsi" w:cstheme="minorBidi"/>
          <w:noProof/>
          <w:sz w:val="22"/>
          <w:szCs w:val="22"/>
          <w:lang w:val="en-US" w:eastAsia="zh-CN"/>
        </w:rPr>
      </w:pPr>
      <w:hyperlink w:anchor="_Toc398277614" w:history="1">
        <w:r w:rsidR="0086358D" w:rsidRPr="00D569DE">
          <w:rPr>
            <w:rStyle w:val="Hyperlink"/>
            <w:noProof/>
            <w:lang w:val="fr-CH"/>
          </w:rPr>
          <w:t>ETATS DE LA SITUATION FINANCIERE EN 2013</w:t>
        </w:r>
        <w:r w:rsidR="0086358D">
          <w:rPr>
            <w:noProof/>
            <w:webHidden/>
          </w:rPr>
          <w:tab/>
        </w:r>
        <w:r w:rsidR="0086358D">
          <w:rPr>
            <w:noProof/>
            <w:webHidden/>
          </w:rPr>
          <w:fldChar w:fldCharType="begin"/>
        </w:r>
        <w:r w:rsidR="0086358D">
          <w:rPr>
            <w:noProof/>
            <w:webHidden/>
          </w:rPr>
          <w:instrText xml:space="preserve"> PAGEREF _Toc398277614 \h </w:instrText>
        </w:r>
        <w:r w:rsidR="0086358D">
          <w:rPr>
            <w:noProof/>
            <w:webHidden/>
          </w:rPr>
        </w:r>
        <w:r w:rsidR="0086358D">
          <w:rPr>
            <w:noProof/>
            <w:webHidden/>
          </w:rPr>
          <w:fldChar w:fldCharType="separate"/>
        </w:r>
        <w:r w:rsidR="00CF0D16">
          <w:rPr>
            <w:noProof/>
            <w:webHidden/>
          </w:rPr>
          <w:t>9</w:t>
        </w:r>
        <w:r w:rsidR="0086358D">
          <w:rPr>
            <w:noProof/>
            <w:webHidden/>
          </w:rPr>
          <w:fldChar w:fldCharType="end"/>
        </w:r>
      </w:hyperlink>
    </w:p>
    <w:p w:rsidR="0086358D" w:rsidRDefault="005B044C" w:rsidP="008F7439">
      <w:pPr>
        <w:pStyle w:val="TOC2"/>
        <w:rPr>
          <w:rFonts w:asciiTheme="minorHAnsi" w:eastAsiaTheme="minorEastAsia" w:hAnsiTheme="minorHAnsi" w:cstheme="minorBidi"/>
          <w:noProof/>
          <w:sz w:val="22"/>
          <w:szCs w:val="22"/>
          <w:lang w:val="en-US" w:eastAsia="zh-CN"/>
        </w:rPr>
      </w:pPr>
      <w:hyperlink w:anchor="_Toc398277615" w:history="1">
        <w:r w:rsidR="0086358D" w:rsidRPr="00D569DE">
          <w:rPr>
            <w:rStyle w:val="Hyperlink"/>
            <w:noProof/>
            <w:lang w:val="fr-CH"/>
          </w:rPr>
          <w:t>Actifs</w:t>
        </w:r>
        <w:r w:rsidR="0086358D">
          <w:rPr>
            <w:noProof/>
            <w:webHidden/>
          </w:rPr>
          <w:tab/>
        </w:r>
        <w:r w:rsidR="0086358D">
          <w:rPr>
            <w:noProof/>
            <w:webHidden/>
          </w:rPr>
          <w:tab/>
        </w:r>
        <w:r w:rsidR="0086358D">
          <w:rPr>
            <w:noProof/>
            <w:webHidden/>
          </w:rPr>
          <w:fldChar w:fldCharType="begin"/>
        </w:r>
        <w:r w:rsidR="0086358D">
          <w:rPr>
            <w:noProof/>
            <w:webHidden/>
          </w:rPr>
          <w:instrText xml:space="preserve"> PAGEREF _Toc398277615 \h </w:instrText>
        </w:r>
        <w:r w:rsidR="0086358D">
          <w:rPr>
            <w:noProof/>
            <w:webHidden/>
          </w:rPr>
        </w:r>
        <w:r w:rsidR="0086358D">
          <w:rPr>
            <w:noProof/>
            <w:webHidden/>
          </w:rPr>
          <w:fldChar w:fldCharType="separate"/>
        </w:r>
        <w:r w:rsidR="00CF0D16">
          <w:rPr>
            <w:noProof/>
            <w:webHidden/>
          </w:rPr>
          <w:t>9</w:t>
        </w:r>
        <w:r w:rsidR="0086358D">
          <w:rPr>
            <w:noProof/>
            <w:webHidden/>
          </w:rPr>
          <w:fldChar w:fldCharType="end"/>
        </w:r>
      </w:hyperlink>
    </w:p>
    <w:p w:rsidR="0086358D" w:rsidRDefault="005B044C" w:rsidP="008F7439">
      <w:pPr>
        <w:pStyle w:val="TOC2"/>
        <w:rPr>
          <w:rFonts w:asciiTheme="minorHAnsi" w:eastAsiaTheme="minorEastAsia" w:hAnsiTheme="minorHAnsi" w:cstheme="minorBidi"/>
          <w:noProof/>
          <w:sz w:val="22"/>
          <w:szCs w:val="22"/>
          <w:lang w:val="en-US" w:eastAsia="zh-CN"/>
        </w:rPr>
      </w:pPr>
      <w:hyperlink w:anchor="_Toc398277616" w:history="1">
        <w:r w:rsidR="0086358D" w:rsidRPr="00D569DE">
          <w:rPr>
            <w:rStyle w:val="Hyperlink"/>
            <w:noProof/>
            <w:lang w:val="fr-CH"/>
          </w:rPr>
          <w:t>Actifs courants</w:t>
        </w:r>
        <w:r w:rsidR="0086358D">
          <w:rPr>
            <w:noProof/>
            <w:webHidden/>
          </w:rPr>
          <w:tab/>
        </w:r>
        <w:r w:rsidR="0086358D">
          <w:rPr>
            <w:noProof/>
            <w:webHidden/>
          </w:rPr>
          <w:fldChar w:fldCharType="begin"/>
        </w:r>
        <w:r w:rsidR="0086358D">
          <w:rPr>
            <w:noProof/>
            <w:webHidden/>
          </w:rPr>
          <w:instrText xml:space="preserve"> PAGEREF _Toc398277616 \h </w:instrText>
        </w:r>
        <w:r w:rsidR="0086358D">
          <w:rPr>
            <w:noProof/>
            <w:webHidden/>
          </w:rPr>
        </w:r>
        <w:r w:rsidR="0086358D">
          <w:rPr>
            <w:noProof/>
            <w:webHidden/>
          </w:rPr>
          <w:fldChar w:fldCharType="separate"/>
        </w:r>
        <w:r w:rsidR="00CF0D16">
          <w:rPr>
            <w:noProof/>
            <w:webHidden/>
          </w:rPr>
          <w:t>9</w:t>
        </w:r>
        <w:r w:rsidR="0086358D">
          <w:rPr>
            <w:noProof/>
            <w:webHidden/>
          </w:rPr>
          <w:fldChar w:fldCharType="end"/>
        </w:r>
      </w:hyperlink>
    </w:p>
    <w:p w:rsidR="0086358D" w:rsidRDefault="005B044C" w:rsidP="008F7439">
      <w:pPr>
        <w:pStyle w:val="TOC2"/>
        <w:spacing w:before="80"/>
        <w:rPr>
          <w:rFonts w:asciiTheme="minorHAnsi" w:eastAsiaTheme="minorEastAsia" w:hAnsiTheme="minorHAnsi" w:cstheme="minorBidi"/>
          <w:noProof/>
          <w:sz w:val="22"/>
          <w:szCs w:val="22"/>
          <w:lang w:val="en-US" w:eastAsia="zh-CN"/>
        </w:rPr>
      </w:pPr>
      <w:hyperlink w:anchor="_Toc398277617" w:history="1">
        <w:r w:rsidR="0086358D" w:rsidRPr="00D569DE">
          <w:rPr>
            <w:rStyle w:val="Hyperlink"/>
            <w:noProof/>
            <w:lang w:val="fr-CH"/>
          </w:rPr>
          <w:t>Trésorerie et équivalents de trésorerie</w:t>
        </w:r>
        <w:r w:rsidR="0086358D">
          <w:rPr>
            <w:noProof/>
            <w:webHidden/>
          </w:rPr>
          <w:tab/>
        </w:r>
        <w:r w:rsidR="0086358D">
          <w:rPr>
            <w:noProof/>
            <w:webHidden/>
          </w:rPr>
          <w:fldChar w:fldCharType="begin"/>
        </w:r>
        <w:r w:rsidR="0086358D">
          <w:rPr>
            <w:noProof/>
            <w:webHidden/>
          </w:rPr>
          <w:instrText xml:space="preserve"> PAGEREF _Toc398277617 \h </w:instrText>
        </w:r>
        <w:r w:rsidR="0086358D">
          <w:rPr>
            <w:noProof/>
            <w:webHidden/>
          </w:rPr>
        </w:r>
        <w:r w:rsidR="0086358D">
          <w:rPr>
            <w:noProof/>
            <w:webHidden/>
          </w:rPr>
          <w:fldChar w:fldCharType="separate"/>
        </w:r>
        <w:r w:rsidR="00CF0D16">
          <w:rPr>
            <w:noProof/>
            <w:webHidden/>
          </w:rPr>
          <w:t>9</w:t>
        </w:r>
        <w:r w:rsidR="0086358D">
          <w:rPr>
            <w:noProof/>
            <w:webHidden/>
          </w:rPr>
          <w:fldChar w:fldCharType="end"/>
        </w:r>
      </w:hyperlink>
    </w:p>
    <w:p w:rsidR="0086358D" w:rsidRDefault="005B044C" w:rsidP="008F7439">
      <w:pPr>
        <w:pStyle w:val="TOC3"/>
        <w:spacing w:before="80"/>
        <w:rPr>
          <w:rFonts w:asciiTheme="minorHAnsi" w:eastAsiaTheme="minorEastAsia" w:hAnsiTheme="minorHAnsi" w:cstheme="minorBidi"/>
          <w:noProof/>
          <w:sz w:val="22"/>
          <w:szCs w:val="22"/>
          <w:lang w:val="en-US" w:eastAsia="zh-CN"/>
        </w:rPr>
      </w:pPr>
      <w:hyperlink w:anchor="_Toc398277618" w:history="1">
        <w:r w:rsidR="0086358D" w:rsidRPr="00D569DE">
          <w:rPr>
            <w:rStyle w:val="Hyperlink"/>
            <w:noProof/>
            <w:lang w:val="fr-CH"/>
          </w:rPr>
          <w:t>Restriction de signature pour les montants inférieurs à 5 000 CHF</w:t>
        </w:r>
        <w:r w:rsidR="0086358D">
          <w:rPr>
            <w:noProof/>
            <w:webHidden/>
          </w:rPr>
          <w:tab/>
        </w:r>
        <w:r w:rsidR="0086358D">
          <w:rPr>
            <w:noProof/>
            <w:webHidden/>
          </w:rPr>
          <w:fldChar w:fldCharType="begin"/>
        </w:r>
        <w:r w:rsidR="0086358D">
          <w:rPr>
            <w:noProof/>
            <w:webHidden/>
          </w:rPr>
          <w:instrText xml:space="preserve"> PAGEREF _Toc398277618 \h </w:instrText>
        </w:r>
        <w:r w:rsidR="0086358D">
          <w:rPr>
            <w:noProof/>
            <w:webHidden/>
          </w:rPr>
        </w:r>
        <w:r w:rsidR="0086358D">
          <w:rPr>
            <w:noProof/>
            <w:webHidden/>
          </w:rPr>
          <w:fldChar w:fldCharType="separate"/>
        </w:r>
        <w:r w:rsidR="00CF0D16">
          <w:rPr>
            <w:noProof/>
            <w:webHidden/>
          </w:rPr>
          <w:t>10</w:t>
        </w:r>
        <w:r w:rsidR="0086358D">
          <w:rPr>
            <w:noProof/>
            <w:webHidden/>
          </w:rPr>
          <w:fldChar w:fldCharType="end"/>
        </w:r>
      </w:hyperlink>
    </w:p>
    <w:p w:rsidR="0086358D" w:rsidRDefault="005B044C" w:rsidP="008F7439">
      <w:pPr>
        <w:pStyle w:val="TOC3"/>
        <w:spacing w:before="80"/>
        <w:rPr>
          <w:rFonts w:asciiTheme="minorHAnsi" w:eastAsiaTheme="minorEastAsia" w:hAnsiTheme="minorHAnsi" w:cstheme="minorBidi"/>
          <w:noProof/>
          <w:sz w:val="22"/>
          <w:szCs w:val="22"/>
          <w:lang w:val="en-US" w:eastAsia="zh-CN"/>
        </w:rPr>
      </w:pPr>
      <w:hyperlink w:anchor="_Toc398277619" w:history="1">
        <w:r w:rsidR="0086358D" w:rsidRPr="00D569DE">
          <w:rPr>
            <w:rStyle w:val="Hyperlink"/>
            <w:noProof/>
            <w:lang w:val="fr-CH"/>
          </w:rPr>
          <w:t>Mise à jour des listes des signatures autorisées dans le cas d'une banque</w:t>
        </w:r>
        <w:r w:rsidR="0086358D">
          <w:rPr>
            <w:noProof/>
            <w:webHidden/>
          </w:rPr>
          <w:tab/>
        </w:r>
        <w:r w:rsidR="0086358D">
          <w:rPr>
            <w:noProof/>
            <w:webHidden/>
          </w:rPr>
          <w:fldChar w:fldCharType="begin"/>
        </w:r>
        <w:r w:rsidR="0086358D">
          <w:rPr>
            <w:noProof/>
            <w:webHidden/>
          </w:rPr>
          <w:instrText xml:space="preserve"> PAGEREF _Toc398277619 \h </w:instrText>
        </w:r>
        <w:r w:rsidR="0086358D">
          <w:rPr>
            <w:noProof/>
            <w:webHidden/>
          </w:rPr>
        </w:r>
        <w:r w:rsidR="0086358D">
          <w:rPr>
            <w:noProof/>
            <w:webHidden/>
          </w:rPr>
          <w:fldChar w:fldCharType="separate"/>
        </w:r>
        <w:r w:rsidR="00CF0D16">
          <w:rPr>
            <w:noProof/>
            <w:webHidden/>
          </w:rPr>
          <w:t>10</w:t>
        </w:r>
        <w:r w:rsidR="0086358D">
          <w:rPr>
            <w:noProof/>
            <w:webHidden/>
          </w:rPr>
          <w:fldChar w:fldCharType="end"/>
        </w:r>
      </w:hyperlink>
    </w:p>
    <w:p w:rsidR="0086358D" w:rsidRDefault="005B044C" w:rsidP="008F7439">
      <w:pPr>
        <w:pStyle w:val="TOC2"/>
        <w:spacing w:before="80"/>
        <w:rPr>
          <w:rFonts w:asciiTheme="minorHAnsi" w:eastAsiaTheme="minorEastAsia" w:hAnsiTheme="minorHAnsi" w:cstheme="minorBidi"/>
          <w:noProof/>
          <w:sz w:val="22"/>
          <w:szCs w:val="22"/>
          <w:lang w:val="en-US" w:eastAsia="zh-CN"/>
        </w:rPr>
      </w:pPr>
      <w:hyperlink w:anchor="_Toc398277620" w:history="1">
        <w:r w:rsidR="0086358D" w:rsidRPr="00D569DE">
          <w:rPr>
            <w:rStyle w:val="Hyperlink"/>
            <w:noProof/>
            <w:lang w:val="fr-CH"/>
          </w:rPr>
          <w:t>Procédure de clôture ou d'ouverture de nouveaux comptes</w:t>
        </w:r>
        <w:r w:rsidR="0086358D">
          <w:rPr>
            <w:noProof/>
            <w:webHidden/>
          </w:rPr>
          <w:tab/>
        </w:r>
        <w:r w:rsidR="0086358D">
          <w:rPr>
            <w:noProof/>
            <w:webHidden/>
          </w:rPr>
          <w:fldChar w:fldCharType="begin"/>
        </w:r>
        <w:r w:rsidR="0086358D">
          <w:rPr>
            <w:noProof/>
            <w:webHidden/>
          </w:rPr>
          <w:instrText xml:space="preserve"> PAGEREF _Toc398277620 \h </w:instrText>
        </w:r>
        <w:r w:rsidR="0086358D">
          <w:rPr>
            <w:noProof/>
            <w:webHidden/>
          </w:rPr>
        </w:r>
        <w:r w:rsidR="0086358D">
          <w:rPr>
            <w:noProof/>
            <w:webHidden/>
          </w:rPr>
          <w:fldChar w:fldCharType="separate"/>
        </w:r>
        <w:r w:rsidR="00CF0D16">
          <w:rPr>
            <w:noProof/>
            <w:webHidden/>
          </w:rPr>
          <w:t>11</w:t>
        </w:r>
        <w:r w:rsidR="0086358D">
          <w:rPr>
            <w:noProof/>
            <w:webHidden/>
          </w:rPr>
          <w:fldChar w:fldCharType="end"/>
        </w:r>
      </w:hyperlink>
    </w:p>
    <w:p w:rsidR="0086358D" w:rsidRDefault="005B044C" w:rsidP="008F7439">
      <w:pPr>
        <w:pStyle w:val="TOC2"/>
        <w:rPr>
          <w:rFonts w:asciiTheme="minorHAnsi" w:eastAsiaTheme="minorEastAsia" w:hAnsiTheme="minorHAnsi" w:cstheme="minorBidi"/>
          <w:noProof/>
          <w:sz w:val="22"/>
          <w:szCs w:val="22"/>
          <w:lang w:val="en-US" w:eastAsia="zh-CN"/>
        </w:rPr>
      </w:pPr>
      <w:hyperlink w:anchor="_Toc398277621" w:history="1">
        <w:r w:rsidR="0086358D" w:rsidRPr="00D569DE">
          <w:rPr>
            <w:rStyle w:val="Hyperlink"/>
            <w:noProof/>
            <w:lang w:val="fr-CH"/>
          </w:rPr>
          <w:t>Fonds en caisse dans les bureaux hors siège</w:t>
        </w:r>
        <w:r w:rsidR="0086358D">
          <w:rPr>
            <w:noProof/>
            <w:webHidden/>
          </w:rPr>
          <w:tab/>
        </w:r>
        <w:r w:rsidR="0086358D">
          <w:rPr>
            <w:noProof/>
            <w:webHidden/>
          </w:rPr>
          <w:fldChar w:fldCharType="begin"/>
        </w:r>
        <w:r w:rsidR="0086358D">
          <w:rPr>
            <w:noProof/>
            <w:webHidden/>
          </w:rPr>
          <w:instrText xml:space="preserve"> PAGEREF _Toc398277621 \h </w:instrText>
        </w:r>
        <w:r w:rsidR="0086358D">
          <w:rPr>
            <w:noProof/>
            <w:webHidden/>
          </w:rPr>
        </w:r>
        <w:r w:rsidR="0086358D">
          <w:rPr>
            <w:noProof/>
            <w:webHidden/>
          </w:rPr>
          <w:fldChar w:fldCharType="separate"/>
        </w:r>
        <w:r w:rsidR="00CF0D16">
          <w:rPr>
            <w:noProof/>
            <w:webHidden/>
          </w:rPr>
          <w:t>12</w:t>
        </w:r>
        <w:r w:rsidR="0086358D">
          <w:rPr>
            <w:noProof/>
            <w:webHidden/>
          </w:rPr>
          <w:fldChar w:fldCharType="end"/>
        </w:r>
      </w:hyperlink>
    </w:p>
    <w:p w:rsidR="0086358D" w:rsidRDefault="005B044C" w:rsidP="008F7439">
      <w:pPr>
        <w:pStyle w:val="TOC2"/>
        <w:rPr>
          <w:rFonts w:asciiTheme="minorHAnsi" w:eastAsiaTheme="minorEastAsia" w:hAnsiTheme="minorHAnsi" w:cstheme="minorBidi"/>
          <w:noProof/>
          <w:sz w:val="22"/>
          <w:szCs w:val="22"/>
          <w:lang w:val="en-US" w:eastAsia="zh-CN"/>
        </w:rPr>
      </w:pPr>
      <w:hyperlink w:anchor="_Toc398277622" w:history="1">
        <w:r w:rsidR="0086358D" w:rsidRPr="00D569DE">
          <w:rPr>
            <w:rStyle w:val="Hyperlink"/>
            <w:noProof/>
            <w:lang w:val="fr-CH"/>
          </w:rPr>
          <w:t>Placements</w:t>
        </w:r>
        <w:r w:rsidR="0086358D">
          <w:rPr>
            <w:noProof/>
            <w:webHidden/>
          </w:rPr>
          <w:tab/>
        </w:r>
        <w:r w:rsidR="0086358D">
          <w:rPr>
            <w:noProof/>
            <w:webHidden/>
          </w:rPr>
          <w:fldChar w:fldCharType="begin"/>
        </w:r>
        <w:r w:rsidR="0086358D">
          <w:rPr>
            <w:noProof/>
            <w:webHidden/>
          </w:rPr>
          <w:instrText xml:space="preserve"> PAGEREF _Toc398277622 \h </w:instrText>
        </w:r>
        <w:r w:rsidR="0086358D">
          <w:rPr>
            <w:noProof/>
            <w:webHidden/>
          </w:rPr>
        </w:r>
        <w:r w:rsidR="0086358D">
          <w:rPr>
            <w:noProof/>
            <w:webHidden/>
          </w:rPr>
          <w:fldChar w:fldCharType="separate"/>
        </w:r>
        <w:r w:rsidR="00CF0D16">
          <w:rPr>
            <w:noProof/>
            <w:webHidden/>
          </w:rPr>
          <w:t>12</w:t>
        </w:r>
        <w:r w:rsidR="0086358D">
          <w:rPr>
            <w:noProof/>
            <w:webHidden/>
          </w:rPr>
          <w:fldChar w:fldCharType="end"/>
        </w:r>
      </w:hyperlink>
    </w:p>
    <w:p w:rsidR="0086358D" w:rsidRDefault="005B044C" w:rsidP="008F7439">
      <w:pPr>
        <w:pStyle w:val="TOC2"/>
        <w:rPr>
          <w:rFonts w:asciiTheme="minorHAnsi" w:eastAsiaTheme="minorEastAsia" w:hAnsiTheme="minorHAnsi" w:cstheme="minorBidi"/>
          <w:noProof/>
          <w:sz w:val="22"/>
          <w:szCs w:val="22"/>
          <w:lang w:val="en-US" w:eastAsia="zh-CN"/>
        </w:rPr>
      </w:pPr>
      <w:hyperlink w:anchor="_Toc398277623" w:history="1">
        <w:r w:rsidR="0086358D" w:rsidRPr="00D569DE">
          <w:rPr>
            <w:rStyle w:val="Hyperlink"/>
            <w:noProof/>
            <w:lang w:val="fr-CH"/>
          </w:rPr>
          <w:t>Créances</w:t>
        </w:r>
        <w:r w:rsidR="0086358D">
          <w:rPr>
            <w:noProof/>
            <w:webHidden/>
          </w:rPr>
          <w:tab/>
        </w:r>
        <w:r w:rsidR="0086358D">
          <w:rPr>
            <w:noProof/>
            <w:webHidden/>
          </w:rPr>
          <w:tab/>
        </w:r>
        <w:r w:rsidR="0086358D">
          <w:rPr>
            <w:noProof/>
            <w:webHidden/>
          </w:rPr>
          <w:fldChar w:fldCharType="begin"/>
        </w:r>
        <w:r w:rsidR="0086358D">
          <w:rPr>
            <w:noProof/>
            <w:webHidden/>
          </w:rPr>
          <w:instrText xml:space="preserve"> PAGEREF _Toc398277623 \h </w:instrText>
        </w:r>
        <w:r w:rsidR="0086358D">
          <w:rPr>
            <w:noProof/>
            <w:webHidden/>
          </w:rPr>
        </w:r>
        <w:r w:rsidR="0086358D">
          <w:rPr>
            <w:noProof/>
            <w:webHidden/>
          </w:rPr>
          <w:fldChar w:fldCharType="separate"/>
        </w:r>
        <w:r w:rsidR="00CF0D16">
          <w:rPr>
            <w:noProof/>
            <w:webHidden/>
          </w:rPr>
          <w:t>12</w:t>
        </w:r>
        <w:r w:rsidR="0086358D">
          <w:rPr>
            <w:noProof/>
            <w:webHidden/>
          </w:rPr>
          <w:fldChar w:fldCharType="end"/>
        </w:r>
      </w:hyperlink>
    </w:p>
    <w:p w:rsidR="0086358D" w:rsidRDefault="005B044C" w:rsidP="008F7439">
      <w:pPr>
        <w:pStyle w:val="TOC2"/>
        <w:rPr>
          <w:rFonts w:asciiTheme="minorHAnsi" w:eastAsiaTheme="minorEastAsia" w:hAnsiTheme="minorHAnsi" w:cstheme="minorBidi"/>
          <w:noProof/>
          <w:sz w:val="22"/>
          <w:szCs w:val="22"/>
          <w:lang w:val="en-US" w:eastAsia="zh-CN"/>
        </w:rPr>
      </w:pPr>
      <w:hyperlink w:anchor="_Toc398277624" w:history="1">
        <w:r w:rsidR="0086358D" w:rsidRPr="00D569DE">
          <w:rPr>
            <w:rStyle w:val="Hyperlink"/>
            <w:noProof/>
            <w:lang w:val="fr-CH"/>
          </w:rPr>
          <w:t>Autres créances courantes</w:t>
        </w:r>
        <w:r w:rsidR="0086358D">
          <w:rPr>
            <w:noProof/>
            <w:webHidden/>
          </w:rPr>
          <w:tab/>
        </w:r>
        <w:r w:rsidR="0086358D">
          <w:rPr>
            <w:noProof/>
            <w:webHidden/>
          </w:rPr>
          <w:fldChar w:fldCharType="begin"/>
        </w:r>
        <w:r w:rsidR="0086358D">
          <w:rPr>
            <w:noProof/>
            <w:webHidden/>
          </w:rPr>
          <w:instrText xml:space="preserve"> PAGEREF _Toc398277624 \h </w:instrText>
        </w:r>
        <w:r w:rsidR="0086358D">
          <w:rPr>
            <w:noProof/>
            <w:webHidden/>
          </w:rPr>
        </w:r>
        <w:r w:rsidR="0086358D">
          <w:rPr>
            <w:noProof/>
            <w:webHidden/>
          </w:rPr>
          <w:fldChar w:fldCharType="separate"/>
        </w:r>
        <w:r w:rsidR="00CF0D16">
          <w:rPr>
            <w:noProof/>
            <w:webHidden/>
          </w:rPr>
          <w:t>13</w:t>
        </w:r>
        <w:r w:rsidR="0086358D">
          <w:rPr>
            <w:noProof/>
            <w:webHidden/>
          </w:rPr>
          <w:fldChar w:fldCharType="end"/>
        </w:r>
      </w:hyperlink>
    </w:p>
    <w:p w:rsidR="0086358D" w:rsidRDefault="005B044C" w:rsidP="008F7439">
      <w:pPr>
        <w:pStyle w:val="TOC2"/>
        <w:rPr>
          <w:rFonts w:asciiTheme="minorHAnsi" w:eastAsiaTheme="minorEastAsia" w:hAnsiTheme="minorHAnsi" w:cstheme="minorBidi"/>
          <w:noProof/>
          <w:sz w:val="22"/>
          <w:szCs w:val="22"/>
          <w:lang w:val="en-US" w:eastAsia="zh-CN"/>
        </w:rPr>
      </w:pPr>
      <w:hyperlink w:anchor="_Toc398277625" w:history="1">
        <w:r w:rsidR="0086358D" w:rsidRPr="00D569DE">
          <w:rPr>
            <w:rStyle w:val="Hyperlink"/>
            <w:noProof/>
            <w:lang w:val="fr-CH"/>
          </w:rPr>
          <w:t>Stocks</w:t>
        </w:r>
        <w:r w:rsidR="0086358D">
          <w:rPr>
            <w:noProof/>
            <w:webHidden/>
          </w:rPr>
          <w:tab/>
        </w:r>
        <w:r w:rsidR="0086358D">
          <w:rPr>
            <w:noProof/>
            <w:webHidden/>
          </w:rPr>
          <w:tab/>
        </w:r>
        <w:r w:rsidR="0086358D">
          <w:rPr>
            <w:noProof/>
            <w:webHidden/>
          </w:rPr>
          <w:fldChar w:fldCharType="begin"/>
        </w:r>
        <w:r w:rsidR="0086358D">
          <w:rPr>
            <w:noProof/>
            <w:webHidden/>
          </w:rPr>
          <w:instrText xml:space="preserve"> PAGEREF _Toc398277625 \h </w:instrText>
        </w:r>
        <w:r w:rsidR="0086358D">
          <w:rPr>
            <w:noProof/>
            <w:webHidden/>
          </w:rPr>
        </w:r>
        <w:r w:rsidR="0086358D">
          <w:rPr>
            <w:noProof/>
            <w:webHidden/>
          </w:rPr>
          <w:fldChar w:fldCharType="separate"/>
        </w:r>
        <w:r w:rsidR="00CF0D16">
          <w:rPr>
            <w:noProof/>
            <w:webHidden/>
          </w:rPr>
          <w:t>13</w:t>
        </w:r>
        <w:r w:rsidR="0086358D">
          <w:rPr>
            <w:noProof/>
            <w:webHidden/>
          </w:rPr>
          <w:fldChar w:fldCharType="end"/>
        </w:r>
      </w:hyperlink>
    </w:p>
    <w:p w:rsidR="0086358D" w:rsidRDefault="005B044C" w:rsidP="008F7439">
      <w:pPr>
        <w:pStyle w:val="TOC2"/>
        <w:rPr>
          <w:rFonts w:asciiTheme="minorHAnsi" w:eastAsiaTheme="minorEastAsia" w:hAnsiTheme="minorHAnsi" w:cstheme="minorBidi"/>
          <w:noProof/>
          <w:sz w:val="22"/>
          <w:szCs w:val="22"/>
          <w:lang w:val="en-US" w:eastAsia="zh-CN"/>
        </w:rPr>
      </w:pPr>
      <w:hyperlink w:anchor="_Toc398277626" w:history="1">
        <w:r w:rsidR="0086358D" w:rsidRPr="00D569DE">
          <w:rPr>
            <w:rStyle w:val="Hyperlink"/>
            <w:noProof/>
            <w:lang w:val="fr-CH"/>
          </w:rPr>
          <w:t>Actifs non courants</w:t>
        </w:r>
        <w:r w:rsidR="0086358D">
          <w:rPr>
            <w:noProof/>
            <w:webHidden/>
          </w:rPr>
          <w:tab/>
        </w:r>
        <w:r w:rsidR="0086358D">
          <w:rPr>
            <w:noProof/>
            <w:webHidden/>
          </w:rPr>
          <w:fldChar w:fldCharType="begin"/>
        </w:r>
        <w:r w:rsidR="0086358D">
          <w:rPr>
            <w:noProof/>
            <w:webHidden/>
          </w:rPr>
          <w:instrText xml:space="preserve"> PAGEREF _Toc398277626 \h </w:instrText>
        </w:r>
        <w:r w:rsidR="0086358D">
          <w:rPr>
            <w:noProof/>
            <w:webHidden/>
          </w:rPr>
        </w:r>
        <w:r w:rsidR="0086358D">
          <w:rPr>
            <w:noProof/>
            <w:webHidden/>
          </w:rPr>
          <w:fldChar w:fldCharType="separate"/>
        </w:r>
        <w:r w:rsidR="00CF0D16">
          <w:rPr>
            <w:noProof/>
            <w:webHidden/>
          </w:rPr>
          <w:t>13</w:t>
        </w:r>
        <w:r w:rsidR="0086358D">
          <w:rPr>
            <w:noProof/>
            <w:webHidden/>
          </w:rPr>
          <w:fldChar w:fldCharType="end"/>
        </w:r>
      </w:hyperlink>
    </w:p>
    <w:p w:rsidR="0086358D" w:rsidRDefault="005B044C" w:rsidP="008F7439">
      <w:pPr>
        <w:pStyle w:val="TOC2"/>
        <w:rPr>
          <w:rFonts w:asciiTheme="minorHAnsi" w:eastAsiaTheme="minorEastAsia" w:hAnsiTheme="minorHAnsi" w:cstheme="minorBidi"/>
          <w:noProof/>
          <w:sz w:val="22"/>
          <w:szCs w:val="22"/>
          <w:lang w:val="en-US" w:eastAsia="zh-CN"/>
        </w:rPr>
      </w:pPr>
      <w:hyperlink w:anchor="_Toc398277627" w:history="1">
        <w:r w:rsidR="0086358D" w:rsidRPr="00D569DE">
          <w:rPr>
            <w:rStyle w:val="Hyperlink"/>
            <w:noProof/>
            <w:lang w:val="fr-CH"/>
          </w:rPr>
          <w:t>Immobilisations corporelles</w:t>
        </w:r>
        <w:r w:rsidR="0086358D">
          <w:rPr>
            <w:noProof/>
            <w:webHidden/>
          </w:rPr>
          <w:tab/>
        </w:r>
        <w:r w:rsidR="0086358D">
          <w:rPr>
            <w:noProof/>
            <w:webHidden/>
          </w:rPr>
          <w:fldChar w:fldCharType="begin"/>
        </w:r>
        <w:r w:rsidR="0086358D">
          <w:rPr>
            <w:noProof/>
            <w:webHidden/>
          </w:rPr>
          <w:instrText xml:space="preserve"> PAGEREF _Toc398277627 \h </w:instrText>
        </w:r>
        <w:r w:rsidR="0086358D">
          <w:rPr>
            <w:noProof/>
            <w:webHidden/>
          </w:rPr>
        </w:r>
        <w:r w:rsidR="0086358D">
          <w:rPr>
            <w:noProof/>
            <w:webHidden/>
          </w:rPr>
          <w:fldChar w:fldCharType="separate"/>
        </w:r>
        <w:r w:rsidR="00CF0D16">
          <w:rPr>
            <w:noProof/>
            <w:webHidden/>
          </w:rPr>
          <w:t>13</w:t>
        </w:r>
        <w:r w:rsidR="0086358D">
          <w:rPr>
            <w:noProof/>
            <w:webHidden/>
          </w:rPr>
          <w:fldChar w:fldCharType="end"/>
        </w:r>
      </w:hyperlink>
    </w:p>
    <w:p w:rsidR="0086358D" w:rsidRDefault="005B044C" w:rsidP="008F7439">
      <w:pPr>
        <w:pStyle w:val="TOC2"/>
        <w:rPr>
          <w:rFonts w:asciiTheme="minorHAnsi" w:eastAsiaTheme="minorEastAsia" w:hAnsiTheme="minorHAnsi" w:cstheme="minorBidi"/>
          <w:noProof/>
          <w:sz w:val="22"/>
          <w:szCs w:val="22"/>
          <w:lang w:val="en-US" w:eastAsia="zh-CN"/>
        </w:rPr>
      </w:pPr>
      <w:hyperlink w:anchor="_Toc398277628" w:history="1">
        <w:r w:rsidR="0086358D" w:rsidRPr="00D569DE">
          <w:rPr>
            <w:rStyle w:val="Hyperlink"/>
            <w:noProof/>
            <w:lang w:val="fr-CH"/>
          </w:rPr>
          <w:t>Immobilisations incorporelles</w:t>
        </w:r>
        <w:r w:rsidR="0086358D">
          <w:rPr>
            <w:noProof/>
            <w:webHidden/>
          </w:rPr>
          <w:tab/>
        </w:r>
        <w:r w:rsidR="0086358D">
          <w:rPr>
            <w:noProof/>
            <w:webHidden/>
          </w:rPr>
          <w:fldChar w:fldCharType="begin"/>
        </w:r>
        <w:r w:rsidR="0086358D">
          <w:rPr>
            <w:noProof/>
            <w:webHidden/>
          </w:rPr>
          <w:instrText xml:space="preserve"> PAGEREF _Toc398277628 \h </w:instrText>
        </w:r>
        <w:r w:rsidR="0086358D">
          <w:rPr>
            <w:noProof/>
            <w:webHidden/>
          </w:rPr>
        </w:r>
        <w:r w:rsidR="0086358D">
          <w:rPr>
            <w:noProof/>
            <w:webHidden/>
          </w:rPr>
          <w:fldChar w:fldCharType="separate"/>
        </w:r>
        <w:r w:rsidR="00CF0D16">
          <w:rPr>
            <w:noProof/>
            <w:webHidden/>
          </w:rPr>
          <w:t>15</w:t>
        </w:r>
        <w:r w:rsidR="0086358D">
          <w:rPr>
            <w:noProof/>
            <w:webHidden/>
          </w:rPr>
          <w:fldChar w:fldCharType="end"/>
        </w:r>
      </w:hyperlink>
    </w:p>
    <w:p w:rsidR="0086358D" w:rsidRDefault="005B044C" w:rsidP="008F7439">
      <w:pPr>
        <w:pStyle w:val="TOC2"/>
        <w:rPr>
          <w:rFonts w:asciiTheme="minorHAnsi" w:eastAsiaTheme="minorEastAsia" w:hAnsiTheme="minorHAnsi" w:cstheme="minorBidi"/>
          <w:noProof/>
          <w:sz w:val="22"/>
          <w:szCs w:val="22"/>
          <w:lang w:val="en-US" w:eastAsia="zh-CN"/>
        </w:rPr>
      </w:pPr>
      <w:hyperlink w:anchor="_Toc398277629" w:history="1">
        <w:r w:rsidR="0086358D" w:rsidRPr="00D569DE">
          <w:rPr>
            <w:rStyle w:val="Hyperlink"/>
            <w:noProof/>
            <w:lang w:val="fr-CH"/>
          </w:rPr>
          <w:t>Passifs</w:t>
        </w:r>
        <w:r w:rsidR="0086358D">
          <w:rPr>
            <w:noProof/>
            <w:webHidden/>
          </w:rPr>
          <w:tab/>
        </w:r>
        <w:r w:rsidR="0086358D">
          <w:rPr>
            <w:noProof/>
            <w:webHidden/>
          </w:rPr>
          <w:tab/>
        </w:r>
        <w:r w:rsidR="0086358D">
          <w:rPr>
            <w:noProof/>
            <w:webHidden/>
          </w:rPr>
          <w:fldChar w:fldCharType="begin"/>
        </w:r>
        <w:r w:rsidR="0086358D">
          <w:rPr>
            <w:noProof/>
            <w:webHidden/>
          </w:rPr>
          <w:instrText xml:space="preserve"> PAGEREF _Toc398277629 \h </w:instrText>
        </w:r>
        <w:r w:rsidR="0086358D">
          <w:rPr>
            <w:noProof/>
            <w:webHidden/>
          </w:rPr>
        </w:r>
        <w:r w:rsidR="0086358D">
          <w:rPr>
            <w:noProof/>
            <w:webHidden/>
          </w:rPr>
          <w:fldChar w:fldCharType="separate"/>
        </w:r>
        <w:r w:rsidR="00CF0D16">
          <w:rPr>
            <w:noProof/>
            <w:webHidden/>
          </w:rPr>
          <w:t>16</w:t>
        </w:r>
        <w:r w:rsidR="0086358D">
          <w:rPr>
            <w:noProof/>
            <w:webHidden/>
          </w:rPr>
          <w:fldChar w:fldCharType="end"/>
        </w:r>
      </w:hyperlink>
    </w:p>
    <w:p w:rsidR="0086358D" w:rsidRDefault="005B044C" w:rsidP="008F7439">
      <w:pPr>
        <w:pStyle w:val="TOC2"/>
        <w:rPr>
          <w:rFonts w:asciiTheme="minorHAnsi" w:eastAsiaTheme="minorEastAsia" w:hAnsiTheme="minorHAnsi" w:cstheme="minorBidi"/>
          <w:noProof/>
          <w:sz w:val="22"/>
          <w:szCs w:val="22"/>
          <w:lang w:val="en-US" w:eastAsia="zh-CN"/>
        </w:rPr>
      </w:pPr>
      <w:hyperlink w:anchor="_Toc398277630" w:history="1">
        <w:r w:rsidR="0086358D" w:rsidRPr="00D569DE">
          <w:rPr>
            <w:rStyle w:val="Hyperlink"/>
            <w:noProof/>
            <w:lang w:val="fr-CH"/>
          </w:rPr>
          <w:t>Passifs courants</w:t>
        </w:r>
        <w:r w:rsidR="0086358D">
          <w:rPr>
            <w:noProof/>
            <w:webHidden/>
          </w:rPr>
          <w:tab/>
        </w:r>
        <w:r w:rsidR="0086358D">
          <w:rPr>
            <w:noProof/>
            <w:webHidden/>
          </w:rPr>
          <w:fldChar w:fldCharType="begin"/>
        </w:r>
        <w:r w:rsidR="0086358D">
          <w:rPr>
            <w:noProof/>
            <w:webHidden/>
          </w:rPr>
          <w:instrText xml:space="preserve"> PAGEREF _Toc398277630 \h </w:instrText>
        </w:r>
        <w:r w:rsidR="0086358D">
          <w:rPr>
            <w:noProof/>
            <w:webHidden/>
          </w:rPr>
        </w:r>
        <w:r w:rsidR="0086358D">
          <w:rPr>
            <w:noProof/>
            <w:webHidden/>
          </w:rPr>
          <w:fldChar w:fldCharType="separate"/>
        </w:r>
        <w:r w:rsidR="00CF0D16">
          <w:rPr>
            <w:noProof/>
            <w:webHidden/>
          </w:rPr>
          <w:t>16</w:t>
        </w:r>
        <w:r w:rsidR="0086358D">
          <w:rPr>
            <w:noProof/>
            <w:webHidden/>
          </w:rPr>
          <w:fldChar w:fldCharType="end"/>
        </w:r>
      </w:hyperlink>
    </w:p>
    <w:p w:rsidR="0086358D" w:rsidRDefault="005B044C" w:rsidP="008F7439">
      <w:pPr>
        <w:pStyle w:val="TOC2"/>
        <w:rPr>
          <w:rFonts w:asciiTheme="minorHAnsi" w:eastAsiaTheme="minorEastAsia" w:hAnsiTheme="minorHAnsi" w:cstheme="minorBidi"/>
          <w:noProof/>
          <w:sz w:val="22"/>
          <w:szCs w:val="22"/>
          <w:lang w:val="en-US" w:eastAsia="zh-CN"/>
        </w:rPr>
      </w:pPr>
      <w:hyperlink w:anchor="_Toc398277631" w:history="1">
        <w:r w:rsidR="0086358D" w:rsidRPr="00D569DE">
          <w:rPr>
            <w:rStyle w:val="Hyperlink"/>
            <w:noProof/>
            <w:lang w:val="fr-CH"/>
          </w:rPr>
          <w:t>Fournisseurs et autres créanciers</w:t>
        </w:r>
        <w:r w:rsidR="0086358D">
          <w:rPr>
            <w:noProof/>
            <w:webHidden/>
          </w:rPr>
          <w:tab/>
        </w:r>
        <w:r w:rsidR="0086358D">
          <w:rPr>
            <w:noProof/>
            <w:webHidden/>
          </w:rPr>
          <w:fldChar w:fldCharType="begin"/>
        </w:r>
        <w:r w:rsidR="0086358D">
          <w:rPr>
            <w:noProof/>
            <w:webHidden/>
          </w:rPr>
          <w:instrText xml:space="preserve"> PAGEREF _Toc398277631 \h </w:instrText>
        </w:r>
        <w:r w:rsidR="0086358D">
          <w:rPr>
            <w:noProof/>
            <w:webHidden/>
          </w:rPr>
        </w:r>
        <w:r w:rsidR="0086358D">
          <w:rPr>
            <w:noProof/>
            <w:webHidden/>
          </w:rPr>
          <w:fldChar w:fldCharType="separate"/>
        </w:r>
        <w:r w:rsidR="00CF0D16">
          <w:rPr>
            <w:noProof/>
            <w:webHidden/>
          </w:rPr>
          <w:t>16</w:t>
        </w:r>
        <w:r w:rsidR="0086358D">
          <w:rPr>
            <w:noProof/>
            <w:webHidden/>
          </w:rPr>
          <w:fldChar w:fldCharType="end"/>
        </w:r>
      </w:hyperlink>
    </w:p>
    <w:p w:rsidR="0086358D" w:rsidRDefault="005B044C" w:rsidP="008F7439">
      <w:pPr>
        <w:pStyle w:val="TOC2"/>
        <w:rPr>
          <w:rFonts w:asciiTheme="minorHAnsi" w:eastAsiaTheme="minorEastAsia" w:hAnsiTheme="minorHAnsi" w:cstheme="minorBidi"/>
          <w:noProof/>
          <w:sz w:val="22"/>
          <w:szCs w:val="22"/>
          <w:lang w:val="en-US" w:eastAsia="zh-CN"/>
        </w:rPr>
      </w:pPr>
      <w:hyperlink w:anchor="_Toc398277632" w:history="1">
        <w:r w:rsidR="0086358D" w:rsidRPr="00D569DE">
          <w:rPr>
            <w:rStyle w:val="Hyperlink"/>
            <w:noProof/>
            <w:lang w:val="fr-CH"/>
          </w:rPr>
          <w:t>Produits différés</w:t>
        </w:r>
        <w:r w:rsidR="0086358D">
          <w:rPr>
            <w:noProof/>
            <w:webHidden/>
          </w:rPr>
          <w:tab/>
        </w:r>
        <w:r w:rsidR="0086358D">
          <w:rPr>
            <w:noProof/>
            <w:webHidden/>
          </w:rPr>
          <w:fldChar w:fldCharType="begin"/>
        </w:r>
        <w:r w:rsidR="0086358D">
          <w:rPr>
            <w:noProof/>
            <w:webHidden/>
          </w:rPr>
          <w:instrText xml:space="preserve"> PAGEREF _Toc398277632 \h </w:instrText>
        </w:r>
        <w:r w:rsidR="0086358D">
          <w:rPr>
            <w:noProof/>
            <w:webHidden/>
          </w:rPr>
        </w:r>
        <w:r w:rsidR="0086358D">
          <w:rPr>
            <w:noProof/>
            <w:webHidden/>
          </w:rPr>
          <w:fldChar w:fldCharType="separate"/>
        </w:r>
        <w:r w:rsidR="00CF0D16">
          <w:rPr>
            <w:noProof/>
            <w:webHidden/>
          </w:rPr>
          <w:t>16</w:t>
        </w:r>
        <w:r w:rsidR="0086358D">
          <w:rPr>
            <w:noProof/>
            <w:webHidden/>
          </w:rPr>
          <w:fldChar w:fldCharType="end"/>
        </w:r>
      </w:hyperlink>
    </w:p>
    <w:p w:rsidR="0086358D" w:rsidRDefault="005B044C" w:rsidP="008F7439">
      <w:pPr>
        <w:pStyle w:val="TOC2"/>
        <w:rPr>
          <w:rFonts w:asciiTheme="minorHAnsi" w:eastAsiaTheme="minorEastAsia" w:hAnsiTheme="minorHAnsi" w:cstheme="minorBidi"/>
          <w:noProof/>
          <w:sz w:val="22"/>
          <w:szCs w:val="22"/>
          <w:lang w:val="en-US" w:eastAsia="zh-CN"/>
        </w:rPr>
      </w:pPr>
      <w:hyperlink w:anchor="_Toc398277633" w:history="1">
        <w:r w:rsidR="0086358D" w:rsidRPr="00D569DE">
          <w:rPr>
            <w:rStyle w:val="Hyperlink"/>
            <w:noProof/>
            <w:lang w:val="fr-CH"/>
          </w:rPr>
          <w:t>Provisions</w:t>
        </w:r>
        <w:r w:rsidR="0086358D">
          <w:rPr>
            <w:noProof/>
            <w:webHidden/>
          </w:rPr>
          <w:tab/>
        </w:r>
        <w:r w:rsidR="0086358D">
          <w:rPr>
            <w:noProof/>
            <w:webHidden/>
          </w:rPr>
          <w:fldChar w:fldCharType="begin"/>
        </w:r>
        <w:r w:rsidR="0086358D">
          <w:rPr>
            <w:noProof/>
            <w:webHidden/>
          </w:rPr>
          <w:instrText xml:space="preserve"> PAGEREF _Toc398277633 \h </w:instrText>
        </w:r>
        <w:r w:rsidR="0086358D">
          <w:rPr>
            <w:noProof/>
            <w:webHidden/>
          </w:rPr>
        </w:r>
        <w:r w:rsidR="0086358D">
          <w:rPr>
            <w:noProof/>
            <w:webHidden/>
          </w:rPr>
          <w:fldChar w:fldCharType="separate"/>
        </w:r>
        <w:r w:rsidR="00CF0D16">
          <w:rPr>
            <w:noProof/>
            <w:webHidden/>
          </w:rPr>
          <w:t>17</w:t>
        </w:r>
        <w:r w:rsidR="0086358D">
          <w:rPr>
            <w:noProof/>
            <w:webHidden/>
          </w:rPr>
          <w:fldChar w:fldCharType="end"/>
        </w:r>
      </w:hyperlink>
    </w:p>
    <w:p w:rsidR="0086358D" w:rsidRDefault="005B044C" w:rsidP="008F7439">
      <w:pPr>
        <w:pStyle w:val="TOC2"/>
        <w:rPr>
          <w:rFonts w:asciiTheme="minorHAnsi" w:eastAsiaTheme="minorEastAsia" w:hAnsiTheme="minorHAnsi" w:cstheme="minorBidi"/>
          <w:noProof/>
          <w:sz w:val="22"/>
          <w:szCs w:val="22"/>
          <w:lang w:val="en-US" w:eastAsia="zh-CN"/>
        </w:rPr>
      </w:pPr>
      <w:hyperlink w:anchor="_Toc398277634" w:history="1">
        <w:r w:rsidR="0086358D" w:rsidRPr="00D569DE">
          <w:rPr>
            <w:rStyle w:val="Hyperlink"/>
            <w:noProof/>
            <w:lang w:val="fr-CH"/>
          </w:rPr>
          <w:t>Emprunts et dettes financières</w:t>
        </w:r>
        <w:r w:rsidR="0086358D">
          <w:rPr>
            <w:noProof/>
            <w:webHidden/>
          </w:rPr>
          <w:tab/>
        </w:r>
        <w:r w:rsidR="0086358D">
          <w:rPr>
            <w:noProof/>
            <w:webHidden/>
          </w:rPr>
          <w:fldChar w:fldCharType="begin"/>
        </w:r>
        <w:r w:rsidR="0086358D">
          <w:rPr>
            <w:noProof/>
            <w:webHidden/>
          </w:rPr>
          <w:instrText xml:space="preserve"> PAGEREF _Toc398277634 \h </w:instrText>
        </w:r>
        <w:r w:rsidR="0086358D">
          <w:rPr>
            <w:noProof/>
            <w:webHidden/>
          </w:rPr>
        </w:r>
        <w:r w:rsidR="0086358D">
          <w:rPr>
            <w:noProof/>
            <w:webHidden/>
          </w:rPr>
          <w:fldChar w:fldCharType="separate"/>
        </w:r>
        <w:r w:rsidR="00CF0D16">
          <w:rPr>
            <w:noProof/>
            <w:webHidden/>
          </w:rPr>
          <w:t>17</w:t>
        </w:r>
        <w:r w:rsidR="0086358D">
          <w:rPr>
            <w:noProof/>
            <w:webHidden/>
          </w:rPr>
          <w:fldChar w:fldCharType="end"/>
        </w:r>
      </w:hyperlink>
    </w:p>
    <w:p w:rsidR="0086358D" w:rsidRDefault="005B044C" w:rsidP="008F7439">
      <w:pPr>
        <w:pStyle w:val="TOC2"/>
        <w:rPr>
          <w:rFonts w:asciiTheme="minorHAnsi" w:eastAsiaTheme="minorEastAsia" w:hAnsiTheme="minorHAnsi" w:cstheme="minorBidi"/>
          <w:noProof/>
          <w:sz w:val="22"/>
          <w:szCs w:val="22"/>
          <w:lang w:val="en-US" w:eastAsia="zh-CN"/>
        </w:rPr>
      </w:pPr>
      <w:hyperlink w:anchor="_Toc398277635" w:history="1">
        <w:r w:rsidR="0086358D" w:rsidRPr="00D569DE">
          <w:rPr>
            <w:rStyle w:val="Hyperlink"/>
            <w:noProof/>
            <w:lang w:val="fr-CH"/>
          </w:rPr>
          <w:t>Autres passifs courants</w:t>
        </w:r>
        <w:r w:rsidR="0086358D">
          <w:rPr>
            <w:noProof/>
            <w:webHidden/>
          </w:rPr>
          <w:tab/>
        </w:r>
        <w:r w:rsidR="0086358D">
          <w:rPr>
            <w:noProof/>
            <w:webHidden/>
          </w:rPr>
          <w:fldChar w:fldCharType="begin"/>
        </w:r>
        <w:r w:rsidR="0086358D">
          <w:rPr>
            <w:noProof/>
            <w:webHidden/>
          </w:rPr>
          <w:instrText xml:space="preserve"> PAGEREF _Toc398277635 \h </w:instrText>
        </w:r>
        <w:r w:rsidR="0086358D">
          <w:rPr>
            <w:noProof/>
            <w:webHidden/>
          </w:rPr>
        </w:r>
        <w:r w:rsidR="0086358D">
          <w:rPr>
            <w:noProof/>
            <w:webHidden/>
          </w:rPr>
          <w:fldChar w:fldCharType="separate"/>
        </w:r>
        <w:r w:rsidR="00CF0D16">
          <w:rPr>
            <w:noProof/>
            <w:webHidden/>
          </w:rPr>
          <w:t>17</w:t>
        </w:r>
        <w:r w:rsidR="0086358D">
          <w:rPr>
            <w:noProof/>
            <w:webHidden/>
          </w:rPr>
          <w:fldChar w:fldCharType="end"/>
        </w:r>
      </w:hyperlink>
    </w:p>
    <w:p w:rsidR="0086358D" w:rsidRDefault="005B044C" w:rsidP="008F7439">
      <w:pPr>
        <w:pStyle w:val="TOC2"/>
        <w:rPr>
          <w:rFonts w:asciiTheme="minorHAnsi" w:eastAsiaTheme="minorEastAsia" w:hAnsiTheme="minorHAnsi" w:cstheme="minorBidi"/>
          <w:noProof/>
          <w:sz w:val="22"/>
          <w:szCs w:val="22"/>
          <w:lang w:val="en-US" w:eastAsia="zh-CN"/>
        </w:rPr>
      </w:pPr>
      <w:hyperlink w:anchor="_Toc398277636" w:history="1">
        <w:r w:rsidR="0086358D" w:rsidRPr="00D569DE">
          <w:rPr>
            <w:rStyle w:val="Hyperlink"/>
            <w:noProof/>
            <w:lang w:val="fr-CH"/>
          </w:rPr>
          <w:t>Passifs non courants</w:t>
        </w:r>
        <w:r w:rsidR="0086358D">
          <w:rPr>
            <w:noProof/>
            <w:webHidden/>
          </w:rPr>
          <w:tab/>
        </w:r>
        <w:r w:rsidR="0086358D">
          <w:rPr>
            <w:noProof/>
            <w:webHidden/>
          </w:rPr>
          <w:fldChar w:fldCharType="begin"/>
        </w:r>
        <w:r w:rsidR="0086358D">
          <w:rPr>
            <w:noProof/>
            <w:webHidden/>
          </w:rPr>
          <w:instrText xml:space="preserve"> PAGEREF _Toc398277636 \h </w:instrText>
        </w:r>
        <w:r w:rsidR="0086358D">
          <w:rPr>
            <w:noProof/>
            <w:webHidden/>
          </w:rPr>
        </w:r>
        <w:r w:rsidR="0086358D">
          <w:rPr>
            <w:noProof/>
            <w:webHidden/>
          </w:rPr>
          <w:fldChar w:fldCharType="separate"/>
        </w:r>
        <w:r w:rsidR="00CF0D16">
          <w:rPr>
            <w:noProof/>
            <w:webHidden/>
          </w:rPr>
          <w:t>17</w:t>
        </w:r>
        <w:r w:rsidR="0086358D">
          <w:rPr>
            <w:noProof/>
            <w:webHidden/>
          </w:rPr>
          <w:fldChar w:fldCharType="end"/>
        </w:r>
      </w:hyperlink>
    </w:p>
    <w:p w:rsidR="0086358D" w:rsidRDefault="005B044C" w:rsidP="008F7439">
      <w:pPr>
        <w:pStyle w:val="TOC2"/>
        <w:rPr>
          <w:rFonts w:asciiTheme="minorHAnsi" w:eastAsiaTheme="minorEastAsia" w:hAnsiTheme="minorHAnsi" w:cstheme="minorBidi"/>
          <w:noProof/>
          <w:sz w:val="22"/>
          <w:szCs w:val="22"/>
          <w:lang w:val="en-US" w:eastAsia="zh-CN"/>
        </w:rPr>
      </w:pPr>
      <w:hyperlink w:anchor="_Toc398277637" w:history="1">
        <w:r w:rsidR="0086358D" w:rsidRPr="00D569DE">
          <w:rPr>
            <w:rStyle w:val="Hyperlink"/>
            <w:noProof/>
            <w:lang w:val="fr-CH"/>
          </w:rPr>
          <w:t>Avantages du personnel à long terme</w:t>
        </w:r>
        <w:r w:rsidR="0086358D">
          <w:rPr>
            <w:noProof/>
            <w:webHidden/>
          </w:rPr>
          <w:tab/>
        </w:r>
        <w:r w:rsidR="0086358D">
          <w:rPr>
            <w:noProof/>
            <w:webHidden/>
          </w:rPr>
          <w:fldChar w:fldCharType="begin"/>
        </w:r>
        <w:r w:rsidR="0086358D">
          <w:rPr>
            <w:noProof/>
            <w:webHidden/>
          </w:rPr>
          <w:instrText xml:space="preserve"> PAGEREF _Toc398277637 \h </w:instrText>
        </w:r>
        <w:r w:rsidR="0086358D">
          <w:rPr>
            <w:noProof/>
            <w:webHidden/>
          </w:rPr>
        </w:r>
        <w:r w:rsidR="0086358D">
          <w:rPr>
            <w:noProof/>
            <w:webHidden/>
          </w:rPr>
          <w:fldChar w:fldCharType="separate"/>
        </w:r>
        <w:r w:rsidR="00CF0D16">
          <w:rPr>
            <w:noProof/>
            <w:webHidden/>
          </w:rPr>
          <w:t>17</w:t>
        </w:r>
        <w:r w:rsidR="0086358D">
          <w:rPr>
            <w:noProof/>
            <w:webHidden/>
          </w:rPr>
          <w:fldChar w:fldCharType="end"/>
        </w:r>
      </w:hyperlink>
    </w:p>
    <w:p w:rsidR="0086358D" w:rsidRDefault="005B044C" w:rsidP="008F7439">
      <w:pPr>
        <w:pStyle w:val="TOC2"/>
        <w:rPr>
          <w:rFonts w:asciiTheme="minorHAnsi" w:eastAsiaTheme="minorEastAsia" w:hAnsiTheme="minorHAnsi" w:cstheme="minorBidi"/>
          <w:noProof/>
          <w:sz w:val="22"/>
          <w:szCs w:val="22"/>
          <w:lang w:val="en-US" w:eastAsia="zh-CN"/>
        </w:rPr>
      </w:pPr>
      <w:hyperlink w:anchor="_Toc398277638" w:history="1">
        <w:r w:rsidR="0086358D" w:rsidRPr="00D569DE">
          <w:rPr>
            <w:rStyle w:val="Hyperlink"/>
            <w:noProof/>
            <w:lang w:val="fr-CH"/>
          </w:rPr>
          <w:t>Avantages du personnel: primes d'installation et de rapatriement</w:t>
        </w:r>
        <w:r w:rsidR="0086358D">
          <w:rPr>
            <w:noProof/>
            <w:webHidden/>
          </w:rPr>
          <w:tab/>
        </w:r>
        <w:r w:rsidR="0086358D">
          <w:rPr>
            <w:noProof/>
            <w:webHidden/>
          </w:rPr>
          <w:fldChar w:fldCharType="begin"/>
        </w:r>
        <w:r w:rsidR="0086358D">
          <w:rPr>
            <w:noProof/>
            <w:webHidden/>
          </w:rPr>
          <w:instrText xml:space="preserve"> PAGEREF _Toc398277638 \h </w:instrText>
        </w:r>
        <w:r w:rsidR="0086358D">
          <w:rPr>
            <w:noProof/>
            <w:webHidden/>
          </w:rPr>
        </w:r>
        <w:r w:rsidR="0086358D">
          <w:rPr>
            <w:noProof/>
            <w:webHidden/>
          </w:rPr>
          <w:fldChar w:fldCharType="separate"/>
        </w:r>
        <w:r w:rsidR="00CF0D16">
          <w:rPr>
            <w:noProof/>
            <w:webHidden/>
          </w:rPr>
          <w:t>18</w:t>
        </w:r>
        <w:r w:rsidR="0086358D">
          <w:rPr>
            <w:noProof/>
            <w:webHidden/>
          </w:rPr>
          <w:fldChar w:fldCharType="end"/>
        </w:r>
      </w:hyperlink>
    </w:p>
    <w:p w:rsidR="0086358D" w:rsidRDefault="005B044C" w:rsidP="008F7439">
      <w:pPr>
        <w:pStyle w:val="TOC2"/>
        <w:spacing w:before="80"/>
        <w:rPr>
          <w:rFonts w:asciiTheme="minorHAnsi" w:eastAsiaTheme="minorEastAsia" w:hAnsiTheme="minorHAnsi" w:cstheme="minorBidi"/>
          <w:noProof/>
          <w:sz w:val="22"/>
          <w:szCs w:val="22"/>
          <w:lang w:val="en-US" w:eastAsia="zh-CN"/>
        </w:rPr>
      </w:pPr>
      <w:hyperlink w:anchor="_Toc398277639" w:history="1">
        <w:r w:rsidR="0086358D" w:rsidRPr="00D569DE">
          <w:rPr>
            <w:rStyle w:val="Hyperlink"/>
            <w:noProof/>
            <w:lang w:val="fr-CH"/>
          </w:rPr>
          <w:t>Harmonisation des principales hypothèses</w:t>
        </w:r>
        <w:r w:rsidR="0086358D">
          <w:rPr>
            <w:noProof/>
            <w:webHidden/>
          </w:rPr>
          <w:tab/>
        </w:r>
        <w:r w:rsidR="0086358D">
          <w:rPr>
            <w:noProof/>
            <w:webHidden/>
          </w:rPr>
          <w:fldChar w:fldCharType="begin"/>
        </w:r>
        <w:r w:rsidR="0086358D">
          <w:rPr>
            <w:noProof/>
            <w:webHidden/>
          </w:rPr>
          <w:instrText xml:space="preserve"> PAGEREF _Toc398277639 \h </w:instrText>
        </w:r>
        <w:r w:rsidR="0086358D">
          <w:rPr>
            <w:noProof/>
            <w:webHidden/>
          </w:rPr>
        </w:r>
        <w:r w:rsidR="0086358D">
          <w:rPr>
            <w:noProof/>
            <w:webHidden/>
          </w:rPr>
          <w:fldChar w:fldCharType="separate"/>
        </w:r>
        <w:r w:rsidR="00CF0D16">
          <w:rPr>
            <w:noProof/>
            <w:webHidden/>
          </w:rPr>
          <w:t>18</w:t>
        </w:r>
        <w:r w:rsidR="0086358D">
          <w:rPr>
            <w:noProof/>
            <w:webHidden/>
          </w:rPr>
          <w:fldChar w:fldCharType="end"/>
        </w:r>
      </w:hyperlink>
    </w:p>
    <w:p w:rsidR="0086358D" w:rsidRDefault="005B044C" w:rsidP="008F7439">
      <w:pPr>
        <w:pStyle w:val="TOC2"/>
        <w:keepNext/>
        <w:keepLines/>
        <w:rPr>
          <w:noProof/>
        </w:rPr>
      </w:pPr>
      <w:hyperlink w:anchor="_Toc398277640" w:history="1">
        <w:r w:rsidR="0086358D" w:rsidRPr="00D569DE">
          <w:rPr>
            <w:rStyle w:val="Hyperlink"/>
            <w:noProof/>
            <w:lang w:val="fr-CH"/>
          </w:rPr>
          <w:t>Avantages du personnel: Assurance maladie après la cessation de service</w:t>
        </w:r>
        <w:r w:rsidR="0086358D">
          <w:rPr>
            <w:noProof/>
            <w:webHidden/>
          </w:rPr>
          <w:tab/>
        </w:r>
        <w:r w:rsidR="0086358D">
          <w:rPr>
            <w:noProof/>
            <w:webHidden/>
          </w:rPr>
          <w:fldChar w:fldCharType="begin"/>
        </w:r>
        <w:r w:rsidR="0086358D">
          <w:rPr>
            <w:noProof/>
            <w:webHidden/>
          </w:rPr>
          <w:instrText xml:space="preserve"> PAGEREF _Toc398277640 \h </w:instrText>
        </w:r>
        <w:r w:rsidR="0086358D">
          <w:rPr>
            <w:noProof/>
            <w:webHidden/>
          </w:rPr>
        </w:r>
        <w:r w:rsidR="0086358D">
          <w:rPr>
            <w:noProof/>
            <w:webHidden/>
          </w:rPr>
          <w:fldChar w:fldCharType="separate"/>
        </w:r>
        <w:r w:rsidR="00CF0D16">
          <w:rPr>
            <w:noProof/>
            <w:webHidden/>
          </w:rPr>
          <w:t>18</w:t>
        </w:r>
        <w:r w:rsidR="0086358D">
          <w:rPr>
            <w:noProof/>
            <w:webHidden/>
          </w:rPr>
          <w:fldChar w:fldCharType="end"/>
        </w:r>
      </w:hyperlink>
    </w:p>
    <w:p w:rsidR="001551E2" w:rsidRPr="001551E2" w:rsidRDefault="001551E2" w:rsidP="001551E2">
      <w:pPr>
        <w:pStyle w:val="TOC2"/>
        <w:ind w:left="0" w:firstLine="0"/>
        <w:rPr>
          <w:rStyle w:val="Hyperlink"/>
          <w:noProof/>
          <w:color w:val="auto"/>
          <w:u w:val="none"/>
          <w:lang w:val="fr-CH"/>
        </w:rPr>
      </w:pPr>
      <w:r w:rsidRPr="001551E2">
        <w:rPr>
          <w:rStyle w:val="Hyperlink"/>
          <w:noProof/>
          <w:color w:val="auto"/>
          <w:u w:val="none"/>
          <w:lang w:val="fr-CH"/>
        </w:rPr>
        <w:t xml:space="preserve">La santé financière est assurée à court terme mais des mesures correctives </w:t>
      </w:r>
      <w:r w:rsidRPr="001551E2">
        <w:rPr>
          <w:rStyle w:val="Hyperlink"/>
          <w:noProof/>
          <w:color w:val="auto"/>
          <w:u w:val="none"/>
          <w:lang w:val="fr-CH"/>
        </w:rPr>
        <w:br/>
        <w:t>devront être prises</w:t>
      </w:r>
      <w:r w:rsidRPr="001551E2">
        <w:rPr>
          <w:rStyle w:val="Hyperlink"/>
          <w:noProof/>
          <w:webHidden/>
          <w:color w:val="auto"/>
          <w:u w:val="none"/>
          <w:lang w:val="fr-CH"/>
        </w:rPr>
        <w:tab/>
        <w:t>19</w:t>
      </w:r>
    </w:p>
    <w:p w:rsidR="008F7439" w:rsidRPr="000C6ABF" w:rsidRDefault="008F7439" w:rsidP="008F7439">
      <w:pPr>
        <w:pStyle w:val="toc0"/>
        <w:tabs>
          <w:tab w:val="clear" w:pos="9781"/>
          <w:tab w:val="right" w:pos="9072"/>
        </w:tabs>
        <w:ind w:right="425"/>
        <w:rPr>
          <w:lang w:val="fr-CH"/>
        </w:rPr>
      </w:pPr>
      <w:r w:rsidRPr="000C6ABF">
        <w:rPr>
          <w:lang w:val="fr-CH"/>
        </w:rPr>
        <w:lastRenderedPageBreak/>
        <w:tab/>
        <w:t>Page</w:t>
      </w:r>
    </w:p>
    <w:p w:rsidR="0086358D" w:rsidRDefault="005B044C" w:rsidP="001551E2">
      <w:pPr>
        <w:pStyle w:val="TOC2"/>
        <w:rPr>
          <w:rFonts w:asciiTheme="minorHAnsi" w:eastAsiaTheme="minorEastAsia" w:hAnsiTheme="minorHAnsi" w:cstheme="minorBidi"/>
          <w:noProof/>
          <w:sz w:val="22"/>
          <w:szCs w:val="22"/>
          <w:lang w:val="en-US" w:eastAsia="zh-CN"/>
        </w:rPr>
      </w:pPr>
      <w:hyperlink w:anchor="_Toc398277642" w:history="1">
        <w:r w:rsidR="0086358D" w:rsidRPr="00D569DE">
          <w:rPr>
            <w:rStyle w:val="Hyperlink"/>
            <w:noProof/>
            <w:lang w:val="fr-CH"/>
          </w:rPr>
          <w:t>Autres solutions examinées et mises en ouvre</w:t>
        </w:r>
        <w:r w:rsidR="0086358D">
          <w:rPr>
            <w:noProof/>
            <w:webHidden/>
          </w:rPr>
          <w:tab/>
        </w:r>
        <w:r w:rsidR="0086358D">
          <w:rPr>
            <w:noProof/>
            <w:webHidden/>
          </w:rPr>
          <w:fldChar w:fldCharType="begin"/>
        </w:r>
        <w:r w:rsidR="0086358D">
          <w:rPr>
            <w:noProof/>
            <w:webHidden/>
          </w:rPr>
          <w:instrText xml:space="preserve"> PAGEREF _Toc398277642 \h </w:instrText>
        </w:r>
        <w:r w:rsidR="0086358D">
          <w:rPr>
            <w:noProof/>
            <w:webHidden/>
          </w:rPr>
        </w:r>
        <w:r w:rsidR="0086358D">
          <w:rPr>
            <w:noProof/>
            <w:webHidden/>
          </w:rPr>
          <w:fldChar w:fldCharType="separate"/>
        </w:r>
        <w:r w:rsidR="00CF0D16">
          <w:rPr>
            <w:noProof/>
            <w:webHidden/>
          </w:rPr>
          <w:t>20</w:t>
        </w:r>
        <w:r w:rsidR="0086358D">
          <w:rPr>
            <w:noProof/>
            <w:webHidden/>
          </w:rPr>
          <w:fldChar w:fldCharType="end"/>
        </w:r>
      </w:hyperlink>
    </w:p>
    <w:p w:rsidR="0086358D" w:rsidRPr="001551E2" w:rsidRDefault="005B044C" w:rsidP="001551E2">
      <w:pPr>
        <w:pStyle w:val="TOC2"/>
        <w:ind w:left="0" w:firstLine="0"/>
        <w:rPr>
          <w:rStyle w:val="Hyperlink"/>
          <w:lang w:val="fr-CH"/>
        </w:rPr>
      </w:pPr>
      <w:hyperlink w:anchor="_Toc398277643" w:history="1">
        <w:r w:rsidR="0086358D" w:rsidRPr="00D569DE">
          <w:rPr>
            <w:rStyle w:val="Hyperlink"/>
            <w:noProof/>
            <w:lang w:val="fr-CH"/>
          </w:rPr>
          <w:t xml:space="preserve">Audit de la Caisse par l'Institution suprême de contrôle des finances du Canada: </w:t>
        </w:r>
        <w:r w:rsidR="0086358D">
          <w:rPr>
            <w:rStyle w:val="Hyperlink"/>
            <w:noProof/>
            <w:lang w:val="fr-CH"/>
          </w:rPr>
          <w:br/>
        </w:r>
        <w:r w:rsidR="0086358D" w:rsidRPr="00D569DE">
          <w:rPr>
            <w:rStyle w:val="Hyperlink"/>
            <w:noProof/>
            <w:lang w:val="fr-CH"/>
          </w:rPr>
          <w:t>aucun problème majeur signalé</w:t>
        </w:r>
        <w:r w:rsidR="0086358D" w:rsidRPr="001551E2">
          <w:rPr>
            <w:rStyle w:val="Hyperlink"/>
            <w:webHidden/>
            <w:lang w:val="fr-CH"/>
          </w:rPr>
          <w:tab/>
        </w:r>
        <w:r w:rsidR="0086358D" w:rsidRPr="001551E2">
          <w:rPr>
            <w:rStyle w:val="Hyperlink"/>
            <w:webHidden/>
            <w:lang w:val="fr-CH"/>
          </w:rPr>
          <w:fldChar w:fldCharType="begin"/>
        </w:r>
        <w:r w:rsidR="0086358D" w:rsidRPr="001551E2">
          <w:rPr>
            <w:rStyle w:val="Hyperlink"/>
            <w:webHidden/>
            <w:lang w:val="fr-CH"/>
          </w:rPr>
          <w:instrText xml:space="preserve"> PAGEREF _Toc398277643 \h </w:instrText>
        </w:r>
        <w:r w:rsidR="0086358D" w:rsidRPr="001551E2">
          <w:rPr>
            <w:rStyle w:val="Hyperlink"/>
            <w:webHidden/>
            <w:lang w:val="fr-CH"/>
          </w:rPr>
        </w:r>
        <w:r w:rsidR="0086358D" w:rsidRPr="001551E2">
          <w:rPr>
            <w:rStyle w:val="Hyperlink"/>
            <w:webHidden/>
            <w:lang w:val="fr-CH"/>
          </w:rPr>
          <w:fldChar w:fldCharType="separate"/>
        </w:r>
        <w:r w:rsidR="00CF0D16" w:rsidRPr="001551E2">
          <w:rPr>
            <w:rStyle w:val="Hyperlink"/>
            <w:webHidden/>
            <w:lang w:val="fr-CH"/>
          </w:rPr>
          <w:t>21</w:t>
        </w:r>
        <w:r w:rsidR="0086358D" w:rsidRPr="001551E2">
          <w:rPr>
            <w:rStyle w:val="Hyperlink"/>
            <w:webHidden/>
            <w:lang w:val="fr-CH"/>
          </w:rPr>
          <w:fldChar w:fldCharType="end"/>
        </w:r>
      </w:hyperlink>
    </w:p>
    <w:p w:rsidR="0086358D" w:rsidRPr="001551E2" w:rsidRDefault="005B044C" w:rsidP="001551E2">
      <w:pPr>
        <w:pStyle w:val="TOC2"/>
        <w:ind w:left="0" w:firstLine="0"/>
        <w:rPr>
          <w:rStyle w:val="Hyperlink"/>
          <w:lang w:val="fr-CH"/>
        </w:rPr>
      </w:pPr>
      <w:hyperlink w:anchor="_Toc398277644" w:history="1">
        <w:r w:rsidR="0086358D" w:rsidRPr="00D569DE">
          <w:rPr>
            <w:rStyle w:val="Hyperlink"/>
            <w:noProof/>
            <w:lang w:val="fr-CH"/>
          </w:rPr>
          <w:t>Caisse d'assurance pour la protection de la santé du personnel: augmentation des remboursements des soins médicaux en 2013</w:t>
        </w:r>
        <w:r w:rsidR="0086358D" w:rsidRPr="001551E2">
          <w:rPr>
            <w:rStyle w:val="Hyperlink"/>
            <w:webHidden/>
            <w:lang w:val="fr-CH"/>
          </w:rPr>
          <w:tab/>
        </w:r>
        <w:r w:rsidR="0086358D" w:rsidRPr="001551E2">
          <w:rPr>
            <w:rStyle w:val="Hyperlink"/>
            <w:webHidden/>
            <w:lang w:val="fr-CH"/>
          </w:rPr>
          <w:fldChar w:fldCharType="begin"/>
        </w:r>
        <w:r w:rsidR="0086358D" w:rsidRPr="001551E2">
          <w:rPr>
            <w:rStyle w:val="Hyperlink"/>
            <w:webHidden/>
            <w:lang w:val="fr-CH"/>
          </w:rPr>
          <w:instrText xml:space="preserve"> PAGEREF _Toc398277644 \h </w:instrText>
        </w:r>
        <w:r w:rsidR="0086358D" w:rsidRPr="001551E2">
          <w:rPr>
            <w:rStyle w:val="Hyperlink"/>
            <w:webHidden/>
            <w:lang w:val="fr-CH"/>
          </w:rPr>
        </w:r>
        <w:r w:rsidR="0086358D" w:rsidRPr="001551E2">
          <w:rPr>
            <w:rStyle w:val="Hyperlink"/>
            <w:webHidden/>
            <w:lang w:val="fr-CH"/>
          </w:rPr>
          <w:fldChar w:fldCharType="separate"/>
        </w:r>
        <w:r w:rsidR="00CF0D16" w:rsidRPr="001551E2">
          <w:rPr>
            <w:rStyle w:val="Hyperlink"/>
            <w:webHidden/>
            <w:lang w:val="fr-CH"/>
          </w:rPr>
          <w:t>21</w:t>
        </w:r>
        <w:r w:rsidR="0086358D" w:rsidRPr="001551E2">
          <w:rPr>
            <w:rStyle w:val="Hyperlink"/>
            <w:webHidden/>
            <w:lang w:val="fr-CH"/>
          </w:rPr>
          <w:fldChar w:fldCharType="end"/>
        </w:r>
      </w:hyperlink>
    </w:p>
    <w:p w:rsidR="0086358D" w:rsidRDefault="005B044C" w:rsidP="008F7439">
      <w:pPr>
        <w:pStyle w:val="TOC2"/>
        <w:rPr>
          <w:rFonts w:asciiTheme="minorHAnsi" w:eastAsiaTheme="minorEastAsia" w:hAnsiTheme="minorHAnsi" w:cstheme="minorBidi"/>
          <w:noProof/>
          <w:sz w:val="22"/>
          <w:szCs w:val="22"/>
          <w:lang w:val="en-US" w:eastAsia="zh-CN"/>
        </w:rPr>
      </w:pPr>
      <w:hyperlink w:anchor="_Toc398277645" w:history="1">
        <w:r w:rsidR="0086358D" w:rsidRPr="00D569DE">
          <w:rPr>
            <w:rStyle w:val="Hyperlink"/>
            <w:noProof/>
            <w:lang w:val="fr-CH"/>
          </w:rPr>
          <w:t>Echantillonnage et collecte des documents</w:t>
        </w:r>
        <w:r w:rsidR="0086358D">
          <w:rPr>
            <w:noProof/>
            <w:webHidden/>
          </w:rPr>
          <w:tab/>
        </w:r>
        <w:r w:rsidR="0086358D">
          <w:rPr>
            <w:noProof/>
            <w:webHidden/>
          </w:rPr>
          <w:fldChar w:fldCharType="begin"/>
        </w:r>
        <w:r w:rsidR="0086358D">
          <w:rPr>
            <w:noProof/>
            <w:webHidden/>
          </w:rPr>
          <w:instrText xml:space="preserve"> PAGEREF _Toc398277645 \h </w:instrText>
        </w:r>
        <w:r w:rsidR="0086358D">
          <w:rPr>
            <w:noProof/>
            <w:webHidden/>
          </w:rPr>
        </w:r>
        <w:r w:rsidR="0086358D">
          <w:rPr>
            <w:noProof/>
            <w:webHidden/>
          </w:rPr>
          <w:fldChar w:fldCharType="separate"/>
        </w:r>
        <w:r w:rsidR="00CF0D16">
          <w:rPr>
            <w:noProof/>
            <w:webHidden/>
          </w:rPr>
          <w:t>21</w:t>
        </w:r>
        <w:r w:rsidR="0086358D">
          <w:rPr>
            <w:noProof/>
            <w:webHidden/>
          </w:rPr>
          <w:fldChar w:fldCharType="end"/>
        </w:r>
      </w:hyperlink>
    </w:p>
    <w:p w:rsidR="0086358D" w:rsidRDefault="005B044C" w:rsidP="008F7439">
      <w:pPr>
        <w:pStyle w:val="TOC2"/>
        <w:rPr>
          <w:rFonts w:asciiTheme="minorHAnsi" w:eastAsiaTheme="minorEastAsia" w:hAnsiTheme="minorHAnsi" w:cstheme="minorBidi"/>
          <w:noProof/>
          <w:sz w:val="22"/>
          <w:szCs w:val="22"/>
          <w:lang w:val="en-US" w:eastAsia="zh-CN"/>
        </w:rPr>
      </w:pPr>
      <w:hyperlink w:anchor="_Toc398277646" w:history="1">
        <w:r w:rsidR="0086358D" w:rsidRPr="00D569DE">
          <w:rPr>
            <w:rStyle w:val="Hyperlink"/>
            <w:noProof/>
            <w:lang w:val="fr-CH"/>
          </w:rPr>
          <w:t>Analyse statistique des remboursements</w:t>
        </w:r>
        <w:r w:rsidR="0086358D">
          <w:rPr>
            <w:noProof/>
            <w:webHidden/>
          </w:rPr>
          <w:tab/>
        </w:r>
        <w:r w:rsidR="0086358D">
          <w:rPr>
            <w:noProof/>
            <w:webHidden/>
          </w:rPr>
          <w:fldChar w:fldCharType="begin"/>
        </w:r>
        <w:r w:rsidR="0086358D">
          <w:rPr>
            <w:noProof/>
            <w:webHidden/>
          </w:rPr>
          <w:instrText xml:space="preserve"> PAGEREF _Toc398277646 \h </w:instrText>
        </w:r>
        <w:r w:rsidR="0086358D">
          <w:rPr>
            <w:noProof/>
            <w:webHidden/>
          </w:rPr>
        </w:r>
        <w:r w:rsidR="0086358D">
          <w:rPr>
            <w:noProof/>
            <w:webHidden/>
          </w:rPr>
          <w:fldChar w:fldCharType="separate"/>
        </w:r>
        <w:r w:rsidR="00CF0D16">
          <w:rPr>
            <w:noProof/>
            <w:webHidden/>
          </w:rPr>
          <w:t>22</w:t>
        </w:r>
        <w:r w:rsidR="0086358D">
          <w:rPr>
            <w:noProof/>
            <w:webHidden/>
          </w:rPr>
          <w:fldChar w:fldCharType="end"/>
        </w:r>
      </w:hyperlink>
    </w:p>
    <w:p w:rsidR="0086358D" w:rsidRDefault="005B044C" w:rsidP="008F7439">
      <w:pPr>
        <w:pStyle w:val="TOC2"/>
        <w:rPr>
          <w:rFonts w:asciiTheme="minorHAnsi" w:eastAsiaTheme="minorEastAsia" w:hAnsiTheme="minorHAnsi" w:cstheme="minorBidi"/>
          <w:noProof/>
          <w:sz w:val="22"/>
          <w:szCs w:val="22"/>
          <w:lang w:val="en-US" w:eastAsia="zh-CN"/>
        </w:rPr>
      </w:pPr>
      <w:hyperlink w:anchor="_Toc398277647" w:history="1">
        <w:r w:rsidR="0086358D" w:rsidRPr="00D569DE">
          <w:rPr>
            <w:rStyle w:val="Hyperlink"/>
            <w:noProof/>
            <w:lang w:val="fr-CH"/>
          </w:rPr>
          <w:t>Avantages du personnel: Retraites (ancienne Caisse)</w:t>
        </w:r>
        <w:r w:rsidR="0086358D">
          <w:rPr>
            <w:noProof/>
            <w:webHidden/>
          </w:rPr>
          <w:tab/>
        </w:r>
        <w:r w:rsidR="0086358D">
          <w:rPr>
            <w:noProof/>
            <w:webHidden/>
          </w:rPr>
          <w:fldChar w:fldCharType="begin"/>
        </w:r>
        <w:r w:rsidR="0086358D">
          <w:rPr>
            <w:noProof/>
            <w:webHidden/>
          </w:rPr>
          <w:instrText xml:space="preserve"> PAGEREF _Toc398277647 \h </w:instrText>
        </w:r>
        <w:r w:rsidR="0086358D">
          <w:rPr>
            <w:noProof/>
            <w:webHidden/>
          </w:rPr>
        </w:r>
        <w:r w:rsidR="0086358D">
          <w:rPr>
            <w:noProof/>
            <w:webHidden/>
          </w:rPr>
          <w:fldChar w:fldCharType="separate"/>
        </w:r>
        <w:r w:rsidR="00CF0D16">
          <w:rPr>
            <w:noProof/>
            <w:webHidden/>
          </w:rPr>
          <w:t>23</w:t>
        </w:r>
        <w:r w:rsidR="0086358D">
          <w:rPr>
            <w:noProof/>
            <w:webHidden/>
          </w:rPr>
          <w:fldChar w:fldCharType="end"/>
        </w:r>
      </w:hyperlink>
    </w:p>
    <w:p w:rsidR="0086358D" w:rsidRDefault="005B044C" w:rsidP="008F7439">
      <w:pPr>
        <w:pStyle w:val="TOC2"/>
        <w:rPr>
          <w:rFonts w:asciiTheme="minorHAnsi" w:eastAsiaTheme="minorEastAsia" w:hAnsiTheme="minorHAnsi" w:cstheme="minorBidi"/>
          <w:noProof/>
          <w:sz w:val="22"/>
          <w:szCs w:val="22"/>
          <w:lang w:val="en-US" w:eastAsia="zh-CN"/>
        </w:rPr>
      </w:pPr>
      <w:hyperlink w:anchor="_Toc398277648" w:history="1">
        <w:r w:rsidR="0086358D" w:rsidRPr="00D569DE">
          <w:rPr>
            <w:rStyle w:val="Hyperlink"/>
            <w:noProof/>
            <w:lang w:val="fr-CH"/>
          </w:rPr>
          <w:t>Actif net</w:t>
        </w:r>
        <w:r w:rsidR="0086358D">
          <w:rPr>
            <w:noProof/>
            <w:webHidden/>
          </w:rPr>
          <w:tab/>
        </w:r>
        <w:r w:rsidR="0086358D">
          <w:rPr>
            <w:noProof/>
            <w:webHidden/>
          </w:rPr>
          <w:tab/>
        </w:r>
        <w:r w:rsidR="0086358D">
          <w:rPr>
            <w:noProof/>
            <w:webHidden/>
          </w:rPr>
          <w:fldChar w:fldCharType="begin"/>
        </w:r>
        <w:r w:rsidR="0086358D">
          <w:rPr>
            <w:noProof/>
            <w:webHidden/>
          </w:rPr>
          <w:instrText xml:space="preserve"> PAGEREF _Toc398277648 \h </w:instrText>
        </w:r>
        <w:r w:rsidR="0086358D">
          <w:rPr>
            <w:noProof/>
            <w:webHidden/>
          </w:rPr>
        </w:r>
        <w:r w:rsidR="0086358D">
          <w:rPr>
            <w:noProof/>
            <w:webHidden/>
          </w:rPr>
          <w:fldChar w:fldCharType="separate"/>
        </w:r>
        <w:r w:rsidR="00CF0D16">
          <w:rPr>
            <w:noProof/>
            <w:webHidden/>
          </w:rPr>
          <w:t>23</w:t>
        </w:r>
        <w:r w:rsidR="0086358D">
          <w:rPr>
            <w:noProof/>
            <w:webHidden/>
          </w:rPr>
          <w:fldChar w:fldCharType="end"/>
        </w:r>
      </w:hyperlink>
    </w:p>
    <w:p w:rsidR="0086358D" w:rsidRDefault="005B044C" w:rsidP="008F7439">
      <w:pPr>
        <w:pStyle w:val="TOC1"/>
        <w:spacing w:before="120"/>
        <w:rPr>
          <w:rFonts w:asciiTheme="minorHAnsi" w:eastAsiaTheme="minorEastAsia" w:hAnsiTheme="minorHAnsi" w:cstheme="minorBidi"/>
          <w:noProof/>
          <w:sz w:val="22"/>
          <w:szCs w:val="22"/>
          <w:lang w:val="en-US" w:eastAsia="zh-CN"/>
        </w:rPr>
      </w:pPr>
      <w:hyperlink w:anchor="_Toc398277649" w:history="1">
        <w:r w:rsidR="008F7439" w:rsidRPr="00D569DE">
          <w:rPr>
            <w:rStyle w:val="Hyperlink"/>
            <w:noProof/>
            <w:lang w:val="fr-CH"/>
          </w:rPr>
          <w:t>CAISSE COMMUNE DES PENSIONS DU PERSONNEL DES NATIONS UNIES</w:t>
        </w:r>
        <w:r w:rsidR="0086358D">
          <w:rPr>
            <w:noProof/>
            <w:webHidden/>
          </w:rPr>
          <w:tab/>
        </w:r>
        <w:r w:rsidR="0086358D">
          <w:rPr>
            <w:noProof/>
            <w:webHidden/>
          </w:rPr>
          <w:fldChar w:fldCharType="begin"/>
        </w:r>
        <w:r w:rsidR="0086358D">
          <w:rPr>
            <w:noProof/>
            <w:webHidden/>
          </w:rPr>
          <w:instrText xml:space="preserve"> PAGEREF _Toc398277649 \h </w:instrText>
        </w:r>
        <w:r w:rsidR="0086358D">
          <w:rPr>
            <w:noProof/>
            <w:webHidden/>
          </w:rPr>
        </w:r>
        <w:r w:rsidR="0086358D">
          <w:rPr>
            <w:noProof/>
            <w:webHidden/>
          </w:rPr>
          <w:fldChar w:fldCharType="separate"/>
        </w:r>
        <w:r w:rsidR="00CF0D16">
          <w:rPr>
            <w:noProof/>
            <w:webHidden/>
          </w:rPr>
          <w:t>24</w:t>
        </w:r>
        <w:r w:rsidR="0086358D">
          <w:rPr>
            <w:noProof/>
            <w:webHidden/>
          </w:rPr>
          <w:fldChar w:fldCharType="end"/>
        </w:r>
      </w:hyperlink>
    </w:p>
    <w:p w:rsidR="0086358D" w:rsidRDefault="005B044C" w:rsidP="008F7439">
      <w:pPr>
        <w:pStyle w:val="TOC1"/>
        <w:spacing w:before="120"/>
        <w:rPr>
          <w:rFonts w:asciiTheme="minorHAnsi" w:eastAsiaTheme="minorEastAsia" w:hAnsiTheme="minorHAnsi" w:cstheme="minorBidi"/>
          <w:noProof/>
          <w:sz w:val="22"/>
          <w:szCs w:val="22"/>
          <w:lang w:val="en-US" w:eastAsia="zh-CN"/>
        </w:rPr>
      </w:pPr>
      <w:hyperlink w:anchor="_Toc398277650" w:history="1">
        <w:r w:rsidR="008F7439">
          <w:rPr>
            <w:rStyle w:val="Hyperlink"/>
            <w:noProof/>
            <w:lang w:val="fr-CH"/>
          </w:rPr>
          <w:t>E</w:t>
        </w:r>
        <w:r w:rsidR="0086358D" w:rsidRPr="00D569DE">
          <w:rPr>
            <w:rStyle w:val="Hyperlink"/>
            <w:noProof/>
            <w:lang w:val="fr-CH"/>
          </w:rPr>
          <w:t>TAT DE LA PERFORMANCE FINANCIÈRE 2012</w:t>
        </w:r>
        <w:r w:rsidR="0086358D">
          <w:rPr>
            <w:noProof/>
            <w:webHidden/>
          </w:rPr>
          <w:tab/>
        </w:r>
        <w:r w:rsidR="0086358D">
          <w:rPr>
            <w:noProof/>
            <w:webHidden/>
          </w:rPr>
          <w:fldChar w:fldCharType="begin"/>
        </w:r>
        <w:r w:rsidR="0086358D">
          <w:rPr>
            <w:noProof/>
            <w:webHidden/>
          </w:rPr>
          <w:instrText xml:space="preserve"> PAGEREF _Toc398277650 \h </w:instrText>
        </w:r>
        <w:r w:rsidR="0086358D">
          <w:rPr>
            <w:noProof/>
            <w:webHidden/>
          </w:rPr>
        </w:r>
        <w:r w:rsidR="0086358D">
          <w:rPr>
            <w:noProof/>
            <w:webHidden/>
          </w:rPr>
          <w:fldChar w:fldCharType="separate"/>
        </w:r>
        <w:r w:rsidR="00CF0D16">
          <w:rPr>
            <w:noProof/>
            <w:webHidden/>
          </w:rPr>
          <w:t>24</w:t>
        </w:r>
        <w:r w:rsidR="0086358D">
          <w:rPr>
            <w:noProof/>
            <w:webHidden/>
          </w:rPr>
          <w:fldChar w:fldCharType="end"/>
        </w:r>
      </w:hyperlink>
    </w:p>
    <w:p w:rsidR="0086358D" w:rsidRDefault="005B044C" w:rsidP="008F7439">
      <w:pPr>
        <w:pStyle w:val="TOC2"/>
        <w:rPr>
          <w:rFonts w:asciiTheme="minorHAnsi" w:eastAsiaTheme="minorEastAsia" w:hAnsiTheme="minorHAnsi" w:cstheme="minorBidi"/>
          <w:noProof/>
          <w:sz w:val="22"/>
          <w:szCs w:val="22"/>
          <w:lang w:val="en-US" w:eastAsia="zh-CN"/>
        </w:rPr>
      </w:pPr>
      <w:hyperlink w:anchor="_Toc398277651" w:history="1">
        <w:r w:rsidR="0086358D" w:rsidRPr="00D569DE">
          <w:rPr>
            <w:rStyle w:val="Hyperlink"/>
            <w:noProof/>
            <w:lang w:val="fr-CH"/>
          </w:rPr>
          <w:t>Produits et charges</w:t>
        </w:r>
        <w:r w:rsidR="0086358D">
          <w:rPr>
            <w:noProof/>
            <w:webHidden/>
          </w:rPr>
          <w:tab/>
        </w:r>
        <w:r w:rsidR="0086358D">
          <w:rPr>
            <w:noProof/>
            <w:webHidden/>
          </w:rPr>
          <w:fldChar w:fldCharType="begin"/>
        </w:r>
        <w:r w:rsidR="0086358D">
          <w:rPr>
            <w:noProof/>
            <w:webHidden/>
          </w:rPr>
          <w:instrText xml:space="preserve"> PAGEREF _Toc398277651 \h </w:instrText>
        </w:r>
        <w:r w:rsidR="0086358D">
          <w:rPr>
            <w:noProof/>
            <w:webHidden/>
          </w:rPr>
        </w:r>
        <w:r w:rsidR="0086358D">
          <w:rPr>
            <w:noProof/>
            <w:webHidden/>
          </w:rPr>
          <w:fldChar w:fldCharType="separate"/>
        </w:r>
        <w:r w:rsidR="00CF0D16">
          <w:rPr>
            <w:noProof/>
            <w:webHidden/>
          </w:rPr>
          <w:t>24</w:t>
        </w:r>
        <w:r w:rsidR="0086358D">
          <w:rPr>
            <w:noProof/>
            <w:webHidden/>
          </w:rPr>
          <w:fldChar w:fldCharType="end"/>
        </w:r>
      </w:hyperlink>
    </w:p>
    <w:p w:rsidR="0086358D" w:rsidRDefault="005B044C" w:rsidP="008F7439">
      <w:pPr>
        <w:pStyle w:val="TOC2"/>
        <w:rPr>
          <w:rFonts w:asciiTheme="minorHAnsi" w:eastAsiaTheme="minorEastAsia" w:hAnsiTheme="minorHAnsi" w:cstheme="minorBidi"/>
          <w:noProof/>
          <w:sz w:val="22"/>
          <w:szCs w:val="22"/>
          <w:lang w:val="en-US" w:eastAsia="zh-CN"/>
        </w:rPr>
      </w:pPr>
      <w:hyperlink w:anchor="_Toc398277652" w:history="1">
        <w:r w:rsidR="0086358D" w:rsidRPr="00D569DE">
          <w:rPr>
            <w:rStyle w:val="Hyperlink"/>
            <w:noProof/>
            <w:lang w:val="fr-CH"/>
          </w:rPr>
          <w:t>Informations sectorielles</w:t>
        </w:r>
        <w:r w:rsidR="0086358D">
          <w:rPr>
            <w:noProof/>
            <w:webHidden/>
          </w:rPr>
          <w:tab/>
        </w:r>
        <w:r w:rsidR="0086358D">
          <w:rPr>
            <w:noProof/>
            <w:webHidden/>
          </w:rPr>
          <w:fldChar w:fldCharType="begin"/>
        </w:r>
        <w:r w:rsidR="0086358D">
          <w:rPr>
            <w:noProof/>
            <w:webHidden/>
          </w:rPr>
          <w:instrText xml:space="preserve"> PAGEREF _Toc398277652 \h </w:instrText>
        </w:r>
        <w:r w:rsidR="0086358D">
          <w:rPr>
            <w:noProof/>
            <w:webHidden/>
          </w:rPr>
        </w:r>
        <w:r w:rsidR="0086358D">
          <w:rPr>
            <w:noProof/>
            <w:webHidden/>
          </w:rPr>
          <w:fldChar w:fldCharType="separate"/>
        </w:r>
        <w:r w:rsidR="00CF0D16">
          <w:rPr>
            <w:noProof/>
            <w:webHidden/>
          </w:rPr>
          <w:t>25</w:t>
        </w:r>
        <w:r w:rsidR="0086358D">
          <w:rPr>
            <w:noProof/>
            <w:webHidden/>
          </w:rPr>
          <w:fldChar w:fldCharType="end"/>
        </w:r>
      </w:hyperlink>
    </w:p>
    <w:p w:rsidR="0086358D" w:rsidRDefault="005B044C" w:rsidP="008F7439">
      <w:pPr>
        <w:pStyle w:val="TOC3"/>
        <w:rPr>
          <w:rFonts w:asciiTheme="minorHAnsi" w:eastAsiaTheme="minorEastAsia" w:hAnsiTheme="minorHAnsi" w:cstheme="minorBidi"/>
          <w:noProof/>
          <w:sz w:val="22"/>
          <w:szCs w:val="22"/>
          <w:lang w:val="en-US" w:eastAsia="zh-CN"/>
        </w:rPr>
      </w:pPr>
      <w:hyperlink w:anchor="_Toc398277653" w:history="1">
        <w:r w:rsidR="0086358D" w:rsidRPr="00D569DE">
          <w:rPr>
            <w:rStyle w:val="Hyperlink"/>
            <w:noProof/>
            <w:lang w:val="fr-CH"/>
          </w:rPr>
          <w:t>Numérisation des dossiers du personnel</w:t>
        </w:r>
        <w:r w:rsidR="0086358D">
          <w:rPr>
            <w:noProof/>
            <w:webHidden/>
          </w:rPr>
          <w:tab/>
        </w:r>
        <w:r w:rsidR="0086358D">
          <w:rPr>
            <w:noProof/>
            <w:webHidden/>
          </w:rPr>
          <w:fldChar w:fldCharType="begin"/>
        </w:r>
        <w:r w:rsidR="0086358D">
          <w:rPr>
            <w:noProof/>
            <w:webHidden/>
          </w:rPr>
          <w:instrText xml:space="preserve"> PAGEREF _Toc398277653 \h </w:instrText>
        </w:r>
        <w:r w:rsidR="0086358D">
          <w:rPr>
            <w:noProof/>
            <w:webHidden/>
          </w:rPr>
        </w:r>
        <w:r w:rsidR="0086358D">
          <w:rPr>
            <w:noProof/>
            <w:webHidden/>
          </w:rPr>
          <w:fldChar w:fldCharType="separate"/>
        </w:r>
        <w:r w:rsidR="00CF0D16">
          <w:rPr>
            <w:noProof/>
            <w:webHidden/>
          </w:rPr>
          <w:t>25</w:t>
        </w:r>
        <w:r w:rsidR="0086358D">
          <w:rPr>
            <w:noProof/>
            <w:webHidden/>
          </w:rPr>
          <w:fldChar w:fldCharType="end"/>
        </w:r>
      </w:hyperlink>
    </w:p>
    <w:p w:rsidR="0086358D" w:rsidRDefault="005B044C" w:rsidP="008F7439">
      <w:pPr>
        <w:pStyle w:val="TOC1"/>
        <w:spacing w:before="120"/>
        <w:rPr>
          <w:rFonts w:asciiTheme="minorHAnsi" w:eastAsiaTheme="minorEastAsia" w:hAnsiTheme="minorHAnsi" w:cstheme="minorBidi"/>
          <w:noProof/>
          <w:sz w:val="22"/>
          <w:szCs w:val="22"/>
          <w:lang w:val="en-US" w:eastAsia="zh-CN"/>
        </w:rPr>
      </w:pPr>
      <w:hyperlink w:anchor="_Toc398277654" w:history="1">
        <w:r w:rsidR="008F7439">
          <w:rPr>
            <w:rStyle w:val="Hyperlink"/>
            <w:noProof/>
            <w:lang w:val="fr-CH"/>
          </w:rPr>
          <w:t>E</w:t>
        </w:r>
        <w:r w:rsidR="0086358D" w:rsidRPr="00D569DE">
          <w:rPr>
            <w:rStyle w:val="Hyperlink"/>
            <w:noProof/>
            <w:lang w:val="fr-CH"/>
          </w:rPr>
          <w:t>TAT DES VARIATIONS DE L'ACTIF NET POUR L'EXERCICE CLOS LE 31 DÉCEMBRE 2012</w:t>
        </w:r>
        <w:r w:rsidR="0086358D">
          <w:rPr>
            <w:noProof/>
            <w:webHidden/>
          </w:rPr>
          <w:tab/>
        </w:r>
        <w:r w:rsidR="0086358D">
          <w:rPr>
            <w:noProof/>
            <w:webHidden/>
          </w:rPr>
          <w:fldChar w:fldCharType="begin"/>
        </w:r>
        <w:r w:rsidR="0086358D">
          <w:rPr>
            <w:noProof/>
            <w:webHidden/>
          </w:rPr>
          <w:instrText xml:space="preserve"> PAGEREF _Toc398277654 \h </w:instrText>
        </w:r>
        <w:r w:rsidR="0086358D">
          <w:rPr>
            <w:noProof/>
            <w:webHidden/>
          </w:rPr>
        </w:r>
        <w:r w:rsidR="0086358D">
          <w:rPr>
            <w:noProof/>
            <w:webHidden/>
          </w:rPr>
          <w:fldChar w:fldCharType="separate"/>
        </w:r>
        <w:r w:rsidR="00CF0D16">
          <w:rPr>
            <w:noProof/>
            <w:webHidden/>
          </w:rPr>
          <w:t>25</w:t>
        </w:r>
        <w:r w:rsidR="0086358D">
          <w:rPr>
            <w:noProof/>
            <w:webHidden/>
          </w:rPr>
          <w:fldChar w:fldCharType="end"/>
        </w:r>
      </w:hyperlink>
    </w:p>
    <w:p w:rsidR="0086358D" w:rsidRPr="001551E2" w:rsidRDefault="005B044C" w:rsidP="001551E2">
      <w:pPr>
        <w:pStyle w:val="TOC1"/>
        <w:spacing w:before="120"/>
        <w:ind w:left="0" w:firstLine="0"/>
        <w:rPr>
          <w:rStyle w:val="Hyperlink"/>
          <w:lang w:val="fr-CH"/>
        </w:rPr>
      </w:pPr>
      <w:hyperlink w:anchor="_Toc398277655" w:history="1">
        <w:r w:rsidR="0086358D" w:rsidRPr="00D569DE">
          <w:rPr>
            <w:rStyle w:val="Hyperlink"/>
            <w:noProof/>
            <w:lang w:val="fr-CH"/>
          </w:rPr>
          <w:t>COMPARAISON DES MONTANTS BUDGÉTISÉS ET DES MONTANTS EFFECTIFS</w:t>
        </w:r>
        <w:r w:rsidR="001551E2">
          <w:rPr>
            <w:rStyle w:val="Hyperlink"/>
            <w:noProof/>
            <w:lang w:val="fr-CH"/>
          </w:rPr>
          <w:br/>
        </w:r>
        <w:r w:rsidR="0086358D" w:rsidRPr="00D569DE">
          <w:rPr>
            <w:rStyle w:val="Hyperlink"/>
            <w:noProof/>
            <w:lang w:val="fr-CH"/>
          </w:rPr>
          <w:t>POUR L'EXERCICE 2012</w:t>
        </w:r>
        <w:r w:rsidR="0086358D">
          <w:rPr>
            <w:rStyle w:val="Hyperlink"/>
            <w:noProof/>
            <w:lang w:val="fr-CH"/>
          </w:rPr>
          <w:tab/>
        </w:r>
        <w:r w:rsidR="0086358D" w:rsidRPr="001551E2">
          <w:rPr>
            <w:rStyle w:val="Hyperlink"/>
            <w:webHidden/>
            <w:lang w:val="fr-CH"/>
          </w:rPr>
          <w:fldChar w:fldCharType="begin"/>
        </w:r>
        <w:r w:rsidR="0086358D" w:rsidRPr="001551E2">
          <w:rPr>
            <w:rStyle w:val="Hyperlink"/>
            <w:webHidden/>
            <w:lang w:val="fr-CH"/>
          </w:rPr>
          <w:instrText xml:space="preserve"> PAGEREF _Toc398277655 \h </w:instrText>
        </w:r>
        <w:r w:rsidR="0086358D" w:rsidRPr="001551E2">
          <w:rPr>
            <w:rStyle w:val="Hyperlink"/>
            <w:webHidden/>
            <w:lang w:val="fr-CH"/>
          </w:rPr>
        </w:r>
        <w:r w:rsidR="0086358D" w:rsidRPr="001551E2">
          <w:rPr>
            <w:rStyle w:val="Hyperlink"/>
            <w:webHidden/>
            <w:lang w:val="fr-CH"/>
          </w:rPr>
          <w:fldChar w:fldCharType="separate"/>
        </w:r>
        <w:r w:rsidR="00CF0D16" w:rsidRPr="001551E2">
          <w:rPr>
            <w:rStyle w:val="Hyperlink"/>
            <w:webHidden/>
            <w:lang w:val="fr-CH"/>
          </w:rPr>
          <w:t>26</w:t>
        </w:r>
        <w:r w:rsidR="0086358D" w:rsidRPr="001551E2">
          <w:rPr>
            <w:rStyle w:val="Hyperlink"/>
            <w:webHidden/>
            <w:lang w:val="fr-CH"/>
          </w:rPr>
          <w:fldChar w:fldCharType="end"/>
        </w:r>
      </w:hyperlink>
    </w:p>
    <w:p w:rsidR="0086358D" w:rsidRDefault="005B044C" w:rsidP="008F7439">
      <w:pPr>
        <w:pStyle w:val="TOC1"/>
        <w:spacing w:before="120"/>
        <w:rPr>
          <w:rFonts w:asciiTheme="minorHAnsi" w:eastAsiaTheme="minorEastAsia" w:hAnsiTheme="minorHAnsi" w:cstheme="minorBidi"/>
          <w:noProof/>
          <w:sz w:val="22"/>
          <w:szCs w:val="22"/>
          <w:lang w:val="en-US" w:eastAsia="zh-CN"/>
        </w:rPr>
      </w:pPr>
      <w:hyperlink w:anchor="_Toc398277656" w:history="1">
        <w:r w:rsidR="0086358D" w:rsidRPr="00D569DE">
          <w:rPr>
            <w:rStyle w:val="Hyperlink"/>
            <w:noProof/>
            <w:lang w:val="fr-CH"/>
          </w:rPr>
          <w:t>TABLEAU DES FLUX DE TRÉSORERIE DE L'EXERCICE CLOS LE 31 DÉCEMBRE 2013</w:t>
        </w:r>
        <w:r w:rsidR="0086358D">
          <w:rPr>
            <w:noProof/>
            <w:webHidden/>
          </w:rPr>
          <w:tab/>
        </w:r>
        <w:r w:rsidR="0086358D">
          <w:rPr>
            <w:noProof/>
            <w:webHidden/>
          </w:rPr>
          <w:fldChar w:fldCharType="begin"/>
        </w:r>
        <w:r w:rsidR="0086358D">
          <w:rPr>
            <w:noProof/>
            <w:webHidden/>
          </w:rPr>
          <w:instrText xml:space="preserve"> PAGEREF _Toc398277656 \h </w:instrText>
        </w:r>
        <w:r w:rsidR="0086358D">
          <w:rPr>
            <w:noProof/>
            <w:webHidden/>
          </w:rPr>
        </w:r>
        <w:r w:rsidR="0086358D">
          <w:rPr>
            <w:noProof/>
            <w:webHidden/>
          </w:rPr>
          <w:fldChar w:fldCharType="separate"/>
        </w:r>
        <w:r w:rsidR="00CF0D16">
          <w:rPr>
            <w:noProof/>
            <w:webHidden/>
          </w:rPr>
          <w:t>26</w:t>
        </w:r>
        <w:r w:rsidR="0086358D">
          <w:rPr>
            <w:noProof/>
            <w:webHidden/>
          </w:rPr>
          <w:fldChar w:fldCharType="end"/>
        </w:r>
      </w:hyperlink>
    </w:p>
    <w:p w:rsidR="0086358D" w:rsidRDefault="005B044C" w:rsidP="008F7439">
      <w:pPr>
        <w:pStyle w:val="TOC1"/>
        <w:spacing w:before="120"/>
        <w:rPr>
          <w:rFonts w:asciiTheme="minorHAnsi" w:eastAsiaTheme="minorEastAsia" w:hAnsiTheme="minorHAnsi" w:cstheme="minorBidi"/>
          <w:noProof/>
          <w:sz w:val="22"/>
          <w:szCs w:val="22"/>
          <w:lang w:val="en-US" w:eastAsia="zh-CN"/>
        </w:rPr>
      </w:pPr>
      <w:hyperlink w:anchor="_Toc398277657" w:history="1">
        <w:r w:rsidR="0086358D" w:rsidRPr="00D569DE">
          <w:rPr>
            <w:rStyle w:val="Hyperlink"/>
            <w:noProof/>
            <w:lang w:val="fr-CH"/>
          </w:rPr>
          <w:t>CAISSE D'ASSURANCE DU PERSONNEL</w:t>
        </w:r>
        <w:r w:rsidR="0086358D">
          <w:rPr>
            <w:noProof/>
            <w:webHidden/>
          </w:rPr>
          <w:tab/>
        </w:r>
        <w:r w:rsidR="0086358D">
          <w:rPr>
            <w:noProof/>
            <w:webHidden/>
          </w:rPr>
          <w:fldChar w:fldCharType="begin"/>
        </w:r>
        <w:r w:rsidR="0086358D">
          <w:rPr>
            <w:noProof/>
            <w:webHidden/>
          </w:rPr>
          <w:instrText xml:space="preserve"> PAGEREF _Toc398277657 \h </w:instrText>
        </w:r>
        <w:r w:rsidR="0086358D">
          <w:rPr>
            <w:noProof/>
            <w:webHidden/>
          </w:rPr>
        </w:r>
        <w:r w:rsidR="0086358D">
          <w:rPr>
            <w:noProof/>
            <w:webHidden/>
          </w:rPr>
          <w:fldChar w:fldCharType="separate"/>
        </w:r>
        <w:r w:rsidR="00CF0D16">
          <w:rPr>
            <w:noProof/>
            <w:webHidden/>
          </w:rPr>
          <w:t>26</w:t>
        </w:r>
        <w:r w:rsidR="0086358D">
          <w:rPr>
            <w:noProof/>
            <w:webHidden/>
          </w:rPr>
          <w:fldChar w:fldCharType="end"/>
        </w:r>
      </w:hyperlink>
    </w:p>
    <w:p w:rsidR="0086358D" w:rsidRPr="001551E2" w:rsidRDefault="005B044C" w:rsidP="001551E2">
      <w:pPr>
        <w:pStyle w:val="TOC1"/>
        <w:spacing w:before="120"/>
        <w:ind w:left="0" w:firstLine="0"/>
        <w:rPr>
          <w:rStyle w:val="Hyperlink"/>
          <w:lang w:val="fr-CH"/>
        </w:rPr>
      </w:pPr>
      <w:hyperlink w:anchor="_Toc398277658" w:history="1">
        <w:r w:rsidR="0086358D" w:rsidRPr="00D569DE">
          <w:rPr>
            <w:rStyle w:val="Hyperlink"/>
            <w:noProof/>
            <w:lang w:val="fr-CH"/>
          </w:rPr>
          <w:t xml:space="preserve">PROGRAMME DES NATIONS UNIES POUR LE DÉVELOPPEMENT (PNUD), </w:t>
        </w:r>
        <w:r w:rsidR="001551E2">
          <w:rPr>
            <w:rStyle w:val="Hyperlink"/>
            <w:noProof/>
            <w:lang w:val="fr-CH"/>
          </w:rPr>
          <w:br/>
        </w:r>
        <w:r w:rsidR="0086358D" w:rsidRPr="00D569DE">
          <w:rPr>
            <w:rStyle w:val="Hyperlink"/>
            <w:noProof/>
            <w:lang w:val="fr-CH"/>
          </w:rPr>
          <w:t>FD-TIC ET FONDS D'AFFECTATION SPÉCIALE</w:t>
        </w:r>
        <w:r w:rsidR="0086358D" w:rsidRPr="001551E2">
          <w:rPr>
            <w:rStyle w:val="Hyperlink"/>
            <w:webHidden/>
            <w:lang w:val="fr-CH"/>
          </w:rPr>
          <w:tab/>
        </w:r>
        <w:r w:rsidR="0086358D" w:rsidRPr="001551E2">
          <w:rPr>
            <w:rStyle w:val="Hyperlink"/>
            <w:webHidden/>
            <w:lang w:val="fr-CH"/>
          </w:rPr>
          <w:fldChar w:fldCharType="begin"/>
        </w:r>
        <w:r w:rsidR="0086358D" w:rsidRPr="001551E2">
          <w:rPr>
            <w:rStyle w:val="Hyperlink"/>
            <w:webHidden/>
            <w:lang w:val="fr-CH"/>
          </w:rPr>
          <w:instrText xml:space="preserve"> PAGEREF _Toc398277658 \h </w:instrText>
        </w:r>
        <w:r w:rsidR="0086358D" w:rsidRPr="001551E2">
          <w:rPr>
            <w:rStyle w:val="Hyperlink"/>
            <w:webHidden/>
            <w:lang w:val="fr-CH"/>
          </w:rPr>
        </w:r>
        <w:r w:rsidR="0086358D" w:rsidRPr="001551E2">
          <w:rPr>
            <w:rStyle w:val="Hyperlink"/>
            <w:webHidden/>
            <w:lang w:val="fr-CH"/>
          </w:rPr>
          <w:fldChar w:fldCharType="separate"/>
        </w:r>
        <w:r w:rsidR="00CF0D16" w:rsidRPr="001551E2">
          <w:rPr>
            <w:rStyle w:val="Hyperlink"/>
            <w:webHidden/>
            <w:lang w:val="fr-CH"/>
          </w:rPr>
          <w:t>27</w:t>
        </w:r>
        <w:r w:rsidR="0086358D" w:rsidRPr="001551E2">
          <w:rPr>
            <w:rStyle w:val="Hyperlink"/>
            <w:webHidden/>
            <w:lang w:val="fr-CH"/>
          </w:rPr>
          <w:fldChar w:fldCharType="end"/>
        </w:r>
      </w:hyperlink>
    </w:p>
    <w:p w:rsidR="0086358D" w:rsidRDefault="005B044C" w:rsidP="008F7439">
      <w:pPr>
        <w:pStyle w:val="TOC1"/>
        <w:spacing w:before="120"/>
        <w:rPr>
          <w:rFonts w:asciiTheme="minorHAnsi" w:eastAsiaTheme="minorEastAsia" w:hAnsiTheme="minorHAnsi" w:cstheme="minorBidi"/>
          <w:noProof/>
          <w:sz w:val="22"/>
          <w:szCs w:val="22"/>
          <w:lang w:val="en-US" w:eastAsia="zh-CN"/>
        </w:rPr>
      </w:pPr>
      <w:hyperlink w:anchor="_Toc398277659" w:history="1">
        <w:r w:rsidR="001551E2">
          <w:rPr>
            <w:rStyle w:val="Hyperlink"/>
            <w:noProof/>
            <w:lang w:val="fr-CH"/>
          </w:rPr>
          <w:t>E</w:t>
        </w:r>
        <w:r w:rsidR="001551E2" w:rsidRPr="00D569DE">
          <w:rPr>
            <w:rStyle w:val="Hyperlink"/>
            <w:noProof/>
            <w:lang w:val="fr-CH"/>
          </w:rPr>
          <w:t>VALUATION DE L'UNITÉ D'AUDIT INTERNE</w:t>
        </w:r>
        <w:r w:rsidR="0086358D">
          <w:rPr>
            <w:noProof/>
            <w:webHidden/>
          </w:rPr>
          <w:tab/>
        </w:r>
        <w:r w:rsidR="0086358D">
          <w:rPr>
            <w:noProof/>
            <w:webHidden/>
          </w:rPr>
          <w:fldChar w:fldCharType="begin"/>
        </w:r>
        <w:r w:rsidR="0086358D">
          <w:rPr>
            <w:noProof/>
            <w:webHidden/>
          </w:rPr>
          <w:instrText xml:space="preserve"> PAGEREF _Toc398277659 \h </w:instrText>
        </w:r>
        <w:r w:rsidR="0086358D">
          <w:rPr>
            <w:noProof/>
            <w:webHidden/>
          </w:rPr>
        </w:r>
        <w:r w:rsidR="0086358D">
          <w:rPr>
            <w:noProof/>
            <w:webHidden/>
          </w:rPr>
          <w:fldChar w:fldCharType="separate"/>
        </w:r>
        <w:r w:rsidR="00CF0D16">
          <w:rPr>
            <w:noProof/>
            <w:webHidden/>
          </w:rPr>
          <w:t>28</w:t>
        </w:r>
        <w:r w:rsidR="0086358D">
          <w:rPr>
            <w:noProof/>
            <w:webHidden/>
          </w:rPr>
          <w:fldChar w:fldCharType="end"/>
        </w:r>
      </w:hyperlink>
    </w:p>
    <w:p w:rsidR="0086358D" w:rsidRDefault="005B044C" w:rsidP="008F7439">
      <w:pPr>
        <w:pStyle w:val="TOC2"/>
        <w:rPr>
          <w:rFonts w:asciiTheme="minorHAnsi" w:eastAsiaTheme="minorEastAsia" w:hAnsiTheme="minorHAnsi" w:cstheme="minorBidi"/>
          <w:noProof/>
          <w:sz w:val="22"/>
          <w:szCs w:val="22"/>
          <w:lang w:val="en-US" w:eastAsia="zh-CN"/>
        </w:rPr>
      </w:pPr>
      <w:hyperlink w:anchor="_Toc398277660" w:history="1">
        <w:r w:rsidR="0086358D" w:rsidRPr="00D569DE">
          <w:rPr>
            <w:rStyle w:val="Hyperlink"/>
            <w:noProof/>
            <w:lang w:val="fr-CH"/>
          </w:rPr>
          <w:t>Absence de plan d'audit pluriannuel</w:t>
        </w:r>
        <w:r w:rsidR="0086358D">
          <w:rPr>
            <w:noProof/>
            <w:webHidden/>
          </w:rPr>
          <w:tab/>
        </w:r>
        <w:r w:rsidR="0086358D">
          <w:rPr>
            <w:noProof/>
            <w:webHidden/>
          </w:rPr>
          <w:fldChar w:fldCharType="begin"/>
        </w:r>
        <w:r w:rsidR="0086358D">
          <w:rPr>
            <w:noProof/>
            <w:webHidden/>
          </w:rPr>
          <w:instrText xml:space="preserve"> PAGEREF _Toc398277660 \h </w:instrText>
        </w:r>
        <w:r w:rsidR="0086358D">
          <w:rPr>
            <w:noProof/>
            <w:webHidden/>
          </w:rPr>
        </w:r>
        <w:r w:rsidR="0086358D">
          <w:rPr>
            <w:noProof/>
            <w:webHidden/>
          </w:rPr>
          <w:fldChar w:fldCharType="separate"/>
        </w:r>
        <w:r w:rsidR="00CF0D16">
          <w:rPr>
            <w:noProof/>
            <w:webHidden/>
          </w:rPr>
          <w:t>30</w:t>
        </w:r>
        <w:r w:rsidR="0086358D">
          <w:rPr>
            <w:noProof/>
            <w:webHidden/>
          </w:rPr>
          <w:fldChar w:fldCharType="end"/>
        </w:r>
      </w:hyperlink>
    </w:p>
    <w:p w:rsidR="0086358D" w:rsidRDefault="005B044C" w:rsidP="008F7439">
      <w:pPr>
        <w:tabs>
          <w:tab w:val="left" w:pos="8789"/>
        </w:tabs>
        <w:rPr>
          <w:rFonts w:asciiTheme="minorHAnsi" w:eastAsiaTheme="minorEastAsia" w:hAnsiTheme="minorHAnsi" w:cstheme="minorBidi"/>
          <w:noProof/>
          <w:sz w:val="22"/>
          <w:szCs w:val="22"/>
          <w:lang w:val="en-US" w:eastAsia="zh-CN"/>
        </w:rPr>
      </w:pPr>
      <w:hyperlink w:anchor="_Toc398277661" w:history="1">
        <w:r w:rsidR="0086358D" w:rsidRPr="00D569DE">
          <w:rPr>
            <w:rStyle w:val="Hyperlink"/>
            <w:noProof/>
            <w:lang w:val="fr-CH"/>
          </w:rPr>
          <w:t>Même si la politique de gestion des risques d'entreprise (ERM) n'a pas</w:t>
        </w:r>
        <w:r w:rsidR="00775718">
          <w:rPr>
            <w:rStyle w:val="Hyperlink"/>
            <w:noProof/>
            <w:lang w:val="fr-CH"/>
          </w:rPr>
          <w:br/>
        </w:r>
        <w:r w:rsidR="0086358D" w:rsidRPr="00D569DE">
          <w:rPr>
            <w:rStyle w:val="Hyperlink"/>
            <w:noProof/>
            <w:lang w:val="fr-CH"/>
          </w:rPr>
          <w:t>encore été mise en œuvre, un plan basé sur les risques est nécessaire.</w:t>
        </w:r>
        <w:r w:rsidR="0086358D">
          <w:rPr>
            <w:noProof/>
            <w:webHidden/>
          </w:rPr>
          <w:tab/>
        </w:r>
        <w:r w:rsidR="0086358D">
          <w:rPr>
            <w:noProof/>
            <w:webHidden/>
          </w:rPr>
          <w:fldChar w:fldCharType="begin"/>
        </w:r>
        <w:r w:rsidR="0086358D">
          <w:rPr>
            <w:noProof/>
            <w:webHidden/>
          </w:rPr>
          <w:instrText xml:space="preserve"> PAGEREF _Toc398277661 \h </w:instrText>
        </w:r>
        <w:r w:rsidR="0086358D">
          <w:rPr>
            <w:noProof/>
            <w:webHidden/>
          </w:rPr>
        </w:r>
        <w:r w:rsidR="0086358D">
          <w:rPr>
            <w:noProof/>
            <w:webHidden/>
          </w:rPr>
          <w:fldChar w:fldCharType="separate"/>
        </w:r>
        <w:r w:rsidR="00CF0D16">
          <w:rPr>
            <w:noProof/>
            <w:webHidden/>
          </w:rPr>
          <w:t>31</w:t>
        </w:r>
        <w:r w:rsidR="0086358D">
          <w:rPr>
            <w:noProof/>
            <w:webHidden/>
          </w:rPr>
          <w:fldChar w:fldCharType="end"/>
        </w:r>
      </w:hyperlink>
    </w:p>
    <w:p w:rsidR="0086358D" w:rsidRDefault="005B044C" w:rsidP="001551E2">
      <w:pPr>
        <w:pStyle w:val="TOC2"/>
        <w:spacing w:before="80"/>
        <w:rPr>
          <w:rFonts w:asciiTheme="minorHAnsi" w:eastAsiaTheme="minorEastAsia" w:hAnsiTheme="minorHAnsi" w:cstheme="minorBidi"/>
          <w:noProof/>
          <w:sz w:val="22"/>
          <w:szCs w:val="22"/>
          <w:lang w:val="en-US" w:eastAsia="zh-CN"/>
        </w:rPr>
      </w:pPr>
      <w:hyperlink w:anchor="_Toc398277662" w:history="1">
        <w:r w:rsidR="0086358D" w:rsidRPr="00D569DE">
          <w:rPr>
            <w:rStyle w:val="Hyperlink"/>
            <w:noProof/>
            <w:lang w:val="fr-CH"/>
          </w:rPr>
          <w:t>Le plan de travail annuel couvre-t-il suffisamment tous les risques?</w:t>
        </w:r>
        <w:r w:rsidR="0086358D">
          <w:rPr>
            <w:noProof/>
            <w:webHidden/>
          </w:rPr>
          <w:tab/>
        </w:r>
        <w:r w:rsidR="0086358D">
          <w:rPr>
            <w:noProof/>
            <w:webHidden/>
          </w:rPr>
          <w:fldChar w:fldCharType="begin"/>
        </w:r>
        <w:r w:rsidR="0086358D">
          <w:rPr>
            <w:noProof/>
            <w:webHidden/>
          </w:rPr>
          <w:instrText xml:space="preserve"> PAGEREF _Toc398277662 \h </w:instrText>
        </w:r>
        <w:r w:rsidR="0086358D">
          <w:rPr>
            <w:noProof/>
            <w:webHidden/>
          </w:rPr>
        </w:r>
        <w:r w:rsidR="0086358D">
          <w:rPr>
            <w:noProof/>
            <w:webHidden/>
          </w:rPr>
          <w:fldChar w:fldCharType="separate"/>
        </w:r>
        <w:r w:rsidR="00CF0D16">
          <w:rPr>
            <w:noProof/>
            <w:webHidden/>
          </w:rPr>
          <w:t>31</w:t>
        </w:r>
        <w:r w:rsidR="0086358D">
          <w:rPr>
            <w:noProof/>
            <w:webHidden/>
          </w:rPr>
          <w:fldChar w:fldCharType="end"/>
        </w:r>
      </w:hyperlink>
    </w:p>
    <w:p w:rsidR="0086358D" w:rsidRDefault="005B044C" w:rsidP="001551E2">
      <w:pPr>
        <w:pStyle w:val="TOC2"/>
        <w:spacing w:before="80"/>
        <w:rPr>
          <w:rFonts w:asciiTheme="minorHAnsi" w:eastAsiaTheme="minorEastAsia" w:hAnsiTheme="minorHAnsi" w:cstheme="minorBidi"/>
          <w:noProof/>
          <w:sz w:val="22"/>
          <w:szCs w:val="22"/>
          <w:lang w:val="en-US" w:eastAsia="zh-CN"/>
        </w:rPr>
      </w:pPr>
      <w:hyperlink w:anchor="_Toc398277663" w:history="1">
        <w:r w:rsidR="0086358D" w:rsidRPr="00D569DE">
          <w:rPr>
            <w:rStyle w:val="Hyperlink"/>
            <w:noProof/>
            <w:lang w:val="fr-CH"/>
          </w:rPr>
          <w:t>Les ressources de l'Unité de l'audit interne sont-elles suffisantes?</w:t>
        </w:r>
        <w:r w:rsidR="0086358D">
          <w:rPr>
            <w:noProof/>
            <w:webHidden/>
          </w:rPr>
          <w:tab/>
        </w:r>
        <w:r w:rsidR="0086358D">
          <w:rPr>
            <w:noProof/>
            <w:webHidden/>
          </w:rPr>
          <w:fldChar w:fldCharType="begin"/>
        </w:r>
        <w:r w:rsidR="0086358D">
          <w:rPr>
            <w:noProof/>
            <w:webHidden/>
          </w:rPr>
          <w:instrText xml:space="preserve"> PAGEREF _Toc398277663 \h </w:instrText>
        </w:r>
        <w:r w:rsidR="0086358D">
          <w:rPr>
            <w:noProof/>
            <w:webHidden/>
          </w:rPr>
        </w:r>
        <w:r w:rsidR="0086358D">
          <w:rPr>
            <w:noProof/>
            <w:webHidden/>
          </w:rPr>
          <w:fldChar w:fldCharType="separate"/>
        </w:r>
        <w:r w:rsidR="00CF0D16">
          <w:rPr>
            <w:noProof/>
            <w:webHidden/>
          </w:rPr>
          <w:t>33</w:t>
        </w:r>
        <w:r w:rsidR="0086358D">
          <w:rPr>
            <w:noProof/>
            <w:webHidden/>
          </w:rPr>
          <w:fldChar w:fldCharType="end"/>
        </w:r>
      </w:hyperlink>
    </w:p>
    <w:p w:rsidR="0086358D" w:rsidRDefault="005B044C" w:rsidP="001551E2">
      <w:pPr>
        <w:pStyle w:val="TOC2"/>
        <w:spacing w:before="80"/>
        <w:rPr>
          <w:rFonts w:asciiTheme="minorHAnsi" w:eastAsiaTheme="minorEastAsia" w:hAnsiTheme="minorHAnsi" w:cstheme="minorBidi"/>
          <w:noProof/>
          <w:sz w:val="22"/>
          <w:szCs w:val="22"/>
          <w:lang w:val="en-US" w:eastAsia="zh-CN"/>
        </w:rPr>
      </w:pPr>
      <w:hyperlink w:anchor="_Toc398277664" w:history="1">
        <w:r w:rsidR="0086358D" w:rsidRPr="00D569DE">
          <w:rPr>
            <w:rStyle w:val="Hyperlink"/>
            <w:noProof/>
            <w:lang w:val="fr-CH"/>
          </w:rPr>
          <w:t>Autonomie et indépendance de l'Auditeur interne</w:t>
        </w:r>
        <w:r w:rsidR="0086358D">
          <w:rPr>
            <w:noProof/>
            <w:webHidden/>
          </w:rPr>
          <w:tab/>
        </w:r>
        <w:r w:rsidR="0086358D">
          <w:rPr>
            <w:noProof/>
            <w:webHidden/>
          </w:rPr>
          <w:fldChar w:fldCharType="begin"/>
        </w:r>
        <w:r w:rsidR="0086358D">
          <w:rPr>
            <w:noProof/>
            <w:webHidden/>
          </w:rPr>
          <w:instrText xml:space="preserve"> PAGEREF _Toc398277664 \h </w:instrText>
        </w:r>
        <w:r w:rsidR="0086358D">
          <w:rPr>
            <w:noProof/>
            <w:webHidden/>
          </w:rPr>
        </w:r>
        <w:r w:rsidR="0086358D">
          <w:rPr>
            <w:noProof/>
            <w:webHidden/>
          </w:rPr>
          <w:fldChar w:fldCharType="separate"/>
        </w:r>
        <w:r w:rsidR="00CF0D16">
          <w:rPr>
            <w:noProof/>
            <w:webHidden/>
          </w:rPr>
          <w:t>33</w:t>
        </w:r>
        <w:r w:rsidR="0086358D">
          <w:rPr>
            <w:noProof/>
            <w:webHidden/>
          </w:rPr>
          <w:fldChar w:fldCharType="end"/>
        </w:r>
      </w:hyperlink>
    </w:p>
    <w:p w:rsidR="0086358D" w:rsidRDefault="005B044C" w:rsidP="001551E2">
      <w:pPr>
        <w:pStyle w:val="TOC2"/>
        <w:spacing w:before="80"/>
        <w:rPr>
          <w:rFonts w:asciiTheme="minorHAnsi" w:eastAsiaTheme="minorEastAsia" w:hAnsiTheme="minorHAnsi" w:cstheme="minorBidi"/>
          <w:noProof/>
          <w:sz w:val="22"/>
          <w:szCs w:val="22"/>
          <w:lang w:val="en-US" w:eastAsia="zh-CN"/>
        </w:rPr>
      </w:pPr>
      <w:hyperlink w:anchor="_Toc398277665" w:history="1">
        <w:r w:rsidR="0086358D" w:rsidRPr="00D569DE">
          <w:rPr>
            <w:rStyle w:val="Hyperlink"/>
            <w:noProof/>
            <w:lang w:val="fr-CH"/>
          </w:rPr>
          <w:t>Coopération entre l'Auditeur interne et le Vérificateur extérieur des comptes</w:t>
        </w:r>
        <w:r w:rsidR="0086358D">
          <w:rPr>
            <w:noProof/>
            <w:webHidden/>
          </w:rPr>
          <w:tab/>
        </w:r>
        <w:r w:rsidR="0086358D">
          <w:rPr>
            <w:noProof/>
            <w:webHidden/>
          </w:rPr>
          <w:fldChar w:fldCharType="begin"/>
        </w:r>
        <w:r w:rsidR="0086358D">
          <w:rPr>
            <w:noProof/>
            <w:webHidden/>
          </w:rPr>
          <w:instrText xml:space="preserve"> PAGEREF _Toc398277665 \h </w:instrText>
        </w:r>
        <w:r w:rsidR="0086358D">
          <w:rPr>
            <w:noProof/>
            <w:webHidden/>
          </w:rPr>
        </w:r>
        <w:r w:rsidR="0086358D">
          <w:rPr>
            <w:noProof/>
            <w:webHidden/>
          </w:rPr>
          <w:fldChar w:fldCharType="separate"/>
        </w:r>
        <w:r w:rsidR="00CF0D16">
          <w:rPr>
            <w:noProof/>
            <w:webHidden/>
          </w:rPr>
          <w:t>34</w:t>
        </w:r>
        <w:r w:rsidR="0086358D">
          <w:rPr>
            <w:noProof/>
            <w:webHidden/>
          </w:rPr>
          <w:fldChar w:fldCharType="end"/>
        </w:r>
      </w:hyperlink>
    </w:p>
    <w:p w:rsidR="0086358D" w:rsidRDefault="005B044C" w:rsidP="001551E2">
      <w:pPr>
        <w:pStyle w:val="TOC1"/>
        <w:keepNext/>
        <w:keepLines/>
        <w:spacing w:before="80"/>
        <w:rPr>
          <w:noProof/>
        </w:rPr>
      </w:pPr>
      <w:hyperlink w:anchor="_Toc398277666" w:history="1">
        <w:r w:rsidR="00775718">
          <w:rPr>
            <w:rStyle w:val="Hyperlink"/>
            <w:noProof/>
            <w:lang w:val="fr-CH"/>
          </w:rPr>
          <w:t>A</w:t>
        </w:r>
        <w:r w:rsidR="0086358D" w:rsidRPr="00D569DE">
          <w:rPr>
            <w:rStyle w:val="Hyperlink"/>
            <w:noProof/>
            <w:lang w:val="fr-CH"/>
          </w:rPr>
          <w:t>nnexe 1</w:t>
        </w:r>
        <w:r w:rsidR="008F7439">
          <w:rPr>
            <w:rStyle w:val="Hyperlink"/>
            <w:noProof/>
            <w:lang w:val="fr-CH"/>
          </w:rPr>
          <w:t xml:space="preserve"> </w:t>
        </w:r>
        <w:r w:rsidR="00775718">
          <w:rPr>
            <w:noProof/>
            <w:webHidden/>
          </w:rPr>
          <w:tab/>
        </w:r>
        <w:r w:rsidR="0086358D">
          <w:rPr>
            <w:noProof/>
            <w:webHidden/>
          </w:rPr>
          <w:fldChar w:fldCharType="begin"/>
        </w:r>
        <w:r w:rsidR="0086358D">
          <w:rPr>
            <w:noProof/>
            <w:webHidden/>
          </w:rPr>
          <w:instrText xml:space="preserve"> PAGEREF _Toc398277666 \h </w:instrText>
        </w:r>
        <w:r w:rsidR="0086358D">
          <w:rPr>
            <w:noProof/>
            <w:webHidden/>
          </w:rPr>
        </w:r>
        <w:r w:rsidR="0086358D">
          <w:rPr>
            <w:noProof/>
            <w:webHidden/>
          </w:rPr>
          <w:fldChar w:fldCharType="separate"/>
        </w:r>
        <w:r w:rsidR="00CF0D16">
          <w:rPr>
            <w:noProof/>
            <w:webHidden/>
          </w:rPr>
          <w:t>35</w:t>
        </w:r>
        <w:r w:rsidR="0086358D">
          <w:rPr>
            <w:noProof/>
            <w:webHidden/>
          </w:rPr>
          <w:fldChar w:fldCharType="end"/>
        </w:r>
      </w:hyperlink>
    </w:p>
    <w:p w:rsidR="001551E2" w:rsidRDefault="001551E2" w:rsidP="001551E2">
      <w:pPr>
        <w:pStyle w:val="TOC1"/>
        <w:keepNext/>
        <w:keepLines/>
        <w:spacing w:before="60"/>
        <w:rPr>
          <w:noProof/>
        </w:rPr>
      </w:pPr>
      <w:r w:rsidRPr="001551E2">
        <w:rPr>
          <w:noProof/>
        </w:rPr>
        <w:t>Suivi des recommandations de notre précédent rapport</w:t>
      </w:r>
      <w:r>
        <w:rPr>
          <w:noProof/>
        </w:rPr>
        <w:tab/>
        <w:t>35</w:t>
      </w:r>
    </w:p>
    <w:p w:rsidR="008F7439" w:rsidRDefault="008F7439" w:rsidP="001551E2">
      <w:pPr>
        <w:pStyle w:val="TOC1"/>
        <w:keepNext/>
        <w:keepLines/>
        <w:spacing w:before="60"/>
        <w:ind w:left="0" w:firstLine="0"/>
        <w:rPr>
          <w:lang w:val="fr-CH" w:eastAsia="it-IT"/>
        </w:rPr>
      </w:pPr>
      <w:r w:rsidRPr="000C6ABF">
        <w:rPr>
          <w:lang w:val="fr-CH" w:eastAsia="it-IT"/>
        </w:rPr>
        <w:t xml:space="preserve">Suivi des recommandations émises par </w:t>
      </w:r>
      <w:r w:rsidRPr="000C6ABF">
        <w:rPr>
          <w:lang w:val="fr-CH"/>
        </w:rPr>
        <w:t xml:space="preserve">le Contrôle fédéral des finances </w:t>
      </w:r>
      <w:r w:rsidR="001551E2">
        <w:rPr>
          <w:lang w:val="fr-CH"/>
        </w:rPr>
        <w:br/>
      </w:r>
      <w:r w:rsidRPr="000C6ABF">
        <w:rPr>
          <w:lang w:val="fr-CH"/>
        </w:rPr>
        <w:t>de la Confédération suisse</w:t>
      </w:r>
      <w:r w:rsidRPr="000C6ABF">
        <w:rPr>
          <w:lang w:val="fr-CH" w:eastAsia="it-IT"/>
        </w:rPr>
        <w:t xml:space="preserve"> (SFAO)</w:t>
      </w:r>
      <w:r>
        <w:rPr>
          <w:lang w:val="fr-CH" w:eastAsia="it-IT"/>
        </w:rPr>
        <w:tab/>
        <w:t>46</w:t>
      </w:r>
    </w:p>
    <w:p w:rsidR="008F7439" w:rsidRDefault="008F7439" w:rsidP="001551E2">
      <w:pPr>
        <w:pStyle w:val="TOC1"/>
        <w:spacing w:before="60"/>
        <w:rPr>
          <w:noProof/>
        </w:rPr>
      </w:pPr>
      <w:r w:rsidRPr="000C6ABF">
        <w:rPr>
          <w:lang w:val="fr-CH"/>
        </w:rPr>
        <w:t>Suivi des suggestions de notre précédent rapport</w:t>
      </w:r>
      <w:r>
        <w:rPr>
          <w:lang w:val="fr-CH"/>
        </w:rPr>
        <w:tab/>
        <w:t>50</w:t>
      </w:r>
    </w:p>
    <w:p w:rsidR="0086358D" w:rsidRDefault="005B044C" w:rsidP="008F7439">
      <w:pPr>
        <w:pStyle w:val="TOC1"/>
        <w:spacing w:before="120"/>
        <w:rPr>
          <w:rFonts w:asciiTheme="minorHAnsi" w:eastAsiaTheme="minorEastAsia" w:hAnsiTheme="minorHAnsi" w:cstheme="minorBidi"/>
          <w:noProof/>
          <w:sz w:val="22"/>
          <w:szCs w:val="22"/>
          <w:lang w:val="en-US" w:eastAsia="zh-CN"/>
        </w:rPr>
      </w:pPr>
      <w:hyperlink w:anchor="_Toc398277667" w:history="1">
        <w:r w:rsidR="00775718">
          <w:rPr>
            <w:rStyle w:val="Hyperlink"/>
            <w:noProof/>
            <w:lang w:val="fr-CH" w:eastAsia="it-IT"/>
          </w:rPr>
          <w:t>A</w:t>
        </w:r>
        <w:r w:rsidR="0086358D" w:rsidRPr="00D569DE">
          <w:rPr>
            <w:rStyle w:val="Hyperlink"/>
            <w:noProof/>
            <w:lang w:val="fr-CH" w:eastAsia="it-IT"/>
          </w:rPr>
          <w:t>nnexe 2</w:t>
        </w:r>
        <w:r w:rsidR="008F7439">
          <w:rPr>
            <w:noProof/>
            <w:webHidden/>
          </w:rPr>
          <w:t xml:space="preserve">: </w:t>
        </w:r>
        <w:r w:rsidR="008F7439" w:rsidRPr="000C6ABF">
          <w:rPr>
            <w:lang w:val="fr-CH" w:eastAsia="zh-CN"/>
          </w:rPr>
          <w:t>Histogrammes des remboursements de la Caisse</w:t>
        </w:r>
        <w:r w:rsidR="00775718">
          <w:rPr>
            <w:noProof/>
            <w:webHidden/>
          </w:rPr>
          <w:tab/>
        </w:r>
        <w:r w:rsidR="0086358D">
          <w:rPr>
            <w:noProof/>
            <w:webHidden/>
          </w:rPr>
          <w:fldChar w:fldCharType="begin"/>
        </w:r>
        <w:r w:rsidR="0086358D">
          <w:rPr>
            <w:noProof/>
            <w:webHidden/>
          </w:rPr>
          <w:instrText xml:space="preserve"> PAGEREF _Toc398277667 \h </w:instrText>
        </w:r>
        <w:r w:rsidR="0086358D">
          <w:rPr>
            <w:noProof/>
            <w:webHidden/>
          </w:rPr>
        </w:r>
        <w:r w:rsidR="0086358D">
          <w:rPr>
            <w:noProof/>
            <w:webHidden/>
          </w:rPr>
          <w:fldChar w:fldCharType="separate"/>
        </w:r>
        <w:r w:rsidR="00CF0D16">
          <w:rPr>
            <w:noProof/>
            <w:webHidden/>
          </w:rPr>
          <w:t>55</w:t>
        </w:r>
        <w:r w:rsidR="0086358D">
          <w:rPr>
            <w:noProof/>
            <w:webHidden/>
          </w:rPr>
          <w:fldChar w:fldCharType="end"/>
        </w:r>
      </w:hyperlink>
    </w:p>
    <w:p w:rsidR="00C44936" w:rsidRPr="000C6ABF" w:rsidRDefault="0086358D" w:rsidP="00775718">
      <w:pPr>
        <w:tabs>
          <w:tab w:val="clear" w:pos="567"/>
          <w:tab w:val="clear" w:pos="1134"/>
          <w:tab w:val="clear" w:pos="1701"/>
          <w:tab w:val="clear" w:pos="2268"/>
          <w:tab w:val="clear" w:pos="2835"/>
        </w:tabs>
        <w:overflowPunct/>
        <w:autoSpaceDE/>
        <w:autoSpaceDN/>
        <w:adjustRightInd/>
        <w:spacing w:before="0"/>
        <w:textAlignment w:val="auto"/>
        <w:rPr>
          <w:lang w:val="fr-CH"/>
        </w:rPr>
      </w:pPr>
      <w:r>
        <w:rPr>
          <w:lang w:val="fr-CH"/>
        </w:rPr>
        <w:fldChar w:fldCharType="end"/>
      </w:r>
      <w:r w:rsidR="00C44936" w:rsidRPr="000C6ABF">
        <w:rPr>
          <w:lang w:val="fr-CH"/>
        </w:rPr>
        <w:br w:type="page"/>
      </w:r>
    </w:p>
    <w:p w:rsidR="00AB0CB6" w:rsidRPr="000C6ABF" w:rsidRDefault="007E1807" w:rsidP="00AB0C69">
      <w:pPr>
        <w:pStyle w:val="Heading1"/>
        <w:jc w:val="center"/>
        <w:rPr>
          <w:lang w:val="fr-CH"/>
        </w:rPr>
      </w:pPr>
      <w:bookmarkStart w:id="22" w:name="_Toc396386920"/>
      <w:bookmarkStart w:id="23" w:name="_Toc396387807"/>
      <w:bookmarkStart w:id="24" w:name="_Toc396387926"/>
      <w:bookmarkStart w:id="25" w:name="_Toc398277611"/>
      <w:r w:rsidRPr="000C6ABF">
        <w:rPr>
          <w:lang w:val="fr-CH"/>
        </w:rPr>
        <w:lastRenderedPageBreak/>
        <w:t>INTRODUCTION</w:t>
      </w:r>
      <w:bookmarkEnd w:id="22"/>
      <w:bookmarkEnd w:id="23"/>
      <w:bookmarkEnd w:id="24"/>
      <w:bookmarkEnd w:id="25"/>
    </w:p>
    <w:p w:rsidR="00C44936" w:rsidRPr="000C6ABF" w:rsidRDefault="00C44936" w:rsidP="00AB0C69">
      <w:pPr>
        <w:spacing w:before="360"/>
        <w:rPr>
          <w:i/>
          <w:iCs/>
          <w:lang w:val="fr-CH"/>
        </w:rPr>
      </w:pPr>
      <w:r w:rsidRPr="000C6ABF">
        <w:rPr>
          <w:i/>
          <w:iCs/>
          <w:lang w:val="fr-CH"/>
        </w:rPr>
        <w:t>Les bases juridiques de l'audit effectué par les Vérificateurs extérieurs des comptes sont énoncées dans l'Article 28 du Règlement financier de l'UIT (édition de 2010) ainsi que dans le Mandat additionnel pour la vérification extérieure des comptes.</w:t>
      </w:r>
    </w:p>
    <w:p w:rsidR="00C44936" w:rsidRPr="000C6ABF" w:rsidRDefault="00C44936" w:rsidP="00AB0C69">
      <w:pPr>
        <w:rPr>
          <w:lang w:val="fr-CH"/>
        </w:rPr>
      </w:pPr>
      <w:r w:rsidRPr="000C6ABF">
        <w:rPr>
          <w:lang w:val="fr-CH"/>
        </w:rPr>
        <w:t>Le présent rapport rend compte au Conseil des résultats des vérifications que nous avons effectuées.</w:t>
      </w:r>
    </w:p>
    <w:p w:rsidR="00C44936" w:rsidRPr="000C6ABF" w:rsidRDefault="00C44936" w:rsidP="00AB0C69">
      <w:pPr>
        <w:rPr>
          <w:lang w:val="fr-CH"/>
        </w:rPr>
      </w:pPr>
      <w:r w:rsidRPr="000C6ABF">
        <w:rPr>
          <w:lang w:val="fr-CH"/>
        </w:rPr>
        <w:t>Les vérifications ont porté sur le Rapport de gestion financière de l'UIT au 31 décembre 2013 ainsi que sur les comptes budgétaires et leur concordance.</w:t>
      </w:r>
    </w:p>
    <w:p w:rsidR="00C44936" w:rsidRPr="000C6ABF" w:rsidRDefault="00C44936" w:rsidP="00AB0C69">
      <w:pPr>
        <w:rPr>
          <w:lang w:val="fr-CH"/>
        </w:rPr>
      </w:pPr>
      <w:r w:rsidRPr="000C6ABF">
        <w:rPr>
          <w:lang w:val="fr-CH"/>
        </w:rPr>
        <w:t xml:space="preserve">Les exercices financiers sont régis par les dispositions de la Constitution et de la Convention de l'Union internationale des télécommunications et par les prescriptions du </w:t>
      </w:r>
      <w:r w:rsidRPr="000C6ABF">
        <w:rPr>
          <w:i/>
          <w:iCs/>
          <w:lang w:val="fr-CH"/>
        </w:rPr>
        <w:t>Règlement financier et des Règles financières</w:t>
      </w:r>
      <w:r w:rsidRPr="000C6ABF">
        <w:rPr>
          <w:lang w:val="fr-CH"/>
        </w:rPr>
        <w:t xml:space="preserve"> de l'UIT, en conformité avec les Normes comptables internationales pour le secteur public (normes IPSAS).</w:t>
      </w:r>
    </w:p>
    <w:p w:rsidR="00C44936" w:rsidRPr="000C6ABF" w:rsidRDefault="00C44936" w:rsidP="00AB0C69">
      <w:pPr>
        <w:rPr>
          <w:lang w:val="fr-CH"/>
        </w:rPr>
      </w:pPr>
      <w:r w:rsidRPr="000C6ABF">
        <w:rPr>
          <w:lang w:val="fr-CH"/>
        </w:rPr>
        <w:t>Les vérifications des comptes de l'UIT pour l'exercice 2013 ont été effectuées selon les Normes publiées par le Comité des normes d'audit de l'Organisation internationale des institutions supérieures de contrôle des finances publiques (INTOSAI) et, notamment, selon le régime IPSAS, ainsi qu'en respect du mandat additionnel faisant partie intégrante du Règlement financier de l'Union.</w:t>
      </w:r>
    </w:p>
    <w:p w:rsidR="00C44936" w:rsidRPr="000C6ABF" w:rsidRDefault="00C44936" w:rsidP="00AB0C69">
      <w:pPr>
        <w:rPr>
          <w:lang w:val="fr-CH"/>
        </w:rPr>
      </w:pPr>
      <w:r w:rsidRPr="000C6ABF">
        <w:rPr>
          <w:lang w:val="fr-CH"/>
        </w:rPr>
        <w:t xml:space="preserve">Nous avons organisé les travaux conformément à la stratégie qui est la nôtre en matière d'audit, de manière à obtenir une assurance raisonnable que les états financiers sont exempts d'inexactitudes significatives. </w:t>
      </w:r>
    </w:p>
    <w:p w:rsidR="00C44936" w:rsidRPr="000C6ABF" w:rsidRDefault="00C44936" w:rsidP="00AB0C69">
      <w:pPr>
        <w:rPr>
          <w:lang w:val="fr-CH"/>
        </w:rPr>
      </w:pPr>
      <w:r w:rsidRPr="000C6ABF">
        <w:rPr>
          <w:lang w:val="fr-CH"/>
        </w:rPr>
        <w:t>Nous avons également évalué les principes comptables et les estimations correspondantes faites par la direction ainsi que l'adéquation de la présentation des informations dans les états financiers.</w:t>
      </w:r>
    </w:p>
    <w:p w:rsidR="00C44936" w:rsidRPr="000C6ABF" w:rsidRDefault="00C44936" w:rsidP="00AB0C69">
      <w:pPr>
        <w:rPr>
          <w:lang w:val="fr-CH"/>
        </w:rPr>
      </w:pPr>
      <w:r w:rsidRPr="000C6ABF">
        <w:rPr>
          <w:lang w:val="fr-CH"/>
        </w:rPr>
        <w:t>En conséquence, nous avons obtenu dans le cadre de la vérification des éléments suffisants pour fonder l'opinion formulée ci-dessous.</w:t>
      </w:r>
    </w:p>
    <w:p w:rsidR="00C44936" w:rsidRPr="000C6ABF" w:rsidRDefault="00C44936" w:rsidP="00AB0C69">
      <w:pPr>
        <w:rPr>
          <w:lang w:val="fr-CH"/>
        </w:rPr>
      </w:pPr>
      <w:r w:rsidRPr="000C6ABF">
        <w:rPr>
          <w:lang w:val="fr-CH"/>
        </w:rPr>
        <w:t>Nous avons examiné par sondage un certain nombre d'opérations et la documentation pertinente et avons obtenu suffisamment d'éléments probants fiables en ce qui concerne les comptes et les déclarations fournies dans les états financiers.</w:t>
      </w:r>
    </w:p>
    <w:p w:rsidR="00874E93" w:rsidRPr="000C6ABF" w:rsidRDefault="00C44936" w:rsidP="00AB0C69">
      <w:pPr>
        <w:rPr>
          <w:lang w:val="fr-CH"/>
        </w:rPr>
      </w:pPr>
      <w:r w:rsidRPr="000C6ABF">
        <w:rPr>
          <w:lang w:val="fr-CH"/>
        </w:rPr>
        <w:t xml:space="preserve">Au cours des travaux d'audit, toutes les questions ont été clarifiées et examinées avec les fonctionnaires responsables. </w:t>
      </w:r>
    </w:p>
    <w:p w:rsidR="00C44936" w:rsidRPr="000C6ABF" w:rsidRDefault="00C44936" w:rsidP="00AB0C69">
      <w:pPr>
        <w:rPr>
          <w:lang w:val="fr-CH"/>
        </w:rPr>
      </w:pPr>
      <w:r w:rsidRPr="000C6ABF">
        <w:rPr>
          <w:lang w:val="fr-CH"/>
        </w:rPr>
        <w:t>Mes collaborateurs se sont régulièrement entretenus avec M. Alassane Ba, Chef du Département de la gestion des ressources financières de l'UIT, ainsi qu'avec d'autres collaborateurs de son service et des collaborateurs d'autres départements de l'Organisation en fonction du thème traité.</w:t>
      </w:r>
    </w:p>
    <w:p w:rsidR="00C44936" w:rsidRPr="000C6ABF" w:rsidRDefault="00C44936" w:rsidP="00AB0C69">
      <w:pPr>
        <w:rPr>
          <w:lang w:val="fr-CH"/>
        </w:rPr>
      </w:pPr>
      <w:r w:rsidRPr="000C6ABF">
        <w:rPr>
          <w:lang w:val="fr-CH"/>
        </w:rPr>
        <w:t>Le résultat de l'audit a été communiqué le 1</w:t>
      </w:r>
      <w:r w:rsidR="00874E93" w:rsidRPr="000C6ABF">
        <w:rPr>
          <w:lang w:val="fr-CH"/>
        </w:rPr>
        <w:t xml:space="preserve">er juillet </w:t>
      </w:r>
      <w:r w:rsidRPr="000C6ABF">
        <w:rPr>
          <w:lang w:val="fr-CH"/>
        </w:rPr>
        <w:t>201</w:t>
      </w:r>
      <w:r w:rsidR="00874E93" w:rsidRPr="000C6ABF">
        <w:rPr>
          <w:lang w:val="fr-CH"/>
        </w:rPr>
        <w:t>4</w:t>
      </w:r>
      <w:r w:rsidRPr="000C6ABF">
        <w:rPr>
          <w:lang w:val="fr-CH"/>
        </w:rPr>
        <w:t>.</w:t>
      </w:r>
    </w:p>
    <w:p w:rsidR="00C44936" w:rsidRPr="000C6ABF" w:rsidRDefault="00C44936" w:rsidP="00AB0C69">
      <w:pPr>
        <w:rPr>
          <w:lang w:val="fr-CH"/>
        </w:rPr>
      </w:pPr>
      <w:r w:rsidRPr="000C6ABF">
        <w:rPr>
          <w:lang w:val="fr-CH"/>
        </w:rPr>
        <w:t xml:space="preserve">Conformément au </w:t>
      </w:r>
      <w:r w:rsidR="00AB0C69" w:rsidRPr="000C6ABF">
        <w:rPr>
          <w:lang w:val="fr-CH"/>
        </w:rPr>
        <w:t>paragraphe</w:t>
      </w:r>
      <w:r w:rsidRPr="000C6ABF">
        <w:rPr>
          <w:lang w:val="fr-CH"/>
        </w:rPr>
        <w:t xml:space="preserve"> 9 du Mandat additionnel pour la vérification extérieure des comptes concernant les commentaires du Secrétaire général à insérer dans le présent rapport, ce dernier nous a informés par l'intermédiaire de ses collaborateurs durant la discussion finale du </w:t>
      </w:r>
      <w:r w:rsidR="00874E93" w:rsidRPr="000C6ABF">
        <w:rPr>
          <w:lang w:val="fr-CH"/>
        </w:rPr>
        <w:t xml:space="preserve">1er juillet 2014 </w:t>
      </w:r>
      <w:r w:rsidRPr="000C6ABF">
        <w:rPr>
          <w:lang w:val="fr-CH"/>
        </w:rPr>
        <w:t xml:space="preserve">que ses commentaires allaient nous parvenir. Ces derniers nous sont bien parvenus le </w:t>
      </w:r>
      <w:r w:rsidR="00874E93" w:rsidRPr="000C6ABF">
        <w:rPr>
          <w:lang w:val="fr-CH"/>
        </w:rPr>
        <w:t xml:space="preserve">8 juillet 2014 </w:t>
      </w:r>
      <w:r w:rsidRPr="000C6ABF">
        <w:rPr>
          <w:lang w:val="fr-CH"/>
        </w:rPr>
        <w:t>et ont été dûment intégrés dans le présent rapport.</w:t>
      </w:r>
    </w:p>
    <w:p w:rsidR="00C44936" w:rsidRPr="000C6ABF" w:rsidRDefault="00C44936" w:rsidP="00AB0C69">
      <w:pPr>
        <w:rPr>
          <w:lang w:val="fr-CH"/>
        </w:rPr>
      </w:pPr>
      <w:r w:rsidRPr="000C6ABF">
        <w:rPr>
          <w:lang w:val="fr-CH"/>
        </w:rPr>
        <w:lastRenderedPageBreak/>
        <w:t>Nous avons effectué l'audit du Rapport de gestion financière de l'UIT sur les comptes audités tenus par l'Organisation, qui donne les résultats financiers au 31 décembre 201</w:t>
      </w:r>
      <w:r w:rsidR="00C6549C" w:rsidRPr="000C6ABF">
        <w:rPr>
          <w:lang w:val="fr-CH"/>
        </w:rPr>
        <w:t>3</w:t>
      </w:r>
      <w:r w:rsidRPr="000C6ABF">
        <w:rPr>
          <w:lang w:val="fr-CH"/>
        </w:rPr>
        <w:t xml:space="preserve">, présentés conformément à l'Article </w:t>
      </w:r>
      <w:r w:rsidR="00C6549C" w:rsidRPr="000C6ABF">
        <w:rPr>
          <w:lang w:val="fr-CH"/>
        </w:rPr>
        <w:t>2</w:t>
      </w:r>
      <w:r w:rsidRPr="000C6ABF">
        <w:rPr>
          <w:lang w:val="fr-CH"/>
        </w:rPr>
        <w:t>8 du Règlement financier (édition de 2010), pour l'exercice 201</w:t>
      </w:r>
      <w:r w:rsidR="00C6549C" w:rsidRPr="000C6ABF">
        <w:rPr>
          <w:lang w:val="fr-CH"/>
        </w:rPr>
        <w:t>3</w:t>
      </w:r>
      <w:r w:rsidRPr="000C6ABF">
        <w:rPr>
          <w:lang w:val="fr-CH"/>
        </w:rPr>
        <w:t>.</w:t>
      </w:r>
    </w:p>
    <w:p w:rsidR="00C44936" w:rsidRPr="000C6ABF" w:rsidRDefault="00C44936" w:rsidP="00AB0C69">
      <w:pPr>
        <w:rPr>
          <w:lang w:val="fr-CH"/>
        </w:rPr>
      </w:pPr>
      <w:r w:rsidRPr="000C6ABF">
        <w:rPr>
          <w:lang w:val="fr-CH"/>
        </w:rPr>
        <w:t>Une lettre de représentation portant sur les comptes pour l'exercice 201</w:t>
      </w:r>
      <w:r w:rsidR="00C6549C" w:rsidRPr="000C6ABF">
        <w:rPr>
          <w:lang w:val="fr-CH"/>
        </w:rPr>
        <w:t>3</w:t>
      </w:r>
      <w:r w:rsidRPr="000C6ABF">
        <w:rPr>
          <w:lang w:val="fr-CH"/>
        </w:rPr>
        <w:t>, signée par le Secrétaire général et le Chef du Département de la gestion des ressources financières, a été insérée dans les états financiers et fait partie intégrante de la documentation relative à la vérification des comptes.</w:t>
      </w:r>
    </w:p>
    <w:p w:rsidR="00C6549C" w:rsidRPr="000C6ABF" w:rsidRDefault="003C1E55" w:rsidP="00AB0C69">
      <w:pPr>
        <w:rPr>
          <w:lang w:val="fr-CH"/>
        </w:rPr>
      </w:pPr>
      <w:r w:rsidRPr="000C6ABF">
        <w:rPr>
          <w:lang w:val="fr-CH"/>
        </w:rPr>
        <w:t>Nous avons également reçu la déclaration sur le contrôle interne pour 2013, signée par le Secrétaire général le 4 juin 2014</w:t>
      </w:r>
      <w:r w:rsidR="00C6549C" w:rsidRPr="000C6ABF">
        <w:rPr>
          <w:lang w:val="fr-CH"/>
        </w:rPr>
        <w:t>.</w:t>
      </w:r>
    </w:p>
    <w:p w:rsidR="00C44936" w:rsidRPr="000C6ABF" w:rsidRDefault="00C44936" w:rsidP="00AB0C69">
      <w:pPr>
        <w:rPr>
          <w:lang w:val="fr-CH"/>
        </w:rPr>
      </w:pPr>
      <w:r w:rsidRPr="000C6ABF">
        <w:rPr>
          <w:lang w:val="fr-CH"/>
        </w:rPr>
        <w:t xml:space="preserve">En outre, nous avons procédé, conformément au point 6 du </w:t>
      </w:r>
      <w:r w:rsidRPr="000C6ABF">
        <w:rPr>
          <w:i/>
          <w:iCs/>
          <w:lang w:val="fr-CH"/>
        </w:rPr>
        <w:t>décide</w:t>
      </w:r>
      <w:r w:rsidRPr="000C6ABF">
        <w:rPr>
          <w:lang w:val="fr-CH"/>
        </w:rPr>
        <w:t xml:space="preserve"> de la Résolution 11 (Guadalajara, 2010) de la Conférence de plénipotentiaires, à l'audit des comptes d'ITU TELECOM World pour l'exercice 201</w:t>
      </w:r>
      <w:r w:rsidR="00C6549C" w:rsidRPr="000C6ABF">
        <w:rPr>
          <w:lang w:val="fr-CH"/>
        </w:rPr>
        <w:t>3</w:t>
      </w:r>
      <w:r w:rsidRPr="000C6ABF">
        <w:rPr>
          <w:lang w:val="fr-CH"/>
        </w:rPr>
        <w:t>.</w:t>
      </w:r>
    </w:p>
    <w:p w:rsidR="00C44936" w:rsidRPr="000C6ABF" w:rsidRDefault="00C44936" w:rsidP="00AB0C69">
      <w:pPr>
        <w:rPr>
          <w:lang w:val="fr-CH"/>
        </w:rPr>
      </w:pPr>
      <w:r w:rsidRPr="000C6ABF">
        <w:rPr>
          <w:lang w:val="fr-CH"/>
        </w:rPr>
        <w:t>Enfin, nous tenons à exprimer nos remerciements pour l'obligeance avec laquelle les renseignements et les documents ont été donnés par tous les fonctionnaires de l'UIT qui ont été sollicités.</w:t>
      </w:r>
    </w:p>
    <w:p w:rsidR="00C44936" w:rsidRPr="000C6ABF" w:rsidRDefault="00C44936" w:rsidP="00AB0C69">
      <w:pPr>
        <w:rPr>
          <w:lang w:val="fr-CH"/>
        </w:rPr>
      </w:pPr>
    </w:p>
    <w:p w:rsidR="00ED1DAB" w:rsidRPr="000C6ABF" w:rsidRDefault="00ED1DAB" w:rsidP="00AB0C69">
      <w:pPr>
        <w:tabs>
          <w:tab w:val="clear" w:pos="567"/>
          <w:tab w:val="clear" w:pos="1134"/>
          <w:tab w:val="clear" w:pos="1701"/>
          <w:tab w:val="clear" w:pos="2268"/>
          <w:tab w:val="clear" w:pos="2835"/>
        </w:tabs>
        <w:overflowPunct/>
        <w:autoSpaceDE/>
        <w:autoSpaceDN/>
        <w:adjustRightInd/>
        <w:spacing w:before="0"/>
        <w:textAlignment w:val="auto"/>
        <w:rPr>
          <w:lang w:val="fr-CH"/>
        </w:rPr>
      </w:pPr>
      <w:r w:rsidRPr="000C6ABF">
        <w:rPr>
          <w:lang w:val="fr-CH"/>
        </w:rPr>
        <w:br w:type="page"/>
      </w:r>
    </w:p>
    <w:p w:rsidR="00ED1DAB" w:rsidRPr="000C6ABF" w:rsidRDefault="00ED1DAB" w:rsidP="00AB0C69">
      <w:pPr>
        <w:jc w:val="center"/>
        <w:rPr>
          <w:lang w:val="fr-CH"/>
        </w:rPr>
      </w:pPr>
      <w:bookmarkStart w:id="26" w:name="_Toc387166681"/>
      <w:bookmarkStart w:id="27" w:name="_Toc395260966"/>
      <w:bookmarkStart w:id="28" w:name="_Toc395261107"/>
      <w:r w:rsidRPr="000C6ABF">
        <w:rPr>
          <w:noProof/>
          <w:lang w:val="en-US" w:eastAsia="zh-CN"/>
        </w:rPr>
        <w:lastRenderedPageBreak/>
        <w:drawing>
          <wp:inline distT="0" distB="0" distL="0" distR="0" wp14:anchorId="494BE0D3" wp14:editId="7EFCE261">
            <wp:extent cx="759853" cy="854371"/>
            <wp:effectExtent l="0" t="0" r="254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a_repubblica.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64190" cy="859247"/>
                    </a:xfrm>
                    <a:prstGeom prst="rect">
                      <a:avLst/>
                    </a:prstGeom>
                  </pic:spPr>
                </pic:pic>
              </a:graphicData>
            </a:graphic>
          </wp:inline>
        </w:drawing>
      </w:r>
    </w:p>
    <w:p w:rsidR="00ED1DAB" w:rsidRPr="000C6ABF" w:rsidRDefault="00ED1DAB" w:rsidP="00AB0C69">
      <w:pPr>
        <w:spacing w:after="120"/>
        <w:jc w:val="center"/>
        <w:rPr>
          <w:rFonts w:ascii="Kunstler Script" w:hAnsi="Kunstler Script"/>
          <w:sz w:val="72"/>
          <w:szCs w:val="72"/>
          <w:lang w:val="fr-CH"/>
        </w:rPr>
      </w:pPr>
      <w:r w:rsidRPr="000C6ABF">
        <w:rPr>
          <w:rFonts w:ascii="Kunstler Script" w:hAnsi="Kunstler Script"/>
          <w:sz w:val="72"/>
          <w:szCs w:val="72"/>
          <w:lang w:val="fr-CH"/>
        </w:rPr>
        <w:t xml:space="preserve">Corte dei </w:t>
      </w:r>
      <w:proofErr w:type="spellStart"/>
      <w:r w:rsidRPr="000C6ABF">
        <w:rPr>
          <w:rFonts w:ascii="Kunstler Script" w:hAnsi="Kunstler Script"/>
          <w:sz w:val="72"/>
          <w:szCs w:val="72"/>
          <w:lang w:val="fr-CH"/>
        </w:rPr>
        <w:t>conti</w:t>
      </w:r>
      <w:proofErr w:type="spellEnd"/>
    </w:p>
    <w:p w:rsidR="00ED1DAB" w:rsidRPr="000C6ABF" w:rsidRDefault="000404FB" w:rsidP="00AB0C69">
      <w:pPr>
        <w:pStyle w:val="Heading1"/>
        <w:jc w:val="center"/>
        <w:rPr>
          <w:lang w:val="fr-CH"/>
        </w:rPr>
      </w:pPr>
      <w:bookmarkStart w:id="29" w:name="_Toc398277612"/>
      <w:bookmarkEnd w:id="26"/>
      <w:bookmarkEnd w:id="27"/>
      <w:bookmarkEnd w:id="28"/>
      <w:r w:rsidRPr="000C6ABF">
        <w:rPr>
          <w:lang w:val="fr-CH"/>
        </w:rPr>
        <w:t>ATTESTATION D</w:t>
      </w:r>
      <w:r w:rsidR="00AB0C69" w:rsidRPr="000C6ABF">
        <w:rPr>
          <w:lang w:val="fr-CH"/>
        </w:rPr>
        <w:t>'</w:t>
      </w:r>
      <w:r w:rsidRPr="000C6ABF">
        <w:rPr>
          <w:lang w:val="fr-CH"/>
        </w:rPr>
        <w:t>AUDIT</w:t>
      </w:r>
      <w:bookmarkEnd w:id="29"/>
    </w:p>
    <w:p w:rsidR="00ED1DAB" w:rsidRPr="00834B79" w:rsidRDefault="00ED1DAB" w:rsidP="00834B79">
      <w:pPr>
        <w:rPr>
          <w:b/>
          <w:bCs/>
          <w:lang w:val="fr-CH"/>
        </w:rPr>
      </w:pPr>
      <w:bookmarkStart w:id="30" w:name="_Toc395260968"/>
      <w:bookmarkStart w:id="31" w:name="_Toc395511753"/>
      <w:bookmarkStart w:id="32" w:name="_Toc396386922"/>
      <w:bookmarkStart w:id="33" w:name="_Toc396387809"/>
      <w:r w:rsidRPr="00834B79">
        <w:rPr>
          <w:b/>
          <w:bCs/>
          <w:lang w:val="fr-CH"/>
        </w:rPr>
        <w:t>Rapport de l</w:t>
      </w:r>
      <w:r w:rsidR="009928EE" w:rsidRPr="00834B79">
        <w:rPr>
          <w:b/>
          <w:bCs/>
          <w:lang w:val="fr-CH"/>
        </w:rPr>
        <w:t>'</w:t>
      </w:r>
      <w:r w:rsidRPr="00834B79">
        <w:rPr>
          <w:b/>
          <w:bCs/>
          <w:lang w:val="fr-CH"/>
        </w:rPr>
        <w:t>auditeur indépendant</w:t>
      </w:r>
      <w:bookmarkEnd w:id="30"/>
      <w:bookmarkEnd w:id="31"/>
      <w:bookmarkEnd w:id="32"/>
      <w:bookmarkEnd w:id="33"/>
    </w:p>
    <w:p w:rsidR="00ED1DAB" w:rsidRPr="000C6ABF" w:rsidRDefault="00ED1DAB" w:rsidP="00AB0C69">
      <w:pPr>
        <w:rPr>
          <w:lang w:val="fr-CH"/>
        </w:rPr>
      </w:pPr>
      <w:r w:rsidRPr="000C6ABF">
        <w:rPr>
          <w:lang w:val="fr-CH"/>
        </w:rPr>
        <w:t>Nous avons examiné et vérifié les états financiers de l</w:t>
      </w:r>
      <w:r w:rsidR="009928EE" w:rsidRPr="000C6ABF">
        <w:rPr>
          <w:lang w:val="fr-CH"/>
        </w:rPr>
        <w:t>'</w:t>
      </w:r>
      <w:r w:rsidRPr="000C6ABF">
        <w:rPr>
          <w:lang w:val="fr-CH"/>
        </w:rPr>
        <w:t>Union internationale des télécommunications (UIT) pour l</w:t>
      </w:r>
      <w:r w:rsidR="009928EE" w:rsidRPr="000C6ABF">
        <w:rPr>
          <w:lang w:val="fr-CH"/>
        </w:rPr>
        <w:t>'</w:t>
      </w:r>
      <w:r w:rsidRPr="000C6ABF">
        <w:rPr>
          <w:lang w:val="fr-CH"/>
        </w:rPr>
        <w:t>exercice clos au 31 décembre 2013, qui comprennent l'état de la situation financière, l'état de la performance financière, l'état des variations de l'actif net, la comparaison des montants budgétisés et des montants effectifs et le tableau des flux de trésorerie pour l'exercice clos à ladite date ainsi qu'un résumé des principales politiques comptables et des autres notes explicatives.</w:t>
      </w:r>
    </w:p>
    <w:p w:rsidR="00ED1DAB" w:rsidRPr="00834B79" w:rsidRDefault="00ED1DAB" w:rsidP="00834B79">
      <w:pPr>
        <w:rPr>
          <w:b/>
          <w:bCs/>
          <w:lang w:val="fr-CH"/>
        </w:rPr>
      </w:pPr>
      <w:bookmarkStart w:id="34" w:name="_Toc395260969"/>
      <w:bookmarkStart w:id="35" w:name="_Toc395511754"/>
      <w:bookmarkStart w:id="36" w:name="_Toc396386923"/>
      <w:bookmarkStart w:id="37" w:name="_Toc396387810"/>
      <w:r w:rsidRPr="00834B79">
        <w:rPr>
          <w:b/>
          <w:bCs/>
          <w:lang w:val="fr-CH"/>
        </w:rPr>
        <w:t>Responsabilité du Secrétaire général de l'UIT au regard des états financiers</w:t>
      </w:r>
      <w:bookmarkEnd w:id="34"/>
      <w:bookmarkEnd w:id="35"/>
      <w:bookmarkEnd w:id="36"/>
      <w:bookmarkEnd w:id="37"/>
    </w:p>
    <w:p w:rsidR="00ED1DAB" w:rsidRPr="000C6ABF" w:rsidRDefault="00ED1DAB" w:rsidP="00AB0C69">
      <w:pPr>
        <w:rPr>
          <w:lang w:val="fr-CH"/>
        </w:rPr>
      </w:pPr>
      <w:r w:rsidRPr="000C6ABF">
        <w:rPr>
          <w:lang w:val="fr-CH"/>
        </w:rPr>
        <w:t>Le Secrétaire général est responsable de l'établissement et de la présentation fidèle des états financiers conformément aux exigences fixées dans les Normes comptables pour le secteur public international (IPSAS) ainsi que dans le Règlement financier et les Règles financières de l'UIT. Par ailleurs, le Secrétariat général est responsable de la conception, de la mise en place et du suivi du système de contrôle interne, selon que de besoin, en vue d'établir et de présenter fidèlement des états financiers qui ne comportent pas d'inexactitudes significatives, que celles-ci résultent de fraudes ou d'erreurs.</w:t>
      </w:r>
    </w:p>
    <w:p w:rsidR="00ED1DAB" w:rsidRPr="00834B79" w:rsidRDefault="00ED1DAB" w:rsidP="00834B79">
      <w:pPr>
        <w:rPr>
          <w:b/>
          <w:bCs/>
          <w:lang w:val="fr-CH"/>
        </w:rPr>
      </w:pPr>
      <w:bookmarkStart w:id="38" w:name="_Toc395260970"/>
      <w:bookmarkStart w:id="39" w:name="_Toc395511755"/>
      <w:bookmarkStart w:id="40" w:name="_Toc396386924"/>
      <w:bookmarkStart w:id="41" w:name="_Toc396387811"/>
      <w:r w:rsidRPr="00834B79">
        <w:rPr>
          <w:b/>
          <w:bCs/>
          <w:lang w:val="fr-CH"/>
        </w:rPr>
        <w:t>Responsabilité de l'auditeur</w:t>
      </w:r>
      <w:bookmarkEnd w:id="38"/>
      <w:bookmarkEnd w:id="39"/>
      <w:bookmarkEnd w:id="40"/>
      <w:bookmarkEnd w:id="41"/>
    </w:p>
    <w:p w:rsidR="00ED1DAB" w:rsidRPr="000C6ABF" w:rsidRDefault="00ED1DAB" w:rsidP="00AB0C69">
      <w:pPr>
        <w:rPr>
          <w:lang w:val="fr-CH"/>
        </w:rPr>
      </w:pPr>
      <w:r w:rsidRPr="000C6ABF">
        <w:rPr>
          <w:lang w:val="fr-CH"/>
        </w:rPr>
        <w:t xml:space="preserve">Il nous appartient d'exprimer, sur la base de l'audit que nous avons réalisé, une opinion sur les états financiers de l'UIT. Nous avons effectué notre audit conformément aux Normes internationales des institutions supérieures d'audit publiées par l'Organisation internationale des institutions supérieures de contrôle des finances publiques (INTOSAI). Ces normes exigent que nous nous conformions aux règles d'éthique et que nos travaux soient organisés et exécutés de façon à obtenir l'assurance raisonnable que les états financiers ne comportent pas d'inexactitudes significatives. Un audit consiste à mettre en </w:t>
      </w:r>
      <w:proofErr w:type="spellStart"/>
      <w:r w:rsidRPr="000C6ABF">
        <w:rPr>
          <w:lang w:val="fr-CH"/>
        </w:rPr>
        <w:t>oeuvre</w:t>
      </w:r>
      <w:proofErr w:type="spellEnd"/>
      <w:r w:rsidRPr="000C6ABF">
        <w:rPr>
          <w:lang w:val="fr-CH"/>
        </w:rPr>
        <w:t xml:space="preserve"> des procédures en vue de recueillir les justificatifs des montants et autres données fournies dans les états financiers.</w:t>
      </w:r>
    </w:p>
    <w:p w:rsidR="008E750F" w:rsidRPr="000C6ABF" w:rsidRDefault="00ED1DAB" w:rsidP="00AB0C69">
      <w:pPr>
        <w:rPr>
          <w:lang w:val="fr-CH"/>
        </w:rPr>
      </w:pPr>
      <w:r w:rsidRPr="000C6ABF">
        <w:rPr>
          <w:lang w:val="fr-CH"/>
        </w:rPr>
        <w:t xml:space="preserve">Le choix des procédures est laissé à l'appréciation de l'auditeur, de même que l'évaluation du risque que les états financiers contiennent des inexactitudes significatives, que celles-ci résultent de fraudes ou d'erreurs. Pour évaluer ce risque, l'auditeur prend en compte le système de contrôle interne appliqué pour l'établissement et la présentation fidèle des états financiers, afin de définir les procédures d'audit appropriées en la circonstance, et non pour exprimer une opinion sur </w:t>
      </w:r>
      <w:r w:rsidR="008E750F" w:rsidRPr="000C6ABF">
        <w:rPr>
          <w:lang w:val="fr-CH"/>
        </w:rPr>
        <w:br w:type="page"/>
      </w:r>
    </w:p>
    <w:p w:rsidR="00ED1DAB" w:rsidRPr="000C6ABF" w:rsidRDefault="00ED1DAB" w:rsidP="00AB0C69">
      <w:pPr>
        <w:rPr>
          <w:lang w:val="fr-CH"/>
        </w:rPr>
      </w:pPr>
      <w:proofErr w:type="gramStart"/>
      <w:r w:rsidRPr="000C6ABF">
        <w:rPr>
          <w:lang w:val="fr-CH"/>
        </w:rPr>
        <w:lastRenderedPageBreak/>
        <w:t>l'efficience</w:t>
      </w:r>
      <w:proofErr w:type="gramEnd"/>
      <w:r w:rsidRPr="000C6ABF">
        <w:rPr>
          <w:lang w:val="fr-CH"/>
        </w:rPr>
        <w:t xml:space="preserve"> et l'efficacité du fonctionnement du système de contrôle interne. Un audit consiste également à apprécier la validité des principes comptables suivis et le caractère raisonnable des estimations faites par le Secrétaire général et à évaluer la présentation générale des états financiers.</w:t>
      </w:r>
    </w:p>
    <w:p w:rsidR="00ED1DAB" w:rsidRPr="000C6ABF" w:rsidRDefault="00ED1DAB" w:rsidP="00AB0C69">
      <w:pPr>
        <w:rPr>
          <w:lang w:val="fr-CH"/>
        </w:rPr>
      </w:pPr>
      <w:r w:rsidRPr="000C6ABF">
        <w:rPr>
          <w:lang w:val="fr-CH"/>
        </w:rPr>
        <w:t>Nous estimons que les justificatifs recueillis constituent une base suffisante et appropriée sur laquelle fonder notre opinion.</w:t>
      </w:r>
    </w:p>
    <w:p w:rsidR="00ED1DAB" w:rsidRPr="00834B79" w:rsidRDefault="00ED1DAB" w:rsidP="00834B79">
      <w:pPr>
        <w:rPr>
          <w:b/>
          <w:bCs/>
          <w:lang w:val="fr-CH"/>
        </w:rPr>
      </w:pPr>
      <w:bookmarkStart w:id="42" w:name="_Toc395260971"/>
      <w:bookmarkStart w:id="43" w:name="_Toc395511756"/>
      <w:bookmarkStart w:id="44" w:name="_Toc396386925"/>
      <w:bookmarkStart w:id="45" w:name="_Toc396387812"/>
      <w:r w:rsidRPr="00834B79">
        <w:rPr>
          <w:b/>
          <w:bCs/>
          <w:lang w:val="fr-CH"/>
        </w:rPr>
        <w:t>Exposé de la situation</w:t>
      </w:r>
      <w:bookmarkEnd w:id="42"/>
      <w:bookmarkEnd w:id="43"/>
      <w:bookmarkEnd w:id="44"/>
      <w:bookmarkEnd w:id="45"/>
    </w:p>
    <w:p w:rsidR="00ED1DAB" w:rsidRPr="000C6ABF" w:rsidRDefault="00ED1DAB" w:rsidP="00AB0C69">
      <w:pPr>
        <w:keepNext/>
        <w:keepLines/>
        <w:rPr>
          <w:lang w:val="fr-CH"/>
        </w:rPr>
      </w:pPr>
      <w:r w:rsidRPr="000C6ABF">
        <w:rPr>
          <w:lang w:val="fr-CH"/>
        </w:rPr>
        <w:t>L'état de la situation financière fait apparaître un actif net négatif (–196,2 M CHF) du à l'incidence des pertes comptabilisées directement dans la situation financière (–314,1 M CHF), qui s'explique essentiellement par les provisions prévues pour absorber les passifs actuariels de l'Assurance maladie après la cessation de service (ASHI). Notre analyse détaillée figure dans notre rapport. Des mesures sont actuellement prises par la direction qui a donné l'assurance qu'elle veillera à l'efficacité de ces mesures.</w:t>
      </w:r>
    </w:p>
    <w:p w:rsidR="00ED1DAB" w:rsidRPr="00834B79" w:rsidRDefault="00ED1DAB" w:rsidP="00834B79">
      <w:pPr>
        <w:rPr>
          <w:b/>
          <w:bCs/>
          <w:lang w:val="fr-CH"/>
        </w:rPr>
      </w:pPr>
      <w:bookmarkStart w:id="46" w:name="_Toc395260972"/>
      <w:bookmarkStart w:id="47" w:name="_Toc395511757"/>
      <w:bookmarkStart w:id="48" w:name="_Toc396386926"/>
      <w:bookmarkStart w:id="49" w:name="_Toc396387813"/>
      <w:r w:rsidRPr="00834B79">
        <w:rPr>
          <w:b/>
          <w:bCs/>
          <w:lang w:val="fr-CH"/>
        </w:rPr>
        <w:t>Opinion</w:t>
      </w:r>
      <w:bookmarkEnd w:id="46"/>
      <w:bookmarkEnd w:id="47"/>
      <w:bookmarkEnd w:id="48"/>
      <w:bookmarkEnd w:id="49"/>
    </w:p>
    <w:p w:rsidR="00ED1DAB" w:rsidRPr="000C6ABF" w:rsidRDefault="00ED1DAB" w:rsidP="00AB0C69">
      <w:pPr>
        <w:rPr>
          <w:lang w:val="fr-CH"/>
        </w:rPr>
      </w:pPr>
      <w:r w:rsidRPr="000C6ABF">
        <w:rPr>
          <w:lang w:val="fr-CH"/>
        </w:rPr>
        <w:t>Notre opinion est que les états financiers donnent une image fidèle, pour tous les points essentiels, de la situation financière de l'Union internationale des télécommunications pour l'exercice clos au 31 décembre 2013 ainsi que de sa performance financière, de l'évolution de ses actifs nets, de ses flux de trésorerie et de la comparaison entre les montants budgétisés et les montants effectifs, conformément aux normes IPSAS et au Règlement financier et Règles financières de l'Union.</w:t>
      </w:r>
    </w:p>
    <w:p w:rsidR="00ED1DAB" w:rsidRPr="000C6ABF" w:rsidRDefault="00ED1DAB" w:rsidP="00AB0C69">
      <w:pPr>
        <w:rPr>
          <w:lang w:val="fr-CH"/>
        </w:rPr>
      </w:pPr>
      <w:r w:rsidRPr="000C6ABF">
        <w:rPr>
          <w:lang w:val="fr-CH"/>
        </w:rPr>
        <w:t>Conformément au mandat additionnel pour la vérification extérieure des comptes qui fait l'objet de l'Annexe 1 du Règlement financier et des Règles financières de l'UIT, nous avons également publié un rapport détaillé, en date du 28 juillet 2014, sur notre audit des états financiers.</w:t>
      </w:r>
    </w:p>
    <w:p w:rsidR="00ED1DAB" w:rsidRPr="000C6ABF" w:rsidRDefault="00ED1DAB" w:rsidP="00834B79">
      <w:pPr>
        <w:spacing w:before="600" w:after="240"/>
        <w:rPr>
          <w:lang w:val="fr-CH"/>
        </w:rPr>
      </w:pPr>
      <w:r w:rsidRPr="000C6ABF">
        <w:rPr>
          <w:lang w:val="fr-CH"/>
        </w:rPr>
        <w:t>Rome, 28 juillet 2014.</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ED1DAB" w:rsidRPr="000C6ABF" w:rsidTr="001238BB">
        <w:trPr>
          <w:jc w:val="center"/>
        </w:trPr>
        <w:tc>
          <w:tcPr>
            <w:tcW w:w="4814" w:type="dxa"/>
          </w:tcPr>
          <w:p w:rsidR="00ED1DAB" w:rsidRPr="000C6ABF" w:rsidRDefault="00ED1DAB" w:rsidP="00AB0C69">
            <w:pPr>
              <w:spacing w:before="720"/>
              <w:jc w:val="center"/>
              <w:rPr>
                <w:i/>
                <w:iCs/>
                <w:lang w:val="fr-CH"/>
              </w:rPr>
            </w:pPr>
            <w:proofErr w:type="spellStart"/>
            <w:r w:rsidRPr="000C6ABF">
              <w:rPr>
                <w:i/>
                <w:iCs/>
                <w:lang w:val="fr-CH"/>
              </w:rPr>
              <w:t>Giacinto</w:t>
            </w:r>
            <w:proofErr w:type="spellEnd"/>
            <w:r w:rsidRPr="000C6ABF">
              <w:rPr>
                <w:i/>
                <w:iCs/>
                <w:lang w:val="fr-CH"/>
              </w:rPr>
              <w:t xml:space="preserve"> </w:t>
            </w:r>
            <w:proofErr w:type="spellStart"/>
            <w:r w:rsidRPr="000C6ABF">
              <w:rPr>
                <w:i/>
                <w:iCs/>
                <w:lang w:val="fr-CH"/>
              </w:rPr>
              <w:t>Dammicco</w:t>
            </w:r>
            <w:proofErr w:type="spellEnd"/>
            <w:r w:rsidRPr="000C6ABF">
              <w:rPr>
                <w:i/>
                <w:iCs/>
                <w:lang w:val="fr-CH"/>
              </w:rPr>
              <w:br/>
              <w:t>Membre de la Chambre des comptes pour les affaires européennes et internationales</w:t>
            </w:r>
            <w:r w:rsidRPr="000C6ABF">
              <w:rPr>
                <w:i/>
                <w:iCs/>
                <w:lang w:val="fr-CH"/>
              </w:rPr>
              <w:br/>
              <w:t>Cour des comptes de l'Italie</w:t>
            </w:r>
          </w:p>
        </w:tc>
        <w:tc>
          <w:tcPr>
            <w:tcW w:w="4815" w:type="dxa"/>
          </w:tcPr>
          <w:p w:rsidR="00ED1DAB" w:rsidRPr="000C6ABF" w:rsidRDefault="00ED1DAB" w:rsidP="00AB0C69">
            <w:pPr>
              <w:spacing w:before="720"/>
              <w:jc w:val="center"/>
              <w:rPr>
                <w:i/>
                <w:iCs/>
                <w:lang w:val="fr-CH"/>
              </w:rPr>
            </w:pPr>
            <w:r w:rsidRPr="000C6ABF">
              <w:rPr>
                <w:i/>
                <w:iCs/>
                <w:lang w:val="fr-CH"/>
              </w:rPr>
              <w:t xml:space="preserve">Carlo </w:t>
            </w:r>
            <w:proofErr w:type="spellStart"/>
            <w:r w:rsidRPr="000C6ABF">
              <w:rPr>
                <w:i/>
                <w:iCs/>
                <w:lang w:val="fr-CH"/>
              </w:rPr>
              <w:t>Mancinelli</w:t>
            </w:r>
            <w:proofErr w:type="spellEnd"/>
            <w:r w:rsidRPr="000C6ABF">
              <w:rPr>
                <w:i/>
                <w:iCs/>
                <w:lang w:val="fr-CH"/>
              </w:rPr>
              <w:br/>
              <w:t>Membre de la Chambre des comptes pour les affaires européennes et internationales</w:t>
            </w:r>
            <w:r w:rsidRPr="000C6ABF">
              <w:rPr>
                <w:i/>
                <w:iCs/>
                <w:lang w:val="fr-CH"/>
              </w:rPr>
              <w:br/>
              <w:t>Cour des comptes de l'Italie</w:t>
            </w:r>
          </w:p>
        </w:tc>
      </w:tr>
      <w:tr w:rsidR="00ED1DAB" w:rsidRPr="000C6ABF" w:rsidTr="001238BB">
        <w:trPr>
          <w:jc w:val="center"/>
        </w:trPr>
        <w:tc>
          <w:tcPr>
            <w:tcW w:w="9629" w:type="dxa"/>
            <w:gridSpan w:val="2"/>
          </w:tcPr>
          <w:p w:rsidR="00ED1DAB" w:rsidRPr="000C6ABF" w:rsidRDefault="00ED1DAB" w:rsidP="00AB0C69">
            <w:pPr>
              <w:spacing w:before="1200"/>
              <w:jc w:val="center"/>
              <w:rPr>
                <w:i/>
                <w:iCs/>
                <w:lang w:val="fr-CH"/>
              </w:rPr>
            </w:pPr>
            <w:r w:rsidRPr="000C6ABF">
              <w:rPr>
                <w:i/>
                <w:iCs/>
                <w:lang w:val="fr-CH"/>
              </w:rPr>
              <w:t xml:space="preserve">Ennio </w:t>
            </w:r>
            <w:proofErr w:type="spellStart"/>
            <w:r w:rsidRPr="000C6ABF">
              <w:rPr>
                <w:i/>
                <w:iCs/>
                <w:lang w:val="fr-CH"/>
              </w:rPr>
              <w:t>Colasanti</w:t>
            </w:r>
            <w:proofErr w:type="spellEnd"/>
            <w:r w:rsidRPr="000C6ABF">
              <w:rPr>
                <w:i/>
                <w:iCs/>
                <w:lang w:val="fr-CH"/>
              </w:rPr>
              <w:br/>
              <w:t xml:space="preserve">Président de la Chambre des comptes pour </w:t>
            </w:r>
            <w:r w:rsidRPr="000C6ABF">
              <w:rPr>
                <w:i/>
                <w:iCs/>
                <w:lang w:val="fr-CH"/>
              </w:rPr>
              <w:br/>
              <w:t>les affaires européennes et internationales</w:t>
            </w:r>
            <w:r w:rsidRPr="000C6ABF">
              <w:rPr>
                <w:i/>
                <w:iCs/>
                <w:lang w:val="fr-CH"/>
              </w:rPr>
              <w:br/>
              <w:t>Cour des comptes de l'Italie</w:t>
            </w:r>
          </w:p>
        </w:tc>
      </w:tr>
    </w:tbl>
    <w:p w:rsidR="00ED1DAB" w:rsidRPr="000C6ABF" w:rsidRDefault="00ED1DAB" w:rsidP="00AB0C69">
      <w:pPr>
        <w:rPr>
          <w:lang w:val="fr-CH"/>
        </w:rPr>
      </w:pPr>
    </w:p>
    <w:p w:rsidR="00786E16" w:rsidRPr="000C6ABF" w:rsidRDefault="00786E16" w:rsidP="00AB0C69">
      <w:pPr>
        <w:tabs>
          <w:tab w:val="clear" w:pos="567"/>
          <w:tab w:val="clear" w:pos="1134"/>
          <w:tab w:val="clear" w:pos="1701"/>
          <w:tab w:val="clear" w:pos="2268"/>
          <w:tab w:val="clear" w:pos="2835"/>
        </w:tabs>
        <w:overflowPunct/>
        <w:autoSpaceDE/>
        <w:autoSpaceDN/>
        <w:adjustRightInd/>
        <w:spacing w:before="0"/>
        <w:textAlignment w:val="auto"/>
        <w:rPr>
          <w:lang w:val="fr-CH"/>
        </w:rPr>
      </w:pPr>
      <w:r w:rsidRPr="000C6ABF">
        <w:rPr>
          <w:lang w:val="fr-CH"/>
        </w:rPr>
        <w:br w:type="page"/>
      </w:r>
    </w:p>
    <w:p w:rsidR="003B4003" w:rsidRPr="000C6ABF" w:rsidRDefault="007E1807" w:rsidP="008F7439">
      <w:pPr>
        <w:pStyle w:val="Heading1"/>
        <w:spacing w:before="360"/>
        <w:rPr>
          <w:lang w:val="fr-CH"/>
        </w:rPr>
      </w:pPr>
      <w:bookmarkStart w:id="50" w:name="_Toc358123264"/>
      <w:bookmarkStart w:id="51" w:name="_Toc396386927"/>
      <w:bookmarkStart w:id="52" w:name="_Toc396387814"/>
      <w:bookmarkStart w:id="53" w:name="_Toc396387928"/>
      <w:bookmarkStart w:id="54" w:name="_Toc398277613"/>
      <w:r w:rsidRPr="000C6ABF">
        <w:rPr>
          <w:lang w:val="fr-CH"/>
        </w:rPr>
        <w:lastRenderedPageBreak/>
        <w:t>STRUCTURE DES ÉTATS COMPTABLES</w:t>
      </w:r>
      <w:bookmarkEnd w:id="50"/>
      <w:bookmarkEnd w:id="51"/>
      <w:bookmarkEnd w:id="52"/>
      <w:bookmarkEnd w:id="53"/>
      <w:bookmarkEnd w:id="54"/>
    </w:p>
    <w:p w:rsidR="003B4003" w:rsidRPr="000C6ABF" w:rsidRDefault="003B4003" w:rsidP="00AB0C69">
      <w:pPr>
        <w:rPr>
          <w:lang w:val="fr-CH"/>
        </w:rPr>
      </w:pPr>
      <w:r w:rsidRPr="000C6ABF">
        <w:rPr>
          <w:lang w:val="fr-CH"/>
        </w:rPr>
        <w:t>1</w:t>
      </w:r>
      <w:r w:rsidRPr="000C6ABF">
        <w:rPr>
          <w:lang w:val="fr-CH"/>
        </w:rPr>
        <w:tab/>
        <w:t xml:space="preserve">Les états financiers de l'UIT, établis et présentés conformément à la norme </w:t>
      </w:r>
      <w:r w:rsidRPr="000C6ABF">
        <w:rPr>
          <w:spacing w:val="-3"/>
          <w:lang w:val="fr-CH"/>
        </w:rPr>
        <w:t>IPSAS 1, comprenaient les éléments suivants:</w:t>
      </w:r>
      <w:r w:rsidRPr="000C6ABF">
        <w:rPr>
          <w:lang w:val="fr-CH"/>
        </w:rPr>
        <w:t xml:space="preserve"> </w:t>
      </w:r>
    </w:p>
    <w:p w:rsidR="003B4003" w:rsidRPr="000C6ABF" w:rsidRDefault="003B4003" w:rsidP="008F7439">
      <w:pPr>
        <w:pStyle w:val="enumlev1"/>
        <w:spacing w:before="80"/>
        <w:rPr>
          <w:lang w:val="fr-CH"/>
        </w:rPr>
      </w:pPr>
      <w:r w:rsidRPr="000C6ABF">
        <w:rPr>
          <w:color w:val="000000"/>
          <w:lang w:val="fr-CH"/>
        </w:rPr>
        <w:t>•</w:t>
      </w:r>
      <w:r w:rsidRPr="000C6ABF">
        <w:rPr>
          <w:color w:val="000000"/>
          <w:lang w:val="fr-CH"/>
        </w:rPr>
        <w:tab/>
      </w:r>
      <w:r w:rsidRPr="008F7439">
        <w:rPr>
          <w:color w:val="000000"/>
          <w:lang w:val="fr-CH"/>
        </w:rPr>
        <w:t>Etat de la situation financière – bilan au</w:t>
      </w:r>
      <w:r w:rsidRPr="000C6ABF">
        <w:rPr>
          <w:color w:val="000000"/>
          <w:lang w:val="fr-CH"/>
        </w:rPr>
        <w:t xml:space="preserve"> </w:t>
      </w:r>
      <w:r w:rsidRPr="000C6ABF">
        <w:rPr>
          <w:lang w:val="fr-CH"/>
        </w:rPr>
        <w:t>31 décembre 201</w:t>
      </w:r>
      <w:r w:rsidR="00FD6DAD" w:rsidRPr="000C6ABF">
        <w:rPr>
          <w:lang w:val="fr-CH"/>
        </w:rPr>
        <w:t>3</w:t>
      </w:r>
      <w:r w:rsidRPr="000C6ABF">
        <w:rPr>
          <w:lang w:val="fr-CH"/>
        </w:rPr>
        <w:t>, avec chiffres comparatifs au 31 décembre 201</w:t>
      </w:r>
      <w:r w:rsidR="00C325DE" w:rsidRPr="000C6ABF">
        <w:rPr>
          <w:lang w:val="fr-CH"/>
        </w:rPr>
        <w:t>2</w:t>
      </w:r>
      <w:r w:rsidRPr="000C6ABF">
        <w:rPr>
          <w:lang w:val="fr-CH"/>
        </w:rPr>
        <w:t>, indiquant les actifs (classés en actifs courants ou non courants), les passifs (classés en passifs courants ou non courants), et les actifs nets.</w:t>
      </w:r>
    </w:p>
    <w:p w:rsidR="003B4003" w:rsidRPr="008F7439" w:rsidRDefault="003B4003" w:rsidP="008F7439">
      <w:pPr>
        <w:pStyle w:val="enumlev1"/>
        <w:spacing w:before="80"/>
        <w:rPr>
          <w:lang w:val="fr-CH"/>
        </w:rPr>
      </w:pPr>
      <w:r w:rsidRPr="000C6ABF">
        <w:rPr>
          <w:color w:val="000000"/>
          <w:lang w:val="fr-CH"/>
        </w:rPr>
        <w:t>•</w:t>
      </w:r>
      <w:r w:rsidRPr="000C6ABF">
        <w:rPr>
          <w:color w:val="000000"/>
          <w:lang w:val="fr-CH"/>
        </w:rPr>
        <w:tab/>
      </w:r>
      <w:r w:rsidRPr="008F7439">
        <w:rPr>
          <w:color w:val="000000"/>
          <w:lang w:val="fr-CH"/>
        </w:rPr>
        <w:t xml:space="preserve">Etat de la performance financière pour l'exercice clos le 31 décembre </w:t>
      </w:r>
      <w:r w:rsidRPr="008F7439">
        <w:rPr>
          <w:spacing w:val="-3"/>
          <w:lang w:val="fr-CH"/>
        </w:rPr>
        <w:t>201</w:t>
      </w:r>
      <w:r w:rsidR="00FD6DAD" w:rsidRPr="008F7439">
        <w:rPr>
          <w:spacing w:val="-3"/>
          <w:lang w:val="fr-CH"/>
        </w:rPr>
        <w:t>3</w:t>
      </w:r>
      <w:r w:rsidRPr="008F7439">
        <w:rPr>
          <w:lang w:val="fr-CH"/>
        </w:rPr>
        <w:t>,</w:t>
      </w:r>
      <w:r w:rsidR="008F7439" w:rsidRPr="008F7439">
        <w:rPr>
          <w:lang w:val="fr-CH"/>
        </w:rPr>
        <w:t xml:space="preserve"> </w:t>
      </w:r>
      <w:r w:rsidRPr="008F7439">
        <w:rPr>
          <w:lang w:val="fr-CH"/>
        </w:rPr>
        <w:t>avec chiffres comparatifs au 31 décembre 201</w:t>
      </w:r>
      <w:r w:rsidR="00FD6DAD" w:rsidRPr="008F7439">
        <w:rPr>
          <w:lang w:val="fr-CH"/>
        </w:rPr>
        <w:t>2</w:t>
      </w:r>
      <w:r w:rsidRPr="008F7439">
        <w:rPr>
          <w:lang w:val="fr-CH"/>
        </w:rPr>
        <w:t>, indiquant</w:t>
      </w:r>
      <w:r w:rsidRPr="008F7439">
        <w:rPr>
          <w:spacing w:val="-3"/>
          <w:lang w:val="fr-CH"/>
        </w:rPr>
        <w:t xml:space="preserve"> </w:t>
      </w:r>
      <w:r w:rsidR="00C325DE" w:rsidRPr="008F7439">
        <w:rPr>
          <w:spacing w:val="-3"/>
          <w:lang w:val="fr-CH"/>
        </w:rPr>
        <w:t>l'excédent</w:t>
      </w:r>
      <w:r w:rsidRPr="008F7439">
        <w:rPr>
          <w:spacing w:val="-3"/>
          <w:lang w:val="fr-CH"/>
        </w:rPr>
        <w:t>/déficit pour l'exercice</w:t>
      </w:r>
      <w:r w:rsidR="00C325DE" w:rsidRPr="008F7439">
        <w:rPr>
          <w:spacing w:val="-3"/>
          <w:lang w:val="fr-CH"/>
        </w:rPr>
        <w:t xml:space="preserve"> financier</w:t>
      </w:r>
      <w:r w:rsidRPr="008F7439">
        <w:rPr>
          <w:lang w:val="fr-CH"/>
        </w:rPr>
        <w:t>.</w:t>
      </w:r>
    </w:p>
    <w:p w:rsidR="003B4003" w:rsidRPr="008F7439" w:rsidRDefault="003B4003" w:rsidP="008F7439">
      <w:pPr>
        <w:pStyle w:val="enumlev1"/>
        <w:spacing w:before="80"/>
        <w:rPr>
          <w:spacing w:val="1"/>
          <w:lang w:val="fr-CH"/>
        </w:rPr>
      </w:pPr>
      <w:r w:rsidRPr="008F7439">
        <w:rPr>
          <w:color w:val="000000"/>
          <w:lang w:val="fr-CH"/>
        </w:rPr>
        <w:t>•</w:t>
      </w:r>
      <w:r w:rsidRPr="008F7439">
        <w:rPr>
          <w:color w:val="000000"/>
          <w:lang w:val="fr-CH"/>
        </w:rPr>
        <w:tab/>
        <w:t xml:space="preserve">Etat des variations de l'actif net pour l'exercice clos le 31 décembre </w:t>
      </w:r>
      <w:r w:rsidRPr="008F7439">
        <w:rPr>
          <w:spacing w:val="-3"/>
          <w:lang w:val="fr-CH"/>
        </w:rPr>
        <w:t>201</w:t>
      </w:r>
      <w:r w:rsidR="00FD6DAD" w:rsidRPr="008F7439">
        <w:rPr>
          <w:spacing w:val="-3"/>
          <w:lang w:val="fr-CH"/>
        </w:rPr>
        <w:t>3</w:t>
      </w:r>
      <w:r w:rsidRPr="008F7439">
        <w:rPr>
          <w:spacing w:val="-3"/>
          <w:lang w:val="fr-CH"/>
        </w:rPr>
        <w:t>, indiquant la valeur de</w:t>
      </w:r>
      <w:r w:rsidR="00C325DE" w:rsidRPr="008F7439">
        <w:rPr>
          <w:spacing w:val="-3"/>
          <w:lang w:val="fr-CH"/>
        </w:rPr>
        <w:t xml:space="preserve"> l'</w:t>
      </w:r>
      <w:r w:rsidRPr="008F7439">
        <w:rPr>
          <w:spacing w:val="-3"/>
          <w:lang w:val="fr-CH"/>
        </w:rPr>
        <w:t xml:space="preserve">actif net, y compris </w:t>
      </w:r>
      <w:r w:rsidR="00C325DE" w:rsidRPr="008F7439">
        <w:rPr>
          <w:spacing w:val="-3"/>
          <w:lang w:val="fr-CH"/>
        </w:rPr>
        <w:t>l'excédent</w:t>
      </w:r>
      <w:r w:rsidR="00CC145C" w:rsidRPr="008F7439">
        <w:rPr>
          <w:spacing w:val="-3"/>
          <w:lang w:val="fr-CH"/>
        </w:rPr>
        <w:t xml:space="preserve"> </w:t>
      </w:r>
      <w:r w:rsidRPr="008F7439">
        <w:rPr>
          <w:spacing w:val="-3"/>
          <w:lang w:val="fr-CH"/>
        </w:rPr>
        <w:t>ou le déficit pour l'exercice comprenant les pertes directement comptabilisées en actifs nets sans être transférées dans l'</w:t>
      </w:r>
      <w:r w:rsidRPr="008F7439">
        <w:rPr>
          <w:color w:val="000000"/>
          <w:lang w:val="fr-CH"/>
        </w:rPr>
        <w:t>état de la performance financière</w:t>
      </w:r>
      <w:r w:rsidRPr="008F7439">
        <w:rPr>
          <w:spacing w:val="1"/>
          <w:lang w:val="fr-CH"/>
        </w:rPr>
        <w:t>.</w:t>
      </w:r>
    </w:p>
    <w:p w:rsidR="003B4003" w:rsidRPr="008F7439" w:rsidRDefault="003B4003" w:rsidP="008F7439">
      <w:pPr>
        <w:pStyle w:val="enumlev1"/>
        <w:spacing w:before="80"/>
        <w:rPr>
          <w:lang w:val="fr-CH"/>
        </w:rPr>
      </w:pPr>
      <w:r w:rsidRPr="008F7439">
        <w:rPr>
          <w:lang w:val="fr-CH"/>
        </w:rPr>
        <w:t>•</w:t>
      </w:r>
      <w:r w:rsidRPr="008F7439">
        <w:rPr>
          <w:lang w:val="fr-CH"/>
        </w:rPr>
        <w:tab/>
      </w:r>
      <w:r w:rsidRPr="008F7439">
        <w:rPr>
          <w:color w:val="000000"/>
          <w:lang w:val="fr-CH"/>
        </w:rPr>
        <w:t xml:space="preserve">Tableau des flux de trésorerie pour l'exercice clos le 31 décembre </w:t>
      </w:r>
      <w:r w:rsidRPr="008F7439">
        <w:rPr>
          <w:lang w:val="fr-CH"/>
        </w:rPr>
        <w:t>201</w:t>
      </w:r>
      <w:r w:rsidR="00FD6DAD" w:rsidRPr="008F7439">
        <w:rPr>
          <w:lang w:val="fr-CH"/>
        </w:rPr>
        <w:t>3</w:t>
      </w:r>
      <w:r w:rsidRPr="008F7439">
        <w:rPr>
          <w:lang w:val="fr-CH"/>
        </w:rPr>
        <w:t xml:space="preserve">, indiquant les entrées et sorties de trésorerie et d'équivalents de trésorerie, concernant expressément les transactions opérationnelles, d'investissement et de financement et le montant total de la trésorerie à la fin de </w:t>
      </w:r>
      <w:r w:rsidRPr="008F7439">
        <w:rPr>
          <w:color w:val="000000"/>
          <w:lang w:val="fr-CH"/>
        </w:rPr>
        <w:t>l'exercice</w:t>
      </w:r>
      <w:r w:rsidRPr="008F7439">
        <w:rPr>
          <w:spacing w:val="1"/>
          <w:lang w:val="fr-CH"/>
        </w:rPr>
        <w:t>.</w:t>
      </w:r>
    </w:p>
    <w:p w:rsidR="00FD6DAD" w:rsidRPr="008F7439" w:rsidRDefault="00FD6DAD" w:rsidP="008F7439">
      <w:pPr>
        <w:pStyle w:val="enumlev1"/>
        <w:spacing w:before="80"/>
        <w:rPr>
          <w:lang w:val="fr-CH"/>
        </w:rPr>
      </w:pPr>
      <w:r w:rsidRPr="008F7439">
        <w:rPr>
          <w:lang w:val="fr-CH"/>
        </w:rPr>
        <w:t>•</w:t>
      </w:r>
      <w:r w:rsidRPr="008F7439">
        <w:rPr>
          <w:lang w:val="fr-CH"/>
        </w:rPr>
        <w:tab/>
        <w:t>Comparaison des montants budgétisés et des montants effectifs pour l'exercice 2013.</w:t>
      </w:r>
    </w:p>
    <w:p w:rsidR="00FD6DAD" w:rsidRPr="008F7439" w:rsidRDefault="00FD6DAD" w:rsidP="008F7439">
      <w:pPr>
        <w:pStyle w:val="enumlev1"/>
        <w:spacing w:before="80"/>
        <w:rPr>
          <w:lang w:val="fr-CH"/>
        </w:rPr>
      </w:pPr>
      <w:r w:rsidRPr="008F7439">
        <w:rPr>
          <w:lang w:val="fr-CH"/>
        </w:rPr>
        <w:t>•</w:t>
      </w:r>
      <w:r w:rsidRPr="008F7439">
        <w:rPr>
          <w:lang w:val="fr-CH"/>
        </w:rPr>
        <w:tab/>
        <w:t>Comparaison des montants budgétisés et des montants effectifs pour l</w:t>
      </w:r>
      <w:r w:rsidR="00AB0C69" w:rsidRPr="008F7439">
        <w:rPr>
          <w:lang w:val="fr-CH"/>
        </w:rPr>
        <w:t>'</w:t>
      </w:r>
      <w:r w:rsidR="003C1E55" w:rsidRPr="008F7439">
        <w:rPr>
          <w:lang w:val="fr-CH"/>
        </w:rPr>
        <w:t xml:space="preserve">exercice biennal </w:t>
      </w:r>
      <w:r w:rsidRPr="008F7439">
        <w:rPr>
          <w:lang w:val="fr-CH"/>
        </w:rPr>
        <w:t>2012</w:t>
      </w:r>
      <w:r w:rsidRPr="008F7439">
        <w:rPr>
          <w:lang w:val="fr-CH"/>
        </w:rPr>
        <w:noBreakHyphen/>
        <w:t>2013.</w:t>
      </w:r>
    </w:p>
    <w:p w:rsidR="003B4003" w:rsidRPr="000C6ABF" w:rsidRDefault="003B4003" w:rsidP="008F7439">
      <w:pPr>
        <w:pStyle w:val="enumlev1"/>
        <w:spacing w:before="80"/>
        <w:rPr>
          <w:lang w:val="fr-CH"/>
        </w:rPr>
      </w:pPr>
      <w:r w:rsidRPr="008F7439">
        <w:rPr>
          <w:lang w:val="fr-CH"/>
        </w:rPr>
        <w:t>•</w:t>
      </w:r>
      <w:r w:rsidRPr="008F7439">
        <w:rPr>
          <w:lang w:val="fr-CH"/>
        </w:rPr>
        <w:tab/>
        <w:t xml:space="preserve">Notes </w:t>
      </w:r>
      <w:r w:rsidR="00E97AF4" w:rsidRPr="008F7439">
        <w:rPr>
          <w:lang w:val="fr-CH"/>
        </w:rPr>
        <w:t>relatives aux états financiers</w:t>
      </w:r>
      <w:r w:rsidRPr="008F7439">
        <w:rPr>
          <w:lang w:val="fr-CH"/>
        </w:rPr>
        <w:t>, donnant</w:t>
      </w:r>
      <w:r w:rsidRPr="000C6ABF">
        <w:rPr>
          <w:lang w:val="fr-CH"/>
        </w:rPr>
        <w:t xml:space="preserve"> des renseignements sur les politiques comptables et les autres renseignements nécessaires à une présentation correcte.</w:t>
      </w:r>
    </w:p>
    <w:p w:rsidR="003B4003" w:rsidRPr="000C6ABF" w:rsidRDefault="003B4003" w:rsidP="008F7439">
      <w:pPr>
        <w:pStyle w:val="Heading1"/>
        <w:spacing w:before="360"/>
        <w:rPr>
          <w:lang w:val="fr-CH"/>
        </w:rPr>
      </w:pPr>
      <w:bookmarkStart w:id="55" w:name="_Toc358123265"/>
      <w:bookmarkStart w:id="56" w:name="_Toc396386928"/>
      <w:bookmarkStart w:id="57" w:name="_Toc396387815"/>
      <w:bookmarkStart w:id="58" w:name="_Toc396387929"/>
      <w:bookmarkStart w:id="59" w:name="_Toc398277614"/>
      <w:bookmarkStart w:id="60" w:name="_Toc356330870"/>
      <w:r w:rsidRPr="000C6ABF">
        <w:rPr>
          <w:lang w:val="fr-CH"/>
        </w:rPr>
        <w:t>ETATS DE LA SITUATION FINANCI</w:t>
      </w:r>
      <w:r w:rsidR="008F7439">
        <w:rPr>
          <w:lang w:val="fr-CH"/>
        </w:rPr>
        <w:t>È</w:t>
      </w:r>
      <w:r w:rsidRPr="000C6ABF">
        <w:rPr>
          <w:lang w:val="fr-CH"/>
        </w:rPr>
        <w:t>RE EN 201</w:t>
      </w:r>
      <w:bookmarkEnd w:id="55"/>
      <w:r w:rsidR="00E97AF4" w:rsidRPr="000C6ABF">
        <w:rPr>
          <w:lang w:val="fr-CH"/>
        </w:rPr>
        <w:t>3</w:t>
      </w:r>
      <w:bookmarkEnd w:id="56"/>
      <w:bookmarkEnd w:id="57"/>
      <w:bookmarkEnd w:id="58"/>
      <w:bookmarkEnd w:id="59"/>
    </w:p>
    <w:p w:rsidR="003B4003" w:rsidRPr="000C6ABF" w:rsidRDefault="003B4003" w:rsidP="008F7439">
      <w:pPr>
        <w:pStyle w:val="Headingb"/>
        <w:spacing w:before="140"/>
        <w:rPr>
          <w:lang w:val="fr-CH"/>
        </w:rPr>
      </w:pPr>
      <w:bookmarkStart w:id="61" w:name="_Toc358123266"/>
      <w:bookmarkStart w:id="62" w:name="_Toc396386929"/>
      <w:bookmarkStart w:id="63" w:name="_Toc396387816"/>
      <w:bookmarkStart w:id="64" w:name="_Toc396387930"/>
      <w:bookmarkStart w:id="65" w:name="_Toc398277615"/>
      <w:bookmarkEnd w:id="60"/>
      <w:r w:rsidRPr="000C6ABF">
        <w:rPr>
          <w:lang w:val="fr-CH"/>
        </w:rPr>
        <w:t>Actifs</w:t>
      </w:r>
      <w:bookmarkEnd w:id="61"/>
      <w:bookmarkEnd w:id="62"/>
      <w:bookmarkEnd w:id="63"/>
      <w:bookmarkEnd w:id="64"/>
      <w:bookmarkEnd w:id="65"/>
    </w:p>
    <w:p w:rsidR="003B4003" w:rsidRPr="000C6ABF" w:rsidRDefault="003B4003" w:rsidP="008F7439">
      <w:pPr>
        <w:spacing w:before="100"/>
        <w:rPr>
          <w:lang w:val="fr-CH"/>
        </w:rPr>
      </w:pPr>
      <w:r w:rsidRPr="000C6ABF">
        <w:rPr>
          <w:lang w:val="fr-CH"/>
        </w:rPr>
        <w:t>2</w:t>
      </w:r>
      <w:r w:rsidRPr="000C6ABF">
        <w:rPr>
          <w:lang w:val="fr-CH"/>
        </w:rPr>
        <w:tab/>
        <w:t>En 201</w:t>
      </w:r>
      <w:r w:rsidR="00E97AF4" w:rsidRPr="000C6ABF">
        <w:rPr>
          <w:lang w:val="fr-CH"/>
        </w:rPr>
        <w:t>3</w:t>
      </w:r>
      <w:r w:rsidRPr="000C6ABF">
        <w:rPr>
          <w:lang w:val="fr-CH"/>
        </w:rPr>
        <w:t>, les actifs se sont chiffrés à 3</w:t>
      </w:r>
      <w:r w:rsidR="00E97AF4" w:rsidRPr="000C6ABF">
        <w:rPr>
          <w:lang w:val="fr-CH"/>
        </w:rPr>
        <w:t>5</w:t>
      </w:r>
      <w:r w:rsidRPr="000C6ABF">
        <w:rPr>
          <w:lang w:val="fr-CH"/>
        </w:rPr>
        <w:t>6</w:t>
      </w:r>
      <w:r w:rsidR="00E97AF4" w:rsidRPr="000C6ABF">
        <w:rPr>
          <w:lang w:val="fr-CH"/>
        </w:rPr>
        <w:t>,</w:t>
      </w:r>
      <w:r w:rsidRPr="000C6ABF">
        <w:rPr>
          <w:lang w:val="fr-CH"/>
        </w:rPr>
        <w:t xml:space="preserve">0 millions CHF, en baisse de </w:t>
      </w:r>
      <w:r w:rsidR="00E97AF4" w:rsidRPr="000C6ABF">
        <w:rPr>
          <w:lang w:val="fr-CH"/>
        </w:rPr>
        <w:t>4</w:t>
      </w:r>
      <w:r w:rsidRPr="000C6ABF">
        <w:rPr>
          <w:lang w:val="fr-CH"/>
        </w:rPr>
        <w:t>,</w:t>
      </w:r>
      <w:r w:rsidR="00E97AF4" w:rsidRPr="000C6ABF">
        <w:rPr>
          <w:lang w:val="fr-CH"/>
        </w:rPr>
        <w:t>3</w:t>
      </w:r>
      <w:r w:rsidRPr="000C6ABF">
        <w:rPr>
          <w:lang w:val="fr-CH"/>
        </w:rPr>
        <w:t xml:space="preserve"> millions CHF (–</w:t>
      </w:r>
      <w:r w:rsidR="00E97AF4" w:rsidRPr="000C6ABF">
        <w:rPr>
          <w:lang w:val="fr-CH"/>
        </w:rPr>
        <w:t>1</w:t>
      </w:r>
      <w:r w:rsidRPr="000C6ABF">
        <w:rPr>
          <w:lang w:val="fr-CH"/>
        </w:rPr>
        <w:t>,</w:t>
      </w:r>
      <w:r w:rsidR="00E97AF4" w:rsidRPr="000C6ABF">
        <w:rPr>
          <w:lang w:val="fr-CH"/>
        </w:rPr>
        <w:t>2</w:t>
      </w:r>
      <w:r w:rsidRPr="000C6ABF">
        <w:rPr>
          <w:lang w:val="fr-CH"/>
        </w:rPr>
        <w:t>%) par rapport à la valeur comptabilisée en 201</w:t>
      </w:r>
      <w:r w:rsidR="00E97AF4" w:rsidRPr="000C6ABF">
        <w:rPr>
          <w:lang w:val="fr-CH"/>
        </w:rPr>
        <w:t>2</w:t>
      </w:r>
      <w:r w:rsidRPr="000C6ABF">
        <w:rPr>
          <w:lang w:val="fr-CH"/>
        </w:rPr>
        <w:t xml:space="preserve"> (3</w:t>
      </w:r>
      <w:r w:rsidR="00E97AF4" w:rsidRPr="000C6ABF">
        <w:rPr>
          <w:lang w:val="fr-CH"/>
        </w:rPr>
        <w:t>60</w:t>
      </w:r>
      <w:r w:rsidRPr="000C6ABF">
        <w:rPr>
          <w:lang w:val="fr-CH"/>
        </w:rPr>
        <w:t>,3 millions CHF).</w:t>
      </w:r>
    </w:p>
    <w:p w:rsidR="003B4003" w:rsidRPr="000C6ABF" w:rsidRDefault="003B4003" w:rsidP="008F7439">
      <w:pPr>
        <w:spacing w:before="100"/>
        <w:rPr>
          <w:lang w:val="fr-CH"/>
        </w:rPr>
      </w:pPr>
      <w:r w:rsidRPr="000C6ABF">
        <w:rPr>
          <w:lang w:val="fr-CH"/>
        </w:rPr>
        <w:t>3</w:t>
      </w:r>
      <w:r w:rsidRPr="000C6ABF">
        <w:rPr>
          <w:lang w:val="fr-CH"/>
        </w:rPr>
        <w:tab/>
        <w:t xml:space="preserve">Ces actifs comprenaient des actifs courants, d'un montant de </w:t>
      </w:r>
      <w:r w:rsidR="00357A2C" w:rsidRPr="000C6ABF">
        <w:rPr>
          <w:lang w:val="fr-CH"/>
        </w:rPr>
        <w:t>241</w:t>
      </w:r>
      <w:r w:rsidRPr="000C6ABF">
        <w:rPr>
          <w:lang w:val="fr-CH"/>
        </w:rPr>
        <w:t>,</w:t>
      </w:r>
      <w:r w:rsidR="00357A2C" w:rsidRPr="000C6ABF">
        <w:rPr>
          <w:lang w:val="fr-CH"/>
        </w:rPr>
        <w:t>1</w:t>
      </w:r>
      <w:r w:rsidRPr="000C6ABF">
        <w:rPr>
          <w:lang w:val="fr-CH"/>
        </w:rPr>
        <w:t xml:space="preserve"> millions CHF, soit 67,</w:t>
      </w:r>
      <w:r w:rsidR="00357A2C" w:rsidRPr="000C6ABF">
        <w:rPr>
          <w:lang w:val="fr-CH"/>
        </w:rPr>
        <w:t>7</w:t>
      </w:r>
      <w:r w:rsidRPr="000C6ABF">
        <w:rPr>
          <w:lang w:val="fr-CH"/>
        </w:rPr>
        <w:t xml:space="preserve">% du total des actifs (soit </w:t>
      </w:r>
      <w:r w:rsidR="003C1E55" w:rsidRPr="000C6ABF">
        <w:rPr>
          <w:lang w:val="fr-CH"/>
        </w:rPr>
        <w:t xml:space="preserve">légèrement plus </w:t>
      </w:r>
      <w:r w:rsidRPr="000C6ABF">
        <w:rPr>
          <w:lang w:val="fr-CH"/>
        </w:rPr>
        <w:t>qu'en 201</w:t>
      </w:r>
      <w:r w:rsidR="00357A2C" w:rsidRPr="000C6ABF">
        <w:rPr>
          <w:lang w:val="fr-CH"/>
        </w:rPr>
        <w:t>2</w:t>
      </w:r>
      <w:r w:rsidRPr="000C6ABF">
        <w:rPr>
          <w:lang w:val="fr-CH"/>
        </w:rPr>
        <w:t>, à savoir 67,4%), et des actifs non courants, d'un montant équivalant à 11</w:t>
      </w:r>
      <w:r w:rsidR="00357A2C" w:rsidRPr="000C6ABF">
        <w:rPr>
          <w:lang w:val="fr-CH"/>
        </w:rPr>
        <w:t>5</w:t>
      </w:r>
      <w:r w:rsidRPr="000C6ABF">
        <w:rPr>
          <w:lang w:val="fr-CH"/>
        </w:rPr>
        <w:t>,</w:t>
      </w:r>
      <w:r w:rsidR="00357A2C" w:rsidRPr="000C6ABF">
        <w:rPr>
          <w:lang w:val="fr-CH"/>
        </w:rPr>
        <w:t>0</w:t>
      </w:r>
      <w:r w:rsidRPr="000C6ABF">
        <w:rPr>
          <w:lang w:val="fr-CH"/>
        </w:rPr>
        <w:t xml:space="preserve"> millions CHF, soit 32,</w:t>
      </w:r>
      <w:r w:rsidR="00357A2C" w:rsidRPr="000C6ABF">
        <w:rPr>
          <w:lang w:val="fr-CH"/>
        </w:rPr>
        <w:t>3</w:t>
      </w:r>
      <w:r w:rsidRPr="000C6ABF">
        <w:rPr>
          <w:lang w:val="fr-CH"/>
        </w:rPr>
        <w:t>% du total des actifs (32,6%</w:t>
      </w:r>
      <w:r w:rsidR="00943F41" w:rsidRPr="000C6ABF">
        <w:rPr>
          <w:lang w:val="fr-CH"/>
        </w:rPr>
        <w:t xml:space="preserve"> en 2012</w:t>
      </w:r>
      <w:r w:rsidRPr="000C6ABF">
        <w:rPr>
          <w:lang w:val="fr-CH"/>
        </w:rPr>
        <w:t>).</w:t>
      </w:r>
    </w:p>
    <w:p w:rsidR="003B4003" w:rsidRPr="000C6ABF" w:rsidRDefault="003B4003" w:rsidP="00AB0C69">
      <w:pPr>
        <w:pStyle w:val="Headingb"/>
        <w:rPr>
          <w:lang w:val="fr-CH"/>
        </w:rPr>
      </w:pPr>
      <w:bookmarkStart w:id="66" w:name="_Toc358123267"/>
      <w:bookmarkStart w:id="67" w:name="_Toc396386930"/>
      <w:bookmarkStart w:id="68" w:name="_Toc396387817"/>
      <w:bookmarkStart w:id="69" w:name="_Toc396387931"/>
      <w:bookmarkStart w:id="70" w:name="_Toc398277616"/>
      <w:r w:rsidRPr="000C6ABF">
        <w:rPr>
          <w:lang w:val="fr-CH"/>
        </w:rPr>
        <w:t>Actifs courants</w:t>
      </w:r>
      <w:bookmarkEnd w:id="66"/>
      <w:bookmarkEnd w:id="67"/>
      <w:bookmarkEnd w:id="68"/>
      <w:bookmarkEnd w:id="69"/>
      <w:bookmarkEnd w:id="70"/>
    </w:p>
    <w:p w:rsidR="003B4003" w:rsidRPr="000C6ABF" w:rsidRDefault="003B4003" w:rsidP="008F7439">
      <w:pPr>
        <w:spacing w:before="100"/>
        <w:rPr>
          <w:lang w:val="fr-CH"/>
        </w:rPr>
      </w:pPr>
      <w:r w:rsidRPr="000C6ABF">
        <w:rPr>
          <w:lang w:val="fr-CH"/>
        </w:rPr>
        <w:t>4</w:t>
      </w:r>
      <w:r w:rsidRPr="000C6ABF">
        <w:rPr>
          <w:lang w:val="fr-CH"/>
        </w:rPr>
        <w:tab/>
        <w:t>En 201</w:t>
      </w:r>
      <w:r w:rsidR="00357A2C" w:rsidRPr="000C6ABF">
        <w:rPr>
          <w:lang w:val="fr-CH"/>
        </w:rPr>
        <w:t>3</w:t>
      </w:r>
      <w:r w:rsidRPr="000C6ABF">
        <w:rPr>
          <w:lang w:val="fr-CH"/>
        </w:rPr>
        <w:t>, le total des actifs courants s'est établi à 24</w:t>
      </w:r>
      <w:r w:rsidR="00357A2C" w:rsidRPr="000C6ABF">
        <w:rPr>
          <w:lang w:val="fr-CH"/>
        </w:rPr>
        <w:t>1</w:t>
      </w:r>
      <w:r w:rsidRPr="000C6ABF">
        <w:rPr>
          <w:lang w:val="fr-CH"/>
        </w:rPr>
        <w:t>,</w:t>
      </w:r>
      <w:r w:rsidR="00357A2C" w:rsidRPr="000C6ABF">
        <w:rPr>
          <w:lang w:val="fr-CH"/>
        </w:rPr>
        <w:t>1</w:t>
      </w:r>
      <w:r w:rsidRPr="000C6ABF">
        <w:rPr>
          <w:lang w:val="fr-CH"/>
        </w:rPr>
        <w:t xml:space="preserve"> millions CHF, en baisse de </w:t>
      </w:r>
      <w:r w:rsidR="00A37AC8" w:rsidRPr="000C6ABF">
        <w:rPr>
          <w:lang w:val="fr-CH"/>
        </w:rPr>
        <w:t>1</w:t>
      </w:r>
      <w:r w:rsidRPr="000C6ABF">
        <w:rPr>
          <w:lang w:val="fr-CH"/>
        </w:rPr>
        <w:t>,</w:t>
      </w:r>
      <w:r w:rsidR="00A37AC8" w:rsidRPr="000C6ABF">
        <w:rPr>
          <w:lang w:val="fr-CH"/>
        </w:rPr>
        <w:t>9</w:t>
      </w:r>
      <w:r w:rsidRPr="000C6ABF">
        <w:rPr>
          <w:lang w:val="fr-CH"/>
        </w:rPr>
        <w:t> million CHF (–</w:t>
      </w:r>
      <w:r w:rsidR="00A37AC8" w:rsidRPr="000C6ABF">
        <w:rPr>
          <w:lang w:val="fr-CH"/>
        </w:rPr>
        <w:t>0</w:t>
      </w:r>
      <w:r w:rsidRPr="000C6ABF">
        <w:rPr>
          <w:lang w:val="fr-CH"/>
        </w:rPr>
        <w:t>,</w:t>
      </w:r>
      <w:r w:rsidR="00A37AC8" w:rsidRPr="000C6ABF">
        <w:rPr>
          <w:lang w:val="fr-CH"/>
        </w:rPr>
        <w:t>8</w:t>
      </w:r>
      <w:r w:rsidRPr="000C6ABF">
        <w:rPr>
          <w:lang w:val="fr-CH"/>
        </w:rPr>
        <w:t>%) par rapport à 201</w:t>
      </w:r>
      <w:r w:rsidR="00A37AC8" w:rsidRPr="000C6ABF">
        <w:rPr>
          <w:lang w:val="fr-CH"/>
        </w:rPr>
        <w:t>2</w:t>
      </w:r>
      <w:r w:rsidRPr="000C6ABF">
        <w:rPr>
          <w:lang w:val="fr-CH"/>
        </w:rPr>
        <w:t xml:space="preserve"> (2</w:t>
      </w:r>
      <w:r w:rsidR="00A37AC8" w:rsidRPr="000C6ABF">
        <w:rPr>
          <w:lang w:val="fr-CH"/>
        </w:rPr>
        <w:t>43</w:t>
      </w:r>
      <w:r w:rsidRPr="000C6ABF">
        <w:rPr>
          <w:lang w:val="fr-CH"/>
        </w:rPr>
        <w:t>,</w:t>
      </w:r>
      <w:r w:rsidR="00A37AC8" w:rsidRPr="000C6ABF">
        <w:rPr>
          <w:lang w:val="fr-CH"/>
        </w:rPr>
        <w:t>0</w:t>
      </w:r>
      <w:r w:rsidRPr="000C6ABF">
        <w:rPr>
          <w:lang w:val="fr-CH"/>
        </w:rPr>
        <w:t xml:space="preserve"> millions CHF).</w:t>
      </w:r>
      <w:r w:rsidR="00A37AC8" w:rsidRPr="000C6ABF">
        <w:rPr>
          <w:lang w:val="fr-CH"/>
        </w:rPr>
        <w:t xml:space="preserve"> </w:t>
      </w:r>
      <w:r w:rsidR="00CC145C" w:rsidRPr="000C6ABF">
        <w:rPr>
          <w:lang w:val="fr-CH"/>
        </w:rPr>
        <w:t xml:space="preserve">Globalement, ce recul </w:t>
      </w:r>
      <w:r w:rsidR="00D52AA9" w:rsidRPr="000C6ABF">
        <w:rPr>
          <w:lang w:val="fr-CH"/>
        </w:rPr>
        <w:t>est imputable</w:t>
      </w:r>
      <w:r w:rsidR="00943F41" w:rsidRPr="000C6ABF">
        <w:rPr>
          <w:lang w:val="fr-CH"/>
        </w:rPr>
        <w:t xml:space="preserve"> uniquement </w:t>
      </w:r>
      <w:r w:rsidR="00D52AA9" w:rsidRPr="000C6ABF">
        <w:rPr>
          <w:lang w:val="fr-CH"/>
        </w:rPr>
        <w:t xml:space="preserve">à </w:t>
      </w:r>
      <w:r w:rsidR="00943F41" w:rsidRPr="000C6ABF">
        <w:rPr>
          <w:lang w:val="fr-CH"/>
        </w:rPr>
        <w:t xml:space="preserve">la </w:t>
      </w:r>
      <w:r w:rsidR="00CC145C" w:rsidRPr="000C6ABF">
        <w:rPr>
          <w:lang w:val="fr-CH"/>
        </w:rPr>
        <w:t xml:space="preserve">baisse de </w:t>
      </w:r>
      <w:r w:rsidR="008F7439">
        <w:rPr>
          <w:lang w:val="fr-CH"/>
        </w:rPr>
        <w:t xml:space="preserve">la </w:t>
      </w:r>
      <w:r w:rsidR="00943F41" w:rsidRPr="000C6ABF">
        <w:rPr>
          <w:lang w:val="fr-CH"/>
        </w:rPr>
        <w:t xml:space="preserve">trésorerie et </w:t>
      </w:r>
      <w:r w:rsidR="00CC145C" w:rsidRPr="000C6ABF">
        <w:rPr>
          <w:lang w:val="fr-CH"/>
        </w:rPr>
        <w:t xml:space="preserve">des </w:t>
      </w:r>
      <w:r w:rsidR="00943F41" w:rsidRPr="000C6ABF">
        <w:rPr>
          <w:lang w:val="fr-CH"/>
        </w:rPr>
        <w:t>équivalents de trésorerie</w:t>
      </w:r>
      <w:r w:rsidR="00A37AC8" w:rsidRPr="000C6ABF">
        <w:rPr>
          <w:lang w:val="fr-CH"/>
        </w:rPr>
        <w:t xml:space="preserve"> </w:t>
      </w:r>
      <w:r w:rsidR="008F7439">
        <w:rPr>
          <w:lang w:val="fr-CH"/>
        </w:rPr>
        <w:br/>
      </w:r>
      <w:r w:rsidR="00A37AC8" w:rsidRPr="000C6ABF">
        <w:rPr>
          <w:lang w:val="fr-CH"/>
        </w:rPr>
        <w:t>(–20,2 millions</w:t>
      </w:r>
      <w:r w:rsidR="008F7439">
        <w:rPr>
          <w:lang w:val="fr-CH"/>
        </w:rPr>
        <w:t> </w:t>
      </w:r>
      <w:r w:rsidR="00A37AC8" w:rsidRPr="000C6ABF">
        <w:rPr>
          <w:lang w:val="fr-CH"/>
        </w:rPr>
        <w:t xml:space="preserve">CHF) </w:t>
      </w:r>
      <w:r w:rsidR="00943F41" w:rsidRPr="000C6ABF">
        <w:rPr>
          <w:lang w:val="fr-CH"/>
        </w:rPr>
        <w:t>ainsi qu</w:t>
      </w:r>
      <w:r w:rsidR="00CC145C" w:rsidRPr="000C6ABF">
        <w:rPr>
          <w:lang w:val="fr-CH"/>
        </w:rPr>
        <w:t xml:space="preserve">e des </w:t>
      </w:r>
      <w:r w:rsidR="00943F41" w:rsidRPr="000C6ABF">
        <w:rPr>
          <w:lang w:val="fr-CH"/>
        </w:rPr>
        <w:t>créances liées aux contributions</w:t>
      </w:r>
      <w:r w:rsidR="00A37AC8" w:rsidRPr="000C6ABF">
        <w:rPr>
          <w:lang w:val="fr-CH"/>
        </w:rPr>
        <w:t xml:space="preserve"> </w:t>
      </w:r>
      <w:r w:rsidR="00943F41" w:rsidRPr="000C6ABF">
        <w:rPr>
          <w:lang w:val="fr-CH"/>
        </w:rPr>
        <w:t>(–1,2 million CHF)</w:t>
      </w:r>
      <w:r w:rsidR="00CC145C" w:rsidRPr="000C6ABF">
        <w:rPr>
          <w:lang w:val="fr-CH"/>
        </w:rPr>
        <w:t>.</w:t>
      </w:r>
      <w:r w:rsidR="00943F41" w:rsidRPr="000C6ABF">
        <w:rPr>
          <w:lang w:val="fr-CH"/>
        </w:rPr>
        <w:t xml:space="preserve"> </w:t>
      </w:r>
      <w:r w:rsidR="00CC145C" w:rsidRPr="000C6ABF">
        <w:rPr>
          <w:lang w:val="fr-CH"/>
        </w:rPr>
        <w:t>L</w:t>
      </w:r>
      <w:r w:rsidR="00943F41" w:rsidRPr="000C6ABF">
        <w:rPr>
          <w:lang w:val="fr-CH"/>
        </w:rPr>
        <w:t xml:space="preserve">es placements </w:t>
      </w:r>
      <w:r w:rsidR="00A37AC8" w:rsidRPr="000C6ABF">
        <w:rPr>
          <w:lang w:val="fr-CH"/>
        </w:rPr>
        <w:t xml:space="preserve">(+16,2 millions CHF), </w:t>
      </w:r>
      <w:r w:rsidR="0098594D" w:rsidRPr="000C6ABF">
        <w:rPr>
          <w:lang w:val="fr-CH"/>
        </w:rPr>
        <w:t>les créances issues d</w:t>
      </w:r>
      <w:r w:rsidR="00AB0C69" w:rsidRPr="000C6ABF">
        <w:rPr>
          <w:lang w:val="fr-CH"/>
        </w:rPr>
        <w:t>'</w:t>
      </w:r>
      <w:r w:rsidR="0098594D" w:rsidRPr="000C6ABF">
        <w:rPr>
          <w:lang w:val="fr-CH"/>
        </w:rPr>
        <w:t>opérations avec contrepartie directe (</w:t>
      </w:r>
      <w:r w:rsidR="00A37AC8" w:rsidRPr="000C6ABF">
        <w:rPr>
          <w:lang w:val="fr-CH"/>
        </w:rPr>
        <w:t xml:space="preserve">+2,2 millions CHF) </w:t>
      </w:r>
      <w:r w:rsidR="0098594D" w:rsidRPr="000C6ABF">
        <w:rPr>
          <w:lang w:val="fr-CH"/>
        </w:rPr>
        <w:t>et</w:t>
      </w:r>
      <w:r w:rsidR="00A47698" w:rsidRPr="000C6ABF">
        <w:rPr>
          <w:lang w:val="fr-CH"/>
        </w:rPr>
        <w:t xml:space="preserve"> </w:t>
      </w:r>
      <w:r w:rsidR="0098594D" w:rsidRPr="000C6ABF">
        <w:rPr>
          <w:lang w:val="fr-CH"/>
        </w:rPr>
        <w:t>les créances sans contrepartie directe</w:t>
      </w:r>
      <w:r w:rsidR="00A37AC8" w:rsidRPr="000C6ABF">
        <w:rPr>
          <w:lang w:val="fr-CH"/>
        </w:rPr>
        <w:t xml:space="preserve"> (+1,0 </w:t>
      </w:r>
      <w:r w:rsidR="008A67C3" w:rsidRPr="000C6ABF">
        <w:rPr>
          <w:lang w:val="fr-CH"/>
        </w:rPr>
        <w:t>million CHF</w:t>
      </w:r>
      <w:r w:rsidR="00A37AC8" w:rsidRPr="000C6ABF">
        <w:rPr>
          <w:lang w:val="fr-CH"/>
        </w:rPr>
        <w:t xml:space="preserve">) </w:t>
      </w:r>
      <w:r w:rsidR="0098594D" w:rsidRPr="000C6ABF">
        <w:rPr>
          <w:lang w:val="fr-CH"/>
        </w:rPr>
        <w:t xml:space="preserve">ont </w:t>
      </w:r>
      <w:r w:rsidR="00CC145C" w:rsidRPr="000C6ABF">
        <w:rPr>
          <w:lang w:val="fr-CH"/>
        </w:rPr>
        <w:t xml:space="preserve">quant à eux </w:t>
      </w:r>
      <w:r w:rsidR="0098594D" w:rsidRPr="000C6ABF">
        <w:rPr>
          <w:lang w:val="fr-CH"/>
        </w:rPr>
        <w:t>augmenté.</w:t>
      </w:r>
      <w:r w:rsidR="00A37AC8" w:rsidRPr="000C6ABF">
        <w:rPr>
          <w:lang w:val="fr-CH"/>
        </w:rPr>
        <w:t xml:space="preserve"> </w:t>
      </w:r>
      <w:r w:rsidRPr="000C6ABF">
        <w:rPr>
          <w:lang w:val="fr-CH"/>
        </w:rPr>
        <w:t>Les bases de l'évaluation des actifs courants sont décrites dans l</w:t>
      </w:r>
      <w:r w:rsidR="00D52AA9" w:rsidRPr="000C6ABF">
        <w:rPr>
          <w:lang w:val="fr-CH"/>
        </w:rPr>
        <w:t xml:space="preserve">a Note 3 </w:t>
      </w:r>
      <w:r w:rsidR="00CC145C" w:rsidRPr="000C6ABF">
        <w:rPr>
          <w:lang w:val="fr-CH"/>
        </w:rPr>
        <w:t>"</w:t>
      </w:r>
      <w:r w:rsidR="00D52AA9" w:rsidRPr="000C6ABF">
        <w:rPr>
          <w:lang w:val="fr-CH"/>
        </w:rPr>
        <w:t xml:space="preserve">Principaux </w:t>
      </w:r>
      <w:r w:rsidRPr="000C6ABF">
        <w:rPr>
          <w:lang w:val="fr-CH"/>
        </w:rPr>
        <w:t xml:space="preserve">principes </w:t>
      </w:r>
      <w:r w:rsidR="00D52AA9" w:rsidRPr="000C6ABF">
        <w:rPr>
          <w:lang w:val="fr-CH"/>
        </w:rPr>
        <w:t>comptables</w:t>
      </w:r>
      <w:r w:rsidR="00CC145C" w:rsidRPr="000C6ABF">
        <w:rPr>
          <w:lang w:val="fr-CH"/>
        </w:rPr>
        <w:t>"</w:t>
      </w:r>
      <w:r w:rsidR="00D52AA9" w:rsidRPr="000C6ABF">
        <w:rPr>
          <w:lang w:val="fr-CH"/>
        </w:rPr>
        <w:t>.</w:t>
      </w:r>
    </w:p>
    <w:p w:rsidR="003B4003" w:rsidRPr="001551E2" w:rsidRDefault="003B4003" w:rsidP="001551E2">
      <w:pPr>
        <w:pStyle w:val="Headingb"/>
        <w:spacing w:before="140"/>
        <w:rPr>
          <w:i/>
          <w:iCs/>
          <w:lang w:val="fr-CH"/>
        </w:rPr>
      </w:pPr>
      <w:bookmarkStart w:id="71" w:name="_Toc358123268"/>
      <w:bookmarkStart w:id="72" w:name="_Toc396386931"/>
      <w:bookmarkStart w:id="73" w:name="_Toc396387818"/>
      <w:bookmarkStart w:id="74" w:name="_Toc396387932"/>
      <w:bookmarkStart w:id="75" w:name="_Toc398277617"/>
      <w:r w:rsidRPr="001551E2">
        <w:rPr>
          <w:i/>
          <w:iCs/>
          <w:lang w:val="fr-CH"/>
        </w:rPr>
        <w:t>Trésorerie et équivalents de trésorerie</w:t>
      </w:r>
      <w:bookmarkEnd w:id="71"/>
      <w:bookmarkEnd w:id="72"/>
      <w:bookmarkEnd w:id="73"/>
      <w:bookmarkEnd w:id="74"/>
      <w:bookmarkEnd w:id="75"/>
    </w:p>
    <w:p w:rsidR="003B4003" w:rsidRPr="000C6ABF" w:rsidRDefault="003B4003" w:rsidP="008F7439">
      <w:pPr>
        <w:spacing w:before="100"/>
        <w:rPr>
          <w:lang w:val="fr-CH"/>
        </w:rPr>
      </w:pPr>
      <w:r w:rsidRPr="000C6ABF">
        <w:rPr>
          <w:lang w:val="fr-CH"/>
        </w:rPr>
        <w:t>5</w:t>
      </w:r>
      <w:r w:rsidRPr="000C6ABF">
        <w:rPr>
          <w:lang w:val="fr-CH"/>
        </w:rPr>
        <w:tab/>
        <w:t>La sous-rubrique "</w:t>
      </w:r>
      <w:r w:rsidRPr="000C6ABF">
        <w:rPr>
          <w:spacing w:val="6"/>
          <w:lang w:val="fr-CH"/>
        </w:rPr>
        <w:t>Trésorerie et équivalents de trésorerie</w:t>
      </w:r>
      <w:r w:rsidRPr="000C6ABF">
        <w:rPr>
          <w:lang w:val="fr-CH"/>
        </w:rPr>
        <w:t xml:space="preserve">", qui représente au total </w:t>
      </w:r>
      <w:r w:rsidR="0023491B" w:rsidRPr="000C6ABF">
        <w:rPr>
          <w:lang w:val="fr-CH"/>
        </w:rPr>
        <w:t>5</w:t>
      </w:r>
      <w:r w:rsidRPr="000C6ABF">
        <w:rPr>
          <w:lang w:val="fr-CH"/>
        </w:rPr>
        <w:t>9,</w:t>
      </w:r>
      <w:r w:rsidR="0023491B" w:rsidRPr="000C6ABF">
        <w:rPr>
          <w:lang w:val="fr-CH"/>
        </w:rPr>
        <w:t>6</w:t>
      </w:r>
      <w:r w:rsidRPr="000C6ABF">
        <w:rPr>
          <w:lang w:val="fr-CH"/>
        </w:rPr>
        <w:t xml:space="preserve"> millions CHF, a enregistré une </w:t>
      </w:r>
      <w:r w:rsidR="0023491B" w:rsidRPr="000C6ABF">
        <w:rPr>
          <w:lang w:val="fr-CH"/>
        </w:rPr>
        <w:t>baisse</w:t>
      </w:r>
      <w:r w:rsidRPr="000C6ABF">
        <w:rPr>
          <w:lang w:val="fr-CH"/>
        </w:rPr>
        <w:t xml:space="preserve"> de </w:t>
      </w:r>
      <w:r w:rsidR="0023491B" w:rsidRPr="000C6ABF">
        <w:rPr>
          <w:lang w:val="fr-CH"/>
        </w:rPr>
        <w:t>20</w:t>
      </w:r>
      <w:r w:rsidRPr="000C6ABF">
        <w:rPr>
          <w:lang w:val="fr-CH"/>
        </w:rPr>
        <w:t>,</w:t>
      </w:r>
      <w:r w:rsidR="0023491B" w:rsidRPr="000C6ABF">
        <w:rPr>
          <w:lang w:val="fr-CH"/>
        </w:rPr>
        <w:t>2</w:t>
      </w:r>
      <w:r w:rsidRPr="000C6ABF">
        <w:rPr>
          <w:lang w:val="fr-CH"/>
        </w:rPr>
        <w:t xml:space="preserve"> million</w:t>
      </w:r>
      <w:r w:rsidR="0023491B" w:rsidRPr="000C6ABF">
        <w:rPr>
          <w:lang w:val="fr-CH"/>
        </w:rPr>
        <w:t>s CHF (–25,3</w:t>
      </w:r>
      <w:r w:rsidR="00D52AA9" w:rsidRPr="000C6ABF">
        <w:rPr>
          <w:lang w:val="fr-CH"/>
        </w:rPr>
        <w:t xml:space="preserve"> </w:t>
      </w:r>
      <w:r w:rsidRPr="000C6ABF">
        <w:rPr>
          <w:lang w:val="fr-CH"/>
        </w:rPr>
        <w:t>%) par rapport à 201</w:t>
      </w:r>
      <w:r w:rsidR="0023491B" w:rsidRPr="000C6ABF">
        <w:rPr>
          <w:lang w:val="fr-CH"/>
        </w:rPr>
        <w:t>2</w:t>
      </w:r>
      <w:r w:rsidRPr="000C6ABF">
        <w:rPr>
          <w:lang w:val="fr-CH"/>
        </w:rPr>
        <w:t xml:space="preserve"> (</w:t>
      </w:r>
      <w:r w:rsidR="0023491B" w:rsidRPr="000C6ABF">
        <w:rPr>
          <w:lang w:val="fr-CH"/>
        </w:rPr>
        <w:t>79</w:t>
      </w:r>
      <w:r w:rsidRPr="000C6ABF">
        <w:rPr>
          <w:lang w:val="fr-CH"/>
        </w:rPr>
        <w:t>,</w:t>
      </w:r>
      <w:r w:rsidR="0023491B" w:rsidRPr="000C6ABF">
        <w:rPr>
          <w:lang w:val="fr-CH"/>
        </w:rPr>
        <w:t>8</w:t>
      </w:r>
      <w:r w:rsidRPr="000C6ABF">
        <w:rPr>
          <w:lang w:val="fr-CH"/>
        </w:rPr>
        <w:t xml:space="preserve"> millions CHF) et comprenait les fonds en caisse ainsi que tous les soldes des comptes </w:t>
      </w:r>
      <w:r w:rsidRPr="000C6ABF">
        <w:rPr>
          <w:lang w:val="fr-CH"/>
        </w:rPr>
        <w:lastRenderedPageBreak/>
        <w:t xml:space="preserve">courants postaux au </w:t>
      </w:r>
      <w:r w:rsidRPr="000C6ABF">
        <w:rPr>
          <w:spacing w:val="3"/>
          <w:lang w:val="fr-CH"/>
        </w:rPr>
        <w:t xml:space="preserve">31 décembre </w:t>
      </w:r>
      <w:r w:rsidRPr="000C6ABF">
        <w:rPr>
          <w:spacing w:val="1"/>
          <w:lang w:val="fr-CH"/>
        </w:rPr>
        <w:t>201</w:t>
      </w:r>
      <w:r w:rsidR="0023491B" w:rsidRPr="000C6ABF">
        <w:rPr>
          <w:spacing w:val="1"/>
          <w:lang w:val="fr-CH"/>
        </w:rPr>
        <w:t>3</w:t>
      </w:r>
      <w:r w:rsidRPr="000C6ABF">
        <w:rPr>
          <w:lang w:val="fr-CH"/>
        </w:rPr>
        <w:t xml:space="preserve">. Cette </w:t>
      </w:r>
      <w:r w:rsidR="0023491B" w:rsidRPr="000C6ABF">
        <w:rPr>
          <w:lang w:val="fr-CH"/>
        </w:rPr>
        <w:t xml:space="preserve">baisse </w:t>
      </w:r>
      <w:r w:rsidRPr="000C6ABF">
        <w:rPr>
          <w:lang w:val="fr-CH"/>
        </w:rPr>
        <w:t>est avant tout imputable aux "Comptes courants bancaires en CHF" (</w:t>
      </w:r>
      <w:r w:rsidR="0023491B" w:rsidRPr="000C6ABF">
        <w:rPr>
          <w:lang w:val="fr-CH"/>
        </w:rPr>
        <w:t>–24,3 </w:t>
      </w:r>
      <w:r w:rsidRPr="000C6ABF">
        <w:rPr>
          <w:lang w:val="fr-CH"/>
        </w:rPr>
        <w:t>million</w:t>
      </w:r>
      <w:r w:rsidR="00D52AA9" w:rsidRPr="000C6ABF">
        <w:rPr>
          <w:lang w:val="fr-CH"/>
        </w:rPr>
        <w:t>s CHF), qui représent</w:t>
      </w:r>
      <w:r w:rsidR="006B5B96" w:rsidRPr="000C6ABF">
        <w:rPr>
          <w:lang w:val="fr-CH"/>
        </w:rPr>
        <w:t>en</w:t>
      </w:r>
      <w:r w:rsidR="00D52AA9" w:rsidRPr="000C6ABF">
        <w:rPr>
          <w:lang w:val="fr-CH"/>
        </w:rPr>
        <w:t>t</w:t>
      </w:r>
      <w:r w:rsidRPr="000C6ABF">
        <w:rPr>
          <w:lang w:val="fr-CH"/>
        </w:rPr>
        <w:t xml:space="preserve"> environ </w:t>
      </w:r>
      <w:r w:rsidR="00EC0EDD" w:rsidRPr="000C6ABF">
        <w:rPr>
          <w:lang w:val="fr-CH"/>
        </w:rPr>
        <w:t>67,</w:t>
      </w:r>
      <w:r w:rsidRPr="000C6ABF">
        <w:rPr>
          <w:lang w:val="fr-CH"/>
        </w:rPr>
        <w:t>8</w:t>
      </w:r>
      <w:r w:rsidR="00EC0EDD" w:rsidRPr="000C6ABF">
        <w:rPr>
          <w:lang w:val="fr-CH"/>
        </w:rPr>
        <w:t>% du total de la sous</w:t>
      </w:r>
      <w:r w:rsidR="00EC0EDD" w:rsidRPr="000C6ABF">
        <w:rPr>
          <w:lang w:val="fr-CH"/>
        </w:rPr>
        <w:noBreakHyphen/>
      </w:r>
      <w:r w:rsidR="00D52AA9" w:rsidRPr="000C6ABF">
        <w:rPr>
          <w:lang w:val="fr-CH"/>
        </w:rPr>
        <w:t>rubrique</w:t>
      </w:r>
      <w:r w:rsidRPr="000C6ABF">
        <w:rPr>
          <w:lang w:val="fr-CH"/>
        </w:rPr>
        <w:t xml:space="preserve">. </w:t>
      </w:r>
      <w:r w:rsidR="00D52AA9" w:rsidRPr="000C6ABF">
        <w:rPr>
          <w:lang w:val="fr-CH"/>
        </w:rPr>
        <w:t xml:space="preserve">La baisse </w:t>
      </w:r>
      <w:r w:rsidR="006B5B96" w:rsidRPr="000C6ABF">
        <w:rPr>
          <w:lang w:val="fr-CH"/>
        </w:rPr>
        <w:t>a été</w:t>
      </w:r>
      <w:r w:rsidR="00D52AA9" w:rsidRPr="000C6ABF">
        <w:rPr>
          <w:lang w:val="fr-CH"/>
        </w:rPr>
        <w:t xml:space="preserve"> en partie réabsorbée par l'augmentation des comptes courants bancaires en devises </w:t>
      </w:r>
      <w:r w:rsidR="0023491B" w:rsidRPr="000C6ABF">
        <w:rPr>
          <w:lang w:val="fr-CH"/>
        </w:rPr>
        <w:t>(+4</w:t>
      </w:r>
      <w:r w:rsidR="008A67C3" w:rsidRPr="000C6ABF">
        <w:rPr>
          <w:lang w:val="fr-CH"/>
        </w:rPr>
        <w:t>,</w:t>
      </w:r>
      <w:r w:rsidR="0023491B" w:rsidRPr="000C6ABF">
        <w:rPr>
          <w:lang w:val="fr-CH"/>
        </w:rPr>
        <w:t>2</w:t>
      </w:r>
      <w:r w:rsidR="008A67C3" w:rsidRPr="000C6ABF">
        <w:rPr>
          <w:lang w:val="fr-CH"/>
        </w:rPr>
        <w:t> millions CHF</w:t>
      </w:r>
      <w:r w:rsidR="0023491B" w:rsidRPr="000C6ABF">
        <w:rPr>
          <w:lang w:val="fr-CH"/>
        </w:rPr>
        <w:t xml:space="preserve">). </w:t>
      </w:r>
      <w:r w:rsidRPr="000C6ABF">
        <w:rPr>
          <w:lang w:val="fr-CH"/>
        </w:rPr>
        <w:t xml:space="preserve">Une ventilation détaillée de la trésorerie et des équivalents de trésorerie figure dans la </w:t>
      </w:r>
      <w:r w:rsidR="00D52AA9" w:rsidRPr="000C6ABF">
        <w:rPr>
          <w:lang w:val="fr-CH"/>
        </w:rPr>
        <w:t>Note 7</w:t>
      </w:r>
      <w:r w:rsidRPr="000C6ABF">
        <w:rPr>
          <w:lang w:val="fr-CH"/>
        </w:rPr>
        <w:t xml:space="preserve"> au Rapport de gestion financière.</w:t>
      </w:r>
    </w:p>
    <w:p w:rsidR="003B4003" w:rsidRPr="000C6ABF" w:rsidRDefault="003B4003" w:rsidP="00AB0C69">
      <w:pPr>
        <w:rPr>
          <w:lang w:val="fr-CH"/>
        </w:rPr>
      </w:pPr>
      <w:r w:rsidRPr="000C6ABF">
        <w:rPr>
          <w:lang w:val="fr-CH"/>
        </w:rPr>
        <w:t>6</w:t>
      </w:r>
      <w:r w:rsidRPr="000C6ABF">
        <w:rPr>
          <w:lang w:val="fr-CH"/>
        </w:rPr>
        <w:tab/>
        <w:t xml:space="preserve">Conformément à la norme IPSAS 2, la </w:t>
      </w:r>
      <w:r w:rsidR="00EC0EDD" w:rsidRPr="000C6ABF">
        <w:rPr>
          <w:lang w:val="fr-CH"/>
        </w:rPr>
        <w:t>Note 7</w:t>
      </w:r>
      <w:r w:rsidRPr="000C6ABF">
        <w:rPr>
          <w:lang w:val="fr-CH"/>
        </w:rPr>
        <w:t xml:space="preserve"> aux états financiers fournit une indication quant aux fonds liquides non disponibles. En 201</w:t>
      </w:r>
      <w:r w:rsidR="00EC0EDD" w:rsidRPr="000C6ABF">
        <w:rPr>
          <w:lang w:val="fr-CH"/>
        </w:rPr>
        <w:t>3</w:t>
      </w:r>
      <w:r w:rsidRPr="000C6ABF">
        <w:rPr>
          <w:lang w:val="fr-CH"/>
        </w:rPr>
        <w:t xml:space="preserve">, le montant soumis à des restrictions s'établissait à </w:t>
      </w:r>
      <w:r w:rsidR="00EC0EDD" w:rsidRPr="000C6ABF">
        <w:rPr>
          <w:lang w:val="fr-CH"/>
        </w:rPr>
        <w:t>17</w:t>
      </w:r>
      <w:r w:rsidRPr="000C6ABF">
        <w:rPr>
          <w:lang w:val="fr-CH"/>
        </w:rPr>
        <w:t>,3 millions CHF, contre 1</w:t>
      </w:r>
      <w:r w:rsidR="00EC0EDD" w:rsidRPr="000C6ABF">
        <w:rPr>
          <w:lang w:val="fr-CH"/>
        </w:rPr>
        <w:t>2</w:t>
      </w:r>
      <w:r w:rsidRPr="000C6ABF">
        <w:rPr>
          <w:lang w:val="fr-CH"/>
        </w:rPr>
        <w:t>,</w:t>
      </w:r>
      <w:r w:rsidR="00EC0EDD" w:rsidRPr="000C6ABF">
        <w:rPr>
          <w:lang w:val="fr-CH"/>
        </w:rPr>
        <w:t>3</w:t>
      </w:r>
      <w:r w:rsidRPr="000C6ABF">
        <w:rPr>
          <w:lang w:val="fr-CH"/>
        </w:rPr>
        <w:t xml:space="preserve"> millions CHF en 201</w:t>
      </w:r>
      <w:r w:rsidR="00EC0EDD" w:rsidRPr="000C6ABF">
        <w:rPr>
          <w:lang w:val="fr-CH"/>
        </w:rPr>
        <w:t>2</w:t>
      </w:r>
      <w:r w:rsidRPr="000C6ABF">
        <w:rPr>
          <w:lang w:val="fr-CH"/>
        </w:rPr>
        <w:t>.</w:t>
      </w:r>
    </w:p>
    <w:p w:rsidR="00EC0EDD" w:rsidRPr="000C6ABF" w:rsidRDefault="003B4003" w:rsidP="002B4FBF">
      <w:pPr>
        <w:rPr>
          <w:lang w:val="fr-CH"/>
        </w:rPr>
      </w:pPr>
      <w:r w:rsidRPr="000C6ABF">
        <w:rPr>
          <w:lang w:val="fr-CH"/>
        </w:rPr>
        <w:t>7</w:t>
      </w:r>
      <w:r w:rsidRPr="000C6ABF">
        <w:rPr>
          <w:lang w:val="fr-CH"/>
        </w:rPr>
        <w:tab/>
      </w:r>
      <w:r w:rsidR="003F5B86" w:rsidRPr="000C6ABF">
        <w:rPr>
          <w:lang w:val="fr-CH"/>
        </w:rPr>
        <w:t>Parmi les liquidités soumises à restriction, la sous</w:t>
      </w:r>
      <w:r w:rsidR="002B4FBF">
        <w:rPr>
          <w:lang w:val="fr-CH"/>
        </w:rPr>
        <w:noBreakHyphen/>
      </w:r>
      <w:r w:rsidR="003F5B86" w:rsidRPr="000C6ABF">
        <w:rPr>
          <w:lang w:val="fr-CH"/>
        </w:rPr>
        <w:t>rubrique Projets financés par des fonds extérieurs a doublé (</w:t>
      </w:r>
      <w:r w:rsidR="00EC0EDD" w:rsidRPr="000C6ABF">
        <w:rPr>
          <w:lang w:val="fr-CH"/>
        </w:rPr>
        <w:t>9,2 millions CHF</w:t>
      </w:r>
      <w:r w:rsidR="003F5B86" w:rsidRPr="000C6ABF">
        <w:rPr>
          <w:lang w:val="fr-CH"/>
        </w:rPr>
        <w:t xml:space="preserve">) par rapport au montant de 2012 </w:t>
      </w:r>
      <w:r w:rsidR="00EC0EDD" w:rsidRPr="000C6ABF">
        <w:rPr>
          <w:lang w:val="fr-CH"/>
        </w:rPr>
        <w:t>(4,3 millions</w:t>
      </w:r>
      <w:r w:rsidR="008B1434" w:rsidRPr="000C6ABF">
        <w:rPr>
          <w:lang w:val="fr-CH"/>
        </w:rPr>
        <w:t> </w:t>
      </w:r>
      <w:r w:rsidR="003F5B86" w:rsidRPr="000C6ABF">
        <w:rPr>
          <w:lang w:val="fr-CH"/>
        </w:rPr>
        <w:t>CHF)</w:t>
      </w:r>
      <w:r w:rsidR="006E3DDC" w:rsidRPr="000C6ABF">
        <w:rPr>
          <w:lang w:val="fr-CH"/>
        </w:rPr>
        <w:t xml:space="preserve">, ce qui, </w:t>
      </w:r>
      <w:r w:rsidR="002B4FBF">
        <w:rPr>
          <w:lang w:val="fr-CH"/>
        </w:rPr>
        <w:t>c</w:t>
      </w:r>
      <w:r w:rsidR="003F5B86" w:rsidRPr="000C6ABF">
        <w:rPr>
          <w:lang w:val="fr-CH"/>
        </w:rPr>
        <w:t xml:space="preserve">omme indiqué plus bas dans la Note </w:t>
      </w:r>
      <w:r w:rsidR="006B5B96" w:rsidRPr="000C6ABF">
        <w:rPr>
          <w:lang w:val="fr-CH"/>
        </w:rPr>
        <w:t>"</w:t>
      </w:r>
      <w:r w:rsidR="003F5B86" w:rsidRPr="000C6ABF">
        <w:rPr>
          <w:lang w:val="fr-CH"/>
        </w:rPr>
        <w:t>Informations sectorielles</w:t>
      </w:r>
      <w:r w:rsidR="006B5B96" w:rsidRPr="000C6ABF">
        <w:rPr>
          <w:lang w:val="fr-CH"/>
        </w:rPr>
        <w:t>"</w:t>
      </w:r>
      <w:r w:rsidR="00EC0EDD" w:rsidRPr="000C6ABF">
        <w:rPr>
          <w:lang w:val="fr-CH"/>
        </w:rPr>
        <w:t xml:space="preserve"> (</w:t>
      </w:r>
      <w:r w:rsidR="003F5B86" w:rsidRPr="000C6ABF">
        <w:rPr>
          <w:lang w:val="fr-CH"/>
        </w:rPr>
        <w:t>voir le paragraphe</w:t>
      </w:r>
      <w:r w:rsidR="00EC0EDD" w:rsidRPr="000C6ABF">
        <w:rPr>
          <w:lang w:val="fr-CH"/>
        </w:rPr>
        <w:t xml:space="preserve"> 110)</w:t>
      </w:r>
      <w:r w:rsidR="006B5B96" w:rsidRPr="000C6ABF">
        <w:rPr>
          <w:lang w:val="fr-CH"/>
        </w:rPr>
        <w:t xml:space="preserve">, </w:t>
      </w:r>
      <w:r w:rsidR="003F5B86" w:rsidRPr="000C6ABF">
        <w:rPr>
          <w:lang w:val="fr-CH"/>
        </w:rPr>
        <w:t>s</w:t>
      </w:r>
      <w:r w:rsidR="00AB0C69" w:rsidRPr="000C6ABF">
        <w:rPr>
          <w:lang w:val="fr-CH"/>
        </w:rPr>
        <w:t>'</w:t>
      </w:r>
      <w:r w:rsidR="003F5B86" w:rsidRPr="000C6ABF">
        <w:rPr>
          <w:lang w:val="fr-CH"/>
        </w:rPr>
        <w:t>explique par l</w:t>
      </w:r>
      <w:r w:rsidR="00AB0C69" w:rsidRPr="000C6ABF">
        <w:rPr>
          <w:lang w:val="fr-CH"/>
        </w:rPr>
        <w:t>'</w:t>
      </w:r>
      <w:r w:rsidR="003F5B86" w:rsidRPr="000C6ABF">
        <w:rPr>
          <w:lang w:val="fr-CH"/>
        </w:rPr>
        <w:t xml:space="preserve">augmentation importante des sommes </w:t>
      </w:r>
      <w:r w:rsidR="006B5B96" w:rsidRPr="000C6ABF">
        <w:rPr>
          <w:lang w:val="fr-CH"/>
        </w:rPr>
        <w:t>allouées à</w:t>
      </w:r>
      <w:r w:rsidR="00C539E2" w:rsidRPr="000C6ABF">
        <w:rPr>
          <w:lang w:val="fr-CH"/>
        </w:rPr>
        <w:t xml:space="preserve"> des projets particuliers</w:t>
      </w:r>
      <w:r w:rsidR="003F5B86" w:rsidRPr="000C6ABF">
        <w:rPr>
          <w:lang w:val="fr-CH"/>
        </w:rPr>
        <w:t xml:space="preserve"> </w:t>
      </w:r>
      <w:r w:rsidR="00EC0EDD" w:rsidRPr="000C6ABF">
        <w:rPr>
          <w:lang w:val="fr-CH"/>
        </w:rPr>
        <w:t>(</w:t>
      </w:r>
      <w:r w:rsidR="00C539E2" w:rsidRPr="000C6ABF">
        <w:rPr>
          <w:lang w:val="fr-CH"/>
        </w:rPr>
        <w:t>par exemple au</w:t>
      </w:r>
      <w:r w:rsidR="00EC0EDD" w:rsidRPr="000C6ABF">
        <w:rPr>
          <w:lang w:val="fr-CH"/>
        </w:rPr>
        <w:t xml:space="preserve"> Brésil).</w:t>
      </w:r>
    </w:p>
    <w:p w:rsidR="003B4003" w:rsidRPr="000C6ABF" w:rsidRDefault="00EC0EDD" w:rsidP="006E3DDC">
      <w:pPr>
        <w:rPr>
          <w:lang w:val="fr-CH"/>
        </w:rPr>
      </w:pPr>
      <w:r w:rsidRPr="000C6ABF">
        <w:rPr>
          <w:lang w:val="fr-CH"/>
        </w:rPr>
        <w:t>8</w:t>
      </w:r>
      <w:r w:rsidRPr="000C6ABF">
        <w:rPr>
          <w:lang w:val="fr-CH"/>
        </w:rPr>
        <w:tab/>
      </w:r>
      <w:r w:rsidR="003B4003" w:rsidRPr="000C6ABF">
        <w:rPr>
          <w:lang w:val="fr-CH"/>
        </w:rPr>
        <w:t>Nous avons demandé à toutes les banques ayant des relations d'affaires avec l'UIT de confirmer les soldes des comptes courants au 31 décembre 201</w:t>
      </w:r>
      <w:r w:rsidR="005E58DA" w:rsidRPr="000C6ABF">
        <w:rPr>
          <w:lang w:val="fr-CH"/>
        </w:rPr>
        <w:t>3</w:t>
      </w:r>
      <w:r w:rsidR="003B4003" w:rsidRPr="000C6ABF">
        <w:rPr>
          <w:lang w:val="fr-CH"/>
        </w:rPr>
        <w:t>. Nous avons vérifié que les soldes des comptes étaient correctement comptabilisés dans ceux-ci. Tous les écarts constatés ont été expliqués et justifiés. Il convient de signaler que nous n'avons pas reçu de confirmation directe de la part d</w:t>
      </w:r>
      <w:r w:rsidR="00D556A1" w:rsidRPr="000C6ABF">
        <w:rPr>
          <w:lang w:val="fr-CH"/>
        </w:rPr>
        <w:t xml:space="preserve">e quatre </w:t>
      </w:r>
      <w:r w:rsidR="003B4003" w:rsidRPr="000C6ABF">
        <w:rPr>
          <w:lang w:val="fr-CH"/>
        </w:rPr>
        <w:t>banque</w:t>
      </w:r>
      <w:r w:rsidR="00D556A1" w:rsidRPr="000C6ABF">
        <w:rPr>
          <w:lang w:val="fr-CH"/>
        </w:rPr>
        <w:t xml:space="preserve">s (Deutsche Bank Trust </w:t>
      </w:r>
      <w:proofErr w:type="spellStart"/>
      <w:r w:rsidR="00D556A1" w:rsidRPr="000C6ABF">
        <w:rPr>
          <w:lang w:val="fr-CH"/>
        </w:rPr>
        <w:t>Company</w:t>
      </w:r>
      <w:proofErr w:type="spellEnd"/>
      <w:r w:rsidR="00D556A1" w:rsidRPr="000C6ABF">
        <w:rPr>
          <w:lang w:val="fr-CH"/>
        </w:rPr>
        <w:t xml:space="preserve"> </w:t>
      </w:r>
      <w:proofErr w:type="spellStart"/>
      <w:r w:rsidR="00D556A1" w:rsidRPr="000C6ABF">
        <w:rPr>
          <w:lang w:val="fr-CH"/>
        </w:rPr>
        <w:t>Americas</w:t>
      </w:r>
      <w:proofErr w:type="spellEnd"/>
      <w:r w:rsidR="00D556A1" w:rsidRPr="000C6ABF">
        <w:rPr>
          <w:lang w:val="fr-CH"/>
        </w:rPr>
        <w:t xml:space="preserve">, </w:t>
      </w:r>
      <w:proofErr w:type="spellStart"/>
      <w:r w:rsidR="00D556A1" w:rsidRPr="000C6ABF">
        <w:rPr>
          <w:lang w:val="fr-CH"/>
        </w:rPr>
        <w:t>Bradesco</w:t>
      </w:r>
      <w:proofErr w:type="spellEnd"/>
      <w:r w:rsidR="00D556A1" w:rsidRPr="000C6ABF">
        <w:rPr>
          <w:lang w:val="fr-CH"/>
        </w:rPr>
        <w:t xml:space="preserve">, Banco do Brasil, </w:t>
      </w:r>
      <w:r w:rsidR="003B4003" w:rsidRPr="000C6ABF">
        <w:rPr>
          <w:lang w:val="fr-CH"/>
        </w:rPr>
        <w:t>Busan Bank</w:t>
      </w:r>
      <w:r w:rsidR="00D556A1" w:rsidRPr="000C6ABF">
        <w:rPr>
          <w:lang w:val="fr-CH"/>
        </w:rPr>
        <w:t xml:space="preserve">), </w:t>
      </w:r>
      <w:r w:rsidR="00C539E2" w:rsidRPr="000C6ABF">
        <w:rPr>
          <w:lang w:val="fr-CH"/>
        </w:rPr>
        <w:t xml:space="preserve">même si </w:t>
      </w:r>
      <w:r w:rsidR="006E3DDC" w:rsidRPr="000C6ABF">
        <w:rPr>
          <w:lang w:val="fr-CH"/>
        </w:rPr>
        <w:t>la direction</w:t>
      </w:r>
      <w:r w:rsidR="00C539E2" w:rsidRPr="000C6ABF">
        <w:rPr>
          <w:lang w:val="fr-CH"/>
        </w:rPr>
        <w:t xml:space="preserve"> de l</w:t>
      </w:r>
      <w:r w:rsidR="00AB0C69" w:rsidRPr="000C6ABF">
        <w:rPr>
          <w:lang w:val="fr-CH"/>
        </w:rPr>
        <w:t>'</w:t>
      </w:r>
      <w:r w:rsidR="00C539E2" w:rsidRPr="000C6ABF">
        <w:rPr>
          <w:lang w:val="fr-CH"/>
        </w:rPr>
        <w:t>UIT n</w:t>
      </w:r>
      <w:r w:rsidR="00AB0C69" w:rsidRPr="000C6ABF">
        <w:rPr>
          <w:lang w:val="fr-CH"/>
        </w:rPr>
        <w:t>'</w:t>
      </w:r>
      <w:r w:rsidR="00C539E2" w:rsidRPr="000C6ABF">
        <w:rPr>
          <w:lang w:val="fr-CH"/>
        </w:rPr>
        <w:t>a ménagé aucun effort pour que nous les recev</w:t>
      </w:r>
      <w:r w:rsidR="006E3DDC" w:rsidRPr="000C6ABF">
        <w:rPr>
          <w:lang w:val="fr-CH"/>
        </w:rPr>
        <w:t>ions</w:t>
      </w:r>
      <w:r w:rsidR="003B4003" w:rsidRPr="000C6ABF">
        <w:rPr>
          <w:lang w:val="fr-CH"/>
        </w:rPr>
        <w:t>.</w:t>
      </w:r>
    </w:p>
    <w:p w:rsidR="00D556A1" w:rsidRPr="000C6ABF" w:rsidRDefault="005E58DA" w:rsidP="006E3DDC">
      <w:pPr>
        <w:rPr>
          <w:lang w:val="fr-CH"/>
        </w:rPr>
      </w:pPr>
      <w:r w:rsidRPr="000C6ABF">
        <w:rPr>
          <w:lang w:val="fr-CH"/>
        </w:rPr>
        <w:t>9</w:t>
      </w:r>
      <w:r w:rsidR="003B4003" w:rsidRPr="000C6ABF">
        <w:rPr>
          <w:lang w:val="fr-CH"/>
        </w:rPr>
        <w:tab/>
      </w:r>
      <w:r w:rsidR="00C539E2" w:rsidRPr="000C6ABF">
        <w:rPr>
          <w:lang w:val="fr-CH"/>
        </w:rPr>
        <w:t>S</w:t>
      </w:r>
      <w:r w:rsidR="00AB0C69" w:rsidRPr="000C6ABF">
        <w:rPr>
          <w:lang w:val="fr-CH"/>
        </w:rPr>
        <w:t>'</w:t>
      </w:r>
      <w:r w:rsidR="00C539E2" w:rsidRPr="000C6ABF">
        <w:rPr>
          <w:lang w:val="fr-CH"/>
        </w:rPr>
        <w:t xml:space="preserve">agissant des confirmations bancaires manquantes, nous avons reçu de </w:t>
      </w:r>
      <w:r w:rsidR="006E3DDC" w:rsidRPr="000C6ABF">
        <w:rPr>
          <w:lang w:val="fr-CH"/>
        </w:rPr>
        <w:t xml:space="preserve">la direction </w:t>
      </w:r>
      <w:r w:rsidR="00C539E2" w:rsidRPr="000C6ABF">
        <w:rPr>
          <w:lang w:val="fr-CH"/>
        </w:rPr>
        <w:t>de l</w:t>
      </w:r>
      <w:r w:rsidR="00AB0C69" w:rsidRPr="000C6ABF">
        <w:rPr>
          <w:lang w:val="fr-CH"/>
        </w:rPr>
        <w:t>'</w:t>
      </w:r>
      <w:r w:rsidR="00C539E2" w:rsidRPr="000C6ABF">
        <w:rPr>
          <w:lang w:val="fr-CH"/>
        </w:rPr>
        <w:t xml:space="preserve">Union une copie des déclarations au 31 décembre 2013 </w:t>
      </w:r>
      <w:r w:rsidR="006E3DDC" w:rsidRPr="000C6ABF">
        <w:rPr>
          <w:lang w:val="fr-CH"/>
        </w:rPr>
        <w:t>pour toutes</w:t>
      </w:r>
      <w:r w:rsidR="00C539E2" w:rsidRPr="000C6ABF">
        <w:rPr>
          <w:lang w:val="fr-CH"/>
        </w:rPr>
        <w:t xml:space="preserve"> les banques susmentionnées et nous les avons utilisées pour effectuer les rapprochements. </w:t>
      </w:r>
    </w:p>
    <w:p w:rsidR="00D556A1" w:rsidRPr="002B4FBF" w:rsidRDefault="00253ACD" w:rsidP="00AB0C69">
      <w:pPr>
        <w:pStyle w:val="Headingi"/>
        <w:rPr>
          <w:b/>
          <w:bCs/>
          <w:lang w:val="fr-CH"/>
        </w:rPr>
      </w:pPr>
      <w:bookmarkStart w:id="76" w:name="_Toc358123269"/>
      <w:bookmarkStart w:id="77" w:name="_Toc396386932"/>
      <w:bookmarkStart w:id="78" w:name="_Toc396387819"/>
      <w:bookmarkStart w:id="79" w:name="_Toc396387933"/>
      <w:bookmarkStart w:id="80" w:name="_Toc398277618"/>
      <w:r w:rsidRPr="002B4FBF">
        <w:rPr>
          <w:b/>
          <w:bCs/>
          <w:lang w:val="fr-CH"/>
        </w:rPr>
        <w:t>Restriction de</w:t>
      </w:r>
      <w:r w:rsidR="00D556A1" w:rsidRPr="002B4FBF">
        <w:rPr>
          <w:b/>
          <w:bCs/>
          <w:lang w:val="fr-CH"/>
        </w:rPr>
        <w:t xml:space="preserve"> signature pour les montants inférieurs à 5 000 CHF</w:t>
      </w:r>
      <w:bookmarkEnd w:id="76"/>
      <w:bookmarkEnd w:id="77"/>
      <w:bookmarkEnd w:id="78"/>
      <w:bookmarkEnd w:id="79"/>
      <w:bookmarkEnd w:id="80"/>
    </w:p>
    <w:p w:rsidR="00D556A1" w:rsidRPr="000C6ABF" w:rsidRDefault="00D556A1" w:rsidP="001551E2">
      <w:pPr>
        <w:rPr>
          <w:lang w:val="fr-CH"/>
        </w:rPr>
      </w:pPr>
      <w:r w:rsidRPr="000C6ABF">
        <w:rPr>
          <w:lang w:val="fr-CH"/>
        </w:rPr>
        <w:t>10</w:t>
      </w:r>
      <w:r w:rsidRPr="000C6ABF">
        <w:rPr>
          <w:lang w:val="fr-CH"/>
        </w:rPr>
        <w:tab/>
      </w:r>
      <w:r w:rsidR="006E3DDC" w:rsidRPr="000C6ABF">
        <w:rPr>
          <w:lang w:val="fr-CH"/>
        </w:rPr>
        <w:t>Il ressort des vérifications que nous avons effectuées, après</w:t>
      </w:r>
      <w:r w:rsidR="00DF491A" w:rsidRPr="000C6ABF">
        <w:rPr>
          <w:lang w:val="fr-CH"/>
        </w:rPr>
        <w:t xml:space="preserve"> examen </w:t>
      </w:r>
      <w:r w:rsidR="006E3DDC" w:rsidRPr="000C6ABF">
        <w:rPr>
          <w:lang w:val="fr-CH"/>
        </w:rPr>
        <w:t xml:space="preserve">du </w:t>
      </w:r>
      <w:r w:rsidR="00DF491A" w:rsidRPr="000C6ABF">
        <w:rPr>
          <w:lang w:val="fr-CH"/>
        </w:rPr>
        <w:t xml:space="preserve">pouvoir de signature </w:t>
      </w:r>
      <w:r w:rsidR="006E3DDC" w:rsidRPr="000C6ABF">
        <w:rPr>
          <w:lang w:val="fr-CH"/>
        </w:rPr>
        <w:t xml:space="preserve">par une banque </w:t>
      </w:r>
      <w:r w:rsidRPr="000C6ABF">
        <w:rPr>
          <w:lang w:val="fr-CH"/>
        </w:rPr>
        <w:t xml:space="preserve">(autorisation visant à engager financièrement l'UIT) </w:t>
      </w:r>
      <w:r w:rsidR="00DF491A" w:rsidRPr="000C6ABF">
        <w:rPr>
          <w:lang w:val="fr-CH"/>
        </w:rPr>
        <w:t>que</w:t>
      </w:r>
      <w:r w:rsidR="002B4FBF">
        <w:rPr>
          <w:lang w:val="fr-CH"/>
        </w:rPr>
        <w:t>,</w:t>
      </w:r>
      <w:r w:rsidR="00DF491A" w:rsidRPr="000C6ABF">
        <w:rPr>
          <w:lang w:val="fr-CH"/>
        </w:rPr>
        <w:t xml:space="preserve"> dans certains bureaux hors siège</w:t>
      </w:r>
      <w:r w:rsidR="006E3DDC" w:rsidRPr="000C6ABF">
        <w:rPr>
          <w:lang w:val="fr-CH"/>
        </w:rPr>
        <w:t>,</w:t>
      </w:r>
      <w:r w:rsidR="00DF491A" w:rsidRPr="000C6ABF">
        <w:rPr>
          <w:lang w:val="fr-CH"/>
        </w:rPr>
        <w:t xml:space="preserve"> le pouvoir de signature </w:t>
      </w:r>
      <w:r w:rsidR="006E3DDC" w:rsidRPr="000C6ABF">
        <w:rPr>
          <w:lang w:val="fr-CH"/>
        </w:rPr>
        <w:t>n'</w:t>
      </w:r>
      <w:r w:rsidR="00DF491A" w:rsidRPr="000C6ABF">
        <w:rPr>
          <w:lang w:val="fr-CH"/>
        </w:rPr>
        <w:t xml:space="preserve">est </w:t>
      </w:r>
      <w:r w:rsidR="006E3DDC" w:rsidRPr="000C6ABF">
        <w:rPr>
          <w:lang w:val="fr-CH"/>
        </w:rPr>
        <w:t>accordé qu'</w:t>
      </w:r>
      <w:r w:rsidR="00DF491A" w:rsidRPr="000C6ABF">
        <w:rPr>
          <w:lang w:val="fr-CH"/>
        </w:rPr>
        <w:t xml:space="preserve">à une seule personne et que le </w:t>
      </w:r>
      <w:r w:rsidR="006E3DDC" w:rsidRPr="000C6ABF">
        <w:rPr>
          <w:lang w:val="fr-CH"/>
        </w:rPr>
        <w:t xml:space="preserve">montant maximal </w:t>
      </w:r>
      <w:r w:rsidR="00DF491A" w:rsidRPr="000C6ABF">
        <w:rPr>
          <w:lang w:val="fr-CH"/>
        </w:rPr>
        <w:t xml:space="preserve">de </w:t>
      </w:r>
      <w:r w:rsidRPr="000C6ABF">
        <w:rPr>
          <w:lang w:val="fr-CH"/>
        </w:rPr>
        <w:t>5 000 CHF (</w:t>
      </w:r>
      <w:r w:rsidR="00DF491A" w:rsidRPr="000C6ABF">
        <w:rPr>
          <w:lang w:val="fr-CH"/>
        </w:rPr>
        <w:t xml:space="preserve">conformément à la Règle </w:t>
      </w:r>
      <w:r w:rsidRPr="000C6ABF">
        <w:rPr>
          <w:lang w:val="fr-CH"/>
        </w:rPr>
        <w:t xml:space="preserve">16.3 </w:t>
      </w:r>
      <w:r w:rsidR="00DF491A" w:rsidRPr="000C6ABF">
        <w:rPr>
          <w:lang w:val="fr-CH"/>
        </w:rPr>
        <w:t>du Règlement financier de l</w:t>
      </w:r>
      <w:r w:rsidR="00AB0C69" w:rsidRPr="000C6ABF">
        <w:rPr>
          <w:lang w:val="fr-CH"/>
        </w:rPr>
        <w:t>'</w:t>
      </w:r>
      <w:r w:rsidR="00DF491A" w:rsidRPr="000C6ABF">
        <w:rPr>
          <w:lang w:val="fr-CH"/>
        </w:rPr>
        <w:t>UIT habilitant une personne à signer individuellement</w:t>
      </w:r>
      <w:r w:rsidRPr="000C6ABF">
        <w:rPr>
          <w:lang w:val="fr-CH"/>
        </w:rPr>
        <w:t>), ou</w:t>
      </w:r>
      <w:r w:rsidR="002B4FBF">
        <w:rPr>
          <w:lang w:val="fr-CH"/>
        </w:rPr>
        <w:t xml:space="preserve"> </w:t>
      </w:r>
      <w:r w:rsidRPr="000C6ABF">
        <w:rPr>
          <w:lang w:val="fr-CH"/>
        </w:rPr>
        <w:t>5 000 USD</w:t>
      </w:r>
      <w:r w:rsidR="00DF491A" w:rsidRPr="000C6ABF">
        <w:rPr>
          <w:lang w:val="fr-CH"/>
        </w:rPr>
        <w:t xml:space="preserve"> comme le souhaite la direction de l</w:t>
      </w:r>
      <w:r w:rsidR="00AB0C69" w:rsidRPr="000C6ABF">
        <w:rPr>
          <w:lang w:val="fr-CH"/>
        </w:rPr>
        <w:t>'</w:t>
      </w:r>
      <w:r w:rsidR="00DF491A" w:rsidRPr="000C6ABF">
        <w:rPr>
          <w:lang w:val="fr-CH"/>
        </w:rPr>
        <w:t>UIT, n</w:t>
      </w:r>
      <w:r w:rsidR="00AB0C69" w:rsidRPr="000C6ABF">
        <w:rPr>
          <w:lang w:val="fr-CH"/>
        </w:rPr>
        <w:t>'</w:t>
      </w:r>
      <w:r w:rsidR="00DF491A" w:rsidRPr="000C6ABF">
        <w:rPr>
          <w:lang w:val="fr-CH"/>
        </w:rPr>
        <w:t>a pas été spécifié dans certains cas</w:t>
      </w:r>
      <w:r w:rsidRPr="000C6ABF">
        <w:rPr>
          <w:lang w:val="fr-CH"/>
        </w:rPr>
        <w:t>.</w:t>
      </w:r>
    </w:p>
    <w:p w:rsidR="00D556A1" w:rsidRPr="005B044C" w:rsidRDefault="00D556A1" w:rsidP="006E3DDC">
      <w:pPr>
        <w:rPr>
          <w:lang w:val="fr-CH"/>
        </w:rPr>
      </w:pPr>
      <w:r w:rsidRPr="000C6ABF">
        <w:rPr>
          <w:lang w:val="fr-CH"/>
        </w:rPr>
        <w:t>11</w:t>
      </w:r>
      <w:r w:rsidRPr="000C6ABF">
        <w:rPr>
          <w:lang w:val="fr-CH"/>
        </w:rPr>
        <w:tab/>
      </w:r>
      <w:r w:rsidR="006E3DDC" w:rsidRPr="000C6ABF">
        <w:rPr>
          <w:lang w:val="fr-CH"/>
        </w:rPr>
        <w:t>N</w:t>
      </w:r>
      <w:r w:rsidR="00DF491A" w:rsidRPr="000C6ABF">
        <w:rPr>
          <w:lang w:val="fr-CH"/>
        </w:rPr>
        <w:t>ous avons pris acte du fait que</w:t>
      </w:r>
      <w:r w:rsidR="002B4FBF">
        <w:rPr>
          <w:lang w:val="fr-CH"/>
        </w:rPr>
        <w:t>,</w:t>
      </w:r>
      <w:r w:rsidR="00DF491A" w:rsidRPr="000C6ABF">
        <w:rPr>
          <w:lang w:val="fr-CH"/>
        </w:rPr>
        <w:t xml:space="preserve"> dans tous les cas, la direction a commencé à </w:t>
      </w:r>
      <w:r w:rsidR="006E3DDC" w:rsidRPr="000C6ABF">
        <w:rPr>
          <w:lang w:val="fr-CH"/>
        </w:rPr>
        <w:t xml:space="preserve">mettre en </w:t>
      </w:r>
      <w:proofErr w:type="spellStart"/>
      <w:r w:rsidR="006E3DDC" w:rsidRPr="000C6ABF">
        <w:rPr>
          <w:lang w:val="fr-CH"/>
        </w:rPr>
        <w:t>oeuvre</w:t>
      </w:r>
      <w:proofErr w:type="spellEnd"/>
      <w:r w:rsidR="006E3DDC" w:rsidRPr="000C6ABF">
        <w:rPr>
          <w:lang w:val="fr-CH"/>
        </w:rPr>
        <w:t xml:space="preserve"> la</w:t>
      </w:r>
      <w:r w:rsidR="00DF491A" w:rsidRPr="000C6ABF">
        <w:rPr>
          <w:lang w:val="fr-CH"/>
        </w:rPr>
        <w:t xml:space="preserve"> double signature pour </w:t>
      </w:r>
      <w:r w:rsidR="006E3DDC" w:rsidRPr="000C6ABF">
        <w:rPr>
          <w:lang w:val="fr-CH"/>
        </w:rPr>
        <w:t>l</w:t>
      </w:r>
      <w:r w:rsidR="00DF491A" w:rsidRPr="000C6ABF">
        <w:rPr>
          <w:lang w:val="fr-CH"/>
        </w:rPr>
        <w:t xml:space="preserve">es montants supérieurs à </w:t>
      </w:r>
      <w:r w:rsidRPr="000C6ABF">
        <w:rPr>
          <w:lang w:val="fr-CH"/>
        </w:rPr>
        <w:t xml:space="preserve">5 000 CHF </w:t>
      </w:r>
      <w:r w:rsidR="00DF491A" w:rsidRPr="000C6ABF">
        <w:rPr>
          <w:lang w:val="fr-CH"/>
        </w:rPr>
        <w:t xml:space="preserve">dans les bureaux régionaux et les bureaux de zone, </w:t>
      </w:r>
      <w:r w:rsidR="006E3DDC" w:rsidRPr="000C6ABF">
        <w:rPr>
          <w:lang w:val="fr-CH"/>
        </w:rPr>
        <w:t xml:space="preserve">sauf pour </w:t>
      </w:r>
      <w:r w:rsidR="00DF491A" w:rsidRPr="000C6ABF">
        <w:rPr>
          <w:lang w:val="fr-CH"/>
        </w:rPr>
        <w:t>certains d</w:t>
      </w:r>
      <w:r w:rsidR="00AB0C69" w:rsidRPr="000C6ABF">
        <w:rPr>
          <w:lang w:val="fr-CH"/>
        </w:rPr>
        <w:t>'</w:t>
      </w:r>
      <w:r w:rsidR="00DF491A" w:rsidRPr="000C6ABF">
        <w:rPr>
          <w:lang w:val="fr-CH"/>
        </w:rPr>
        <w:t xml:space="preserve">entre </w:t>
      </w:r>
      <w:r w:rsidR="006E3DDC" w:rsidRPr="000C6ABF">
        <w:rPr>
          <w:lang w:val="fr-CH"/>
        </w:rPr>
        <w:t>eux où</w:t>
      </w:r>
      <w:r w:rsidR="00DF491A" w:rsidRPr="000C6ABF">
        <w:rPr>
          <w:lang w:val="fr-CH"/>
        </w:rPr>
        <w:t xml:space="preserve"> une seule personne a le pouvoir de signature</w:t>
      </w:r>
      <w:r w:rsidR="006E3DDC" w:rsidRPr="000C6ABF">
        <w:rPr>
          <w:lang w:val="fr-CH"/>
        </w:rPr>
        <w:t>, en raison</w:t>
      </w:r>
      <w:r w:rsidR="00DF491A" w:rsidRPr="000C6ABF">
        <w:rPr>
          <w:lang w:val="fr-CH"/>
        </w:rPr>
        <w:t xml:space="preserve"> des effectifs restreints de </w:t>
      </w:r>
      <w:r w:rsidR="006E3DDC" w:rsidRPr="000C6ABF">
        <w:rPr>
          <w:lang w:val="fr-CH"/>
        </w:rPr>
        <w:t>c</w:t>
      </w:r>
      <w:r w:rsidR="00DF491A" w:rsidRPr="000C6ABF">
        <w:rPr>
          <w:lang w:val="fr-CH"/>
        </w:rPr>
        <w:t xml:space="preserve">es bureaux. Les quatre banques ne nous ont pas communiqué directement la liste des </w:t>
      </w:r>
      <w:r w:rsidR="006E3DDC" w:rsidRPr="000C6ABF">
        <w:rPr>
          <w:lang w:val="fr-CH"/>
        </w:rPr>
        <w:t>signatures autorisées</w:t>
      </w:r>
      <w:r w:rsidRPr="005B044C">
        <w:rPr>
          <w:lang w:val="fr-CH"/>
        </w:rPr>
        <w:t>.</w:t>
      </w:r>
    </w:p>
    <w:p w:rsidR="006D0637" w:rsidRPr="002B4FBF" w:rsidRDefault="00DF491A" w:rsidP="006E3DDC">
      <w:pPr>
        <w:pStyle w:val="Headingi"/>
        <w:rPr>
          <w:b/>
          <w:bCs/>
          <w:lang w:val="fr-CH"/>
        </w:rPr>
      </w:pPr>
      <w:bookmarkStart w:id="81" w:name="_Toc396386933"/>
      <w:bookmarkStart w:id="82" w:name="_Toc396387820"/>
      <w:bookmarkStart w:id="83" w:name="_Toc396387934"/>
      <w:bookmarkStart w:id="84" w:name="_Toc398277619"/>
      <w:bookmarkStart w:id="85" w:name="_Toc358123275"/>
      <w:r w:rsidRPr="002B4FBF">
        <w:rPr>
          <w:b/>
          <w:bCs/>
          <w:lang w:val="fr-CH"/>
        </w:rPr>
        <w:t xml:space="preserve">Mise à jour des listes </w:t>
      </w:r>
      <w:r w:rsidR="006E3DDC" w:rsidRPr="002B4FBF">
        <w:rPr>
          <w:b/>
          <w:bCs/>
          <w:lang w:val="fr-CH"/>
        </w:rPr>
        <w:t>des signatures autorisées dans le cas d'une</w:t>
      </w:r>
      <w:r w:rsidRPr="002B4FBF">
        <w:rPr>
          <w:b/>
          <w:bCs/>
          <w:lang w:val="fr-CH"/>
        </w:rPr>
        <w:t xml:space="preserve"> banque</w:t>
      </w:r>
      <w:bookmarkEnd w:id="81"/>
      <w:bookmarkEnd w:id="82"/>
      <w:bookmarkEnd w:id="83"/>
      <w:bookmarkEnd w:id="84"/>
    </w:p>
    <w:p w:rsidR="006D0637" w:rsidRPr="000C6ABF" w:rsidRDefault="006D0637" w:rsidP="002B4FBF">
      <w:pPr>
        <w:rPr>
          <w:lang w:val="fr-CH"/>
        </w:rPr>
      </w:pPr>
      <w:r w:rsidRPr="000C6ABF">
        <w:rPr>
          <w:lang w:val="fr-CH"/>
        </w:rPr>
        <w:t>12</w:t>
      </w:r>
      <w:r w:rsidRPr="000C6ABF">
        <w:rPr>
          <w:lang w:val="fr-CH"/>
        </w:rPr>
        <w:tab/>
      </w:r>
      <w:r w:rsidR="006E3DDC" w:rsidRPr="000C6ABF">
        <w:rPr>
          <w:lang w:val="fr-CH"/>
        </w:rPr>
        <w:t>Les</w:t>
      </w:r>
      <w:r w:rsidR="00F34D22" w:rsidRPr="000C6ABF">
        <w:rPr>
          <w:lang w:val="fr-CH"/>
        </w:rPr>
        <w:t xml:space="preserve"> vérification</w:t>
      </w:r>
      <w:r w:rsidR="006E3DDC" w:rsidRPr="000C6ABF">
        <w:rPr>
          <w:lang w:val="fr-CH"/>
        </w:rPr>
        <w:t>s</w:t>
      </w:r>
      <w:r w:rsidR="00980469" w:rsidRPr="000C6ABF">
        <w:rPr>
          <w:lang w:val="fr-CH"/>
        </w:rPr>
        <w:t xml:space="preserve"> </w:t>
      </w:r>
      <w:r w:rsidR="006E3DDC" w:rsidRPr="000C6ABF">
        <w:rPr>
          <w:lang w:val="fr-CH"/>
        </w:rPr>
        <w:t>que nous avons effectuées au sujet de la confirmation</w:t>
      </w:r>
      <w:r w:rsidR="002B4FBF">
        <w:rPr>
          <w:lang w:val="fr-CH"/>
        </w:rPr>
        <w:t xml:space="preserve"> des</w:t>
      </w:r>
      <w:r w:rsidR="006E3DDC" w:rsidRPr="000C6ABF">
        <w:rPr>
          <w:lang w:val="fr-CH"/>
        </w:rPr>
        <w:t xml:space="preserve"> ban</w:t>
      </w:r>
      <w:r w:rsidR="002B4FBF">
        <w:rPr>
          <w:lang w:val="fr-CH"/>
        </w:rPr>
        <w:t>ques</w:t>
      </w:r>
      <w:r w:rsidR="006E3DDC" w:rsidRPr="000C6ABF">
        <w:rPr>
          <w:lang w:val="fr-CH"/>
        </w:rPr>
        <w:t xml:space="preserve"> ont également fait ressortir l'existence de différences </w:t>
      </w:r>
      <w:r w:rsidR="00980469" w:rsidRPr="000C6ABF">
        <w:rPr>
          <w:lang w:val="fr-CH"/>
        </w:rPr>
        <w:t>entre les listes de</w:t>
      </w:r>
      <w:r w:rsidR="006E3DDC" w:rsidRPr="000C6ABF">
        <w:rPr>
          <w:lang w:val="fr-CH"/>
        </w:rPr>
        <w:t>s signatures autorisées</w:t>
      </w:r>
      <w:r w:rsidR="00980469" w:rsidRPr="000C6ABF">
        <w:rPr>
          <w:lang w:val="fr-CH"/>
        </w:rPr>
        <w:t xml:space="preserve">, tenues par la direction au </w:t>
      </w:r>
      <w:r w:rsidR="008F7439">
        <w:rPr>
          <w:lang w:val="fr-CH"/>
        </w:rPr>
        <w:t>s</w:t>
      </w:r>
      <w:r w:rsidR="00980469" w:rsidRPr="000C6ABF">
        <w:rPr>
          <w:lang w:val="fr-CH"/>
        </w:rPr>
        <w:t>iège de l</w:t>
      </w:r>
      <w:r w:rsidR="00AB0C69" w:rsidRPr="000C6ABF">
        <w:rPr>
          <w:lang w:val="fr-CH"/>
        </w:rPr>
        <w:t>'</w:t>
      </w:r>
      <w:r w:rsidR="006E3DDC" w:rsidRPr="000C6ABF">
        <w:rPr>
          <w:lang w:val="fr-CH"/>
        </w:rPr>
        <w:t>U</w:t>
      </w:r>
      <w:r w:rsidR="00980469" w:rsidRPr="000C6ABF">
        <w:rPr>
          <w:lang w:val="fr-CH"/>
        </w:rPr>
        <w:t>nion et les listes que nous avons reçues, telles qu</w:t>
      </w:r>
      <w:r w:rsidR="00AB0C69" w:rsidRPr="000C6ABF">
        <w:rPr>
          <w:lang w:val="fr-CH"/>
        </w:rPr>
        <w:t>'</w:t>
      </w:r>
      <w:r w:rsidR="00980469" w:rsidRPr="000C6ABF">
        <w:rPr>
          <w:lang w:val="fr-CH"/>
        </w:rPr>
        <w:t xml:space="preserve">elles ont été déclarées par les banques, </w:t>
      </w:r>
      <w:r w:rsidR="006E3DDC" w:rsidRPr="000C6ABF">
        <w:rPr>
          <w:lang w:val="fr-CH"/>
        </w:rPr>
        <w:t xml:space="preserve">pour </w:t>
      </w:r>
      <w:r w:rsidR="00980469" w:rsidRPr="000C6ABF">
        <w:rPr>
          <w:lang w:val="fr-CH"/>
        </w:rPr>
        <w:t xml:space="preserve">ce qui </w:t>
      </w:r>
      <w:r w:rsidR="006E3DDC" w:rsidRPr="000C6ABF">
        <w:rPr>
          <w:lang w:val="fr-CH"/>
        </w:rPr>
        <w:t xml:space="preserve">est des </w:t>
      </w:r>
      <w:r w:rsidR="00980469" w:rsidRPr="000C6ABF">
        <w:rPr>
          <w:lang w:val="fr-CH"/>
        </w:rPr>
        <w:t>compte</w:t>
      </w:r>
      <w:r w:rsidR="006E3DDC" w:rsidRPr="000C6ABF">
        <w:rPr>
          <w:lang w:val="fr-CH"/>
        </w:rPr>
        <w:t>s</w:t>
      </w:r>
      <w:r w:rsidR="00980469" w:rsidRPr="000C6ABF">
        <w:rPr>
          <w:lang w:val="fr-CH"/>
        </w:rPr>
        <w:t xml:space="preserve"> de</w:t>
      </w:r>
      <w:r w:rsidR="006E3DDC" w:rsidRPr="000C6ABF">
        <w:rPr>
          <w:lang w:val="fr-CH"/>
        </w:rPr>
        <w:t xml:space="preserve"> certain</w:t>
      </w:r>
      <w:r w:rsidR="00980469" w:rsidRPr="000C6ABF">
        <w:rPr>
          <w:lang w:val="fr-CH"/>
        </w:rPr>
        <w:t>s bureaux hors siège</w:t>
      </w:r>
      <w:r w:rsidRPr="000C6ABF">
        <w:rPr>
          <w:lang w:val="fr-CH"/>
        </w:rPr>
        <w:t>.</w:t>
      </w:r>
    </w:p>
    <w:p w:rsidR="006D0637" w:rsidRPr="000C6ABF" w:rsidRDefault="006D0637" w:rsidP="00842B7E">
      <w:pPr>
        <w:rPr>
          <w:lang w:val="fr-CH"/>
        </w:rPr>
      </w:pPr>
      <w:r w:rsidRPr="000C6ABF">
        <w:rPr>
          <w:lang w:val="fr-CH"/>
        </w:rPr>
        <w:t>13</w:t>
      </w:r>
      <w:r w:rsidRPr="000C6ABF">
        <w:rPr>
          <w:lang w:val="fr-CH"/>
        </w:rPr>
        <w:tab/>
      </w:r>
      <w:r w:rsidR="00842B7E" w:rsidRPr="000C6ABF">
        <w:rPr>
          <w:lang w:val="fr-CH"/>
        </w:rPr>
        <w:t>I</w:t>
      </w:r>
      <w:r w:rsidR="00980469" w:rsidRPr="000C6ABF">
        <w:rPr>
          <w:lang w:val="fr-CH"/>
        </w:rPr>
        <w:t>l y a également lieu de mentionner que la direction a déjà réagi en envoyant récemment une communication (courrier électronique du 11 juin 2014) aux bureaux régionaux afin qu</w:t>
      </w:r>
      <w:r w:rsidR="00AB0C69" w:rsidRPr="000C6ABF">
        <w:rPr>
          <w:lang w:val="fr-CH"/>
        </w:rPr>
        <w:t>'</w:t>
      </w:r>
      <w:r w:rsidR="00980469" w:rsidRPr="000C6ABF">
        <w:rPr>
          <w:lang w:val="fr-CH"/>
        </w:rPr>
        <w:t xml:space="preserve">ils </w:t>
      </w:r>
      <w:r w:rsidR="00842B7E" w:rsidRPr="000C6ABF">
        <w:rPr>
          <w:lang w:val="fr-CH"/>
        </w:rPr>
        <w:t>règlent</w:t>
      </w:r>
      <w:r w:rsidR="00980469" w:rsidRPr="000C6ABF">
        <w:rPr>
          <w:lang w:val="fr-CH"/>
        </w:rPr>
        <w:t xml:space="preserve"> ces écarts</w:t>
      </w:r>
      <w:r w:rsidRPr="000C6ABF">
        <w:rPr>
          <w:lang w:val="fr-CH"/>
        </w:rPr>
        <w:t>.</w:t>
      </w:r>
    </w:p>
    <w:tbl>
      <w:tblPr>
        <w:tblStyle w:val="TableGrid"/>
        <w:tblW w:w="0" w:type="auto"/>
        <w:tblLook w:val="04A0" w:firstRow="1" w:lastRow="0" w:firstColumn="1" w:lastColumn="0" w:noHBand="0" w:noVBand="1"/>
      </w:tblPr>
      <w:tblGrid>
        <w:gridCol w:w="9629"/>
      </w:tblGrid>
      <w:tr w:rsidR="005C2CA1" w:rsidRPr="000C6ABF" w:rsidTr="005C2CA1">
        <w:tc>
          <w:tcPr>
            <w:tcW w:w="9629" w:type="dxa"/>
          </w:tcPr>
          <w:p w:rsidR="005C2CA1" w:rsidRPr="000C6ABF" w:rsidRDefault="005C2CA1" w:rsidP="00AB0C69">
            <w:pPr>
              <w:rPr>
                <w:b/>
                <w:bCs/>
                <w:u w:val="single"/>
                <w:lang w:val="fr-CH"/>
              </w:rPr>
            </w:pPr>
            <w:bookmarkStart w:id="86" w:name="_Toc396386934"/>
            <w:r w:rsidRPr="000C6ABF">
              <w:rPr>
                <w:b/>
                <w:bCs/>
                <w:u w:val="single"/>
                <w:lang w:val="fr-CH"/>
              </w:rPr>
              <w:lastRenderedPageBreak/>
              <w:t>Recommandation N° 1</w:t>
            </w:r>
            <w:bookmarkEnd w:id="86"/>
          </w:p>
          <w:p w:rsidR="005C2CA1" w:rsidRPr="000C6ABF" w:rsidRDefault="005C2CA1" w:rsidP="008F7439">
            <w:pPr>
              <w:rPr>
                <w:lang w:val="fr-CH"/>
              </w:rPr>
            </w:pPr>
            <w:r w:rsidRPr="000C6ABF">
              <w:rPr>
                <w:lang w:val="fr-CH"/>
              </w:rPr>
              <w:t>14</w:t>
            </w:r>
            <w:r w:rsidRPr="000C6ABF">
              <w:rPr>
                <w:lang w:val="fr-CH"/>
              </w:rPr>
              <w:tab/>
            </w:r>
            <w:r w:rsidR="00980469" w:rsidRPr="000C6ABF">
              <w:rPr>
                <w:lang w:val="fr-CH"/>
              </w:rPr>
              <w:t>S</w:t>
            </w:r>
            <w:r w:rsidR="00AB0C69" w:rsidRPr="000C6ABF">
              <w:rPr>
                <w:lang w:val="fr-CH"/>
              </w:rPr>
              <w:t>'</w:t>
            </w:r>
            <w:r w:rsidR="00980469" w:rsidRPr="000C6ABF">
              <w:rPr>
                <w:lang w:val="fr-CH"/>
              </w:rPr>
              <w:t xml:space="preserve">agissant des comptes des bureaux hors siège, nous recommandons à la direction de faire des efforts pour examiner de plus près </w:t>
            </w:r>
            <w:r w:rsidR="00842B7E" w:rsidRPr="000C6ABF">
              <w:rPr>
                <w:lang w:val="fr-CH"/>
              </w:rPr>
              <w:t>et</w:t>
            </w:r>
            <w:r w:rsidR="00980469" w:rsidRPr="000C6ABF">
              <w:rPr>
                <w:lang w:val="fr-CH"/>
              </w:rPr>
              <w:t xml:space="preserve"> mettre à jour les pouvoirs de signature dans le</w:t>
            </w:r>
            <w:r w:rsidR="00842B7E" w:rsidRPr="000C6ABF">
              <w:rPr>
                <w:lang w:val="fr-CH"/>
              </w:rPr>
              <w:t xml:space="preserve"> ca</w:t>
            </w:r>
            <w:r w:rsidR="00980469" w:rsidRPr="000C6ABF">
              <w:rPr>
                <w:lang w:val="fr-CH"/>
              </w:rPr>
              <w:t xml:space="preserve">s </w:t>
            </w:r>
            <w:r w:rsidR="00842B7E" w:rsidRPr="000C6ABF">
              <w:rPr>
                <w:lang w:val="fr-CH"/>
              </w:rPr>
              <w:t xml:space="preserve">de </w:t>
            </w:r>
            <w:r w:rsidR="00980469" w:rsidRPr="000C6ABF">
              <w:rPr>
                <w:lang w:val="fr-CH"/>
              </w:rPr>
              <w:t>banques, selon qu</w:t>
            </w:r>
            <w:r w:rsidR="00AB0C69" w:rsidRPr="000C6ABF">
              <w:rPr>
                <w:lang w:val="fr-CH"/>
              </w:rPr>
              <w:t>'</w:t>
            </w:r>
            <w:r w:rsidR="00980469" w:rsidRPr="000C6ABF">
              <w:rPr>
                <w:lang w:val="fr-CH"/>
              </w:rPr>
              <w:t>il conviendra, conformément au Règlement financier de l</w:t>
            </w:r>
            <w:r w:rsidR="00AB0C69" w:rsidRPr="000C6ABF">
              <w:rPr>
                <w:lang w:val="fr-CH"/>
              </w:rPr>
              <w:t>'</w:t>
            </w:r>
            <w:r w:rsidR="00980469" w:rsidRPr="000C6ABF">
              <w:rPr>
                <w:lang w:val="fr-CH"/>
              </w:rPr>
              <w:t>UIT</w:t>
            </w:r>
            <w:r w:rsidR="003072F2" w:rsidRPr="000C6ABF">
              <w:rPr>
                <w:lang w:val="fr-CH"/>
              </w:rPr>
              <w:t>;</w:t>
            </w:r>
            <w:r w:rsidR="00980469" w:rsidRPr="000C6ABF">
              <w:rPr>
                <w:lang w:val="fr-CH"/>
              </w:rPr>
              <w:t xml:space="preserve"> nous préconisons également que le </w:t>
            </w:r>
            <w:r w:rsidR="008F7439">
              <w:rPr>
                <w:lang w:val="fr-CH"/>
              </w:rPr>
              <w:t>s</w:t>
            </w:r>
            <w:r w:rsidR="00980469" w:rsidRPr="000C6ABF">
              <w:rPr>
                <w:lang w:val="fr-CH"/>
              </w:rPr>
              <w:t xml:space="preserve">iège suive de plus près les modifications qui pourraient être apportées </w:t>
            </w:r>
            <w:r w:rsidR="00842B7E" w:rsidRPr="000C6ABF">
              <w:rPr>
                <w:lang w:val="fr-CH"/>
              </w:rPr>
              <w:t>à l'autorité bancaire</w:t>
            </w:r>
            <w:r w:rsidR="00980469" w:rsidRPr="000C6ABF">
              <w:rPr>
                <w:lang w:val="fr-CH"/>
              </w:rPr>
              <w:t xml:space="preserve"> ayant pouvoir de signature, par exemple dans le cas où une personne </w:t>
            </w:r>
            <w:r w:rsidR="00842B7E" w:rsidRPr="000C6ABF">
              <w:rPr>
                <w:lang w:val="fr-CH"/>
              </w:rPr>
              <w:t xml:space="preserve">est ajoutée </w:t>
            </w:r>
            <w:r w:rsidR="00980469" w:rsidRPr="000C6ABF">
              <w:rPr>
                <w:lang w:val="fr-CH"/>
              </w:rPr>
              <w:t xml:space="preserve">à la liste des personnes ayant pouvoir de signature ou dans le cas où </w:t>
            </w:r>
            <w:r w:rsidR="00842B7E" w:rsidRPr="000C6ABF">
              <w:rPr>
                <w:lang w:val="fr-CH"/>
              </w:rPr>
              <w:t>le nom d'u</w:t>
            </w:r>
            <w:r w:rsidR="00980469" w:rsidRPr="000C6ABF">
              <w:rPr>
                <w:lang w:val="fr-CH"/>
              </w:rPr>
              <w:t>ne personne qui n</w:t>
            </w:r>
            <w:r w:rsidR="00AB0C69" w:rsidRPr="000C6ABF">
              <w:rPr>
                <w:lang w:val="fr-CH"/>
              </w:rPr>
              <w:t>'</w:t>
            </w:r>
            <w:r w:rsidR="00980469" w:rsidRPr="000C6ABF">
              <w:rPr>
                <w:lang w:val="fr-CH"/>
              </w:rPr>
              <w:t xml:space="preserve">est plus </w:t>
            </w:r>
            <w:r w:rsidR="00842B7E" w:rsidRPr="000C6ABF">
              <w:rPr>
                <w:lang w:val="fr-CH"/>
              </w:rPr>
              <w:t xml:space="preserve">habilitée </w:t>
            </w:r>
            <w:r w:rsidR="00980469" w:rsidRPr="000C6ABF">
              <w:rPr>
                <w:lang w:val="fr-CH"/>
              </w:rPr>
              <w:t>à signer</w:t>
            </w:r>
            <w:r w:rsidR="00842B7E" w:rsidRPr="000C6ABF">
              <w:rPr>
                <w:lang w:val="fr-CH"/>
              </w:rPr>
              <w:t xml:space="preserve"> est supprimé</w:t>
            </w:r>
            <w:r w:rsidRPr="000C6ABF">
              <w:rPr>
                <w:lang w:val="fr-CH"/>
              </w:rPr>
              <w:t>.</w:t>
            </w:r>
          </w:p>
        </w:tc>
      </w:tr>
      <w:bookmarkEnd w:id="85"/>
    </w:tbl>
    <w:p w:rsidR="00197ECC" w:rsidRPr="000C6ABF" w:rsidRDefault="00197ECC" w:rsidP="00AB0C69">
      <w:pPr>
        <w:rPr>
          <w:lang w:val="fr-CH"/>
        </w:rPr>
      </w:pPr>
    </w:p>
    <w:tbl>
      <w:tblPr>
        <w:tblStyle w:val="TableGrid"/>
        <w:tblW w:w="0" w:type="auto"/>
        <w:tblLook w:val="04A0" w:firstRow="1" w:lastRow="0" w:firstColumn="1" w:lastColumn="0" w:noHBand="0" w:noVBand="1"/>
      </w:tblPr>
      <w:tblGrid>
        <w:gridCol w:w="9629"/>
      </w:tblGrid>
      <w:tr w:rsidR="00FB5933" w:rsidRPr="000C6ABF" w:rsidTr="00FB5933">
        <w:tc>
          <w:tcPr>
            <w:tcW w:w="9629" w:type="dxa"/>
          </w:tcPr>
          <w:p w:rsidR="00FB5933" w:rsidRPr="000C6ABF" w:rsidRDefault="00FB5933" w:rsidP="00AB0C69">
            <w:pPr>
              <w:rPr>
                <w:b/>
                <w:bCs/>
                <w:u w:val="single"/>
                <w:lang w:val="fr-CH"/>
              </w:rPr>
            </w:pPr>
            <w:bookmarkStart w:id="87" w:name="_Toc396386935"/>
            <w:r w:rsidRPr="000C6ABF">
              <w:rPr>
                <w:b/>
                <w:bCs/>
                <w:u w:val="single"/>
                <w:lang w:val="fr-CH"/>
              </w:rPr>
              <w:t>Commentaires du Secrétaire général:</w:t>
            </w:r>
            <w:bookmarkEnd w:id="87"/>
          </w:p>
          <w:p w:rsidR="00FB5933" w:rsidRPr="000C6ABF" w:rsidRDefault="00980469" w:rsidP="002B4FBF">
            <w:pPr>
              <w:rPr>
                <w:lang w:val="fr-CH"/>
              </w:rPr>
            </w:pPr>
            <w:r w:rsidRPr="000C6ABF">
              <w:rPr>
                <w:lang w:val="fr-CH"/>
              </w:rPr>
              <w:t xml:space="preserve">Le Département de la gestion des ressources financières a envoyé un rappel à tous les bureaux hors siège leur précisant </w:t>
            </w:r>
            <w:r w:rsidR="003072F2" w:rsidRPr="000C6ABF">
              <w:rPr>
                <w:lang w:val="fr-CH"/>
              </w:rPr>
              <w:t>qu'</w:t>
            </w:r>
            <w:r w:rsidRPr="000C6ABF">
              <w:rPr>
                <w:lang w:val="fr-CH"/>
              </w:rPr>
              <w:t xml:space="preserve">il est important de mettre </w:t>
            </w:r>
            <w:r w:rsidR="002B4FBF">
              <w:rPr>
                <w:lang w:val="fr-CH"/>
              </w:rPr>
              <w:t>à</w:t>
            </w:r>
            <w:r w:rsidRPr="000C6ABF">
              <w:rPr>
                <w:lang w:val="fr-CH"/>
              </w:rPr>
              <w:t xml:space="preserve"> jour régulièrement la liste des personnes ayant pouvoir de signature </w:t>
            </w:r>
            <w:r w:rsidR="003072F2" w:rsidRPr="000C6ABF">
              <w:rPr>
                <w:lang w:val="fr-CH"/>
              </w:rPr>
              <w:t xml:space="preserve">telle qu'elle a été </w:t>
            </w:r>
            <w:r w:rsidR="002B4FBF">
              <w:rPr>
                <w:lang w:val="fr-CH"/>
              </w:rPr>
              <w:t>déclarée</w:t>
            </w:r>
            <w:r w:rsidRPr="000C6ABF">
              <w:rPr>
                <w:lang w:val="fr-CH"/>
              </w:rPr>
              <w:t xml:space="preserve"> par les banques. </w:t>
            </w:r>
            <w:r w:rsidR="00021DCF" w:rsidRPr="000C6ABF">
              <w:rPr>
                <w:lang w:val="fr-CH"/>
              </w:rPr>
              <w:t xml:space="preserve">Les bureaux hors siège ont eu pour instruction de signaler au Département de la gestion des ressources financières tout changement de personnel ayant une incidence sur les listes de signataires </w:t>
            </w:r>
            <w:r w:rsidR="003072F2" w:rsidRPr="000C6ABF">
              <w:rPr>
                <w:lang w:val="fr-CH"/>
              </w:rPr>
              <w:t>a</w:t>
            </w:r>
            <w:r w:rsidR="00021DCF" w:rsidRPr="000C6ABF">
              <w:rPr>
                <w:lang w:val="fr-CH"/>
              </w:rPr>
              <w:t>fin que ces listes soient bien mises et tenue</w:t>
            </w:r>
            <w:r w:rsidR="003072F2" w:rsidRPr="000C6ABF">
              <w:rPr>
                <w:lang w:val="fr-CH"/>
              </w:rPr>
              <w:t>s</w:t>
            </w:r>
            <w:r w:rsidR="00021DCF" w:rsidRPr="000C6ABF">
              <w:rPr>
                <w:lang w:val="fr-CH"/>
              </w:rPr>
              <w:t xml:space="preserve"> à jour. </w:t>
            </w:r>
          </w:p>
        </w:tc>
      </w:tr>
    </w:tbl>
    <w:p w:rsidR="00C433BC" w:rsidRPr="002B4FBF" w:rsidRDefault="00021DCF" w:rsidP="00AB0C69">
      <w:pPr>
        <w:pStyle w:val="Headingb"/>
        <w:spacing w:before="320"/>
        <w:rPr>
          <w:i/>
          <w:iCs/>
          <w:lang w:val="fr-CH"/>
        </w:rPr>
      </w:pPr>
      <w:bookmarkStart w:id="88" w:name="_Toc398277620"/>
      <w:bookmarkStart w:id="89" w:name="_Toc396386936"/>
      <w:bookmarkStart w:id="90" w:name="_Toc396387821"/>
      <w:bookmarkStart w:id="91" w:name="_Toc396387935"/>
      <w:r w:rsidRPr="002B4FBF">
        <w:rPr>
          <w:i/>
          <w:iCs/>
          <w:lang w:val="fr-CH"/>
        </w:rPr>
        <w:t>Procédure de clôture ou d</w:t>
      </w:r>
      <w:r w:rsidR="00AB0C69" w:rsidRPr="002B4FBF">
        <w:rPr>
          <w:i/>
          <w:iCs/>
          <w:lang w:val="fr-CH"/>
        </w:rPr>
        <w:t>'</w:t>
      </w:r>
      <w:r w:rsidRPr="002B4FBF">
        <w:rPr>
          <w:i/>
          <w:iCs/>
          <w:lang w:val="fr-CH"/>
        </w:rPr>
        <w:t>ouverture de nouveaux comptes</w:t>
      </w:r>
      <w:bookmarkEnd w:id="88"/>
      <w:r w:rsidRPr="002B4FBF">
        <w:rPr>
          <w:i/>
          <w:iCs/>
          <w:lang w:val="fr-CH"/>
        </w:rPr>
        <w:t xml:space="preserve"> </w:t>
      </w:r>
      <w:bookmarkEnd w:id="89"/>
      <w:bookmarkEnd w:id="90"/>
      <w:bookmarkEnd w:id="91"/>
    </w:p>
    <w:p w:rsidR="00C433BC" w:rsidRPr="000C6ABF" w:rsidRDefault="00C433BC" w:rsidP="003072F2">
      <w:pPr>
        <w:rPr>
          <w:lang w:val="fr-CH"/>
        </w:rPr>
      </w:pPr>
      <w:r w:rsidRPr="000C6ABF">
        <w:rPr>
          <w:lang w:val="fr-CH"/>
        </w:rPr>
        <w:t>15</w:t>
      </w:r>
      <w:r w:rsidRPr="000C6ABF">
        <w:rPr>
          <w:lang w:val="fr-CH"/>
        </w:rPr>
        <w:tab/>
      </w:r>
      <w:r w:rsidR="003072F2" w:rsidRPr="000C6ABF">
        <w:rPr>
          <w:lang w:val="fr-CH"/>
        </w:rPr>
        <w:t>L</w:t>
      </w:r>
      <w:r w:rsidR="00AB0C69" w:rsidRPr="000C6ABF">
        <w:rPr>
          <w:lang w:val="fr-CH"/>
        </w:rPr>
        <w:t>'</w:t>
      </w:r>
      <w:r w:rsidR="00021DCF" w:rsidRPr="000C6ABF">
        <w:rPr>
          <w:lang w:val="fr-CH"/>
        </w:rPr>
        <w:t>an dernier</w:t>
      </w:r>
      <w:r w:rsidR="003072F2" w:rsidRPr="000C6ABF">
        <w:rPr>
          <w:lang w:val="fr-CH"/>
        </w:rPr>
        <w:t xml:space="preserve"> – nous en avons pris note –</w:t>
      </w:r>
      <w:r w:rsidR="002B4FBF">
        <w:rPr>
          <w:lang w:val="fr-CH"/>
        </w:rPr>
        <w:t>,</w:t>
      </w:r>
      <w:r w:rsidR="003072F2" w:rsidRPr="000C6ABF">
        <w:rPr>
          <w:lang w:val="fr-CH"/>
        </w:rPr>
        <w:t xml:space="preserve"> </w:t>
      </w:r>
      <w:r w:rsidR="00021DCF" w:rsidRPr="000C6ABF">
        <w:rPr>
          <w:lang w:val="fr-CH"/>
        </w:rPr>
        <w:t xml:space="preserve">un compte en banque a été clos au bureau régional de Brasilia </w:t>
      </w:r>
      <w:r w:rsidRPr="000C6ABF">
        <w:rPr>
          <w:lang w:val="fr-CH"/>
        </w:rPr>
        <w:t>(</w:t>
      </w:r>
      <w:r w:rsidR="00021DCF" w:rsidRPr="000C6ABF">
        <w:rPr>
          <w:lang w:val="fr-CH"/>
        </w:rPr>
        <w:t xml:space="preserve">banque </w:t>
      </w:r>
      <w:proofErr w:type="spellStart"/>
      <w:r w:rsidRPr="000C6ABF">
        <w:rPr>
          <w:lang w:val="fr-CH"/>
        </w:rPr>
        <w:t>Bradesco</w:t>
      </w:r>
      <w:proofErr w:type="spellEnd"/>
      <w:r w:rsidR="00021DCF" w:rsidRPr="000C6ABF">
        <w:rPr>
          <w:lang w:val="fr-CH"/>
        </w:rPr>
        <w:t>)</w:t>
      </w:r>
      <w:r w:rsidRPr="000C6ABF">
        <w:rPr>
          <w:lang w:val="fr-CH"/>
        </w:rPr>
        <w:t xml:space="preserve"> </w:t>
      </w:r>
      <w:r w:rsidR="00021DCF" w:rsidRPr="000C6ABF">
        <w:rPr>
          <w:lang w:val="fr-CH"/>
        </w:rPr>
        <w:t xml:space="preserve">et un nouveau compte a été ouvert </w:t>
      </w:r>
      <w:r w:rsidRPr="000C6ABF">
        <w:rPr>
          <w:lang w:val="fr-CH"/>
        </w:rPr>
        <w:t>(Banco do Brasil).</w:t>
      </w:r>
    </w:p>
    <w:p w:rsidR="00C433BC" w:rsidRPr="000C6ABF" w:rsidRDefault="00C433BC" w:rsidP="003072F2">
      <w:pPr>
        <w:rPr>
          <w:lang w:val="fr-CH"/>
        </w:rPr>
      </w:pPr>
      <w:r w:rsidRPr="000C6ABF">
        <w:rPr>
          <w:lang w:val="fr-CH"/>
        </w:rPr>
        <w:t>16</w:t>
      </w:r>
      <w:r w:rsidRPr="000C6ABF">
        <w:rPr>
          <w:lang w:val="fr-CH"/>
        </w:rPr>
        <w:tab/>
      </w:r>
      <w:r w:rsidR="00021DCF" w:rsidRPr="000C6ABF">
        <w:rPr>
          <w:lang w:val="fr-CH"/>
        </w:rPr>
        <w:t xml:space="preserve">Conformément à la Règle </w:t>
      </w:r>
      <w:r w:rsidRPr="000C6ABF">
        <w:rPr>
          <w:lang w:val="fr-CH"/>
        </w:rPr>
        <w:t xml:space="preserve">16.1 </w:t>
      </w:r>
      <w:r w:rsidR="00021DCF" w:rsidRPr="000C6ABF">
        <w:rPr>
          <w:lang w:val="fr-CH"/>
        </w:rPr>
        <w:t>du Règlement financier de l</w:t>
      </w:r>
      <w:r w:rsidR="00AB0C69" w:rsidRPr="000C6ABF">
        <w:rPr>
          <w:lang w:val="fr-CH"/>
        </w:rPr>
        <w:t>'</w:t>
      </w:r>
      <w:r w:rsidR="00021DCF" w:rsidRPr="000C6ABF">
        <w:rPr>
          <w:lang w:val="fr-CH"/>
        </w:rPr>
        <w:t xml:space="preserve">UIT, </w:t>
      </w:r>
      <w:r w:rsidR="003072F2" w:rsidRPr="000C6ABF">
        <w:rPr>
          <w:lang w:val="fr-CH"/>
        </w:rPr>
        <w:t>"</w:t>
      </w:r>
      <w:r w:rsidR="00021DCF" w:rsidRPr="000C6ABF">
        <w:rPr>
          <w:lang w:val="fr-CH"/>
        </w:rPr>
        <w:t>le Secrétaire général désigne les banques ou autres institutions dans lesquelles les fonds de l</w:t>
      </w:r>
      <w:r w:rsidR="00AB0C69" w:rsidRPr="000C6ABF">
        <w:rPr>
          <w:lang w:val="fr-CH"/>
        </w:rPr>
        <w:t>'</w:t>
      </w:r>
      <w:r w:rsidR="00021DCF" w:rsidRPr="000C6ABF">
        <w:rPr>
          <w:lang w:val="fr-CH"/>
        </w:rPr>
        <w:t>Union doivent être déposés</w:t>
      </w:r>
      <w:r w:rsidR="003072F2" w:rsidRPr="000C6ABF">
        <w:rPr>
          <w:lang w:val="fr-CH"/>
        </w:rPr>
        <w:t>"</w:t>
      </w:r>
      <w:r w:rsidR="00021DCF" w:rsidRPr="000C6ABF">
        <w:rPr>
          <w:lang w:val="fr-CH"/>
        </w:rPr>
        <w:t xml:space="preserve"> et conformément à cette même Règle, le </w:t>
      </w:r>
      <w:r w:rsidR="003072F2" w:rsidRPr="000C6ABF">
        <w:rPr>
          <w:lang w:val="fr-CH"/>
        </w:rPr>
        <w:t>S</w:t>
      </w:r>
      <w:r w:rsidR="00021DCF" w:rsidRPr="000C6ABF">
        <w:rPr>
          <w:lang w:val="fr-CH"/>
        </w:rPr>
        <w:t xml:space="preserve">ecrétaire général </w:t>
      </w:r>
      <w:r w:rsidR="003072F2" w:rsidRPr="000C6ABF">
        <w:rPr>
          <w:lang w:val="fr-CH"/>
        </w:rPr>
        <w:t>"</w:t>
      </w:r>
      <w:r w:rsidR="00021DCF" w:rsidRPr="000C6ABF">
        <w:rPr>
          <w:lang w:val="fr-CH"/>
        </w:rPr>
        <w:t>autorise également les fermetures de comptes en banque</w:t>
      </w:r>
      <w:r w:rsidR="003072F2" w:rsidRPr="000C6ABF">
        <w:rPr>
          <w:lang w:val="fr-CH"/>
        </w:rPr>
        <w:t>";</w:t>
      </w:r>
      <w:r w:rsidR="00021DCF" w:rsidRPr="000C6ABF">
        <w:rPr>
          <w:lang w:val="fr-CH"/>
        </w:rPr>
        <w:t xml:space="preserve"> des lignes directrices claires concernant les critères à utiliser pour le choix des institutions financières doivent être établies.</w:t>
      </w:r>
    </w:p>
    <w:p w:rsidR="00C433BC" w:rsidRPr="000C6ABF" w:rsidRDefault="00C433BC" w:rsidP="003072F2">
      <w:pPr>
        <w:spacing w:after="120"/>
        <w:rPr>
          <w:lang w:val="fr-CH"/>
        </w:rPr>
      </w:pPr>
      <w:r w:rsidRPr="000C6ABF">
        <w:rPr>
          <w:lang w:val="fr-CH"/>
        </w:rPr>
        <w:t>17</w:t>
      </w:r>
      <w:r w:rsidRPr="000C6ABF">
        <w:rPr>
          <w:lang w:val="fr-CH"/>
        </w:rPr>
        <w:tab/>
      </w:r>
      <w:r w:rsidR="00021DCF" w:rsidRPr="000C6ABF">
        <w:rPr>
          <w:lang w:val="fr-CH"/>
        </w:rPr>
        <w:t>S</w:t>
      </w:r>
      <w:r w:rsidR="00AB0C69" w:rsidRPr="000C6ABF">
        <w:rPr>
          <w:lang w:val="fr-CH"/>
        </w:rPr>
        <w:t>'</w:t>
      </w:r>
      <w:r w:rsidR="00021DCF" w:rsidRPr="000C6ABF">
        <w:rPr>
          <w:lang w:val="fr-CH"/>
        </w:rPr>
        <w:t xml:space="preserve">agissant du cas susmentionné, à savoir la clôture du compte en banque à la banque </w:t>
      </w:r>
      <w:proofErr w:type="spellStart"/>
      <w:r w:rsidR="00021DCF" w:rsidRPr="000C6ABF">
        <w:rPr>
          <w:lang w:val="fr-CH"/>
        </w:rPr>
        <w:t>Bradesco</w:t>
      </w:r>
      <w:proofErr w:type="spellEnd"/>
      <w:r w:rsidR="00021DCF" w:rsidRPr="000C6ABF">
        <w:rPr>
          <w:lang w:val="fr-CH"/>
        </w:rPr>
        <w:t xml:space="preserve"> et l</w:t>
      </w:r>
      <w:r w:rsidR="00AB0C69" w:rsidRPr="000C6ABF">
        <w:rPr>
          <w:lang w:val="fr-CH"/>
        </w:rPr>
        <w:t>'</w:t>
      </w:r>
      <w:r w:rsidR="00021DCF" w:rsidRPr="000C6ABF">
        <w:rPr>
          <w:lang w:val="fr-CH"/>
        </w:rPr>
        <w:t>ouverture d</w:t>
      </w:r>
      <w:r w:rsidR="00AB0C69" w:rsidRPr="000C6ABF">
        <w:rPr>
          <w:lang w:val="fr-CH"/>
        </w:rPr>
        <w:t>'</w:t>
      </w:r>
      <w:r w:rsidR="00021DCF" w:rsidRPr="000C6ABF">
        <w:rPr>
          <w:lang w:val="fr-CH"/>
        </w:rPr>
        <w:t xml:space="preserve">un nouveau compte à la banque </w:t>
      </w:r>
      <w:r w:rsidRPr="000C6ABF">
        <w:rPr>
          <w:lang w:val="fr-CH"/>
        </w:rPr>
        <w:t>Banco do Brasil</w:t>
      </w:r>
      <w:r w:rsidR="003072F2" w:rsidRPr="000C6ABF">
        <w:rPr>
          <w:lang w:val="fr-CH"/>
        </w:rPr>
        <w:t>, nos vérifications ont fait apparaître qu'il n'y avait pas d'autorisation du Secrétaire général</w:t>
      </w:r>
      <w:r w:rsidR="00F34D22" w:rsidRPr="000C6ABF">
        <w:rPr>
          <w:lang w:val="fr-CH"/>
        </w:rPr>
        <w:t xml:space="preserve">. </w:t>
      </w:r>
    </w:p>
    <w:tbl>
      <w:tblPr>
        <w:tblStyle w:val="TableGrid"/>
        <w:tblW w:w="0" w:type="auto"/>
        <w:tblLook w:val="04A0" w:firstRow="1" w:lastRow="0" w:firstColumn="1" w:lastColumn="0" w:noHBand="0" w:noVBand="1"/>
      </w:tblPr>
      <w:tblGrid>
        <w:gridCol w:w="9629"/>
      </w:tblGrid>
      <w:tr w:rsidR="00FB5933" w:rsidRPr="000C6ABF" w:rsidTr="00FB5933">
        <w:tc>
          <w:tcPr>
            <w:tcW w:w="9629" w:type="dxa"/>
          </w:tcPr>
          <w:p w:rsidR="00FB5933" w:rsidRPr="000C6ABF" w:rsidRDefault="00FB5933" w:rsidP="00AB0C69">
            <w:pPr>
              <w:rPr>
                <w:b/>
                <w:bCs/>
                <w:u w:val="single"/>
                <w:lang w:val="fr-CH"/>
              </w:rPr>
            </w:pPr>
            <w:bookmarkStart w:id="92" w:name="_Toc396386937"/>
            <w:r w:rsidRPr="000C6ABF">
              <w:rPr>
                <w:b/>
                <w:bCs/>
                <w:u w:val="single"/>
                <w:lang w:val="fr-CH"/>
              </w:rPr>
              <w:t>Recommandation N° 2</w:t>
            </w:r>
            <w:bookmarkEnd w:id="92"/>
          </w:p>
          <w:p w:rsidR="00FB5933" w:rsidRPr="000C6ABF" w:rsidRDefault="00FB5933" w:rsidP="003072F2">
            <w:pPr>
              <w:rPr>
                <w:lang w:val="fr-CH"/>
              </w:rPr>
            </w:pPr>
            <w:r w:rsidRPr="000C6ABF">
              <w:rPr>
                <w:lang w:val="fr-CH"/>
              </w:rPr>
              <w:t>18</w:t>
            </w:r>
            <w:r w:rsidRPr="000C6ABF">
              <w:rPr>
                <w:lang w:val="fr-CH"/>
              </w:rPr>
              <w:tab/>
            </w:r>
            <w:r w:rsidR="00C325DE" w:rsidRPr="000C6ABF">
              <w:rPr>
                <w:lang w:val="fr-CH"/>
              </w:rPr>
              <w:t>E</w:t>
            </w:r>
            <w:r w:rsidR="00F34D22" w:rsidRPr="000C6ABF">
              <w:rPr>
                <w:lang w:val="fr-CH"/>
              </w:rPr>
              <w:t>tant donné que le Règlement financier prévoit qu</w:t>
            </w:r>
            <w:r w:rsidR="003072F2" w:rsidRPr="000C6ABF">
              <w:rPr>
                <w:lang w:val="fr-CH"/>
              </w:rPr>
              <w:t>'un</w:t>
            </w:r>
            <w:r w:rsidR="00F34D22" w:rsidRPr="000C6ABF">
              <w:rPr>
                <w:lang w:val="fr-CH"/>
              </w:rPr>
              <w:t xml:space="preserve">e </w:t>
            </w:r>
            <w:r w:rsidR="003072F2" w:rsidRPr="000C6ABF">
              <w:rPr>
                <w:lang w:val="fr-CH"/>
              </w:rPr>
              <w:t xml:space="preserve">autorisation du Secrétaire général est requise </w:t>
            </w:r>
            <w:r w:rsidR="00F34D22" w:rsidRPr="000C6ABF">
              <w:rPr>
                <w:lang w:val="fr-CH"/>
              </w:rPr>
              <w:t>pour toute procédure de sélection des banques, d</w:t>
            </w:r>
            <w:r w:rsidR="00AB0C69" w:rsidRPr="000C6ABF">
              <w:rPr>
                <w:lang w:val="fr-CH"/>
              </w:rPr>
              <w:t>'</w:t>
            </w:r>
            <w:r w:rsidR="00F34D22" w:rsidRPr="000C6ABF">
              <w:rPr>
                <w:lang w:val="fr-CH"/>
              </w:rPr>
              <w:t>ouverture de compte, de dépôts de fonds, de clôture de compte, nous recommandons à la direction de faire en sorte qu</w:t>
            </w:r>
            <w:r w:rsidR="00AB0C69" w:rsidRPr="000C6ABF">
              <w:rPr>
                <w:lang w:val="fr-CH"/>
              </w:rPr>
              <w:t>'</w:t>
            </w:r>
            <w:r w:rsidR="00F34D22" w:rsidRPr="000C6ABF">
              <w:rPr>
                <w:lang w:val="fr-CH"/>
              </w:rPr>
              <w:t>une procédure plus stricte, y compris pour l</w:t>
            </w:r>
            <w:r w:rsidR="00AB0C69" w:rsidRPr="000C6ABF">
              <w:rPr>
                <w:lang w:val="fr-CH"/>
              </w:rPr>
              <w:t>'</w:t>
            </w:r>
            <w:r w:rsidR="00F34D22" w:rsidRPr="000C6ABF">
              <w:rPr>
                <w:lang w:val="fr-CH"/>
              </w:rPr>
              <w:t>autorisation susmentionnée, soit suivie chaque fois qu</w:t>
            </w:r>
            <w:r w:rsidR="00AB0C69" w:rsidRPr="000C6ABF">
              <w:rPr>
                <w:lang w:val="fr-CH"/>
              </w:rPr>
              <w:t>'</w:t>
            </w:r>
            <w:r w:rsidR="00F34D22" w:rsidRPr="000C6ABF">
              <w:rPr>
                <w:lang w:val="fr-CH"/>
              </w:rPr>
              <w:t>il est mis fin à une relation financière avec des banques ou qu</w:t>
            </w:r>
            <w:r w:rsidR="00AB0C69" w:rsidRPr="000C6ABF">
              <w:rPr>
                <w:lang w:val="fr-CH"/>
              </w:rPr>
              <w:t>'</w:t>
            </w:r>
            <w:r w:rsidR="00F34D22" w:rsidRPr="000C6ABF">
              <w:rPr>
                <w:lang w:val="fr-CH"/>
              </w:rPr>
              <w:t>il en est créé une</w:t>
            </w:r>
            <w:r w:rsidRPr="000C6ABF">
              <w:rPr>
                <w:lang w:val="fr-CH"/>
              </w:rPr>
              <w:t>.</w:t>
            </w:r>
          </w:p>
        </w:tc>
      </w:tr>
    </w:tbl>
    <w:p w:rsidR="00FB5933" w:rsidRPr="000C6ABF" w:rsidRDefault="00FB5933" w:rsidP="00AB0C69">
      <w:pPr>
        <w:rPr>
          <w:lang w:val="fr-CH"/>
        </w:rPr>
      </w:pPr>
    </w:p>
    <w:tbl>
      <w:tblPr>
        <w:tblStyle w:val="TableGrid"/>
        <w:tblW w:w="0" w:type="auto"/>
        <w:tblLook w:val="04A0" w:firstRow="1" w:lastRow="0" w:firstColumn="1" w:lastColumn="0" w:noHBand="0" w:noVBand="1"/>
      </w:tblPr>
      <w:tblGrid>
        <w:gridCol w:w="9629"/>
      </w:tblGrid>
      <w:tr w:rsidR="00FB5933" w:rsidRPr="000C6ABF" w:rsidTr="00FB5933">
        <w:tc>
          <w:tcPr>
            <w:tcW w:w="9629" w:type="dxa"/>
          </w:tcPr>
          <w:p w:rsidR="00FB5933" w:rsidRPr="000C6ABF" w:rsidRDefault="00FB5933" w:rsidP="00AB0C69">
            <w:pPr>
              <w:rPr>
                <w:b/>
                <w:bCs/>
                <w:u w:val="single"/>
                <w:lang w:val="fr-CH"/>
              </w:rPr>
            </w:pPr>
            <w:bookmarkStart w:id="93" w:name="_Toc396386938"/>
            <w:bookmarkStart w:id="94" w:name="_Toc358123278"/>
            <w:r w:rsidRPr="000C6ABF">
              <w:rPr>
                <w:b/>
                <w:bCs/>
                <w:u w:val="single"/>
                <w:lang w:val="fr-CH"/>
              </w:rPr>
              <w:t>Commentaires du Secrétaire général:</w:t>
            </w:r>
            <w:bookmarkEnd w:id="93"/>
          </w:p>
          <w:p w:rsidR="00FB5933" w:rsidRPr="000C6ABF" w:rsidRDefault="00915762" w:rsidP="00915762">
            <w:pPr>
              <w:rPr>
                <w:lang w:val="fr-CH"/>
              </w:rPr>
            </w:pPr>
            <w:r w:rsidRPr="000C6ABF">
              <w:rPr>
                <w:lang w:val="fr-CH"/>
              </w:rPr>
              <w:t>En 2014, l</w:t>
            </w:r>
            <w:r w:rsidR="00FB5933" w:rsidRPr="000C6ABF">
              <w:rPr>
                <w:lang w:val="fr-CH"/>
              </w:rPr>
              <w:t xml:space="preserve">e Secrétaire général </w:t>
            </w:r>
            <w:r w:rsidR="00F34D22" w:rsidRPr="000C6ABF">
              <w:rPr>
                <w:lang w:val="fr-CH"/>
              </w:rPr>
              <w:t>a officiellement délégué l</w:t>
            </w:r>
            <w:r w:rsidR="00AB0C69" w:rsidRPr="000C6ABF">
              <w:rPr>
                <w:lang w:val="fr-CH"/>
              </w:rPr>
              <w:t>'</w:t>
            </w:r>
            <w:r w:rsidR="00F34D22" w:rsidRPr="000C6ABF">
              <w:rPr>
                <w:lang w:val="fr-CH"/>
              </w:rPr>
              <w:t>autorisation d</w:t>
            </w:r>
            <w:r w:rsidR="00AB0C69" w:rsidRPr="000C6ABF">
              <w:rPr>
                <w:lang w:val="fr-CH"/>
              </w:rPr>
              <w:t>'</w:t>
            </w:r>
            <w:r w:rsidR="00F34D22" w:rsidRPr="000C6ABF">
              <w:rPr>
                <w:lang w:val="fr-CH"/>
              </w:rPr>
              <w:t>ouverture et de clôture de compte</w:t>
            </w:r>
            <w:r w:rsidRPr="000C6ABF">
              <w:rPr>
                <w:lang w:val="fr-CH"/>
              </w:rPr>
              <w:t>s</w:t>
            </w:r>
            <w:r w:rsidR="00F34D22" w:rsidRPr="000C6ABF">
              <w:rPr>
                <w:lang w:val="fr-CH"/>
              </w:rPr>
              <w:t xml:space="preserve"> ban</w:t>
            </w:r>
            <w:r w:rsidRPr="000C6ABF">
              <w:rPr>
                <w:lang w:val="fr-CH"/>
              </w:rPr>
              <w:t>caires</w:t>
            </w:r>
            <w:r w:rsidR="00F34D22" w:rsidRPr="000C6ABF">
              <w:rPr>
                <w:lang w:val="fr-CH"/>
              </w:rPr>
              <w:t xml:space="preserve"> au Chef du Département de la gestion des ressources financières</w:t>
            </w:r>
            <w:r w:rsidR="00FB5933" w:rsidRPr="000C6ABF">
              <w:rPr>
                <w:lang w:val="fr-CH"/>
              </w:rPr>
              <w:t>.</w:t>
            </w:r>
          </w:p>
        </w:tc>
      </w:tr>
    </w:tbl>
    <w:p w:rsidR="00CD2E00" w:rsidRPr="000C6ABF" w:rsidRDefault="00CD2E00" w:rsidP="00AB0C69">
      <w:pPr>
        <w:pStyle w:val="Headingb"/>
        <w:rPr>
          <w:lang w:val="fr-CH"/>
        </w:rPr>
      </w:pPr>
      <w:bookmarkStart w:id="95" w:name="_Toc396386939"/>
      <w:bookmarkStart w:id="96" w:name="_Toc396387822"/>
      <w:bookmarkStart w:id="97" w:name="_Toc396387936"/>
      <w:bookmarkStart w:id="98" w:name="_Toc398277621"/>
      <w:r w:rsidRPr="000C6ABF">
        <w:rPr>
          <w:lang w:val="fr-CH"/>
        </w:rPr>
        <w:lastRenderedPageBreak/>
        <w:t>Fonds en caisse dans les bureaux hors siège</w:t>
      </w:r>
      <w:bookmarkEnd w:id="95"/>
      <w:bookmarkEnd w:id="96"/>
      <w:bookmarkEnd w:id="97"/>
      <w:bookmarkEnd w:id="98"/>
    </w:p>
    <w:p w:rsidR="00CD2E00" w:rsidRPr="000C6ABF" w:rsidRDefault="00CD2E00" w:rsidP="008F7439">
      <w:pPr>
        <w:rPr>
          <w:lang w:val="fr-CH"/>
        </w:rPr>
      </w:pPr>
      <w:r w:rsidRPr="000C6ABF">
        <w:rPr>
          <w:lang w:val="fr-CH"/>
        </w:rPr>
        <w:t>1</w:t>
      </w:r>
      <w:r w:rsidR="00A733FE" w:rsidRPr="000C6ABF">
        <w:rPr>
          <w:lang w:val="fr-CH"/>
        </w:rPr>
        <w:t>9</w:t>
      </w:r>
      <w:r w:rsidRPr="000C6ABF">
        <w:rPr>
          <w:lang w:val="fr-CH"/>
        </w:rPr>
        <w:tab/>
        <w:t>Le 31 décembre 201</w:t>
      </w:r>
      <w:r w:rsidR="00A733FE" w:rsidRPr="000C6ABF">
        <w:rPr>
          <w:lang w:val="fr-CH"/>
        </w:rPr>
        <w:t>3</w:t>
      </w:r>
      <w:r w:rsidRPr="000C6ABF">
        <w:rPr>
          <w:lang w:val="fr-CH"/>
        </w:rPr>
        <w:t xml:space="preserve">, les fonds en caisse détenus par l'UIT en CHF et en devises s'établissaient à </w:t>
      </w:r>
      <w:r w:rsidR="00A733FE" w:rsidRPr="000C6ABF">
        <w:rPr>
          <w:lang w:val="fr-CH"/>
        </w:rPr>
        <w:t>73</w:t>
      </w:r>
      <w:r w:rsidRPr="000C6ABF">
        <w:rPr>
          <w:lang w:val="fr-CH"/>
        </w:rPr>
        <w:t xml:space="preserve"> 000 CHF. Nous avons effectué, en fin d'exercice, un comptage direct des fonds en caisse au </w:t>
      </w:r>
      <w:r w:rsidR="008F7439">
        <w:rPr>
          <w:lang w:val="fr-CH"/>
        </w:rPr>
        <w:t>s</w:t>
      </w:r>
      <w:r w:rsidRPr="000C6ABF">
        <w:rPr>
          <w:lang w:val="fr-CH"/>
        </w:rPr>
        <w:t>iège.</w:t>
      </w:r>
    </w:p>
    <w:p w:rsidR="002723DB" w:rsidRPr="000C6ABF" w:rsidRDefault="00A733FE" w:rsidP="008F7439">
      <w:pPr>
        <w:rPr>
          <w:lang w:val="fr-CH"/>
        </w:rPr>
      </w:pPr>
      <w:r w:rsidRPr="000C6ABF">
        <w:rPr>
          <w:lang w:val="fr-CH"/>
        </w:rPr>
        <w:t>20</w:t>
      </w:r>
      <w:r w:rsidR="00CD2E00" w:rsidRPr="000C6ABF">
        <w:rPr>
          <w:lang w:val="fr-CH"/>
        </w:rPr>
        <w:tab/>
        <w:t xml:space="preserve">Nos vérifications n'ont fait apparaître aucun écart dans le rapprochement entre le comptage que nous avions effectué et le montant enregistré dans le système SAP pour le </w:t>
      </w:r>
      <w:r w:rsidR="008F7439">
        <w:rPr>
          <w:lang w:val="fr-CH"/>
        </w:rPr>
        <w:t>s</w:t>
      </w:r>
      <w:r w:rsidR="00915762" w:rsidRPr="000C6ABF">
        <w:rPr>
          <w:lang w:val="fr-CH"/>
        </w:rPr>
        <w:t>iège</w:t>
      </w:r>
      <w:r w:rsidR="00CD2E00" w:rsidRPr="000C6ABF">
        <w:rPr>
          <w:lang w:val="fr-CH"/>
        </w:rPr>
        <w:t>.</w:t>
      </w:r>
    </w:p>
    <w:p w:rsidR="002723DB" w:rsidRPr="000C6ABF" w:rsidRDefault="00A733FE" w:rsidP="00915762">
      <w:pPr>
        <w:rPr>
          <w:lang w:val="fr-CH"/>
        </w:rPr>
      </w:pPr>
      <w:r w:rsidRPr="000C6ABF">
        <w:rPr>
          <w:lang w:val="fr-CH"/>
        </w:rPr>
        <w:t>21</w:t>
      </w:r>
      <w:r w:rsidR="00CD2E00" w:rsidRPr="000C6ABF">
        <w:rPr>
          <w:lang w:val="fr-CH"/>
        </w:rPr>
        <w:tab/>
      </w:r>
      <w:r w:rsidR="00915762" w:rsidRPr="000C6ABF">
        <w:rPr>
          <w:lang w:val="fr-CH"/>
        </w:rPr>
        <w:t>L'an dernier</w:t>
      </w:r>
      <w:r w:rsidR="00F34D22" w:rsidRPr="000C6ABF">
        <w:rPr>
          <w:lang w:val="fr-CH"/>
        </w:rPr>
        <w:t>, nous avons considéré que l</w:t>
      </w:r>
      <w:r w:rsidR="00915762" w:rsidRPr="000C6ABF">
        <w:rPr>
          <w:lang w:val="fr-CH"/>
        </w:rPr>
        <w:t xml:space="preserve">a différence </w:t>
      </w:r>
      <w:r w:rsidR="00F34D22" w:rsidRPr="000C6ABF">
        <w:rPr>
          <w:lang w:val="fr-CH"/>
        </w:rPr>
        <w:t>que nous avons constaté</w:t>
      </w:r>
      <w:r w:rsidR="00915762" w:rsidRPr="000C6ABF">
        <w:rPr>
          <w:lang w:val="fr-CH"/>
        </w:rPr>
        <w:t>e</w:t>
      </w:r>
      <w:r w:rsidR="00F34D22" w:rsidRPr="000C6ABF">
        <w:rPr>
          <w:lang w:val="fr-CH"/>
        </w:rPr>
        <w:t xml:space="preserve"> n</w:t>
      </w:r>
      <w:r w:rsidR="00AB0C69" w:rsidRPr="000C6ABF">
        <w:rPr>
          <w:lang w:val="fr-CH"/>
        </w:rPr>
        <w:t>'</w:t>
      </w:r>
      <w:r w:rsidR="00F34D22" w:rsidRPr="000C6ABF">
        <w:rPr>
          <w:lang w:val="fr-CH"/>
        </w:rPr>
        <w:t xml:space="preserve">était pas </w:t>
      </w:r>
      <w:r w:rsidR="00915762" w:rsidRPr="000C6ABF">
        <w:rPr>
          <w:lang w:val="fr-CH"/>
        </w:rPr>
        <w:t xml:space="preserve">importante </w:t>
      </w:r>
      <w:r w:rsidR="00F34D22" w:rsidRPr="000C6ABF">
        <w:rPr>
          <w:lang w:val="fr-CH"/>
        </w:rPr>
        <w:t>en termes de valeur</w:t>
      </w:r>
      <w:r w:rsidR="002B4FBF">
        <w:rPr>
          <w:lang w:val="fr-CH"/>
        </w:rPr>
        <w:t>,</w:t>
      </w:r>
      <w:r w:rsidR="00915762" w:rsidRPr="000C6ABF">
        <w:rPr>
          <w:lang w:val="fr-CH"/>
        </w:rPr>
        <w:t xml:space="preserve"> mais </w:t>
      </w:r>
      <w:r w:rsidR="00F34D22" w:rsidRPr="000C6ABF">
        <w:rPr>
          <w:lang w:val="fr-CH"/>
        </w:rPr>
        <w:t xml:space="preserve">nous avons recommandé à la direction de renforcer les contrôles sur les fonds </w:t>
      </w:r>
      <w:r w:rsidR="00915762" w:rsidRPr="000C6ABF">
        <w:rPr>
          <w:lang w:val="fr-CH"/>
        </w:rPr>
        <w:t xml:space="preserve">en </w:t>
      </w:r>
      <w:r w:rsidR="00F34D22" w:rsidRPr="000C6ABF">
        <w:rPr>
          <w:lang w:val="fr-CH"/>
        </w:rPr>
        <w:t>caisse des bureaux hors siège</w:t>
      </w:r>
      <w:r w:rsidR="002723DB" w:rsidRPr="000C6ABF">
        <w:rPr>
          <w:lang w:val="fr-CH"/>
        </w:rPr>
        <w:t>.</w:t>
      </w:r>
    </w:p>
    <w:p w:rsidR="00CD2E00" w:rsidRPr="000C6ABF" w:rsidRDefault="00F34D22" w:rsidP="00E278D7">
      <w:pPr>
        <w:rPr>
          <w:lang w:val="fr-CH"/>
        </w:rPr>
      </w:pPr>
      <w:r w:rsidRPr="000C6ABF">
        <w:rPr>
          <w:lang w:val="fr-CH"/>
        </w:rPr>
        <w:t>22</w:t>
      </w:r>
      <w:r w:rsidRPr="000C6ABF">
        <w:rPr>
          <w:lang w:val="fr-CH"/>
        </w:rPr>
        <w:tab/>
        <w:t>A cet égard,</w:t>
      </w:r>
      <w:r w:rsidR="004408C7" w:rsidRPr="000C6ABF">
        <w:rPr>
          <w:lang w:val="fr-CH"/>
        </w:rPr>
        <w:t xml:space="preserve"> nous </w:t>
      </w:r>
      <w:r w:rsidR="00E278D7" w:rsidRPr="000C6ABF">
        <w:rPr>
          <w:lang w:val="fr-CH"/>
        </w:rPr>
        <w:t xml:space="preserve">reconnaissons </w:t>
      </w:r>
      <w:r w:rsidR="004408C7" w:rsidRPr="000C6ABF">
        <w:rPr>
          <w:lang w:val="fr-CH"/>
        </w:rPr>
        <w:t xml:space="preserve">que la direction </w:t>
      </w:r>
      <w:r w:rsidR="00E278D7" w:rsidRPr="000C6ABF">
        <w:rPr>
          <w:lang w:val="fr-CH"/>
        </w:rPr>
        <w:t>a engagé</w:t>
      </w:r>
      <w:r w:rsidR="004408C7" w:rsidRPr="000C6ABF">
        <w:rPr>
          <w:lang w:val="fr-CH"/>
        </w:rPr>
        <w:t xml:space="preserve"> un processus de normalisation des rapports de gestion des fonds et de réexamen du processus d</w:t>
      </w:r>
      <w:r w:rsidR="00AB0C69" w:rsidRPr="000C6ABF">
        <w:rPr>
          <w:lang w:val="fr-CH"/>
        </w:rPr>
        <w:t>'</w:t>
      </w:r>
      <w:r w:rsidR="004408C7" w:rsidRPr="000C6ABF">
        <w:rPr>
          <w:lang w:val="fr-CH"/>
        </w:rPr>
        <w:t>établissement des rapports en vue de faciliter les rapprochements. Nous suivrons la mise en œuvre de cette recommandation</w:t>
      </w:r>
      <w:r w:rsidR="002723DB" w:rsidRPr="000C6ABF">
        <w:rPr>
          <w:lang w:val="fr-CH"/>
        </w:rPr>
        <w:t>.</w:t>
      </w:r>
    </w:p>
    <w:p w:rsidR="003B4003" w:rsidRPr="000C6ABF" w:rsidRDefault="003B4003" w:rsidP="00AB0C69">
      <w:pPr>
        <w:pStyle w:val="Headingb"/>
        <w:rPr>
          <w:bCs/>
          <w:i/>
          <w:lang w:val="fr-CH"/>
        </w:rPr>
      </w:pPr>
      <w:bookmarkStart w:id="99" w:name="_Toc396386940"/>
      <w:bookmarkStart w:id="100" w:name="_Toc396387823"/>
      <w:bookmarkStart w:id="101" w:name="_Toc396387937"/>
      <w:bookmarkStart w:id="102" w:name="_Toc398277622"/>
      <w:r w:rsidRPr="000C6ABF">
        <w:rPr>
          <w:lang w:val="fr-CH"/>
        </w:rPr>
        <w:t>Placements</w:t>
      </w:r>
      <w:bookmarkEnd w:id="94"/>
      <w:bookmarkEnd w:id="99"/>
      <w:bookmarkEnd w:id="100"/>
      <w:bookmarkEnd w:id="101"/>
      <w:bookmarkEnd w:id="102"/>
    </w:p>
    <w:p w:rsidR="00301141" w:rsidRPr="000C6ABF" w:rsidRDefault="00C271CC" w:rsidP="00AB0C69">
      <w:pPr>
        <w:rPr>
          <w:lang w:val="fr-CH"/>
        </w:rPr>
      </w:pPr>
      <w:r w:rsidRPr="000C6ABF">
        <w:rPr>
          <w:lang w:val="fr-CH"/>
        </w:rPr>
        <w:t>23</w:t>
      </w:r>
      <w:r w:rsidR="003B4003" w:rsidRPr="000C6ABF">
        <w:rPr>
          <w:lang w:val="fr-CH"/>
        </w:rPr>
        <w:tab/>
        <w:t xml:space="preserve">Il ressort de la sous-rubrique "Placements" que les placements </w:t>
      </w:r>
      <w:r w:rsidRPr="000C6ABF">
        <w:rPr>
          <w:lang w:val="fr-CH"/>
        </w:rPr>
        <w:t>se sont élevés à 88</w:t>
      </w:r>
      <w:r w:rsidR="003B4003" w:rsidRPr="000C6ABF">
        <w:rPr>
          <w:lang w:val="fr-CH"/>
        </w:rPr>
        <w:t>,</w:t>
      </w:r>
      <w:r w:rsidRPr="000C6ABF">
        <w:rPr>
          <w:lang w:val="fr-CH"/>
        </w:rPr>
        <w:t>2</w:t>
      </w:r>
      <w:r w:rsidR="003B4003" w:rsidRPr="000C6ABF">
        <w:rPr>
          <w:lang w:val="fr-CH"/>
        </w:rPr>
        <w:t> millions CHF en 201</w:t>
      </w:r>
      <w:r w:rsidRPr="000C6ABF">
        <w:rPr>
          <w:lang w:val="fr-CH"/>
        </w:rPr>
        <w:t>3</w:t>
      </w:r>
      <w:r w:rsidR="003B4003" w:rsidRPr="000C6ABF">
        <w:rPr>
          <w:lang w:val="fr-CH"/>
        </w:rPr>
        <w:t xml:space="preserve">, en </w:t>
      </w:r>
      <w:r w:rsidRPr="000C6ABF">
        <w:rPr>
          <w:lang w:val="fr-CH"/>
        </w:rPr>
        <w:t xml:space="preserve">hausse </w:t>
      </w:r>
      <w:r w:rsidR="003B4003" w:rsidRPr="000C6ABF">
        <w:rPr>
          <w:lang w:val="fr-CH"/>
        </w:rPr>
        <w:t xml:space="preserve">de </w:t>
      </w:r>
      <w:r w:rsidRPr="000C6ABF">
        <w:rPr>
          <w:lang w:val="fr-CH"/>
        </w:rPr>
        <w:t>16</w:t>
      </w:r>
      <w:r w:rsidR="003B4003" w:rsidRPr="000C6ABF">
        <w:rPr>
          <w:lang w:val="fr-CH"/>
        </w:rPr>
        <w:t>,</w:t>
      </w:r>
      <w:r w:rsidRPr="000C6ABF">
        <w:rPr>
          <w:lang w:val="fr-CH"/>
        </w:rPr>
        <w:t>2</w:t>
      </w:r>
      <w:r w:rsidR="003B4003" w:rsidRPr="000C6ABF">
        <w:rPr>
          <w:lang w:val="fr-CH"/>
        </w:rPr>
        <w:t xml:space="preserve"> millions CHF (</w:t>
      </w:r>
      <w:r w:rsidR="00301141" w:rsidRPr="000C6ABF">
        <w:rPr>
          <w:lang w:val="fr-CH"/>
        </w:rPr>
        <w:t>+</w:t>
      </w:r>
      <w:r w:rsidR="003B4003" w:rsidRPr="000C6ABF">
        <w:rPr>
          <w:lang w:val="fr-CH"/>
        </w:rPr>
        <w:t>2</w:t>
      </w:r>
      <w:r w:rsidRPr="000C6ABF">
        <w:rPr>
          <w:lang w:val="fr-CH"/>
        </w:rPr>
        <w:t>2,5</w:t>
      </w:r>
      <w:r w:rsidR="003B4003" w:rsidRPr="000C6ABF">
        <w:rPr>
          <w:lang w:val="fr-CH"/>
        </w:rPr>
        <w:t>%) par rapport à 201</w:t>
      </w:r>
      <w:r w:rsidRPr="000C6ABF">
        <w:rPr>
          <w:lang w:val="fr-CH"/>
        </w:rPr>
        <w:t>2</w:t>
      </w:r>
      <w:r w:rsidR="003B4003" w:rsidRPr="000C6ABF">
        <w:rPr>
          <w:lang w:val="fr-CH"/>
        </w:rPr>
        <w:t xml:space="preserve"> (7</w:t>
      </w:r>
      <w:r w:rsidRPr="000C6ABF">
        <w:rPr>
          <w:lang w:val="fr-CH"/>
        </w:rPr>
        <w:t>2,0</w:t>
      </w:r>
      <w:r w:rsidR="003B4003" w:rsidRPr="000C6ABF">
        <w:rPr>
          <w:lang w:val="fr-CH"/>
        </w:rPr>
        <w:t> millions CHF) et comprenaient les placements à terme à échéance maximale de neuf mois à compter du 31 décembre 201</w:t>
      </w:r>
      <w:r w:rsidR="00D25DCB" w:rsidRPr="000C6ABF">
        <w:rPr>
          <w:lang w:val="fr-CH"/>
        </w:rPr>
        <w:t>3</w:t>
      </w:r>
      <w:r w:rsidR="003B4003" w:rsidRPr="000C6ABF">
        <w:rPr>
          <w:lang w:val="fr-CH"/>
        </w:rPr>
        <w:t xml:space="preserve">. Le détail des placements à terme par échéance est donné </w:t>
      </w:r>
      <w:r w:rsidR="00D25DCB" w:rsidRPr="000C6ABF">
        <w:rPr>
          <w:lang w:val="fr-CH"/>
        </w:rPr>
        <w:t>dans la Note 8</w:t>
      </w:r>
      <w:r w:rsidR="003B4003" w:rsidRPr="000C6ABF">
        <w:rPr>
          <w:lang w:val="fr-CH"/>
        </w:rPr>
        <w:t xml:space="preserve"> du Rapport de gestion financière. Il est indiqué dans cette Note que les placements avec restrictions affectés à des projets extrabudgétaires se sont chiffrés à </w:t>
      </w:r>
      <w:r w:rsidR="0054428D" w:rsidRPr="000C6ABF">
        <w:rPr>
          <w:lang w:val="fr-CH"/>
        </w:rPr>
        <w:t>22,8 </w:t>
      </w:r>
      <w:r w:rsidR="00D25DCB" w:rsidRPr="000C6ABF">
        <w:rPr>
          <w:lang w:val="fr-CH"/>
        </w:rPr>
        <w:t xml:space="preserve">millions CHF en 2013 contre </w:t>
      </w:r>
      <w:r w:rsidR="003B4003" w:rsidRPr="000C6ABF">
        <w:rPr>
          <w:lang w:val="fr-CH"/>
        </w:rPr>
        <w:t>31,1 millions CHF en 2012.</w:t>
      </w:r>
    </w:p>
    <w:p w:rsidR="009C1D98" w:rsidRPr="000C6ABF" w:rsidRDefault="0054428D" w:rsidP="002B4FBF">
      <w:pPr>
        <w:rPr>
          <w:lang w:val="fr-CH"/>
        </w:rPr>
      </w:pPr>
      <w:r w:rsidRPr="000C6ABF">
        <w:rPr>
          <w:lang w:val="fr-CH"/>
        </w:rPr>
        <w:t>24</w:t>
      </w:r>
      <w:r w:rsidRPr="000C6ABF">
        <w:rPr>
          <w:lang w:val="fr-CH"/>
        </w:rPr>
        <w:tab/>
      </w:r>
      <w:bookmarkStart w:id="103" w:name="_Toc358123279"/>
      <w:r w:rsidR="004408C7" w:rsidRPr="000C6ABF">
        <w:rPr>
          <w:lang w:val="fr-CH"/>
        </w:rPr>
        <w:t>L</w:t>
      </w:r>
      <w:r w:rsidR="00AB0C69" w:rsidRPr="000C6ABF">
        <w:rPr>
          <w:lang w:val="fr-CH"/>
        </w:rPr>
        <w:t>'</w:t>
      </w:r>
      <w:r w:rsidR="004408C7" w:rsidRPr="000C6ABF">
        <w:rPr>
          <w:lang w:val="fr-CH"/>
        </w:rPr>
        <w:t>an dernier, la direction nous a assur</w:t>
      </w:r>
      <w:r w:rsidR="00E278D7" w:rsidRPr="000C6ABF">
        <w:rPr>
          <w:lang w:val="fr-CH"/>
        </w:rPr>
        <w:t>é</w:t>
      </w:r>
      <w:r w:rsidR="002B4FBF">
        <w:rPr>
          <w:lang w:val="fr-CH"/>
        </w:rPr>
        <w:t>s</w:t>
      </w:r>
      <w:r w:rsidR="00E278D7" w:rsidRPr="000C6ABF">
        <w:rPr>
          <w:lang w:val="fr-CH"/>
        </w:rPr>
        <w:t xml:space="preserve"> de sa participation à la mise en </w:t>
      </w:r>
      <w:proofErr w:type="spellStart"/>
      <w:r w:rsidR="00E278D7" w:rsidRPr="000C6ABF">
        <w:rPr>
          <w:lang w:val="fr-CH"/>
        </w:rPr>
        <w:t>oeuvre</w:t>
      </w:r>
      <w:proofErr w:type="spellEnd"/>
      <w:r w:rsidR="00E278D7" w:rsidRPr="000C6ABF">
        <w:rPr>
          <w:lang w:val="fr-CH"/>
        </w:rPr>
        <w:t xml:space="preserve"> des</w:t>
      </w:r>
      <w:r w:rsidR="003B4003" w:rsidRPr="000C6ABF">
        <w:rPr>
          <w:lang w:val="fr-CH"/>
        </w:rPr>
        <w:t xml:space="preserve"> normes IPSAS 28, 29 et 30</w:t>
      </w:r>
      <w:bookmarkEnd w:id="103"/>
      <w:r w:rsidR="004408C7" w:rsidRPr="000C6ABF">
        <w:rPr>
          <w:lang w:val="fr-CH"/>
        </w:rPr>
        <w:t xml:space="preserve"> et nous avons </w:t>
      </w:r>
      <w:r w:rsidR="00E278D7" w:rsidRPr="000C6ABF">
        <w:rPr>
          <w:lang w:val="fr-CH"/>
        </w:rPr>
        <w:t xml:space="preserve">indiqué </w:t>
      </w:r>
      <w:r w:rsidR="004408C7" w:rsidRPr="000C6ABF">
        <w:rPr>
          <w:lang w:val="fr-CH"/>
        </w:rPr>
        <w:t>que nous allions suivre l</w:t>
      </w:r>
      <w:r w:rsidR="00AB0C69" w:rsidRPr="000C6ABF">
        <w:rPr>
          <w:lang w:val="fr-CH"/>
        </w:rPr>
        <w:t>'</w:t>
      </w:r>
      <w:r w:rsidR="004408C7" w:rsidRPr="000C6ABF">
        <w:rPr>
          <w:lang w:val="fr-CH"/>
        </w:rPr>
        <w:t>état d</w:t>
      </w:r>
      <w:r w:rsidR="00AB0C69" w:rsidRPr="000C6ABF">
        <w:rPr>
          <w:lang w:val="fr-CH"/>
        </w:rPr>
        <w:t>'</w:t>
      </w:r>
      <w:r w:rsidR="00E278D7" w:rsidRPr="000C6ABF">
        <w:rPr>
          <w:lang w:val="fr-CH"/>
        </w:rPr>
        <w:t>avancement de la question.</w:t>
      </w:r>
    </w:p>
    <w:p w:rsidR="009C1D98" w:rsidRPr="000C6ABF" w:rsidRDefault="00CD4BF0" w:rsidP="002B4FBF">
      <w:pPr>
        <w:rPr>
          <w:lang w:val="fr-CH"/>
        </w:rPr>
      </w:pPr>
      <w:r w:rsidRPr="000C6ABF">
        <w:rPr>
          <w:lang w:val="fr-CH"/>
        </w:rPr>
        <w:t>25</w:t>
      </w:r>
      <w:r w:rsidRPr="000C6ABF">
        <w:rPr>
          <w:lang w:val="fr-CH"/>
        </w:rPr>
        <w:tab/>
      </w:r>
      <w:r w:rsidR="004408C7" w:rsidRPr="000C6ABF">
        <w:rPr>
          <w:lang w:val="fr-CH"/>
        </w:rPr>
        <w:t>Un paragraphe sur les instruments financiers a été ajouté dans la Note 3 du Rapport de gestion financière pour 2013. Des</w:t>
      </w:r>
      <w:r w:rsidR="002B4FBF">
        <w:rPr>
          <w:lang w:val="fr-CH"/>
        </w:rPr>
        <w:t xml:space="preserve"> informations</w:t>
      </w:r>
      <w:r w:rsidR="004408C7" w:rsidRPr="000C6ABF">
        <w:rPr>
          <w:lang w:val="fr-CH"/>
        </w:rPr>
        <w:t xml:space="preserve"> plus détaillé</w:t>
      </w:r>
      <w:r w:rsidR="002B4FBF">
        <w:rPr>
          <w:lang w:val="fr-CH"/>
        </w:rPr>
        <w:t>e</w:t>
      </w:r>
      <w:r w:rsidR="004408C7" w:rsidRPr="000C6ABF">
        <w:rPr>
          <w:lang w:val="fr-CH"/>
        </w:rPr>
        <w:t>s que dans le Rapport de gestion financière pour 2012 sont donné</w:t>
      </w:r>
      <w:r w:rsidR="002B4FBF">
        <w:rPr>
          <w:lang w:val="fr-CH"/>
        </w:rPr>
        <w:t>e</w:t>
      </w:r>
      <w:r w:rsidR="004408C7" w:rsidRPr="000C6ABF">
        <w:rPr>
          <w:lang w:val="fr-CH"/>
        </w:rPr>
        <w:t xml:space="preserve">s dans les Notes 5 et 8. </w:t>
      </w:r>
    </w:p>
    <w:p w:rsidR="009C1D98" w:rsidRPr="000C6ABF" w:rsidRDefault="005C2CA1" w:rsidP="00E278D7">
      <w:pPr>
        <w:rPr>
          <w:lang w:val="fr-CH"/>
        </w:rPr>
      </w:pPr>
      <w:r w:rsidRPr="000C6ABF">
        <w:rPr>
          <w:lang w:val="fr-CH"/>
        </w:rPr>
        <w:t>26</w:t>
      </w:r>
      <w:r w:rsidR="009C1D98" w:rsidRPr="000C6ABF">
        <w:rPr>
          <w:lang w:val="fr-CH"/>
        </w:rPr>
        <w:tab/>
      </w:r>
      <w:r w:rsidR="004408C7" w:rsidRPr="000C6ABF">
        <w:rPr>
          <w:lang w:val="fr-CH"/>
        </w:rPr>
        <w:t xml:space="preserve">Dans les placements à terme, nous avons </w:t>
      </w:r>
      <w:r w:rsidR="00671BBF" w:rsidRPr="000C6ABF">
        <w:rPr>
          <w:lang w:val="fr-CH"/>
        </w:rPr>
        <w:t xml:space="preserve">noté une variation </w:t>
      </w:r>
      <w:r w:rsidR="00E278D7" w:rsidRPr="000C6ABF">
        <w:rPr>
          <w:lang w:val="fr-CH"/>
        </w:rPr>
        <w:t>importante</w:t>
      </w:r>
      <w:r w:rsidR="00671BBF" w:rsidRPr="000C6ABF">
        <w:rPr>
          <w:lang w:val="fr-CH"/>
        </w:rPr>
        <w:t xml:space="preserve"> dans la composition par devise</w:t>
      </w:r>
      <w:r w:rsidR="00E278D7" w:rsidRPr="000C6ABF">
        <w:rPr>
          <w:lang w:val="fr-CH"/>
        </w:rPr>
        <w:t>s</w:t>
      </w:r>
      <w:r w:rsidR="00671BBF" w:rsidRPr="000C6ABF">
        <w:rPr>
          <w:lang w:val="fr-CH"/>
        </w:rPr>
        <w:t xml:space="preserve"> entre les placements </w:t>
      </w:r>
      <w:r w:rsidR="00E278D7" w:rsidRPr="000C6ABF">
        <w:rPr>
          <w:lang w:val="fr-CH"/>
        </w:rPr>
        <w:t xml:space="preserve">arrivant à </w:t>
      </w:r>
      <w:r w:rsidR="00671BBF" w:rsidRPr="000C6ABF">
        <w:rPr>
          <w:lang w:val="fr-CH"/>
        </w:rPr>
        <w:t xml:space="preserve">échéance en 2013 et ceux </w:t>
      </w:r>
      <w:r w:rsidR="00E278D7" w:rsidRPr="000C6ABF">
        <w:rPr>
          <w:lang w:val="fr-CH"/>
        </w:rPr>
        <w:t xml:space="preserve">arrivant à </w:t>
      </w:r>
      <w:r w:rsidR="00671BBF" w:rsidRPr="000C6ABF">
        <w:rPr>
          <w:lang w:val="fr-CH"/>
        </w:rPr>
        <w:t xml:space="preserve">échéance en </w:t>
      </w:r>
      <w:r w:rsidR="009C1D98" w:rsidRPr="000C6ABF">
        <w:rPr>
          <w:lang w:val="fr-CH"/>
        </w:rPr>
        <w:t>2012</w:t>
      </w:r>
      <w:r w:rsidR="00671BBF" w:rsidRPr="000C6ABF">
        <w:rPr>
          <w:lang w:val="fr-CH"/>
        </w:rPr>
        <w:t>: plus précisément</w:t>
      </w:r>
      <w:r w:rsidR="002B4FBF">
        <w:rPr>
          <w:lang w:val="fr-CH"/>
        </w:rPr>
        <w:t>,</w:t>
      </w:r>
      <w:r w:rsidR="00671BBF" w:rsidRPr="000C6ABF">
        <w:rPr>
          <w:lang w:val="fr-CH"/>
        </w:rPr>
        <w:t xml:space="preserve"> les placements en CHF ont doublé et ceux en dollars USD ont diminué de moitié.</w:t>
      </w:r>
      <w:r w:rsidR="00A47698" w:rsidRPr="000C6ABF">
        <w:rPr>
          <w:lang w:val="fr-CH"/>
        </w:rPr>
        <w:t xml:space="preserve"> </w:t>
      </w:r>
      <w:r w:rsidR="00671BBF" w:rsidRPr="000C6ABF">
        <w:rPr>
          <w:lang w:val="fr-CH"/>
        </w:rPr>
        <w:t>Nous considérons que cela s</w:t>
      </w:r>
      <w:r w:rsidR="00AB0C69" w:rsidRPr="000C6ABF">
        <w:rPr>
          <w:lang w:val="fr-CH"/>
        </w:rPr>
        <w:t>'</w:t>
      </w:r>
      <w:r w:rsidR="00671BBF" w:rsidRPr="000C6ABF">
        <w:rPr>
          <w:lang w:val="fr-CH"/>
        </w:rPr>
        <w:t>inscrit dans l</w:t>
      </w:r>
      <w:r w:rsidR="00AB0C69" w:rsidRPr="000C6ABF">
        <w:rPr>
          <w:lang w:val="fr-CH"/>
        </w:rPr>
        <w:t>'</w:t>
      </w:r>
      <w:r w:rsidR="00671BBF" w:rsidRPr="000C6ABF">
        <w:rPr>
          <w:lang w:val="fr-CH"/>
        </w:rPr>
        <w:t xml:space="preserve">effort engagé pour gérer et </w:t>
      </w:r>
      <w:r w:rsidR="008228EF" w:rsidRPr="000C6ABF">
        <w:rPr>
          <w:lang w:val="fr-CH"/>
        </w:rPr>
        <w:t xml:space="preserve">maintenir </w:t>
      </w:r>
      <w:r w:rsidR="00423277" w:rsidRPr="000C6ABF">
        <w:rPr>
          <w:lang w:val="fr-CH"/>
        </w:rPr>
        <w:t>l</w:t>
      </w:r>
      <w:r w:rsidR="00AB0C69" w:rsidRPr="000C6ABF">
        <w:rPr>
          <w:lang w:val="fr-CH"/>
        </w:rPr>
        <w:t>'</w:t>
      </w:r>
      <w:r w:rsidR="00423277" w:rsidRPr="000C6ABF">
        <w:rPr>
          <w:lang w:val="fr-CH"/>
        </w:rPr>
        <w:t>exposition</w:t>
      </w:r>
      <w:r w:rsidR="00671BBF" w:rsidRPr="000C6ABF">
        <w:rPr>
          <w:lang w:val="fr-CH"/>
        </w:rPr>
        <w:t xml:space="preserve"> au</w:t>
      </w:r>
      <w:r w:rsidR="008228EF" w:rsidRPr="000C6ABF">
        <w:rPr>
          <w:lang w:val="fr-CH"/>
        </w:rPr>
        <w:t>x</w:t>
      </w:r>
      <w:r w:rsidR="00671BBF" w:rsidRPr="000C6ABF">
        <w:rPr>
          <w:lang w:val="fr-CH"/>
        </w:rPr>
        <w:t xml:space="preserve"> risques</w:t>
      </w:r>
      <w:r w:rsidR="008228EF" w:rsidRPr="000C6ABF">
        <w:rPr>
          <w:lang w:val="fr-CH"/>
        </w:rPr>
        <w:t xml:space="preserve"> de marché dans des limites acceptables (voir la Note 5).</w:t>
      </w:r>
    </w:p>
    <w:p w:rsidR="003B4003" w:rsidRPr="000C6ABF" w:rsidRDefault="003B4003" w:rsidP="00AB0C69">
      <w:pPr>
        <w:pStyle w:val="Headingb"/>
        <w:rPr>
          <w:lang w:val="fr-CH"/>
        </w:rPr>
      </w:pPr>
      <w:bookmarkStart w:id="104" w:name="_Toc356330879"/>
      <w:bookmarkStart w:id="105" w:name="_Toc358123282"/>
      <w:bookmarkStart w:id="106" w:name="_Toc396386941"/>
      <w:bookmarkStart w:id="107" w:name="_Toc396387824"/>
      <w:bookmarkStart w:id="108" w:name="_Toc396387938"/>
      <w:bookmarkStart w:id="109" w:name="_Toc398277623"/>
      <w:r w:rsidRPr="000C6ABF">
        <w:rPr>
          <w:lang w:val="fr-CH"/>
        </w:rPr>
        <w:t>Créances</w:t>
      </w:r>
      <w:bookmarkEnd w:id="104"/>
      <w:bookmarkEnd w:id="105"/>
      <w:bookmarkEnd w:id="106"/>
      <w:bookmarkEnd w:id="107"/>
      <w:bookmarkEnd w:id="108"/>
      <w:bookmarkEnd w:id="109"/>
    </w:p>
    <w:p w:rsidR="00C43F85" w:rsidRPr="000C6ABF" w:rsidRDefault="00C43F85" w:rsidP="00E278D7">
      <w:pPr>
        <w:rPr>
          <w:lang w:val="fr-CH"/>
        </w:rPr>
      </w:pPr>
      <w:r w:rsidRPr="000C6ABF">
        <w:rPr>
          <w:lang w:val="fr-CH"/>
        </w:rPr>
        <w:t>27</w:t>
      </w:r>
      <w:r w:rsidRPr="000C6ABF">
        <w:rPr>
          <w:lang w:val="fr-CH"/>
        </w:rPr>
        <w:tab/>
        <w:t>Les créances courantes, qu'il s'agisse de créances issues d'opérations avec contrepartie directe ou sans contrepartie directe, ont représenté en 201</w:t>
      </w:r>
      <w:r w:rsidR="00EF794D" w:rsidRPr="000C6ABF">
        <w:rPr>
          <w:lang w:val="fr-CH"/>
        </w:rPr>
        <w:t>3</w:t>
      </w:r>
      <w:r w:rsidRPr="000C6ABF">
        <w:rPr>
          <w:lang w:val="fr-CH"/>
        </w:rPr>
        <w:t xml:space="preserve"> en valeur nette un montant d'environ 8</w:t>
      </w:r>
      <w:r w:rsidR="00EF794D" w:rsidRPr="000C6ABF">
        <w:rPr>
          <w:lang w:val="fr-CH"/>
        </w:rPr>
        <w:t>3</w:t>
      </w:r>
      <w:r w:rsidRPr="000C6ABF">
        <w:rPr>
          <w:lang w:val="fr-CH"/>
        </w:rPr>
        <w:t xml:space="preserve">,4 millions CHF, contre </w:t>
      </w:r>
      <w:r w:rsidR="00EF794D" w:rsidRPr="000C6ABF">
        <w:rPr>
          <w:lang w:val="fr-CH"/>
        </w:rPr>
        <w:t>82</w:t>
      </w:r>
      <w:r w:rsidRPr="000C6ABF">
        <w:rPr>
          <w:lang w:val="fr-CH"/>
        </w:rPr>
        <w:t>,</w:t>
      </w:r>
      <w:r w:rsidR="00EF794D" w:rsidRPr="000C6ABF">
        <w:rPr>
          <w:lang w:val="fr-CH"/>
        </w:rPr>
        <w:t>5</w:t>
      </w:r>
      <w:r w:rsidRPr="000C6ABF">
        <w:rPr>
          <w:lang w:val="fr-CH"/>
        </w:rPr>
        <w:t xml:space="preserve"> millions CHF en 201</w:t>
      </w:r>
      <w:r w:rsidR="00EF794D" w:rsidRPr="000C6ABF">
        <w:rPr>
          <w:lang w:val="fr-CH"/>
        </w:rPr>
        <w:t>2</w:t>
      </w:r>
      <w:r w:rsidRPr="000C6ABF">
        <w:rPr>
          <w:lang w:val="fr-CH"/>
        </w:rPr>
        <w:t>. Leur part dans le total des actifs courants a été de 34</w:t>
      </w:r>
      <w:r w:rsidR="00EF794D" w:rsidRPr="000C6ABF">
        <w:rPr>
          <w:lang w:val="fr-CH"/>
        </w:rPr>
        <w:t>,6</w:t>
      </w:r>
      <w:r w:rsidRPr="000C6ABF">
        <w:rPr>
          <w:lang w:val="fr-CH"/>
        </w:rPr>
        <w:t>%, contre 3</w:t>
      </w:r>
      <w:r w:rsidR="00EF794D" w:rsidRPr="000C6ABF">
        <w:rPr>
          <w:lang w:val="fr-CH"/>
        </w:rPr>
        <w:t>4</w:t>
      </w:r>
      <w:r w:rsidRPr="000C6ABF">
        <w:rPr>
          <w:lang w:val="fr-CH"/>
        </w:rPr>
        <w:t>% en 201</w:t>
      </w:r>
      <w:r w:rsidR="00EF794D" w:rsidRPr="000C6ABF">
        <w:rPr>
          <w:lang w:val="fr-CH"/>
        </w:rPr>
        <w:t>2</w:t>
      </w:r>
      <w:r w:rsidRPr="000C6ABF">
        <w:rPr>
          <w:lang w:val="fr-CH"/>
        </w:rPr>
        <w:t xml:space="preserve">. Comme indiqué dans la Note </w:t>
      </w:r>
      <w:r w:rsidR="00EF794D" w:rsidRPr="000C6ABF">
        <w:rPr>
          <w:lang w:val="fr-CH"/>
        </w:rPr>
        <w:t>9</w:t>
      </w:r>
      <w:r w:rsidRPr="000C6ABF">
        <w:rPr>
          <w:lang w:val="fr-CH"/>
        </w:rPr>
        <w:t xml:space="preserve"> du Rapport de gestion financière, ces créances représentent les produits non encore encaissés que les Etats Membres, les Membres des Secteurs et les Associés se sont engagés à verser à l'UIT dans le cadre des contributions annuelles, de l'acquisition de publications et des notifications de réseaux à satellite ou de factures diverses établies par l'UIT.</w:t>
      </w:r>
    </w:p>
    <w:p w:rsidR="00C43F85" w:rsidRPr="000C6ABF" w:rsidRDefault="002E00EB" w:rsidP="002B4FBF">
      <w:pPr>
        <w:keepNext/>
        <w:keepLines/>
        <w:rPr>
          <w:lang w:val="fr-CH"/>
        </w:rPr>
      </w:pPr>
      <w:r w:rsidRPr="000C6ABF">
        <w:rPr>
          <w:lang w:val="fr-CH"/>
        </w:rPr>
        <w:lastRenderedPageBreak/>
        <w:t>28</w:t>
      </w:r>
      <w:r w:rsidRPr="000C6ABF">
        <w:rPr>
          <w:lang w:val="fr-CH"/>
        </w:rPr>
        <w:tab/>
      </w:r>
      <w:r w:rsidR="00C43F85" w:rsidRPr="000C6ABF">
        <w:rPr>
          <w:lang w:val="fr-CH"/>
        </w:rPr>
        <w:t xml:space="preserve">Les créances non courantes, avec ou sans contrepartie directe, </w:t>
      </w:r>
      <w:r w:rsidR="00423277" w:rsidRPr="000C6ABF">
        <w:rPr>
          <w:lang w:val="fr-CH"/>
        </w:rPr>
        <w:t xml:space="preserve">elles aussi </w:t>
      </w:r>
      <w:r w:rsidR="004058C6" w:rsidRPr="000C6ABF">
        <w:rPr>
          <w:lang w:val="fr-CH"/>
        </w:rPr>
        <w:t>indiquées</w:t>
      </w:r>
      <w:r w:rsidR="00A47698" w:rsidRPr="000C6ABF">
        <w:rPr>
          <w:lang w:val="fr-CH"/>
        </w:rPr>
        <w:t xml:space="preserve"> </w:t>
      </w:r>
      <w:r w:rsidR="004058C6" w:rsidRPr="000C6ABF">
        <w:rPr>
          <w:lang w:val="fr-CH"/>
        </w:rPr>
        <w:t xml:space="preserve">et illustrées par la direction dans </w:t>
      </w:r>
      <w:r w:rsidR="00A9236B" w:rsidRPr="000C6ABF">
        <w:rPr>
          <w:lang w:val="fr-CH"/>
        </w:rPr>
        <w:t>la Note</w:t>
      </w:r>
      <w:r w:rsidR="004058C6" w:rsidRPr="000C6ABF">
        <w:rPr>
          <w:lang w:val="fr-CH"/>
        </w:rPr>
        <w:t xml:space="preserve"> </w:t>
      </w:r>
      <w:proofErr w:type="gramStart"/>
      <w:r w:rsidR="004058C6" w:rsidRPr="000C6ABF">
        <w:rPr>
          <w:lang w:val="fr-CH"/>
        </w:rPr>
        <w:t>9</w:t>
      </w:r>
      <w:r w:rsidR="00A9236B" w:rsidRPr="000C6ABF">
        <w:rPr>
          <w:lang w:val="fr-CH"/>
        </w:rPr>
        <w:t xml:space="preserve"> </w:t>
      </w:r>
      <w:r w:rsidR="004058C6" w:rsidRPr="000C6ABF">
        <w:rPr>
          <w:lang w:val="fr-CH"/>
        </w:rPr>
        <w:t>,</w:t>
      </w:r>
      <w:proofErr w:type="gramEnd"/>
      <w:r w:rsidR="004058C6" w:rsidRPr="000C6ABF">
        <w:rPr>
          <w:lang w:val="fr-CH"/>
        </w:rPr>
        <w:t xml:space="preserve"> </w:t>
      </w:r>
      <w:r w:rsidR="00C43F85" w:rsidRPr="000C6ABF">
        <w:rPr>
          <w:lang w:val="fr-CH"/>
        </w:rPr>
        <w:t>ont représenté en valeur un montant de</w:t>
      </w:r>
      <w:r w:rsidR="00E943F7" w:rsidRPr="000C6ABF">
        <w:rPr>
          <w:lang w:val="fr-CH"/>
        </w:rPr>
        <w:t xml:space="preserve"> 9,4 millions CHF (</w:t>
      </w:r>
      <w:r w:rsidR="00C43F85" w:rsidRPr="000C6ABF">
        <w:rPr>
          <w:lang w:val="fr-CH"/>
        </w:rPr>
        <w:t>15,2 millions CHF en 201</w:t>
      </w:r>
      <w:r w:rsidR="00E943F7" w:rsidRPr="000C6ABF">
        <w:rPr>
          <w:lang w:val="fr-CH"/>
        </w:rPr>
        <w:t>2</w:t>
      </w:r>
      <w:r w:rsidR="00C43F85" w:rsidRPr="000C6ABF">
        <w:rPr>
          <w:lang w:val="fr-CH"/>
        </w:rPr>
        <w:t>); une provision de 100% a été constituée au 31 décembre 201</w:t>
      </w:r>
      <w:r w:rsidR="00C37F17" w:rsidRPr="000C6ABF">
        <w:rPr>
          <w:lang w:val="fr-CH"/>
        </w:rPr>
        <w:t>3</w:t>
      </w:r>
      <w:r w:rsidR="00C43F85" w:rsidRPr="000C6ABF">
        <w:rPr>
          <w:lang w:val="fr-CH"/>
        </w:rPr>
        <w:t xml:space="preserve">, conformément à la Note 3 </w:t>
      </w:r>
      <w:r w:rsidR="00E278D7" w:rsidRPr="000C6ABF">
        <w:rPr>
          <w:lang w:val="fr-CH"/>
        </w:rPr>
        <w:t xml:space="preserve">relative </w:t>
      </w:r>
      <w:r w:rsidR="00C43F85" w:rsidRPr="000C6ABF">
        <w:rPr>
          <w:lang w:val="fr-CH"/>
        </w:rPr>
        <w:t>aux états financiers. Des explications additionne</w:t>
      </w:r>
      <w:r w:rsidR="00C37F17" w:rsidRPr="000C6ABF">
        <w:rPr>
          <w:lang w:val="fr-CH"/>
        </w:rPr>
        <w:t>lles sont données sous la Note 9</w:t>
      </w:r>
      <w:r w:rsidR="00C43F85" w:rsidRPr="000C6ABF">
        <w:rPr>
          <w:lang w:val="fr-CH"/>
        </w:rPr>
        <w:t xml:space="preserve"> "Créances".</w:t>
      </w:r>
    </w:p>
    <w:p w:rsidR="0067634A" w:rsidRPr="000C6ABF" w:rsidRDefault="0067634A" w:rsidP="00AB0C69">
      <w:pPr>
        <w:pStyle w:val="Headingb"/>
        <w:rPr>
          <w:spacing w:val="-1"/>
          <w:lang w:val="fr-CH"/>
        </w:rPr>
      </w:pPr>
      <w:bookmarkStart w:id="110" w:name="_Toc358123283"/>
      <w:bookmarkStart w:id="111" w:name="_Toc396386942"/>
      <w:bookmarkStart w:id="112" w:name="_Toc396387825"/>
      <w:bookmarkStart w:id="113" w:name="_Toc396387939"/>
      <w:bookmarkStart w:id="114" w:name="_Toc398277624"/>
      <w:r w:rsidRPr="000C6ABF">
        <w:rPr>
          <w:lang w:val="fr-CH"/>
        </w:rPr>
        <w:t>Autres créances courantes</w:t>
      </w:r>
      <w:bookmarkEnd w:id="110"/>
      <w:bookmarkEnd w:id="111"/>
      <w:bookmarkEnd w:id="112"/>
      <w:bookmarkEnd w:id="113"/>
      <w:bookmarkEnd w:id="114"/>
    </w:p>
    <w:p w:rsidR="00C43F85" w:rsidRPr="000C6ABF" w:rsidRDefault="0067634A" w:rsidP="00AB0C69">
      <w:pPr>
        <w:rPr>
          <w:lang w:val="fr-CH"/>
        </w:rPr>
      </w:pPr>
      <w:r w:rsidRPr="000C6ABF">
        <w:rPr>
          <w:lang w:val="fr-CH"/>
        </w:rPr>
        <w:t>29</w:t>
      </w:r>
      <w:r w:rsidRPr="000C6ABF">
        <w:rPr>
          <w:lang w:val="fr-CH"/>
        </w:rPr>
        <w:tab/>
        <w:t xml:space="preserve">Un montant de 9,0 millions CHF (7,9 millions CHF en 2012) figure au bilan de clôture en tant qu'autres créances. Le détail de cette rubrique est donné dans la Note </w:t>
      </w:r>
      <w:r w:rsidR="00FA5DD7" w:rsidRPr="000C6ABF">
        <w:rPr>
          <w:lang w:val="fr-CH"/>
        </w:rPr>
        <w:t>11</w:t>
      </w:r>
      <w:r w:rsidRPr="000C6ABF">
        <w:rPr>
          <w:lang w:val="fr-CH"/>
        </w:rPr>
        <w:t xml:space="preserve"> du Rapport de gestion financière.</w:t>
      </w:r>
    </w:p>
    <w:p w:rsidR="00FA5DD7" w:rsidRPr="000C6ABF" w:rsidRDefault="00FA5DD7" w:rsidP="00AB0C69">
      <w:pPr>
        <w:pStyle w:val="Headingb"/>
        <w:rPr>
          <w:lang w:val="fr-CH"/>
        </w:rPr>
      </w:pPr>
      <w:bookmarkStart w:id="115" w:name="_Toc358123284"/>
      <w:bookmarkStart w:id="116" w:name="_Toc396386943"/>
      <w:bookmarkStart w:id="117" w:name="_Toc396387826"/>
      <w:bookmarkStart w:id="118" w:name="_Toc396387940"/>
      <w:bookmarkStart w:id="119" w:name="_Toc398277625"/>
      <w:r w:rsidRPr="000C6ABF">
        <w:rPr>
          <w:lang w:val="fr-CH"/>
        </w:rPr>
        <w:t>Stocks</w:t>
      </w:r>
      <w:bookmarkEnd w:id="115"/>
      <w:bookmarkEnd w:id="116"/>
      <w:bookmarkEnd w:id="117"/>
      <w:bookmarkEnd w:id="118"/>
      <w:bookmarkEnd w:id="119"/>
    </w:p>
    <w:p w:rsidR="00FA5DD7" w:rsidRPr="000C6ABF" w:rsidRDefault="00FA5DD7" w:rsidP="002B4FBF">
      <w:pPr>
        <w:rPr>
          <w:lang w:val="fr-CH"/>
        </w:rPr>
      </w:pPr>
      <w:r w:rsidRPr="000C6ABF">
        <w:rPr>
          <w:lang w:val="fr-CH"/>
        </w:rPr>
        <w:t>30</w:t>
      </w:r>
      <w:r w:rsidRPr="000C6ABF">
        <w:rPr>
          <w:lang w:val="fr-CH"/>
        </w:rPr>
        <w:tab/>
        <w:t>E</w:t>
      </w:r>
      <w:r w:rsidR="00A731BC" w:rsidRPr="000C6ABF">
        <w:rPr>
          <w:lang w:val="fr-CH"/>
        </w:rPr>
        <w:t>n 2013</w:t>
      </w:r>
      <w:r w:rsidRPr="000C6ABF">
        <w:rPr>
          <w:lang w:val="fr-CH"/>
        </w:rPr>
        <w:t xml:space="preserve">, </w:t>
      </w:r>
      <w:r w:rsidR="00A731BC" w:rsidRPr="000C6ABF">
        <w:rPr>
          <w:lang w:val="fr-CH"/>
        </w:rPr>
        <w:t xml:space="preserve">les </w:t>
      </w:r>
      <w:r w:rsidR="00E278D7" w:rsidRPr="000C6ABF">
        <w:rPr>
          <w:lang w:val="fr-CH"/>
        </w:rPr>
        <w:t>articles correspondant aux</w:t>
      </w:r>
      <w:r w:rsidR="00A731BC" w:rsidRPr="000C6ABF">
        <w:rPr>
          <w:lang w:val="fr-CH"/>
        </w:rPr>
        <w:t xml:space="preserve"> publications, souvenirs et fournitures </w:t>
      </w:r>
      <w:r w:rsidRPr="000C6ABF">
        <w:rPr>
          <w:lang w:val="fr-CH"/>
        </w:rPr>
        <w:t>ont représenté en valeur nette un montant de 0,</w:t>
      </w:r>
      <w:r w:rsidR="00A731BC" w:rsidRPr="000C6ABF">
        <w:rPr>
          <w:lang w:val="fr-CH"/>
        </w:rPr>
        <w:t xml:space="preserve">8 </w:t>
      </w:r>
      <w:r w:rsidRPr="000C6ABF">
        <w:rPr>
          <w:lang w:val="fr-CH"/>
        </w:rPr>
        <w:t xml:space="preserve">million CHF, en </w:t>
      </w:r>
      <w:r w:rsidR="00A731BC" w:rsidRPr="000C6ABF">
        <w:rPr>
          <w:lang w:val="fr-CH"/>
        </w:rPr>
        <w:t xml:space="preserve">augmentation </w:t>
      </w:r>
      <w:r w:rsidRPr="000C6ABF">
        <w:rPr>
          <w:lang w:val="fr-CH"/>
        </w:rPr>
        <w:t xml:space="preserve">de </w:t>
      </w:r>
      <w:r w:rsidR="00A731BC" w:rsidRPr="000C6ABF">
        <w:rPr>
          <w:lang w:val="fr-CH"/>
        </w:rPr>
        <w:t xml:space="preserve">82 000 CHF </w:t>
      </w:r>
      <w:r w:rsidRPr="000C6ABF">
        <w:rPr>
          <w:lang w:val="fr-CH"/>
        </w:rPr>
        <w:t xml:space="preserve">par rapport à la </w:t>
      </w:r>
      <w:r w:rsidR="00A731BC" w:rsidRPr="000C6ABF">
        <w:rPr>
          <w:lang w:val="fr-CH"/>
        </w:rPr>
        <w:t>valeur nette enregistrée en 2012</w:t>
      </w:r>
      <w:r w:rsidRPr="000C6ABF">
        <w:rPr>
          <w:lang w:val="fr-CH"/>
        </w:rPr>
        <w:t xml:space="preserve"> (</w:t>
      </w:r>
      <w:r w:rsidR="00A731BC" w:rsidRPr="000C6ABF">
        <w:rPr>
          <w:lang w:val="fr-CH"/>
        </w:rPr>
        <w:t>0,7 </w:t>
      </w:r>
      <w:r w:rsidRPr="000C6ABF">
        <w:rPr>
          <w:lang w:val="fr-CH"/>
        </w:rPr>
        <w:t>million CHF).</w:t>
      </w:r>
      <w:r w:rsidR="00A731BC" w:rsidRPr="000C6ABF">
        <w:rPr>
          <w:lang w:val="fr-CH"/>
        </w:rPr>
        <w:t xml:space="preserve"> En 2012, </w:t>
      </w:r>
      <w:r w:rsidR="00A9236B" w:rsidRPr="000C6ABF">
        <w:rPr>
          <w:lang w:val="fr-CH"/>
        </w:rPr>
        <w:t>on</w:t>
      </w:r>
      <w:r w:rsidR="002B4FBF">
        <w:rPr>
          <w:lang w:val="fr-CH"/>
        </w:rPr>
        <w:t xml:space="preserve"> a enregistré une</w:t>
      </w:r>
      <w:r w:rsidR="00A9236B" w:rsidRPr="000C6ABF">
        <w:rPr>
          <w:lang w:val="fr-CH"/>
        </w:rPr>
        <w:t xml:space="preserve"> baiss</w:t>
      </w:r>
      <w:r w:rsidR="002B4FBF">
        <w:rPr>
          <w:lang w:val="fr-CH"/>
        </w:rPr>
        <w:t>e</w:t>
      </w:r>
      <w:r w:rsidR="00A9236B" w:rsidRPr="000C6ABF">
        <w:rPr>
          <w:lang w:val="fr-CH"/>
        </w:rPr>
        <w:t xml:space="preserve"> de</w:t>
      </w:r>
      <w:r w:rsidR="00A731BC" w:rsidRPr="000C6ABF">
        <w:rPr>
          <w:lang w:val="fr-CH"/>
        </w:rPr>
        <w:t xml:space="preserve"> 0,4</w:t>
      </w:r>
      <w:r w:rsidR="002B4FBF">
        <w:rPr>
          <w:lang w:val="fr-CH"/>
        </w:rPr>
        <w:t> </w:t>
      </w:r>
      <w:r w:rsidR="00A731BC" w:rsidRPr="000C6ABF">
        <w:rPr>
          <w:lang w:val="fr-CH"/>
        </w:rPr>
        <w:t xml:space="preserve">million CHF </w:t>
      </w:r>
      <w:r w:rsidR="00A9236B" w:rsidRPr="000C6ABF">
        <w:rPr>
          <w:lang w:val="fr-CH"/>
        </w:rPr>
        <w:t>par rapport à la valeur nette enregistrée en 2011</w:t>
      </w:r>
      <w:r w:rsidR="002B4FBF">
        <w:rPr>
          <w:lang w:val="fr-CH"/>
        </w:rPr>
        <w:t xml:space="preserve"> (</w:t>
      </w:r>
      <w:r w:rsidR="00A731BC" w:rsidRPr="000C6ABF">
        <w:rPr>
          <w:lang w:val="fr-CH"/>
        </w:rPr>
        <w:t>1,1 million CHF</w:t>
      </w:r>
      <w:r w:rsidR="002B4FBF">
        <w:rPr>
          <w:lang w:val="fr-CH"/>
        </w:rPr>
        <w:t>)</w:t>
      </w:r>
      <w:r w:rsidR="009E4B2B" w:rsidRPr="000C6ABF">
        <w:rPr>
          <w:lang w:val="fr-CH"/>
        </w:rPr>
        <w:t xml:space="preserve">. </w:t>
      </w:r>
      <w:r w:rsidRPr="000C6ABF">
        <w:rPr>
          <w:lang w:val="fr-CH"/>
        </w:rPr>
        <w:t xml:space="preserve">Les stocks sont présentés de manière détaillée dans la Note </w:t>
      </w:r>
      <w:r w:rsidR="009E4B2B" w:rsidRPr="000C6ABF">
        <w:rPr>
          <w:lang w:val="fr-CH"/>
        </w:rPr>
        <w:t>10</w:t>
      </w:r>
      <w:r w:rsidRPr="000C6ABF">
        <w:rPr>
          <w:lang w:val="fr-CH"/>
        </w:rPr>
        <w:t xml:space="preserve"> du Rapport de gestion financière.</w:t>
      </w:r>
    </w:p>
    <w:p w:rsidR="002665A6" w:rsidRPr="000C6ABF" w:rsidRDefault="002665A6" w:rsidP="00E278D7">
      <w:pPr>
        <w:rPr>
          <w:lang w:val="fr-CH"/>
        </w:rPr>
      </w:pPr>
      <w:r w:rsidRPr="000C6ABF">
        <w:rPr>
          <w:lang w:val="fr-CH"/>
        </w:rPr>
        <w:t>31</w:t>
      </w:r>
      <w:r w:rsidRPr="000C6ABF">
        <w:rPr>
          <w:lang w:val="fr-CH"/>
        </w:rPr>
        <w:tab/>
      </w:r>
      <w:r w:rsidR="00A9236B" w:rsidRPr="000C6ABF">
        <w:rPr>
          <w:lang w:val="fr-CH"/>
        </w:rPr>
        <w:t>Nous avons acquis et vérif</w:t>
      </w:r>
      <w:r w:rsidR="002B4FBF">
        <w:rPr>
          <w:lang w:val="fr-CH"/>
        </w:rPr>
        <w:t>ié les listes des actifs</w:t>
      </w:r>
      <w:r w:rsidR="00A9236B" w:rsidRPr="000C6ABF">
        <w:rPr>
          <w:lang w:val="fr-CH"/>
        </w:rPr>
        <w:t xml:space="preserve"> </w:t>
      </w:r>
      <w:r w:rsidR="00E278D7" w:rsidRPr="000C6ABF">
        <w:rPr>
          <w:lang w:val="fr-CH"/>
        </w:rPr>
        <w:t>et</w:t>
      </w:r>
      <w:r w:rsidR="00A9236B" w:rsidRPr="000C6ABF">
        <w:rPr>
          <w:lang w:val="fr-CH"/>
        </w:rPr>
        <w:t xml:space="preserve"> les </w:t>
      </w:r>
      <w:r w:rsidR="00E278D7" w:rsidRPr="000C6ABF">
        <w:rPr>
          <w:lang w:val="fr-CH"/>
        </w:rPr>
        <w:t xml:space="preserve">avons </w:t>
      </w:r>
      <w:r w:rsidR="00A9236B" w:rsidRPr="000C6ABF">
        <w:rPr>
          <w:lang w:val="fr-CH"/>
        </w:rPr>
        <w:t>compar</w:t>
      </w:r>
      <w:r w:rsidR="00E278D7" w:rsidRPr="000C6ABF">
        <w:rPr>
          <w:lang w:val="fr-CH"/>
        </w:rPr>
        <w:t>és</w:t>
      </w:r>
      <w:r w:rsidR="00A9236B" w:rsidRPr="000C6ABF">
        <w:rPr>
          <w:lang w:val="fr-CH"/>
        </w:rPr>
        <w:t xml:space="preserve"> avec celles de l</w:t>
      </w:r>
      <w:r w:rsidR="00AB0C69" w:rsidRPr="000C6ABF">
        <w:rPr>
          <w:lang w:val="fr-CH"/>
        </w:rPr>
        <w:t>'</w:t>
      </w:r>
      <w:r w:rsidR="00A9236B" w:rsidRPr="000C6ABF">
        <w:rPr>
          <w:lang w:val="fr-CH"/>
        </w:rPr>
        <w:t>année précédente</w:t>
      </w:r>
      <w:r w:rsidR="0031685C" w:rsidRPr="000C6ABF">
        <w:rPr>
          <w:lang w:val="fr-CH"/>
        </w:rPr>
        <w:t xml:space="preserve">. </w:t>
      </w:r>
      <w:r w:rsidRPr="000C6ABF">
        <w:rPr>
          <w:lang w:val="fr-CH"/>
        </w:rPr>
        <w:t>Aucun problème majeur susceptible d'</w:t>
      </w:r>
      <w:r w:rsidR="00E278D7" w:rsidRPr="000C6ABF">
        <w:rPr>
          <w:lang w:val="fr-CH"/>
        </w:rPr>
        <w:t xml:space="preserve">avoir une incidence </w:t>
      </w:r>
      <w:r w:rsidRPr="000C6ABF">
        <w:rPr>
          <w:lang w:val="fr-CH"/>
        </w:rPr>
        <w:t>sur les comptes à la date de clôture (31 décembre </w:t>
      </w:r>
      <w:r w:rsidR="0031685C" w:rsidRPr="000C6ABF">
        <w:rPr>
          <w:lang w:val="fr-CH"/>
        </w:rPr>
        <w:t>2013</w:t>
      </w:r>
      <w:r w:rsidRPr="000C6ABF">
        <w:rPr>
          <w:lang w:val="fr-CH"/>
        </w:rPr>
        <w:t xml:space="preserve">) n'a été </w:t>
      </w:r>
      <w:proofErr w:type="gramStart"/>
      <w:r w:rsidRPr="000C6ABF">
        <w:rPr>
          <w:lang w:val="fr-CH"/>
        </w:rPr>
        <w:t>recensé</w:t>
      </w:r>
      <w:proofErr w:type="gramEnd"/>
      <w:r w:rsidRPr="000C6ABF">
        <w:rPr>
          <w:lang w:val="fr-CH"/>
        </w:rPr>
        <w:t xml:space="preserve">. </w:t>
      </w:r>
    </w:p>
    <w:p w:rsidR="00A9562D" w:rsidRPr="000C6ABF" w:rsidRDefault="00A9562D" w:rsidP="00AB0C69">
      <w:pPr>
        <w:pStyle w:val="Headingb"/>
        <w:rPr>
          <w:lang w:val="fr-CH"/>
        </w:rPr>
      </w:pPr>
      <w:bookmarkStart w:id="120" w:name="_Toc358123285"/>
      <w:bookmarkStart w:id="121" w:name="_Toc396386944"/>
      <w:bookmarkStart w:id="122" w:name="_Toc396387827"/>
      <w:bookmarkStart w:id="123" w:name="_Toc396387941"/>
      <w:bookmarkStart w:id="124" w:name="_Toc398277626"/>
      <w:r w:rsidRPr="000C6ABF">
        <w:rPr>
          <w:lang w:val="fr-CH"/>
        </w:rPr>
        <w:t>Actifs non courants</w:t>
      </w:r>
      <w:bookmarkEnd w:id="120"/>
      <w:bookmarkEnd w:id="121"/>
      <w:bookmarkEnd w:id="122"/>
      <w:bookmarkEnd w:id="123"/>
      <w:bookmarkEnd w:id="124"/>
    </w:p>
    <w:p w:rsidR="00A9562D" w:rsidRPr="000C6ABF" w:rsidRDefault="00A9562D" w:rsidP="00E278D7">
      <w:pPr>
        <w:rPr>
          <w:lang w:val="fr-CH"/>
        </w:rPr>
      </w:pPr>
      <w:r w:rsidRPr="000C6ABF">
        <w:rPr>
          <w:spacing w:val="-2"/>
          <w:lang w:val="fr-CH"/>
        </w:rPr>
        <w:t>32</w:t>
      </w:r>
      <w:r w:rsidRPr="000C6ABF">
        <w:rPr>
          <w:spacing w:val="-2"/>
          <w:lang w:val="fr-CH"/>
        </w:rPr>
        <w:tab/>
        <w:t xml:space="preserve">Les actifs non courants </w:t>
      </w:r>
      <w:r w:rsidRPr="000C6ABF">
        <w:rPr>
          <w:lang w:val="fr-CH"/>
        </w:rPr>
        <w:t>au 31 décembre 201</w:t>
      </w:r>
      <w:r w:rsidR="00260D9A" w:rsidRPr="000C6ABF">
        <w:rPr>
          <w:lang w:val="fr-CH"/>
        </w:rPr>
        <w:t>3</w:t>
      </w:r>
      <w:r w:rsidRPr="000C6ABF">
        <w:rPr>
          <w:lang w:val="fr-CH"/>
        </w:rPr>
        <w:t xml:space="preserve"> se sont élevés à un total de </w:t>
      </w:r>
      <w:r w:rsidR="00260D9A" w:rsidRPr="000C6ABF">
        <w:rPr>
          <w:lang w:val="fr-CH"/>
        </w:rPr>
        <w:t>115</w:t>
      </w:r>
      <w:r w:rsidR="00523C2E" w:rsidRPr="000C6ABF">
        <w:rPr>
          <w:lang w:val="fr-CH"/>
        </w:rPr>
        <w:t>,</w:t>
      </w:r>
      <w:r w:rsidR="00260D9A" w:rsidRPr="000C6ABF">
        <w:rPr>
          <w:lang w:val="fr-CH"/>
        </w:rPr>
        <w:t>0</w:t>
      </w:r>
      <w:r w:rsidR="00523C2E" w:rsidRPr="000C6ABF">
        <w:rPr>
          <w:lang w:val="fr-CH"/>
        </w:rPr>
        <w:t> millions CHF</w:t>
      </w:r>
      <w:r w:rsidR="00260D9A" w:rsidRPr="000C6ABF">
        <w:rPr>
          <w:lang w:val="fr-CH"/>
        </w:rPr>
        <w:t xml:space="preserve">; </w:t>
      </w:r>
      <w:r w:rsidR="00A9236B" w:rsidRPr="000C6ABF">
        <w:rPr>
          <w:lang w:val="fr-CH"/>
        </w:rPr>
        <w:t>ils ont enregistré</w:t>
      </w:r>
      <w:r w:rsidR="00082A91" w:rsidRPr="000C6ABF">
        <w:rPr>
          <w:lang w:val="fr-CH"/>
        </w:rPr>
        <w:t xml:space="preserve"> une baisse de</w:t>
      </w:r>
      <w:r w:rsidR="00260D9A" w:rsidRPr="000C6ABF">
        <w:rPr>
          <w:lang w:val="fr-CH"/>
        </w:rPr>
        <w:t xml:space="preserve"> 2</w:t>
      </w:r>
      <w:r w:rsidR="00523C2E" w:rsidRPr="000C6ABF">
        <w:rPr>
          <w:lang w:val="fr-CH"/>
        </w:rPr>
        <w:t>,</w:t>
      </w:r>
      <w:r w:rsidR="00260D9A" w:rsidRPr="000C6ABF">
        <w:rPr>
          <w:lang w:val="fr-CH"/>
        </w:rPr>
        <w:t>3 (</w:t>
      </w:r>
      <w:r w:rsidR="00523C2E" w:rsidRPr="000C6ABF">
        <w:rPr>
          <w:lang w:val="fr-CH"/>
        </w:rPr>
        <w:t>–</w:t>
      </w:r>
      <w:r w:rsidR="00082A91" w:rsidRPr="000C6ABF">
        <w:rPr>
          <w:lang w:val="fr-CH"/>
        </w:rPr>
        <w:t>2%) par rapport à</w:t>
      </w:r>
      <w:r w:rsidR="00260D9A" w:rsidRPr="000C6ABF">
        <w:rPr>
          <w:lang w:val="fr-CH"/>
        </w:rPr>
        <w:t xml:space="preserve"> </w:t>
      </w:r>
      <w:r w:rsidR="00082A91" w:rsidRPr="000C6ABF">
        <w:rPr>
          <w:lang w:val="fr-CH"/>
        </w:rPr>
        <w:t>2012, date à laquelle ils s</w:t>
      </w:r>
      <w:r w:rsidR="00AB0C69" w:rsidRPr="000C6ABF">
        <w:rPr>
          <w:lang w:val="fr-CH"/>
        </w:rPr>
        <w:t>'</w:t>
      </w:r>
      <w:r w:rsidR="00082A91" w:rsidRPr="000C6ABF">
        <w:rPr>
          <w:lang w:val="fr-CH"/>
        </w:rPr>
        <w:t>établissaient à</w:t>
      </w:r>
      <w:r w:rsidR="00260D9A" w:rsidRPr="000C6ABF">
        <w:rPr>
          <w:lang w:val="fr-CH"/>
        </w:rPr>
        <w:t xml:space="preserve"> 117,3</w:t>
      </w:r>
      <w:r w:rsidR="00523C2E" w:rsidRPr="000C6ABF">
        <w:rPr>
          <w:lang w:val="fr-CH"/>
        </w:rPr>
        <w:t> </w:t>
      </w:r>
      <w:r w:rsidR="00260D9A" w:rsidRPr="000C6ABF">
        <w:rPr>
          <w:lang w:val="fr-CH"/>
        </w:rPr>
        <w:t>millions CHF</w:t>
      </w:r>
      <w:r w:rsidR="00523C2E" w:rsidRPr="000C6ABF">
        <w:rPr>
          <w:lang w:val="fr-CH"/>
        </w:rPr>
        <w:t xml:space="preserve">. </w:t>
      </w:r>
      <w:r w:rsidR="00082A91" w:rsidRPr="000C6ABF">
        <w:rPr>
          <w:lang w:val="fr-CH"/>
        </w:rPr>
        <w:t>En</w:t>
      </w:r>
      <w:r w:rsidR="00523C2E" w:rsidRPr="000C6ABF">
        <w:rPr>
          <w:lang w:val="fr-CH"/>
        </w:rPr>
        <w:t xml:space="preserve"> 2012</w:t>
      </w:r>
      <w:r w:rsidR="00E278D7" w:rsidRPr="000C6ABF">
        <w:rPr>
          <w:lang w:val="fr-CH"/>
        </w:rPr>
        <w:t>,</w:t>
      </w:r>
      <w:r w:rsidR="00523C2E" w:rsidRPr="000C6ABF">
        <w:rPr>
          <w:lang w:val="fr-CH"/>
        </w:rPr>
        <w:t xml:space="preserve"> </w:t>
      </w:r>
      <w:r w:rsidR="00082A91" w:rsidRPr="000C6ABF">
        <w:rPr>
          <w:lang w:val="fr-CH"/>
        </w:rPr>
        <w:t xml:space="preserve">ils </w:t>
      </w:r>
      <w:r w:rsidR="00E278D7" w:rsidRPr="000C6ABF">
        <w:rPr>
          <w:lang w:val="fr-CH"/>
        </w:rPr>
        <w:t>aie</w:t>
      </w:r>
      <w:r w:rsidR="00082A91" w:rsidRPr="000C6ABF">
        <w:rPr>
          <w:lang w:val="fr-CH"/>
        </w:rPr>
        <w:t xml:space="preserve">nt </w:t>
      </w:r>
      <w:r w:rsidR="00E278D7" w:rsidRPr="000C6ABF">
        <w:rPr>
          <w:lang w:val="fr-CH"/>
        </w:rPr>
        <w:t xml:space="preserve">en recul </w:t>
      </w:r>
      <w:r w:rsidR="00082A91" w:rsidRPr="000C6ABF">
        <w:rPr>
          <w:lang w:val="fr-CH"/>
        </w:rPr>
        <w:t xml:space="preserve">de </w:t>
      </w:r>
      <w:r w:rsidR="00260D9A" w:rsidRPr="000C6ABF">
        <w:rPr>
          <w:spacing w:val="-2"/>
          <w:lang w:val="fr-CH"/>
        </w:rPr>
        <w:t xml:space="preserve">4,5 </w:t>
      </w:r>
      <w:r w:rsidR="00260D9A" w:rsidRPr="000C6ABF">
        <w:rPr>
          <w:lang w:val="fr-CH"/>
        </w:rPr>
        <w:t xml:space="preserve">millions </w:t>
      </w:r>
      <w:r w:rsidR="00260D9A" w:rsidRPr="000C6ABF">
        <w:rPr>
          <w:spacing w:val="-2"/>
          <w:lang w:val="fr-CH"/>
        </w:rPr>
        <w:t xml:space="preserve">CHF (–3,7%) </w:t>
      </w:r>
      <w:r w:rsidR="00260D9A" w:rsidRPr="000C6ABF">
        <w:rPr>
          <w:lang w:val="fr-CH"/>
        </w:rPr>
        <w:t xml:space="preserve">par rapport aux chiffres de 2011 </w:t>
      </w:r>
      <w:r w:rsidR="00260D9A" w:rsidRPr="000C6ABF">
        <w:rPr>
          <w:spacing w:val="-2"/>
          <w:lang w:val="fr-CH"/>
        </w:rPr>
        <w:t>(</w:t>
      </w:r>
      <w:r w:rsidR="00260D9A" w:rsidRPr="000C6ABF">
        <w:rPr>
          <w:bCs/>
          <w:lang w:val="fr-CH"/>
        </w:rPr>
        <w:t xml:space="preserve">121,7 </w:t>
      </w:r>
      <w:r w:rsidR="00260D9A" w:rsidRPr="000C6ABF">
        <w:rPr>
          <w:lang w:val="fr-CH"/>
        </w:rPr>
        <w:t>millions</w:t>
      </w:r>
      <w:r w:rsidR="00260D9A" w:rsidRPr="000C6ABF">
        <w:rPr>
          <w:spacing w:val="-2"/>
          <w:lang w:val="fr-CH"/>
        </w:rPr>
        <w:t xml:space="preserve"> CHF)</w:t>
      </w:r>
      <w:r w:rsidRPr="000C6ABF">
        <w:rPr>
          <w:lang w:val="fr-CH"/>
        </w:rPr>
        <w:t xml:space="preserve">, principalement en raison de la dépréciation des bâtiments de l'UIT. Les bases de l'évaluation des actifs non courants sont indiquées dans les </w:t>
      </w:r>
      <w:r w:rsidR="00E278D7" w:rsidRPr="000C6ABF">
        <w:rPr>
          <w:lang w:val="fr-CH"/>
        </w:rPr>
        <w:t>P</w:t>
      </w:r>
      <w:r w:rsidRPr="000C6ABF">
        <w:rPr>
          <w:lang w:val="fr-CH"/>
        </w:rPr>
        <w:t>rincipes comptables (Note 3).</w:t>
      </w:r>
    </w:p>
    <w:p w:rsidR="00A9562D" w:rsidRPr="000C6ABF" w:rsidRDefault="00A9562D" w:rsidP="00E278D7">
      <w:pPr>
        <w:rPr>
          <w:lang w:val="fr-CH"/>
        </w:rPr>
      </w:pPr>
      <w:r w:rsidRPr="000C6ABF">
        <w:rPr>
          <w:lang w:val="fr-CH"/>
        </w:rPr>
        <w:t>33</w:t>
      </w:r>
      <w:r w:rsidRPr="000C6ABF">
        <w:rPr>
          <w:lang w:val="fr-CH"/>
        </w:rPr>
        <w:tab/>
        <w:t>Cette rubrique comprend les</w:t>
      </w:r>
      <w:r w:rsidR="00E278D7" w:rsidRPr="000C6ABF">
        <w:rPr>
          <w:lang w:val="fr-CH"/>
        </w:rPr>
        <w:t xml:space="preserve"> "I</w:t>
      </w:r>
      <w:r w:rsidRPr="000C6ABF">
        <w:rPr>
          <w:lang w:val="fr-CH"/>
        </w:rPr>
        <w:t>mmobilisations corporelles"</w:t>
      </w:r>
      <w:r w:rsidR="00523C2E" w:rsidRPr="000C6ABF">
        <w:rPr>
          <w:lang w:val="fr-CH"/>
        </w:rPr>
        <w:t xml:space="preserve"> </w:t>
      </w:r>
      <w:r w:rsidR="00082A91" w:rsidRPr="000C6ABF">
        <w:rPr>
          <w:lang w:val="fr-CH"/>
        </w:rPr>
        <w:t>se chiffrant à</w:t>
      </w:r>
      <w:r w:rsidR="00523C2E" w:rsidRPr="000C6ABF">
        <w:rPr>
          <w:lang w:val="fr-CH"/>
        </w:rPr>
        <w:t xml:space="preserve"> </w:t>
      </w:r>
      <w:r w:rsidRPr="000C6ABF">
        <w:rPr>
          <w:lang w:val="fr-CH"/>
        </w:rPr>
        <w:t>11</w:t>
      </w:r>
      <w:r w:rsidR="00523C2E" w:rsidRPr="000C6ABF">
        <w:rPr>
          <w:lang w:val="fr-CH"/>
        </w:rPr>
        <w:t>2</w:t>
      </w:r>
      <w:r w:rsidRPr="000C6ABF">
        <w:rPr>
          <w:lang w:val="fr-CH"/>
        </w:rPr>
        <w:t>,1 millions CHF</w:t>
      </w:r>
      <w:r w:rsidR="002B4FBF">
        <w:rPr>
          <w:lang w:val="fr-CH"/>
        </w:rPr>
        <w:t>,</w:t>
      </w:r>
      <w:r w:rsidR="00523C2E" w:rsidRPr="000C6ABF">
        <w:rPr>
          <w:lang w:val="fr-CH"/>
        </w:rPr>
        <w:t xml:space="preserve"> </w:t>
      </w:r>
      <w:r w:rsidR="00082A91" w:rsidRPr="000C6ABF">
        <w:rPr>
          <w:lang w:val="fr-CH"/>
        </w:rPr>
        <w:t>ce qui représente</w:t>
      </w:r>
      <w:r w:rsidR="00523C2E" w:rsidRPr="000C6ABF">
        <w:rPr>
          <w:lang w:val="fr-CH"/>
        </w:rPr>
        <w:t xml:space="preserve"> 97</w:t>
      </w:r>
      <w:r w:rsidR="00253D9D" w:rsidRPr="000C6ABF">
        <w:rPr>
          <w:lang w:val="fr-CH"/>
        </w:rPr>
        <w:t>,</w:t>
      </w:r>
      <w:r w:rsidR="00523C2E" w:rsidRPr="000C6ABF">
        <w:rPr>
          <w:lang w:val="fr-CH"/>
        </w:rPr>
        <w:t xml:space="preserve">5% </w:t>
      </w:r>
      <w:r w:rsidR="00253D9D" w:rsidRPr="000C6ABF">
        <w:rPr>
          <w:lang w:val="fr-CH"/>
        </w:rPr>
        <w:t>du total des actifs non courants</w:t>
      </w:r>
      <w:r w:rsidR="00523C2E" w:rsidRPr="000C6ABF">
        <w:rPr>
          <w:lang w:val="fr-CH"/>
        </w:rPr>
        <w:t xml:space="preserve"> (en 2012</w:t>
      </w:r>
      <w:r w:rsidR="00E278D7" w:rsidRPr="000C6ABF">
        <w:rPr>
          <w:lang w:val="fr-CH"/>
        </w:rPr>
        <w:t>,</w:t>
      </w:r>
      <w:r w:rsidR="00523C2E" w:rsidRPr="000C6ABF">
        <w:rPr>
          <w:lang w:val="fr-CH"/>
        </w:rPr>
        <w:t xml:space="preserve"> </w:t>
      </w:r>
      <w:r w:rsidR="00082A91" w:rsidRPr="000C6ABF">
        <w:rPr>
          <w:lang w:val="fr-CH"/>
        </w:rPr>
        <w:t>le chiffre était de</w:t>
      </w:r>
      <w:r w:rsidR="00523C2E" w:rsidRPr="000C6ABF">
        <w:rPr>
          <w:lang w:val="fr-CH"/>
        </w:rPr>
        <w:t xml:space="preserve"> 116,1 million</w:t>
      </w:r>
      <w:r w:rsidR="001551E2">
        <w:rPr>
          <w:lang w:val="fr-CH"/>
        </w:rPr>
        <w:t>s</w:t>
      </w:r>
      <w:r w:rsidR="00523C2E" w:rsidRPr="000C6ABF">
        <w:rPr>
          <w:lang w:val="fr-CH"/>
        </w:rPr>
        <w:t> CHF</w:t>
      </w:r>
      <w:r w:rsidR="00E278D7" w:rsidRPr="000C6ABF">
        <w:rPr>
          <w:lang w:val="fr-CH"/>
        </w:rPr>
        <w:t>, soit</w:t>
      </w:r>
      <w:r w:rsidRPr="000C6ABF">
        <w:rPr>
          <w:lang w:val="fr-CH"/>
        </w:rPr>
        <w:t xml:space="preserve"> 99,0% du total des actifs non courants</w:t>
      </w:r>
      <w:r w:rsidR="00E278D7" w:rsidRPr="000C6ABF">
        <w:rPr>
          <w:lang w:val="fr-CH"/>
        </w:rPr>
        <w:t>) et les "I</w:t>
      </w:r>
      <w:r w:rsidRPr="000C6ABF">
        <w:rPr>
          <w:lang w:val="fr-CH"/>
        </w:rPr>
        <w:t>mmobilisations incorporelles" (</w:t>
      </w:r>
      <w:r w:rsidR="00082A91" w:rsidRPr="000C6ABF">
        <w:rPr>
          <w:lang w:val="fr-CH"/>
        </w:rPr>
        <w:t>se chiffrant à</w:t>
      </w:r>
      <w:r w:rsidR="00523C2E" w:rsidRPr="000C6ABF">
        <w:rPr>
          <w:lang w:val="fr-CH"/>
        </w:rPr>
        <w:t xml:space="preserve"> 2,9 millions CHF, </w:t>
      </w:r>
      <w:r w:rsidR="00082A91" w:rsidRPr="000C6ABF">
        <w:rPr>
          <w:lang w:val="fr-CH"/>
        </w:rPr>
        <w:t xml:space="preserve">soit </w:t>
      </w:r>
      <w:r w:rsidR="00523C2E" w:rsidRPr="000C6ABF">
        <w:rPr>
          <w:lang w:val="fr-CH"/>
        </w:rPr>
        <w:t>2,5% (en 2012, 1,2 million CHF</w:t>
      </w:r>
      <w:r w:rsidRPr="000C6ABF">
        <w:rPr>
          <w:lang w:val="fr-CH"/>
        </w:rPr>
        <w:t xml:space="preserve">, soit 1,0%). Ces immobilisations sont décrites </w:t>
      </w:r>
      <w:r w:rsidR="00523C2E" w:rsidRPr="000C6ABF">
        <w:rPr>
          <w:lang w:val="fr-CH"/>
        </w:rPr>
        <w:t>respectivement dans les Notes 12</w:t>
      </w:r>
      <w:r w:rsidRPr="000C6ABF">
        <w:rPr>
          <w:lang w:val="fr-CH"/>
        </w:rPr>
        <w:t xml:space="preserve"> et 1</w:t>
      </w:r>
      <w:r w:rsidR="00523C2E" w:rsidRPr="000C6ABF">
        <w:rPr>
          <w:lang w:val="fr-CH"/>
        </w:rPr>
        <w:t>3</w:t>
      </w:r>
      <w:r w:rsidRPr="000C6ABF">
        <w:rPr>
          <w:lang w:val="fr-CH"/>
        </w:rPr>
        <w:t xml:space="preserve"> du Rapport de gestion financière.</w:t>
      </w:r>
    </w:p>
    <w:p w:rsidR="00253D9D" w:rsidRPr="000C6ABF" w:rsidRDefault="00253D9D" w:rsidP="00AB0C69">
      <w:pPr>
        <w:pStyle w:val="Headingb"/>
        <w:rPr>
          <w:lang w:val="fr-CH"/>
        </w:rPr>
      </w:pPr>
      <w:bookmarkStart w:id="125" w:name="_Toc358123286"/>
      <w:bookmarkStart w:id="126" w:name="_Toc396386945"/>
      <w:bookmarkStart w:id="127" w:name="_Toc396387828"/>
      <w:bookmarkStart w:id="128" w:name="_Toc396387942"/>
      <w:bookmarkStart w:id="129" w:name="_Toc398277627"/>
      <w:bookmarkStart w:id="130" w:name="_Ref355125291"/>
      <w:r w:rsidRPr="000C6ABF">
        <w:rPr>
          <w:lang w:val="fr-CH"/>
        </w:rPr>
        <w:t>Immobilisations corporelles</w:t>
      </w:r>
      <w:bookmarkEnd w:id="125"/>
      <w:bookmarkEnd w:id="126"/>
      <w:bookmarkEnd w:id="127"/>
      <w:bookmarkEnd w:id="128"/>
      <w:bookmarkEnd w:id="129"/>
      <w:r w:rsidRPr="000C6ABF">
        <w:rPr>
          <w:lang w:val="fr-CH"/>
        </w:rPr>
        <w:t xml:space="preserve"> </w:t>
      </w:r>
    </w:p>
    <w:p w:rsidR="00253D9D" w:rsidRPr="000C6ABF" w:rsidRDefault="003A036E" w:rsidP="002B4FBF">
      <w:pPr>
        <w:rPr>
          <w:lang w:val="fr-CH"/>
        </w:rPr>
      </w:pPr>
      <w:r w:rsidRPr="000C6ABF">
        <w:rPr>
          <w:lang w:val="fr-CH"/>
        </w:rPr>
        <w:t>34</w:t>
      </w:r>
      <w:r w:rsidR="00253D9D" w:rsidRPr="000C6ABF">
        <w:rPr>
          <w:lang w:val="fr-CH"/>
        </w:rPr>
        <w:tab/>
        <w:t>Les immobilisations corporelles ont représenté en valeur un montant de 11</w:t>
      </w:r>
      <w:r w:rsidR="00CE7E99" w:rsidRPr="000C6ABF">
        <w:rPr>
          <w:lang w:val="fr-CH"/>
        </w:rPr>
        <w:t>2</w:t>
      </w:r>
      <w:r w:rsidR="00253D9D" w:rsidRPr="000C6ABF">
        <w:rPr>
          <w:lang w:val="fr-CH"/>
        </w:rPr>
        <w:t>,1 millions CHF, c'est-à-dire la valeur nette au 31 décembre 201</w:t>
      </w:r>
      <w:r w:rsidR="00CE7E99" w:rsidRPr="000C6ABF">
        <w:rPr>
          <w:lang w:val="fr-CH"/>
        </w:rPr>
        <w:t>3</w:t>
      </w:r>
      <w:r w:rsidR="00253D9D" w:rsidRPr="000C6ABF">
        <w:rPr>
          <w:lang w:val="fr-CH"/>
        </w:rPr>
        <w:t xml:space="preserve"> du coût capitalisé des bâtiments (122,</w:t>
      </w:r>
      <w:r w:rsidR="00CE7E99" w:rsidRPr="000C6ABF">
        <w:rPr>
          <w:lang w:val="fr-CH"/>
        </w:rPr>
        <w:t>5</w:t>
      </w:r>
      <w:r w:rsidR="00253D9D" w:rsidRPr="000C6ABF">
        <w:rPr>
          <w:lang w:val="fr-CH"/>
        </w:rPr>
        <w:t> millions CHF</w:t>
      </w:r>
      <w:r w:rsidR="00874463" w:rsidRPr="000C6ABF">
        <w:rPr>
          <w:lang w:val="fr-CH"/>
        </w:rPr>
        <w:t xml:space="preserve"> en 2013</w:t>
      </w:r>
      <w:r w:rsidR="00CE7E99" w:rsidRPr="000C6ABF">
        <w:rPr>
          <w:lang w:val="fr-CH"/>
        </w:rPr>
        <w:t>; 122,4 millions en 2012</w:t>
      </w:r>
      <w:r w:rsidR="00253D9D" w:rsidRPr="000C6ABF">
        <w:rPr>
          <w:lang w:val="fr-CH"/>
        </w:rPr>
        <w:t>), des machines (</w:t>
      </w:r>
      <w:r w:rsidR="00CE7E99" w:rsidRPr="000C6ABF">
        <w:rPr>
          <w:lang w:val="fr-CH"/>
        </w:rPr>
        <w:t>2,9 millions CHF</w:t>
      </w:r>
      <w:r w:rsidR="00874463" w:rsidRPr="000C6ABF">
        <w:rPr>
          <w:lang w:val="fr-CH"/>
        </w:rPr>
        <w:t xml:space="preserve"> en 2013</w:t>
      </w:r>
      <w:r w:rsidR="00CE7E99" w:rsidRPr="000C6ABF">
        <w:rPr>
          <w:lang w:val="fr-CH"/>
        </w:rPr>
        <w:t xml:space="preserve">; </w:t>
      </w:r>
      <w:r w:rsidR="00253D9D" w:rsidRPr="000C6ABF">
        <w:rPr>
          <w:lang w:val="fr-CH"/>
        </w:rPr>
        <w:t>3,3</w:t>
      </w:r>
      <w:r w:rsidR="002B4FBF">
        <w:rPr>
          <w:lang w:val="fr-CH"/>
        </w:rPr>
        <w:t> </w:t>
      </w:r>
      <w:r w:rsidR="00253D9D" w:rsidRPr="000C6ABF">
        <w:rPr>
          <w:lang w:val="fr-CH"/>
        </w:rPr>
        <w:t>millions CHF</w:t>
      </w:r>
      <w:r w:rsidR="00CE7E99" w:rsidRPr="000C6ABF">
        <w:rPr>
          <w:lang w:val="fr-CH"/>
        </w:rPr>
        <w:t xml:space="preserve"> en 2012</w:t>
      </w:r>
      <w:r w:rsidR="00253D9D" w:rsidRPr="000C6ABF">
        <w:rPr>
          <w:lang w:val="fr-CH"/>
        </w:rPr>
        <w:t>), du mobilier (1,6 million CHF</w:t>
      </w:r>
      <w:r w:rsidR="00B40654" w:rsidRPr="000C6ABF">
        <w:rPr>
          <w:lang w:val="fr-CH"/>
        </w:rPr>
        <w:t xml:space="preserve"> en 2013; idem 2012</w:t>
      </w:r>
      <w:r w:rsidR="00253D9D" w:rsidRPr="000C6ABF">
        <w:rPr>
          <w:lang w:val="fr-CH"/>
        </w:rPr>
        <w:t>), du matériel informatique (</w:t>
      </w:r>
      <w:r w:rsidR="00874463" w:rsidRPr="000C6ABF">
        <w:rPr>
          <w:lang w:val="fr-CH"/>
        </w:rPr>
        <w:t xml:space="preserve">10,1 millions CHF en 2013; </w:t>
      </w:r>
      <w:r w:rsidR="00253D9D" w:rsidRPr="000C6ABF">
        <w:rPr>
          <w:lang w:val="fr-CH"/>
        </w:rPr>
        <w:t>9,4 millions CHF</w:t>
      </w:r>
      <w:r w:rsidR="00874463" w:rsidRPr="000C6ABF">
        <w:rPr>
          <w:lang w:val="fr-CH"/>
        </w:rPr>
        <w:t xml:space="preserve"> en 2012</w:t>
      </w:r>
      <w:r w:rsidR="00253D9D" w:rsidRPr="000C6ABF">
        <w:rPr>
          <w:lang w:val="fr-CH"/>
        </w:rPr>
        <w:t>) et d'autres actifs (0,9</w:t>
      </w:r>
      <w:r w:rsidR="002B4FBF">
        <w:rPr>
          <w:lang w:val="fr-CH"/>
        </w:rPr>
        <w:t> </w:t>
      </w:r>
      <w:r w:rsidR="00253D9D" w:rsidRPr="000C6ABF">
        <w:rPr>
          <w:lang w:val="fr-CH"/>
        </w:rPr>
        <w:t>million</w:t>
      </w:r>
      <w:r w:rsidR="002B4FBF">
        <w:rPr>
          <w:lang w:val="fr-CH"/>
        </w:rPr>
        <w:t> </w:t>
      </w:r>
      <w:r w:rsidR="00253D9D" w:rsidRPr="000C6ABF">
        <w:rPr>
          <w:lang w:val="fr-CH"/>
        </w:rPr>
        <w:t>CHF</w:t>
      </w:r>
      <w:r w:rsidR="00874463" w:rsidRPr="000C6ABF">
        <w:rPr>
          <w:lang w:val="fr-CH"/>
        </w:rPr>
        <w:t xml:space="preserve"> en 2013; idem 2012</w:t>
      </w:r>
      <w:r w:rsidR="00253D9D" w:rsidRPr="000C6ABF">
        <w:rPr>
          <w:lang w:val="fr-CH"/>
        </w:rPr>
        <w:t xml:space="preserve">), déduction faite de la dépréciation correspondante de chacune des catégories indiquées ci-dessus (la dépréciation totale s'est élevée à </w:t>
      </w:r>
      <w:r w:rsidR="00874463" w:rsidRPr="000C6ABF">
        <w:rPr>
          <w:lang w:val="fr-CH"/>
        </w:rPr>
        <w:t xml:space="preserve">26,7 millions CHF en 2013 et </w:t>
      </w:r>
      <w:r w:rsidR="00253D9D" w:rsidRPr="000C6ABF">
        <w:rPr>
          <w:lang w:val="fr-CH"/>
        </w:rPr>
        <w:t>21,6</w:t>
      </w:r>
      <w:r w:rsidR="002B4FBF">
        <w:rPr>
          <w:lang w:val="fr-CH"/>
        </w:rPr>
        <w:t> </w:t>
      </w:r>
      <w:r w:rsidR="00253D9D" w:rsidRPr="000C6ABF">
        <w:rPr>
          <w:lang w:val="fr-CH"/>
        </w:rPr>
        <w:t>millions CHF</w:t>
      </w:r>
      <w:r w:rsidR="00874463" w:rsidRPr="000C6ABF">
        <w:rPr>
          <w:lang w:val="fr-CH"/>
        </w:rPr>
        <w:t xml:space="preserve"> en 2012</w:t>
      </w:r>
      <w:r w:rsidR="00253D9D" w:rsidRPr="000C6ABF">
        <w:rPr>
          <w:lang w:val="fr-CH"/>
        </w:rPr>
        <w:t>). Cette rubrique est décrite dans la Note 1</w:t>
      </w:r>
      <w:r w:rsidR="00874463" w:rsidRPr="000C6ABF">
        <w:rPr>
          <w:lang w:val="fr-CH"/>
        </w:rPr>
        <w:t>2</w:t>
      </w:r>
      <w:r w:rsidR="00253D9D" w:rsidRPr="000C6ABF">
        <w:rPr>
          <w:lang w:val="fr-CH"/>
        </w:rPr>
        <w:t xml:space="preserve"> du Rapport de gestion financière.</w:t>
      </w:r>
      <w:bookmarkEnd w:id="130"/>
    </w:p>
    <w:p w:rsidR="009A6656" w:rsidRPr="000C6ABF" w:rsidRDefault="003A036E" w:rsidP="00E278D7">
      <w:pPr>
        <w:rPr>
          <w:lang w:val="fr-CH"/>
        </w:rPr>
      </w:pPr>
      <w:r w:rsidRPr="000C6ABF">
        <w:rPr>
          <w:lang w:val="fr-CH"/>
        </w:rPr>
        <w:lastRenderedPageBreak/>
        <w:t>35</w:t>
      </w:r>
      <w:r w:rsidRPr="000C6ABF">
        <w:rPr>
          <w:lang w:val="fr-CH"/>
        </w:rPr>
        <w:tab/>
      </w:r>
      <w:r w:rsidR="00CE7E99" w:rsidRPr="000C6ABF">
        <w:rPr>
          <w:lang w:val="fr-CH"/>
        </w:rPr>
        <w:t>E</w:t>
      </w:r>
      <w:r w:rsidRPr="000C6ABF">
        <w:rPr>
          <w:lang w:val="fr-CH"/>
        </w:rPr>
        <w:t>n 2013</w:t>
      </w:r>
      <w:r w:rsidR="00E278D7" w:rsidRPr="000C6ABF">
        <w:rPr>
          <w:lang w:val="fr-CH"/>
        </w:rPr>
        <w:t>,</w:t>
      </w:r>
      <w:r w:rsidRPr="000C6ABF">
        <w:rPr>
          <w:lang w:val="fr-CH"/>
        </w:rPr>
        <w:t xml:space="preserve"> </w:t>
      </w:r>
      <w:r w:rsidR="00082A91" w:rsidRPr="000C6ABF">
        <w:rPr>
          <w:lang w:val="fr-CH"/>
        </w:rPr>
        <w:t xml:space="preserve">a également </w:t>
      </w:r>
      <w:r w:rsidR="00E278D7" w:rsidRPr="000C6ABF">
        <w:rPr>
          <w:lang w:val="fr-CH"/>
        </w:rPr>
        <w:t xml:space="preserve">été </w:t>
      </w:r>
      <w:r w:rsidR="00082A91" w:rsidRPr="000C6ABF">
        <w:rPr>
          <w:lang w:val="fr-CH"/>
        </w:rPr>
        <w:t>enregistré un montant de</w:t>
      </w:r>
      <w:r w:rsidRPr="000C6ABF">
        <w:rPr>
          <w:lang w:val="fr-CH"/>
        </w:rPr>
        <w:t xml:space="preserve"> 0,8 million CHF </w:t>
      </w:r>
      <w:r w:rsidR="00082A91" w:rsidRPr="000C6ABF">
        <w:rPr>
          <w:lang w:val="fr-CH"/>
        </w:rPr>
        <w:t xml:space="preserve">pour les </w:t>
      </w:r>
      <w:r w:rsidR="00E278D7" w:rsidRPr="000C6ABF">
        <w:rPr>
          <w:lang w:val="fr-CH"/>
        </w:rPr>
        <w:t xml:space="preserve">biens </w:t>
      </w:r>
      <w:r w:rsidR="00C40D19" w:rsidRPr="000C6ABF">
        <w:rPr>
          <w:lang w:val="fr-CH"/>
        </w:rPr>
        <w:t xml:space="preserve">en construction, à savoir un projet de </w:t>
      </w:r>
      <w:r w:rsidR="00E278D7" w:rsidRPr="000C6ABF">
        <w:rPr>
          <w:lang w:val="fr-CH"/>
        </w:rPr>
        <w:t xml:space="preserve">système de </w:t>
      </w:r>
      <w:r w:rsidR="00C40D19" w:rsidRPr="000C6ABF">
        <w:rPr>
          <w:lang w:val="fr-CH"/>
        </w:rPr>
        <w:t>chauffage de la bibliothèque et un autre projet concerna</w:t>
      </w:r>
      <w:r w:rsidR="00E278D7" w:rsidRPr="000C6ABF">
        <w:rPr>
          <w:lang w:val="fr-CH"/>
        </w:rPr>
        <w:t>n</w:t>
      </w:r>
      <w:r w:rsidR="00C40D19" w:rsidRPr="000C6ABF">
        <w:rPr>
          <w:lang w:val="fr-CH"/>
        </w:rPr>
        <w:t>t le renouvellement</w:t>
      </w:r>
      <w:r w:rsidR="00A47698" w:rsidRPr="000C6ABF">
        <w:rPr>
          <w:lang w:val="fr-CH"/>
        </w:rPr>
        <w:t xml:space="preserve"> </w:t>
      </w:r>
      <w:r w:rsidR="00C40D19" w:rsidRPr="000C6ABF">
        <w:rPr>
          <w:lang w:val="fr-CH"/>
        </w:rPr>
        <w:t>de l</w:t>
      </w:r>
      <w:r w:rsidR="00AB0C69" w:rsidRPr="000C6ABF">
        <w:rPr>
          <w:lang w:val="fr-CH"/>
        </w:rPr>
        <w:t>'</w:t>
      </w:r>
      <w:r w:rsidR="00C40D19" w:rsidRPr="000C6ABF">
        <w:rPr>
          <w:lang w:val="fr-CH"/>
        </w:rPr>
        <w:t>unité de contrôle basse tension</w:t>
      </w:r>
      <w:r w:rsidRPr="000C6ABF">
        <w:rPr>
          <w:lang w:val="fr-CH"/>
        </w:rPr>
        <w:t xml:space="preserve">. </w:t>
      </w:r>
    </w:p>
    <w:p w:rsidR="00253D9D" w:rsidRPr="000C6ABF" w:rsidRDefault="009A6656" w:rsidP="00AB0C69">
      <w:pPr>
        <w:rPr>
          <w:lang w:val="fr-CH"/>
        </w:rPr>
      </w:pPr>
      <w:r w:rsidRPr="000C6ABF">
        <w:rPr>
          <w:lang w:val="fr-CH"/>
        </w:rPr>
        <w:t>36</w:t>
      </w:r>
      <w:r w:rsidR="00253D9D" w:rsidRPr="000C6ABF">
        <w:rPr>
          <w:lang w:val="fr-CH"/>
        </w:rPr>
        <w:tab/>
        <w:t xml:space="preserve">Dans l'état de la situation financière, conformément à la norme IPSAS 1, les bâtiments doivent être comptabilisés en actifs. Cette comptabilisation se rapporte expressément à la propriété des bâtiments. Selon la norme IPSAS 17, la comptabilisation initiale des immobilisations corporelles devrait être évaluée au coût de l'élément ou à la juste valeur définie de façon fiable. Les amortissements sont effectués de manière systématique sur la durée d'utilité des actifs et la méthode d'amortissement doit refléter le mécanisme par lequel les avantages économiques futurs ou le potentiel de service de ces actifs sont censés être acquis par l'entité. La valeur résiduelle doit être réexaminée au moins une fois par an et doit être équivalente au montant </w:t>
      </w:r>
      <w:r w:rsidR="00253D9D" w:rsidRPr="000C6ABF">
        <w:rPr>
          <w:rFonts w:eastAsia="SimSun"/>
          <w:lang w:val="fr-CH"/>
        </w:rPr>
        <w:t>que l'entité obtiendrait actuellement de la sortie de l'actif, si l'actif avait déjà l'âge et se trouvait déjà dans l'état prévu à la fin de sa durée d'utilité.</w:t>
      </w:r>
      <w:r w:rsidR="00253D9D" w:rsidRPr="000C6ABF">
        <w:rPr>
          <w:lang w:val="fr-CH"/>
        </w:rPr>
        <w:t xml:space="preserve"> Les terrains et les bâtiments sont des actifs distincts et sont comptabilisés séparément, même s'ils ont été acquis conjointement.</w:t>
      </w:r>
    </w:p>
    <w:p w:rsidR="00253D9D" w:rsidRPr="000C6ABF" w:rsidRDefault="009A6656" w:rsidP="00AB0C69">
      <w:pPr>
        <w:rPr>
          <w:lang w:val="fr-CH"/>
        </w:rPr>
      </w:pPr>
      <w:r w:rsidRPr="000C6ABF">
        <w:rPr>
          <w:lang w:val="fr-CH"/>
        </w:rPr>
        <w:t>37</w:t>
      </w:r>
      <w:r w:rsidR="00253D9D" w:rsidRPr="000C6ABF">
        <w:rPr>
          <w:lang w:val="fr-CH"/>
        </w:rPr>
        <w:tab/>
        <w:t>Conformément à l'Annexe II du Règlement financier de l'UIT, le Vérificateur extérieur des comptes doit s'assurer "que tous les éléments de l'actif et passif ainsi que tous les excédents et déficits ont été comptabilisés selon les procédures qu'il juge nécessaires".</w:t>
      </w:r>
    </w:p>
    <w:p w:rsidR="00253D9D" w:rsidRPr="000C6ABF" w:rsidRDefault="009A6656" w:rsidP="002B4FBF">
      <w:pPr>
        <w:rPr>
          <w:lang w:val="fr-CH"/>
        </w:rPr>
      </w:pPr>
      <w:r w:rsidRPr="000C6ABF">
        <w:rPr>
          <w:lang w:val="fr-CH"/>
        </w:rPr>
        <w:t>38</w:t>
      </w:r>
      <w:r w:rsidR="00253D9D" w:rsidRPr="000C6ABF">
        <w:rPr>
          <w:lang w:val="fr-CH"/>
        </w:rPr>
        <w:tab/>
        <w:t>Dans la Note 3 du Rapport de gestion financière "Principaux principes comptables", sous la rubrique "Immobilisations corporelles", il est indiqué que la comptabilisation initiale des bâtiments a été effectuée à la "valeur intrinsèque" "sur la base de l'étude menée par un cabinet externe", afin de définir la valeur du bilan d'ouverture IPSAS. La comptabilisation a été faite sur la base du "coût historique" et les amortissements ont été effectués selon la "durée d'utilité estimée" (100</w:t>
      </w:r>
      <w:r w:rsidR="002B4FBF">
        <w:rPr>
          <w:lang w:val="fr-CH"/>
        </w:rPr>
        <w:t> </w:t>
      </w:r>
      <w:r w:rsidR="00253D9D" w:rsidRPr="000C6ABF">
        <w:rPr>
          <w:lang w:val="fr-CH"/>
        </w:rPr>
        <w:t>ans dans le cas de la structure). Les terrains, sur lesquels l'UIT dispose d'un "droit de superficie", ne sont pas pris en compte dans le calcul de la</w:t>
      </w:r>
      <w:r w:rsidR="002B4FBF">
        <w:rPr>
          <w:lang w:val="fr-CH"/>
        </w:rPr>
        <w:t xml:space="preserve"> valeur initiale des bâtiments.</w:t>
      </w:r>
    </w:p>
    <w:p w:rsidR="00253D9D" w:rsidRPr="000C6ABF" w:rsidRDefault="00253D9D" w:rsidP="00E278D7">
      <w:pPr>
        <w:rPr>
          <w:lang w:val="fr-CH"/>
        </w:rPr>
      </w:pPr>
      <w:r w:rsidRPr="000C6ABF">
        <w:rPr>
          <w:lang w:val="fr-CH"/>
        </w:rPr>
        <w:t>3</w:t>
      </w:r>
      <w:r w:rsidR="009A6656" w:rsidRPr="000C6ABF">
        <w:rPr>
          <w:lang w:val="fr-CH"/>
        </w:rPr>
        <w:t>9</w:t>
      </w:r>
      <w:r w:rsidRPr="000C6ABF">
        <w:rPr>
          <w:lang w:val="fr-CH"/>
        </w:rPr>
        <w:tab/>
        <w:t>Dans la Note 1</w:t>
      </w:r>
      <w:r w:rsidR="009A6656" w:rsidRPr="000C6ABF">
        <w:rPr>
          <w:lang w:val="fr-CH"/>
        </w:rPr>
        <w:t>2</w:t>
      </w:r>
      <w:r w:rsidRPr="000C6ABF">
        <w:rPr>
          <w:lang w:val="fr-CH"/>
        </w:rPr>
        <w:t xml:space="preserve"> aux états financiers, les bâtiments comptabilisés en actifs non courants se composent de la Tour, de </w:t>
      </w:r>
      <w:proofErr w:type="spellStart"/>
      <w:r w:rsidRPr="000C6ABF">
        <w:rPr>
          <w:lang w:val="fr-CH"/>
        </w:rPr>
        <w:t>Varembé</w:t>
      </w:r>
      <w:proofErr w:type="spellEnd"/>
      <w:r w:rsidRPr="000C6ABF">
        <w:rPr>
          <w:lang w:val="fr-CH"/>
        </w:rPr>
        <w:t xml:space="preserve">, de l'Extension C et de la Cafétéria et de </w:t>
      </w:r>
      <w:proofErr w:type="spellStart"/>
      <w:r w:rsidRPr="000C6ABF">
        <w:rPr>
          <w:lang w:val="fr-CH"/>
        </w:rPr>
        <w:t>Montbrillant</w:t>
      </w:r>
      <w:proofErr w:type="spellEnd"/>
      <w:r w:rsidRPr="000C6ABF">
        <w:rPr>
          <w:lang w:val="fr-CH"/>
        </w:rPr>
        <w:t xml:space="preserve">. En ce qui concerne les bâtiments, comme nous l'avons déjà indiqué ci-dessus, la valeur nette comptable est passée de </w:t>
      </w:r>
      <w:r w:rsidR="009A6656" w:rsidRPr="000C6ABF">
        <w:rPr>
          <w:lang w:val="fr-CH"/>
        </w:rPr>
        <w:t>112,0 millions CHF au 1er janvier 2013 à 108,6 millions CHF au 31 décembre 2013 (</w:t>
      </w:r>
      <w:r w:rsidR="00C40D19" w:rsidRPr="000C6ABF">
        <w:rPr>
          <w:lang w:val="fr-CH"/>
        </w:rPr>
        <w:t>alors que l</w:t>
      </w:r>
      <w:r w:rsidR="00AB0C69" w:rsidRPr="000C6ABF">
        <w:rPr>
          <w:lang w:val="fr-CH"/>
        </w:rPr>
        <w:t>'</w:t>
      </w:r>
      <w:r w:rsidR="00C40D19" w:rsidRPr="000C6ABF">
        <w:rPr>
          <w:lang w:val="fr-CH"/>
        </w:rPr>
        <w:t xml:space="preserve">an dernier leur valeur était passée de </w:t>
      </w:r>
      <w:r w:rsidRPr="000C6ABF">
        <w:rPr>
          <w:lang w:val="fr-CH"/>
        </w:rPr>
        <w:t>115,3 millions CHF au 1er janvier 2012 à 112,0</w:t>
      </w:r>
      <w:r w:rsidR="00E278D7" w:rsidRPr="000C6ABF">
        <w:rPr>
          <w:lang w:val="fr-CH"/>
        </w:rPr>
        <w:t> </w:t>
      </w:r>
      <w:r w:rsidRPr="000C6ABF">
        <w:rPr>
          <w:lang w:val="fr-CH"/>
        </w:rPr>
        <w:t xml:space="preserve">millions CHF au 31 décembre 2012, </w:t>
      </w:r>
      <w:r w:rsidR="00C40D19" w:rsidRPr="000C6ABF">
        <w:rPr>
          <w:lang w:val="fr-CH"/>
        </w:rPr>
        <w:t>en raison d</w:t>
      </w:r>
      <w:r w:rsidR="00AB0C69" w:rsidRPr="000C6ABF">
        <w:rPr>
          <w:lang w:val="fr-CH"/>
        </w:rPr>
        <w:t>'</w:t>
      </w:r>
      <w:r w:rsidR="00C40D19" w:rsidRPr="000C6ABF">
        <w:rPr>
          <w:lang w:val="fr-CH"/>
        </w:rPr>
        <w:t>un ajout de</w:t>
      </w:r>
      <w:r w:rsidR="00030C29" w:rsidRPr="000C6ABF">
        <w:rPr>
          <w:lang w:val="fr-CH"/>
        </w:rPr>
        <w:t xml:space="preserve"> </w:t>
      </w:r>
      <w:r w:rsidR="008573AA" w:rsidRPr="000C6ABF">
        <w:rPr>
          <w:lang w:val="fr-CH"/>
        </w:rPr>
        <w:t>0,09 million CHF</w:t>
      </w:r>
      <w:r w:rsidRPr="000C6ABF">
        <w:rPr>
          <w:lang w:val="fr-CH"/>
        </w:rPr>
        <w:t>, ainsi que des amortissements comptabilisés pendant l'exercice (3,5 millions CHF).</w:t>
      </w:r>
    </w:p>
    <w:p w:rsidR="00253D9D" w:rsidRPr="000C6ABF" w:rsidRDefault="001238BB" w:rsidP="00AB0C69">
      <w:pPr>
        <w:rPr>
          <w:lang w:val="fr-CH"/>
        </w:rPr>
      </w:pPr>
      <w:r w:rsidRPr="000C6ABF">
        <w:rPr>
          <w:lang w:val="fr-CH"/>
        </w:rPr>
        <w:t>40</w:t>
      </w:r>
      <w:r w:rsidR="00253D9D" w:rsidRPr="000C6ABF">
        <w:rPr>
          <w:lang w:val="fr-CH"/>
        </w:rPr>
        <w:tab/>
        <w:t>Le financement de la construction d'un bâtiment pour des organisations internationales est octroyé par la Confédération suisse dans le cadre de la FIPOI, sous la forme d'un prêt à des conditions favorables, c'est-à-dire pour une durée de 50 ans à un taux d'intérêt de 0%, les terrains étant mis à disposition à titre gratuit par l'Etat de Genève au titre du "droit de superficie". La valeur de l'emprunt contracté auprès de la FIPOI est indiquée dans la Note 1</w:t>
      </w:r>
      <w:r w:rsidRPr="000C6ABF">
        <w:rPr>
          <w:lang w:val="fr-CH"/>
        </w:rPr>
        <w:t>6</w:t>
      </w:r>
      <w:r w:rsidR="00253D9D" w:rsidRPr="000C6ABF">
        <w:rPr>
          <w:lang w:val="fr-CH"/>
        </w:rPr>
        <w:t xml:space="preserve"> du Rapport de gestion financière</w:t>
      </w:r>
      <w:r w:rsidR="002D4F81" w:rsidRPr="000C6ABF">
        <w:rPr>
          <w:lang w:val="fr-CH"/>
        </w:rPr>
        <w:t xml:space="preserve"> de 2013</w:t>
      </w:r>
      <w:r w:rsidR="00253D9D" w:rsidRPr="000C6ABF">
        <w:rPr>
          <w:lang w:val="fr-CH"/>
        </w:rPr>
        <w:t xml:space="preserve">. </w:t>
      </w:r>
    </w:p>
    <w:p w:rsidR="002D4F81" w:rsidRPr="000C6ABF" w:rsidRDefault="002D4F81" w:rsidP="00E278D7">
      <w:pPr>
        <w:rPr>
          <w:lang w:val="fr-CH"/>
        </w:rPr>
      </w:pPr>
      <w:r w:rsidRPr="000C6ABF">
        <w:rPr>
          <w:lang w:val="fr-CH"/>
        </w:rPr>
        <w:t>41</w:t>
      </w:r>
      <w:r w:rsidRPr="000C6ABF">
        <w:rPr>
          <w:lang w:val="fr-CH"/>
        </w:rPr>
        <w:tab/>
      </w:r>
      <w:r w:rsidR="00C40D19" w:rsidRPr="000C6ABF">
        <w:rPr>
          <w:lang w:val="fr-CH"/>
        </w:rPr>
        <w:t>L</w:t>
      </w:r>
      <w:r w:rsidR="00AB0C69" w:rsidRPr="000C6ABF">
        <w:rPr>
          <w:lang w:val="fr-CH"/>
        </w:rPr>
        <w:t>'</w:t>
      </w:r>
      <w:r w:rsidR="00C40D19" w:rsidRPr="000C6ABF">
        <w:rPr>
          <w:lang w:val="fr-CH"/>
        </w:rPr>
        <w:t>an dernier, nous avons recommandé de négocier l</w:t>
      </w:r>
      <w:r w:rsidR="00AB0C69" w:rsidRPr="000C6ABF">
        <w:rPr>
          <w:lang w:val="fr-CH"/>
        </w:rPr>
        <w:t>'</w:t>
      </w:r>
      <w:r w:rsidR="00C40D19" w:rsidRPr="000C6ABF">
        <w:rPr>
          <w:lang w:val="fr-CH"/>
        </w:rPr>
        <w:t>extension du</w:t>
      </w:r>
      <w:r w:rsidR="00CE21E9" w:rsidRPr="000C6ABF">
        <w:rPr>
          <w:lang w:val="fr-CH"/>
        </w:rPr>
        <w:t xml:space="preserve"> </w:t>
      </w:r>
      <w:r w:rsidR="006B5B96" w:rsidRPr="000C6ABF">
        <w:rPr>
          <w:lang w:val="fr-CH"/>
        </w:rPr>
        <w:t>"</w:t>
      </w:r>
      <w:r w:rsidR="00CE21E9" w:rsidRPr="000C6ABF">
        <w:rPr>
          <w:i/>
          <w:lang w:val="fr-CH"/>
        </w:rPr>
        <w:t>droit de superficie</w:t>
      </w:r>
      <w:r w:rsidR="006B5B96" w:rsidRPr="000C6ABF">
        <w:rPr>
          <w:lang w:val="fr-CH"/>
        </w:rPr>
        <w:t>"</w:t>
      </w:r>
      <w:r w:rsidR="00CE21E9" w:rsidRPr="000C6ABF">
        <w:rPr>
          <w:lang w:val="fr-CH"/>
        </w:rPr>
        <w:t xml:space="preserve"> </w:t>
      </w:r>
      <w:r w:rsidR="00C40D19" w:rsidRPr="000C6ABF">
        <w:rPr>
          <w:lang w:val="fr-CH"/>
        </w:rPr>
        <w:t>accordé à l</w:t>
      </w:r>
      <w:r w:rsidR="00AB0C69" w:rsidRPr="000C6ABF">
        <w:rPr>
          <w:lang w:val="fr-CH"/>
        </w:rPr>
        <w:t>'</w:t>
      </w:r>
      <w:r w:rsidR="00C40D19" w:rsidRPr="000C6ABF">
        <w:rPr>
          <w:lang w:val="fr-CH"/>
        </w:rPr>
        <w:t>UIT par l</w:t>
      </w:r>
      <w:r w:rsidR="00AB0C69" w:rsidRPr="000C6ABF">
        <w:rPr>
          <w:lang w:val="fr-CH"/>
        </w:rPr>
        <w:t>'</w:t>
      </w:r>
      <w:r w:rsidR="00C40D19" w:rsidRPr="000C6ABF">
        <w:rPr>
          <w:lang w:val="fr-CH"/>
        </w:rPr>
        <w:t xml:space="preserve">Etat de Genève. </w:t>
      </w:r>
      <w:r w:rsidR="00336D02" w:rsidRPr="000C6ABF">
        <w:rPr>
          <w:lang w:val="fr-CH"/>
        </w:rPr>
        <w:t xml:space="preserve">En janvier </w:t>
      </w:r>
      <w:r w:rsidR="00CE21E9" w:rsidRPr="000C6ABF">
        <w:rPr>
          <w:lang w:val="fr-CH"/>
        </w:rPr>
        <w:t xml:space="preserve">2013, </w:t>
      </w:r>
      <w:r w:rsidR="00C40D19" w:rsidRPr="000C6ABF">
        <w:rPr>
          <w:lang w:val="fr-CH"/>
        </w:rPr>
        <w:t>le Conseiller juridique s</w:t>
      </w:r>
      <w:r w:rsidR="00AB0C69" w:rsidRPr="000C6ABF">
        <w:rPr>
          <w:lang w:val="fr-CH"/>
        </w:rPr>
        <w:t>'</w:t>
      </w:r>
      <w:r w:rsidR="00C40D19" w:rsidRPr="000C6ABF">
        <w:rPr>
          <w:lang w:val="fr-CH"/>
        </w:rPr>
        <w:t xml:space="preserve">est mis en rapport avec les autorités compétentes du pays hôte </w:t>
      </w:r>
      <w:r w:rsidR="00E278D7" w:rsidRPr="000C6ABF">
        <w:rPr>
          <w:lang w:val="fr-CH"/>
        </w:rPr>
        <w:t>en vue d'</w:t>
      </w:r>
      <w:r w:rsidR="00C40D19" w:rsidRPr="000C6ABF">
        <w:rPr>
          <w:lang w:val="fr-CH"/>
        </w:rPr>
        <w:t xml:space="preserve">engager un processus de </w:t>
      </w:r>
      <w:r w:rsidR="00D22E67" w:rsidRPr="000C6ABF">
        <w:rPr>
          <w:lang w:val="fr-CH"/>
        </w:rPr>
        <w:t>négociation</w:t>
      </w:r>
      <w:r w:rsidR="00C40D19" w:rsidRPr="000C6ABF">
        <w:rPr>
          <w:lang w:val="fr-CH"/>
        </w:rPr>
        <w:t xml:space="preserve">. Cependant, </w:t>
      </w:r>
      <w:r w:rsidR="00D22E67" w:rsidRPr="000C6ABF">
        <w:rPr>
          <w:lang w:val="fr-CH"/>
        </w:rPr>
        <w:t>l</w:t>
      </w:r>
      <w:r w:rsidR="00E278D7" w:rsidRPr="000C6ABF">
        <w:rPr>
          <w:lang w:val="fr-CH"/>
        </w:rPr>
        <w:t xml:space="preserve">'avancement </w:t>
      </w:r>
      <w:r w:rsidR="00D22E67" w:rsidRPr="000C6ABF">
        <w:rPr>
          <w:lang w:val="fr-CH"/>
        </w:rPr>
        <w:t xml:space="preserve">de la négociation </w:t>
      </w:r>
      <w:r w:rsidR="00E278D7" w:rsidRPr="000C6ABF">
        <w:rPr>
          <w:lang w:val="fr-CH"/>
        </w:rPr>
        <w:t xml:space="preserve">est lié </w:t>
      </w:r>
      <w:r w:rsidR="00D22E67" w:rsidRPr="000C6ABF">
        <w:rPr>
          <w:lang w:val="fr-CH"/>
        </w:rPr>
        <w:t xml:space="preserve">à la décision concernant le remplacement du bâtiment de </w:t>
      </w:r>
      <w:proofErr w:type="spellStart"/>
      <w:r w:rsidR="00D22E67" w:rsidRPr="000C6ABF">
        <w:rPr>
          <w:lang w:val="fr-CH"/>
        </w:rPr>
        <w:t>Varembé</w:t>
      </w:r>
      <w:proofErr w:type="spellEnd"/>
      <w:r w:rsidR="00D22E67" w:rsidRPr="000C6ABF">
        <w:rPr>
          <w:lang w:val="fr-CH"/>
        </w:rPr>
        <w:t>, décision qui es</w:t>
      </w:r>
      <w:r w:rsidR="00CE21E9" w:rsidRPr="000C6ABF">
        <w:rPr>
          <w:lang w:val="fr-CH"/>
        </w:rPr>
        <w:t>t</w:t>
      </w:r>
      <w:r w:rsidR="00D22E67" w:rsidRPr="000C6ABF">
        <w:rPr>
          <w:lang w:val="fr-CH"/>
        </w:rPr>
        <w:t xml:space="preserve"> actuellement soumise à l</w:t>
      </w:r>
      <w:r w:rsidR="00AB0C69" w:rsidRPr="000C6ABF">
        <w:rPr>
          <w:lang w:val="fr-CH"/>
        </w:rPr>
        <w:t>'</w:t>
      </w:r>
      <w:r w:rsidR="00D22E67" w:rsidRPr="000C6ABF">
        <w:rPr>
          <w:lang w:val="fr-CH"/>
        </w:rPr>
        <w:t>attention du Conseil et qui devra être tranchée par la Co</w:t>
      </w:r>
      <w:r w:rsidR="00E278D7" w:rsidRPr="000C6ABF">
        <w:rPr>
          <w:lang w:val="fr-CH"/>
        </w:rPr>
        <w:t>nférence de plénipotentiaires.</w:t>
      </w:r>
    </w:p>
    <w:p w:rsidR="00341969" w:rsidRPr="000C6ABF" w:rsidRDefault="00336D02" w:rsidP="00E278D7">
      <w:pPr>
        <w:rPr>
          <w:lang w:val="fr-CH"/>
        </w:rPr>
      </w:pPr>
      <w:r w:rsidRPr="000C6ABF">
        <w:rPr>
          <w:iCs/>
          <w:lang w:val="fr-CH"/>
        </w:rPr>
        <w:lastRenderedPageBreak/>
        <w:t>42</w:t>
      </w:r>
      <w:r w:rsidRPr="000C6ABF">
        <w:rPr>
          <w:iCs/>
          <w:lang w:val="fr-CH"/>
        </w:rPr>
        <w:tab/>
      </w:r>
      <w:bookmarkStart w:id="131" w:name="_Toc358123290"/>
      <w:r w:rsidR="00D22E67" w:rsidRPr="000C6ABF">
        <w:rPr>
          <w:iCs/>
          <w:lang w:val="fr-CH"/>
        </w:rPr>
        <w:t xml:space="preserve">En outre, nous avons </w:t>
      </w:r>
      <w:r w:rsidR="00E278D7" w:rsidRPr="000C6ABF">
        <w:rPr>
          <w:iCs/>
          <w:lang w:val="fr-CH"/>
        </w:rPr>
        <w:t>estimé</w:t>
      </w:r>
      <w:r w:rsidR="00D22E67" w:rsidRPr="000C6ABF">
        <w:rPr>
          <w:iCs/>
          <w:lang w:val="fr-CH"/>
        </w:rPr>
        <w:t xml:space="preserve"> dans le rapport d</w:t>
      </w:r>
      <w:r w:rsidR="00AB0C69" w:rsidRPr="000C6ABF">
        <w:rPr>
          <w:iCs/>
          <w:lang w:val="fr-CH"/>
        </w:rPr>
        <w:t>'</w:t>
      </w:r>
      <w:r w:rsidR="00D22E67" w:rsidRPr="000C6ABF">
        <w:rPr>
          <w:iCs/>
          <w:lang w:val="fr-CH"/>
        </w:rPr>
        <w:t>audit de l</w:t>
      </w:r>
      <w:r w:rsidR="00AB0C69" w:rsidRPr="000C6ABF">
        <w:rPr>
          <w:iCs/>
          <w:lang w:val="fr-CH"/>
        </w:rPr>
        <w:t>'</w:t>
      </w:r>
      <w:r w:rsidR="00D22E67" w:rsidRPr="000C6ABF">
        <w:rPr>
          <w:iCs/>
          <w:lang w:val="fr-CH"/>
        </w:rPr>
        <w:t>an dernier que</w:t>
      </w:r>
      <w:r w:rsidRPr="000C6ABF">
        <w:rPr>
          <w:lang w:val="fr-CH"/>
        </w:rPr>
        <w:t xml:space="preserve"> la durée d'amortissement devrait concorder avec la durée du droit de superficie</w:t>
      </w:r>
      <w:bookmarkEnd w:id="131"/>
      <w:r w:rsidRPr="000C6ABF">
        <w:rPr>
          <w:lang w:val="fr-CH"/>
        </w:rPr>
        <w:t xml:space="preserve"> et</w:t>
      </w:r>
      <w:r w:rsidR="00D22E67" w:rsidRPr="000C6ABF">
        <w:rPr>
          <w:lang w:val="fr-CH"/>
        </w:rPr>
        <w:t xml:space="preserve"> avons constaté</w:t>
      </w:r>
      <w:r w:rsidRPr="000C6ABF">
        <w:rPr>
          <w:lang w:val="fr-CH"/>
        </w:rPr>
        <w:t xml:space="preserve"> que la prorogation de la durée d'amortissement sur les deux bâtiments ne concord</w:t>
      </w:r>
      <w:r w:rsidR="00E278D7" w:rsidRPr="000C6ABF">
        <w:rPr>
          <w:lang w:val="fr-CH"/>
        </w:rPr>
        <w:t>ait</w:t>
      </w:r>
      <w:r w:rsidRPr="000C6ABF">
        <w:rPr>
          <w:lang w:val="fr-CH"/>
        </w:rPr>
        <w:t xml:space="preserve"> pas avec la date d'extinction du droit de surface</w:t>
      </w:r>
      <w:r w:rsidR="00D22E67" w:rsidRPr="000C6ABF">
        <w:rPr>
          <w:lang w:val="fr-CH"/>
        </w:rPr>
        <w:t xml:space="preserve">, même si la différence </w:t>
      </w:r>
      <w:r w:rsidR="00E278D7" w:rsidRPr="000C6ABF">
        <w:rPr>
          <w:lang w:val="fr-CH"/>
        </w:rPr>
        <w:t xml:space="preserve">en </w:t>
      </w:r>
      <w:r w:rsidR="00D22E67" w:rsidRPr="000C6ABF">
        <w:rPr>
          <w:lang w:val="fr-CH"/>
        </w:rPr>
        <w:t>valeur a été jugée insignifiante</w:t>
      </w:r>
      <w:r w:rsidRPr="000C6ABF">
        <w:rPr>
          <w:lang w:val="fr-CH"/>
        </w:rPr>
        <w:t xml:space="preserve">. </w:t>
      </w:r>
    </w:p>
    <w:p w:rsidR="00336D02" w:rsidRPr="000C6ABF" w:rsidRDefault="00EE52CD" w:rsidP="00AB0C69">
      <w:pPr>
        <w:rPr>
          <w:lang w:val="fr-CH"/>
        </w:rPr>
      </w:pPr>
      <w:r w:rsidRPr="000C6ABF">
        <w:rPr>
          <w:lang w:val="fr-CH"/>
        </w:rPr>
        <w:t>43</w:t>
      </w:r>
      <w:r w:rsidR="00336D02" w:rsidRPr="000C6ABF">
        <w:rPr>
          <w:lang w:val="fr-CH"/>
        </w:rPr>
        <w:tab/>
      </w:r>
      <w:r w:rsidR="00D22E67" w:rsidRPr="000C6ABF">
        <w:rPr>
          <w:lang w:val="fr-CH"/>
        </w:rPr>
        <w:t>Sur cette base</w:t>
      </w:r>
      <w:r w:rsidR="00336D02" w:rsidRPr="000C6ABF">
        <w:rPr>
          <w:lang w:val="fr-CH"/>
        </w:rPr>
        <w:t xml:space="preserve">, nous avons convenu avec la direction de procéder à un ajustement des comptes uniquement dans le cas où un </w:t>
      </w:r>
      <w:r w:rsidR="00275F34" w:rsidRPr="000C6ABF">
        <w:rPr>
          <w:lang w:val="fr-CH"/>
        </w:rPr>
        <w:t xml:space="preserve">nouvel </w:t>
      </w:r>
      <w:r w:rsidR="00336D02" w:rsidRPr="000C6ABF">
        <w:rPr>
          <w:lang w:val="fr-CH"/>
        </w:rPr>
        <w:t xml:space="preserve">accord </w:t>
      </w:r>
      <w:r w:rsidR="00275F34" w:rsidRPr="000C6ABF">
        <w:rPr>
          <w:lang w:val="fr-CH"/>
        </w:rPr>
        <w:t xml:space="preserve">sur le "droit de superficie" </w:t>
      </w:r>
      <w:r w:rsidR="00336D02" w:rsidRPr="000C6ABF">
        <w:rPr>
          <w:lang w:val="fr-CH"/>
        </w:rPr>
        <w:t>ne pourrait être trouvé.</w:t>
      </w:r>
    </w:p>
    <w:p w:rsidR="00275F34" w:rsidRPr="000C6ABF" w:rsidRDefault="00275F34" w:rsidP="00742733">
      <w:pPr>
        <w:rPr>
          <w:lang w:val="fr-CH"/>
        </w:rPr>
      </w:pPr>
      <w:r w:rsidRPr="000C6ABF">
        <w:rPr>
          <w:lang w:val="fr-CH"/>
        </w:rPr>
        <w:t>44</w:t>
      </w:r>
      <w:r w:rsidRPr="000C6ABF">
        <w:rPr>
          <w:lang w:val="fr-CH"/>
        </w:rPr>
        <w:tab/>
      </w:r>
      <w:r w:rsidR="00F93671" w:rsidRPr="000C6ABF">
        <w:rPr>
          <w:lang w:val="fr-CH"/>
        </w:rPr>
        <w:t xml:space="preserve">Etant donné que les activités </w:t>
      </w:r>
      <w:r w:rsidR="00E278D7" w:rsidRPr="000C6ABF">
        <w:rPr>
          <w:lang w:val="fr-CH"/>
        </w:rPr>
        <w:t xml:space="preserve">devant faire l'objet d'une négociation </w:t>
      </w:r>
      <w:r w:rsidR="00F93671" w:rsidRPr="000C6ABF">
        <w:rPr>
          <w:lang w:val="fr-CH"/>
        </w:rPr>
        <w:t xml:space="preserve">sont temporairement et </w:t>
      </w:r>
      <w:r w:rsidR="00E278D7" w:rsidRPr="000C6ABF">
        <w:rPr>
          <w:lang w:val="fr-CH"/>
        </w:rPr>
        <w:t xml:space="preserve">judicieusement </w:t>
      </w:r>
      <w:r w:rsidR="00F93671" w:rsidRPr="000C6ABF">
        <w:rPr>
          <w:lang w:val="fr-CH"/>
        </w:rPr>
        <w:t xml:space="preserve">suspendues, comme indiqué ci-dessus au paragraphe 39, </w:t>
      </w:r>
      <w:r w:rsidR="00E278D7" w:rsidRPr="000C6ABF">
        <w:rPr>
          <w:lang w:val="fr-CH"/>
        </w:rPr>
        <w:t xml:space="preserve">il n'est pas absolument nécessaire de recalculer l'incidence d'une prolongation </w:t>
      </w:r>
      <w:r w:rsidR="00F93671" w:rsidRPr="000C6ABF">
        <w:rPr>
          <w:lang w:val="fr-CH"/>
        </w:rPr>
        <w:t>de l</w:t>
      </w:r>
      <w:r w:rsidR="00AB0C69" w:rsidRPr="000C6ABF">
        <w:rPr>
          <w:lang w:val="fr-CH"/>
        </w:rPr>
        <w:t>'</w:t>
      </w:r>
      <w:r w:rsidR="00F93671" w:rsidRPr="000C6ABF">
        <w:rPr>
          <w:lang w:val="fr-CH"/>
        </w:rPr>
        <w:t>amortissement</w:t>
      </w:r>
      <w:r w:rsidR="00A04132" w:rsidRPr="000C6ABF">
        <w:rPr>
          <w:lang w:val="fr-CH"/>
        </w:rPr>
        <w:t xml:space="preserve"> </w:t>
      </w:r>
      <w:r w:rsidR="00E278D7" w:rsidRPr="000C6ABF">
        <w:rPr>
          <w:lang w:val="fr-CH"/>
        </w:rPr>
        <w:t>pour l'exercice 2013</w:t>
      </w:r>
      <w:r w:rsidRPr="000C6ABF">
        <w:rPr>
          <w:lang w:val="fr-CH"/>
        </w:rPr>
        <w:t>.</w:t>
      </w:r>
      <w:r w:rsidR="00A04132" w:rsidRPr="000C6ABF">
        <w:rPr>
          <w:lang w:val="fr-CH"/>
        </w:rPr>
        <w:t xml:space="preserve"> Toutefois, nous réexaminerons cette question dans l</w:t>
      </w:r>
      <w:r w:rsidR="00AB0C69" w:rsidRPr="000C6ABF">
        <w:rPr>
          <w:lang w:val="fr-CH"/>
        </w:rPr>
        <w:t>'</w:t>
      </w:r>
      <w:r w:rsidR="00A04132" w:rsidRPr="000C6ABF">
        <w:rPr>
          <w:lang w:val="fr-CH"/>
        </w:rPr>
        <w:t>avenir pour mettre à jour la situation</w:t>
      </w:r>
      <w:r w:rsidRPr="000C6ABF">
        <w:rPr>
          <w:lang w:val="fr-CH"/>
        </w:rPr>
        <w:t xml:space="preserve">. </w:t>
      </w:r>
    </w:p>
    <w:p w:rsidR="00275F34" w:rsidRPr="000C6ABF" w:rsidRDefault="00275F34" w:rsidP="00742733">
      <w:pPr>
        <w:rPr>
          <w:lang w:val="fr-CH"/>
        </w:rPr>
      </w:pPr>
      <w:r w:rsidRPr="000C6ABF">
        <w:rPr>
          <w:lang w:val="fr-CH"/>
        </w:rPr>
        <w:t>45</w:t>
      </w:r>
      <w:r w:rsidRPr="000C6ABF">
        <w:rPr>
          <w:lang w:val="fr-CH"/>
        </w:rPr>
        <w:tab/>
      </w:r>
      <w:r w:rsidR="00A04132" w:rsidRPr="000C6ABF">
        <w:rPr>
          <w:lang w:val="fr-CH"/>
        </w:rPr>
        <w:t>L</w:t>
      </w:r>
      <w:r w:rsidR="00AB0C69" w:rsidRPr="000C6ABF">
        <w:rPr>
          <w:lang w:val="fr-CH"/>
        </w:rPr>
        <w:t>'</w:t>
      </w:r>
      <w:r w:rsidR="00A04132" w:rsidRPr="000C6ABF">
        <w:rPr>
          <w:lang w:val="fr-CH"/>
        </w:rPr>
        <w:t>an dernier, un grand nombre d</w:t>
      </w:r>
      <w:r w:rsidR="00AB0C69" w:rsidRPr="000C6ABF">
        <w:rPr>
          <w:lang w:val="fr-CH"/>
        </w:rPr>
        <w:t>'</w:t>
      </w:r>
      <w:r w:rsidR="00A04132" w:rsidRPr="000C6ABF">
        <w:rPr>
          <w:lang w:val="fr-CH"/>
        </w:rPr>
        <w:t xml:space="preserve">articles </w:t>
      </w:r>
      <w:r w:rsidR="00742733" w:rsidRPr="000C6ABF">
        <w:rPr>
          <w:lang w:val="fr-CH"/>
        </w:rPr>
        <w:t xml:space="preserve">n'ont pas été trouvés </w:t>
      </w:r>
      <w:r w:rsidR="00A04132" w:rsidRPr="000C6ABF">
        <w:rPr>
          <w:lang w:val="fr-CH"/>
        </w:rPr>
        <w:t>et nous avons recommandé d</w:t>
      </w:r>
      <w:r w:rsidR="00AB0C69" w:rsidRPr="000C6ABF">
        <w:rPr>
          <w:lang w:val="fr-CH"/>
        </w:rPr>
        <w:t>'</w:t>
      </w:r>
      <w:r w:rsidR="00A227BF" w:rsidRPr="000C6ABF">
        <w:rPr>
          <w:lang w:val="fr-CH"/>
        </w:rPr>
        <w:t>améliorer</w:t>
      </w:r>
      <w:r w:rsidR="00A04132" w:rsidRPr="000C6ABF">
        <w:rPr>
          <w:lang w:val="fr-CH"/>
        </w:rPr>
        <w:t xml:space="preserve"> l</w:t>
      </w:r>
      <w:r w:rsidR="00AB0C69" w:rsidRPr="000C6ABF">
        <w:rPr>
          <w:lang w:val="fr-CH"/>
        </w:rPr>
        <w:t>'</w:t>
      </w:r>
      <w:r w:rsidR="00A04132" w:rsidRPr="000C6ABF">
        <w:rPr>
          <w:lang w:val="fr-CH"/>
        </w:rPr>
        <w:t>efficaci</w:t>
      </w:r>
      <w:r w:rsidR="00A227BF" w:rsidRPr="000C6ABF">
        <w:rPr>
          <w:lang w:val="fr-CH"/>
        </w:rPr>
        <w:t>té du suivi</w:t>
      </w:r>
      <w:r w:rsidR="00A47698" w:rsidRPr="000C6ABF">
        <w:rPr>
          <w:lang w:val="fr-CH"/>
        </w:rPr>
        <w:t xml:space="preserve"> </w:t>
      </w:r>
      <w:r w:rsidR="00A227BF" w:rsidRPr="000C6ABF">
        <w:rPr>
          <w:lang w:val="fr-CH"/>
        </w:rPr>
        <w:t>de ces articles</w:t>
      </w:r>
      <w:r w:rsidR="00A47698" w:rsidRPr="000C6ABF">
        <w:rPr>
          <w:lang w:val="fr-CH"/>
        </w:rPr>
        <w:t xml:space="preserve"> </w:t>
      </w:r>
      <w:r w:rsidR="00A227BF" w:rsidRPr="000C6ABF">
        <w:rPr>
          <w:lang w:val="fr-CH"/>
        </w:rPr>
        <w:t>et, le cas échéant, de les passer par pertes et profits. La direction nous a assuré</w:t>
      </w:r>
      <w:r w:rsidR="001551E2">
        <w:rPr>
          <w:lang w:val="fr-CH"/>
        </w:rPr>
        <w:t>s</w:t>
      </w:r>
      <w:r w:rsidR="00A227BF" w:rsidRPr="000C6ABF">
        <w:rPr>
          <w:lang w:val="fr-CH"/>
        </w:rPr>
        <w:t xml:space="preserve"> qu</w:t>
      </w:r>
      <w:r w:rsidR="00AB0C69" w:rsidRPr="000C6ABF">
        <w:rPr>
          <w:lang w:val="fr-CH"/>
        </w:rPr>
        <w:t>'</w:t>
      </w:r>
      <w:r w:rsidR="00742733" w:rsidRPr="000C6ABF">
        <w:rPr>
          <w:lang w:val="fr-CH"/>
        </w:rPr>
        <w:t xml:space="preserve">elle poursuivrait ses efforts </w:t>
      </w:r>
      <w:r w:rsidR="00A227BF" w:rsidRPr="000C6ABF">
        <w:rPr>
          <w:lang w:val="fr-CH"/>
        </w:rPr>
        <w:t>pour trouver ces articles</w:t>
      </w:r>
      <w:r w:rsidRPr="000C6ABF">
        <w:rPr>
          <w:lang w:val="fr-CH"/>
        </w:rPr>
        <w:t>.</w:t>
      </w:r>
    </w:p>
    <w:p w:rsidR="00275F34" w:rsidRPr="000C6ABF" w:rsidRDefault="00275F34" w:rsidP="00034008">
      <w:pPr>
        <w:rPr>
          <w:lang w:val="fr-CH"/>
        </w:rPr>
      </w:pPr>
      <w:r w:rsidRPr="000C6ABF">
        <w:rPr>
          <w:lang w:val="fr-CH"/>
        </w:rPr>
        <w:t>46</w:t>
      </w:r>
      <w:r w:rsidRPr="000C6ABF">
        <w:rPr>
          <w:lang w:val="fr-CH"/>
        </w:rPr>
        <w:tab/>
      </w:r>
      <w:r w:rsidR="00742733" w:rsidRPr="000C6ABF">
        <w:rPr>
          <w:lang w:val="fr-CH"/>
        </w:rPr>
        <w:t>Un montant de</w:t>
      </w:r>
      <w:r w:rsidRPr="000C6ABF">
        <w:rPr>
          <w:lang w:val="fr-CH"/>
        </w:rPr>
        <w:t xml:space="preserve"> 392</w:t>
      </w:r>
      <w:r w:rsidR="009D0B14" w:rsidRPr="000C6ABF">
        <w:rPr>
          <w:lang w:val="fr-CH"/>
        </w:rPr>
        <w:t> </w:t>
      </w:r>
      <w:r w:rsidRPr="000C6ABF">
        <w:rPr>
          <w:lang w:val="fr-CH"/>
        </w:rPr>
        <w:t xml:space="preserve">744 CHF </w:t>
      </w:r>
      <w:r w:rsidR="00742733" w:rsidRPr="000C6ABF">
        <w:rPr>
          <w:lang w:val="fr-CH"/>
        </w:rPr>
        <w:t xml:space="preserve">a été enregistré </w:t>
      </w:r>
      <w:r w:rsidR="00A227BF" w:rsidRPr="000C6ABF">
        <w:rPr>
          <w:lang w:val="fr-CH"/>
        </w:rPr>
        <w:t>pour une liste d</w:t>
      </w:r>
      <w:r w:rsidR="00AB0C69" w:rsidRPr="000C6ABF">
        <w:rPr>
          <w:lang w:val="fr-CH"/>
        </w:rPr>
        <w:t>'</w:t>
      </w:r>
      <w:r w:rsidR="00A227BF" w:rsidRPr="000C6ABF">
        <w:rPr>
          <w:lang w:val="fr-CH"/>
        </w:rPr>
        <w:t xml:space="preserve">actifs </w:t>
      </w:r>
      <w:r w:rsidR="00742733" w:rsidRPr="000C6ABF">
        <w:rPr>
          <w:lang w:val="fr-CH"/>
        </w:rPr>
        <w:t xml:space="preserve">non trouvés </w:t>
      </w:r>
      <w:r w:rsidR="00A227BF" w:rsidRPr="000C6ABF">
        <w:rPr>
          <w:lang w:val="fr-CH"/>
        </w:rPr>
        <w:t>début 2013</w:t>
      </w:r>
      <w:r w:rsidR="00535A55" w:rsidRPr="000C6ABF">
        <w:rPr>
          <w:lang w:val="fr-CH"/>
        </w:rPr>
        <w:t xml:space="preserve"> et, </w:t>
      </w:r>
      <w:r w:rsidR="00742733" w:rsidRPr="000C6ABF">
        <w:rPr>
          <w:lang w:val="fr-CH"/>
        </w:rPr>
        <w:t xml:space="preserve">après </w:t>
      </w:r>
      <w:r w:rsidR="00535A55" w:rsidRPr="000C6ABF">
        <w:rPr>
          <w:lang w:val="fr-CH"/>
        </w:rPr>
        <w:t>l</w:t>
      </w:r>
      <w:r w:rsidR="00AB0C69" w:rsidRPr="000C6ABF">
        <w:rPr>
          <w:lang w:val="fr-CH"/>
        </w:rPr>
        <w:t>'</w:t>
      </w:r>
      <w:r w:rsidR="00535A55" w:rsidRPr="000C6ABF">
        <w:rPr>
          <w:lang w:val="fr-CH"/>
        </w:rPr>
        <w:t>inventaire de 2013, certains articles figurant dans la liste</w:t>
      </w:r>
      <w:r w:rsidR="00034008" w:rsidRPr="000C6ABF">
        <w:rPr>
          <w:lang w:val="fr-CH"/>
        </w:rPr>
        <w:t>,</w:t>
      </w:r>
      <w:r w:rsidR="00535A55" w:rsidRPr="000C6ABF">
        <w:rPr>
          <w:lang w:val="fr-CH"/>
        </w:rPr>
        <w:t xml:space="preserve"> pour une valeur de </w:t>
      </w:r>
      <w:r w:rsidRPr="000C6ABF">
        <w:rPr>
          <w:lang w:val="fr-CH"/>
        </w:rPr>
        <w:t>251</w:t>
      </w:r>
      <w:r w:rsidR="009D0B14" w:rsidRPr="000C6ABF">
        <w:rPr>
          <w:lang w:val="fr-CH"/>
        </w:rPr>
        <w:t> </w:t>
      </w:r>
      <w:r w:rsidRPr="000C6ABF">
        <w:rPr>
          <w:lang w:val="fr-CH"/>
        </w:rPr>
        <w:t>060</w:t>
      </w:r>
      <w:r w:rsidR="009D0B14" w:rsidRPr="000C6ABF">
        <w:rPr>
          <w:lang w:val="fr-CH"/>
        </w:rPr>
        <w:t> </w:t>
      </w:r>
      <w:r w:rsidRPr="000C6ABF">
        <w:rPr>
          <w:lang w:val="fr-CH"/>
        </w:rPr>
        <w:t>CHF</w:t>
      </w:r>
      <w:r w:rsidR="00034008" w:rsidRPr="000C6ABF">
        <w:rPr>
          <w:lang w:val="fr-CH"/>
        </w:rPr>
        <w:t>, ont été trouvés</w:t>
      </w:r>
      <w:r w:rsidRPr="000C6ABF">
        <w:rPr>
          <w:lang w:val="fr-CH"/>
        </w:rPr>
        <w:t xml:space="preserve">. </w:t>
      </w:r>
      <w:r w:rsidR="00535A55" w:rsidRPr="000C6ABF">
        <w:rPr>
          <w:lang w:val="fr-CH"/>
        </w:rPr>
        <w:t>Etant donné qu</w:t>
      </w:r>
      <w:r w:rsidR="00AB0C69" w:rsidRPr="000C6ABF">
        <w:rPr>
          <w:lang w:val="fr-CH"/>
        </w:rPr>
        <w:t>'</w:t>
      </w:r>
      <w:r w:rsidR="00535A55" w:rsidRPr="000C6ABF">
        <w:rPr>
          <w:lang w:val="fr-CH"/>
        </w:rPr>
        <w:t xml:space="preserve">une partie de ces actifs, pour une valeur de </w:t>
      </w:r>
      <w:r w:rsidRPr="000C6ABF">
        <w:rPr>
          <w:lang w:val="fr-CH"/>
        </w:rPr>
        <w:t>11</w:t>
      </w:r>
      <w:r w:rsidR="009D0B14" w:rsidRPr="000C6ABF">
        <w:rPr>
          <w:lang w:val="fr-CH"/>
        </w:rPr>
        <w:t>0 </w:t>
      </w:r>
      <w:r w:rsidRPr="000C6ABF">
        <w:rPr>
          <w:lang w:val="fr-CH"/>
        </w:rPr>
        <w:t>286</w:t>
      </w:r>
      <w:r w:rsidR="009D0B14" w:rsidRPr="000C6ABF">
        <w:rPr>
          <w:lang w:val="fr-CH"/>
        </w:rPr>
        <w:t> </w:t>
      </w:r>
      <w:r w:rsidRPr="000C6ABF">
        <w:rPr>
          <w:lang w:val="fr-CH"/>
        </w:rPr>
        <w:t>CHF</w:t>
      </w:r>
      <w:r w:rsidR="00034008" w:rsidRPr="000C6ABF">
        <w:rPr>
          <w:lang w:val="fr-CH"/>
        </w:rPr>
        <w:t>,</w:t>
      </w:r>
      <w:r w:rsidRPr="000C6ABF">
        <w:rPr>
          <w:lang w:val="fr-CH"/>
        </w:rPr>
        <w:t xml:space="preserve"> </w:t>
      </w:r>
      <w:r w:rsidR="00535A55" w:rsidRPr="000C6ABF">
        <w:rPr>
          <w:lang w:val="fr-CH"/>
        </w:rPr>
        <w:t xml:space="preserve">ont été inclus dans la liste des actifs </w:t>
      </w:r>
      <w:r w:rsidR="00034008" w:rsidRPr="000C6ABF">
        <w:rPr>
          <w:lang w:val="fr-CH"/>
        </w:rPr>
        <w:t>mis au rebut</w:t>
      </w:r>
      <w:r w:rsidR="00535A55" w:rsidRPr="000C6ABF">
        <w:rPr>
          <w:lang w:val="fr-CH"/>
        </w:rPr>
        <w:t xml:space="preserve"> en 2013</w:t>
      </w:r>
      <w:r w:rsidRPr="000C6ABF">
        <w:rPr>
          <w:lang w:val="fr-CH"/>
        </w:rPr>
        <w:t xml:space="preserve">, </w:t>
      </w:r>
      <w:r w:rsidR="00535A55" w:rsidRPr="000C6ABF">
        <w:rPr>
          <w:lang w:val="fr-CH"/>
        </w:rPr>
        <w:t>fin 2013, il restait encore des actifs non trouvés pour une valeur de</w:t>
      </w:r>
      <w:r w:rsidR="009D0B14" w:rsidRPr="000C6ABF">
        <w:rPr>
          <w:lang w:val="fr-CH"/>
        </w:rPr>
        <w:t xml:space="preserve"> 31 </w:t>
      </w:r>
      <w:r w:rsidRPr="000C6ABF">
        <w:rPr>
          <w:lang w:val="fr-CH"/>
        </w:rPr>
        <w:t>398</w:t>
      </w:r>
      <w:r w:rsidR="009D0B14" w:rsidRPr="000C6ABF">
        <w:rPr>
          <w:lang w:val="fr-CH"/>
        </w:rPr>
        <w:t> </w:t>
      </w:r>
      <w:r w:rsidRPr="000C6ABF">
        <w:rPr>
          <w:lang w:val="fr-CH"/>
        </w:rPr>
        <w:t>CHF.</w:t>
      </w:r>
    </w:p>
    <w:p w:rsidR="002B4FBF" w:rsidRPr="000C6ABF" w:rsidRDefault="002B4FBF" w:rsidP="002B4FBF">
      <w:pPr>
        <w:spacing w:before="60"/>
        <w:rPr>
          <w:lang w:val="fr-CH"/>
        </w:rPr>
      </w:pPr>
    </w:p>
    <w:tbl>
      <w:tblPr>
        <w:tblStyle w:val="TableGrid"/>
        <w:tblW w:w="0" w:type="auto"/>
        <w:tblLook w:val="04A0" w:firstRow="1" w:lastRow="0" w:firstColumn="1" w:lastColumn="0" w:noHBand="0" w:noVBand="1"/>
      </w:tblPr>
      <w:tblGrid>
        <w:gridCol w:w="9629"/>
      </w:tblGrid>
      <w:tr w:rsidR="002B4FBF" w:rsidRPr="000C6ABF" w:rsidTr="001551E2">
        <w:tc>
          <w:tcPr>
            <w:tcW w:w="9629" w:type="dxa"/>
          </w:tcPr>
          <w:p w:rsidR="002B4FBF" w:rsidRPr="000C6ABF" w:rsidRDefault="002B4FBF" w:rsidP="002B4FBF">
            <w:pPr>
              <w:rPr>
                <w:b/>
                <w:bCs/>
                <w:lang w:val="fr-CH"/>
              </w:rPr>
            </w:pPr>
            <w:r w:rsidRPr="000C6ABF">
              <w:rPr>
                <w:b/>
                <w:bCs/>
                <w:lang w:val="fr-CH"/>
              </w:rPr>
              <w:t xml:space="preserve">Suggestion </w:t>
            </w:r>
            <w:r>
              <w:rPr>
                <w:b/>
                <w:bCs/>
                <w:lang w:val="fr-CH"/>
              </w:rPr>
              <w:t xml:space="preserve">N° </w:t>
            </w:r>
            <w:r w:rsidRPr="000C6ABF">
              <w:rPr>
                <w:b/>
                <w:bCs/>
                <w:lang w:val="fr-CH"/>
              </w:rPr>
              <w:t>1</w:t>
            </w:r>
          </w:p>
          <w:p w:rsidR="002B4FBF" w:rsidRPr="000C6ABF" w:rsidRDefault="002B4FBF" w:rsidP="002B4FBF">
            <w:pPr>
              <w:rPr>
                <w:lang w:val="fr-CH"/>
              </w:rPr>
            </w:pPr>
            <w:r w:rsidRPr="000C6ABF">
              <w:rPr>
                <w:lang w:val="fr-CH"/>
              </w:rPr>
              <w:t>47</w:t>
            </w:r>
            <w:r w:rsidRPr="000C6ABF">
              <w:rPr>
                <w:lang w:val="fr-CH"/>
              </w:rPr>
              <w:tab/>
              <w:t>Nous prenons acte des efforts déployés et des résultats de ces activités d'inventaire mais nous avons noté que des actifs non trouvés, pour une valeur de 110 286 CHF, ont été mis au rebut sans avoir été trouvés préalablement. Compte tenu du caractère obsolète et de la faible valeur de ces actifs non trouvés et mis au rebut, cette façon de procéder peut être acceptée pour 2013. Toutefois, pour la suite, tout actif non localisé à passer par pertes et profits devra être signalé comme "non trouvé" dans le formulaire de demande de passation par pertes et profits mis en œuvre par l'Unité de gestion des actifs.</w:t>
            </w:r>
          </w:p>
        </w:tc>
      </w:tr>
    </w:tbl>
    <w:p w:rsidR="002B4FBF" w:rsidRPr="000C6ABF" w:rsidRDefault="002B4FBF" w:rsidP="00034008">
      <w:pPr>
        <w:rPr>
          <w:lang w:val="fr-CH"/>
        </w:rPr>
      </w:pPr>
    </w:p>
    <w:tbl>
      <w:tblPr>
        <w:tblStyle w:val="TableGrid"/>
        <w:tblW w:w="0" w:type="auto"/>
        <w:tblLook w:val="04A0" w:firstRow="1" w:lastRow="0" w:firstColumn="1" w:lastColumn="0" w:noHBand="0" w:noVBand="1"/>
      </w:tblPr>
      <w:tblGrid>
        <w:gridCol w:w="9629"/>
      </w:tblGrid>
      <w:tr w:rsidR="00F54918" w:rsidRPr="000C6ABF" w:rsidTr="00FB5933">
        <w:tc>
          <w:tcPr>
            <w:tcW w:w="9629" w:type="dxa"/>
          </w:tcPr>
          <w:p w:rsidR="00F54918" w:rsidRPr="000C6ABF" w:rsidRDefault="00F54918" w:rsidP="00AB0C69">
            <w:pPr>
              <w:rPr>
                <w:b/>
                <w:bCs/>
                <w:u w:val="single"/>
                <w:lang w:val="fr-CH"/>
              </w:rPr>
            </w:pPr>
            <w:r w:rsidRPr="000C6ABF">
              <w:rPr>
                <w:b/>
                <w:bCs/>
                <w:u w:val="single"/>
                <w:lang w:val="fr-CH"/>
              </w:rPr>
              <w:t>Commentaires du Secrétaire général:</w:t>
            </w:r>
          </w:p>
          <w:p w:rsidR="00F54918" w:rsidRPr="000C6ABF" w:rsidRDefault="0018432D" w:rsidP="00034008">
            <w:pPr>
              <w:rPr>
                <w:lang w:val="fr-CH"/>
              </w:rPr>
            </w:pPr>
            <w:r w:rsidRPr="000C6ABF">
              <w:rPr>
                <w:lang w:val="fr-CH"/>
              </w:rPr>
              <w:t>Dès 2014, l</w:t>
            </w:r>
            <w:r w:rsidR="00AB0C69" w:rsidRPr="000C6ABF">
              <w:rPr>
                <w:lang w:val="fr-CH"/>
              </w:rPr>
              <w:t>'</w:t>
            </w:r>
            <w:r w:rsidRPr="000C6ABF">
              <w:rPr>
                <w:lang w:val="fr-CH"/>
              </w:rPr>
              <w:t xml:space="preserve">Unité de gestion des actifs a modifié le formulaire de demande de passation par pertes et profits en ajoutant un champ permettant de déclarer comme </w:t>
            </w:r>
            <w:r w:rsidR="006B5B96" w:rsidRPr="000C6ABF">
              <w:rPr>
                <w:lang w:val="fr-CH"/>
              </w:rPr>
              <w:t>"</w:t>
            </w:r>
            <w:r w:rsidRPr="000C6ABF">
              <w:rPr>
                <w:lang w:val="fr-CH"/>
              </w:rPr>
              <w:t>non trouvé</w:t>
            </w:r>
            <w:r w:rsidR="006B5B96" w:rsidRPr="000C6ABF">
              <w:rPr>
                <w:lang w:val="fr-CH"/>
              </w:rPr>
              <w:t>"</w:t>
            </w:r>
            <w:r w:rsidRPr="000C6ABF">
              <w:rPr>
                <w:lang w:val="fr-CH"/>
              </w:rPr>
              <w:t xml:space="preserve"> l</w:t>
            </w:r>
            <w:r w:rsidR="00AB0C69" w:rsidRPr="000C6ABF">
              <w:rPr>
                <w:lang w:val="fr-CH"/>
              </w:rPr>
              <w:t>'</w:t>
            </w:r>
            <w:r w:rsidRPr="000C6ABF">
              <w:rPr>
                <w:lang w:val="fr-CH"/>
              </w:rPr>
              <w:t>actif passé par pertes et profits. Il</w:t>
            </w:r>
            <w:r w:rsidR="00A47698" w:rsidRPr="000C6ABF">
              <w:rPr>
                <w:lang w:val="fr-CH"/>
              </w:rPr>
              <w:t xml:space="preserve"> </w:t>
            </w:r>
            <w:r w:rsidR="004E5F7D" w:rsidRPr="000C6ABF">
              <w:rPr>
                <w:lang w:val="fr-CH"/>
              </w:rPr>
              <w:t>e</w:t>
            </w:r>
            <w:r w:rsidRPr="000C6ABF">
              <w:rPr>
                <w:lang w:val="fr-CH"/>
              </w:rPr>
              <w:t>st à noter que les actifs non trouvés et mis au rebu</w:t>
            </w:r>
            <w:r w:rsidR="004E5F7D" w:rsidRPr="000C6ABF">
              <w:rPr>
                <w:lang w:val="fr-CH"/>
              </w:rPr>
              <w:t>t étai</w:t>
            </w:r>
            <w:r w:rsidR="00034008" w:rsidRPr="000C6ABF">
              <w:rPr>
                <w:lang w:val="fr-CH"/>
              </w:rPr>
              <w:t>en</w:t>
            </w:r>
            <w:r w:rsidR="004E5F7D" w:rsidRPr="000C6ABF">
              <w:rPr>
                <w:lang w:val="fr-CH"/>
              </w:rPr>
              <w:t xml:space="preserve">t si </w:t>
            </w:r>
            <w:r w:rsidR="00034008" w:rsidRPr="000C6ABF">
              <w:rPr>
                <w:lang w:val="fr-CH"/>
              </w:rPr>
              <w:t>v</w:t>
            </w:r>
            <w:r w:rsidR="004E5F7D" w:rsidRPr="000C6ABF">
              <w:rPr>
                <w:lang w:val="fr-CH"/>
              </w:rPr>
              <w:t>ieux qu</w:t>
            </w:r>
            <w:r w:rsidR="00AB0C69" w:rsidRPr="000C6ABF">
              <w:rPr>
                <w:lang w:val="fr-CH"/>
              </w:rPr>
              <w:t>'</w:t>
            </w:r>
            <w:r w:rsidR="004E5F7D" w:rsidRPr="000C6ABF">
              <w:rPr>
                <w:lang w:val="fr-CH"/>
              </w:rPr>
              <w:t>il</w:t>
            </w:r>
            <w:r w:rsidR="002B4FBF">
              <w:rPr>
                <w:lang w:val="fr-CH"/>
              </w:rPr>
              <w:t>s</w:t>
            </w:r>
            <w:r w:rsidR="004E5F7D" w:rsidRPr="000C6ABF">
              <w:rPr>
                <w:lang w:val="fr-CH"/>
              </w:rPr>
              <w:t xml:space="preserve"> n</w:t>
            </w:r>
            <w:r w:rsidR="00AB0C69" w:rsidRPr="000C6ABF">
              <w:rPr>
                <w:lang w:val="fr-CH"/>
              </w:rPr>
              <w:t>'</w:t>
            </w:r>
            <w:r w:rsidR="004E5F7D" w:rsidRPr="000C6ABF">
              <w:rPr>
                <w:lang w:val="fr-CH"/>
              </w:rPr>
              <w:t>avai</w:t>
            </w:r>
            <w:r w:rsidR="002B4FBF">
              <w:rPr>
                <w:lang w:val="fr-CH"/>
              </w:rPr>
              <w:t>en</w:t>
            </w:r>
            <w:r w:rsidR="004E5F7D" w:rsidRPr="000C6ABF">
              <w:rPr>
                <w:lang w:val="fr-CH"/>
              </w:rPr>
              <w:t xml:space="preserve">t plus </w:t>
            </w:r>
            <w:r w:rsidR="00034008" w:rsidRPr="000C6ABF">
              <w:rPr>
                <w:lang w:val="fr-CH"/>
              </w:rPr>
              <w:t xml:space="preserve">aucune </w:t>
            </w:r>
            <w:r w:rsidR="004E5F7D" w:rsidRPr="000C6ABF">
              <w:rPr>
                <w:lang w:val="fr-CH"/>
              </w:rPr>
              <w:t>valeur comptable nette résiduelle</w:t>
            </w:r>
            <w:r w:rsidR="00F54918" w:rsidRPr="000C6ABF">
              <w:rPr>
                <w:lang w:val="fr-CH"/>
              </w:rPr>
              <w:t>.</w:t>
            </w:r>
          </w:p>
        </w:tc>
      </w:tr>
    </w:tbl>
    <w:p w:rsidR="009D0B14" w:rsidRPr="000C6ABF" w:rsidRDefault="009D0B14" w:rsidP="00AB0C69">
      <w:pPr>
        <w:pStyle w:val="Headingb"/>
        <w:rPr>
          <w:lang w:val="fr-CH"/>
        </w:rPr>
      </w:pPr>
      <w:bookmarkStart w:id="132" w:name="_Toc358123296"/>
      <w:bookmarkStart w:id="133" w:name="_Toc396386946"/>
      <w:bookmarkStart w:id="134" w:name="_Toc396387829"/>
      <w:bookmarkStart w:id="135" w:name="_Toc396387943"/>
      <w:bookmarkStart w:id="136" w:name="_Toc398277628"/>
      <w:r w:rsidRPr="000C6ABF">
        <w:rPr>
          <w:lang w:val="fr-CH"/>
        </w:rPr>
        <w:t>Immobilisations incorporelles</w:t>
      </w:r>
      <w:bookmarkEnd w:id="132"/>
      <w:bookmarkEnd w:id="133"/>
      <w:bookmarkEnd w:id="134"/>
      <w:bookmarkEnd w:id="135"/>
      <w:bookmarkEnd w:id="136"/>
    </w:p>
    <w:p w:rsidR="00BC54B8" w:rsidRPr="000C6ABF" w:rsidRDefault="009D0B14" w:rsidP="002B4FBF">
      <w:pPr>
        <w:rPr>
          <w:lang w:val="fr-CH"/>
        </w:rPr>
      </w:pPr>
      <w:r w:rsidRPr="000C6ABF">
        <w:rPr>
          <w:lang w:val="fr-CH"/>
        </w:rPr>
        <w:t>48</w:t>
      </w:r>
      <w:r w:rsidRPr="000C6ABF">
        <w:rPr>
          <w:lang w:val="fr-CH"/>
        </w:rPr>
        <w:tab/>
        <w:t xml:space="preserve">En 2013, les immobilisations incorporelles se sont chiffrées à </w:t>
      </w:r>
      <w:r w:rsidR="00BC54B8" w:rsidRPr="000C6ABF">
        <w:rPr>
          <w:lang w:val="fr-CH"/>
        </w:rPr>
        <w:t>2,9 </w:t>
      </w:r>
      <w:r w:rsidRPr="000C6ABF">
        <w:rPr>
          <w:lang w:val="fr-CH"/>
        </w:rPr>
        <w:t>million</w:t>
      </w:r>
      <w:r w:rsidR="00BC54B8" w:rsidRPr="000C6ABF">
        <w:rPr>
          <w:lang w:val="fr-CH"/>
        </w:rPr>
        <w:t>s</w:t>
      </w:r>
      <w:r w:rsidRPr="000C6ABF">
        <w:rPr>
          <w:lang w:val="fr-CH"/>
        </w:rPr>
        <w:t xml:space="preserve"> CHF, </w:t>
      </w:r>
      <w:r w:rsidR="004E5F7D" w:rsidRPr="000C6ABF">
        <w:rPr>
          <w:lang w:val="fr-CH"/>
        </w:rPr>
        <w:t>soit plus du double par rapport à la valeur de 2012</w:t>
      </w:r>
      <w:r w:rsidR="00BC54B8" w:rsidRPr="000C6ABF">
        <w:rPr>
          <w:lang w:val="fr-CH"/>
        </w:rPr>
        <w:t xml:space="preserve"> (1,2 million CHF); </w:t>
      </w:r>
      <w:r w:rsidR="004E5F7D" w:rsidRPr="000C6ABF">
        <w:rPr>
          <w:lang w:val="fr-CH"/>
        </w:rPr>
        <w:t xml:space="preserve">cette augmentation est due </w:t>
      </w:r>
      <w:r w:rsidR="00034008" w:rsidRPr="000C6ABF">
        <w:rPr>
          <w:lang w:val="fr-CH"/>
        </w:rPr>
        <w:t xml:space="preserve">avant tout </w:t>
      </w:r>
      <w:r w:rsidR="004E5F7D" w:rsidRPr="000C6ABF">
        <w:rPr>
          <w:lang w:val="fr-CH"/>
        </w:rPr>
        <w:t>à trois projets en cours de réalisation:</w:t>
      </w:r>
      <w:r w:rsidR="00BC54B8" w:rsidRPr="000C6ABF">
        <w:rPr>
          <w:lang w:val="fr-CH"/>
        </w:rPr>
        <w:t xml:space="preserve"> "CRM Fit Gap </w:t>
      </w:r>
      <w:proofErr w:type="spellStart"/>
      <w:r w:rsidR="00BC54B8" w:rsidRPr="000C6ABF">
        <w:rPr>
          <w:lang w:val="fr-CH"/>
        </w:rPr>
        <w:t>Analysis</w:t>
      </w:r>
      <w:proofErr w:type="spellEnd"/>
      <w:r w:rsidR="00BC54B8" w:rsidRPr="000C6ABF">
        <w:rPr>
          <w:lang w:val="fr-CH"/>
        </w:rPr>
        <w:t xml:space="preserve"> and </w:t>
      </w:r>
      <w:proofErr w:type="spellStart"/>
      <w:r w:rsidR="00BC54B8" w:rsidRPr="000C6ABF">
        <w:rPr>
          <w:lang w:val="fr-CH"/>
        </w:rPr>
        <w:t>Implementation</w:t>
      </w:r>
      <w:proofErr w:type="spellEnd"/>
      <w:r w:rsidR="00BC54B8" w:rsidRPr="000C6ABF">
        <w:rPr>
          <w:lang w:val="fr-CH"/>
        </w:rPr>
        <w:t xml:space="preserve"> Services*, </w:t>
      </w:r>
      <w:r w:rsidR="006B5B96" w:rsidRPr="000C6ABF">
        <w:rPr>
          <w:lang w:val="fr-CH"/>
        </w:rPr>
        <w:t>"</w:t>
      </w:r>
      <w:r w:rsidR="00BC54B8" w:rsidRPr="000C6ABF">
        <w:rPr>
          <w:lang w:val="fr-CH"/>
        </w:rPr>
        <w:t xml:space="preserve">PMS </w:t>
      </w:r>
      <w:proofErr w:type="spellStart"/>
      <w:r w:rsidR="00BC54B8" w:rsidRPr="000C6ABF">
        <w:rPr>
          <w:lang w:val="fr-CH"/>
        </w:rPr>
        <w:t>Conference</w:t>
      </w:r>
      <w:proofErr w:type="spellEnd"/>
      <w:r w:rsidR="00BC54B8" w:rsidRPr="000C6ABF">
        <w:rPr>
          <w:lang w:val="fr-CH"/>
        </w:rPr>
        <w:t xml:space="preserve"> </w:t>
      </w:r>
      <w:proofErr w:type="spellStart"/>
      <w:r w:rsidR="00BC54B8" w:rsidRPr="000C6ABF">
        <w:rPr>
          <w:lang w:val="fr-CH"/>
        </w:rPr>
        <w:t>Proposal</w:t>
      </w:r>
      <w:proofErr w:type="spellEnd"/>
      <w:r w:rsidR="00BC54B8" w:rsidRPr="000C6ABF">
        <w:rPr>
          <w:lang w:val="fr-CH"/>
        </w:rPr>
        <w:t xml:space="preserve"> Management</w:t>
      </w:r>
      <w:r w:rsidR="006B5B96" w:rsidRPr="000C6ABF">
        <w:rPr>
          <w:lang w:val="fr-CH"/>
        </w:rPr>
        <w:t>"</w:t>
      </w:r>
      <w:r w:rsidR="00BC54B8" w:rsidRPr="000C6ABF">
        <w:rPr>
          <w:lang w:val="fr-CH"/>
        </w:rPr>
        <w:t xml:space="preserve"> </w:t>
      </w:r>
      <w:r w:rsidR="002B4FBF">
        <w:rPr>
          <w:lang w:val="fr-CH"/>
        </w:rPr>
        <w:t>et</w:t>
      </w:r>
      <w:r w:rsidR="00BC54B8" w:rsidRPr="000C6ABF">
        <w:rPr>
          <w:lang w:val="fr-CH"/>
        </w:rPr>
        <w:t xml:space="preserve"> </w:t>
      </w:r>
      <w:r w:rsidR="002B4FBF">
        <w:rPr>
          <w:lang w:val="fr-CH"/>
        </w:rPr>
        <w:t>"</w:t>
      </w:r>
      <w:r w:rsidR="00BC54B8" w:rsidRPr="000C6ABF">
        <w:rPr>
          <w:lang w:val="fr-CH"/>
        </w:rPr>
        <w:t>Migration Internet/Extranet</w:t>
      </w:r>
      <w:r w:rsidR="006B5B96" w:rsidRPr="000C6ABF">
        <w:rPr>
          <w:lang w:val="fr-CH"/>
        </w:rPr>
        <w:t>"</w:t>
      </w:r>
      <w:r w:rsidR="00BC54B8" w:rsidRPr="000C6ABF">
        <w:rPr>
          <w:lang w:val="fr-CH"/>
        </w:rPr>
        <w:t xml:space="preserve"> (</w:t>
      </w:r>
      <w:r w:rsidR="004E5F7D" w:rsidRPr="000C6ABF">
        <w:rPr>
          <w:lang w:val="fr-CH"/>
        </w:rPr>
        <w:t xml:space="preserve">norme </w:t>
      </w:r>
      <w:r w:rsidR="00BC54B8" w:rsidRPr="000C6ABF">
        <w:rPr>
          <w:lang w:val="fr-CH"/>
        </w:rPr>
        <w:t>IPSAS 31).</w:t>
      </w:r>
    </w:p>
    <w:p w:rsidR="00322DCA" w:rsidRPr="000C6ABF" w:rsidRDefault="00322DCA" w:rsidP="002B4FBF">
      <w:pPr>
        <w:keepNext/>
        <w:keepLines/>
        <w:rPr>
          <w:lang w:val="fr-CH"/>
        </w:rPr>
      </w:pPr>
      <w:r w:rsidRPr="000C6ABF">
        <w:rPr>
          <w:lang w:val="fr-CH"/>
        </w:rPr>
        <w:lastRenderedPageBreak/>
        <w:t>49</w:t>
      </w:r>
      <w:r w:rsidRPr="000C6ABF">
        <w:rPr>
          <w:lang w:val="fr-CH"/>
        </w:rPr>
        <w:tab/>
      </w:r>
      <w:r w:rsidR="004E5F7D" w:rsidRPr="000C6ABF">
        <w:rPr>
          <w:lang w:val="fr-CH"/>
        </w:rPr>
        <w:t>Comme l</w:t>
      </w:r>
      <w:r w:rsidR="00AB0C69" w:rsidRPr="000C6ABF">
        <w:rPr>
          <w:lang w:val="fr-CH"/>
        </w:rPr>
        <w:t>'</w:t>
      </w:r>
      <w:r w:rsidR="004E5F7D" w:rsidRPr="000C6ABF">
        <w:rPr>
          <w:lang w:val="fr-CH"/>
        </w:rPr>
        <w:t xml:space="preserve">a </w:t>
      </w:r>
      <w:r w:rsidR="00034008" w:rsidRPr="000C6ABF">
        <w:rPr>
          <w:lang w:val="fr-CH"/>
        </w:rPr>
        <w:t>indiqué</w:t>
      </w:r>
      <w:r w:rsidR="004E5F7D" w:rsidRPr="000C6ABF">
        <w:rPr>
          <w:lang w:val="fr-CH"/>
        </w:rPr>
        <w:t xml:space="preserve"> la direction dans la Note 13 du Rapport de gestion financière, conformément à la norme IPSAS 31, des développements internes liés à l</w:t>
      </w:r>
      <w:r w:rsidR="00AB0C69" w:rsidRPr="000C6ABF">
        <w:rPr>
          <w:lang w:val="fr-CH"/>
        </w:rPr>
        <w:t>'</w:t>
      </w:r>
      <w:r w:rsidR="004E5F7D" w:rsidRPr="000C6ABF">
        <w:rPr>
          <w:lang w:val="fr-CH"/>
        </w:rPr>
        <w:t>amélioration de</w:t>
      </w:r>
      <w:r w:rsidR="00034008" w:rsidRPr="000C6ABF">
        <w:rPr>
          <w:lang w:val="fr-CH"/>
        </w:rPr>
        <w:t xml:space="preserve"> certain</w:t>
      </w:r>
      <w:r w:rsidR="004E5F7D" w:rsidRPr="000C6ABF">
        <w:rPr>
          <w:lang w:val="fr-CH"/>
        </w:rPr>
        <w:t>s services offerts aux membres, tout particulièrement en ce qui concerne</w:t>
      </w:r>
      <w:r w:rsidR="00A47698" w:rsidRPr="000C6ABF">
        <w:rPr>
          <w:lang w:val="fr-CH"/>
        </w:rPr>
        <w:t xml:space="preserve"> </w:t>
      </w:r>
      <w:r w:rsidR="004E5F7D" w:rsidRPr="000C6ABF">
        <w:rPr>
          <w:lang w:val="fr-CH"/>
        </w:rPr>
        <w:t>la consultation, la gestion et l</w:t>
      </w:r>
      <w:r w:rsidR="00AB0C69" w:rsidRPr="000C6ABF">
        <w:rPr>
          <w:lang w:val="fr-CH"/>
        </w:rPr>
        <w:t>'</w:t>
      </w:r>
      <w:r w:rsidR="004E5F7D" w:rsidRPr="000C6ABF">
        <w:rPr>
          <w:lang w:val="fr-CH"/>
        </w:rPr>
        <w:t>archivage de la documentation</w:t>
      </w:r>
      <w:r w:rsidR="00034008" w:rsidRPr="000C6ABF">
        <w:rPr>
          <w:lang w:val="fr-CH"/>
        </w:rPr>
        <w:t xml:space="preserve"> de l'UIT</w:t>
      </w:r>
      <w:r w:rsidR="004E5F7D" w:rsidRPr="000C6ABF">
        <w:rPr>
          <w:lang w:val="fr-CH"/>
        </w:rPr>
        <w:t xml:space="preserve">, ont été capitalisés. </w:t>
      </w:r>
    </w:p>
    <w:p w:rsidR="009D0B14" w:rsidRPr="000C6ABF" w:rsidRDefault="00322DCA" w:rsidP="00034008">
      <w:pPr>
        <w:rPr>
          <w:lang w:val="fr-CH"/>
        </w:rPr>
      </w:pPr>
      <w:r w:rsidRPr="000C6ABF">
        <w:rPr>
          <w:lang w:val="fr-CH"/>
        </w:rPr>
        <w:t>50</w:t>
      </w:r>
      <w:r w:rsidR="009D0B14" w:rsidRPr="000C6ABF">
        <w:rPr>
          <w:lang w:val="fr-CH"/>
        </w:rPr>
        <w:tab/>
      </w:r>
      <w:r w:rsidR="004E5F7D" w:rsidRPr="000C6ABF">
        <w:rPr>
          <w:lang w:val="fr-CH"/>
        </w:rPr>
        <w:t>Comme l</w:t>
      </w:r>
      <w:r w:rsidR="00AB0C69" w:rsidRPr="000C6ABF">
        <w:rPr>
          <w:lang w:val="fr-CH"/>
        </w:rPr>
        <w:t>'</w:t>
      </w:r>
      <w:r w:rsidR="00034008" w:rsidRPr="000C6ABF">
        <w:rPr>
          <w:lang w:val="fr-CH"/>
        </w:rPr>
        <w:t>ont</w:t>
      </w:r>
      <w:r w:rsidR="004E5F7D" w:rsidRPr="000C6ABF">
        <w:rPr>
          <w:lang w:val="fr-CH"/>
        </w:rPr>
        <w:t xml:space="preserve"> aussi fait remarquer no</w:t>
      </w:r>
      <w:r w:rsidR="00034008" w:rsidRPr="000C6ABF">
        <w:rPr>
          <w:lang w:val="fr-CH"/>
        </w:rPr>
        <w:t xml:space="preserve">s </w:t>
      </w:r>
      <w:r w:rsidR="004E5F7D" w:rsidRPr="000C6ABF">
        <w:rPr>
          <w:lang w:val="fr-CH"/>
        </w:rPr>
        <w:t>prédécesseur</w:t>
      </w:r>
      <w:r w:rsidR="00034008" w:rsidRPr="000C6ABF">
        <w:rPr>
          <w:lang w:val="fr-CH"/>
        </w:rPr>
        <w:t>s, la SFAO,</w:t>
      </w:r>
      <w:r w:rsidR="009D0B14" w:rsidRPr="000C6ABF">
        <w:rPr>
          <w:lang w:val="fr-CH"/>
        </w:rPr>
        <w:t xml:space="preserve"> "l'application correcte de </w:t>
      </w:r>
      <w:r w:rsidR="003C139F" w:rsidRPr="000C6ABF">
        <w:rPr>
          <w:lang w:val="fr-CH"/>
        </w:rPr>
        <w:t xml:space="preserve">la </w:t>
      </w:r>
      <w:r w:rsidR="009D0B14" w:rsidRPr="000C6ABF">
        <w:rPr>
          <w:lang w:val="fr-CH"/>
        </w:rPr>
        <w:t>norme</w:t>
      </w:r>
      <w:r w:rsidR="003C139F" w:rsidRPr="000C6ABF">
        <w:rPr>
          <w:lang w:val="fr-CH"/>
        </w:rPr>
        <w:t xml:space="preserve"> IPSAS 31</w:t>
      </w:r>
      <w:r w:rsidR="009D0B14" w:rsidRPr="000C6ABF">
        <w:rPr>
          <w:lang w:val="fr-CH"/>
        </w:rPr>
        <w:t xml:space="preserve"> signifie que les projets informatiques sont décomposés en différentes phases et que seules les phases concept et réalisation sont activables".</w:t>
      </w:r>
    </w:p>
    <w:p w:rsidR="00586EF4" w:rsidRPr="000C6ABF" w:rsidRDefault="00AE7813" w:rsidP="002B4FBF">
      <w:pPr>
        <w:rPr>
          <w:lang w:val="fr-CH"/>
        </w:rPr>
      </w:pPr>
      <w:r w:rsidRPr="000C6ABF">
        <w:rPr>
          <w:lang w:val="fr-CH"/>
        </w:rPr>
        <w:t>51</w:t>
      </w:r>
      <w:r w:rsidR="009D0B14" w:rsidRPr="000C6ABF">
        <w:rPr>
          <w:lang w:val="fr-CH"/>
        </w:rPr>
        <w:tab/>
      </w:r>
      <w:r w:rsidR="003C139F" w:rsidRPr="000C6ABF">
        <w:rPr>
          <w:lang w:val="fr-CH"/>
        </w:rPr>
        <w:t>Lorsque</w:t>
      </w:r>
      <w:r w:rsidR="00586EF4" w:rsidRPr="000C6ABF">
        <w:rPr>
          <w:lang w:val="fr-CH"/>
        </w:rPr>
        <w:t xml:space="preserve"> </w:t>
      </w:r>
      <w:r w:rsidRPr="000C6ABF">
        <w:rPr>
          <w:lang w:val="fr-CH"/>
        </w:rPr>
        <w:t xml:space="preserve">la </w:t>
      </w:r>
      <w:r w:rsidR="009D0B14" w:rsidRPr="000C6ABF">
        <w:rPr>
          <w:lang w:val="fr-CH"/>
        </w:rPr>
        <w:t>norme IPSAS 31</w:t>
      </w:r>
      <w:r w:rsidR="003C139F" w:rsidRPr="000C6ABF">
        <w:rPr>
          <w:lang w:val="fr-CH"/>
        </w:rPr>
        <w:t xml:space="preserve"> a été appliquée pour la première fois, dans les comptes </w:t>
      </w:r>
      <w:r w:rsidR="00A5193E" w:rsidRPr="000C6ABF">
        <w:rPr>
          <w:lang w:val="fr-CH"/>
        </w:rPr>
        <w:t xml:space="preserve">annuels </w:t>
      </w:r>
      <w:r w:rsidR="003C139F" w:rsidRPr="000C6ABF">
        <w:rPr>
          <w:lang w:val="fr-CH"/>
        </w:rPr>
        <w:t>de l</w:t>
      </w:r>
      <w:r w:rsidR="00AB0C69" w:rsidRPr="000C6ABF">
        <w:rPr>
          <w:lang w:val="fr-CH"/>
        </w:rPr>
        <w:t>'</w:t>
      </w:r>
      <w:r w:rsidR="003C139F" w:rsidRPr="000C6ABF">
        <w:rPr>
          <w:lang w:val="fr-CH"/>
        </w:rPr>
        <w:t>UIT</w:t>
      </w:r>
      <w:r w:rsidR="00034008" w:rsidRPr="000C6ABF">
        <w:rPr>
          <w:lang w:val="fr-CH"/>
        </w:rPr>
        <w:t xml:space="preserve"> pour 2012</w:t>
      </w:r>
      <w:r w:rsidR="003C139F" w:rsidRPr="000C6ABF">
        <w:rPr>
          <w:lang w:val="fr-CH"/>
        </w:rPr>
        <w:t>,</w:t>
      </w:r>
      <w:r w:rsidR="00E512A7" w:rsidRPr="000C6ABF">
        <w:rPr>
          <w:lang w:val="fr-CH"/>
        </w:rPr>
        <w:t xml:space="preserve"> </w:t>
      </w:r>
      <w:r w:rsidR="00034008" w:rsidRPr="000C6ABF">
        <w:rPr>
          <w:lang w:val="fr-CH"/>
        </w:rPr>
        <w:t xml:space="preserve">nous n'avons relevé </w:t>
      </w:r>
      <w:r w:rsidR="00E512A7" w:rsidRPr="000C6ABF">
        <w:rPr>
          <w:lang w:val="fr-CH"/>
        </w:rPr>
        <w:t>aucun problème majeur à cet égard</w:t>
      </w:r>
      <w:r w:rsidR="00034008" w:rsidRPr="000C6ABF">
        <w:rPr>
          <w:lang w:val="fr-CH"/>
        </w:rPr>
        <w:t>.</w:t>
      </w:r>
      <w:r w:rsidR="00E512A7" w:rsidRPr="000C6ABF">
        <w:rPr>
          <w:lang w:val="fr-CH"/>
        </w:rPr>
        <w:t xml:space="preserve"> Dans les états financiers de 2013</w:t>
      </w:r>
      <w:r w:rsidR="00034008" w:rsidRPr="000C6ABF">
        <w:rPr>
          <w:lang w:val="fr-CH"/>
        </w:rPr>
        <w:t xml:space="preserve"> toutefois</w:t>
      </w:r>
      <w:r w:rsidR="00E512A7" w:rsidRPr="000C6ABF">
        <w:rPr>
          <w:lang w:val="fr-CH"/>
        </w:rPr>
        <w:t>, la valeur importante capitalisée pour les projets en cours d</w:t>
      </w:r>
      <w:r w:rsidR="00AB0C69" w:rsidRPr="000C6ABF">
        <w:rPr>
          <w:lang w:val="fr-CH"/>
        </w:rPr>
        <w:t>'</w:t>
      </w:r>
      <w:r w:rsidR="00E512A7" w:rsidRPr="000C6ABF">
        <w:rPr>
          <w:lang w:val="fr-CH"/>
        </w:rPr>
        <w:t>élaboration mérite de plus amples précisions</w:t>
      </w:r>
      <w:r w:rsidRPr="000C6ABF">
        <w:rPr>
          <w:lang w:val="fr-CH"/>
        </w:rPr>
        <w:t>.</w:t>
      </w:r>
    </w:p>
    <w:p w:rsidR="00586EF4" w:rsidRPr="000C6ABF" w:rsidRDefault="00586EF4" w:rsidP="00AB0C69">
      <w:pPr>
        <w:rPr>
          <w:lang w:val="fr-CH"/>
        </w:rPr>
      </w:pPr>
      <w:r w:rsidRPr="000C6ABF">
        <w:rPr>
          <w:lang w:val="fr-CH"/>
        </w:rPr>
        <w:t>52</w:t>
      </w:r>
      <w:r w:rsidRPr="000C6ABF">
        <w:rPr>
          <w:lang w:val="fr-CH"/>
        </w:rPr>
        <w:tab/>
      </w:r>
      <w:r w:rsidR="00E512A7" w:rsidRPr="000C6ABF">
        <w:rPr>
          <w:lang w:val="fr-CH"/>
        </w:rPr>
        <w:t>A cet égard, nous partageons l</w:t>
      </w:r>
      <w:r w:rsidR="00AB0C69" w:rsidRPr="000C6ABF">
        <w:rPr>
          <w:lang w:val="fr-CH"/>
        </w:rPr>
        <w:t>'</w:t>
      </w:r>
      <w:r w:rsidR="00E512A7" w:rsidRPr="000C6ABF">
        <w:rPr>
          <w:lang w:val="fr-CH"/>
        </w:rPr>
        <w:t>avis de la direction selon lequel pour le projet</w:t>
      </w:r>
      <w:r w:rsidRPr="000C6ABF">
        <w:rPr>
          <w:lang w:val="fr-CH"/>
        </w:rPr>
        <w:t xml:space="preserve"> </w:t>
      </w:r>
      <w:r w:rsidR="00D50543" w:rsidRPr="000C6ABF">
        <w:rPr>
          <w:lang w:val="fr-CH"/>
        </w:rPr>
        <w:t>"</w:t>
      </w:r>
      <w:r w:rsidRPr="000C6ABF">
        <w:rPr>
          <w:lang w:val="fr-CH"/>
        </w:rPr>
        <w:t xml:space="preserve">CRM Fit Gap </w:t>
      </w:r>
      <w:proofErr w:type="spellStart"/>
      <w:r w:rsidRPr="000C6ABF">
        <w:rPr>
          <w:lang w:val="fr-CH"/>
        </w:rPr>
        <w:t>Analysis</w:t>
      </w:r>
      <w:proofErr w:type="spellEnd"/>
      <w:r w:rsidRPr="000C6ABF">
        <w:rPr>
          <w:lang w:val="fr-CH"/>
        </w:rPr>
        <w:t xml:space="preserve"> and </w:t>
      </w:r>
      <w:proofErr w:type="spellStart"/>
      <w:r w:rsidRPr="000C6ABF">
        <w:rPr>
          <w:lang w:val="fr-CH"/>
        </w:rPr>
        <w:t>Implementation</w:t>
      </w:r>
      <w:proofErr w:type="spellEnd"/>
      <w:r w:rsidRPr="000C6ABF">
        <w:rPr>
          <w:lang w:val="fr-CH"/>
        </w:rPr>
        <w:t xml:space="preserve"> Services</w:t>
      </w:r>
      <w:r w:rsidR="00D50543" w:rsidRPr="000C6ABF">
        <w:rPr>
          <w:lang w:val="fr-CH"/>
        </w:rPr>
        <w:t>"</w:t>
      </w:r>
      <w:r w:rsidRPr="000C6ABF">
        <w:rPr>
          <w:lang w:val="fr-CH"/>
        </w:rPr>
        <w:t xml:space="preserve">, </w:t>
      </w:r>
      <w:r w:rsidR="00E512A7" w:rsidRPr="000C6ABF">
        <w:rPr>
          <w:lang w:val="fr-CH"/>
        </w:rPr>
        <w:t>certains coûts de formation ne devaient pas être capitalisés s</w:t>
      </w:r>
      <w:r w:rsidR="00AB0C69" w:rsidRPr="000C6ABF">
        <w:rPr>
          <w:lang w:val="fr-CH"/>
        </w:rPr>
        <w:t>'</w:t>
      </w:r>
      <w:r w:rsidR="00E512A7" w:rsidRPr="000C6ABF">
        <w:rPr>
          <w:lang w:val="fr-CH"/>
        </w:rPr>
        <w:t xml:space="preserve">ils se rapportaient à des étapes postérieures à la mise en œuvre. </w:t>
      </w:r>
    </w:p>
    <w:p w:rsidR="00D50543" w:rsidRPr="000C6ABF" w:rsidRDefault="00D50543" w:rsidP="00AB0C69">
      <w:pPr>
        <w:pStyle w:val="Headingb"/>
        <w:rPr>
          <w:i/>
          <w:iCs/>
          <w:lang w:val="fr-CH"/>
        </w:rPr>
      </w:pPr>
      <w:bookmarkStart w:id="137" w:name="_Toc358123297"/>
      <w:bookmarkStart w:id="138" w:name="_Toc396386947"/>
      <w:bookmarkStart w:id="139" w:name="_Toc396387830"/>
      <w:bookmarkStart w:id="140" w:name="_Toc396387944"/>
      <w:bookmarkStart w:id="141" w:name="_Toc398277629"/>
      <w:r w:rsidRPr="000C6ABF">
        <w:rPr>
          <w:lang w:val="fr-CH"/>
        </w:rPr>
        <w:t>Passifs</w:t>
      </w:r>
      <w:bookmarkEnd w:id="137"/>
      <w:bookmarkEnd w:id="138"/>
      <w:bookmarkEnd w:id="139"/>
      <w:bookmarkEnd w:id="140"/>
      <w:bookmarkEnd w:id="141"/>
    </w:p>
    <w:p w:rsidR="00D50543" w:rsidRPr="000C6ABF" w:rsidRDefault="00D50543" w:rsidP="00AB0C69">
      <w:pPr>
        <w:rPr>
          <w:lang w:val="fr-CH"/>
        </w:rPr>
      </w:pPr>
      <w:r w:rsidRPr="000C6ABF">
        <w:rPr>
          <w:lang w:val="fr-CH"/>
        </w:rPr>
        <w:t>53</w:t>
      </w:r>
      <w:r w:rsidRPr="000C6ABF">
        <w:rPr>
          <w:lang w:val="fr-CH"/>
        </w:rPr>
        <w:tab/>
        <w:t>En 201</w:t>
      </w:r>
      <w:r w:rsidR="001C4DB5" w:rsidRPr="000C6ABF">
        <w:rPr>
          <w:lang w:val="fr-CH"/>
        </w:rPr>
        <w:t>3</w:t>
      </w:r>
      <w:r w:rsidRPr="000C6ABF">
        <w:rPr>
          <w:lang w:val="fr-CH"/>
        </w:rPr>
        <w:t>, les passifs se sont chiffrés à 5</w:t>
      </w:r>
      <w:r w:rsidR="001C4DB5" w:rsidRPr="000C6ABF">
        <w:rPr>
          <w:lang w:val="fr-CH"/>
        </w:rPr>
        <w:t>52</w:t>
      </w:r>
      <w:r w:rsidRPr="000C6ABF">
        <w:rPr>
          <w:lang w:val="fr-CH"/>
        </w:rPr>
        <w:t>,</w:t>
      </w:r>
      <w:r w:rsidR="001C4DB5" w:rsidRPr="000C6ABF">
        <w:rPr>
          <w:lang w:val="fr-CH"/>
        </w:rPr>
        <w:t>2</w:t>
      </w:r>
      <w:r w:rsidRPr="000C6ABF">
        <w:rPr>
          <w:lang w:val="fr-CH"/>
        </w:rPr>
        <w:t xml:space="preserve"> millions CHF, en </w:t>
      </w:r>
      <w:r w:rsidR="001C4DB5" w:rsidRPr="000C6ABF">
        <w:rPr>
          <w:lang w:val="fr-CH"/>
        </w:rPr>
        <w:t xml:space="preserve">baisse </w:t>
      </w:r>
      <w:r w:rsidRPr="000C6ABF">
        <w:rPr>
          <w:lang w:val="fr-CH"/>
        </w:rPr>
        <w:t xml:space="preserve">de </w:t>
      </w:r>
      <w:r w:rsidR="001C4DB5" w:rsidRPr="000C6ABF">
        <w:rPr>
          <w:lang w:val="fr-CH"/>
        </w:rPr>
        <w:t>35</w:t>
      </w:r>
      <w:r w:rsidRPr="000C6ABF">
        <w:rPr>
          <w:lang w:val="fr-CH"/>
        </w:rPr>
        <w:t xml:space="preserve">,8 millions CHF </w:t>
      </w:r>
      <w:r w:rsidR="001C4DB5" w:rsidRPr="000C6ABF">
        <w:rPr>
          <w:lang w:val="fr-CH"/>
        </w:rPr>
        <w:t>(</w:t>
      </w:r>
      <w:r w:rsidR="00EA27FC" w:rsidRPr="000C6ABF">
        <w:rPr>
          <w:rFonts w:ascii="Symbol" w:hAnsi="Symbol"/>
          <w:lang w:val="fr-CH"/>
        </w:rPr>
        <w:noBreakHyphen/>
      </w:r>
      <w:r w:rsidR="00EA27FC" w:rsidRPr="000C6ABF">
        <w:rPr>
          <w:lang w:val="fr-CH"/>
        </w:rPr>
        <w:t>6,1%</w:t>
      </w:r>
      <w:r w:rsidRPr="000C6ABF">
        <w:rPr>
          <w:lang w:val="fr-CH"/>
        </w:rPr>
        <w:t>) par rapport au chiffre indiqué en 201</w:t>
      </w:r>
      <w:r w:rsidR="00A71268" w:rsidRPr="000C6ABF">
        <w:rPr>
          <w:lang w:val="fr-CH"/>
        </w:rPr>
        <w:t>2</w:t>
      </w:r>
      <w:r w:rsidRPr="000C6ABF">
        <w:rPr>
          <w:lang w:val="fr-CH"/>
        </w:rPr>
        <w:t xml:space="preserve"> (5</w:t>
      </w:r>
      <w:r w:rsidR="00A71268" w:rsidRPr="000C6ABF">
        <w:rPr>
          <w:lang w:val="fr-CH"/>
        </w:rPr>
        <w:t>88,0</w:t>
      </w:r>
      <w:r w:rsidRPr="000C6ABF">
        <w:rPr>
          <w:lang w:val="fr-CH"/>
        </w:rPr>
        <w:t xml:space="preserve"> millions CHF).</w:t>
      </w:r>
    </w:p>
    <w:p w:rsidR="00D50543" w:rsidRPr="000C6ABF" w:rsidRDefault="00D50543" w:rsidP="00AB0C69">
      <w:pPr>
        <w:rPr>
          <w:lang w:val="fr-CH"/>
        </w:rPr>
      </w:pPr>
      <w:r w:rsidRPr="000C6ABF">
        <w:rPr>
          <w:lang w:val="fr-CH"/>
        </w:rPr>
        <w:t>54</w:t>
      </w:r>
      <w:r w:rsidRPr="000C6ABF">
        <w:rPr>
          <w:lang w:val="fr-CH"/>
        </w:rPr>
        <w:tab/>
        <w:t>Ces passifs se décomposaient comme suit: passifs courants d'un montant de 14</w:t>
      </w:r>
      <w:r w:rsidR="00B3329A" w:rsidRPr="000C6ABF">
        <w:rPr>
          <w:lang w:val="fr-CH"/>
        </w:rPr>
        <w:t>2,1</w:t>
      </w:r>
      <w:r w:rsidRPr="000C6ABF">
        <w:rPr>
          <w:lang w:val="fr-CH"/>
        </w:rPr>
        <w:t> millions CHF, soit 2</w:t>
      </w:r>
      <w:r w:rsidR="00B3329A" w:rsidRPr="000C6ABF">
        <w:rPr>
          <w:lang w:val="fr-CH"/>
        </w:rPr>
        <w:t>5</w:t>
      </w:r>
      <w:r w:rsidRPr="000C6ABF">
        <w:rPr>
          <w:lang w:val="fr-CH"/>
        </w:rPr>
        <w:t>,7% du total des passifs (contre 2</w:t>
      </w:r>
      <w:r w:rsidR="00B3329A" w:rsidRPr="000C6ABF">
        <w:rPr>
          <w:lang w:val="fr-CH"/>
        </w:rPr>
        <w:t>4</w:t>
      </w:r>
      <w:r w:rsidRPr="000C6ABF">
        <w:rPr>
          <w:lang w:val="fr-CH"/>
        </w:rPr>
        <w:t>,</w:t>
      </w:r>
      <w:r w:rsidR="00B3329A" w:rsidRPr="000C6ABF">
        <w:rPr>
          <w:lang w:val="fr-CH"/>
        </w:rPr>
        <w:t>7</w:t>
      </w:r>
      <w:r w:rsidRPr="000C6ABF">
        <w:rPr>
          <w:lang w:val="fr-CH"/>
        </w:rPr>
        <w:t>%</w:t>
      </w:r>
      <w:r w:rsidR="00B3329A" w:rsidRPr="000C6ABF">
        <w:rPr>
          <w:lang w:val="fr-CH"/>
        </w:rPr>
        <w:t xml:space="preserve"> en 2012</w:t>
      </w:r>
      <w:r w:rsidRPr="000C6ABF">
        <w:rPr>
          <w:lang w:val="fr-CH"/>
        </w:rPr>
        <w:t>) et passi</w:t>
      </w:r>
      <w:r w:rsidR="00B3329A" w:rsidRPr="000C6ABF">
        <w:rPr>
          <w:lang w:val="fr-CH"/>
        </w:rPr>
        <w:t>fs non courants représentant 410</w:t>
      </w:r>
      <w:r w:rsidRPr="000C6ABF">
        <w:rPr>
          <w:lang w:val="fr-CH"/>
        </w:rPr>
        <w:t>,1 millions CHF, soit 7</w:t>
      </w:r>
      <w:r w:rsidR="00B3329A" w:rsidRPr="000C6ABF">
        <w:rPr>
          <w:lang w:val="fr-CH"/>
        </w:rPr>
        <w:t>4</w:t>
      </w:r>
      <w:r w:rsidRPr="000C6ABF">
        <w:rPr>
          <w:lang w:val="fr-CH"/>
        </w:rPr>
        <w:t>,3% du total des passifs (72,9%</w:t>
      </w:r>
      <w:r w:rsidR="00B3329A" w:rsidRPr="000C6ABF">
        <w:rPr>
          <w:lang w:val="fr-CH"/>
        </w:rPr>
        <w:t xml:space="preserve"> en 2011</w:t>
      </w:r>
      <w:r w:rsidRPr="000C6ABF">
        <w:rPr>
          <w:lang w:val="fr-CH"/>
        </w:rPr>
        <w:t>).</w:t>
      </w:r>
    </w:p>
    <w:p w:rsidR="00D50543" w:rsidRPr="000C6ABF" w:rsidRDefault="00D50543" w:rsidP="00AB0C69">
      <w:pPr>
        <w:pStyle w:val="Headingb"/>
        <w:rPr>
          <w:lang w:val="fr-CH"/>
        </w:rPr>
      </w:pPr>
      <w:bookmarkStart w:id="142" w:name="_Toc358123298"/>
      <w:bookmarkStart w:id="143" w:name="_Toc396386948"/>
      <w:bookmarkStart w:id="144" w:name="_Toc396387831"/>
      <w:bookmarkStart w:id="145" w:name="_Toc396387945"/>
      <w:bookmarkStart w:id="146" w:name="_Toc398277630"/>
      <w:r w:rsidRPr="000C6ABF">
        <w:rPr>
          <w:lang w:val="fr-CH"/>
        </w:rPr>
        <w:t>Passifs courants</w:t>
      </w:r>
      <w:bookmarkEnd w:id="142"/>
      <w:bookmarkEnd w:id="143"/>
      <w:bookmarkEnd w:id="144"/>
      <w:bookmarkEnd w:id="145"/>
      <w:bookmarkEnd w:id="146"/>
    </w:p>
    <w:p w:rsidR="00D50543" w:rsidRPr="000C6ABF" w:rsidRDefault="00D50543" w:rsidP="002B4FBF">
      <w:pPr>
        <w:rPr>
          <w:lang w:val="fr-CH"/>
        </w:rPr>
      </w:pPr>
      <w:r w:rsidRPr="000C6ABF">
        <w:rPr>
          <w:lang w:val="fr-CH"/>
        </w:rPr>
        <w:t>55</w:t>
      </w:r>
      <w:r w:rsidRPr="000C6ABF">
        <w:rPr>
          <w:lang w:val="fr-CH"/>
        </w:rPr>
        <w:tab/>
      </w:r>
      <w:r w:rsidR="00B3329A" w:rsidRPr="000C6ABF">
        <w:rPr>
          <w:lang w:val="fr-CH"/>
        </w:rPr>
        <w:t>En 2013, l</w:t>
      </w:r>
      <w:r w:rsidRPr="000C6ABF">
        <w:rPr>
          <w:lang w:val="fr-CH"/>
        </w:rPr>
        <w:t xml:space="preserve">e montant total des passifs courants s'établissait à </w:t>
      </w:r>
      <w:r w:rsidR="00B3329A" w:rsidRPr="000C6ABF">
        <w:rPr>
          <w:lang w:val="fr-CH"/>
        </w:rPr>
        <w:t>142,1</w:t>
      </w:r>
      <w:r w:rsidRPr="000C6ABF">
        <w:rPr>
          <w:lang w:val="fr-CH"/>
        </w:rPr>
        <w:t xml:space="preserve"> millions CHF, en recul</w:t>
      </w:r>
      <w:r w:rsidR="005C5642" w:rsidRPr="000C6ABF">
        <w:rPr>
          <w:lang w:val="fr-CH"/>
        </w:rPr>
        <w:t xml:space="preserve"> de 2</w:t>
      </w:r>
      <w:r w:rsidRPr="000C6ABF">
        <w:rPr>
          <w:lang w:val="fr-CH"/>
        </w:rPr>
        <w:t>,</w:t>
      </w:r>
      <w:r w:rsidR="005C5642" w:rsidRPr="000C6ABF">
        <w:rPr>
          <w:lang w:val="fr-CH"/>
        </w:rPr>
        <w:t>8</w:t>
      </w:r>
      <w:r w:rsidRPr="000C6ABF">
        <w:rPr>
          <w:lang w:val="fr-CH"/>
        </w:rPr>
        <w:t xml:space="preserve"> million</w:t>
      </w:r>
      <w:r w:rsidR="005C5642" w:rsidRPr="000C6ABF">
        <w:rPr>
          <w:lang w:val="fr-CH"/>
        </w:rPr>
        <w:t>s</w:t>
      </w:r>
      <w:r w:rsidRPr="000C6ABF">
        <w:rPr>
          <w:lang w:val="fr-CH"/>
        </w:rPr>
        <w:t xml:space="preserve"> CHF (–</w:t>
      </w:r>
      <w:r w:rsidR="005C5642" w:rsidRPr="000C6ABF">
        <w:rPr>
          <w:lang w:val="fr-CH"/>
        </w:rPr>
        <w:t>1</w:t>
      </w:r>
      <w:r w:rsidRPr="000C6ABF">
        <w:rPr>
          <w:lang w:val="fr-CH"/>
        </w:rPr>
        <w:t>,</w:t>
      </w:r>
      <w:r w:rsidR="005C5642" w:rsidRPr="000C6ABF">
        <w:rPr>
          <w:lang w:val="fr-CH"/>
        </w:rPr>
        <w:t>9</w:t>
      </w:r>
      <w:r w:rsidRPr="000C6ABF">
        <w:rPr>
          <w:lang w:val="fr-CH"/>
        </w:rPr>
        <w:t>%) par rapport à</w:t>
      </w:r>
      <w:r w:rsidR="005C5642" w:rsidRPr="000C6ABF">
        <w:rPr>
          <w:lang w:val="fr-CH"/>
        </w:rPr>
        <w:t xml:space="preserve"> 2012</w:t>
      </w:r>
      <w:r w:rsidRPr="000C6ABF">
        <w:rPr>
          <w:lang w:val="fr-CH"/>
        </w:rPr>
        <w:t xml:space="preserve"> (14</w:t>
      </w:r>
      <w:r w:rsidR="005C5642" w:rsidRPr="000C6ABF">
        <w:rPr>
          <w:lang w:val="fr-CH"/>
        </w:rPr>
        <w:t>4</w:t>
      </w:r>
      <w:r w:rsidRPr="000C6ABF">
        <w:rPr>
          <w:lang w:val="fr-CH"/>
        </w:rPr>
        <w:t>,</w:t>
      </w:r>
      <w:r w:rsidR="005C5642" w:rsidRPr="000C6ABF">
        <w:rPr>
          <w:lang w:val="fr-CH"/>
        </w:rPr>
        <w:t>9</w:t>
      </w:r>
      <w:r w:rsidRPr="000C6ABF">
        <w:rPr>
          <w:lang w:val="fr-CH"/>
        </w:rPr>
        <w:t xml:space="preserve"> millions CHF). Globalement, cette baisse est due, d'une part, à la diminution de</w:t>
      </w:r>
      <w:r w:rsidR="00E512A7" w:rsidRPr="000C6ABF">
        <w:rPr>
          <w:lang w:val="fr-CH"/>
        </w:rPr>
        <w:t>s rubriques</w:t>
      </w:r>
      <w:r w:rsidRPr="000C6ABF">
        <w:rPr>
          <w:lang w:val="fr-CH"/>
        </w:rPr>
        <w:t xml:space="preserve"> </w:t>
      </w:r>
      <w:r w:rsidR="005C5642" w:rsidRPr="000C6ABF">
        <w:rPr>
          <w:lang w:val="fr-CH"/>
        </w:rPr>
        <w:t>"</w:t>
      </w:r>
      <w:r w:rsidR="00E512A7" w:rsidRPr="000C6ABF">
        <w:rPr>
          <w:lang w:val="fr-CH"/>
        </w:rPr>
        <w:t>Produits différés</w:t>
      </w:r>
      <w:r w:rsidR="005C5642" w:rsidRPr="000C6ABF">
        <w:rPr>
          <w:lang w:val="fr-CH"/>
        </w:rPr>
        <w:t xml:space="preserve">" </w:t>
      </w:r>
      <w:r w:rsidRPr="000C6ABF">
        <w:rPr>
          <w:spacing w:val="1"/>
          <w:lang w:val="fr-CH"/>
        </w:rPr>
        <w:t xml:space="preserve">(–4,3 millions CHF) </w:t>
      </w:r>
      <w:r w:rsidR="005C5642" w:rsidRPr="000C6ABF">
        <w:rPr>
          <w:spacing w:val="1"/>
          <w:lang w:val="fr-CH"/>
        </w:rPr>
        <w:t>et "</w:t>
      </w:r>
      <w:r w:rsidR="00BA0A9E" w:rsidRPr="000C6ABF">
        <w:rPr>
          <w:lang w:val="fr-CH"/>
        </w:rPr>
        <w:t>Avantages du personnel</w:t>
      </w:r>
      <w:r w:rsidR="002B4FBF">
        <w:rPr>
          <w:lang w:val="fr-CH"/>
        </w:rPr>
        <w:t>" (–0,7 million</w:t>
      </w:r>
      <w:r w:rsidR="005C5642" w:rsidRPr="000C6ABF">
        <w:rPr>
          <w:lang w:val="fr-CH"/>
        </w:rPr>
        <w:t xml:space="preserve"> CHF), </w:t>
      </w:r>
      <w:r w:rsidRPr="000C6ABF">
        <w:rPr>
          <w:spacing w:val="1"/>
          <w:lang w:val="fr-CH"/>
        </w:rPr>
        <w:t xml:space="preserve">et, d'autre part, à l'augmentation de la rubrique </w:t>
      </w:r>
      <w:r w:rsidR="005C5642" w:rsidRPr="000C6ABF">
        <w:rPr>
          <w:lang w:val="fr-CH"/>
        </w:rPr>
        <w:t xml:space="preserve">"Fournisseurs et autres créanciers" </w:t>
      </w:r>
      <w:r w:rsidRPr="000C6ABF">
        <w:rPr>
          <w:spacing w:val="1"/>
          <w:lang w:val="fr-CH"/>
        </w:rPr>
        <w:t>(+</w:t>
      </w:r>
      <w:r w:rsidR="005C5642" w:rsidRPr="000C6ABF">
        <w:rPr>
          <w:spacing w:val="1"/>
          <w:lang w:val="fr-CH"/>
        </w:rPr>
        <w:t>2</w:t>
      </w:r>
      <w:r w:rsidRPr="000C6ABF">
        <w:rPr>
          <w:spacing w:val="1"/>
          <w:lang w:val="fr-CH"/>
        </w:rPr>
        <w:t>,</w:t>
      </w:r>
      <w:r w:rsidR="005C5642" w:rsidRPr="000C6ABF">
        <w:rPr>
          <w:spacing w:val="1"/>
          <w:lang w:val="fr-CH"/>
        </w:rPr>
        <w:t>6</w:t>
      </w:r>
      <w:r w:rsidRPr="000C6ABF">
        <w:rPr>
          <w:spacing w:val="1"/>
          <w:lang w:val="fr-CH"/>
        </w:rPr>
        <w:t xml:space="preserve"> millions CHF). La base de calcul pour l'évaluation des passifs courants est donnée dans les </w:t>
      </w:r>
      <w:r w:rsidR="00000485" w:rsidRPr="000C6ABF">
        <w:rPr>
          <w:spacing w:val="1"/>
          <w:lang w:val="fr-CH"/>
        </w:rPr>
        <w:t>P</w:t>
      </w:r>
      <w:r w:rsidRPr="000C6ABF">
        <w:rPr>
          <w:spacing w:val="1"/>
          <w:lang w:val="fr-CH"/>
        </w:rPr>
        <w:t xml:space="preserve">rincipes comptables </w:t>
      </w:r>
      <w:r w:rsidRPr="000C6ABF">
        <w:rPr>
          <w:lang w:val="fr-CH"/>
        </w:rPr>
        <w:t xml:space="preserve">(Note 3). </w:t>
      </w:r>
    </w:p>
    <w:p w:rsidR="002F2140" w:rsidRPr="000C6ABF" w:rsidRDefault="002F2140" w:rsidP="00AB0C69">
      <w:pPr>
        <w:pStyle w:val="Headingb"/>
        <w:rPr>
          <w:spacing w:val="6"/>
          <w:lang w:val="fr-CH"/>
        </w:rPr>
      </w:pPr>
      <w:bookmarkStart w:id="147" w:name="_Toc356330889"/>
      <w:bookmarkStart w:id="148" w:name="_Toc358123299"/>
      <w:bookmarkStart w:id="149" w:name="_Toc396386949"/>
      <w:bookmarkStart w:id="150" w:name="_Toc396387832"/>
      <w:bookmarkStart w:id="151" w:name="_Toc396387946"/>
      <w:bookmarkStart w:id="152" w:name="_Toc398277631"/>
      <w:r w:rsidRPr="000C6ABF">
        <w:rPr>
          <w:lang w:val="fr-CH"/>
        </w:rPr>
        <w:t>Fournisseurs et autres créanciers</w:t>
      </w:r>
      <w:bookmarkEnd w:id="147"/>
      <w:bookmarkEnd w:id="148"/>
      <w:bookmarkEnd w:id="149"/>
      <w:bookmarkEnd w:id="150"/>
      <w:bookmarkEnd w:id="151"/>
      <w:bookmarkEnd w:id="152"/>
    </w:p>
    <w:p w:rsidR="002F2140" w:rsidRPr="000C6ABF" w:rsidRDefault="002F2140" w:rsidP="00AB0C69">
      <w:pPr>
        <w:rPr>
          <w:spacing w:val="6"/>
          <w:lang w:val="fr-CH"/>
        </w:rPr>
      </w:pPr>
      <w:r w:rsidRPr="000C6ABF">
        <w:rPr>
          <w:lang w:val="fr-CH"/>
        </w:rPr>
        <w:t>56</w:t>
      </w:r>
      <w:r w:rsidRPr="000C6ABF">
        <w:rPr>
          <w:lang w:val="fr-CH"/>
        </w:rPr>
        <w:tab/>
        <w:t>Un montant de</w:t>
      </w:r>
      <w:r w:rsidR="008F6D08" w:rsidRPr="000C6ABF">
        <w:rPr>
          <w:lang w:val="fr-CH"/>
        </w:rPr>
        <w:t xml:space="preserve"> 9,7 millions CHF (contre</w:t>
      </w:r>
      <w:r w:rsidRPr="000C6ABF">
        <w:rPr>
          <w:lang w:val="fr-CH"/>
        </w:rPr>
        <w:t xml:space="preserve"> 7,1 millions CHF en 201</w:t>
      </w:r>
      <w:r w:rsidR="008F6D08" w:rsidRPr="000C6ABF">
        <w:rPr>
          <w:lang w:val="fr-CH"/>
        </w:rPr>
        <w:t>2</w:t>
      </w:r>
      <w:r w:rsidRPr="000C6ABF">
        <w:rPr>
          <w:lang w:val="fr-CH"/>
        </w:rPr>
        <w:t>) apparaît dans le bilan de clôture sous la rubrique "Fournisseurs et autres créanciers". Une ventilation détaillée est donnée dans la Note 1</w:t>
      </w:r>
      <w:r w:rsidR="008F6D08" w:rsidRPr="000C6ABF">
        <w:rPr>
          <w:lang w:val="fr-CH"/>
        </w:rPr>
        <w:t>4</w:t>
      </w:r>
      <w:r w:rsidRPr="000C6ABF">
        <w:rPr>
          <w:lang w:val="fr-CH"/>
        </w:rPr>
        <w:t xml:space="preserve"> du Rapport de gestion financière.</w:t>
      </w:r>
    </w:p>
    <w:p w:rsidR="00043CC6" w:rsidRPr="000C6ABF" w:rsidRDefault="00043CC6" w:rsidP="00AB0C69">
      <w:pPr>
        <w:pStyle w:val="Headingb"/>
        <w:rPr>
          <w:lang w:val="fr-CH"/>
        </w:rPr>
      </w:pPr>
      <w:bookmarkStart w:id="153" w:name="_Toc356330890"/>
      <w:bookmarkStart w:id="154" w:name="_Toc358123300"/>
      <w:bookmarkStart w:id="155" w:name="_Toc396386950"/>
      <w:bookmarkStart w:id="156" w:name="_Toc396387833"/>
      <w:bookmarkStart w:id="157" w:name="_Toc396387947"/>
      <w:bookmarkStart w:id="158" w:name="_Toc398277632"/>
      <w:r w:rsidRPr="000C6ABF">
        <w:rPr>
          <w:lang w:val="fr-CH"/>
        </w:rPr>
        <w:t>Produits différés</w:t>
      </w:r>
      <w:bookmarkEnd w:id="153"/>
      <w:bookmarkEnd w:id="154"/>
      <w:bookmarkEnd w:id="155"/>
      <w:bookmarkEnd w:id="156"/>
      <w:bookmarkEnd w:id="157"/>
      <w:bookmarkEnd w:id="158"/>
    </w:p>
    <w:p w:rsidR="00043CC6" w:rsidRPr="000C6ABF" w:rsidRDefault="00043CC6" w:rsidP="00AB0C69">
      <w:pPr>
        <w:rPr>
          <w:spacing w:val="1"/>
          <w:lang w:val="fr-CH"/>
        </w:rPr>
      </w:pPr>
      <w:r w:rsidRPr="000C6ABF">
        <w:rPr>
          <w:lang w:val="fr-CH"/>
        </w:rPr>
        <w:t>57</w:t>
      </w:r>
      <w:r w:rsidRPr="000C6ABF">
        <w:rPr>
          <w:lang w:val="fr-CH"/>
        </w:rPr>
        <w:tab/>
        <w:t>En 2013, le montant comptabilisé sous la rubrique "Produits différés" s'établissait à 128,0 millions CHF, en baisse de 4,3 millions CHF (–3,3%) par rapport au montant de 132,3 millions CHF en 2012. Ce montant est constitué, pour l'essentiel, par les contributions versées par les membres de l'UIT (Etats Membres, Membres des Secteurs, Associés) et par les recettes tirées du traitement des fiches de notification des réseaux à satellite non encore finalisées fin 2013. Une ventilation détaillée des produits différés est donnée dans la Note 15 du</w:t>
      </w:r>
      <w:r w:rsidR="002B4FBF">
        <w:rPr>
          <w:lang w:val="fr-CH"/>
        </w:rPr>
        <w:t xml:space="preserve"> Rapport de gestion financière.</w:t>
      </w:r>
    </w:p>
    <w:p w:rsidR="00833A71" w:rsidRPr="000C6ABF" w:rsidRDefault="00833A71" w:rsidP="00AB0C69">
      <w:pPr>
        <w:pStyle w:val="Headingb"/>
        <w:rPr>
          <w:lang w:val="fr-CH"/>
        </w:rPr>
      </w:pPr>
      <w:bookmarkStart w:id="159" w:name="_Toc356330891"/>
      <w:bookmarkStart w:id="160" w:name="_Toc358123301"/>
      <w:bookmarkStart w:id="161" w:name="_Toc396386951"/>
      <w:bookmarkStart w:id="162" w:name="_Toc396387834"/>
      <w:bookmarkStart w:id="163" w:name="_Toc396387948"/>
      <w:bookmarkStart w:id="164" w:name="_Toc398277633"/>
      <w:r w:rsidRPr="000C6ABF">
        <w:rPr>
          <w:lang w:val="fr-CH"/>
        </w:rPr>
        <w:lastRenderedPageBreak/>
        <w:t>Provisions</w:t>
      </w:r>
      <w:bookmarkEnd w:id="159"/>
      <w:bookmarkEnd w:id="160"/>
      <w:bookmarkEnd w:id="161"/>
      <w:bookmarkEnd w:id="162"/>
      <w:bookmarkEnd w:id="163"/>
      <w:bookmarkEnd w:id="164"/>
    </w:p>
    <w:p w:rsidR="00833A71" w:rsidRPr="000C6ABF" w:rsidRDefault="00833A71" w:rsidP="00AB0C69">
      <w:pPr>
        <w:rPr>
          <w:spacing w:val="1"/>
          <w:lang w:val="fr-CH"/>
        </w:rPr>
      </w:pPr>
      <w:r w:rsidRPr="000C6ABF">
        <w:rPr>
          <w:lang w:val="fr-CH"/>
        </w:rPr>
        <w:t>58</w:t>
      </w:r>
      <w:r w:rsidRPr="000C6ABF">
        <w:rPr>
          <w:lang w:val="fr-CH"/>
        </w:rPr>
        <w:tab/>
        <w:t xml:space="preserve">En 2013, un montant de 0,90 million CHF était comptabilisé sous la rubrique "Provisions", </w:t>
      </w:r>
      <w:r w:rsidR="00E512A7" w:rsidRPr="000C6ABF">
        <w:rPr>
          <w:lang w:val="fr-CH"/>
        </w:rPr>
        <w:t>en baisse</w:t>
      </w:r>
      <w:r w:rsidRPr="000C6ABF">
        <w:rPr>
          <w:lang w:val="fr-CH"/>
        </w:rPr>
        <w:t xml:space="preserve"> de 0,2 million CHF (–20%) par rapport au montant de 1,19 million CHF pour 2012. Cette rubrique comprend la provision pour les recours (0,52 million CHF) et la provision pour les fiches de notification des réseaux à satellite traitées en franchise de droit (0,38 million CHF).</w:t>
      </w:r>
    </w:p>
    <w:p w:rsidR="00EB15DA" w:rsidRPr="000C6ABF" w:rsidRDefault="00596AB8" w:rsidP="00AB0C69">
      <w:pPr>
        <w:rPr>
          <w:lang w:val="fr-CH"/>
        </w:rPr>
      </w:pPr>
      <w:r w:rsidRPr="000C6ABF">
        <w:rPr>
          <w:lang w:val="fr-CH"/>
        </w:rPr>
        <w:t>59</w:t>
      </w:r>
      <w:r w:rsidRPr="000C6ABF">
        <w:rPr>
          <w:lang w:val="fr-CH"/>
        </w:rPr>
        <w:tab/>
      </w:r>
      <w:r w:rsidR="00BA0A9E" w:rsidRPr="000C6ABF">
        <w:rPr>
          <w:lang w:val="fr-CH"/>
        </w:rPr>
        <w:t>Après avoir examiné les rapports du Conseiller juridique de l'UIT, nous considérons que le montant provisionné pour couvrir d'éventuelles pertes liées à des recours est pour l'essentiel correct</w:t>
      </w:r>
      <w:r w:rsidR="00DB12C8" w:rsidRPr="000C6ABF">
        <w:rPr>
          <w:lang w:val="fr-CH"/>
        </w:rPr>
        <w:t xml:space="preserve">. </w:t>
      </w:r>
    </w:p>
    <w:p w:rsidR="00DB12C8" w:rsidRPr="000C6ABF" w:rsidRDefault="00DB12C8" w:rsidP="00AB0C69">
      <w:pPr>
        <w:pStyle w:val="Headingb"/>
        <w:rPr>
          <w:lang w:val="fr-CH"/>
        </w:rPr>
      </w:pPr>
      <w:bookmarkStart w:id="165" w:name="_Toc358123305"/>
      <w:bookmarkStart w:id="166" w:name="_Toc396386952"/>
      <w:bookmarkStart w:id="167" w:name="_Toc396387835"/>
      <w:bookmarkStart w:id="168" w:name="_Toc396387949"/>
      <w:bookmarkStart w:id="169" w:name="_Toc398277634"/>
      <w:r w:rsidRPr="000C6ABF">
        <w:rPr>
          <w:lang w:val="fr-CH"/>
        </w:rPr>
        <w:t>Emprunts et dettes financières</w:t>
      </w:r>
      <w:bookmarkEnd w:id="165"/>
      <w:bookmarkEnd w:id="166"/>
      <w:bookmarkEnd w:id="167"/>
      <w:bookmarkEnd w:id="168"/>
      <w:bookmarkEnd w:id="169"/>
    </w:p>
    <w:p w:rsidR="00DB12C8" w:rsidRPr="000C6ABF" w:rsidRDefault="00DB12C8" w:rsidP="002B4FBF">
      <w:pPr>
        <w:rPr>
          <w:lang w:val="fr-CH"/>
        </w:rPr>
      </w:pPr>
      <w:r w:rsidRPr="000C6ABF">
        <w:rPr>
          <w:spacing w:val="1"/>
          <w:lang w:val="fr-CH"/>
        </w:rPr>
        <w:t>60</w:t>
      </w:r>
      <w:r w:rsidRPr="000C6ABF">
        <w:rPr>
          <w:spacing w:val="1"/>
          <w:lang w:val="fr-CH"/>
        </w:rPr>
        <w:tab/>
        <w:t xml:space="preserve">Les emprunts contractés par l'UIT auprès de la </w:t>
      </w:r>
      <w:r w:rsidRPr="000C6ABF">
        <w:rPr>
          <w:lang w:val="fr-CH"/>
        </w:rPr>
        <w:t>FIPOI, pour la construction et la rénovation de certains de ses immeubles sont, à juste titre, comptabilisés dans les passifs courants à court terme (</w:t>
      </w:r>
      <w:r w:rsidRPr="000C6ABF">
        <w:rPr>
          <w:spacing w:val="1"/>
          <w:lang w:val="fr-CH"/>
        </w:rPr>
        <w:t>1,5 million</w:t>
      </w:r>
      <w:r w:rsidRPr="000C6ABF">
        <w:rPr>
          <w:lang w:val="fr-CH"/>
        </w:rPr>
        <w:t xml:space="preserve"> CHF</w:t>
      </w:r>
      <w:r w:rsidRPr="000C6ABF">
        <w:rPr>
          <w:spacing w:val="1"/>
          <w:lang w:val="fr-CH"/>
        </w:rPr>
        <w:t xml:space="preserve">, soit 1,0% du total des passifs courants), </w:t>
      </w:r>
      <w:r w:rsidR="00000485" w:rsidRPr="000C6ABF">
        <w:rPr>
          <w:spacing w:val="1"/>
          <w:lang w:val="fr-CH"/>
        </w:rPr>
        <w:t>ce qui correspond à</w:t>
      </w:r>
      <w:r w:rsidRPr="000C6ABF">
        <w:rPr>
          <w:spacing w:val="1"/>
          <w:lang w:val="fr-CH"/>
        </w:rPr>
        <w:t xml:space="preserve"> la somme que l'UIT doit rembourser à la </w:t>
      </w:r>
      <w:r w:rsidRPr="000C6ABF">
        <w:rPr>
          <w:lang w:val="fr-CH"/>
        </w:rPr>
        <w:t>FIPOI en 201</w:t>
      </w:r>
      <w:r w:rsidR="000B1BBC" w:rsidRPr="000C6ABF">
        <w:rPr>
          <w:lang w:val="fr-CH"/>
        </w:rPr>
        <w:t>4</w:t>
      </w:r>
      <w:r w:rsidRPr="000C6ABF">
        <w:rPr>
          <w:lang w:val="fr-CH"/>
        </w:rPr>
        <w:t>, et dans les passifs courants à long terme</w:t>
      </w:r>
      <w:r w:rsidR="000B1BBC" w:rsidRPr="000C6ABF">
        <w:rPr>
          <w:spacing w:val="1"/>
          <w:lang w:val="fr-CH"/>
        </w:rPr>
        <w:t xml:space="preserve"> (46</w:t>
      </w:r>
      <w:r w:rsidRPr="000C6ABF">
        <w:rPr>
          <w:spacing w:val="1"/>
          <w:lang w:val="fr-CH"/>
        </w:rPr>
        <w:t>,</w:t>
      </w:r>
      <w:r w:rsidR="000B1BBC" w:rsidRPr="000C6ABF">
        <w:rPr>
          <w:spacing w:val="1"/>
          <w:lang w:val="fr-CH"/>
        </w:rPr>
        <w:t>8</w:t>
      </w:r>
      <w:r w:rsidR="002B4FBF">
        <w:rPr>
          <w:spacing w:val="1"/>
          <w:lang w:val="fr-CH"/>
        </w:rPr>
        <w:t> </w:t>
      </w:r>
      <w:r w:rsidRPr="000C6ABF">
        <w:rPr>
          <w:spacing w:val="1"/>
          <w:lang w:val="fr-CH"/>
        </w:rPr>
        <w:t>millions</w:t>
      </w:r>
      <w:r w:rsidR="002B4FBF">
        <w:rPr>
          <w:spacing w:val="1"/>
          <w:lang w:val="fr-CH"/>
        </w:rPr>
        <w:t> </w:t>
      </w:r>
      <w:r w:rsidRPr="000C6ABF">
        <w:rPr>
          <w:spacing w:val="1"/>
          <w:lang w:val="fr-CH"/>
        </w:rPr>
        <w:t>CHF, soit 1</w:t>
      </w:r>
      <w:r w:rsidR="000B1BBC" w:rsidRPr="000C6ABF">
        <w:rPr>
          <w:spacing w:val="1"/>
          <w:lang w:val="fr-CH"/>
        </w:rPr>
        <w:t>1</w:t>
      </w:r>
      <w:r w:rsidRPr="000C6ABF">
        <w:rPr>
          <w:spacing w:val="1"/>
          <w:lang w:val="fr-CH"/>
        </w:rPr>
        <w:t>,</w:t>
      </w:r>
      <w:r w:rsidR="000B1BBC" w:rsidRPr="000C6ABF">
        <w:rPr>
          <w:spacing w:val="1"/>
          <w:lang w:val="fr-CH"/>
        </w:rPr>
        <w:t>4</w:t>
      </w:r>
      <w:r w:rsidRPr="000C6ABF">
        <w:rPr>
          <w:spacing w:val="1"/>
          <w:lang w:val="fr-CH"/>
        </w:rPr>
        <w:t>% du total des passifs non courants). Les montants, in</w:t>
      </w:r>
      <w:r w:rsidR="000B1BBC" w:rsidRPr="000C6ABF">
        <w:rPr>
          <w:spacing w:val="1"/>
          <w:lang w:val="fr-CH"/>
        </w:rPr>
        <w:t>diqués en détail dans la Note 16</w:t>
      </w:r>
      <w:r w:rsidRPr="000C6ABF">
        <w:rPr>
          <w:spacing w:val="1"/>
          <w:lang w:val="fr-CH"/>
        </w:rPr>
        <w:t xml:space="preserve"> du Rapport de gestion financière, sont également confirmés par les états financiers reçus de la </w:t>
      </w:r>
      <w:r w:rsidRPr="000C6ABF">
        <w:rPr>
          <w:lang w:val="fr-CH"/>
        </w:rPr>
        <w:t>FIPOI.</w:t>
      </w:r>
    </w:p>
    <w:p w:rsidR="000B1BBC" w:rsidRPr="000C6ABF" w:rsidRDefault="000B1BBC" w:rsidP="00AB0C69">
      <w:pPr>
        <w:pStyle w:val="Headingb"/>
        <w:rPr>
          <w:lang w:val="fr-CH"/>
        </w:rPr>
      </w:pPr>
      <w:bookmarkStart w:id="170" w:name="_Toc396386953"/>
      <w:bookmarkStart w:id="171" w:name="_Toc396387836"/>
      <w:bookmarkStart w:id="172" w:name="_Toc396387950"/>
      <w:bookmarkStart w:id="173" w:name="_Toc398277635"/>
      <w:r w:rsidRPr="000C6ABF">
        <w:rPr>
          <w:lang w:val="fr-CH"/>
        </w:rPr>
        <w:t>Autres passifs courants</w:t>
      </w:r>
      <w:bookmarkEnd w:id="170"/>
      <w:bookmarkEnd w:id="171"/>
      <w:bookmarkEnd w:id="172"/>
      <w:bookmarkEnd w:id="173"/>
    </w:p>
    <w:p w:rsidR="000B1BBC" w:rsidRPr="000C6ABF" w:rsidRDefault="000B1BBC" w:rsidP="001551E2">
      <w:pPr>
        <w:rPr>
          <w:spacing w:val="1"/>
          <w:lang w:val="fr-CH"/>
        </w:rPr>
      </w:pPr>
      <w:r w:rsidRPr="000C6ABF">
        <w:rPr>
          <w:lang w:val="fr-CH"/>
        </w:rPr>
        <w:t>61</w:t>
      </w:r>
      <w:r w:rsidRPr="000C6ABF">
        <w:rPr>
          <w:lang w:val="fr-CH"/>
        </w:rPr>
        <w:tab/>
      </w:r>
      <w:r w:rsidR="00BA0A9E" w:rsidRPr="000C6ABF">
        <w:rPr>
          <w:lang w:val="fr-CH"/>
        </w:rPr>
        <w:t>En 2013, les</w:t>
      </w:r>
      <w:r w:rsidR="00000485" w:rsidRPr="000C6ABF">
        <w:rPr>
          <w:lang w:val="fr-CH"/>
        </w:rPr>
        <w:t xml:space="preserve"> montants comptabilisés pour les</w:t>
      </w:r>
      <w:r w:rsidR="00BA0A9E" w:rsidRPr="000C6ABF">
        <w:rPr>
          <w:lang w:val="fr-CH"/>
        </w:rPr>
        <w:t xml:space="preserve"> sous</w:t>
      </w:r>
      <w:r w:rsidR="001551E2">
        <w:rPr>
          <w:lang w:val="fr-CH"/>
        </w:rPr>
        <w:noBreakHyphen/>
      </w:r>
      <w:r w:rsidR="00BA0A9E" w:rsidRPr="000C6ABF">
        <w:rPr>
          <w:lang w:val="fr-CH"/>
        </w:rPr>
        <w:t>rubriques</w:t>
      </w:r>
      <w:r w:rsidRPr="000C6ABF">
        <w:rPr>
          <w:lang w:val="fr-CH"/>
        </w:rPr>
        <w:t xml:space="preserve"> "</w:t>
      </w:r>
      <w:r w:rsidR="00BA0A9E" w:rsidRPr="000C6ABF">
        <w:rPr>
          <w:lang w:val="fr-CH"/>
        </w:rPr>
        <w:t>Avantages du personnel</w:t>
      </w:r>
      <w:r w:rsidR="006B5B96" w:rsidRPr="000C6ABF">
        <w:rPr>
          <w:lang w:val="fr-CH"/>
        </w:rPr>
        <w:t>"</w:t>
      </w:r>
      <w:r w:rsidRPr="000C6ABF">
        <w:rPr>
          <w:lang w:val="fr-CH"/>
        </w:rPr>
        <w:t xml:space="preserve"> </w:t>
      </w:r>
      <w:r w:rsidR="00BA0A9E" w:rsidRPr="000C6ABF">
        <w:rPr>
          <w:lang w:val="fr-CH"/>
        </w:rPr>
        <w:t>et</w:t>
      </w:r>
      <w:r w:rsidRPr="000C6ABF">
        <w:rPr>
          <w:lang w:val="fr-CH"/>
        </w:rPr>
        <w:t xml:space="preserve"> </w:t>
      </w:r>
      <w:r w:rsidR="006B5B96" w:rsidRPr="000C6ABF">
        <w:rPr>
          <w:lang w:val="fr-CH"/>
        </w:rPr>
        <w:t>"</w:t>
      </w:r>
      <w:r w:rsidR="00BA0A9E" w:rsidRPr="000C6ABF">
        <w:rPr>
          <w:lang w:val="fr-CH"/>
        </w:rPr>
        <w:t>Autres dettes</w:t>
      </w:r>
      <w:r w:rsidR="006B5B96" w:rsidRPr="000C6ABF">
        <w:rPr>
          <w:lang w:val="fr-CH"/>
        </w:rPr>
        <w:t>"</w:t>
      </w:r>
      <w:r w:rsidRPr="000C6ABF">
        <w:rPr>
          <w:lang w:val="fr-CH"/>
        </w:rPr>
        <w:t xml:space="preserve"> </w:t>
      </w:r>
      <w:r w:rsidR="00000485" w:rsidRPr="000C6ABF">
        <w:rPr>
          <w:lang w:val="fr-CH"/>
        </w:rPr>
        <w:t xml:space="preserve">étaient </w:t>
      </w:r>
      <w:r w:rsidR="00BA0A9E" w:rsidRPr="000C6ABF">
        <w:rPr>
          <w:lang w:val="fr-CH"/>
        </w:rPr>
        <w:t xml:space="preserve">respectivement </w:t>
      </w:r>
      <w:r w:rsidR="00000485" w:rsidRPr="000C6ABF">
        <w:rPr>
          <w:lang w:val="fr-CH"/>
        </w:rPr>
        <w:t xml:space="preserve">de </w:t>
      </w:r>
      <w:r w:rsidR="008A67C3" w:rsidRPr="000C6ABF">
        <w:rPr>
          <w:lang w:val="fr-CH"/>
        </w:rPr>
        <w:t>0,</w:t>
      </w:r>
      <w:r w:rsidRPr="000C6ABF">
        <w:rPr>
          <w:lang w:val="fr-CH"/>
        </w:rPr>
        <w:t xml:space="preserve">5 </w:t>
      </w:r>
      <w:r w:rsidR="00BA0A9E" w:rsidRPr="000C6ABF">
        <w:rPr>
          <w:lang w:val="fr-CH"/>
        </w:rPr>
        <w:t xml:space="preserve">million </w:t>
      </w:r>
      <w:r w:rsidRPr="000C6ABF">
        <w:rPr>
          <w:lang w:val="fr-CH"/>
        </w:rPr>
        <w:t>CHF (</w:t>
      </w:r>
      <w:r w:rsidR="008A67C3" w:rsidRPr="000C6ABF">
        <w:rPr>
          <w:lang w:val="fr-CH"/>
        </w:rPr>
        <w:t>1,</w:t>
      </w:r>
      <w:r w:rsidRPr="000C6ABF">
        <w:rPr>
          <w:lang w:val="fr-CH"/>
        </w:rPr>
        <w:t xml:space="preserve">2 </w:t>
      </w:r>
      <w:r w:rsidR="008A67C3" w:rsidRPr="000C6ABF">
        <w:rPr>
          <w:lang w:val="fr-CH"/>
        </w:rPr>
        <w:t>million CHF</w:t>
      </w:r>
      <w:r w:rsidRPr="000C6ABF">
        <w:rPr>
          <w:lang w:val="fr-CH"/>
        </w:rPr>
        <w:t xml:space="preserve"> </w:t>
      </w:r>
      <w:r w:rsidR="00BA0A9E" w:rsidRPr="000C6ABF">
        <w:rPr>
          <w:lang w:val="fr-CH"/>
        </w:rPr>
        <w:t>en</w:t>
      </w:r>
      <w:r w:rsidRPr="000C6ABF">
        <w:rPr>
          <w:lang w:val="fr-CH"/>
        </w:rPr>
        <w:t xml:space="preserve"> 2012</w:t>
      </w:r>
      <w:r w:rsidR="008A67C3" w:rsidRPr="000C6ABF">
        <w:rPr>
          <w:lang w:val="fr-CH"/>
        </w:rPr>
        <w:t xml:space="preserve">) </w:t>
      </w:r>
      <w:r w:rsidR="00BA0A9E" w:rsidRPr="000C6ABF">
        <w:rPr>
          <w:lang w:val="fr-CH"/>
        </w:rPr>
        <w:t xml:space="preserve">et </w:t>
      </w:r>
      <w:r w:rsidR="00000485" w:rsidRPr="000C6ABF">
        <w:rPr>
          <w:lang w:val="fr-CH"/>
        </w:rPr>
        <w:t xml:space="preserve">de </w:t>
      </w:r>
      <w:r w:rsidR="008A67C3" w:rsidRPr="000C6ABF">
        <w:rPr>
          <w:lang w:val="fr-CH"/>
        </w:rPr>
        <w:t>1,</w:t>
      </w:r>
      <w:r w:rsidRPr="000C6ABF">
        <w:rPr>
          <w:lang w:val="fr-CH"/>
        </w:rPr>
        <w:t>6</w:t>
      </w:r>
      <w:r w:rsidR="00000485" w:rsidRPr="000C6ABF">
        <w:rPr>
          <w:lang w:val="fr-CH"/>
        </w:rPr>
        <w:t> </w:t>
      </w:r>
      <w:r w:rsidR="008A67C3" w:rsidRPr="000C6ABF">
        <w:rPr>
          <w:lang w:val="fr-CH"/>
        </w:rPr>
        <w:t>million CHF</w:t>
      </w:r>
      <w:r w:rsidRPr="000C6ABF">
        <w:rPr>
          <w:lang w:val="fr-CH"/>
        </w:rPr>
        <w:t xml:space="preserve"> (1</w:t>
      </w:r>
      <w:r w:rsidR="008A67C3" w:rsidRPr="000C6ABF">
        <w:rPr>
          <w:lang w:val="fr-CH"/>
        </w:rPr>
        <w:t>,</w:t>
      </w:r>
      <w:r w:rsidRPr="000C6ABF">
        <w:rPr>
          <w:lang w:val="fr-CH"/>
        </w:rPr>
        <w:t xml:space="preserve">8 </w:t>
      </w:r>
      <w:r w:rsidR="008A67C3" w:rsidRPr="000C6ABF">
        <w:rPr>
          <w:lang w:val="fr-CH"/>
        </w:rPr>
        <w:t>million CHF</w:t>
      </w:r>
      <w:r w:rsidR="00BA0A9E" w:rsidRPr="000C6ABF">
        <w:rPr>
          <w:lang w:val="fr-CH"/>
        </w:rPr>
        <w:t xml:space="preserve"> en</w:t>
      </w:r>
      <w:r w:rsidRPr="000C6ABF">
        <w:rPr>
          <w:lang w:val="fr-CH"/>
        </w:rPr>
        <w:t xml:space="preserve"> 2012). </w:t>
      </w:r>
      <w:r w:rsidR="00BA0A9E" w:rsidRPr="000C6ABF">
        <w:rPr>
          <w:lang w:val="fr-CH"/>
        </w:rPr>
        <w:t>Une description et une ventilation détaillée</w:t>
      </w:r>
      <w:r w:rsidR="00000485" w:rsidRPr="000C6ABF">
        <w:rPr>
          <w:lang w:val="fr-CH"/>
        </w:rPr>
        <w:t>s</w:t>
      </w:r>
      <w:r w:rsidR="00BA0A9E" w:rsidRPr="000C6ABF">
        <w:rPr>
          <w:lang w:val="fr-CH"/>
        </w:rPr>
        <w:t xml:space="preserve"> sont données respectivement dans les</w:t>
      </w:r>
      <w:r w:rsidR="008A67C3" w:rsidRPr="000C6ABF">
        <w:rPr>
          <w:lang w:val="fr-CH"/>
        </w:rPr>
        <w:t xml:space="preserve"> </w:t>
      </w:r>
      <w:r w:rsidRPr="000C6ABF">
        <w:rPr>
          <w:lang w:val="fr-CH"/>
        </w:rPr>
        <w:t xml:space="preserve">Notes 16.1 </w:t>
      </w:r>
      <w:r w:rsidR="008A67C3" w:rsidRPr="000C6ABF">
        <w:rPr>
          <w:lang w:val="fr-CH"/>
        </w:rPr>
        <w:t>et</w:t>
      </w:r>
      <w:r w:rsidRPr="000C6ABF">
        <w:rPr>
          <w:lang w:val="fr-CH"/>
        </w:rPr>
        <w:t xml:space="preserve"> 18 </w:t>
      </w:r>
      <w:r w:rsidR="008A67C3" w:rsidRPr="000C6ABF">
        <w:rPr>
          <w:spacing w:val="1"/>
          <w:lang w:val="fr-CH"/>
        </w:rPr>
        <w:t>du Rapport de gestion financière</w:t>
      </w:r>
      <w:r w:rsidRPr="000C6ABF">
        <w:rPr>
          <w:spacing w:val="1"/>
          <w:lang w:val="fr-CH"/>
        </w:rPr>
        <w:t>.</w:t>
      </w:r>
    </w:p>
    <w:p w:rsidR="000B1BBC" w:rsidRPr="000C6ABF" w:rsidRDefault="000B1BBC" w:rsidP="007F0309">
      <w:pPr>
        <w:rPr>
          <w:lang w:val="fr-CH"/>
        </w:rPr>
      </w:pPr>
      <w:r w:rsidRPr="000C6ABF">
        <w:rPr>
          <w:spacing w:val="1"/>
          <w:lang w:val="fr-CH"/>
        </w:rPr>
        <w:t>62</w:t>
      </w:r>
      <w:r w:rsidRPr="000C6ABF">
        <w:rPr>
          <w:spacing w:val="1"/>
          <w:lang w:val="fr-CH"/>
        </w:rPr>
        <w:tab/>
      </w:r>
      <w:r w:rsidR="00BA0A9E" w:rsidRPr="000C6ABF">
        <w:rPr>
          <w:spacing w:val="1"/>
          <w:lang w:val="fr-CH"/>
        </w:rPr>
        <w:t xml:space="preserve">En particulier, les </w:t>
      </w:r>
      <w:r w:rsidR="00000485" w:rsidRPr="000C6ABF">
        <w:rPr>
          <w:spacing w:val="1"/>
          <w:lang w:val="fr-CH"/>
        </w:rPr>
        <w:t>"A</w:t>
      </w:r>
      <w:r w:rsidR="00BA0A9E" w:rsidRPr="000C6ABF">
        <w:rPr>
          <w:spacing w:val="1"/>
          <w:lang w:val="fr-CH"/>
        </w:rPr>
        <w:t>vantages du personnel</w:t>
      </w:r>
      <w:r w:rsidR="00000485" w:rsidRPr="000C6ABF">
        <w:rPr>
          <w:spacing w:val="1"/>
          <w:lang w:val="fr-CH"/>
        </w:rPr>
        <w:t>" à court</w:t>
      </w:r>
      <w:r w:rsidR="00BA0A9E" w:rsidRPr="000C6ABF">
        <w:rPr>
          <w:spacing w:val="1"/>
          <w:lang w:val="fr-CH"/>
        </w:rPr>
        <w:t xml:space="preserve"> terme, comptabilisés sous</w:t>
      </w:r>
      <w:r w:rsidR="008E11FD" w:rsidRPr="000C6ABF">
        <w:rPr>
          <w:spacing w:val="1"/>
          <w:lang w:val="fr-CH"/>
        </w:rPr>
        <w:t xml:space="preserve"> </w:t>
      </w:r>
      <w:r w:rsidR="006B5B96" w:rsidRPr="000C6ABF">
        <w:rPr>
          <w:spacing w:val="1"/>
          <w:lang w:val="fr-CH"/>
        </w:rPr>
        <w:t>"</w:t>
      </w:r>
      <w:r w:rsidR="008E11FD" w:rsidRPr="000C6ABF">
        <w:rPr>
          <w:spacing w:val="1"/>
          <w:lang w:val="fr-CH"/>
        </w:rPr>
        <w:t>Passifs courants</w:t>
      </w:r>
      <w:r w:rsidR="006B5B96" w:rsidRPr="000C6ABF">
        <w:rPr>
          <w:spacing w:val="1"/>
          <w:lang w:val="fr-CH"/>
        </w:rPr>
        <w:t>"</w:t>
      </w:r>
      <w:r w:rsidR="008E11FD" w:rsidRPr="000C6ABF">
        <w:rPr>
          <w:spacing w:val="1"/>
          <w:lang w:val="fr-CH"/>
        </w:rPr>
        <w:t xml:space="preserve"> se composent </w:t>
      </w:r>
      <w:r w:rsidR="007F0309" w:rsidRPr="000C6ABF">
        <w:rPr>
          <w:spacing w:val="1"/>
          <w:lang w:val="fr-CH"/>
        </w:rPr>
        <w:t>de la provision pour</w:t>
      </w:r>
      <w:r w:rsidR="008E11FD" w:rsidRPr="000C6ABF">
        <w:rPr>
          <w:spacing w:val="1"/>
          <w:lang w:val="fr-CH"/>
        </w:rPr>
        <w:t xml:space="preserve"> heures supplémentaires</w:t>
      </w:r>
      <w:r w:rsidR="008A67C3" w:rsidRPr="000C6ABF">
        <w:rPr>
          <w:lang w:val="fr-CH"/>
        </w:rPr>
        <w:t xml:space="preserve"> (0,</w:t>
      </w:r>
      <w:r w:rsidRPr="000C6ABF">
        <w:rPr>
          <w:lang w:val="fr-CH"/>
        </w:rPr>
        <w:t xml:space="preserve">04 </w:t>
      </w:r>
      <w:r w:rsidR="008A67C3" w:rsidRPr="000C6ABF">
        <w:rPr>
          <w:lang w:val="fr-CH"/>
        </w:rPr>
        <w:t>million CHF e</w:t>
      </w:r>
      <w:r w:rsidRPr="000C6ABF">
        <w:rPr>
          <w:lang w:val="fr-CH"/>
        </w:rPr>
        <w:t>n 2013)</w:t>
      </w:r>
      <w:r w:rsidR="00A47698" w:rsidRPr="000C6ABF">
        <w:rPr>
          <w:lang w:val="fr-CH"/>
        </w:rPr>
        <w:t xml:space="preserve"> </w:t>
      </w:r>
      <w:r w:rsidR="008E11FD" w:rsidRPr="000C6ABF">
        <w:rPr>
          <w:lang w:val="fr-CH"/>
        </w:rPr>
        <w:t>et</w:t>
      </w:r>
      <w:r w:rsidR="007F0309" w:rsidRPr="000C6ABF">
        <w:rPr>
          <w:lang w:val="fr-CH"/>
        </w:rPr>
        <w:t xml:space="preserve"> de la provision pour</w:t>
      </w:r>
      <w:r w:rsidR="008E11FD" w:rsidRPr="000C6ABF">
        <w:rPr>
          <w:lang w:val="fr-CH"/>
        </w:rPr>
        <w:t xml:space="preserve"> congés accumulés</w:t>
      </w:r>
      <w:r w:rsidR="008A67C3" w:rsidRPr="000C6ABF">
        <w:rPr>
          <w:lang w:val="fr-CH"/>
        </w:rPr>
        <w:t xml:space="preserve"> (0,</w:t>
      </w:r>
      <w:r w:rsidRPr="000C6ABF">
        <w:rPr>
          <w:lang w:val="fr-CH"/>
        </w:rPr>
        <w:t>4</w:t>
      </w:r>
      <w:r w:rsidR="008A67C3" w:rsidRPr="000C6ABF">
        <w:rPr>
          <w:lang w:val="fr-CH"/>
        </w:rPr>
        <w:t> million CHF e</w:t>
      </w:r>
      <w:r w:rsidRPr="000C6ABF">
        <w:rPr>
          <w:lang w:val="fr-CH"/>
        </w:rPr>
        <w:t xml:space="preserve">n 2013). </w:t>
      </w:r>
      <w:r w:rsidR="008E11FD" w:rsidRPr="000C6ABF">
        <w:rPr>
          <w:lang w:val="fr-CH"/>
        </w:rPr>
        <w:t>Nos vérifications n</w:t>
      </w:r>
      <w:r w:rsidR="00AB0C69" w:rsidRPr="000C6ABF">
        <w:rPr>
          <w:lang w:val="fr-CH"/>
        </w:rPr>
        <w:t>'</w:t>
      </w:r>
      <w:r w:rsidR="008E11FD" w:rsidRPr="000C6ABF">
        <w:rPr>
          <w:lang w:val="fr-CH"/>
        </w:rPr>
        <w:t xml:space="preserve">ont fait apparaître </w:t>
      </w:r>
      <w:r w:rsidR="007F0309" w:rsidRPr="000C6ABF">
        <w:rPr>
          <w:lang w:val="fr-CH"/>
        </w:rPr>
        <w:t xml:space="preserve">aucun </w:t>
      </w:r>
      <w:r w:rsidR="008E11FD" w:rsidRPr="000C6ABF">
        <w:rPr>
          <w:lang w:val="fr-CH"/>
        </w:rPr>
        <w:t>problème majeur et les provisions sont</w:t>
      </w:r>
      <w:r w:rsidR="007F0309" w:rsidRPr="000C6ABF">
        <w:rPr>
          <w:lang w:val="fr-CH"/>
        </w:rPr>
        <w:t>,</w:t>
      </w:r>
      <w:r w:rsidR="008E11FD" w:rsidRPr="000C6ABF">
        <w:rPr>
          <w:lang w:val="fr-CH"/>
        </w:rPr>
        <w:t xml:space="preserve"> pour l</w:t>
      </w:r>
      <w:r w:rsidR="00AB0C69" w:rsidRPr="000C6ABF">
        <w:rPr>
          <w:lang w:val="fr-CH"/>
        </w:rPr>
        <w:t>'</w:t>
      </w:r>
      <w:r w:rsidR="008E11FD" w:rsidRPr="000C6ABF">
        <w:rPr>
          <w:lang w:val="fr-CH"/>
        </w:rPr>
        <w:t>essentiel</w:t>
      </w:r>
      <w:r w:rsidR="007F0309" w:rsidRPr="000C6ABF">
        <w:rPr>
          <w:lang w:val="fr-CH"/>
        </w:rPr>
        <w:t>,</w:t>
      </w:r>
      <w:r w:rsidR="008E11FD" w:rsidRPr="000C6ABF">
        <w:rPr>
          <w:lang w:val="fr-CH"/>
        </w:rPr>
        <w:t xml:space="preserve"> exactes.</w:t>
      </w:r>
    </w:p>
    <w:p w:rsidR="00DB12C8" w:rsidRPr="000C6ABF" w:rsidRDefault="00DB12C8" w:rsidP="00AB0C69">
      <w:pPr>
        <w:pStyle w:val="Headingb"/>
        <w:rPr>
          <w:u w:val="single"/>
          <w:lang w:val="fr-CH"/>
        </w:rPr>
      </w:pPr>
      <w:bookmarkStart w:id="174" w:name="_Toc358123306"/>
      <w:bookmarkStart w:id="175" w:name="_Toc396386954"/>
      <w:bookmarkStart w:id="176" w:name="_Toc396387837"/>
      <w:bookmarkStart w:id="177" w:name="_Toc396387951"/>
      <w:bookmarkStart w:id="178" w:name="_Toc398277636"/>
      <w:r w:rsidRPr="000C6ABF">
        <w:rPr>
          <w:lang w:val="fr-CH"/>
        </w:rPr>
        <w:t>Passifs non courants</w:t>
      </w:r>
      <w:bookmarkEnd w:id="174"/>
      <w:bookmarkEnd w:id="175"/>
      <w:bookmarkEnd w:id="176"/>
      <w:bookmarkEnd w:id="177"/>
      <w:bookmarkEnd w:id="178"/>
    </w:p>
    <w:p w:rsidR="00DB12C8" w:rsidRPr="000C6ABF" w:rsidRDefault="005235B5" w:rsidP="007F0309">
      <w:pPr>
        <w:rPr>
          <w:lang w:val="fr-CH"/>
        </w:rPr>
      </w:pPr>
      <w:r w:rsidRPr="000C6ABF">
        <w:rPr>
          <w:lang w:val="fr-CH"/>
        </w:rPr>
        <w:t>63</w:t>
      </w:r>
      <w:r w:rsidR="00DB12C8" w:rsidRPr="000C6ABF">
        <w:rPr>
          <w:lang w:val="fr-CH"/>
        </w:rPr>
        <w:tab/>
        <w:t>En 201</w:t>
      </w:r>
      <w:r w:rsidRPr="000C6ABF">
        <w:rPr>
          <w:lang w:val="fr-CH"/>
        </w:rPr>
        <w:t>3</w:t>
      </w:r>
      <w:r w:rsidR="00DB12C8" w:rsidRPr="000C6ABF">
        <w:rPr>
          <w:lang w:val="fr-CH"/>
        </w:rPr>
        <w:t>, le montant total des passifs non courants se chiffrait à 4</w:t>
      </w:r>
      <w:r w:rsidRPr="000C6ABF">
        <w:rPr>
          <w:lang w:val="fr-CH"/>
        </w:rPr>
        <w:t>10</w:t>
      </w:r>
      <w:r w:rsidR="00DB12C8" w:rsidRPr="000C6ABF">
        <w:rPr>
          <w:lang w:val="fr-CH"/>
        </w:rPr>
        <w:t>,</w:t>
      </w:r>
      <w:r w:rsidRPr="000C6ABF">
        <w:rPr>
          <w:lang w:val="fr-CH"/>
        </w:rPr>
        <w:t>1</w:t>
      </w:r>
      <w:r w:rsidR="00DB12C8" w:rsidRPr="000C6ABF">
        <w:rPr>
          <w:lang w:val="fr-CH"/>
        </w:rPr>
        <w:t xml:space="preserve"> millions CHF, en </w:t>
      </w:r>
      <w:r w:rsidRPr="000C6ABF">
        <w:rPr>
          <w:lang w:val="fr-CH"/>
        </w:rPr>
        <w:t>baisse</w:t>
      </w:r>
      <w:r w:rsidR="00DB12C8" w:rsidRPr="000C6ABF">
        <w:rPr>
          <w:lang w:val="fr-CH"/>
        </w:rPr>
        <w:t xml:space="preserve"> de </w:t>
      </w:r>
      <w:r w:rsidRPr="000C6ABF">
        <w:rPr>
          <w:lang w:val="fr-CH"/>
        </w:rPr>
        <w:t>33,0</w:t>
      </w:r>
      <w:r w:rsidR="00DB12C8" w:rsidRPr="000C6ABF">
        <w:rPr>
          <w:lang w:val="fr-CH"/>
        </w:rPr>
        <w:t xml:space="preserve"> millions CHF </w:t>
      </w:r>
      <w:r w:rsidRPr="000C6ABF">
        <w:rPr>
          <w:lang w:val="fr-CH"/>
        </w:rPr>
        <w:t>(–</w:t>
      </w:r>
      <w:r w:rsidR="00DB12C8" w:rsidRPr="000C6ABF">
        <w:rPr>
          <w:lang w:val="fr-CH"/>
        </w:rPr>
        <w:t>7</w:t>
      </w:r>
      <w:r w:rsidRPr="000C6ABF">
        <w:rPr>
          <w:lang w:val="fr-CH"/>
        </w:rPr>
        <w:t>,4</w:t>
      </w:r>
      <w:r w:rsidR="00DB12C8" w:rsidRPr="000C6ABF">
        <w:rPr>
          <w:lang w:val="fr-CH"/>
        </w:rPr>
        <w:t>%) par rapport à</w:t>
      </w:r>
      <w:r w:rsidRPr="000C6ABF">
        <w:rPr>
          <w:lang w:val="fr-CH"/>
        </w:rPr>
        <w:t xml:space="preserve"> 2012</w:t>
      </w:r>
      <w:r w:rsidR="00DB12C8" w:rsidRPr="000C6ABF">
        <w:rPr>
          <w:lang w:val="fr-CH"/>
        </w:rPr>
        <w:t xml:space="preserve"> (</w:t>
      </w:r>
      <w:r w:rsidRPr="000C6ABF">
        <w:rPr>
          <w:lang w:val="fr-CH"/>
        </w:rPr>
        <w:t>443,1</w:t>
      </w:r>
      <w:r w:rsidR="00DB12C8" w:rsidRPr="000C6ABF">
        <w:rPr>
          <w:lang w:val="fr-CH"/>
        </w:rPr>
        <w:t xml:space="preserve"> millions CHF). Globalement, cette </w:t>
      </w:r>
      <w:r w:rsidRPr="000C6ABF">
        <w:rPr>
          <w:lang w:val="fr-CH"/>
        </w:rPr>
        <w:t>baisse</w:t>
      </w:r>
      <w:r w:rsidR="00DB12C8" w:rsidRPr="000C6ABF">
        <w:rPr>
          <w:lang w:val="fr-CH"/>
        </w:rPr>
        <w:t xml:space="preserve"> s'explique par </w:t>
      </w:r>
      <w:r w:rsidRPr="000C6ABF">
        <w:rPr>
          <w:lang w:val="fr-CH"/>
        </w:rPr>
        <w:t xml:space="preserve">la baisse </w:t>
      </w:r>
      <w:r w:rsidR="00DB12C8" w:rsidRPr="000C6ABF">
        <w:rPr>
          <w:lang w:val="fr-CH"/>
        </w:rPr>
        <w:t>du montant des avantages du personnel (</w:t>
      </w:r>
      <w:r w:rsidRPr="000C6ABF">
        <w:rPr>
          <w:rFonts w:ascii="Symbol" w:hAnsi="Symbol"/>
          <w:lang w:val="fr-CH"/>
        </w:rPr>
        <w:noBreakHyphen/>
      </w:r>
      <w:r w:rsidRPr="000C6ABF">
        <w:rPr>
          <w:lang w:val="fr-CH"/>
        </w:rPr>
        <w:t>21,1 </w:t>
      </w:r>
      <w:r w:rsidR="00DB12C8" w:rsidRPr="000C6ABF">
        <w:rPr>
          <w:lang w:val="fr-CH"/>
        </w:rPr>
        <w:t>millions</w:t>
      </w:r>
      <w:r w:rsidRPr="000C6ABF">
        <w:rPr>
          <w:lang w:val="fr-CH"/>
        </w:rPr>
        <w:t> </w:t>
      </w:r>
      <w:r w:rsidR="00DB12C8" w:rsidRPr="000C6ABF">
        <w:rPr>
          <w:lang w:val="fr-CH"/>
        </w:rPr>
        <w:t>CHF</w:t>
      </w:r>
      <w:r w:rsidRPr="000C6ABF">
        <w:rPr>
          <w:lang w:val="fr-CH"/>
        </w:rPr>
        <w:t>;</w:t>
      </w:r>
      <w:r w:rsidR="00DB12C8" w:rsidRPr="000C6ABF">
        <w:rPr>
          <w:lang w:val="fr-CH"/>
        </w:rPr>
        <w:t xml:space="preserve"> </w:t>
      </w:r>
      <w:r w:rsidRPr="000C6ABF">
        <w:rPr>
          <w:rFonts w:ascii="Symbol" w:hAnsi="Symbol"/>
          <w:lang w:val="fr-CH"/>
        </w:rPr>
        <w:noBreakHyphen/>
      </w:r>
      <w:r w:rsidRPr="000C6ABF">
        <w:rPr>
          <w:rFonts w:ascii="Symbol" w:hAnsi="Symbol"/>
          <w:lang w:val="fr-CH"/>
        </w:rPr>
        <w:t></w:t>
      </w:r>
      <w:r w:rsidRPr="000C6ABF">
        <w:rPr>
          <w:rFonts w:ascii="Symbol" w:hAnsi="Symbol"/>
          <w:lang w:val="fr-CH"/>
        </w:rPr>
        <w:t></w:t>
      </w:r>
      <w:r w:rsidRPr="000C6ABF">
        <w:rPr>
          <w:rFonts w:ascii="Symbol" w:hAnsi="Symbol"/>
          <w:lang w:val="fr-CH"/>
        </w:rPr>
        <w:t></w:t>
      </w:r>
      <w:r w:rsidR="00DB12C8" w:rsidRPr="000C6ABF">
        <w:rPr>
          <w:lang w:val="fr-CH"/>
        </w:rPr>
        <w:t xml:space="preserve">%). La base pour l'évaluation des passifs non courants est donnée dans les </w:t>
      </w:r>
      <w:r w:rsidR="007F0309" w:rsidRPr="000C6ABF">
        <w:rPr>
          <w:lang w:val="fr-CH"/>
        </w:rPr>
        <w:t>P</w:t>
      </w:r>
      <w:r w:rsidR="00DB12C8" w:rsidRPr="000C6ABF">
        <w:rPr>
          <w:lang w:val="fr-CH"/>
        </w:rPr>
        <w:t>rincipes comptables (Note 3).</w:t>
      </w:r>
    </w:p>
    <w:p w:rsidR="00DB12C8" w:rsidRPr="000C6ABF" w:rsidRDefault="005235B5" w:rsidP="00AB0C69">
      <w:pPr>
        <w:rPr>
          <w:spacing w:val="3"/>
          <w:lang w:val="fr-CH"/>
        </w:rPr>
      </w:pPr>
      <w:r w:rsidRPr="000C6ABF">
        <w:rPr>
          <w:lang w:val="fr-CH"/>
        </w:rPr>
        <w:t>64</w:t>
      </w:r>
      <w:r w:rsidR="00DB12C8" w:rsidRPr="000C6ABF">
        <w:rPr>
          <w:lang w:val="fr-CH"/>
        </w:rPr>
        <w:tab/>
        <w:t xml:space="preserve">Cette rubrique comprenait les dettes à long terme (voir le paragraphe </w:t>
      </w:r>
      <w:r w:rsidR="002B4FBF">
        <w:rPr>
          <w:lang w:val="fr-CH"/>
        </w:rPr>
        <w:t>"</w:t>
      </w:r>
      <w:r w:rsidR="00DB12C8" w:rsidRPr="000C6ABF">
        <w:rPr>
          <w:lang w:val="fr-CH"/>
        </w:rPr>
        <w:t>Emprunts</w:t>
      </w:r>
      <w:r w:rsidR="002B4FBF">
        <w:rPr>
          <w:lang w:val="fr-CH"/>
        </w:rPr>
        <w:t>"</w:t>
      </w:r>
      <w:r w:rsidR="00DB12C8" w:rsidRPr="000C6ABF">
        <w:rPr>
          <w:lang w:val="fr-CH"/>
        </w:rPr>
        <w:t>), les fonds de tiers affectés ou en cours d'affectation</w:t>
      </w:r>
      <w:r w:rsidR="00DB12C8" w:rsidRPr="000C6ABF">
        <w:rPr>
          <w:spacing w:val="3"/>
          <w:lang w:val="fr-CH"/>
        </w:rPr>
        <w:t>, les passifs liés à la capitalisation de la Caisse d'assurance pour la protection de la santé du personnel (CAPS) et les provisions constituées pour couvrir des engagements d'une échéance et d'un montant incertains, liés pour l'essentiel aux prestations après la cessation de service.</w:t>
      </w:r>
    </w:p>
    <w:p w:rsidR="00DB12C8" w:rsidRPr="000C6ABF" w:rsidRDefault="00DB12C8" w:rsidP="00AB0C69">
      <w:pPr>
        <w:pStyle w:val="Headingb"/>
        <w:rPr>
          <w:lang w:val="fr-CH"/>
        </w:rPr>
      </w:pPr>
      <w:bookmarkStart w:id="179" w:name="_Toc356330896"/>
      <w:bookmarkStart w:id="180" w:name="_Toc358123307"/>
      <w:bookmarkStart w:id="181" w:name="_Toc396386955"/>
      <w:bookmarkStart w:id="182" w:name="_Toc396387838"/>
      <w:bookmarkStart w:id="183" w:name="_Toc396387952"/>
      <w:bookmarkStart w:id="184" w:name="_Toc398277637"/>
      <w:r w:rsidRPr="000C6ABF">
        <w:rPr>
          <w:lang w:val="fr-CH"/>
        </w:rPr>
        <w:t>Avantages du personnel à long terme</w:t>
      </w:r>
      <w:bookmarkEnd w:id="179"/>
      <w:bookmarkEnd w:id="180"/>
      <w:bookmarkEnd w:id="181"/>
      <w:bookmarkEnd w:id="182"/>
      <w:bookmarkEnd w:id="183"/>
      <w:bookmarkEnd w:id="184"/>
    </w:p>
    <w:p w:rsidR="00DB12C8" w:rsidRPr="000C6ABF" w:rsidRDefault="00661532" w:rsidP="002B4FBF">
      <w:pPr>
        <w:rPr>
          <w:spacing w:val="1"/>
          <w:lang w:val="fr-CH"/>
        </w:rPr>
      </w:pPr>
      <w:r w:rsidRPr="000C6ABF">
        <w:rPr>
          <w:lang w:val="fr-CH"/>
        </w:rPr>
        <w:t>65</w:t>
      </w:r>
      <w:r w:rsidR="00DB12C8" w:rsidRPr="000C6ABF">
        <w:rPr>
          <w:lang w:val="fr-CH"/>
        </w:rPr>
        <w:tab/>
        <w:t>En 201</w:t>
      </w:r>
      <w:r w:rsidR="0069316B" w:rsidRPr="000C6ABF">
        <w:rPr>
          <w:lang w:val="fr-CH"/>
        </w:rPr>
        <w:t>3</w:t>
      </w:r>
      <w:r w:rsidR="00DB12C8" w:rsidRPr="000C6ABF">
        <w:rPr>
          <w:lang w:val="fr-CH"/>
        </w:rPr>
        <w:t xml:space="preserve">, le montant pour la rubrique </w:t>
      </w:r>
      <w:r w:rsidR="0069316B" w:rsidRPr="000C6ABF">
        <w:rPr>
          <w:lang w:val="fr-CH"/>
        </w:rPr>
        <w:t>"</w:t>
      </w:r>
      <w:r w:rsidR="0077129D" w:rsidRPr="000C6ABF">
        <w:rPr>
          <w:lang w:val="fr-CH"/>
        </w:rPr>
        <w:t>Avantages du personnel à long terme</w:t>
      </w:r>
      <w:r w:rsidR="00DB12C8" w:rsidRPr="000C6ABF">
        <w:rPr>
          <w:lang w:val="fr-CH"/>
        </w:rPr>
        <w:t>" s'établissait à 3</w:t>
      </w:r>
      <w:r w:rsidRPr="000C6ABF">
        <w:rPr>
          <w:lang w:val="fr-CH"/>
        </w:rPr>
        <w:t>35</w:t>
      </w:r>
      <w:r w:rsidR="00DB12C8" w:rsidRPr="000C6ABF">
        <w:rPr>
          <w:lang w:val="fr-CH"/>
        </w:rPr>
        <w:t>,</w:t>
      </w:r>
      <w:r w:rsidRPr="000C6ABF">
        <w:rPr>
          <w:lang w:val="fr-CH"/>
        </w:rPr>
        <w:t>1</w:t>
      </w:r>
      <w:r w:rsidR="00DB12C8" w:rsidRPr="000C6ABF">
        <w:rPr>
          <w:lang w:val="fr-CH"/>
        </w:rPr>
        <w:t xml:space="preserve"> millions CHF, en </w:t>
      </w:r>
      <w:r w:rsidRPr="000C6ABF">
        <w:rPr>
          <w:lang w:val="fr-CH"/>
        </w:rPr>
        <w:t xml:space="preserve">baisse </w:t>
      </w:r>
      <w:r w:rsidR="00DB12C8" w:rsidRPr="000C6ABF">
        <w:rPr>
          <w:lang w:val="fr-CH"/>
        </w:rPr>
        <w:t xml:space="preserve">de </w:t>
      </w:r>
      <w:r w:rsidRPr="000C6ABF">
        <w:rPr>
          <w:lang w:val="fr-CH"/>
        </w:rPr>
        <w:t>21</w:t>
      </w:r>
      <w:r w:rsidR="00DB12C8" w:rsidRPr="000C6ABF">
        <w:rPr>
          <w:lang w:val="fr-CH"/>
        </w:rPr>
        <w:t>,</w:t>
      </w:r>
      <w:r w:rsidRPr="000C6ABF">
        <w:rPr>
          <w:lang w:val="fr-CH"/>
        </w:rPr>
        <w:t>1</w:t>
      </w:r>
      <w:r w:rsidR="00DB12C8" w:rsidRPr="000C6ABF">
        <w:rPr>
          <w:lang w:val="fr-CH"/>
        </w:rPr>
        <w:t xml:space="preserve"> millions CHF (</w:t>
      </w:r>
      <w:r w:rsidRPr="000C6ABF">
        <w:rPr>
          <w:lang w:val="fr-CH"/>
        </w:rPr>
        <w:t>–5,9</w:t>
      </w:r>
      <w:r w:rsidR="00DB12C8" w:rsidRPr="000C6ABF">
        <w:rPr>
          <w:lang w:val="fr-CH"/>
        </w:rPr>
        <w:t xml:space="preserve">%) par rapport au chiffre de </w:t>
      </w:r>
      <w:r w:rsidRPr="000C6ABF">
        <w:rPr>
          <w:lang w:val="fr-CH"/>
        </w:rPr>
        <w:t>356</w:t>
      </w:r>
      <w:r w:rsidR="00DB12C8" w:rsidRPr="000C6ABF">
        <w:rPr>
          <w:lang w:val="fr-CH"/>
        </w:rPr>
        <w:t>,</w:t>
      </w:r>
      <w:r w:rsidRPr="000C6ABF">
        <w:rPr>
          <w:lang w:val="fr-CH"/>
        </w:rPr>
        <w:t>2</w:t>
      </w:r>
      <w:r w:rsidR="00DB12C8" w:rsidRPr="000C6ABF">
        <w:rPr>
          <w:lang w:val="fr-CH"/>
        </w:rPr>
        <w:t> millions</w:t>
      </w:r>
      <w:r w:rsidR="002B4FBF">
        <w:rPr>
          <w:lang w:val="fr-CH"/>
        </w:rPr>
        <w:t> </w:t>
      </w:r>
      <w:r w:rsidR="00DB12C8" w:rsidRPr="000C6ABF">
        <w:rPr>
          <w:lang w:val="fr-CH"/>
        </w:rPr>
        <w:t>CHF pour</w:t>
      </w:r>
      <w:r w:rsidRPr="000C6ABF">
        <w:rPr>
          <w:lang w:val="fr-CH"/>
        </w:rPr>
        <w:t xml:space="preserve"> 2012</w:t>
      </w:r>
      <w:r w:rsidR="00DB12C8" w:rsidRPr="000C6ABF">
        <w:rPr>
          <w:lang w:val="fr-CH"/>
        </w:rPr>
        <w:t>. Ce montant représentait 8</w:t>
      </w:r>
      <w:r w:rsidRPr="000C6ABF">
        <w:rPr>
          <w:lang w:val="fr-CH"/>
        </w:rPr>
        <w:t>1</w:t>
      </w:r>
      <w:r w:rsidR="00DB12C8" w:rsidRPr="000C6ABF">
        <w:rPr>
          <w:lang w:val="fr-CH"/>
        </w:rPr>
        <w:t>,</w:t>
      </w:r>
      <w:r w:rsidRPr="000C6ABF">
        <w:rPr>
          <w:lang w:val="fr-CH"/>
        </w:rPr>
        <w:t>7</w:t>
      </w:r>
      <w:r w:rsidR="00DB12C8" w:rsidRPr="000C6ABF">
        <w:rPr>
          <w:lang w:val="fr-CH"/>
        </w:rPr>
        <w:t>% du total des actifs non courants et 60,</w:t>
      </w:r>
      <w:r w:rsidRPr="000C6ABF">
        <w:rPr>
          <w:lang w:val="fr-CH"/>
        </w:rPr>
        <w:t>7</w:t>
      </w:r>
      <w:r w:rsidR="00DB12C8" w:rsidRPr="000C6ABF">
        <w:rPr>
          <w:lang w:val="fr-CH"/>
        </w:rPr>
        <w:t>% du total des passifs. Cette rubrique englobait les passifs actuariels liés aux prestations après la cessation de service (Assurance maladie après la cessation de service) (3</w:t>
      </w:r>
      <w:r w:rsidR="004D0390" w:rsidRPr="000C6ABF">
        <w:rPr>
          <w:lang w:val="fr-CH"/>
        </w:rPr>
        <w:t>14</w:t>
      </w:r>
      <w:r w:rsidR="00DB12C8" w:rsidRPr="000C6ABF">
        <w:rPr>
          <w:lang w:val="fr-CH"/>
        </w:rPr>
        <w:t>,</w:t>
      </w:r>
      <w:r w:rsidR="004D0390" w:rsidRPr="000C6ABF">
        <w:rPr>
          <w:lang w:val="fr-CH"/>
        </w:rPr>
        <w:t>1</w:t>
      </w:r>
      <w:r w:rsidR="00DB12C8" w:rsidRPr="000C6ABF">
        <w:rPr>
          <w:lang w:val="fr-CH"/>
        </w:rPr>
        <w:t xml:space="preserve"> millions CHF contre </w:t>
      </w:r>
      <w:r w:rsidR="004D0390" w:rsidRPr="000C6ABF">
        <w:rPr>
          <w:lang w:val="fr-CH"/>
        </w:rPr>
        <w:t>335</w:t>
      </w:r>
      <w:r w:rsidR="00DB12C8" w:rsidRPr="000C6ABF">
        <w:rPr>
          <w:lang w:val="fr-CH"/>
        </w:rPr>
        <w:t>,</w:t>
      </w:r>
      <w:r w:rsidR="004D0390" w:rsidRPr="000C6ABF">
        <w:rPr>
          <w:lang w:val="fr-CH"/>
        </w:rPr>
        <w:t>2</w:t>
      </w:r>
      <w:r w:rsidR="00DB12C8" w:rsidRPr="000C6ABF">
        <w:rPr>
          <w:lang w:val="fr-CH"/>
        </w:rPr>
        <w:t> millions CHF</w:t>
      </w:r>
      <w:r w:rsidR="004D0390" w:rsidRPr="000C6ABF">
        <w:rPr>
          <w:lang w:val="fr-CH"/>
        </w:rPr>
        <w:t xml:space="preserve"> en 2012</w:t>
      </w:r>
      <w:r w:rsidR="00DB12C8" w:rsidRPr="000C6ABF">
        <w:rPr>
          <w:lang w:val="fr-CH"/>
        </w:rPr>
        <w:t xml:space="preserve">), la provision pour les passifs estimés correspondant aux primes </w:t>
      </w:r>
      <w:r w:rsidR="00DB12C8" w:rsidRPr="000C6ABF">
        <w:rPr>
          <w:lang w:val="fr-CH"/>
        </w:rPr>
        <w:lastRenderedPageBreak/>
        <w:t>de rapatriement (11,</w:t>
      </w:r>
      <w:r w:rsidR="002B4FBF">
        <w:rPr>
          <w:lang w:val="fr-CH"/>
        </w:rPr>
        <w:t>8</w:t>
      </w:r>
      <w:r w:rsidR="00DB12C8" w:rsidRPr="000C6ABF">
        <w:rPr>
          <w:lang w:val="fr-CH"/>
        </w:rPr>
        <w:t xml:space="preserve"> millions CHF contre 11,</w:t>
      </w:r>
      <w:r w:rsidR="002B4FBF">
        <w:rPr>
          <w:lang w:val="fr-CH"/>
        </w:rPr>
        <w:t>7</w:t>
      </w:r>
      <w:r w:rsidR="00DB12C8" w:rsidRPr="000C6ABF">
        <w:rPr>
          <w:lang w:val="fr-CH"/>
        </w:rPr>
        <w:t xml:space="preserve"> millions CHF en 201</w:t>
      </w:r>
      <w:r w:rsidR="002B4FBF">
        <w:rPr>
          <w:lang w:val="fr-CH"/>
        </w:rPr>
        <w:t>2</w:t>
      </w:r>
      <w:r w:rsidR="00DB12C8" w:rsidRPr="000C6ABF">
        <w:rPr>
          <w:lang w:val="fr-CH"/>
        </w:rPr>
        <w:t>) et la provision pour les congés accumulés (9,</w:t>
      </w:r>
      <w:r w:rsidR="002B4FBF">
        <w:rPr>
          <w:lang w:val="fr-CH"/>
        </w:rPr>
        <w:t>1</w:t>
      </w:r>
      <w:r w:rsidR="00DB12C8" w:rsidRPr="000C6ABF">
        <w:rPr>
          <w:lang w:val="fr-CH"/>
        </w:rPr>
        <w:t xml:space="preserve"> millions CHF contre 9,2 millions en 201</w:t>
      </w:r>
      <w:r w:rsidR="002B4FBF">
        <w:rPr>
          <w:lang w:val="fr-CH"/>
        </w:rPr>
        <w:t>2</w:t>
      </w:r>
      <w:r w:rsidR="00DB12C8" w:rsidRPr="000C6ABF">
        <w:rPr>
          <w:lang w:val="fr-CH"/>
        </w:rPr>
        <w:t>). Une description et une ventilation détaillées des avantages du personnel sont données dans la Note 1</w:t>
      </w:r>
      <w:r w:rsidR="004D0390" w:rsidRPr="000C6ABF">
        <w:rPr>
          <w:lang w:val="fr-CH"/>
        </w:rPr>
        <w:t>7</w:t>
      </w:r>
      <w:r w:rsidR="00DB12C8" w:rsidRPr="000C6ABF">
        <w:rPr>
          <w:lang w:val="fr-CH"/>
        </w:rPr>
        <w:t>.2 du Rapport de gestion financière.</w:t>
      </w:r>
    </w:p>
    <w:p w:rsidR="00DB12C8" w:rsidRPr="000C6ABF" w:rsidRDefault="00DB12C8" w:rsidP="00AB0C69">
      <w:pPr>
        <w:pStyle w:val="Headingb"/>
        <w:rPr>
          <w:lang w:val="fr-CH"/>
        </w:rPr>
      </w:pPr>
      <w:bookmarkStart w:id="185" w:name="_Toc356330897"/>
      <w:bookmarkStart w:id="186" w:name="_Toc358123308"/>
      <w:bookmarkStart w:id="187" w:name="_Toc396386956"/>
      <w:bookmarkStart w:id="188" w:name="_Toc396387839"/>
      <w:bookmarkStart w:id="189" w:name="_Toc396387953"/>
      <w:bookmarkStart w:id="190" w:name="_Toc398277638"/>
      <w:r w:rsidRPr="000C6ABF">
        <w:rPr>
          <w:lang w:val="fr-CH"/>
        </w:rPr>
        <w:t xml:space="preserve">Avantages du personnel: primes </w:t>
      </w:r>
      <w:r w:rsidR="007F0309" w:rsidRPr="000C6ABF">
        <w:rPr>
          <w:lang w:val="fr-CH"/>
        </w:rPr>
        <w:t xml:space="preserve">d'installation et </w:t>
      </w:r>
      <w:r w:rsidRPr="000C6ABF">
        <w:rPr>
          <w:lang w:val="fr-CH"/>
        </w:rPr>
        <w:t>de rapatriement</w:t>
      </w:r>
      <w:bookmarkEnd w:id="185"/>
      <w:bookmarkEnd w:id="186"/>
      <w:bookmarkEnd w:id="187"/>
      <w:bookmarkEnd w:id="188"/>
      <w:bookmarkEnd w:id="189"/>
      <w:bookmarkEnd w:id="190"/>
    </w:p>
    <w:p w:rsidR="00DB12C8" w:rsidRPr="000C6ABF" w:rsidRDefault="00DB12C8" w:rsidP="00AB0C69">
      <w:pPr>
        <w:rPr>
          <w:lang w:val="fr-CH"/>
        </w:rPr>
      </w:pPr>
      <w:r w:rsidRPr="000C6ABF">
        <w:rPr>
          <w:lang w:val="fr-CH"/>
        </w:rPr>
        <w:t>6</w:t>
      </w:r>
      <w:r w:rsidR="004D0390" w:rsidRPr="000C6ABF">
        <w:rPr>
          <w:lang w:val="fr-CH"/>
        </w:rPr>
        <w:t>6</w:t>
      </w:r>
      <w:r w:rsidRPr="000C6ABF">
        <w:rPr>
          <w:lang w:val="fr-CH"/>
        </w:rPr>
        <w:tab/>
      </w:r>
      <w:r w:rsidR="004D0390" w:rsidRPr="000C6ABF">
        <w:rPr>
          <w:lang w:val="fr-CH"/>
        </w:rPr>
        <w:t>Au 31 décembre 2013</w:t>
      </w:r>
      <w:r w:rsidRPr="000C6ABF">
        <w:rPr>
          <w:lang w:val="fr-CH"/>
        </w:rPr>
        <w:t xml:space="preserve">, la provision comptabilisée pour les primes </w:t>
      </w:r>
      <w:r w:rsidR="004D0390" w:rsidRPr="000C6ABF">
        <w:rPr>
          <w:lang w:val="fr-CH"/>
        </w:rPr>
        <w:t xml:space="preserve">d'installation et </w:t>
      </w:r>
      <w:r w:rsidRPr="000C6ABF">
        <w:rPr>
          <w:lang w:val="fr-CH"/>
        </w:rPr>
        <w:t xml:space="preserve">de rapatriement se chiffrait à </w:t>
      </w:r>
      <w:r w:rsidR="00D67D41" w:rsidRPr="000C6ABF">
        <w:rPr>
          <w:lang w:val="fr-CH"/>
        </w:rPr>
        <w:t xml:space="preserve">11,8 </w:t>
      </w:r>
      <w:r w:rsidRPr="000C6ABF">
        <w:rPr>
          <w:lang w:val="fr-CH"/>
        </w:rPr>
        <w:t>millions CHF (contre 11,</w:t>
      </w:r>
      <w:r w:rsidR="00446512" w:rsidRPr="000C6ABF">
        <w:rPr>
          <w:lang w:val="fr-CH"/>
        </w:rPr>
        <w:t>7</w:t>
      </w:r>
      <w:r w:rsidRPr="000C6ABF">
        <w:rPr>
          <w:lang w:val="fr-CH"/>
        </w:rPr>
        <w:t xml:space="preserve"> millions CHF en</w:t>
      </w:r>
      <w:r w:rsidR="00446512" w:rsidRPr="000C6ABF">
        <w:rPr>
          <w:lang w:val="fr-CH"/>
        </w:rPr>
        <w:t xml:space="preserve"> 2012</w:t>
      </w:r>
      <w:r w:rsidRPr="000C6ABF">
        <w:rPr>
          <w:lang w:val="fr-CH"/>
        </w:rPr>
        <w:t xml:space="preserve">). Cette provision est calculée conformément à l'étude actuarielle commandée par la direction à CPA Conseil. </w:t>
      </w:r>
      <w:r w:rsidR="0077129D" w:rsidRPr="000C6ABF">
        <w:rPr>
          <w:lang w:val="fr-CH"/>
        </w:rPr>
        <w:t xml:space="preserve">Il nous faut noter que CPA Conseil dans son rapport </w:t>
      </w:r>
      <w:r w:rsidR="008025C2" w:rsidRPr="000C6ABF">
        <w:rPr>
          <w:lang w:val="fr-CH"/>
        </w:rPr>
        <w:t>en date du</w:t>
      </w:r>
      <w:r w:rsidR="00446512" w:rsidRPr="000C6ABF">
        <w:rPr>
          <w:lang w:val="fr-CH"/>
        </w:rPr>
        <w:t xml:space="preserve"> 27 janvier 2014 </w:t>
      </w:r>
      <w:r w:rsidR="008025C2" w:rsidRPr="000C6ABF">
        <w:rPr>
          <w:lang w:val="fr-CH"/>
        </w:rPr>
        <w:t>a calculé un montant de</w:t>
      </w:r>
      <w:r w:rsidR="00446512" w:rsidRPr="000C6ABF">
        <w:rPr>
          <w:lang w:val="fr-CH"/>
        </w:rPr>
        <w:t xml:space="preserve"> 7 616 </w:t>
      </w:r>
      <w:r w:rsidR="008025C2" w:rsidRPr="000C6ABF">
        <w:rPr>
          <w:lang w:val="fr-CH"/>
        </w:rPr>
        <w:t xml:space="preserve">000 </w:t>
      </w:r>
      <w:r w:rsidR="00446512" w:rsidRPr="000C6ABF">
        <w:rPr>
          <w:lang w:val="fr-CH"/>
        </w:rPr>
        <w:t xml:space="preserve">CHF </w:t>
      </w:r>
      <w:r w:rsidR="008025C2" w:rsidRPr="000C6ABF">
        <w:rPr>
          <w:lang w:val="fr-CH"/>
        </w:rPr>
        <w:t>pour la rubrique</w:t>
      </w:r>
      <w:r w:rsidR="00C54674" w:rsidRPr="000C6ABF">
        <w:rPr>
          <w:lang w:val="fr-CH"/>
        </w:rPr>
        <w:t xml:space="preserve"> "Indemnité de ra</w:t>
      </w:r>
      <w:r w:rsidR="00446512" w:rsidRPr="000C6ABF">
        <w:rPr>
          <w:lang w:val="fr-CH"/>
        </w:rPr>
        <w:t>patriement" et 3 879</w:t>
      </w:r>
      <w:r w:rsidR="008025C2" w:rsidRPr="000C6ABF">
        <w:rPr>
          <w:lang w:val="fr-CH"/>
        </w:rPr>
        <w:t xml:space="preserve"> 000 </w:t>
      </w:r>
      <w:r w:rsidR="00446512" w:rsidRPr="000C6ABF">
        <w:rPr>
          <w:lang w:val="fr-CH"/>
        </w:rPr>
        <w:t xml:space="preserve">CHF </w:t>
      </w:r>
      <w:r w:rsidR="008025C2" w:rsidRPr="000C6ABF">
        <w:rPr>
          <w:lang w:val="fr-CH"/>
        </w:rPr>
        <w:t>pour la rubrique</w:t>
      </w:r>
      <w:r w:rsidR="00C54674" w:rsidRPr="000C6ABF">
        <w:rPr>
          <w:lang w:val="fr-CH"/>
        </w:rPr>
        <w:t xml:space="preserve"> "Frais de ra</w:t>
      </w:r>
      <w:r w:rsidR="00446512" w:rsidRPr="000C6ABF">
        <w:rPr>
          <w:lang w:val="fr-CH"/>
        </w:rPr>
        <w:t>patriement",</w:t>
      </w:r>
      <w:r w:rsidR="008025C2" w:rsidRPr="000C6ABF">
        <w:rPr>
          <w:lang w:val="fr-CH"/>
        </w:rPr>
        <w:t xml:space="preserve"> soit au total</w:t>
      </w:r>
      <w:r w:rsidR="00446512" w:rsidRPr="000C6ABF">
        <w:rPr>
          <w:lang w:val="fr-CH"/>
        </w:rPr>
        <w:t xml:space="preserve"> 11 495</w:t>
      </w:r>
      <w:r w:rsidR="00C54674" w:rsidRPr="000C6ABF">
        <w:rPr>
          <w:lang w:val="fr-CH"/>
        </w:rPr>
        <w:t xml:space="preserve"> 000 </w:t>
      </w:r>
      <w:r w:rsidR="00446512" w:rsidRPr="000C6ABF">
        <w:rPr>
          <w:lang w:val="fr-CH"/>
        </w:rPr>
        <w:t>CHF,</w:t>
      </w:r>
      <w:r w:rsidR="00C54674" w:rsidRPr="000C6ABF">
        <w:rPr>
          <w:lang w:val="fr-CH"/>
        </w:rPr>
        <w:t xml:space="preserve"> montant différent de celui comptabilisé</w:t>
      </w:r>
      <w:r w:rsidR="00446512" w:rsidRPr="000C6ABF">
        <w:rPr>
          <w:lang w:val="fr-CH"/>
        </w:rPr>
        <w:t xml:space="preserve"> dans le Rapport de gestion financière.</w:t>
      </w:r>
    </w:p>
    <w:p w:rsidR="008A58A7" w:rsidRPr="000C6ABF" w:rsidRDefault="0077129D" w:rsidP="00AB0C69">
      <w:pPr>
        <w:pStyle w:val="Headingb"/>
        <w:rPr>
          <w:lang w:val="fr-CH"/>
        </w:rPr>
      </w:pPr>
      <w:bookmarkStart w:id="191" w:name="_Toc392672710"/>
      <w:bookmarkStart w:id="192" w:name="_Toc396387840"/>
      <w:bookmarkStart w:id="193" w:name="_Toc396387954"/>
      <w:bookmarkStart w:id="194" w:name="_Toc398277639"/>
      <w:r w:rsidRPr="000C6ABF">
        <w:rPr>
          <w:lang w:val="fr-CH"/>
        </w:rPr>
        <w:t>Harmonis</w:t>
      </w:r>
      <w:r w:rsidR="008A58A7" w:rsidRPr="000C6ABF">
        <w:rPr>
          <w:lang w:val="fr-CH"/>
        </w:rPr>
        <w:t xml:space="preserve">ation </w:t>
      </w:r>
      <w:r w:rsidRPr="000C6ABF">
        <w:rPr>
          <w:lang w:val="fr-CH"/>
        </w:rPr>
        <w:t>des principales hypothèses</w:t>
      </w:r>
      <w:bookmarkEnd w:id="191"/>
      <w:bookmarkEnd w:id="192"/>
      <w:bookmarkEnd w:id="193"/>
      <w:bookmarkEnd w:id="194"/>
    </w:p>
    <w:p w:rsidR="008A58A7" w:rsidRPr="000C6ABF" w:rsidRDefault="008A58A7" w:rsidP="007F0309">
      <w:pPr>
        <w:rPr>
          <w:lang w:val="fr-CH"/>
        </w:rPr>
      </w:pPr>
      <w:r w:rsidRPr="000C6ABF">
        <w:rPr>
          <w:lang w:val="fr-CH"/>
        </w:rPr>
        <w:t>67</w:t>
      </w:r>
      <w:r w:rsidRPr="000C6ABF">
        <w:rPr>
          <w:lang w:val="fr-CH"/>
        </w:rPr>
        <w:tab/>
      </w:r>
      <w:r w:rsidR="0077129D" w:rsidRPr="000C6ABF">
        <w:rPr>
          <w:lang w:val="fr-CH"/>
        </w:rPr>
        <w:t>L</w:t>
      </w:r>
      <w:r w:rsidR="00AB0C69" w:rsidRPr="000C6ABF">
        <w:rPr>
          <w:lang w:val="fr-CH"/>
        </w:rPr>
        <w:t>'</w:t>
      </w:r>
      <w:r w:rsidR="0077129D" w:rsidRPr="000C6ABF">
        <w:rPr>
          <w:lang w:val="fr-CH"/>
        </w:rPr>
        <w:t>an dernier</w:t>
      </w:r>
      <w:r w:rsidR="002B4FBF">
        <w:rPr>
          <w:lang w:val="fr-CH"/>
        </w:rPr>
        <w:t>,</w:t>
      </w:r>
      <w:r w:rsidR="0077129D" w:rsidRPr="000C6ABF">
        <w:rPr>
          <w:lang w:val="fr-CH"/>
        </w:rPr>
        <w:t xml:space="preserve"> nous avons recommandé d</w:t>
      </w:r>
      <w:r w:rsidR="00AB0C69" w:rsidRPr="000C6ABF">
        <w:rPr>
          <w:lang w:val="fr-CH"/>
        </w:rPr>
        <w:t>'</w:t>
      </w:r>
      <w:r w:rsidR="0077129D" w:rsidRPr="000C6ABF">
        <w:rPr>
          <w:lang w:val="fr-CH"/>
        </w:rPr>
        <w:t>harmoniser les</w:t>
      </w:r>
      <w:r w:rsidR="00C54674" w:rsidRPr="000C6ABF">
        <w:rPr>
          <w:lang w:val="fr-CH"/>
        </w:rPr>
        <w:t xml:space="preserve"> hypothèses </w:t>
      </w:r>
      <w:r w:rsidR="007F0309" w:rsidRPr="000C6ABF">
        <w:rPr>
          <w:lang w:val="fr-CH"/>
        </w:rPr>
        <w:t xml:space="preserve">de base retenues dans les </w:t>
      </w:r>
      <w:r w:rsidR="00C54674" w:rsidRPr="000C6ABF">
        <w:rPr>
          <w:lang w:val="fr-CH"/>
        </w:rPr>
        <w:t>études actuarielles lorsque les circonstances sont comparables</w:t>
      </w:r>
      <w:r w:rsidRPr="000C6ABF">
        <w:rPr>
          <w:lang w:val="fr-CH"/>
        </w:rPr>
        <w:t xml:space="preserve">. </w:t>
      </w:r>
      <w:r w:rsidR="00C54674" w:rsidRPr="000C6ABF">
        <w:rPr>
          <w:lang w:val="fr-CH"/>
        </w:rPr>
        <w:t xml:space="preserve">Nous avons vérifié que cette année </w:t>
      </w:r>
      <w:r w:rsidRPr="000C6ABF">
        <w:rPr>
          <w:lang w:val="fr-CH"/>
        </w:rPr>
        <w:t xml:space="preserve">CPA </w:t>
      </w:r>
      <w:r w:rsidR="007F0309" w:rsidRPr="000C6ABF">
        <w:rPr>
          <w:lang w:val="fr-CH"/>
        </w:rPr>
        <w:t>a</w:t>
      </w:r>
      <w:r w:rsidR="002B4FBF">
        <w:rPr>
          <w:lang w:val="fr-CH"/>
        </w:rPr>
        <w:t>vait</w:t>
      </w:r>
      <w:r w:rsidR="007F0309" w:rsidRPr="000C6ABF">
        <w:rPr>
          <w:lang w:val="fr-CH"/>
        </w:rPr>
        <w:t xml:space="preserve"> pris pour </w:t>
      </w:r>
      <w:r w:rsidR="00C54674" w:rsidRPr="000C6ABF">
        <w:rPr>
          <w:lang w:val="fr-CH"/>
        </w:rPr>
        <w:t>hypothèse un taux d</w:t>
      </w:r>
      <w:r w:rsidR="00AB0C69" w:rsidRPr="000C6ABF">
        <w:rPr>
          <w:lang w:val="fr-CH"/>
        </w:rPr>
        <w:t>'</w:t>
      </w:r>
      <w:r w:rsidR="00C54674" w:rsidRPr="000C6ABF">
        <w:rPr>
          <w:lang w:val="fr-CH"/>
        </w:rPr>
        <w:t>actualisation de</w:t>
      </w:r>
      <w:r w:rsidRPr="000C6ABF">
        <w:rPr>
          <w:lang w:val="fr-CH"/>
        </w:rPr>
        <w:t xml:space="preserve"> 2,00% depuis le 1er janvier 2013 et</w:t>
      </w:r>
      <w:r w:rsidR="00C54674" w:rsidRPr="000C6ABF">
        <w:rPr>
          <w:lang w:val="fr-CH"/>
        </w:rPr>
        <w:t xml:space="preserve"> de</w:t>
      </w:r>
      <w:r w:rsidRPr="000C6ABF">
        <w:rPr>
          <w:lang w:val="fr-CH"/>
        </w:rPr>
        <w:t xml:space="preserve"> 2,50% depuis le 1er janvier 2014,</w:t>
      </w:r>
      <w:r w:rsidR="00C54674" w:rsidRPr="000C6ABF">
        <w:rPr>
          <w:lang w:val="fr-CH"/>
        </w:rPr>
        <w:t xml:space="preserve"> alors que le taux d</w:t>
      </w:r>
      <w:r w:rsidR="00AB0C69" w:rsidRPr="000C6ABF">
        <w:rPr>
          <w:lang w:val="fr-CH"/>
        </w:rPr>
        <w:t>'</w:t>
      </w:r>
      <w:r w:rsidR="00C54674" w:rsidRPr="000C6ABF">
        <w:rPr>
          <w:lang w:val="fr-CH"/>
        </w:rPr>
        <w:t>actualisation pour l</w:t>
      </w:r>
      <w:r w:rsidR="00AB0C69" w:rsidRPr="000C6ABF">
        <w:rPr>
          <w:lang w:val="fr-CH"/>
        </w:rPr>
        <w:t>'</w:t>
      </w:r>
      <w:r w:rsidRPr="000C6ABF">
        <w:rPr>
          <w:lang w:val="fr-CH"/>
        </w:rPr>
        <w:t xml:space="preserve">ASHI </w:t>
      </w:r>
      <w:r w:rsidR="00C54674" w:rsidRPr="000C6ABF">
        <w:rPr>
          <w:lang w:val="fr-CH"/>
        </w:rPr>
        <w:t>pour</w:t>
      </w:r>
      <w:r w:rsidRPr="000C6ABF">
        <w:rPr>
          <w:lang w:val="fr-CH"/>
        </w:rPr>
        <w:t xml:space="preserve"> 2013 </w:t>
      </w:r>
      <w:r w:rsidR="007F0309" w:rsidRPr="000C6ABF">
        <w:rPr>
          <w:lang w:val="fr-CH"/>
        </w:rPr>
        <w:t>était</w:t>
      </w:r>
      <w:r w:rsidR="00C54674" w:rsidRPr="000C6ABF">
        <w:rPr>
          <w:lang w:val="fr-CH"/>
        </w:rPr>
        <w:t xml:space="preserve"> de</w:t>
      </w:r>
      <w:r w:rsidRPr="000C6ABF">
        <w:rPr>
          <w:lang w:val="fr-CH"/>
        </w:rPr>
        <w:t xml:space="preserve"> 2,76%; CPA </w:t>
      </w:r>
      <w:r w:rsidR="007F0309" w:rsidRPr="000C6ABF">
        <w:rPr>
          <w:lang w:val="fr-CH"/>
        </w:rPr>
        <w:t xml:space="preserve">a pris pour </w:t>
      </w:r>
      <w:r w:rsidR="00FF202D" w:rsidRPr="000C6ABF">
        <w:rPr>
          <w:lang w:val="fr-CH"/>
        </w:rPr>
        <w:t>hypothèse</w:t>
      </w:r>
      <w:r w:rsidR="00C54674" w:rsidRPr="000C6ABF">
        <w:rPr>
          <w:lang w:val="fr-CH"/>
        </w:rPr>
        <w:t xml:space="preserve"> une augmen</w:t>
      </w:r>
      <w:r w:rsidR="00FF202D" w:rsidRPr="000C6ABF">
        <w:rPr>
          <w:lang w:val="fr-CH"/>
        </w:rPr>
        <w:t>t</w:t>
      </w:r>
      <w:r w:rsidR="00C54674" w:rsidRPr="000C6ABF">
        <w:rPr>
          <w:lang w:val="fr-CH"/>
        </w:rPr>
        <w:t>a</w:t>
      </w:r>
      <w:r w:rsidR="00FF202D" w:rsidRPr="000C6ABF">
        <w:rPr>
          <w:lang w:val="fr-CH"/>
        </w:rPr>
        <w:t>t</w:t>
      </w:r>
      <w:r w:rsidR="00C54674" w:rsidRPr="000C6ABF">
        <w:rPr>
          <w:lang w:val="fr-CH"/>
        </w:rPr>
        <w:t>ion de</w:t>
      </w:r>
      <w:r w:rsidR="00FF202D" w:rsidRPr="000C6ABF">
        <w:rPr>
          <w:lang w:val="fr-CH"/>
        </w:rPr>
        <w:t>s traitements de</w:t>
      </w:r>
      <w:r w:rsidRPr="000C6ABF">
        <w:rPr>
          <w:lang w:val="fr-CH"/>
        </w:rPr>
        <w:t xml:space="preserve"> 2,50%, </w:t>
      </w:r>
      <w:r w:rsidR="00FF202D" w:rsidRPr="000C6ABF">
        <w:rPr>
          <w:lang w:val="fr-CH"/>
        </w:rPr>
        <w:t>tandis que pour l</w:t>
      </w:r>
      <w:r w:rsidR="00AB0C69" w:rsidRPr="000C6ABF">
        <w:rPr>
          <w:lang w:val="fr-CH"/>
        </w:rPr>
        <w:t>'</w:t>
      </w:r>
      <w:r w:rsidR="00FF202D" w:rsidRPr="000C6ABF">
        <w:rPr>
          <w:lang w:val="fr-CH"/>
        </w:rPr>
        <w:t>ASHI, l</w:t>
      </w:r>
      <w:r w:rsidR="00AB0C69" w:rsidRPr="000C6ABF">
        <w:rPr>
          <w:lang w:val="fr-CH"/>
        </w:rPr>
        <w:t>'</w:t>
      </w:r>
      <w:r w:rsidR="00FF202D" w:rsidRPr="000C6ABF">
        <w:rPr>
          <w:lang w:val="fr-CH"/>
        </w:rPr>
        <w:t>hypothèse est la suivante: augmentation de</w:t>
      </w:r>
      <w:r w:rsidRPr="000C6ABF">
        <w:rPr>
          <w:lang w:val="fr-CH"/>
        </w:rPr>
        <w:t xml:space="preserve"> 3,86% </w:t>
      </w:r>
      <w:r w:rsidR="00FF202D" w:rsidRPr="000C6ABF">
        <w:rPr>
          <w:lang w:val="fr-CH"/>
        </w:rPr>
        <w:t xml:space="preserve">pour le personnel de la catégorie professionnelle et </w:t>
      </w:r>
      <w:r w:rsidRPr="000C6ABF">
        <w:rPr>
          <w:lang w:val="fr-CH"/>
        </w:rPr>
        <w:t xml:space="preserve">3,32% </w:t>
      </w:r>
      <w:r w:rsidR="00FF202D" w:rsidRPr="000C6ABF">
        <w:rPr>
          <w:lang w:val="fr-CH"/>
        </w:rPr>
        <w:t xml:space="preserve">pour le personnel de la catégorie des services généraux, </w:t>
      </w:r>
      <w:r w:rsidR="007F0309" w:rsidRPr="000C6ABF">
        <w:rPr>
          <w:lang w:val="fr-CH"/>
        </w:rPr>
        <w:t xml:space="preserve">pour </w:t>
      </w:r>
      <w:r w:rsidRPr="000C6ABF">
        <w:rPr>
          <w:lang w:val="fr-CH"/>
        </w:rPr>
        <w:t>2013.</w:t>
      </w:r>
    </w:p>
    <w:p w:rsidR="00DC7B2B" w:rsidRPr="000C6ABF" w:rsidRDefault="008A58A7" w:rsidP="007F0309">
      <w:pPr>
        <w:rPr>
          <w:lang w:val="fr-CH"/>
        </w:rPr>
      </w:pPr>
      <w:r w:rsidRPr="000C6ABF">
        <w:rPr>
          <w:lang w:val="fr-CH"/>
        </w:rPr>
        <w:t>68</w:t>
      </w:r>
      <w:r w:rsidRPr="000C6ABF">
        <w:rPr>
          <w:lang w:val="fr-CH"/>
        </w:rPr>
        <w:tab/>
      </w:r>
      <w:r w:rsidR="00580508" w:rsidRPr="000C6ABF">
        <w:rPr>
          <w:lang w:val="fr-CH"/>
        </w:rPr>
        <w:t>A</w:t>
      </w:r>
      <w:r w:rsidR="007F0309" w:rsidRPr="000C6ABF">
        <w:rPr>
          <w:lang w:val="fr-CH"/>
        </w:rPr>
        <w:t>près de nouvelles</w:t>
      </w:r>
      <w:r w:rsidR="00580508" w:rsidRPr="000C6ABF">
        <w:rPr>
          <w:lang w:val="fr-CH"/>
        </w:rPr>
        <w:t xml:space="preserve"> rencontres avec la direction, nous </w:t>
      </w:r>
      <w:r w:rsidR="007F0309" w:rsidRPr="000C6ABF">
        <w:rPr>
          <w:lang w:val="fr-CH"/>
        </w:rPr>
        <w:t xml:space="preserve">prenons note du fait </w:t>
      </w:r>
      <w:r w:rsidR="00580508" w:rsidRPr="000C6ABF">
        <w:rPr>
          <w:lang w:val="fr-CH"/>
        </w:rPr>
        <w:t>que les hypothèses concernant les deux calculs ac</w:t>
      </w:r>
      <w:r w:rsidR="00B77C3B" w:rsidRPr="000C6ABF">
        <w:rPr>
          <w:lang w:val="fr-CH"/>
        </w:rPr>
        <w:t>t</w:t>
      </w:r>
      <w:r w:rsidR="00580508" w:rsidRPr="000C6ABF">
        <w:rPr>
          <w:lang w:val="fr-CH"/>
        </w:rPr>
        <w:t>uariels e</w:t>
      </w:r>
      <w:r w:rsidR="00B77C3B" w:rsidRPr="000C6ABF">
        <w:rPr>
          <w:lang w:val="fr-CH"/>
        </w:rPr>
        <w:t>f</w:t>
      </w:r>
      <w:r w:rsidR="00580508" w:rsidRPr="000C6ABF">
        <w:rPr>
          <w:lang w:val="fr-CH"/>
        </w:rPr>
        <w:t>fectués en 2013 (engagement</w:t>
      </w:r>
      <w:r w:rsidR="00F26380" w:rsidRPr="000C6ABF">
        <w:rPr>
          <w:lang w:val="fr-CH"/>
        </w:rPr>
        <w:t>s</w:t>
      </w:r>
      <w:r w:rsidR="00580508" w:rsidRPr="000C6ABF">
        <w:rPr>
          <w:lang w:val="fr-CH"/>
        </w:rPr>
        <w:t xml:space="preserve"> de l</w:t>
      </w:r>
      <w:r w:rsidR="00AB0C69" w:rsidRPr="000C6ABF">
        <w:rPr>
          <w:lang w:val="fr-CH"/>
        </w:rPr>
        <w:t>'</w:t>
      </w:r>
      <w:r w:rsidR="00580508" w:rsidRPr="000C6ABF">
        <w:rPr>
          <w:lang w:val="fr-CH"/>
        </w:rPr>
        <w:t xml:space="preserve">UIT en ce qui concerne le rapatriement </w:t>
      </w:r>
      <w:r w:rsidR="00B77C3B" w:rsidRPr="000C6ABF">
        <w:rPr>
          <w:lang w:val="fr-CH"/>
        </w:rPr>
        <w:t>et l</w:t>
      </w:r>
      <w:r w:rsidR="00AB0C69" w:rsidRPr="000C6ABF">
        <w:rPr>
          <w:lang w:val="fr-CH"/>
        </w:rPr>
        <w:t>'</w:t>
      </w:r>
      <w:r w:rsidR="00B77C3B" w:rsidRPr="000C6ABF">
        <w:rPr>
          <w:lang w:val="fr-CH"/>
        </w:rPr>
        <w:t>ASHI)</w:t>
      </w:r>
      <w:r w:rsidRPr="000C6ABF">
        <w:rPr>
          <w:lang w:val="fr-CH"/>
        </w:rPr>
        <w:t xml:space="preserve"> </w:t>
      </w:r>
      <w:r w:rsidR="00B77C3B" w:rsidRPr="000C6ABF">
        <w:rPr>
          <w:lang w:val="fr-CH"/>
        </w:rPr>
        <w:t>ont été comparées comme nous l</w:t>
      </w:r>
      <w:r w:rsidR="00AB0C69" w:rsidRPr="000C6ABF">
        <w:rPr>
          <w:lang w:val="fr-CH"/>
        </w:rPr>
        <w:t>'</w:t>
      </w:r>
      <w:r w:rsidR="00B77C3B" w:rsidRPr="000C6ABF">
        <w:rPr>
          <w:lang w:val="fr-CH"/>
        </w:rPr>
        <w:t>avions suggéré dans notre rapport de l</w:t>
      </w:r>
      <w:r w:rsidR="00AB0C69" w:rsidRPr="000C6ABF">
        <w:rPr>
          <w:lang w:val="fr-CH"/>
        </w:rPr>
        <w:t>'</w:t>
      </w:r>
      <w:r w:rsidR="00B77C3B" w:rsidRPr="000C6ABF">
        <w:rPr>
          <w:lang w:val="fr-CH"/>
        </w:rPr>
        <w:t>an dernier. Après cette comparaison, les différences concernant les hypothèses retenues pour le taux d</w:t>
      </w:r>
      <w:r w:rsidR="00AB0C69" w:rsidRPr="000C6ABF">
        <w:rPr>
          <w:lang w:val="fr-CH"/>
        </w:rPr>
        <w:t>'</w:t>
      </w:r>
      <w:r w:rsidR="00B77C3B" w:rsidRPr="000C6ABF">
        <w:rPr>
          <w:lang w:val="fr-CH"/>
        </w:rPr>
        <w:t>actualisation et l</w:t>
      </w:r>
      <w:r w:rsidR="00AB0C69" w:rsidRPr="000C6ABF">
        <w:rPr>
          <w:lang w:val="fr-CH"/>
        </w:rPr>
        <w:t>'</w:t>
      </w:r>
      <w:r w:rsidR="00B77C3B" w:rsidRPr="000C6ABF">
        <w:rPr>
          <w:lang w:val="fr-CH"/>
        </w:rPr>
        <w:t xml:space="preserve">augmentation des traitements </w:t>
      </w:r>
      <w:r w:rsidR="007F0309" w:rsidRPr="000C6ABF">
        <w:rPr>
          <w:lang w:val="fr-CH"/>
        </w:rPr>
        <w:t>ressortent plus clairement.</w:t>
      </w:r>
    </w:p>
    <w:p w:rsidR="008A58A7" w:rsidRPr="000C6ABF" w:rsidRDefault="00DC7B2B" w:rsidP="007F0309">
      <w:pPr>
        <w:rPr>
          <w:lang w:val="fr-CH"/>
        </w:rPr>
      </w:pPr>
      <w:r w:rsidRPr="000C6ABF">
        <w:rPr>
          <w:lang w:val="fr-CH"/>
        </w:rPr>
        <w:t>69</w:t>
      </w:r>
      <w:r w:rsidRPr="000C6ABF">
        <w:rPr>
          <w:lang w:val="fr-CH"/>
        </w:rPr>
        <w:tab/>
      </w:r>
      <w:r w:rsidR="001C46DA" w:rsidRPr="000C6ABF">
        <w:rPr>
          <w:lang w:val="fr-CH"/>
        </w:rPr>
        <w:t xml:space="preserve">Les </w:t>
      </w:r>
      <w:r w:rsidR="007F0309" w:rsidRPr="000C6ABF">
        <w:rPr>
          <w:lang w:val="fr-CH"/>
        </w:rPr>
        <w:t xml:space="preserve">calculs </w:t>
      </w:r>
      <w:r w:rsidR="001C46DA" w:rsidRPr="000C6ABF">
        <w:rPr>
          <w:lang w:val="fr-CH"/>
        </w:rPr>
        <w:t>diffé</w:t>
      </w:r>
      <w:r w:rsidRPr="000C6ABF">
        <w:rPr>
          <w:lang w:val="fr-CH"/>
        </w:rPr>
        <w:t>rent</w:t>
      </w:r>
      <w:r w:rsidR="001C46DA" w:rsidRPr="000C6ABF">
        <w:rPr>
          <w:lang w:val="fr-CH"/>
        </w:rPr>
        <w:t>s</w:t>
      </w:r>
      <w:r w:rsidRPr="000C6ABF">
        <w:rPr>
          <w:lang w:val="fr-CH"/>
        </w:rPr>
        <w:t xml:space="preserve"> </w:t>
      </w:r>
      <w:r w:rsidR="001C46DA" w:rsidRPr="000C6ABF">
        <w:rPr>
          <w:lang w:val="fr-CH"/>
        </w:rPr>
        <w:t xml:space="preserve">tiennent </w:t>
      </w:r>
      <w:r w:rsidR="007F0309" w:rsidRPr="000C6ABF">
        <w:rPr>
          <w:lang w:val="fr-CH"/>
        </w:rPr>
        <w:t xml:space="preserve">au fait que les échéances </w:t>
      </w:r>
      <w:r w:rsidR="001C46DA" w:rsidRPr="000C6ABF">
        <w:rPr>
          <w:lang w:val="fr-CH"/>
        </w:rPr>
        <w:t>considérées</w:t>
      </w:r>
      <w:r w:rsidR="007F0309" w:rsidRPr="000C6ABF">
        <w:rPr>
          <w:lang w:val="fr-CH"/>
        </w:rPr>
        <w:t xml:space="preserve"> sont différentes</w:t>
      </w:r>
      <w:r w:rsidR="001C46DA" w:rsidRPr="000C6ABF">
        <w:rPr>
          <w:lang w:val="fr-CH"/>
        </w:rPr>
        <w:t xml:space="preserve">. </w:t>
      </w:r>
      <w:r w:rsidR="007F0309" w:rsidRPr="000C6ABF">
        <w:rPr>
          <w:lang w:val="fr-CH"/>
        </w:rPr>
        <w:t>L</w:t>
      </w:r>
      <w:r w:rsidR="00AB0C69" w:rsidRPr="000C6ABF">
        <w:rPr>
          <w:lang w:val="fr-CH"/>
        </w:rPr>
        <w:t>'</w:t>
      </w:r>
      <w:r w:rsidR="001C46DA" w:rsidRPr="000C6ABF">
        <w:rPr>
          <w:lang w:val="fr-CH"/>
        </w:rPr>
        <w:t>étude actuarielle pour le rapatriement est basée sur l</w:t>
      </w:r>
      <w:r w:rsidR="007F0309" w:rsidRPr="000C6ABF">
        <w:rPr>
          <w:lang w:val="fr-CH"/>
        </w:rPr>
        <w:t xml:space="preserve">e nombre d'années de service restantes </w:t>
      </w:r>
      <w:r w:rsidR="001C46DA" w:rsidRPr="000C6ABF">
        <w:rPr>
          <w:lang w:val="fr-CH"/>
        </w:rPr>
        <w:t>pour le</w:t>
      </w:r>
      <w:r w:rsidR="007F0309" w:rsidRPr="000C6ABF">
        <w:rPr>
          <w:lang w:val="fr-CH"/>
        </w:rPr>
        <w:t>s</w:t>
      </w:r>
      <w:r w:rsidR="001C46DA" w:rsidRPr="000C6ABF">
        <w:rPr>
          <w:lang w:val="fr-CH"/>
        </w:rPr>
        <w:t xml:space="preserve"> </w:t>
      </w:r>
      <w:r w:rsidR="007F0309" w:rsidRPr="000C6ABF">
        <w:rPr>
          <w:lang w:val="fr-CH"/>
        </w:rPr>
        <w:t xml:space="preserve">fonctionnaires </w:t>
      </w:r>
      <w:r w:rsidR="001C46DA" w:rsidRPr="000C6ABF">
        <w:rPr>
          <w:lang w:val="fr-CH"/>
        </w:rPr>
        <w:t>couvert</w:t>
      </w:r>
      <w:r w:rsidR="007F0309" w:rsidRPr="000C6ABF">
        <w:rPr>
          <w:lang w:val="fr-CH"/>
        </w:rPr>
        <w:t>s</w:t>
      </w:r>
      <w:r w:rsidR="001C46DA" w:rsidRPr="000C6ABF">
        <w:rPr>
          <w:lang w:val="fr-CH"/>
        </w:rPr>
        <w:t xml:space="preserve"> par l</w:t>
      </w:r>
      <w:r w:rsidR="00AB0C69" w:rsidRPr="000C6ABF">
        <w:rPr>
          <w:lang w:val="fr-CH"/>
        </w:rPr>
        <w:t>'</w:t>
      </w:r>
      <w:r w:rsidR="001C46DA" w:rsidRPr="000C6ABF">
        <w:rPr>
          <w:lang w:val="fr-CH"/>
        </w:rPr>
        <w:t>étude (en moyenne 14 ans)</w:t>
      </w:r>
      <w:r w:rsidR="00F26380" w:rsidRPr="000C6ABF">
        <w:rPr>
          <w:lang w:val="fr-CH"/>
        </w:rPr>
        <w:t xml:space="preserve">, </w:t>
      </w:r>
      <w:r w:rsidR="007F0309" w:rsidRPr="000C6ABF">
        <w:rPr>
          <w:lang w:val="fr-CH"/>
        </w:rPr>
        <w:t xml:space="preserve">alors que </w:t>
      </w:r>
      <w:r w:rsidR="00F26380" w:rsidRPr="000C6ABF">
        <w:rPr>
          <w:lang w:val="fr-CH"/>
        </w:rPr>
        <w:t>l</w:t>
      </w:r>
      <w:r w:rsidR="00AB0C69" w:rsidRPr="000C6ABF">
        <w:rPr>
          <w:lang w:val="fr-CH"/>
        </w:rPr>
        <w:t>'</w:t>
      </w:r>
      <w:r w:rsidR="00F26380" w:rsidRPr="000C6ABF">
        <w:rPr>
          <w:lang w:val="fr-CH"/>
        </w:rPr>
        <w:t>étude actuarielle pour l</w:t>
      </w:r>
      <w:r w:rsidR="00AB0C69" w:rsidRPr="000C6ABF">
        <w:rPr>
          <w:lang w:val="fr-CH"/>
        </w:rPr>
        <w:t>'</w:t>
      </w:r>
      <w:r w:rsidR="00F26380" w:rsidRPr="000C6ABF">
        <w:rPr>
          <w:lang w:val="fr-CH"/>
        </w:rPr>
        <w:t xml:space="preserve">ASHI est basée sur </w:t>
      </w:r>
      <w:r w:rsidR="007F0309" w:rsidRPr="000C6ABF">
        <w:rPr>
          <w:lang w:val="fr-CH"/>
        </w:rPr>
        <w:t xml:space="preserve">une </w:t>
      </w:r>
      <w:r w:rsidR="00F26380" w:rsidRPr="000C6ABF">
        <w:rPr>
          <w:lang w:val="fr-CH"/>
        </w:rPr>
        <w:t>estimation de la durée de vie d</w:t>
      </w:r>
      <w:r w:rsidR="007F0309" w:rsidRPr="000C6ABF">
        <w:rPr>
          <w:lang w:val="fr-CH"/>
        </w:rPr>
        <w:t>es fonctionnaires</w:t>
      </w:r>
      <w:r w:rsidR="00F26380" w:rsidRPr="000C6ABF">
        <w:rPr>
          <w:lang w:val="fr-CH"/>
        </w:rPr>
        <w:t xml:space="preserve"> selon les tables de mortalité des Nations</w:t>
      </w:r>
      <w:r w:rsidR="001C46DA" w:rsidRPr="000C6ABF">
        <w:rPr>
          <w:lang w:val="fr-CH"/>
        </w:rPr>
        <w:t xml:space="preserve"> </w:t>
      </w:r>
      <w:r w:rsidR="00F26380" w:rsidRPr="000C6ABF">
        <w:rPr>
          <w:lang w:val="fr-CH"/>
        </w:rPr>
        <w:t>Unies, une durée beaucoup plus longue</w:t>
      </w:r>
      <w:r w:rsidRPr="000C6ABF">
        <w:rPr>
          <w:lang w:val="fr-CH"/>
        </w:rPr>
        <w:t xml:space="preserve">. </w:t>
      </w:r>
      <w:r w:rsidR="00F26380" w:rsidRPr="000C6ABF">
        <w:rPr>
          <w:lang w:val="fr-CH"/>
        </w:rPr>
        <w:t>Cette différence importante</w:t>
      </w:r>
      <w:r w:rsidR="007F0309" w:rsidRPr="000C6ABF">
        <w:rPr>
          <w:lang w:val="fr-CH"/>
        </w:rPr>
        <w:t xml:space="preserve"> dans les projections de calcul</w:t>
      </w:r>
      <w:r w:rsidR="00A15D46" w:rsidRPr="000C6ABF">
        <w:rPr>
          <w:lang w:val="fr-CH"/>
        </w:rPr>
        <w:t>,</w:t>
      </w:r>
      <w:r w:rsidR="007F0309" w:rsidRPr="000C6ABF">
        <w:rPr>
          <w:lang w:val="fr-CH"/>
        </w:rPr>
        <w:t xml:space="preserve"> </w:t>
      </w:r>
      <w:r w:rsidR="00A15D46" w:rsidRPr="000C6ABF">
        <w:rPr>
          <w:lang w:val="fr-CH"/>
        </w:rPr>
        <w:t>qui a eu une incidence aussi sur le taux d</w:t>
      </w:r>
      <w:r w:rsidR="00AB0C69" w:rsidRPr="000C6ABF">
        <w:rPr>
          <w:lang w:val="fr-CH"/>
        </w:rPr>
        <w:t>'</w:t>
      </w:r>
      <w:r w:rsidR="00A15D46" w:rsidRPr="000C6ABF">
        <w:rPr>
          <w:lang w:val="fr-CH"/>
        </w:rPr>
        <w:t>augmentation des traitements</w:t>
      </w:r>
      <w:r w:rsidR="002B4FBF">
        <w:rPr>
          <w:lang w:val="fr-CH"/>
        </w:rPr>
        <w:t>,</w:t>
      </w:r>
      <w:r w:rsidR="00A15D46" w:rsidRPr="000C6ABF">
        <w:rPr>
          <w:lang w:val="fr-CH"/>
        </w:rPr>
        <w:t xml:space="preserve"> </w:t>
      </w:r>
      <w:r w:rsidR="007F0309" w:rsidRPr="000C6ABF">
        <w:rPr>
          <w:lang w:val="fr-CH"/>
        </w:rPr>
        <w:t>a été estimée</w:t>
      </w:r>
      <w:r w:rsidR="00A15D46" w:rsidRPr="000C6ABF">
        <w:rPr>
          <w:lang w:val="fr-CH"/>
        </w:rPr>
        <w:t xml:space="preserve"> plus faible sur une période de temps plus courte.</w:t>
      </w:r>
    </w:p>
    <w:p w:rsidR="00232BF6" w:rsidRPr="000C6ABF" w:rsidRDefault="00232BF6" w:rsidP="00AB0C69">
      <w:pPr>
        <w:pStyle w:val="Headingb"/>
        <w:rPr>
          <w:lang w:val="fr-CH"/>
        </w:rPr>
      </w:pPr>
      <w:bookmarkStart w:id="195" w:name="_Toc356330899"/>
      <w:bookmarkStart w:id="196" w:name="_Toc358123311"/>
      <w:bookmarkStart w:id="197" w:name="_Toc396386957"/>
      <w:bookmarkStart w:id="198" w:name="_Toc396387841"/>
      <w:bookmarkStart w:id="199" w:name="_Toc396387955"/>
      <w:bookmarkStart w:id="200" w:name="_Toc398277640"/>
      <w:r w:rsidRPr="000C6ABF">
        <w:rPr>
          <w:lang w:val="fr-CH"/>
        </w:rPr>
        <w:t xml:space="preserve">Avantages du personnel: </w:t>
      </w:r>
      <w:bookmarkEnd w:id="195"/>
      <w:r w:rsidRPr="000C6ABF">
        <w:rPr>
          <w:lang w:val="fr-CH"/>
        </w:rPr>
        <w:t>Assurance maladie après la cessation de service</w:t>
      </w:r>
      <w:bookmarkEnd w:id="196"/>
      <w:bookmarkEnd w:id="197"/>
      <w:bookmarkEnd w:id="198"/>
      <w:bookmarkEnd w:id="199"/>
      <w:bookmarkEnd w:id="200"/>
    </w:p>
    <w:p w:rsidR="00232BF6" w:rsidRPr="000C6ABF" w:rsidRDefault="00232BF6" w:rsidP="0007459B">
      <w:pPr>
        <w:rPr>
          <w:lang w:val="fr-CH"/>
        </w:rPr>
      </w:pPr>
      <w:r w:rsidRPr="000C6ABF">
        <w:rPr>
          <w:lang w:val="fr-CH"/>
        </w:rPr>
        <w:t>70</w:t>
      </w:r>
      <w:r w:rsidRPr="000C6ABF">
        <w:rPr>
          <w:lang w:val="fr-CH"/>
        </w:rPr>
        <w:tab/>
        <w:t>En 2013, le montant de la provision pour couvrir les passifs actuariels correspondant aux prestations après la cessation de service (Assurance maladie après la cessation de service) se chiffrait à 3</w:t>
      </w:r>
      <w:r w:rsidR="00264991" w:rsidRPr="000C6ABF">
        <w:rPr>
          <w:lang w:val="fr-CH"/>
        </w:rPr>
        <w:t>14</w:t>
      </w:r>
      <w:r w:rsidRPr="000C6ABF">
        <w:rPr>
          <w:lang w:val="fr-CH"/>
        </w:rPr>
        <w:t>,</w:t>
      </w:r>
      <w:r w:rsidR="00264991" w:rsidRPr="000C6ABF">
        <w:rPr>
          <w:lang w:val="fr-CH"/>
        </w:rPr>
        <w:t>1</w:t>
      </w:r>
      <w:r w:rsidRPr="000C6ABF">
        <w:rPr>
          <w:lang w:val="fr-CH"/>
        </w:rPr>
        <w:t xml:space="preserve"> millions CHF, en </w:t>
      </w:r>
      <w:r w:rsidR="00264991" w:rsidRPr="000C6ABF">
        <w:rPr>
          <w:lang w:val="fr-CH"/>
        </w:rPr>
        <w:t xml:space="preserve">baisse </w:t>
      </w:r>
      <w:r w:rsidRPr="000C6ABF">
        <w:rPr>
          <w:lang w:val="fr-CH"/>
        </w:rPr>
        <w:t>d</w:t>
      </w:r>
      <w:r w:rsidR="0007459B" w:rsidRPr="000C6ABF">
        <w:rPr>
          <w:lang w:val="fr-CH"/>
        </w:rPr>
        <w:t>'</w:t>
      </w:r>
      <w:r w:rsidRPr="000C6ABF">
        <w:rPr>
          <w:lang w:val="fr-CH"/>
        </w:rPr>
        <w:t>e</w:t>
      </w:r>
      <w:r w:rsidR="0007459B" w:rsidRPr="000C6ABF">
        <w:rPr>
          <w:lang w:val="fr-CH"/>
        </w:rPr>
        <w:t>nviron</w:t>
      </w:r>
      <w:r w:rsidRPr="000C6ABF">
        <w:rPr>
          <w:lang w:val="fr-CH"/>
        </w:rPr>
        <w:t xml:space="preserve"> </w:t>
      </w:r>
      <w:r w:rsidR="005D5CC2" w:rsidRPr="000C6ABF">
        <w:rPr>
          <w:lang w:val="fr-CH"/>
        </w:rPr>
        <w:t>21</w:t>
      </w:r>
      <w:r w:rsidRPr="000C6ABF">
        <w:rPr>
          <w:lang w:val="fr-CH"/>
        </w:rPr>
        <w:t xml:space="preserve"> millions CHF (</w:t>
      </w:r>
      <w:r w:rsidR="005D5CC2" w:rsidRPr="000C6ABF">
        <w:rPr>
          <w:lang w:val="fr-CH"/>
        </w:rPr>
        <w:t>–6,3</w:t>
      </w:r>
      <w:r w:rsidRPr="000C6ABF">
        <w:rPr>
          <w:lang w:val="fr-CH"/>
        </w:rPr>
        <w:t xml:space="preserve">%) par rapport au chiffre de </w:t>
      </w:r>
      <w:r w:rsidR="005D5CC2" w:rsidRPr="000C6ABF">
        <w:rPr>
          <w:lang w:val="fr-CH"/>
        </w:rPr>
        <w:t>335,1</w:t>
      </w:r>
      <w:r w:rsidRPr="000C6ABF">
        <w:rPr>
          <w:lang w:val="fr-CH"/>
        </w:rPr>
        <w:t xml:space="preserve"> millions CHF pour 201</w:t>
      </w:r>
      <w:r w:rsidR="005D5CC2" w:rsidRPr="000C6ABF">
        <w:rPr>
          <w:lang w:val="fr-CH"/>
        </w:rPr>
        <w:t>2</w:t>
      </w:r>
      <w:r w:rsidRPr="000C6ABF">
        <w:rPr>
          <w:lang w:val="fr-CH"/>
        </w:rPr>
        <w:t xml:space="preserve">. Cette </w:t>
      </w:r>
      <w:r w:rsidR="005D5CC2" w:rsidRPr="000C6ABF">
        <w:rPr>
          <w:lang w:val="fr-CH"/>
        </w:rPr>
        <w:t xml:space="preserve">baisse </w:t>
      </w:r>
      <w:r w:rsidRPr="000C6ABF">
        <w:rPr>
          <w:lang w:val="fr-CH"/>
        </w:rPr>
        <w:t xml:space="preserve">s'explique </w:t>
      </w:r>
      <w:r w:rsidR="00A15D46" w:rsidRPr="000C6ABF">
        <w:rPr>
          <w:lang w:val="fr-CH"/>
        </w:rPr>
        <w:t xml:space="preserve">avant tout </w:t>
      </w:r>
      <w:r w:rsidR="005D5CC2" w:rsidRPr="000C6ABF">
        <w:rPr>
          <w:lang w:val="fr-CH"/>
        </w:rPr>
        <w:t xml:space="preserve">par </w:t>
      </w:r>
      <w:r w:rsidR="0007459B" w:rsidRPr="000C6ABF">
        <w:rPr>
          <w:lang w:val="fr-CH"/>
        </w:rPr>
        <w:t xml:space="preserve">le </w:t>
      </w:r>
      <w:r w:rsidRPr="000C6ABF">
        <w:rPr>
          <w:lang w:val="fr-CH"/>
        </w:rPr>
        <w:t xml:space="preserve">nouveau taux d'actualisation </w:t>
      </w:r>
      <w:r w:rsidR="0007459B" w:rsidRPr="000C6ABF">
        <w:rPr>
          <w:lang w:val="fr-CH"/>
        </w:rPr>
        <w:t xml:space="preserve">qui a été retenu </w:t>
      </w:r>
      <w:r w:rsidRPr="000C6ABF">
        <w:rPr>
          <w:lang w:val="fr-CH"/>
        </w:rPr>
        <w:t>(2,</w:t>
      </w:r>
      <w:r w:rsidR="005D5CC2" w:rsidRPr="000C6ABF">
        <w:rPr>
          <w:lang w:val="fr-CH"/>
        </w:rPr>
        <w:t>76</w:t>
      </w:r>
      <w:r w:rsidRPr="000C6ABF">
        <w:rPr>
          <w:lang w:val="fr-CH"/>
        </w:rPr>
        <w:t>% pour 201</w:t>
      </w:r>
      <w:r w:rsidR="005D5CC2" w:rsidRPr="000C6ABF">
        <w:rPr>
          <w:lang w:val="fr-CH"/>
        </w:rPr>
        <w:t>3</w:t>
      </w:r>
      <w:r w:rsidRPr="000C6ABF">
        <w:rPr>
          <w:lang w:val="fr-CH"/>
        </w:rPr>
        <w:t xml:space="preserve"> et 2,</w:t>
      </w:r>
      <w:r w:rsidR="005D5CC2" w:rsidRPr="000C6ABF">
        <w:rPr>
          <w:lang w:val="fr-CH"/>
        </w:rPr>
        <w:t>24</w:t>
      </w:r>
      <w:r w:rsidRPr="000C6ABF">
        <w:rPr>
          <w:lang w:val="fr-CH"/>
        </w:rPr>
        <w:t>% pour</w:t>
      </w:r>
      <w:r w:rsidR="005D5CC2" w:rsidRPr="000C6ABF">
        <w:rPr>
          <w:lang w:val="fr-CH"/>
        </w:rPr>
        <w:t xml:space="preserve"> 2012</w:t>
      </w:r>
      <w:r w:rsidRPr="000C6ABF">
        <w:rPr>
          <w:lang w:val="fr-CH"/>
        </w:rPr>
        <w:t>). Les calculs basés sur les hypothèses retenues dans l'étude actuarielle ont été réalisés</w:t>
      </w:r>
      <w:r w:rsidR="001469EE" w:rsidRPr="000C6ABF">
        <w:rPr>
          <w:lang w:val="fr-CH"/>
        </w:rPr>
        <w:t xml:space="preserve"> par un actuaire, choisi par l'UIT.</w:t>
      </w:r>
    </w:p>
    <w:p w:rsidR="00591D24" w:rsidRPr="000C6ABF" w:rsidRDefault="00591D24" w:rsidP="00AB0C69">
      <w:pPr>
        <w:rPr>
          <w:b/>
          <w:bCs/>
          <w:lang w:val="fr-CH"/>
        </w:rPr>
      </w:pPr>
      <w:bookmarkStart w:id="201" w:name="_Toc358123312"/>
      <w:r w:rsidRPr="000C6ABF">
        <w:rPr>
          <w:b/>
          <w:bCs/>
          <w:lang w:val="fr-CH"/>
        </w:rPr>
        <w:t>Les hypothèses de base actuarielles et économiques concordent avec celles de l'année précédente</w:t>
      </w:r>
      <w:bookmarkEnd w:id="201"/>
      <w:r w:rsidR="002B4FBF">
        <w:rPr>
          <w:b/>
          <w:bCs/>
          <w:lang w:val="fr-CH"/>
        </w:rPr>
        <w:t>.</w:t>
      </w:r>
    </w:p>
    <w:p w:rsidR="00591D24" w:rsidRPr="000C6ABF" w:rsidRDefault="00591D24" w:rsidP="00AB0C69">
      <w:pPr>
        <w:rPr>
          <w:lang w:val="fr-CH"/>
        </w:rPr>
      </w:pPr>
      <w:r w:rsidRPr="000C6ABF">
        <w:rPr>
          <w:lang w:val="fr-CH"/>
        </w:rPr>
        <w:lastRenderedPageBreak/>
        <w:t>71</w:t>
      </w:r>
      <w:r w:rsidRPr="000C6ABF">
        <w:rPr>
          <w:lang w:val="fr-CH"/>
        </w:rPr>
        <w:tab/>
        <w:t>Le choix des hypothèses actuarielles est du ressort exclusif de l'organisation. Le Vérificateur extérieur des comptes vérifie si ces hypothèses sont plausibles et si elles sont conformes à la norme IPSAS 25 et cadrent avec les hypothèses des années précédentes et il les valide.</w:t>
      </w:r>
    </w:p>
    <w:p w:rsidR="00591D24" w:rsidRPr="000C6ABF" w:rsidRDefault="00591D24" w:rsidP="00AB0C69">
      <w:pPr>
        <w:rPr>
          <w:lang w:val="fr-CH"/>
        </w:rPr>
      </w:pPr>
      <w:r w:rsidRPr="000C6ABF">
        <w:rPr>
          <w:lang w:val="fr-CH"/>
        </w:rPr>
        <w:t>72</w:t>
      </w:r>
      <w:r w:rsidRPr="000C6ABF">
        <w:rPr>
          <w:lang w:val="fr-CH"/>
        </w:rPr>
        <w:tab/>
        <w:t>Nous avons passé en revue les hypothèses de base, les avons dûment examinées avec la direction; elles concordent avec les tendances et les taux économiques et cadrent avec les données dont nous disposions à l'UIT au moment où nous avons réalisé notre audit. Nous les avons donc validées.</w:t>
      </w:r>
    </w:p>
    <w:p w:rsidR="00591D24" w:rsidRPr="000C6ABF" w:rsidRDefault="000469FA" w:rsidP="00AB0C69">
      <w:pPr>
        <w:rPr>
          <w:lang w:val="fr-CH"/>
        </w:rPr>
      </w:pPr>
      <w:r w:rsidRPr="000C6ABF">
        <w:rPr>
          <w:lang w:val="fr-CH"/>
        </w:rPr>
        <w:t>73</w:t>
      </w:r>
      <w:r w:rsidRPr="000C6ABF">
        <w:rPr>
          <w:lang w:val="fr-CH"/>
        </w:rPr>
        <w:tab/>
      </w:r>
      <w:r w:rsidR="00A15D46" w:rsidRPr="000C6ABF">
        <w:rPr>
          <w:lang w:val="fr-CH"/>
        </w:rPr>
        <w:t>Nous avons déjà indiqué dans notre rapport de l</w:t>
      </w:r>
      <w:r w:rsidR="00AB0C69" w:rsidRPr="000C6ABF">
        <w:rPr>
          <w:lang w:val="fr-CH"/>
        </w:rPr>
        <w:t>'</w:t>
      </w:r>
      <w:r w:rsidR="00A15D46" w:rsidRPr="000C6ABF">
        <w:rPr>
          <w:lang w:val="fr-CH"/>
        </w:rPr>
        <w:t xml:space="preserve">an dernier </w:t>
      </w:r>
      <w:r w:rsidR="00591D24" w:rsidRPr="000C6ABF">
        <w:rPr>
          <w:lang w:val="fr-CH"/>
        </w:rPr>
        <w:t>que, dans le système des Nations Unies, les hypothèses de base retenues en ce qui concerne l'assurance maladie après la cessation de service ne peuvent pas</w:t>
      </w:r>
      <w:r w:rsidR="008E3222" w:rsidRPr="000C6ABF">
        <w:rPr>
          <w:lang w:val="fr-CH"/>
        </w:rPr>
        <w:t xml:space="preserve"> toujours</w:t>
      </w:r>
      <w:r w:rsidR="00591D24" w:rsidRPr="000C6ABF">
        <w:rPr>
          <w:lang w:val="fr-CH"/>
        </w:rPr>
        <w:t xml:space="preserve"> être homogènes: en effet, chaque institution du système a des caractéristiques qui lui sont propres, qu'il s'agisse du nombre de fonctionnaires et de la composition du personnel (traitements et évolution de carrière, allocations familiales), </w:t>
      </w:r>
      <w:r w:rsidR="0052792B" w:rsidRPr="000C6ABF">
        <w:rPr>
          <w:lang w:val="fr-CH"/>
        </w:rPr>
        <w:t xml:space="preserve">ou </w:t>
      </w:r>
      <w:r w:rsidR="00591D24" w:rsidRPr="000C6ABF">
        <w:rPr>
          <w:lang w:val="fr-CH"/>
        </w:rPr>
        <w:t>du lieu d'affectation (nombre de fonctionnaires affectés dans les bureaux hors siège</w:t>
      </w:r>
      <w:r w:rsidR="0052792B" w:rsidRPr="000C6ABF">
        <w:rPr>
          <w:lang w:val="fr-CH"/>
        </w:rPr>
        <w:t>)</w:t>
      </w:r>
      <w:r w:rsidR="00591D24" w:rsidRPr="000C6ABF">
        <w:rPr>
          <w:lang w:val="fr-CH"/>
        </w:rPr>
        <w:t xml:space="preserve">, ce qui a une influence sur </w:t>
      </w:r>
      <w:r w:rsidR="008E3222" w:rsidRPr="000C6ABF">
        <w:rPr>
          <w:lang w:val="fr-CH"/>
        </w:rPr>
        <w:t>les prévisions en ce qui concerne la maladie et la mortalité.</w:t>
      </w:r>
    </w:p>
    <w:p w:rsidR="00232BF6" w:rsidRPr="000C6ABF" w:rsidRDefault="00C52237" w:rsidP="00C41651">
      <w:pPr>
        <w:rPr>
          <w:lang w:val="fr-CH"/>
        </w:rPr>
      </w:pPr>
      <w:r w:rsidRPr="000C6ABF">
        <w:rPr>
          <w:lang w:val="fr-CH"/>
        </w:rPr>
        <w:t>74</w:t>
      </w:r>
      <w:r w:rsidRPr="000C6ABF">
        <w:rPr>
          <w:lang w:val="fr-CH"/>
        </w:rPr>
        <w:tab/>
      </w:r>
      <w:r w:rsidR="00A15D46" w:rsidRPr="000C6ABF">
        <w:rPr>
          <w:lang w:val="fr-CH"/>
        </w:rPr>
        <w:t>Nous confirmons également qu</w:t>
      </w:r>
      <w:r w:rsidR="00AB0C69" w:rsidRPr="000C6ABF">
        <w:rPr>
          <w:lang w:val="fr-CH"/>
        </w:rPr>
        <w:t>'</w:t>
      </w:r>
      <w:r w:rsidR="00A15D46" w:rsidRPr="000C6ABF">
        <w:rPr>
          <w:lang w:val="fr-CH"/>
        </w:rPr>
        <w:t>en l</w:t>
      </w:r>
      <w:r w:rsidR="00AB0C69" w:rsidRPr="000C6ABF">
        <w:rPr>
          <w:lang w:val="fr-CH"/>
        </w:rPr>
        <w:t>'</w:t>
      </w:r>
      <w:r w:rsidR="004E66E4" w:rsidRPr="000C6ABF">
        <w:rPr>
          <w:lang w:val="fr-CH"/>
        </w:rPr>
        <w:t>absence</w:t>
      </w:r>
      <w:r w:rsidR="00A15D46" w:rsidRPr="000C6ABF">
        <w:rPr>
          <w:lang w:val="fr-CH"/>
        </w:rPr>
        <w:t xml:space="preserve"> d</w:t>
      </w:r>
      <w:r w:rsidR="004E66E4" w:rsidRPr="000C6ABF">
        <w:rPr>
          <w:lang w:val="fr-CH"/>
        </w:rPr>
        <w:t xml:space="preserve">e disposition </w:t>
      </w:r>
      <w:r w:rsidR="00A15D46" w:rsidRPr="000C6ABF">
        <w:rPr>
          <w:lang w:val="fr-CH"/>
        </w:rPr>
        <w:t>précise concernant le taux d</w:t>
      </w:r>
      <w:r w:rsidR="00AB0C69" w:rsidRPr="000C6ABF">
        <w:rPr>
          <w:lang w:val="fr-CH"/>
        </w:rPr>
        <w:t>'</w:t>
      </w:r>
      <w:r w:rsidR="00A15D46" w:rsidRPr="000C6ABF">
        <w:rPr>
          <w:lang w:val="fr-CH"/>
        </w:rPr>
        <w:t>actualisation dans la norme</w:t>
      </w:r>
      <w:r w:rsidR="00824866" w:rsidRPr="000C6ABF">
        <w:rPr>
          <w:lang w:val="fr-CH"/>
        </w:rPr>
        <w:t xml:space="preserve"> IPSAS 25, dans le système des Nations Unies, </w:t>
      </w:r>
      <w:r w:rsidR="004E66E4" w:rsidRPr="000C6ABF">
        <w:rPr>
          <w:lang w:val="fr-CH"/>
        </w:rPr>
        <w:t>plusieurs</w:t>
      </w:r>
      <w:r w:rsidR="00824866" w:rsidRPr="000C6ABF">
        <w:rPr>
          <w:lang w:val="fr-CH"/>
        </w:rPr>
        <w:t xml:space="preserve"> institutions </w:t>
      </w:r>
      <w:r w:rsidR="00C41651" w:rsidRPr="000C6ABF">
        <w:rPr>
          <w:lang w:val="fr-CH"/>
        </w:rPr>
        <w:t>utilisent comme</w:t>
      </w:r>
      <w:r w:rsidR="00824866" w:rsidRPr="000C6ABF">
        <w:rPr>
          <w:lang w:val="fr-CH"/>
        </w:rPr>
        <w:t xml:space="preserve"> référence des courbes de rendement des obligations de sociétés AA qui sont différentes et qui ont été établies par des personnes différentes</w:t>
      </w:r>
      <w:r w:rsidR="007D5F93" w:rsidRPr="000C6ABF">
        <w:rPr>
          <w:lang w:val="fr-CH"/>
        </w:rPr>
        <w:t>,</w:t>
      </w:r>
      <w:r w:rsidR="00824866" w:rsidRPr="000C6ABF">
        <w:rPr>
          <w:lang w:val="fr-CH"/>
        </w:rPr>
        <w:t xml:space="preserve"> et il est impossible de comparer directement la situation actuelle des passifs actuariels de l'UIT et celle des passifs actuariels d'autres institutions du système des Nations Unies.</w:t>
      </w:r>
    </w:p>
    <w:p w:rsidR="007D5F93" w:rsidRPr="000C6ABF" w:rsidRDefault="007D5F93" w:rsidP="00AB0C69">
      <w:pPr>
        <w:pStyle w:val="Headingi"/>
        <w:rPr>
          <w:b/>
          <w:bCs/>
          <w:lang w:val="fr-CH"/>
        </w:rPr>
      </w:pPr>
      <w:bookmarkStart w:id="202" w:name="_Toc358123314"/>
      <w:bookmarkStart w:id="203" w:name="_Toc396386958"/>
      <w:bookmarkStart w:id="204" w:name="_Toc396387842"/>
      <w:bookmarkStart w:id="205" w:name="_Toc396387956"/>
      <w:bookmarkStart w:id="206" w:name="_Toc398277641"/>
      <w:r w:rsidRPr="000C6ABF">
        <w:rPr>
          <w:b/>
          <w:bCs/>
          <w:lang w:val="fr-CH"/>
        </w:rPr>
        <w:t>La santé financière est assurée à court terme mais des mesures correctives devront être prises</w:t>
      </w:r>
      <w:bookmarkEnd w:id="202"/>
      <w:bookmarkEnd w:id="203"/>
      <w:bookmarkEnd w:id="204"/>
      <w:bookmarkEnd w:id="205"/>
      <w:bookmarkEnd w:id="206"/>
    </w:p>
    <w:p w:rsidR="007D5F93" w:rsidRPr="000C6ABF" w:rsidRDefault="007D5F93" w:rsidP="00A401D6">
      <w:pPr>
        <w:rPr>
          <w:lang w:val="fr-CH"/>
        </w:rPr>
      </w:pPr>
      <w:r w:rsidRPr="000C6ABF">
        <w:rPr>
          <w:lang w:val="fr-CH"/>
        </w:rPr>
        <w:t>75</w:t>
      </w:r>
      <w:r w:rsidRPr="000C6ABF">
        <w:rPr>
          <w:lang w:val="fr-CH"/>
        </w:rPr>
        <w:tab/>
      </w:r>
      <w:r w:rsidR="00E91AF6" w:rsidRPr="000C6ABF">
        <w:rPr>
          <w:lang w:val="fr-CH"/>
        </w:rPr>
        <w:t>En 2013, l</w:t>
      </w:r>
      <w:r w:rsidRPr="000C6ABF">
        <w:rPr>
          <w:lang w:val="fr-CH"/>
        </w:rPr>
        <w:t>a provision pour l'assurance maladie après la cessation de service (</w:t>
      </w:r>
      <w:r w:rsidR="00E91AF6" w:rsidRPr="000C6ABF">
        <w:rPr>
          <w:lang w:val="fr-CH"/>
        </w:rPr>
        <w:t>314,1 </w:t>
      </w:r>
      <w:r w:rsidRPr="000C6ABF">
        <w:rPr>
          <w:lang w:val="fr-CH"/>
        </w:rPr>
        <w:t>millions</w:t>
      </w:r>
      <w:r w:rsidR="00E91AF6" w:rsidRPr="000C6ABF">
        <w:rPr>
          <w:lang w:val="fr-CH"/>
        </w:rPr>
        <w:t> </w:t>
      </w:r>
      <w:r w:rsidRPr="000C6ABF">
        <w:rPr>
          <w:lang w:val="fr-CH"/>
        </w:rPr>
        <w:t>CHF) explique dans une très large mesure l'actif net négatif (–</w:t>
      </w:r>
      <w:r w:rsidR="00E91AF6" w:rsidRPr="000C6ABF">
        <w:rPr>
          <w:lang w:val="fr-CH"/>
        </w:rPr>
        <w:t>196,2</w:t>
      </w:r>
      <w:r w:rsidRPr="000C6ABF">
        <w:rPr>
          <w:lang w:val="fr-CH"/>
        </w:rPr>
        <w:t xml:space="preserve"> millions CHF). </w:t>
      </w:r>
      <w:r w:rsidR="00956681" w:rsidRPr="000C6ABF">
        <w:rPr>
          <w:lang w:val="fr-CH"/>
        </w:rPr>
        <w:t>Etant donné qu</w:t>
      </w:r>
      <w:r w:rsidR="00AB0C69" w:rsidRPr="000C6ABF">
        <w:rPr>
          <w:lang w:val="fr-CH"/>
        </w:rPr>
        <w:t>'</w:t>
      </w:r>
      <w:r w:rsidR="00956681" w:rsidRPr="000C6ABF">
        <w:rPr>
          <w:lang w:val="fr-CH"/>
        </w:rPr>
        <w:t xml:space="preserve">il </w:t>
      </w:r>
      <w:r w:rsidRPr="000C6ABF">
        <w:rPr>
          <w:lang w:val="fr-CH"/>
        </w:rPr>
        <w:t xml:space="preserve">n'est pas possible de comparer directement les passifs </w:t>
      </w:r>
      <w:r w:rsidR="00E91AF6" w:rsidRPr="000C6ABF">
        <w:rPr>
          <w:lang w:val="fr-CH"/>
        </w:rPr>
        <w:t>actu</w:t>
      </w:r>
      <w:r w:rsidR="00A15D46" w:rsidRPr="000C6ABF">
        <w:rPr>
          <w:lang w:val="fr-CH"/>
        </w:rPr>
        <w:t>a</w:t>
      </w:r>
      <w:r w:rsidR="00E91AF6" w:rsidRPr="000C6ABF">
        <w:rPr>
          <w:lang w:val="fr-CH"/>
        </w:rPr>
        <w:t xml:space="preserve">riels </w:t>
      </w:r>
      <w:r w:rsidRPr="000C6ABF">
        <w:rPr>
          <w:lang w:val="fr-CH"/>
        </w:rPr>
        <w:t>de l'UIT et les passifs d'autres organisations</w:t>
      </w:r>
      <w:r w:rsidR="00E91AF6" w:rsidRPr="000C6ABF">
        <w:rPr>
          <w:lang w:val="fr-CH"/>
        </w:rPr>
        <w:t xml:space="preserve">, </w:t>
      </w:r>
      <w:r w:rsidR="00A401D6" w:rsidRPr="000C6ABF">
        <w:rPr>
          <w:lang w:val="fr-CH"/>
        </w:rPr>
        <w:t>comme indiqué</w:t>
      </w:r>
      <w:r w:rsidR="00A15D46" w:rsidRPr="000C6ABF">
        <w:rPr>
          <w:lang w:val="fr-CH"/>
        </w:rPr>
        <w:t xml:space="preserve"> ci-dessus</w:t>
      </w:r>
      <w:r w:rsidR="00E91AF6" w:rsidRPr="000C6ABF">
        <w:rPr>
          <w:lang w:val="fr-CH"/>
        </w:rPr>
        <w:t>, i</w:t>
      </w:r>
      <w:r w:rsidRPr="000C6ABF">
        <w:rPr>
          <w:lang w:val="fr-CH"/>
        </w:rPr>
        <w:t>l est difficile d'entreprendre une analyse comparative directe entre l'insuffisance du financement à l'UIT et la situation dans d'autres institutions des Nations Unies.</w:t>
      </w:r>
    </w:p>
    <w:p w:rsidR="007D5F93" w:rsidRPr="000C6ABF" w:rsidRDefault="007D5F93" w:rsidP="00A401D6">
      <w:pPr>
        <w:rPr>
          <w:lang w:val="fr-CH"/>
        </w:rPr>
      </w:pPr>
      <w:r w:rsidRPr="000C6ABF">
        <w:rPr>
          <w:lang w:val="fr-CH"/>
        </w:rPr>
        <w:t>76</w:t>
      </w:r>
      <w:r w:rsidRPr="000C6ABF">
        <w:rPr>
          <w:lang w:val="fr-CH"/>
        </w:rPr>
        <w:tab/>
      </w:r>
      <w:r w:rsidR="00956681" w:rsidRPr="000C6ABF">
        <w:rPr>
          <w:lang w:val="fr-CH"/>
        </w:rPr>
        <w:t>Pour la dernière année de leu</w:t>
      </w:r>
      <w:r w:rsidR="00A401D6" w:rsidRPr="000C6ABF">
        <w:rPr>
          <w:lang w:val="fr-CH"/>
        </w:rPr>
        <w:t>r</w:t>
      </w:r>
      <w:r w:rsidR="00956681" w:rsidRPr="000C6ABF">
        <w:rPr>
          <w:lang w:val="fr-CH"/>
        </w:rPr>
        <w:t xml:space="preserve"> mandat</w:t>
      </w:r>
      <w:r w:rsidR="00E91AF6" w:rsidRPr="000C6ABF">
        <w:rPr>
          <w:lang w:val="fr-CH"/>
        </w:rPr>
        <w:t xml:space="preserve"> (2011), </w:t>
      </w:r>
      <w:r w:rsidRPr="000C6ABF">
        <w:rPr>
          <w:lang w:val="fr-CH"/>
        </w:rPr>
        <w:t>nos prédécesseurs, l</w:t>
      </w:r>
      <w:r w:rsidR="00A401D6" w:rsidRPr="000C6ABF">
        <w:rPr>
          <w:lang w:val="fr-CH"/>
        </w:rPr>
        <w:t>a SFAO</w:t>
      </w:r>
      <w:r w:rsidRPr="000C6ABF">
        <w:rPr>
          <w:lang w:val="fr-CH"/>
        </w:rPr>
        <w:t>, ont indiqué que "cette situation au niveau de l'état de la situation financière de l'UIT est certes préoccupante mais sa santé financière immédiate et à court terme n'est pas directement affectée".</w:t>
      </w:r>
    </w:p>
    <w:p w:rsidR="0028581C" w:rsidRPr="000C6ABF" w:rsidRDefault="002852C5" w:rsidP="00A401D6">
      <w:pPr>
        <w:spacing w:after="120"/>
        <w:rPr>
          <w:lang w:val="fr-CH"/>
        </w:rPr>
      </w:pPr>
      <w:r w:rsidRPr="000C6ABF">
        <w:rPr>
          <w:lang w:val="fr-CH"/>
        </w:rPr>
        <w:t>77</w:t>
      </w:r>
      <w:r w:rsidRPr="000C6ABF">
        <w:rPr>
          <w:lang w:val="fr-CH"/>
        </w:rPr>
        <w:tab/>
      </w:r>
      <w:r w:rsidR="00956681" w:rsidRPr="000C6ABF">
        <w:rPr>
          <w:lang w:val="fr-CH"/>
        </w:rPr>
        <w:t xml:space="preserve">Dans notre rapport sur les états financiers pour 2012, nous avons recommandé à la direction de s'appuyer, pour les années à venir, sur une étude actuarielle complète afin d'apporter des réponses, et d'éventuelles solutions, à ce problème. </w:t>
      </w:r>
      <w:r w:rsidR="00B1461A" w:rsidRPr="000C6ABF">
        <w:rPr>
          <w:lang w:val="fr-CH"/>
        </w:rPr>
        <w:t xml:space="preserve">Etant donné que le </w:t>
      </w:r>
      <w:r w:rsidR="00956681" w:rsidRPr="000C6ABF">
        <w:rPr>
          <w:lang w:val="fr-CH"/>
        </w:rPr>
        <w:t>prestataire de services</w:t>
      </w:r>
      <w:r w:rsidR="00B1461A" w:rsidRPr="000C6ABF">
        <w:rPr>
          <w:lang w:val="fr-CH"/>
        </w:rPr>
        <w:t xml:space="preserve"> va changer</w:t>
      </w:r>
      <w:r w:rsidR="00956681" w:rsidRPr="000C6ABF">
        <w:rPr>
          <w:lang w:val="fr-CH"/>
        </w:rPr>
        <w:t>, nous pensons toutefois que pour l</w:t>
      </w:r>
      <w:r w:rsidR="00AB0C69" w:rsidRPr="000C6ABF">
        <w:rPr>
          <w:lang w:val="fr-CH"/>
        </w:rPr>
        <w:t>'</w:t>
      </w:r>
      <w:r w:rsidR="00956681" w:rsidRPr="000C6ABF">
        <w:rPr>
          <w:lang w:val="fr-CH"/>
        </w:rPr>
        <w:t xml:space="preserve">instant il ne serait ni </w:t>
      </w:r>
      <w:r w:rsidR="00B1461A" w:rsidRPr="000C6ABF">
        <w:rPr>
          <w:lang w:val="fr-CH"/>
        </w:rPr>
        <w:t>fondé ni opportun de réaliser l</w:t>
      </w:r>
      <w:r w:rsidR="00AB0C69" w:rsidRPr="000C6ABF">
        <w:rPr>
          <w:lang w:val="fr-CH"/>
        </w:rPr>
        <w:t>'</w:t>
      </w:r>
      <w:r w:rsidR="00B1461A" w:rsidRPr="000C6ABF">
        <w:rPr>
          <w:lang w:val="fr-CH"/>
        </w:rPr>
        <w:t>étude actuarielle complète avant le passage au nouveau prestataire, vraisemblablement en 2016</w:t>
      </w:r>
      <w:r w:rsidRPr="000C6ABF">
        <w:rPr>
          <w:lang w:val="fr-CH"/>
        </w:rPr>
        <w:t>.</w:t>
      </w:r>
    </w:p>
    <w:tbl>
      <w:tblPr>
        <w:tblStyle w:val="TableGrid"/>
        <w:tblW w:w="0" w:type="auto"/>
        <w:tblLook w:val="04A0" w:firstRow="1" w:lastRow="0" w:firstColumn="1" w:lastColumn="0" w:noHBand="0" w:noVBand="1"/>
      </w:tblPr>
      <w:tblGrid>
        <w:gridCol w:w="9629"/>
      </w:tblGrid>
      <w:tr w:rsidR="0028581C" w:rsidRPr="000C6ABF" w:rsidTr="00FB5933">
        <w:tc>
          <w:tcPr>
            <w:tcW w:w="9629" w:type="dxa"/>
          </w:tcPr>
          <w:p w:rsidR="0028581C" w:rsidRPr="000C6ABF" w:rsidRDefault="00B1461A" w:rsidP="00A401D6">
            <w:pPr>
              <w:spacing w:after="120"/>
              <w:rPr>
                <w:b/>
                <w:bCs/>
                <w:u w:val="single"/>
                <w:lang w:val="fr-CH"/>
              </w:rPr>
            </w:pPr>
            <w:bookmarkStart w:id="207" w:name="_Toc396386959"/>
            <w:r w:rsidRPr="000C6ABF">
              <w:rPr>
                <w:b/>
                <w:bCs/>
                <w:u w:val="single"/>
                <w:lang w:val="fr-CH"/>
              </w:rPr>
              <w:t>Recommandatio</w:t>
            </w:r>
            <w:r w:rsidR="00A401D6" w:rsidRPr="000C6ABF">
              <w:rPr>
                <w:b/>
                <w:bCs/>
                <w:u w:val="single"/>
                <w:lang w:val="fr-CH"/>
              </w:rPr>
              <w:t>n</w:t>
            </w:r>
            <w:r w:rsidR="0028581C" w:rsidRPr="000C6ABF">
              <w:rPr>
                <w:b/>
                <w:bCs/>
                <w:u w:val="single"/>
                <w:lang w:val="fr-CH"/>
              </w:rPr>
              <w:t xml:space="preserve"> N° 3</w:t>
            </w:r>
            <w:bookmarkEnd w:id="207"/>
          </w:p>
          <w:p w:rsidR="0028581C" w:rsidRPr="000C6ABF" w:rsidRDefault="0028581C" w:rsidP="00A401D6">
            <w:pPr>
              <w:spacing w:after="120"/>
              <w:rPr>
                <w:lang w:val="fr-CH"/>
              </w:rPr>
            </w:pPr>
            <w:r w:rsidRPr="000C6ABF">
              <w:rPr>
                <w:lang w:val="fr-CH"/>
              </w:rPr>
              <w:t>78</w:t>
            </w:r>
            <w:r w:rsidRPr="000C6ABF">
              <w:rPr>
                <w:lang w:val="fr-CH"/>
              </w:rPr>
              <w:tab/>
            </w:r>
            <w:r w:rsidR="00B1461A" w:rsidRPr="000C6ABF">
              <w:rPr>
                <w:lang w:val="fr-CH"/>
              </w:rPr>
              <w:t>Nous renouvelons la Recomm</w:t>
            </w:r>
            <w:r w:rsidR="00A401D6" w:rsidRPr="000C6ABF">
              <w:rPr>
                <w:lang w:val="fr-CH"/>
              </w:rPr>
              <w:t>a</w:t>
            </w:r>
            <w:r w:rsidR="00B1461A" w:rsidRPr="000C6ABF">
              <w:rPr>
                <w:lang w:val="fr-CH"/>
              </w:rPr>
              <w:t xml:space="preserve">ndation </w:t>
            </w:r>
            <w:r w:rsidR="00A401D6" w:rsidRPr="000C6ABF">
              <w:rPr>
                <w:lang w:val="fr-CH"/>
              </w:rPr>
              <w:t>N°</w:t>
            </w:r>
            <w:r w:rsidR="00B1461A" w:rsidRPr="000C6ABF">
              <w:rPr>
                <w:lang w:val="fr-CH"/>
              </w:rPr>
              <w:t xml:space="preserve"> 6 de notre rapport de 2012</w:t>
            </w:r>
            <w:r w:rsidR="002B4FBF">
              <w:rPr>
                <w:lang w:val="fr-CH"/>
              </w:rPr>
              <w:t>,</w:t>
            </w:r>
            <w:r w:rsidR="00B1461A" w:rsidRPr="000C6ABF">
              <w:rPr>
                <w:lang w:val="fr-CH"/>
              </w:rPr>
              <w:t xml:space="preserve"> selon laquelle </w:t>
            </w:r>
            <w:r w:rsidR="007C0345" w:rsidRPr="000C6ABF">
              <w:rPr>
                <w:lang w:val="fr-CH"/>
              </w:rPr>
              <w:t>la direction devrait s'appuyer sur une étude actuarielle complète pour évaluer si la santé financière</w:t>
            </w:r>
            <w:r w:rsidR="00A47698" w:rsidRPr="000C6ABF">
              <w:rPr>
                <w:lang w:val="fr-CH"/>
              </w:rPr>
              <w:t xml:space="preserve"> </w:t>
            </w:r>
            <w:r w:rsidR="007C0345" w:rsidRPr="000C6ABF">
              <w:rPr>
                <w:lang w:val="fr-CH"/>
              </w:rPr>
              <w:t>de l</w:t>
            </w:r>
            <w:r w:rsidR="00AB0C69" w:rsidRPr="000C6ABF">
              <w:rPr>
                <w:lang w:val="fr-CH"/>
              </w:rPr>
              <w:t>'</w:t>
            </w:r>
            <w:r w:rsidR="007C0345" w:rsidRPr="000C6ABF">
              <w:rPr>
                <w:lang w:val="fr-CH"/>
              </w:rPr>
              <w:t>UIT risque d</w:t>
            </w:r>
            <w:r w:rsidR="00AB0C69" w:rsidRPr="000C6ABF">
              <w:rPr>
                <w:lang w:val="fr-CH"/>
              </w:rPr>
              <w:t>'</w:t>
            </w:r>
            <w:r w:rsidR="007C0345" w:rsidRPr="000C6ABF">
              <w:rPr>
                <w:lang w:val="fr-CH"/>
              </w:rPr>
              <w:t xml:space="preserve">être compromise, dans le scénario à long terme, par les </w:t>
            </w:r>
            <w:r w:rsidR="00A401D6" w:rsidRPr="000C6ABF">
              <w:rPr>
                <w:lang w:val="fr-CH"/>
              </w:rPr>
              <w:t>provisions pour l'</w:t>
            </w:r>
            <w:r w:rsidR="007C0345" w:rsidRPr="000C6ABF">
              <w:rPr>
                <w:lang w:val="fr-CH"/>
              </w:rPr>
              <w:t xml:space="preserve">assurance maladie; nous tenons compte du fait que le passage au nouveau régime (nouveau scenario) est en cours; nous </w:t>
            </w:r>
            <w:r w:rsidR="00253043" w:rsidRPr="000C6ABF">
              <w:rPr>
                <w:lang w:val="fr-CH"/>
              </w:rPr>
              <w:t>recommandons</w:t>
            </w:r>
            <w:r w:rsidR="007C0345" w:rsidRPr="000C6ABF">
              <w:rPr>
                <w:lang w:val="fr-CH"/>
              </w:rPr>
              <w:t xml:space="preserve"> donc à la </w:t>
            </w:r>
            <w:r w:rsidR="00253043" w:rsidRPr="000C6ABF">
              <w:rPr>
                <w:lang w:val="fr-CH"/>
              </w:rPr>
              <w:t>direction</w:t>
            </w:r>
            <w:r w:rsidR="007C0345" w:rsidRPr="000C6ABF">
              <w:rPr>
                <w:lang w:val="fr-CH"/>
              </w:rPr>
              <w:t xml:space="preserve"> que l</w:t>
            </w:r>
            <w:r w:rsidR="00AB0C69" w:rsidRPr="000C6ABF">
              <w:rPr>
                <w:lang w:val="fr-CH"/>
              </w:rPr>
              <w:t>'</w:t>
            </w:r>
            <w:r w:rsidR="007C0345" w:rsidRPr="000C6ABF">
              <w:rPr>
                <w:lang w:val="fr-CH"/>
              </w:rPr>
              <w:t xml:space="preserve">étude actuarielle </w:t>
            </w:r>
            <w:r w:rsidR="00253043" w:rsidRPr="000C6ABF">
              <w:rPr>
                <w:lang w:val="fr-CH"/>
              </w:rPr>
              <w:t>complète</w:t>
            </w:r>
            <w:r w:rsidR="007C0345" w:rsidRPr="000C6ABF">
              <w:rPr>
                <w:lang w:val="fr-CH"/>
              </w:rPr>
              <w:t xml:space="preserve"> soit réalisée une fois</w:t>
            </w:r>
            <w:r w:rsidR="00A47698" w:rsidRPr="000C6ABF">
              <w:rPr>
                <w:lang w:val="fr-CH"/>
              </w:rPr>
              <w:t xml:space="preserve"> </w:t>
            </w:r>
            <w:r w:rsidR="00253043" w:rsidRPr="000C6ABF">
              <w:rPr>
                <w:lang w:val="fr-CH"/>
              </w:rPr>
              <w:t xml:space="preserve">la transition terminée, en 2016. </w:t>
            </w:r>
          </w:p>
        </w:tc>
      </w:tr>
    </w:tbl>
    <w:p w:rsidR="0028581C" w:rsidRPr="000C6ABF" w:rsidRDefault="0028581C" w:rsidP="00AB0C69">
      <w:pPr>
        <w:rPr>
          <w:lang w:val="fr-CH"/>
        </w:rPr>
      </w:pPr>
    </w:p>
    <w:tbl>
      <w:tblPr>
        <w:tblStyle w:val="TableGrid"/>
        <w:tblW w:w="0" w:type="auto"/>
        <w:tblLook w:val="04A0" w:firstRow="1" w:lastRow="0" w:firstColumn="1" w:lastColumn="0" w:noHBand="0" w:noVBand="1"/>
      </w:tblPr>
      <w:tblGrid>
        <w:gridCol w:w="9629"/>
      </w:tblGrid>
      <w:tr w:rsidR="0028581C" w:rsidRPr="000C6ABF" w:rsidTr="00FB5933">
        <w:tc>
          <w:tcPr>
            <w:tcW w:w="9629" w:type="dxa"/>
          </w:tcPr>
          <w:p w:rsidR="0028581C" w:rsidRPr="000C6ABF" w:rsidRDefault="0028581C" w:rsidP="00A401D6">
            <w:pPr>
              <w:spacing w:after="120"/>
              <w:rPr>
                <w:b/>
                <w:bCs/>
                <w:u w:val="single"/>
                <w:lang w:val="fr-CH"/>
              </w:rPr>
            </w:pPr>
            <w:bookmarkStart w:id="208" w:name="_Toc396386960"/>
            <w:r w:rsidRPr="000C6ABF">
              <w:rPr>
                <w:b/>
                <w:bCs/>
                <w:u w:val="single"/>
                <w:lang w:val="fr-CH"/>
              </w:rPr>
              <w:t>Commentair</w:t>
            </w:r>
            <w:r w:rsidR="00020C3A" w:rsidRPr="000C6ABF">
              <w:rPr>
                <w:b/>
                <w:bCs/>
                <w:u w:val="single"/>
                <w:lang w:val="fr-CH"/>
              </w:rPr>
              <w:t>e</w:t>
            </w:r>
            <w:r w:rsidRPr="000C6ABF">
              <w:rPr>
                <w:b/>
                <w:bCs/>
                <w:u w:val="single"/>
                <w:lang w:val="fr-CH"/>
              </w:rPr>
              <w:t>s du Secrétaire général:</w:t>
            </w:r>
            <w:bookmarkEnd w:id="208"/>
          </w:p>
          <w:p w:rsidR="0028581C" w:rsidRPr="000C6ABF" w:rsidRDefault="00625ADD" w:rsidP="00A401D6">
            <w:pPr>
              <w:spacing w:after="120"/>
              <w:rPr>
                <w:lang w:val="fr-CH"/>
              </w:rPr>
            </w:pPr>
            <w:r w:rsidRPr="000C6ABF">
              <w:rPr>
                <w:bCs/>
                <w:lang w:val="fr-CH"/>
              </w:rPr>
              <w:t>Une étude actuarielle complète sera réalisée en 2016, conformément à cette recommandation.</w:t>
            </w:r>
          </w:p>
        </w:tc>
      </w:tr>
    </w:tbl>
    <w:p w:rsidR="002852C5" w:rsidRPr="002B4FBF" w:rsidRDefault="002852C5" w:rsidP="00AB0C69">
      <w:pPr>
        <w:pStyle w:val="Headingb"/>
        <w:rPr>
          <w:i/>
          <w:iCs/>
          <w:lang w:val="fr-CH"/>
        </w:rPr>
      </w:pPr>
      <w:bookmarkStart w:id="209" w:name="_Toc392672714"/>
      <w:bookmarkStart w:id="210" w:name="_Toc396386961"/>
      <w:bookmarkStart w:id="211" w:name="_Toc396387843"/>
      <w:bookmarkStart w:id="212" w:name="_Toc396387957"/>
      <w:bookmarkStart w:id="213" w:name="_Toc398277642"/>
      <w:r w:rsidRPr="002B4FBF">
        <w:rPr>
          <w:i/>
          <w:iCs/>
          <w:lang w:val="fr-CH"/>
        </w:rPr>
        <w:t>A</w:t>
      </w:r>
      <w:r w:rsidR="00625ADD" w:rsidRPr="002B4FBF">
        <w:rPr>
          <w:i/>
          <w:iCs/>
          <w:lang w:val="fr-CH"/>
        </w:rPr>
        <w:t>utres solutions examinées et mises en ouvre</w:t>
      </w:r>
      <w:bookmarkEnd w:id="209"/>
      <w:bookmarkEnd w:id="210"/>
      <w:bookmarkEnd w:id="211"/>
      <w:bookmarkEnd w:id="212"/>
      <w:bookmarkEnd w:id="213"/>
    </w:p>
    <w:p w:rsidR="007D5F93" w:rsidRPr="000C6ABF" w:rsidRDefault="00746B8C" w:rsidP="00AB0C69">
      <w:pPr>
        <w:rPr>
          <w:lang w:val="fr-CH"/>
        </w:rPr>
      </w:pPr>
      <w:r w:rsidRPr="000C6ABF">
        <w:rPr>
          <w:lang w:val="fr-CH"/>
        </w:rPr>
        <w:t>79</w:t>
      </w:r>
      <w:r w:rsidRPr="000C6ABF">
        <w:rPr>
          <w:lang w:val="fr-CH"/>
        </w:rPr>
        <w:tab/>
        <w:t>Actuellement, la Caisse d'assurance pour la protection de la santé du personnel comptabilise séparément les contributions reçues et les prestations versées par l'UIT et le BIT; c'est uniquement la performance de l'actif qui est divisée pro quota. Contrairement au BIT, la situation financière de l'UIT n'est pas équilibrée.</w:t>
      </w:r>
    </w:p>
    <w:p w:rsidR="00746B8C" w:rsidRPr="000C6ABF" w:rsidRDefault="00746B8C" w:rsidP="00A401D6">
      <w:pPr>
        <w:rPr>
          <w:lang w:val="fr-CH"/>
        </w:rPr>
      </w:pPr>
      <w:r w:rsidRPr="000C6ABF">
        <w:rPr>
          <w:lang w:val="fr-CH"/>
        </w:rPr>
        <w:t>80</w:t>
      </w:r>
      <w:r w:rsidRPr="000C6ABF">
        <w:rPr>
          <w:lang w:val="fr-CH"/>
        </w:rPr>
        <w:tab/>
      </w:r>
      <w:r w:rsidR="00144614" w:rsidRPr="000C6ABF">
        <w:rPr>
          <w:lang w:val="fr-CH"/>
        </w:rPr>
        <w:t xml:space="preserve">Le trésorier et contrôleur financier ainsi que le Directeur des ressources humaines du BIT, dans une lettre </w:t>
      </w:r>
      <w:r w:rsidR="002B4FBF">
        <w:rPr>
          <w:lang w:val="fr-CH"/>
        </w:rPr>
        <w:t xml:space="preserve">en </w:t>
      </w:r>
      <w:r w:rsidR="00144614" w:rsidRPr="000C6ABF">
        <w:rPr>
          <w:lang w:val="fr-CH"/>
        </w:rPr>
        <w:t>date du 28 février 2012</w:t>
      </w:r>
      <w:r w:rsidR="002B4FBF">
        <w:rPr>
          <w:lang w:val="fr-CH"/>
        </w:rPr>
        <w:t>,</w:t>
      </w:r>
      <w:r w:rsidR="00144614" w:rsidRPr="000C6ABF">
        <w:rPr>
          <w:lang w:val="fr-CH"/>
        </w:rPr>
        <w:t xml:space="preserve"> ont attiré l'attention de la direction de l'UIT sur cette situation et ont suggéré que les deux organisations réfléchissent à un éventuel processus de péréquation. Ils ont expliqué que la différence dans les résultats techniques est imputable à deux facteurs: i) la forte concentration de fonctionnaires UIT assurés vivant dans la région de Genève où le coût des soins de santé est élevé; et ii) "le ratio plus élevé à l'UIT entre assurés de la catégorie "retraités" et assurés de catégorie "actifs" (0,61 pour l'UIT contre 0,44 pour le BIT)". Des discussions ont été engagées entre les deux organisations pour aller de l'avant, </w:t>
      </w:r>
      <w:r w:rsidR="00A063B3" w:rsidRPr="000C6ABF">
        <w:rPr>
          <w:lang w:val="fr-CH"/>
        </w:rPr>
        <w:t>mais aucun accord n</w:t>
      </w:r>
      <w:r w:rsidR="00AB0C69" w:rsidRPr="000C6ABF">
        <w:rPr>
          <w:lang w:val="fr-CH"/>
        </w:rPr>
        <w:t>'</w:t>
      </w:r>
      <w:r w:rsidR="00A063B3" w:rsidRPr="000C6ABF">
        <w:rPr>
          <w:lang w:val="fr-CH"/>
        </w:rPr>
        <w:t>a été trouvé sur le financement de la SHIF sans remettre en question les principes de solidarité et de mutualisation des risques qui régissent le fonctionnement de la Caisse.</w:t>
      </w:r>
    </w:p>
    <w:p w:rsidR="00144614" w:rsidRPr="000C6ABF" w:rsidRDefault="00144614" w:rsidP="00AB0C69">
      <w:pPr>
        <w:rPr>
          <w:lang w:val="fr-CH"/>
        </w:rPr>
      </w:pPr>
      <w:r w:rsidRPr="000C6ABF">
        <w:rPr>
          <w:lang w:val="fr-CH"/>
        </w:rPr>
        <w:t>81</w:t>
      </w:r>
      <w:r w:rsidRPr="000C6ABF">
        <w:rPr>
          <w:lang w:val="fr-CH"/>
        </w:rPr>
        <w:tab/>
      </w:r>
      <w:r w:rsidR="00A063B3" w:rsidRPr="000C6ABF">
        <w:rPr>
          <w:lang w:val="fr-CH"/>
        </w:rPr>
        <w:t>Dans notre rapport sur les états financiers de 2012</w:t>
      </w:r>
      <w:r w:rsidR="002B4FBF">
        <w:rPr>
          <w:lang w:val="fr-CH"/>
        </w:rPr>
        <w:t>,</w:t>
      </w:r>
      <w:r w:rsidR="00A063B3" w:rsidRPr="000C6ABF">
        <w:rPr>
          <w:lang w:val="fr-CH"/>
        </w:rPr>
        <w:t xml:space="preserve"> nous avons recommandé à la direction</w:t>
      </w:r>
      <w:r w:rsidR="00A47698" w:rsidRPr="000C6ABF">
        <w:rPr>
          <w:lang w:val="fr-CH"/>
        </w:rPr>
        <w:t xml:space="preserve"> </w:t>
      </w:r>
      <w:r w:rsidR="00A063B3" w:rsidRPr="000C6ABF">
        <w:rPr>
          <w:lang w:val="fr-CH"/>
        </w:rPr>
        <w:t xml:space="preserve">de </w:t>
      </w:r>
      <w:r w:rsidR="003072F2" w:rsidRPr="000C6ABF">
        <w:rPr>
          <w:lang w:val="fr-CH"/>
        </w:rPr>
        <w:t>"</w:t>
      </w:r>
      <w:r w:rsidR="00A063B3" w:rsidRPr="000C6ABF">
        <w:rPr>
          <w:i/>
          <w:iCs/>
          <w:lang w:val="fr-CH"/>
        </w:rPr>
        <w:t xml:space="preserve">réfléchir à d'autres options de financement, pour la Caisse, à l'intérieur ou à l'extérieur du système des Nations </w:t>
      </w:r>
      <w:r w:rsidR="00A063B3" w:rsidRPr="000C6ABF">
        <w:rPr>
          <w:lang w:val="fr-CH"/>
        </w:rPr>
        <w:t>Unies</w:t>
      </w:r>
      <w:r w:rsidR="003072F2" w:rsidRPr="000C6ABF">
        <w:rPr>
          <w:lang w:val="fr-CH"/>
        </w:rPr>
        <w:t>"</w:t>
      </w:r>
      <w:r w:rsidR="002B4FBF">
        <w:rPr>
          <w:lang w:val="fr-CH"/>
        </w:rPr>
        <w:t>.</w:t>
      </w:r>
      <w:r w:rsidR="00A063B3" w:rsidRPr="000C6ABF">
        <w:rPr>
          <w:lang w:val="fr-CH"/>
        </w:rPr>
        <w:t xml:space="preserve"> En raison du désaccord entre les deux organisations et suite à notre recommandation, en 2013, la direction de l</w:t>
      </w:r>
      <w:r w:rsidR="00AB0C69" w:rsidRPr="000C6ABF">
        <w:rPr>
          <w:lang w:val="fr-CH"/>
        </w:rPr>
        <w:t>'</w:t>
      </w:r>
      <w:r w:rsidR="00A063B3" w:rsidRPr="000C6ABF">
        <w:rPr>
          <w:lang w:val="fr-CH"/>
        </w:rPr>
        <w:t>UIT a chargé un consultant indépendant d</w:t>
      </w:r>
      <w:r w:rsidR="00AB0C69" w:rsidRPr="000C6ABF">
        <w:rPr>
          <w:lang w:val="fr-CH"/>
        </w:rPr>
        <w:t>'</w:t>
      </w:r>
      <w:r w:rsidR="00A063B3" w:rsidRPr="000C6ABF">
        <w:rPr>
          <w:lang w:val="fr-CH"/>
        </w:rPr>
        <w:t>examiner des solutions de remplacement</w:t>
      </w:r>
      <w:r w:rsidR="0056455B" w:rsidRPr="000C6ABF">
        <w:rPr>
          <w:lang w:val="fr-CH"/>
        </w:rPr>
        <w:t xml:space="preserve"> qui permettraient à l'UIT d'offrir à ses fonctionnaires un système de protection de la santé </w:t>
      </w:r>
      <w:r w:rsidR="00472CEB" w:rsidRPr="000C6ABF">
        <w:rPr>
          <w:lang w:val="fr-CH"/>
        </w:rPr>
        <w:t>en tenant compte des deux conditions suivantes</w:t>
      </w:r>
      <w:r w:rsidRPr="000C6ABF">
        <w:rPr>
          <w:lang w:val="fr-CH"/>
        </w:rPr>
        <w:t>:</w:t>
      </w:r>
    </w:p>
    <w:p w:rsidR="00144614" w:rsidRPr="000C6ABF" w:rsidRDefault="00144614" w:rsidP="00A401D6">
      <w:pPr>
        <w:pStyle w:val="enumlev1"/>
        <w:rPr>
          <w:lang w:val="fr-CH"/>
        </w:rPr>
      </w:pPr>
      <w:r w:rsidRPr="000C6ABF">
        <w:rPr>
          <w:lang w:val="fr-CH"/>
        </w:rPr>
        <w:t>a)</w:t>
      </w:r>
      <w:r w:rsidRPr="000C6ABF">
        <w:rPr>
          <w:lang w:val="fr-CH"/>
        </w:rPr>
        <w:tab/>
      </w:r>
      <w:r w:rsidR="00472CEB" w:rsidRPr="000C6ABF">
        <w:rPr>
          <w:lang w:val="fr-CH"/>
        </w:rPr>
        <w:t>offrir aux assurés les mêmes avantages que ceux dont ils bénéficia</w:t>
      </w:r>
      <w:r w:rsidR="002B4FBF">
        <w:rPr>
          <w:lang w:val="fr-CH"/>
        </w:rPr>
        <w:t>ie</w:t>
      </w:r>
      <w:r w:rsidR="00472CEB" w:rsidRPr="000C6ABF">
        <w:rPr>
          <w:lang w:val="fr-CH"/>
        </w:rPr>
        <w:t xml:space="preserve">nt dans le cadre de la </w:t>
      </w:r>
      <w:r w:rsidR="00A401D6" w:rsidRPr="000C6ABF">
        <w:rPr>
          <w:lang w:val="fr-CH"/>
        </w:rPr>
        <w:t>caisse</w:t>
      </w:r>
      <w:r w:rsidRPr="000C6ABF">
        <w:rPr>
          <w:lang w:val="fr-CH"/>
        </w:rPr>
        <w:t>;</w:t>
      </w:r>
    </w:p>
    <w:p w:rsidR="00144614" w:rsidRPr="000C6ABF" w:rsidRDefault="00144614" w:rsidP="00AB0C69">
      <w:pPr>
        <w:pStyle w:val="enumlev1"/>
        <w:rPr>
          <w:lang w:val="fr-CH"/>
        </w:rPr>
      </w:pPr>
      <w:r w:rsidRPr="000C6ABF">
        <w:rPr>
          <w:lang w:val="fr-CH"/>
        </w:rPr>
        <w:t>b)</w:t>
      </w:r>
      <w:r w:rsidRPr="000C6ABF">
        <w:rPr>
          <w:lang w:val="fr-CH"/>
        </w:rPr>
        <w:tab/>
      </w:r>
      <w:r w:rsidR="00472CEB" w:rsidRPr="000C6ABF">
        <w:rPr>
          <w:lang w:val="fr-CH"/>
        </w:rPr>
        <w:t>garantir la viabilité à long terme de la situation financière de l</w:t>
      </w:r>
      <w:r w:rsidR="00AB0C69" w:rsidRPr="000C6ABF">
        <w:rPr>
          <w:lang w:val="fr-CH"/>
        </w:rPr>
        <w:t>'</w:t>
      </w:r>
      <w:r w:rsidR="00472CEB" w:rsidRPr="000C6ABF">
        <w:rPr>
          <w:lang w:val="fr-CH"/>
        </w:rPr>
        <w:t>UIT</w:t>
      </w:r>
      <w:r w:rsidRPr="000C6ABF">
        <w:rPr>
          <w:lang w:val="fr-CH"/>
        </w:rPr>
        <w:t>.</w:t>
      </w:r>
    </w:p>
    <w:p w:rsidR="00144614" w:rsidRPr="000C6ABF" w:rsidRDefault="00144614" w:rsidP="00A401D6">
      <w:pPr>
        <w:rPr>
          <w:lang w:val="fr-CH"/>
        </w:rPr>
      </w:pPr>
      <w:r w:rsidRPr="000C6ABF">
        <w:rPr>
          <w:lang w:val="fr-CH"/>
        </w:rPr>
        <w:t>82</w:t>
      </w:r>
      <w:r w:rsidRPr="000C6ABF">
        <w:rPr>
          <w:lang w:val="fr-CH"/>
        </w:rPr>
        <w:tab/>
      </w:r>
      <w:r w:rsidR="00472CEB" w:rsidRPr="000C6ABF">
        <w:rPr>
          <w:lang w:val="fr-CH"/>
        </w:rPr>
        <w:t>Le consultant a invité douze assureurs ayant une expérience de la gestion de l</w:t>
      </w:r>
      <w:r w:rsidR="00A401D6" w:rsidRPr="000C6ABF">
        <w:rPr>
          <w:lang w:val="fr-CH"/>
        </w:rPr>
        <w:t>'</w:t>
      </w:r>
      <w:r w:rsidR="00472CEB" w:rsidRPr="000C6ABF">
        <w:rPr>
          <w:lang w:val="fr-CH"/>
        </w:rPr>
        <w:t>assu</w:t>
      </w:r>
      <w:r w:rsidR="00A401D6" w:rsidRPr="000C6ABF">
        <w:rPr>
          <w:lang w:val="fr-CH"/>
        </w:rPr>
        <w:t>rance maladie au niveau</w:t>
      </w:r>
      <w:r w:rsidR="00472CEB" w:rsidRPr="000C6ABF">
        <w:rPr>
          <w:lang w:val="fr-CH"/>
        </w:rPr>
        <w:t xml:space="preserve"> </w:t>
      </w:r>
      <w:r w:rsidR="00A401D6" w:rsidRPr="000C6ABF">
        <w:rPr>
          <w:lang w:val="fr-CH"/>
        </w:rPr>
        <w:t>international</w:t>
      </w:r>
      <w:r w:rsidR="00472CEB" w:rsidRPr="000C6ABF">
        <w:rPr>
          <w:lang w:val="fr-CH"/>
        </w:rPr>
        <w:t xml:space="preserve">. </w:t>
      </w:r>
      <w:r w:rsidR="00156E4E" w:rsidRPr="000C6ABF">
        <w:rPr>
          <w:lang w:val="fr-CH"/>
        </w:rPr>
        <w:t>Il a été constitué un groupe de travail chargé d</w:t>
      </w:r>
      <w:r w:rsidR="00AB0C69" w:rsidRPr="000C6ABF">
        <w:rPr>
          <w:lang w:val="fr-CH"/>
        </w:rPr>
        <w:t>'</w:t>
      </w:r>
      <w:r w:rsidR="00156E4E" w:rsidRPr="000C6ABF">
        <w:rPr>
          <w:lang w:val="fr-CH"/>
        </w:rPr>
        <w:t xml:space="preserve">examiner les solutions proposées par le consultant et de déterminer et recommander au Secrétaire général la solution </w:t>
      </w:r>
      <w:r w:rsidR="00A401D6" w:rsidRPr="000C6ABF">
        <w:rPr>
          <w:lang w:val="fr-CH"/>
        </w:rPr>
        <w:t xml:space="preserve">la mieux adaptée, </w:t>
      </w:r>
      <w:r w:rsidR="00156E4E" w:rsidRPr="000C6ABF">
        <w:rPr>
          <w:lang w:val="fr-CH"/>
        </w:rPr>
        <w:t>compte tenu des exigences susmentionnées</w:t>
      </w:r>
      <w:r w:rsidRPr="000C6ABF">
        <w:rPr>
          <w:lang w:val="fr-CH"/>
        </w:rPr>
        <w:t>.</w:t>
      </w:r>
    </w:p>
    <w:p w:rsidR="00144614" w:rsidRPr="000C6ABF" w:rsidRDefault="00144614" w:rsidP="00A401D6">
      <w:pPr>
        <w:rPr>
          <w:lang w:val="fr-CH"/>
        </w:rPr>
      </w:pPr>
      <w:r w:rsidRPr="000C6ABF">
        <w:rPr>
          <w:lang w:val="fr-CH"/>
        </w:rPr>
        <w:t>83</w:t>
      </w:r>
      <w:r w:rsidRPr="000C6ABF">
        <w:rPr>
          <w:lang w:val="fr-CH"/>
        </w:rPr>
        <w:tab/>
      </w:r>
      <w:r w:rsidR="00156E4E" w:rsidRPr="000C6ABF">
        <w:rPr>
          <w:lang w:val="fr-CH"/>
        </w:rPr>
        <w:t>Après avoir analysé toutes les propositions, l</w:t>
      </w:r>
      <w:r w:rsidR="00AB0C69" w:rsidRPr="000C6ABF">
        <w:rPr>
          <w:lang w:val="fr-CH"/>
        </w:rPr>
        <w:t>'</w:t>
      </w:r>
      <w:r w:rsidR="00156E4E" w:rsidRPr="000C6ABF">
        <w:rPr>
          <w:lang w:val="fr-CH"/>
        </w:rPr>
        <w:t xml:space="preserve">offre de </w:t>
      </w:r>
      <w:proofErr w:type="spellStart"/>
      <w:r w:rsidR="00156E4E" w:rsidRPr="000C6ABF">
        <w:rPr>
          <w:lang w:val="fr-CH"/>
        </w:rPr>
        <w:t>Cign</w:t>
      </w:r>
      <w:r w:rsidR="00A401D6" w:rsidRPr="000C6ABF">
        <w:rPr>
          <w:lang w:val="fr-CH"/>
        </w:rPr>
        <w:t>a</w:t>
      </w:r>
      <w:proofErr w:type="spellEnd"/>
      <w:r w:rsidR="00A401D6" w:rsidRPr="000C6ABF">
        <w:rPr>
          <w:lang w:val="fr-CH"/>
        </w:rPr>
        <w:t>/</w:t>
      </w:r>
      <w:proofErr w:type="spellStart"/>
      <w:r w:rsidR="00A401D6" w:rsidRPr="000C6ABF">
        <w:rPr>
          <w:lang w:val="fr-CH"/>
        </w:rPr>
        <w:t>Vanbreda</w:t>
      </w:r>
      <w:proofErr w:type="spellEnd"/>
      <w:r w:rsidR="00A401D6" w:rsidRPr="000C6ABF">
        <w:rPr>
          <w:lang w:val="fr-CH"/>
        </w:rPr>
        <w:t xml:space="preserve"> International a été </w:t>
      </w:r>
      <w:r w:rsidR="00156E4E" w:rsidRPr="000C6ABF">
        <w:rPr>
          <w:lang w:val="fr-CH"/>
        </w:rPr>
        <w:t>jugée la meilleure et l</w:t>
      </w:r>
      <w:r w:rsidR="00AB0C69" w:rsidRPr="000C6ABF">
        <w:rPr>
          <w:lang w:val="fr-CH"/>
        </w:rPr>
        <w:t>'</w:t>
      </w:r>
      <w:r w:rsidR="00156E4E" w:rsidRPr="000C6ABF">
        <w:rPr>
          <w:lang w:val="fr-CH"/>
        </w:rPr>
        <w:t>UIT a décidé de retenir les deux compagnies pour le</w:t>
      </w:r>
      <w:r w:rsidR="00472CEB" w:rsidRPr="000C6ABF">
        <w:rPr>
          <w:lang w:val="fr-CH"/>
        </w:rPr>
        <w:t xml:space="preserve"> nouveau Plan d'assurance pour la protection de la santé du personnel appelé</w:t>
      </w:r>
      <w:r w:rsidR="00156E4E" w:rsidRPr="000C6ABF">
        <w:rPr>
          <w:lang w:val="fr-CH"/>
        </w:rPr>
        <w:t> </w:t>
      </w:r>
      <w:r w:rsidR="003072F2" w:rsidRPr="000C6ABF">
        <w:rPr>
          <w:lang w:val="fr-CH"/>
        </w:rPr>
        <w:t>"</w:t>
      </w:r>
      <w:r w:rsidR="00472CEB" w:rsidRPr="000C6ABF">
        <w:rPr>
          <w:lang w:val="fr-CH"/>
        </w:rPr>
        <w:t xml:space="preserve">Convention Collective </w:t>
      </w:r>
      <w:r w:rsidR="00A401D6" w:rsidRPr="000C6ABF">
        <w:rPr>
          <w:lang w:val="fr-CH"/>
        </w:rPr>
        <w:t>d'</w:t>
      </w:r>
      <w:r w:rsidR="00472CEB" w:rsidRPr="000C6ABF">
        <w:rPr>
          <w:lang w:val="fr-CH"/>
        </w:rPr>
        <w:t>Assurance Maladie (CCAM)</w:t>
      </w:r>
      <w:r w:rsidR="003072F2" w:rsidRPr="000C6ABF">
        <w:rPr>
          <w:lang w:val="fr-CH"/>
        </w:rPr>
        <w:t>"</w:t>
      </w:r>
      <w:r w:rsidR="00156E4E" w:rsidRPr="000C6ABF">
        <w:rPr>
          <w:lang w:val="fr-CH"/>
        </w:rPr>
        <w:t xml:space="preserve">. </w:t>
      </w:r>
      <w:proofErr w:type="spellStart"/>
      <w:r w:rsidR="00472CEB" w:rsidRPr="000C6ABF">
        <w:rPr>
          <w:lang w:val="fr-CH"/>
        </w:rPr>
        <w:t>Cigna</w:t>
      </w:r>
      <w:proofErr w:type="spellEnd"/>
      <w:r w:rsidR="00472CEB" w:rsidRPr="000C6ABF">
        <w:rPr>
          <w:lang w:val="fr-CH"/>
        </w:rPr>
        <w:t xml:space="preserve"> est l'assureur et </w:t>
      </w:r>
      <w:proofErr w:type="spellStart"/>
      <w:r w:rsidR="00472CEB" w:rsidRPr="000C6ABF">
        <w:rPr>
          <w:lang w:val="fr-CH"/>
        </w:rPr>
        <w:t>Vanbreda</w:t>
      </w:r>
      <w:proofErr w:type="spellEnd"/>
      <w:r w:rsidR="00472CEB" w:rsidRPr="000C6ABF">
        <w:rPr>
          <w:lang w:val="fr-CH"/>
        </w:rPr>
        <w:t xml:space="preserve"> International est l'administrateur des demandes de remboursement. </w:t>
      </w:r>
      <w:proofErr w:type="spellStart"/>
      <w:r w:rsidR="00472CEB" w:rsidRPr="000C6ABF">
        <w:rPr>
          <w:lang w:val="fr-CH"/>
        </w:rPr>
        <w:t>Vanbreda</w:t>
      </w:r>
      <w:proofErr w:type="spellEnd"/>
      <w:r w:rsidR="00472CEB" w:rsidRPr="000C6ABF">
        <w:rPr>
          <w:lang w:val="fr-CH"/>
        </w:rPr>
        <w:t xml:space="preserve"> International</w:t>
      </w:r>
      <w:r w:rsidR="00156E4E" w:rsidRPr="000C6ABF">
        <w:rPr>
          <w:lang w:val="fr-CH"/>
        </w:rPr>
        <w:t xml:space="preserve"> a une longue expérience de l</w:t>
      </w:r>
      <w:r w:rsidR="00AB0C69" w:rsidRPr="000C6ABF">
        <w:rPr>
          <w:lang w:val="fr-CH"/>
        </w:rPr>
        <w:t>'</w:t>
      </w:r>
      <w:r w:rsidR="00156E4E" w:rsidRPr="000C6ABF">
        <w:rPr>
          <w:lang w:val="fr-CH"/>
        </w:rPr>
        <w:t>assurance maladie internationale, également au niveau d</w:t>
      </w:r>
      <w:r w:rsidR="00AB0C69" w:rsidRPr="000C6ABF">
        <w:rPr>
          <w:lang w:val="fr-CH"/>
        </w:rPr>
        <w:t>'</w:t>
      </w:r>
      <w:r w:rsidR="00156E4E" w:rsidRPr="000C6ABF">
        <w:rPr>
          <w:lang w:val="fr-CH"/>
        </w:rPr>
        <w:t>autres organisations du système des Nations Unies e</w:t>
      </w:r>
      <w:r w:rsidR="00A401D6" w:rsidRPr="000C6ABF">
        <w:rPr>
          <w:lang w:val="fr-CH"/>
        </w:rPr>
        <w:t>t</w:t>
      </w:r>
      <w:r w:rsidR="00156E4E" w:rsidRPr="000C6ABF">
        <w:rPr>
          <w:lang w:val="fr-CH"/>
        </w:rPr>
        <w:t xml:space="preserve"> des institutions européennes</w:t>
      </w:r>
      <w:r w:rsidRPr="000C6ABF">
        <w:rPr>
          <w:lang w:val="fr-CH"/>
        </w:rPr>
        <w:t>.</w:t>
      </w:r>
    </w:p>
    <w:p w:rsidR="00144614" w:rsidRPr="000C6ABF" w:rsidRDefault="00144614" w:rsidP="00A401D6">
      <w:pPr>
        <w:rPr>
          <w:lang w:val="fr-CH"/>
        </w:rPr>
      </w:pPr>
      <w:r w:rsidRPr="000C6ABF">
        <w:rPr>
          <w:lang w:val="fr-CH"/>
        </w:rPr>
        <w:t>84</w:t>
      </w:r>
      <w:r w:rsidRPr="000C6ABF">
        <w:rPr>
          <w:lang w:val="fr-CH"/>
        </w:rPr>
        <w:tab/>
      </w:r>
      <w:r w:rsidR="00A12C55" w:rsidRPr="000C6ABF">
        <w:rPr>
          <w:lang w:val="fr-CH"/>
        </w:rPr>
        <w:t>Le nouve</w:t>
      </w:r>
      <w:r w:rsidR="00156E4E" w:rsidRPr="000C6ABF">
        <w:rPr>
          <w:lang w:val="fr-CH"/>
        </w:rPr>
        <w:t>au</w:t>
      </w:r>
      <w:r w:rsidR="00A12C55" w:rsidRPr="000C6ABF">
        <w:rPr>
          <w:lang w:val="fr-CH"/>
        </w:rPr>
        <w:t xml:space="preserve"> régime d</w:t>
      </w:r>
      <w:r w:rsidR="00AB0C69" w:rsidRPr="000C6ABF">
        <w:rPr>
          <w:lang w:val="fr-CH"/>
        </w:rPr>
        <w:t>'</w:t>
      </w:r>
      <w:r w:rsidR="00A12C55" w:rsidRPr="000C6ABF">
        <w:rPr>
          <w:lang w:val="fr-CH"/>
        </w:rPr>
        <w:t xml:space="preserve">assurance pour le personnel est entré en vigueur le 1er mai 2014 et le </w:t>
      </w:r>
      <w:r w:rsidR="00A401D6" w:rsidRPr="000C6ABF">
        <w:rPr>
          <w:lang w:val="fr-CH"/>
        </w:rPr>
        <w:t xml:space="preserve">calendrier retenu pour </w:t>
      </w:r>
      <w:r w:rsidR="00A12C55" w:rsidRPr="000C6ABF">
        <w:rPr>
          <w:lang w:val="fr-CH"/>
        </w:rPr>
        <w:t>la transition compliquer</w:t>
      </w:r>
      <w:r w:rsidR="00A401D6" w:rsidRPr="000C6ABF">
        <w:rPr>
          <w:lang w:val="fr-CH"/>
        </w:rPr>
        <w:t>a</w:t>
      </w:r>
      <w:r w:rsidR="00A12C55" w:rsidRPr="000C6ABF">
        <w:rPr>
          <w:lang w:val="fr-CH"/>
        </w:rPr>
        <w:t xml:space="preserve"> la gestion du nouveau régime d</w:t>
      </w:r>
      <w:r w:rsidR="00AB0C69" w:rsidRPr="000C6ABF">
        <w:rPr>
          <w:lang w:val="fr-CH"/>
        </w:rPr>
        <w:t>'</w:t>
      </w:r>
      <w:r w:rsidR="00A12C55" w:rsidRPr="000C6ABF">
        <w:rPr>
          <w:lang w:val="fr-CH"/>
        </w:rPr>
        <w:t xml:space="preserve">assurance </w:t>
      </w:r>
      <w:r w:rsidR="00A401D6" w:rsidRPr="000C6ABF">
        <w:rPr>
          <w:lang w:val="fr-CH"/>
        </w:rPr>
        <w:t xml:space="preserve">médicale </w:t>
      </w:r>
      <w:r w:rsidR="00A12C55" w:rsidRPr="000C6ABF">
        <w:rPr>
          <w:lang w:val="fr-CH"/>
        </w:rPr>
        <w:t>en 2014</w:t>
      </w:r>
      <w:r w:rsidR="00A401D6" w:rsidRPr="000C6ABF">
        <w:rPr>
          <w:lang w:val="fr-CH"/>
        </w:rPr>
        <w:t>.</w:t>
      </w:r>
      <w:r w:rsidR="00A12C55" w:rsidRPr="000C6ABF">
        <w:rPr>
          <w:lang w:val="fr-CH"/>
        </w:rPr>
        <w:t xml:space="preserve"> Nous allons donc suiv</w:t>
      </w:r>
      <w:r w:rsidR="00A401D6" w:rsidRPr="000C6ABF">
        <w:rPr>
          <w:lang w:val="fr-CH"/>
        </w:rPr>
        <w:t>r</w:t>
      </w:r>
      <w:r w:rsidR="00A12C55" w:rsidRPr="000C6ABF">
        <w:rPr>
          <w:lang w:val="fr-CH"/>
        </w:rPr>
        <w:t>e quelle sera l</w:t>
      </w:r>
      <w:r w:rsidR="00AB0C69" w:rsidRPr="000C6ABF">
        <w:rPr>
          <w:lang w:val="fr-CH"/>
        </w:rPr>
        <w:t>'</w:t>
      </w:r>
      <w:r w:rsidR="00A12C55" w:rsidRPr="000C6ABF">
        <w:rPr>
          <w:lang w:val="fr-CH"/>
        </w:rPr>
        <w:t>incidence de ce changement sur les états financiers de l</w:t>
      </w:r>
      <w:r w:rsidR="00AB0C69" w:rsidRPr="000C6ABF">
        <w:rPr>
          <w:lang w:val="fr-CH"/>
        </w:rPr>
        <w:t>'</w:t>
      </w:r>
      <w:r w:rsidR="00A401D6" w:rsidRPr="000C6ABF">
        <w:rPr>
          <w:lang w:val="fr-CH"/>
        </w:rPr>
        <w:t xml:space="preserve">UIT </w:t>
      </w:r>
      <w:r w:rsidR="00A12C55" w:rsidRPr="000C6ABF">
        <w:rPr>
          <w:lang w:val="fr-CH"/>
        </w:rPr>
        <w:t>dans les années à venir</w:t>
      </w:r>
      <w:r w:rsidRPr="000C6ABF">
        <w:rPr>
          <w:lang w:val="fr-CH"/>
        </w:rPr>
        <w:t>.</w:t>
      </w:r>
    </w:p>
    <w:p w:rsidR="00144614" w:rsidRPr="000C6ABF" w:rsidRDefault="00144614" w:rsidP="00A401D6">
      <w:pPr>
        <w:rPr>
          <w:lang w:val="fr-CH"/>
        </w:rPr>
      </w:pPr>
      <w:r w:rsidRPr="000C6ABF">
        <w:rPr>
          <w:lang w:val="fr-CH"/>
        </w:rPr>
        <w:lastRenderedPageBreak/>
        <w:t>85</w:t>
      </w:r>
      <w:r w:rsidRPr="000C6ABF">
        <w:rPr>
          <w:lang w:val="fr-CH"/>
        </w:rPr>
        <w:tab/>
      </w:r>
      <w:r w:rsidR="00A12C55" w:rsidRPr="000C6ABF">
        <w:rPr>
          <w:lang w:val="fr-CH"/>
        </w:rPr>
        <w:t>Etant donné que le nouveau régime</w:t>
      </w:r>
      <w:r w:rsidR="00647A9A" w:rsidRPr="000C6ABF">
        <w:rPr>
          <w:lang w:val="fr-CH"/>
        </w:rPr>
        <w:t xml:space="preserve"> est entré en vigueur en</w:t>
      </w:r>
      <w:r w:rsidRPr="000C6ABF">
        <w:rPr>
          <w:lang w:val="fr-CH"/>
        </w:rPr>
        <w:t xml:space="preserve"> </w:t>
      </w:r>
      <w:r w:rsidR="008F7DE3" w:rsidRPr="000C6ABF">
        <w:rPr>
          <w:lang w:val="fr-CH"/>
        </w:rPr>
        <w:t>mai </w:t>
      </w:r>
      <w:r w:rsidRPr="000C6ABF">
        <w:rPr>
          <w:lang w:val="fr-CH"/>
        </w:rPr>
        <w:t>2014,</w:t>
      </w:r>
      <w:r w:rsidR="00A401D6" w:rsidRPr="000C6ABF">
        <w:rPr>
          <w:lang w:val="fr-CH"/>
        </w:rPr>
        <w:t xml:space="preserve"> </w:t>
      </w:r>
      <w:r w:rsidR="00647A9A" w:rsidRPr="000C6ABF">
        <w:rPr>
          <w:lang w:val="fr-CH"/>
        </w:rPr>
        <w:t>nous</w:t>
      </w:r>
      <w:r w:rsidR="00A401D6" w:rsidRPr="000C6ABF">
        <w:rPr>
          <w:lang w:val="fr-CH"/>
        </w:rPr>
        <w:t xml:space="preserve"> en</w:t>
      </w:r>
      <w:r w:rsidR="00647A9A" w:rsidRPr="000C6ABF">
        <w:rPr>
          <w:lang w:val="fr-CH"/>
        </w:rPr>
        <w:t xml:space="preserve"> évaluerons d</w:t>
      </w:r>
      <w:r w:rsidR="00AB0C69" w:rsidRPr="000C6ABF">
        <w:rPr>
          <w:lang w:val="fr-CH"/>
        </w:rPr>
        <w:t>'</w:t>
      </w:r>
      <w:r w:rsidR="00647A9A" w:rsidRPr="000C6ABF">
        <w:rPr>
          <w:lang w:val="fr-CH"/>
        </w:rPr>
        <w:t>autres aspects</w:t>
      </w:r>
      <w:r w:rsidR="00A401D6" w:rsidRPr="000C6ABF">
        <w:rPr>
          <w:lang w:val="fr-CH"/>
        </w:rPr>
        <w:t>.</w:t>
      </w:r>
    </w:p>
    <w:p w:rsidR="008F7DE3" w:rsidRPr="000C6ABF" w:rsidRDefault="008F7DE3" w:rsidP="00A47698">
      <w:pPr>
        <w:pStyle w:val="Headingb"/>
        <w:ind w:left="0" w:firstLine="0"/>
        <w:rPr>
          <w:lang w:val="fr-CH"/>
        </w:rPr>
      </w:pPr>
      <w:bookmarkStart w:id="214" w:name="_Toc358123320"/>
      <w:bookmarkStart w:id="215" w:name="_Toc396386962"/>
      <w:bookmarkStart w:id="216" w:name="_Toc396387844"/>
      <w:bookmarkStart w:id="217" w:name="_Toc396387958"/>
      <w:bookmarkStart w:id="218" w:name="_Toc398277643"/>
      <w:r w:rsidRPr="000C6ABF">
        <w:rPr>
          <w:lang w:val="fr-CH"/>
        </w:rPr>
        <w:t xml:space="preserve">Audit de la Caisse par l'Institution suprême de contrôle des finances du Canada: </w:t>
      </w:r>
      <w:r w:rsidR="00A47698" w:rsidRPr="000C6ABF">
        <w:rPr>
          <w:lang w:val="fr-CH"/>
        </w:rPr>
        <w:t>aucun</w:t>
      </w:r>
      <w:r w:rsidRPr="000C6ABF">
        <w:rPr>
          <w:lang w:val="fr-CH"/>
        </w:rPr>
        <w:t xml:space="preserve"> problème majeur signalé</w:t>
      </w:r>
      <w:bookmarkEnd w:id="214"/>
      <w:bookmarkEnd w:id="215"/>
      <w:bookmarkEnd w:id="216"/>
      <w:bookmarkEnd w:id="217"/>
      <w:bookmarkEnd w:id="218"/>
    </w:p>
    <w:p w:rsidR="00144614" w:rsidRPr="000C6ABF" w:rsidRDefault="008F7DE3" w:rsidP="00AB0C69">
      <w:pPr>
        <w:rPr>
          <w:lang w:val="fr-CH"/>
        </w:rPr>
      </w:pPr>
      <w:r w:rsidRPr="000C6ABF">
        <w:rPr>
          <w:lang w:val="fr-CH"/>
        </w:rPr>
        <w:t>86</w:t>
      </w:r>
      <w:r w:rsidRPr="000C6ABF">
        <w:rPr>
          <w:lang w:val="fr-CH"/>
        </w:rPr>
        <w:tab/>
        <w:t>Il y a lieu de signaler que les états financiers de la Caisse d'assurance maladie pour la protection de la santé du personnel ont été audités par l'Institution suprême de contrôle des finances du Canada. Nous avons eu des contacts et des échanges d'informations réguliers avec cette Institution pour nous assurer non seulement de l'exactitude, mais aussi de la plausibilité des chiffres. Nous avons aussi réfléchi à la méthode d'audit à appliquer aux différentes hypothèses de base utilisées par l'UIT et le BIT (pour ce qui est de l'étude actuarielle). Aucun problème majeur</w:t>
      </w:r>
      <w:r w:rsidR="00647A9A" w:rsidRPr="000C6ABF">
        <w:rPr>
          <w:lang w:val="fr-CH"/>
        </w:rPr>
        <w:t xml:space="preserve"> ne</w:t>
      </w:r>
      <w:r w:rsidRPr="000C6ABF">
        <w:rPr>
          <w:lang w:val="fr-CH"/>
        </w:rPr>
        <w:t xml:space="preserve"> nous a été signalé à ce jour concernant la Caisse.</w:t>
      </w:r>
    </w:p>
    <w:p w:rsidR="008F7DE3" w:rsidRPr="000C6ABF" w:rsidRDefault="00A47698" w:rsidP="00F959C2">
      <w:pPr>
        <w:pStyle w:val="Headingb"/>
        <w:ind w:left="0" w:firstLine="0"/>
        <w:rPr>
          <w:lang w:val="fr-CH"/>
        </w:rPr>
      </w:pPr>
      <w:bookmarkStart w:id="219" w:name="_Toc396386963"/>
      <w:bookmarkStart w:id="220" w:name="_Toc396387845"/>
      <w:bookmarkStart w:id="221" w:name="_Toc396387959"/>
      <w:bookmarkStart w:id="222" w:name="_Toc398277644"/>
      <w:r w:rsidRPr="000C6ABF">
        <w:rPr>
          <w:lang w:val="fr-CH"/>
        </w:rPr>
        <w:t>Caisse d'assurance pour la protection de la santé du personnel</w:t>
      </w:r>
      <w:r w:rsidR="00647A9A" w:rsidRPr="000C6ABF">
        <w:rPr>
          <w:lang w:val="fr-CH"/>
        </w:rPr>
        <w:t>: augmentation des remboursements de</w:t>
      </w:r>
      <w:r w:rsidRPr="000C6ABF">
        <w:rPr>
          <w:lang w:val="fr-CH"/>
        </w:rPr>
        <w:t>s</w:t>
      </w:r>
      <w:r w:rsidR="00647A9A" w:rsidRPr="000C6ABF">
        <w:rPr>
          <w:lang w:val="fr-CH"/>
        </w:rPr>
        <w:t xml:space="preserve"> soins médicaux en</w:t>
      </w:r>
      <w:r w:rsidR="008F7DE3" w:rsidRPr="000C6ABF">
        <w:rPr>
          <w:lang w:val="fr-CH"/>
        </w:rPr>
        <w:t xml:space="preserve"> 2013</w:t>
      </w:r>
      <w:bookmarkEnd w:id="219"/>
      <w:bookmarkEnd w:id="220"/>
      <w:bookmarkEnd w:id="221"/>
      <w:bookmarkEnd w:id="222"/>
    </w:p>
    <w:p w:rsidR="008F7DE3" w:rsidRPr="000C6ABF" w:rsidRDefault="008F7DE3" w:rsidP="00F959C2">
      <w:pPr>
        <w:rPr>
          <w:lang w:val="fr-CH"/>
        </w:rPr>
      </w:pPr>
      <w:r w:rsidRPr="000C6ABF">
        <w:rPr>
          <w:lang w:val="fr-CH"/>
        </w:rPr>
        <w:t>87</w:t>
      </w:r>
      <w:r w:rsidRPr="000C6ABF">
        <w:rPr>
          <w:lang w:val="fr-CH"/>
        </w:rPr>
        <w:tab/>
      </w:r>
      <w:r w:rsidR="00647A9A" w:rsidRPr="000C6ABF">
        <w:rPr>
          <w:lang w:val="fr-CH"/>
        </w:rPr>
        <w:t>Au cours de nos vérifications, nous avons noté qu</w:t>
      </w:r>
      <w:r w:rsidR="00AB0C69" w:rsidRPr="000C6ABF">
        <w:rPr>
          <w:lang w:val="fr-CH"/>
        </w:rPr>
        <w:t>'</w:t>
      </w:r>
      <w:r w:rsidR="00647A9A" w:rsidRPr="000C6ABF">
        <w:rPr>
          <w:lang w:val="fr-CH"/>
        </w:rPr>
        <w:t>en 2013, les remboursements de</w:t>
      </w:r>
      <w:r w:rsidR="00A47698" w:rsidRPr="000C6ABF">
        <w:rPr>
          <w:lang w:val="fr-CH"/>
        </w:rPr>
        <w:t>s</w:t>
      </w:r>
      <w:r w:rsidR="00647A9A" w:rsidRPr="000C6ABF">
        <w:rPr>
          <w:lang w:val="fr-CH"/>
        </w:rPr>
        <w:t xml:space="preserve"> soins médicaux avaient augmenté de plus de 2 millions CHF par rapport à 2012. Nous avons analysé la nature</w:t>
      </w:r>
      <w:r w:rsidR="00A47698" w:rsidRPr="000C6ABF">
        <w:rPr>
          <w:lang w:val="fr-CH"/>
        </w:rPr>
        <w:t xml:space="preserve"> </w:t>
      </w:r>
      <w:r w:rsidR="00647A9A" w:rsidRPr="000C6ABF">
        <w:rPr>
          <w:lang w:val="fr-CH"/>
        </w:rPr>
        <w:t>de cette augmentation pour comprendre s</w:t>
      </w:r>
      <w:r w:rsidR="00AB0C69" w:rsidRPr="000C6ABF">
        <w:rPr>
          <w:lang w:val="fr-CH"/>
        </w:rPr>
        <w:t>'</w:t>
      </w:r>
      <w:r w:rsidR="00647A9A" w:rsidRPr="000C6ABF">
        <w:rPr>
          <w:lang w:val="fr-CH"/>
        </w:rPr>
        <w:t>il y aur</w:t>
      </w:r>
      <w:r w:rsidR="00A47698" w:rsidRPr="000C6ABF">
        <w:rPr>
          <w:lang w:val="fr-CH"/>
        </w:rPr>
        <w:t xml:space="preserve">ait pu y avoir des anomalies. </w:t>
      </w:r>
      <w:r w:rsidR="00647A9A" w:rsidRPr="000C6ABF">
        <w:rPr>
          <w:lang w:val="fr-CH"/>
        </w:rPr>
        <w:t>Par ailleurs, il y a lieu de mentionner que la direction de l</w:t>
      </w:r>
      <w:r w:rsidR="00AB0C69" w:rsidRPr="000C6ABF">
        <w:rPr>
          <w:lang w:val="fr-CH"/>
        </w:rPr>
        <w:t>'</w:t>
      </w:r>
      <w:r w:rsidR="00647A9A" w:rsidRPr="000C6ABF">
        <w:rPr>
          <w:lang w:val="fr-CH"/>
        </w:rPr>
        <w:t>UIT elle aussi nous a demandé d</w:t>
      </w:r>
      <w:r w:rsidR="00AB0C69" w:rsidRPr="000C6ABF">
        <w:rPr>
          <w:lang w:val="fr-CH"/>
        </w:rPr>
        <w:t>'</w:t>
      </w:r>
      <w:r w:rsidR="00647A9A" w:rsidRPr="000C6ABF">
        <w:rPr>
          <w:lang w:val="fr-CH"/>
        </w:rPr>
        <w:t>analyser les raisons particulières de cette</w:t>
      </w:r>
      <w:r w:rsidR="00A47698" w:rsidRPr="000C6ABF">
        <w:rPr>
          <w:lang w:val="fr-CH"/>
        </w:rPr>
        <w:t xml:space="preserve"> augmentation.</w:t>
      </w:r>
      <w:r w:rsidR="00647A9A" w:rsidRPr="000C6ABF">
        <w:rPr>
          <w:lang w:val="fr-CH"/>
        </w:rPr>
        <w:t xml:space="preserve"> A cet égard, il importe de préciser qu</w:t>
      </w:r>
      <w:r w:rsidR="00AB0C69" w:rsidRPr="000C6ABF">
        <w:rPr>
          <w:lang w:val="fr-CH"/>
        </w:rPr>
        <w:t>'</w:t>
      </w:r>
      <w:r w:rsidR="00647A9A" w:rsidRPr="000C6ABF">
        <w:rPr>
          <w:lang w:val="fr-CH"/>
        </w:rPr>
        <w:t xml:space="preserve">il a été impossible de faire une étude complète sur cette question dans les délais qui nous étaient impartis pour </w:t>
      </w:r>
      <w:r w:rsidR="00F959C2" w:rsidRPr="000C6ABF">
        <w:rPr>
          <w:lang w:val="fr-CH"/>
        </w:rPr>
        <w:t>effectuer notre audit</w:t>
      </w:r>
      <w:r w:rsidR="00393BA5" w:rsidRPr="000C6ABF">
        <w:rPr>
          <w:lang w:val="fr-CH"/>
        </w:rPr>
        <w:t xml:space="preserve">. </w:t>
      </w:r>
      <w:r w:rsidR="00F959C2" w:rsidRPr="000C6ABF">
        <w:rPr>
          <w:lang w:val="fr-CH"/>
        </w:rPr>
        <w:t>Les</w:t>
      </w:r>
      <w:r w:rsidR="00393BA5" w:rsidRPr="000C6ABF">
        <w:rPr>
          <w:lang w:val="fr-CH"/>
        </w:rPr>
        <w:t xml:space="preserve"> résultats de notre analyse préliminaire</w:t>
      </w:r>
      <w:r w:rsidR="00F959C2" w:rsidRPr="000C6ABF">
        <w:rPr>
          <w:lang w:val="fr-CH"/>
        </w:rPr>
        <w:t xml:space="preserve"> sont résumés dans les paragraphes qui suivent.</w:t>
      </w:r>
    </w:p>
    <w:p w:rsidR="008F7DE3" w:rsidRPr="000C6ABF" w:rsidRDefault="00283AB9" w:rsidP="00AB0C69">
      <w:pPr>
        <w:pStyle w:val="Headingb"/>
        <w:rPr>
          <w:lang w:val="fr-CH"/>
        </w:rPr>
      </w:pPr>
      <w:bookmarkStart w:id="223" w:name="_Toc392672717"/>
      <w:bookmarkStart w:id="224" w:name="_Toc396387846"/>
      <w:bookmarkStart w:id="225" w:name="_Toc396387960"/>
      <w:bookmarkStart w:id="226" w:name="_Toc398277645"/>
      <w:r w:rsidRPr="000C6ABF">
        <w:rPr>
          <w:lang w:val="fr-CH"/>
        </w:rPr>
        <w:t>Echantillonnage</w:t>
      </w:r>
      <w:r w:rsidR="00393BA5" w:rsidRPr="000C6ABF">
        <w:rPr>
          <w:lang w:val="fr-CH"/>
        </w:rPr>
        <w:t xml:space="preserve"> et collecte des </w:t>
      </w:r>
      <w:bookmarkEnd w:id="223"/>
      <w:bookmarkEnd w:id="224"/>
      <w:bookmarkEnd w:id="225"/>
      <w:r w:rsidR="00393BA5" w:rsidRPr="000C6ABF">
        <w:rPr>
          <w:lang w:val="fr-CH"/>
        </w:rPr>
        <w:t>documents</w:t>
      </w:r>
      <w:bookmarkEnd w:id="226"/>
    </w:p>
    <w:p w:rsidR="008F7DE3" w:rsidRPr="000C6ABF" w:rsidRDefault="008F7DE3" w:rsidP="002B4FBF">
      <w:pPr>
        <w:rPr>
          <w:lang w:val="fr-CH"/>
        </w:rPr>
      </w:pPr>
      <w:r w:rsidRPr="000C6ABF">
        <w:rPr>
          <w:lang w:val="fr-CH"/>
        </w:rPr>
        <w:t>88</w:t>
      </w:r>
      <w:r w:rsidRPr="000C6ABF">
        <w:rPr>
          <w:lang w:val="fr-CH"/>
        </w:rPr>
        <w:tab/>
      </w:r>
      <w:r w:rsidR="00393BA5" w:rsidRPr="000C6ABF">
        <w:rPr>
          <w:lang w:val="fr-CH"/>
        </w:rPr>
        <w:t xml:space="preserve">Nous avons demandé une liste de toutes les demandes de remboursement traitées et nous avons </w:t>
      </w:r>
      <w:r w:rsidR="006703B9" w:rsidRPr="000C6ABF">
        <w:rPr>
          <w:lang w:val="fr-CH"/>
        </w:rPr>
        <w:t>sélectionné</w:t>
      </w:r>
      <w:r w:rsidR="00393BA5" w:rsidRPr="000C6ABF">
        <w:rPr>
          <w:lang w:val="fr-CH"/>
        </w:rPr>
        <w:t xml:space="preserve"> un échantillon des remboursements les plus importants, pour un total de 52</w:t>
      </w:r>
      <w:r w:rsidR="002B4FBF">
        <w:rPr>
          <w:lang w:val="fr-CH"/>
        </w:rPr>
        <w:t> </w:t>
      </w:r>
      <w:r w:rsidR="00393BA5" w:rsidRPr="000C6ABF">
        <w:rPr>
          <w:lang w:val="fr-CH"/>
        </w:rPr>
        <w:t>dossiers, chacun concernant un assuré (répartis entre fonctionnaires actifs, retraités et survivants)</w:t>
      </w:r>
      <w:r w:rsidRPr="000C6ABF">
        <w:rPr>
          <w:lang w:val="fr-CH"/>
        </w:rPr>
        <w:t>.</w:t>
      </w:r>
    </w:p>
    <w:p w:rsidR="008F7DE3" w:rsidRPr="000C6ABF" w:rsidRDefault="008F7DE3" w:rsidP="00283AB9">
      <w:pPr>
        <w:rPr>
          <w:lang w:val="fr-CH"/>
        </w:rPr>
      </w:pPr>
      <w:r w:rsidRPr="000C6ABF">
        <w:rPr>
          <w:lang w:val="fr-CH"/>
        </w:rPr>
        <w:t>89</w:t>
      </w:r>
      <w:r w:rsidRPr="000C6ABF">
        <w:rPr>
          <w:lang w:val="fr-CH"/>
        </w:rPr>
        <w:tab/>
      </w:r>
      <w:r w:rsidR="00393BA5" w:rsidRPr="000C6ABF">
        <w:rPr>
          <w:lang w:val="fr-CH"/>
        </w:rPr>
        <w:t>Le service des Pensions, Assurances, Indemnisations et Questions Médicales (PICMI) de l</w:t>
      </w:r>
      <w:r w:rsidR="00AB0C69" w:rsidRPr="000C6ABF">
        <w:rPr>
          <w:lang w:val="fr-CH"/>
        </w:rPr>
        <w:t>'</w:t>
      </w:r>
      <w:r w:rsidR="00393BA5" w:rsidRPr="000C6ABF">
        <w:rPr>
          <w:lang w:val="fr-CH"/>
        </w:rPr>
        <w:t xml:space="preserve">UIT nous a fourni </w:t>
      </w:r>
      <w:r w:rsidR="00283AB9" w:rsidRPr="000C6ABF">
        <w:rPr>
          <w:lang w:val="fr-CH"/>
        </w:rPr>
        <w:t>une liste "préliminaire" (des avis en matière</w:t>
      </w:r>
      <w:r w:rsidR="00393BA5" w:rsidRPr="000C6ABF">
        <w:rPr>
          <w:lang w:val="fr-CH"/>
        </w:rPr>
        <w:t xml:space="preserve"> de remboursement sans pièces justificatives) </w:t>
      </w:r>
      <w:r w:rsidR="00454DFD" w:rsidRPr="000C6ABF">
        <w:rPr>
          <w:lang w:val="fr-CH"/>
        </w:rPr>
        <w:t>nous précisant qu</w:t>
      </w:r>
      <w:r w:rsidR="00AB0C69" w:rsidRPr="000C6ABF">
        <w:rPr>
          <w:lang w:val="fr-CH"/>
        </w:rPr>
        <w:t>'</w:t>
      </w:r>
      <w:r w:rsidR="00454DFD" w:rsidRPr="000C6ABF">
        <w:rPr>
          <w:lang w:val="fr-CH"/>
        </w:rPr>
        <w:t xml:space="preserve">il </w:t>
      </w:r>
      <w:r w:rsidR="006703B9" w:rsidRPr="000C6ABF">
        <w:rPr>
          <w:lang w:val="fr-CH"/>
        </w:rPr>
        <w:t>classe</w:t>
      </w:r>
      <w:r w:rsidR="00454DFD" w:rsidRPr="000C6ABF">
        <w:rPr>
          <w:lang w:val="fr-CH"/>
        </w:rPr>
        <w:t xml:space="preserve"> tous les do</w:t>
      </w:r>
      <w:r w:rsidR="00283AB9" w:rsidRPr="000C6ABF">
        <w:rPr>
          <w:lang w:val="fr-CH"/>
        </w:rPr>
        <w:t xml:space="preserve">ssiers </w:t>
      </w:r>
      <w:r w:rsidR="00454DFD" w:rsidRPr="000C6ABF">
        <w:rPr>
          <w:lang w:val="fr-CH"/>
        </w:rPr>
        <w:t>médicaux et toutes les demandes de remboursement de chaque famille uniquement par ordre chronologique d</w:t>
      </w:r>
      <w:r w:rsidR="00AB0C69" w:rsidRPr="000C6ABF">
        <w:rPr>
          <w:lang w:val="fr-CH"/>
        </w:rPr>
        <w:t>'</w:t>
      </w:r>
      <w:r w:rsidR="006703B9" w:rsidRPr="000C6ABF">
        <w:rPr>
          <w:lang w:val="fr-CH"/>
        </w:rPr>
        <w:t>arrivée</w:t>
      </w:r>
      <w:r w:rsidR="00454DFD" w:rsidRPr="000C6ABF">
        <w:rPr>
          <w:lang w:val="fr-CH"/>
        </w:rPr>
        <w:t xml:space="preserve"> des</w:t>
      </w:r>
      <w:r w:rsidR="00A47698" w:rsidRPr="000C6ABF">
        <w:rPr>
          <w:lang w:val="fr-CH"/>
        </w:rPr>
        <w:t xml:space="preserve"> </w:t>
      </w:r>
      <w:r w:rsidR="00454DFD" w:rsidRPr="000C6ABF">
        <w:rPr>
          <w:lang w:val="fr-CH"/>
        </w:rPr>
        <w:t>demandes de remboursement et des factures</w:t>
      </w:r>
      <w:r w:rsidR="006703B9" w:rsidRPr="000C6ABF">
        <w:rPr>
          <w:lang w:val="fr-CH"/>
        </w:rPr>
        <w:t xml:space="preserve">. A cet </w:t>
      </w:r>
      <w:r w:rsidR="009D2EE7" w:rsidRPr="000C6ABF">
        <w:rPr>
          <w:lang w:val="fr-CH"/>
        </w:rPr>
        <w:t>égard,</w:t>
      </w:r>
      <w:r w:rsidR="006703B9" w:rsidRPr="000C6ABF">
        <w:rPr>
          <w:lang w:val="fr-CH"/>
        </w:rPr>
        <w:t xml:space="preserve"> nous n</w:t>
      </w:r>
      <w:r w:rsidR="00AB0C69" w:rsidRPr="000C6ABF">
        <w:rPr>
          <w:lang w:val="fr-CH"/>
        </w:rPr>
        <w:t>'</w:t>
      </w:r>
      <w:r w:rsidR="006703B9" w:rsidRPr="000C6ABF">
        <w:rPr>
          <w:lang w:val="fr-CH"/>
        </w:rPr>
        <w:t>avons pas pu vérifier notre échantillon en un laps de temps</w:t>
      </w:r>
      <w:r w:rsidR="00283AB9" w:rsidRPr="000C6ABF">
        <w:rPr>
          <w:lang w:val="fr-CH"/>
        </w:rPr>
        <w:t xml:space="preserve"> aussi court</w:t>
      </w:r>
      <w:r w:rsidRPr="000C6ABF">
        <w:rPr>
          <w:lang w:val="fr-CH"/>
        </w:rPr>
        <w:t>.</w:t>
      </w:r>
    </w:p>
    <w:p w:rsidR="008F7DE3" w:rsidRPr="000C6ABF" w:rsidRDefault="008F7DE3" w:rsidP="00283AB9">
      <w:pPr>
        <w:rPr>
          <w:lang w:val="fr-CH"/>
        </w:rPr>
      </w:pPr>
      <w:r w:rsidRPr="000C6ABF">
        <w:rPr>
          <w:lang w:val="fr-CH"/>
        </w:rPr>
        <w:t>90</w:t>
      </w:r>
      <w:r w:rsidRPr="000C6ABF">
        <w:rPr>
          <w:lang w:val="fr-CH"/>
        </w:rPr>
        <w:tab/>
      </w:r>
      <w:r w:rsidR="006703B9" w:rsidRPr="000C6ABF">
        <w:rPr>
          <w:lang w:val="fr-CH"/>
        </w:rPr>
        <w:t>Pour cette raison</w:t>
      </w:r>
      <w:r w:rsidR="00283AB9" w:rsidRPr="000C6ABF">
        <w:rPr>
          <w:lang w:val="fr-CH"/>
        </w:rPr>
        <w:t>,</w:t>
      </w:r>
      <w:r w:rsidR="006703B9" w:rsidRPr="000C6ABF">
        <w:rPr>
          <w:lang w:val="fr-CH"/>
        </w:rPr>
        <w:t xml:space="preserve"> nous avons reconstitué notre échantillon, en sélectionnant des documents </w:t>
      </w:r>
      <w:r w:rsidR="00283AB9" w:rsidRPr="000C6ABF">
        <w:rPr>
          <w:lang w:val="fr-CH"/>
        </w:rPr>
        <w:t>portant sur</w:t>
      </w:r>
      <w:r w:rsidR="006703B9" w:rsidRPr="000C6ABF">
        <w:rPr>
          <w:lang w:val="fr-CH"/>
        </w:rPr>
        <w:t xml:space="preserve"> différents types de dépenses. Nous avons examiné tous les documents retenus dans l</w:t>
      </w:r>
      <w:r w:rsidR="00AB0C69" w:rsidRPr="000C6ABF">
        <w:rPr>
          <w:lang w:val="fr-CH"/>
        </w:rPr>
        <w:t>'</w:t>
      </w:r>
      <w:r w:rsidR="006703B9" w:rsidRPr="000C6ABF">
        <w:rPr>
          <w:lang w:val="fr-CH"/>
        </w:rPr>
        <w:t>échantillon et n</w:t>
      </w:r>
      <w:r w:rsidR="00AB0C69" w:rsidRPr="000C6ABF">
        <w:rPr>
          <w:lang w:val="fr-CH"/>
        </w:rPr>
        <w:t>'</w:t>
      </w:r>
      <w:r w:rsidR="006703B9" w:rsidRPr="000C6ABF">
        <w:rPr>
          <w:lang w:val="fr-CH"/>
        </w:rPr>
        <w:t xml:space="preserve">avons </w:t>
      </w:r>
      <w:r w:rsidR="00283AB9" w:rsidRPr="000C6ABF">
        <w:rPr>
          <w:lang w:val="fr-CH"/>
        </w:rPr>
        <w:t xml:space="preserve">constaté </w:t>
      </w:r>
      <w:r w:rsidR="006703B9" w:rsidRPr="000C6ABF">
        <w:rPr>
          <w:lang w:val="fr-CH"/>
        </w:rPr>
        <w:t>aucune fraude</w:t>
      </w:r>
      <w:r w:rsidR="00283AB9" w:rsidRPr="000C6ABF">
        <w:rPr>
          <w:lang w:val="fr-CH"/>
        </w:rPr>
        <w:t>;</w:t>
      </w:r>
      <w:r w:rsidR="006703B9" w:rsidRPr="000C6ABF">
        <w:rPr>
          <w:lang w:val="fr-CH"/>
        </w:rPr>
        <w:t xml:space="preserve"> </w:t>
      </w:r>
      <w:r w:rsidR="00283AB9" w:rsidRPr="000C6ABF">
        <w:rPr>
          <w:lang w:val="fr-CH"/>
        </w:rPr>
        <w:t xml:space="preserve">dans </w:t>
      </w:r>
      <w:r w:rsidR="006703B9" w:rsidRPr="000C6ABF">
        <w:rPr>
          <w:lang w:val="fr-CH"/>
        </w:rPr>
        <w:t>un seul cas</w:t>
      </w:r>
      <w:r w:rsidR="00283AB9" w:rsidRPr="000C6ABF">
        <w:rPr>
          <w:lang w:val="fr-CH"/>
        </w:rPr>
        <w:t>,</w:t>
      </w:r>
      <w:r w:rsidR="006703B9" w:rsidRPr="000C6ABF">
        <w:rPr>
          <w:lang w:val="fr-CH"/>
        </w:rPr>
        <w:t xml:space="preserve"> </w:t>
      </w:r>
      <w:r w:rsidR="00283AB9" w:rsidRPr="000C6ABF">
        <w:rPr>
          <w:lang w:val="fr-CH"/>
        </w:rPr>
        <w:t xml:space="preserve">une même </w:t>
      </w:r>
      <w:r w:rsidR="006703B9" w:rsidRPr="000C6ABF">
        <w:rPr>
          <w:lang w:val="fr-CH"/>
        </w:rPr>
        <w:t>facture</w:t>
      </w:r>
      <w:r w:rsidR="00283AB9" w:rsidRPr="000C6ABF">
        <w:rPr>
          <w:lang w:val="fr-CH"/>
        </w:rPr>
        <w:t xml:space="preserve"> a été remboursée deux fois</w:t>
      </w:r>
      <w:r w:rsidR="006703B9" w:rsidRPr="000C6ABF">
        <w:rPr>
          <w:lang w:val="fr-CH"/>
        </w:rPr>
        <w:t xml:space="preserve">. Même si le montant </w:t>
      </w:r>
      <w:r w:rsidR="00283AB9" w:rsidRPr="000C6ABF">
        <w:rPr>
          <w:lang w:val="fr-CH"/>
        </w:rPr>
        <w:t xml:space="preserve">de cette facture </w:t>
      </w:r>
      <w:r w:rsidR="006703B9" w:rsidRPr="000C6ABF">
        <w:rPr>
          <w:lang w:val="fr-CH"/>
        </w:rPr>
        <w:t>n</w:t>
      </w:r>
      <w:r w:rsidR="00AB0C69" w:rsidRPr="000C6ABF">
        <w:rPr>
          <w:lang w:val="fr-CH"/>
        </w:rPr>
        <w:t>'</w:t>
      </w:r>
      <w:r w:rsidR="006703B9" w:rsidRPr="000C6ABF">
        <w:rPr>
          <w:lang w:val="fr-CH"/>
        </w:rPr>
        <w:t>était pas important et si l</w:t>
      </w:r>
      <w:r w:rsidR="00AB0C69" w:rsidRPr="000C6ABF">
        <w:rPr>
          <w:lang w:val="fr-CH"/>
        </w:rPr>
        <w:t>'</w:t>
      </w:r>
      <w:r w:rsidR="006703B9" w:rsidRPr="000C6ABF">
        <w:rPr>
          <w:lang w:val="fr-CH"/>
        </w:rPr>
        <w:t>erreur n</w:t>
      </w:r>
      <w:r w:rsidR="00AB0C69" w:rsidRPr="000C6ABF">
        <w:rPr>
          <w:lang w:val="fr-CH"/>
        </w:rPr>
        <w:t>'</w:t>
      </w:r>
      <w:r w:rsidR="006703B9" w:rsidRPr="000C6ABF">
        <w:rPr>
          <w:lang w:val="fr-CH"/>
        </w:rPr>
        <w:t xml:space="preserve">était pas systémique, nous avons </w:t>
      </w:r>
      <w:r w:rsidR="00283AB9" w:rsidRPr="000C6ABF">
        <w:rPr>
          <w:lang w:val="fr-CH"/>
        </w:rPr>
        <w:t xml:space="preserve">invité </w:t>
      </w:r>
      <w:r w:rsidR="006703B9" w:rsidRPr="000C6ABF">
        <w:rPr>
          <w:lang w:val="fr-CH"/>
        </w:rPr>
        <w:t>la direction</w:t>
      </w:r>
      <w:r w:rsidR="00A47698" w:rsidRPr="000C6ABF">
        <w:rPr>
          <w:lang w:val="fr-CH"/>
        </w:rPr>
        <w:t xml:space="preserve"> </w:t>
      </w:r>
      <w:r w:rsidR="00401DAD" w:rsidRPr="000C6ABF">
        <w:rPr>
          <w:lang w:val="fr-CH"/>
        </w:rPr>
        <w:t xml:space="preserve">à </w:t>
      </w:r>
      <w:r w:rsidR="00283AB9" w:rsidRPr="000C6ABF">
        <w:rPr>
          <w:lang w:val="fr-CH"/>
        </w:rPr>
        <w:t xml:space="preserve">faire preuve de vigilance en ce qui concerne le </w:t>
      </w:r>
      <w:r w:rsidR="006703B9" w:rsidRPr="000C6ABF">
        <w:rPr>
          <w:lang w:val="fr-CH"/>
        </w:rPr>
        <w:t xml:space="preserve">système de </w:t>
      </w:r>
      <w:r w:rsidR="00401DAD" w:rsidRPr="000C6ABF">
        <w:rPr>
          <w:lang w:val="fr-CH"/>
        </w:rPr>
        <w:t>contrôle</w:t>
      </w:r>
      <w:r w:rsidR="006703B9" w:rsidRPr="000C6ABF">
        <w:rPr>
          <w:lang w:val="fr-CH"/>
        </w:rPr>
        <w:t xml:space="preserve"> interne que </w:t>
      </w:r>
      <w:proofErr w:type="spellStart"/>
      <w:r w:rsidRPr="000C6ABF">
        <w:rPr>
          <w:lang w:val="fr-CH"/>
        </w:rPr>
        <w:t>Vanbreda</w:t>
      </w:r>
      <w:proofErr w:type="spellEnd"/>
      <w:r w:rsidRPr="000C6ABF">
        <w:rPr>
          <w:lang w:val="fr-CH"/>
        </w:rPr>
        <w:t xml:space="preserve"> International </w:t>
      </w:r>
      <w:r w:rsidR="006703B9" w:rsidRPr="000C6ABF">
        <w:rPr>
          <w:lang w:val="fr-CH"/>
        </w:rPr>
        <w:t>appliquera pour la gestion des demandes de remboursement dans le cad</w:t>
      </w:r>
      <w:r w:rsidR="00401DAD" w:rsidRPr="000C6ABF">
        <w:rPr>
          <w:lang w:val="fr-CH"/>
        </w:rPr>
        <w:t>r</w:t>
      </w:r>
      <w:r w:rsidR="006703B9" w:rsidRPr="000C6ABF">
        <w:rPr>
          <w:lang w:val="fr-CH"/>
        </w:rPr>
        <w:t xml:space="preserve">e du nouveau </w:t>
      </w:r>
      <w:r w:rsidR="00283AB9" w:rsidRPr="000C6ABF">
        <w:rPr>
          <w:lang w:val="fr-CH"/>
        </w:rPr>
        <w:t xml:space="preserve">régime d'assurance maladie et à </w:t>
      </w:r>
      <w:r w:rsidR="00401DAD" w:rsidRPr="000C6ABF">
        <w:rPr>
          <w:lang w:val="fr-CH"/>
        </w:rPr>
        <w:t xml:space="preserve">veiller à </w:t>
      </w:r>
      <w:r w:rsidR="00283AB9" w:rsidRPr="000C6ABF">
        <w:rPr>
          <w:lang w:val="fr-CH"/>
        </w:rPr>
        <w:t xml:space="preserve">ce que le </w:t>
      </w:r>
      <w:r w:rsidR="00401DAD" w:rsidRPr="000C6ABF">
        <w:rPr>
          <w:lang w:val="fr-CH"/>
        </w:rPr>
        <w:t xml:space="preserve">système </w:t>
      </w:r>
      <w:r w:rsidR="00283AB9" w:rsidRPr="000C6ABF">
        <w:rPr>
          <w:lang w:val="fr-CH"/>
        </w:rPr>
        <w:t xml:space="preserve">mis en place </w:t>
      </w:r>
      <w:r w:rsidR="00401DAD" w:rsidRPr="000C6ABF">
        <w:rPr>
          <w:lang w:val="fr-CH"/>
        </w:rPr>
        <w:t>évit</w:t>
      </w:r>
      <w:r w:rsidR="00283AB9" w:rsidRPr="000C6ABF">
        <w:rPr>
          <w:lang w:val="fr-CH"/>
        </w:rPr>
        <w:t xml:space="preserve">e </w:t>
      </w:r>
      <w:r w:rsidR="00401DAD" w:rsidRPr="000C6ABF">
        <w:rPr>
          <w:lang w:val="fr-CH"/>
        </w:rPr>
        <w:t>les doubles remboursements. Nous suivrons la mise en œuvre dans les années à venir</w:t>
      </w:r>
      <w:r w:rsidRPr="000C6ABF">
        <w:rPr>
          <w:lang w:val="fr-CH"/>
        </w:rPr>
        <w:t>.</w:t>
      </w:r>
    </w:p>
    <w:p w:rsidR="007A16C0" w:rsidRPr="000C6ABF" w:rsidRDefault="008F7DE3" w:rsidP="002B4FBF">
      <w:pPr>
        <w:keepNext/>
        <w:keepLines/>
        <w:spacing w:after="120"/>
        <w:rPr>
          <w:lang w:val="fr-CH"/>
        </w:rPr>
      </w:pPr>
      <w:r w:rsidRPr="000C6ABF">
        <w:rPr>
          <w:lang w:val="fr-CH"/>
        </w:rPr>
        <w:lastRenderedPageBreak/>
        <w:t>91</w:t>
      </w:r>
      <w:r w:rsidRPr="000C6ABF">
        <w:rPr>
          <w:lang w:val="fr-CH"/>
        </w:rPr>
        <w:tab/>
      </w:r>
      <w:r w:rsidR="00401DAD" w:rsidRPr="000C6ABF">
        <w:rPr>
          <w:lang w:val="fr-CH"/>
        </w:rPr>
        <w:t>Après avoir analysé l</w:t>
      </w:r>
      <w:r w:rsidR="00AB0C69" w:rsidRPr="000C6ABF">
        <w:rPr>
          <w:lang w:val="fr-CH"/>
        </w:rPr>
        <w:t>'</w:t>
      </w:r>
      <w:r w:rsidR="00401DAD" w:rsidRPr="000C6ABF">
        <w:rPr>
          <w:lang w:val="fr-CH"/>
        </w:rPr>
        <w:t>échantillon, nous avons</w:t>
      </w:r>
      <w:r w:rsidR="00A47698" w:rsidRPr="000C6ABF">
        <w:rPr>
          <w:lang w:val="fr-CH"/>
        </w:rPr>
        <w:t xml:space="preserve"> </w:t>
      </w:r>
      <w:r w:rsidR="00401DAD" w:rsidRPr="000C6ABF">
        <w:rPr>
          <w:lang w:val="fr-CH"/>
        </w:rPr>
        <w:t xml:space="preserve">constaté que </w:t>
      </w:r>
      <w:r w:rsidR="00283AB9" w:rsidRPr="000C6ABF">
        <w:rPr>
          <w:lang w:val="fr-CH"/>
        </w:rPr>
        <w:t xml:space="preserve">certains </w:t>
      </w:r>
      <w:r w:rsidR="00401DAD" w:rsidRPr="000C6ABF">
        <w:rPr>
          <w:lang w:val="fr-CH"/>
        </w:rPr>
        <w:t>rembours</w:t>
      </w:r>
      <w:r w:rsidR="00283AB9" w:rsidRPr="000C6ABF">
        <w:rPr>
          <w:lang w:val="fr-CH"/>
        </w:rPr>
        <w:t xml:space="preserve">ements </w:t>
      </w:r>
      <w:r w:rsidR="00401DAD" w:rsidRPr="000C6ABF">
        <w:rPr>
          <w:lang w:val="fr-CH"/>
        </w:rPr>
        <w:t xml:space="preserve">ne concernaient pas strictement des soins médicaux. Nous avons également relevé des </w:t>
      </w:r>
      <w:r w:rsidR="00283AB9" w:rsidRPr="000C6ABF">
        <w:rPr>
          <w:lang w:val="fr-CH"/>
        </w:rPr>
        <w:t>différences entre</w:t>
      </w:r>
      <w:r w:rsidR="00401DAD" w:rsidRPr="000C6ABF">
        <w:rPr>
          <w:lang w:val="fr-CH"/>
        </w:rPr>
        <w:t xml:space="preserve"> </w:t>
      </w:r>
      <w:r w:rsidR="00283AB9" w:rsidRPr="000C6ABF">
        <w:rPr>
          <w:lang w:val="fr-CH"/>
        </w:rPr>
        <w:t xml:space="preserve">les montants remboursés pour un même service de santé </w:t>
      </w:r>
      <w:r w:rsidR="008E5AF0" w:rsidRPr="000C6ABF">
        <w:rPr>
          <w:lang w:val="fr-CH"/>
        </w:rPr>
        <w:t xml:space="preserve">selon les </w:t>
      </w:r>
      <w:r w:rsidR="00401DAD" w:rsidRPr="000C6ABF">
        <w:rPr>
          <w:lang w:val="fr-CH"/>
        </w:rPr>
        <w:t>centres de santé.</w:t>
      </w:r>
      <w:r w:rsidR="006E0BEA" w:rsidRPr="000C6ABF">
        <w:rPr>
          <w:lang w:val="fr-CH"/>
        </w:rPr>
        <w:t xml:space="preserve"> </w:t>
      </w:r>
      <w:r w:rsidR="008E5AF0" w:rsidRPr="000C6ABF">
        <w:rPr>
          <w:lang w:val="fr-CH"/>
        </w:rPr>
        <w:t>N</w:t>
      </w:r>
      <w:r w:rsidR="006E0BEA" w:rsidRPr="000C6ABF">
        <w:rPr>
          <w:lang w:val="fr-CH"/>
        </w:rPr>
        <w:t>ous sommes d</w:t>
      </w:r>
      <w:r w:rsidR="00AB0C69" w:rsidRPr="000C6ABF">
        <w:rPr>
          <w:lang w:val="fr-CH"/>
        </w:rPr>
        <w:t>'</w:t>
      </w:r>
      <w:r w:rsidR="006E0BEA" w:rsidRPr="000C6ABF">
        <w:rPr>
          <w:lang w:val="fr-CH"/>
        </w:rPr>
        <w:t>avis que la direction</w:t>
      </w:r>
      <w:r w:rsidR="009D2EE7" w:rsidRPr="000C6ABF">
        <w:rPr>
          <w:lang w:val="fr-CH"/>
        </w:rPr>
        <w:t xml:space="preserve"> </w:t>
      </w:r>
      <w:r w:rsidR="006E0BEA" w:rsidRPr="000C6ABF">
        <w:rPr>
          <w:lang w:val="fr-CH"/>
        </w:rPr>
        <w:t>pourrait</w:t>
      </w:r>
      <w:r w:rsidR="008E5AF0" w:rsidRPr="000C6ABF">
        <w:rPr>
          <w:lang w:val="fr-CH"/>
        </w:rPr>
        <w:t>,</w:t>
      </w:r>
      <w:r w:rsidR="006E0BEA" w:rsidRPr="000C6ABF">
        <w:rPr>
          <w:lang w:val="fr-CH"/>
        </w:rPr>
        <w:t xml:space="preserve"> </w:t>
      </w:r>
      <w:r w:rsidR="008E5AF0" w:rsidRPr="000C6ABF">
        <w:rPr>
          <w:lang w:val="fr-CH"/>
        </w:rPr>
        <w:t xml:space="preserve">sans pour autant réduire la qualité du service de santé, </w:t>
      </w:r>
      <w:r w:rsidR="006E0BEA" w:rsidRPr="000C6ABF">
        <w:rPr>
          <w:lang w:val="fr-CH"/>
        </w:rPr>
        <w:t>envisage</w:t>
      </w:r>
      <w:r w:rsidR="009D2EE7" w:rsidRPr="000C6ABF">
        <w:rPr>
          <w:lang w:val="fr-CH"/>
        </w:rPr>
        <w:t>r</w:t>
      </w:r>
      <w:r w:rsidR="006E0BEA" w:rsidRPr="000C6ABF">
        <w:rPr>
          <w:lang w:val="fr-CH"/>
        </w:rPr>
        <w:t xml:space="preserve"> d</w:t>
      </w:r>
      <w:r w:rsidR="00AB0C69" w:rsidRPr="000C6ABF">
        <w:rPr>
          <w:lang w:val="fr-CH"/>
        </w:rPr>
        <w:t>'</w:t>
      </w:r>
      <w:r w:rsidR="006E0BEA" w:rsidRPr="000C6ABF">
        <w:rPr>
          <w:lang w:val="fr-CH"/>
        </w:rPr>
        <w:t xml:space="preserve">appliquer différents plafonds de dépenses </w:t>
      </w:r>
      <w:r w:rsidR="008E5AF0" w:rsidRPr="000C6ABF">
        <w:rPr>
          <w:lang w:val="fr-CH"/>
        </w:rPr>
        <w:t xml:space="preserve">en prenant comme référence des montants </w:t>
      </w:r>
      <w:r w:rsidR="009D2EE7" w:rsidRPr="000C6ABF">
        <w:rPr>
          <w:lang w:val="fr-CH"/>
        </w:rPr>
        <w:t>raisonnables</w:t>
      </w:r>
      <w:r w:rsidR="008E5AF0" w:rsidRPr="000C6ABF">
        <w:rPr>
          <w:lang w:val="fr-CH"/>
        </w:rPr>
        <w:t xml:space="preserve"> et couramment appliqués</w:t>
      </w:r>
      <w:r w:rsidRPr="000C6ABF">
        <w:rPr>
          <w:lang w:val="fr-CH"/>
        </w:rPr>
        <w:t>.</w:t>
      </w:r>
    </w:p>
    <w:tbl>
      <w:tblPr>
        <w:tblStyle w:val="TableGrid"/>
        <w:tblW w:w="0" w:type="auto"/>
        <w:tblLook w:val="04A0" w:firstRow="1" w:lastRow="0" w:firstColumn="1" w:lastColumn="0" w:noHBand="0" w:noVBand="1"/>
      </w:tblPr>
      <w:tblGrid>
        <w:gridCol w:w="9629"/>
      </w:tblGrid>
      <w:tr w:rsidR="007A16C0" w:rsidRPr="000C6ABF" w:rsidTr="00FB5933">
        <w:tc>
          <w:tcPr>
            <w:tcW w:w="9629" w:type="dxa"/>
          </w:tcPr>
          <w:p w:rsidR="007A16C0" w:rsidRPr="000C6ABF" w:rsidRDefault="007A16C0" w:rsidP="000B6D3C">
            <w:pPr>
              <w:spacing w:after="120"/>
              <w:rPr>
                <w:b/>
                <w:bCs/>
                <w:u w:val="single"/>
                <w:lang w:val="fr-CH"/>
              </w:rPr>
            </w:pPr>
            <w:bookmarkStart w:id="227" w:name="_Toc396386964"/>
            <w:r w:rsidRPr="000C6ABF">
              <w:rPr>
                <w:b/>
                <w:bCs/>
                <w:u w:val="single"/>
                <w:lang w:val="fr-CH"/>
              </w:rPr>
              <w:t>Suggestion N° 2</w:t>
            </w:r>
            <w:bookmarkEnd w:id="227"/>
          </w:p>
          <w:p w:rsidR="007A16C0" w:rsidRPr="000C6ABF" w:rsidRDefault="007A16C0" w:rsidP="000B6D3C">
            <w:pPr>
              <w:spacing w:after="120"/>
              <w:rPr>
                <w:lang w:val="fr-CH"/>
              </w:rPr>
            </w:pPr>
            <w:r w:rsidRPr="000C6ABF">
              <w:rPr>
                <w:lang w:val="fr-CH"/>
              </w:rPr>
              <w:t>92</w:t>
            </w:r>
            <w:r w:rsidRPr="000C6ABF">
              <w:rPr>
                <w:lang w:val="fr-CH"/>
              </w:rPr>
              <w:tab/>
            </w:r>
            <w:r w:rsidR="009D2EE7" w:rsidRPr="000C6ABF">
              <w:rPr>
                <w:lang w:val="fr-CH"/>
              </w:rPr>
              <w:t>En qui concerne le remboursement des services médicaux</w:t>
            </w:r>
            <w:r w:rsidR="008E5AF0" w:rsidRPr="000C6ABF">
              <w:rPr>
                <w:lang w:val="fr-CH"/>
              </w:rPr>
              <w:t>,</w:t>
            </w:r>
            <w:r w:rsidR="009D2EE7" w:rsidRPr="000C6ABF">
              <w:rPr>
                <w:lang w:val="fr-CH"/>
              </w:rPr>
              <w:t xml:space="preserve"> nous suggérons à la direction de réaliser une étude pour évaluer les incidences d</w:t>
            </w:r>
            <w:r w:rsidR="00AB0C69" w:rsidRPr="000C6ABF">
              <w:rPr>
                <w:lang w:val="fr-CH"/>
              </w:rPr>
              <w:t>'</w:t>
            </w:r>
            <w:r w:rsidR="009D2EE7" w:rsidRPr="000C6ABF">
              <w:rPr>
                <w:lang w:val="fr-CH"/>
              </w:rPr>
              <w:t xml:space="preserve">une réduction sensible des services qui ne sont pas exactement liés aux soins de santé. </w:t>
            </w:r>
          </w:p>
        </w:tc>
      </w:tr>
    </w:tbl>
    <w:p w:rsidR="007A16C0" w:rsidRPr="000C6ABF" w:rsidRDefault="007A16C0" w:rsidP="00AB0C69">
      <w:pPr>
        <w:rPr>
          <w:lang w:val="fr-CH"/>
        </w:rPr>
      </w:pPr>
    </w:p>
    <w:tbl>
      <w:tblPr>
        <w:tblStyle w:val="TableGrid"/>
        <w:tblW w:w="0" w:type="auto"/>
        <w:tblLook w:val="04A0" w:firstRow="1" w:lastRow="0" w:firstColumn="1" w:lastColumn="0" w:noHBand="0" w:noVBand="1"/>
      </w:tblPr>
      <w:tblGrid>
        <w:gridCol w:w="9629"/>
      </w:tblGrid>
      <w:tr w:rsidR="007A16C0" w:rsidRPr="000C6ABF" w:rsidTr="00E12F57">
        <w:tc>
          <w:tcPr>
            <w:tcW w:w="9629" w:type="dxa"/>
          </w:tcPr>
          <w:p w:rsidR="007A16C0" w:rsidRPr="000C6ABF" w:rsidRDefault="007A16C0" w:rsidP="000B6D3C">
            <w:pPr>
              <w:spacing w:after="120"/>
              <w:rPr>
                <w:b/>
                <w:bCs/>
                <w:u w:val="single"/>
                <w:lang w:val="fr-CH"/>
              </w:rPr>
            </w:pPr>
            <w:bookmarkStart w:id="228" w:name="_Toc396386965"/>
            <w:r w:rsidRPr="000C6ABF">
              <w:rPr>
                <w:b/>
                <w:bCs/>
                <w:u w:val="single"/>
                <w:lang w:val="fr-CH"/>
              </w:rPr>
              <w:t>Commentaires du Secrétaire général:</w:t>
            </w:r>
            <w:bookmarkEnd w:id="228"/>
          </w:p>
          <w:p w:rsidR="007A16C0" w:rsidRPr="000C6ABF" w:rsidRDefault="009D2EE7" w:rsidP="000B6D3C">
            <w:pPr>
              <w:spacing w:after="120"/>
              <w:rPr>
                <w:lang w:val="fr-CH"/>
              </w:rPr>
            </w:pPr>
            <w:r w:rsidRPr="000C6ABF">
              <w:rPr>
                <w:lang w:val="fr-CH"/>
              </w:rPr>
              <w:t>Je prends note de cette suggestion et vous informe que la direction suivra, avec le nouvel administrateur des demandes de remboursement, l</w:t>
            </w:r>
            <w:r w:rsidR="00AB0C69" w:rsidRPr="000C6ABF">
              <w:rPr>
                <w:lang w:val="fr-CH"/>
              </w:rPr>
              <w:t>'</w:t>
            </w:r>
            <w:r w:rsidRPr="000C6ABF">
              <w:rPr>
                <w:lang w:val="fr-CH"/>
              </w:rPr>
              <w:t>avancement de cette étude</w:t>
            </w:r>
            <w:r w:rsidR="007A16C0" w:rsidRPr="000C6ABF">
              <w:rPr>
                <w:lang w:val="fr-CH"/>
              </w:rPr>
              <w:t>.</w:t>
            </w:r>
          </w:p>
        </w:tc>
      </w:tr>
    </w:tbl>
    <w:p w:rsidR="007A16C0" w:rsidRPr="000C6ABF" w:rsidRDefault="007A16C0" w:rsidP="00AB0C69">
      <w:pPr>
        <w:rPr>
          <w:lang w:val="fr-CH"/>
        </w:rPr>
      </w:pPr>
    </w:p>
    <w:tbl>
      <w:tblPr>
        <w:tblStyle w:val="TableGrid"/>
        <w:tblW w:w="0" w:type="auto"/>
        <w:tblLook w:val="04A0" w:firstRow="1" w:lastRow="0" w:firstColumn="1" w:lastColumn="0" w:noHBand="0" w:noVBand="1"/>
      </w:tblPr>
      <w:tblGrid>
        <w:gridCol w:w="9629"/>
      </w:tblGrid>
      <w:tr w:rsidR="007A16C0" w:rsidRPr="000C6ABF" w:rsidTr="00E12F57">
        <w:tc>
          <w:tcPr>
            <w:tcW w:w="9629" w:type="dxa"/>
          </w:tcPr>
          <w:p w:rsidR="007A16C0" w:rsidRPr="000C6ABF" w:rsidRDefault="007A16C0" w:rsidP="000B6D3C">
            <w:pPr>
              <w:spacing w:after="120"/>
              <w:rPr>
                <w:b/>
                <w:bCs/>
                <w:u w:val="single"/>
                <w:lang w:val="fr-CH"/>
              </w:rPr>
            </w:pPr>
            <w:bookmarkStart w:id="229" w:name="_Toc396386966"/>
            <w:r w:rsidRPr="000C6ABF">
              <w:rPr>
                <w:b/>
                <w:bCs/>
                <w:u w:val="single"/>
                <w:lang w:val="fr-CH"/>
              </w:rPr>
              <w:t>Suggestion N° 3</w:t>
            </w:r>
            <w:bookmarkEnd w:id="229"/>
          </w:p>
          <w:p w:rsidR="007A16C0" w:rsidRPr="000C6ABF" w:rsidRDefault="007A16C0" w:rsidP="008E5AF0">
            <w:pPr>
              <w:spacing w:after="120"/>
              <w:rPr>
                <w:lang w:val="fr-CH"/>
              </w:rPr>
            </w:pPr>
            <w:r w:rsidRPr="000C6ABF">
              <w:rPr>
                <w:lang w:val="fr-CH"/>
              </w:rPr>
              <w:t>93</w:t>
            </w:r>
            <w:r w:rsidRPr="000C6ABF">
              <w:rPr>
                <w:lang w:val="fr-CH"/>
              </w:rPr>
              <w:tab/>
            </w:r>
            <w:r w:rsidR="009D2EE7" w:rsidRPr="000C6ABF">
              <w:rPr>
                <w:lang w:val="fr-CH"/>
              </w:rPr>
              <w:t>Nous suggérons à la direction, sans réduire la qualité des services de santé, d</w:t>
            </w:r>
            <w:r w:rsidR="00AB0C69" w:rsidRPr="000C6ABF">
              <w:rPr>
                <w:lang w:val="fr-CH"/>
              </w:rPr>
              <w:t>'</w:t>
            </w:r>
            <w:r w:rsidR="009D2EE7" w:rsidRPr="000C6ABF">
              <w:rPr>
                <w:lang w:val="fr-CH"/>
              </w:rPr>
              <w:t xml:space="preserve">envisager </w:t>
            </w:r>
            <w:r w:rsidR="008E5AF0" w:rsidRPr="000C6ABF">
              <w:rPr>
                <w:lang w:val="fr-CH"/>
              </w:rPr>
              <w:t>un plafonnement</w:t>
            </w:r>
            <w:r w:rsidR="009D2EE7" w:rsidRPr="000C6ABF">
              <w:rPr>
                <w:lang w:val="fr-CH"/>
              </w:rPr>
              <w:t xml:space="preserve"> de</w:t>
            </w:r>
            <w:r w:rsidR="008E5AF0" w:rsidRPr="000C6ABF">
              <w:rPr>
                <w:lang w:val="fr-CH"/>
              </w:rPr>
              <w:t>s</w:t>
            </w:r>
            <w:r w:rsidR="009D2EE7" w:rsidRPr="000C6ABF">
              <w:rPr>
                <w:lang w:val="fr-CH"/>
              </w:rPr>
              <w:t xml:space="preserve"> dépenses pour les services de santé</w:t>
            </w:r>
            <w:r w:rsidR="008E5AF0" w:rsidRPr="000C6ABF">
              <w:rPr>
                <w:lang w:val="fr-CH"/>
              </w:rPr>
              <w:t>,</w:t>
            </w:r>
            <w:r w:rsidR="009D2EE7" w:rsidRPr="000C6ABF">
              <w:rPr>
                <w:lang w:val="fr-CH"/>
              </w:rPr>
              <w:t xml:space="preserve"> </w:t>
            </w:r>
            <w:r w:rsidR="008E5AF0" w:rsidRPr="000C6ABF">
              <w:rPr>
                <w:lang w:val="fr-CH"/>
              </w:rPr>
              <w:t xml:space="preserve">en prenant comme référence </w:t>
            </w:r>
            <w:r w:rsidR="009D2EE7" w:rsidRPr="000C6ABF">
              <w:rPr>
                <w:lang w:val="fr-CH"/>
              </w:rPr>
              <w:t xml:space="preserve">des </w:t>
            </w:r>
            <w:r w:rsidR="008E5AF0" w:rsidRPr="000C6ABF">
              <w:rPr>
                <w:lang w:val="fr-CH"/>
              </w:rPr>
              <w:t>montant</w:t>
            </w:r>
            <w:r w:rsidR="002B4FBF">
              <w:rPr>
                <w:lang w:val="fr-CH"/>
              </w:rPr>
              <w:t>s</w:t>
            </w:r>
            <w:r w:rsidR="008E5AF0" w:rsidRPr="000C6ABF">
              <w:rPr>
                <w:lang w:val="fr-CH"/>
              </w:rPr>
              <w:t xml:space="preserve"> </w:t>
            </w:r>
            <w:r w:rsidR="009D2EE7" w:rsidRPr="000C6ABF">
              <w:rPr>
                <w:lang w:val="fr-CH"/>
              </w:rPr>
              <w:t>raisonnables</w:t>
            </w:r>
            <w:r w:rsidR="008E5AF0" w:rsidRPr="000C6ABF">
              <w:rPr>
                <w:lang w:val="fr-CH"/>
              </w:rPr>
              <w:t xml:space="preserve"> et couramment appliqués, afin </w:t>
            </w:r>
            <w:r w:rsidR="002B4FBF">
              <w:rPr>
                <w:lang w:val="fr-CH"/>
              </w:rPr>
              <w:t xml:space="preserve">de </w:t>
            </w:r>
            <w:r w:rsidR="009D2EE7" w:rsidRPr="000C6ABF">
              <w:rPr>
                <w:lang w:val="fr-CH"/>
              </w:rPr>
              <w:t xml:space="preserve">garantir la viabilité sur le plan financier du nouveau régime. </w:t>
            </w:r>
          </w:p>
        </w:tc>
      </w:tr>
    </w:tbl>
    <w:p w:rsidR="007A16C0" w:rsidRPr="000C6ABF" w:rsidRDefault="007A16C0" w:rsidP="00AB0C69">
      <w:pPr>
        <w:rPr>
          <w:lang w:val="fr-CH"/>
        </w:rPr>
      </w:pPr>
    </w:p>
    <w:tbl>
      <w:tblPr>
        <w:tblStyle w:val="TableGrid"/>
        <w:tblW w:w="0" w:type="auto"/>
        <w:tblLook w:val="04A0" w:firstRow="1" w:lastRow="0" w:firstColumn="1" w:lastColumn="0" w:noHBand="0" w:noVBand="1"/>
      </w:tblPr>
      <w:tblGrid>
        <w:gridCol w:w="9629"/>
      </w:tblGrid>
      <w:tr w:rsidR="007A16C0" w:rsidRPr="000C6ABF" w:rsidTr="00E12F57">
        <w:tc>
          <w:tcPr>
            <w:tcW w:w="9629" w:type="dxa"/>
          </w:tcPr>
          <w:p w:rsidR="007A16C0" w:rsidRPr="000C6ABF" w:rsidRDefault="007A16C0" w:rsidP="000B6D3C">
            <w:pPr>
              <w:spacing w:after="120"/>
              <w:rPr>
                <w:b/>
                <w:bCs/>
                <w:u w:val="single"/>
                <w:lang w:val="fr-CH"/>
              </w:rPr>
            </w:pPr>
            <w:bookmarkStart w:id="230" w:name="_Toc396386967"/>
            <w:r w:rsidRPr="000C6ABF">
              <w:rPr>
                <w:b/>
                <w:bCs/>
                <w:u w:val="single"/>
                <w:lang w:val="fr-CH"/>
              </w:rPr>
              <w:t>Commentaires du Secrétaire général:</w:t>
            </w:r>
            <w:bookmarkEnd w:id="230"/>
          </w:p>
          <w:p w:rsidR="007A16C0" w:rsidRPr="000C6ABF" w:rsidRDefault="009D2EE7" w:rsidP="008E5AF0">
            <w:pPr>
              <w:spacing w:after="120"/>
              <w:rPr>
                <w:lang w:val="fr-CH"/>
              </w:rPr>
            </w:pPr>
            <w:r w:rsidRPr="000C6ABF">
              <w:rPr>
                <w:lang w:val="fr-CH"/>
              </w:rPr>
              <w:t>Je prends note de cette suggestion et vous informe que la direction examinera, avec le nouve</w:t>
            </w:r>
            <w:r w:rsidR="008E5AF0" w:rsidRPr="000C6ABF">
              <w:rPr>
                <w:lang w:val="fr-CH"/>
              </w:rPr>
              <w:t>l administrateur</w:t>
            </w:r>
            <w:r w:rsidRPr="000C6ABF">
              <w:rPr>
                <w:lang w:val="fr-CH"/>
              </w:rPr>
              <w:t xml:space="preserve"> des demandes de remboursement, les options </w:t>
            </w:r>
            <w:r w:rsidR="008E5AF0" w:rsidRPr="000C6ABF">
              <w:rPr>
                <w:lang w:val="fr-CH"/>
              </w:rPr>
              <w:t>possible</w:t>
            </w:r>
            <w:r w:rsidR="002B4FBF">
              <w:rPr>
                <w:lang w:val="fr-CH"/>
              </w:rPr>
              <w:t>s</w:t>
            </w:r>
            <w:r w:rsidR="008E5AF0" w:rsidRPr="000C6ABF">
              <w:rPr>
                <w:lang w:val="fr-CH"/>
              </w:rPr>
              <w:t xml:space="preserve"> en matière de plafonnement</w:t>
            </w:r>
            <w:r w:rsidRPr="000C6ABF">
              <w:rPr>
                <w:lang w:val="fr-CH"/>
              </w:rPr>
              <w:t>.</w:t>
            </w:r>
          </w:p>
        </w:tc>
      </w:tr>
    </w:tbl>
    <w:p w:rsidR="008F7DE3" w:rsidRPr="000C6ABF" w:rsidRDefault="009D2EE7" w:rsidP="00AB0C69">
      <w:pPr>
        <w:pStyle w:val="Headingb"/>
        <w:rPr>
          <w:lang w:val="fr-CH"/>
        </w:rPr>
      </w:pPr>
      <w:bookmarkStart w:id="231" w:name="_Toc398277646"/>
      <w:bookmarkStart w:id="232" w:name="_Toc392672718"/>
      <w:bookmarkStart w:id="233" w:name="_Toc396387847"/>
      <w:bookmarkStart w:id="234" w:name="_Toc396387961"/>
      <w:r w:rsidRPr="000C6ABF">
        <w:rPr>
          <w:lang w:val="fr-CH"/>
        </w:rPr>
        <w:t>Analyse statistique des remboursements</w:t>
      </w:r>
      <w:bookmarkEnd w:id="231"/>
      <w:r w:rsidRPr="000C6ABF">
        <w:rPr>
          <w:lang w:val="fr-CH"/>
        </w:rPr>
        <w:t xml:space="preserve"> </w:t>
      </w:r>
      <w:bookmarkEnd w:id="232"/>
      <w:bookmarkEnd w:id="233"/>
      <w:bookmarkEnd w:id="234"/>
    </w:p>
    <w:p w:rsidR="008F7DE3" w:rsidRPr="000C6ABF" w:rsidRDefault="005B28A7" w:rsidP="008E5AF0">
      <w:pPr>
        <w:rPr>
          <w:lang w:val="fr-CH"/>
        </w:rPr>
      </w:pPr>
      <w:r w:rsidRPr="000C6ABF">
        <w:rPr>
          <w:lang w:val="fr-CH"/>
        </w:rPr>
        <w:t>94</w:t>
      </w:r>
      <w:r w:rsidR="008F7DE3" w:rsidRPr="000C6ABF">
        <w:rPr>
          <w:lang w:val="fr-CH"/>
        </w:rPr>
        <w:tab/>
      </w:r>
      <w:r w:rsidR="008E5AF0" w:rsidRPr="000C6ABF">
        <w:rPr>
          <w:lang w:val="fr-CH"/>
        </w:rPr>
        <w:t>A</w:t>
      </w:r>
      <w:r w:rsidR="009D2EE7" w:rsidRPr="000C6ABF">
        <w:rPr>
          <w:lang w:val="fr-CH"/>
        </w:rPr>
        <w:t xml:space="preserve"> l</w:t>
      </w:r>
      <w:r w:rsidR="00AB0C69" w:rsidRPr="000C6ABF">
        <w:rPr>
          <w:lang w:val="fr-CH"/>
        </w:rPr>
        <w:t>'</w:t>
      </w:r>
      <w:r w:rsidR="009D2EE7" w:rsidRPr="000C6ABF">
        <w:rPr>
          <w:lang w:val="fr-CH"/>
        </w:rPr>
        <w:t>aide des fichiers Excel fournis par l</w:t>
      </w:r>
      <w:r w:rsidR="00AB0C69" w:rsidRPr="000C6ABF">
        <w:rPr>
          <w:lang w:val="fr-CH"/>
        </w:rPr>
        <w:t>'</w:t>
      </w:r>
      <w:r w:rsidR="009D2EE7" w:rsidRPr="000C6ABF">
        <w:rPr>
          <w:lang w:val="fr-CH"/>
        </w:rPr>
        <w:t xml:space="preserve">UIT </w:t>
      </w:r>
      <w:r w:rsidR="008E5AF0" w:rsidRPr="000C6ABF">
        <w:rPr>
          <w:lang w:val="fr-CH"/>
        </w:rPr>
        <w:t>indiquant</w:t>
      </w:r>
      <w:r w:rsidR="009D2EE7" w:rsidRPr="000C6ABF">
        <w:rPr>
          <w:lang w:val="fr-CH"/>
        </w:rPr>
        <w:t xml:space="preserve"> les remboursements effectués en 2013 et au cours du second semestre de 2012, nous avons calculé la moyenne et la variance afin d</w:t>
      </w:r>
      <w:r w:rsidR="00AB0C69" w:rsidRPr="000C6ABF">
        <w:rPr>
          <w:lang w:val="fr-CH"/>
        </w:rPr>
        <w:t>'</w:t>
      </w:r>
      <w:r w:rsidR="009D2EE7" w:rsidRPr="000C6ABF">
        <w:rPr>
          <w:lang w:val="fr-CH"/>
        </w:rPr>
        <w:t>obtenir une courbe de distribution. Les histogrammes sont reproduits dans l</w:t>
      </w:r>
      <w:r w:rsidR="00AB0C69" w:rsidRPr="000C6ABF">
        <w:rPr>
          <w:lang w:val="fr-CH"/>
        </w:rPr>
        <w:t>'</w:t>
      </w:r>
      <w:r w:rsidR="009D2EE7" w:rsidRPr="000C6ABF">
        <w:rPr>
          <w:lang w:val="fr-CH"/>
        </w:rPr>
        <w:t>Annexe 2 de notre rapport.</w:t>
      </w:r>
    </w:p>
    <w:p w:rsidR="008F7DE3" w:rsidRPr="000C6ABF" w:rsidRDefault="008F7DE3" w:rsidP="008E5AF0">
      <w:pPr>
        <w:rPr>
          <w:lang w:val="fr-CH"/>
        </w:rPr>
      </w:pPr>
      <w:r w:rsidRPr="000C6ABF">
        <w:rPr>
          <w:lang w:val="fr-CH"/>
        </w:rPr>
        <w:t>95</w:t>
      </w:r>
      <w:r w:rsidRPr="000C6ABF">
        <w:rPr>
          <w:lang w:val="fr-CH"/>
        </w:rPr>
        <w:tab/>
      </w:r>
      <w:r w:rsidR="008E5AF0" w:rsidRPr="000C6ABF">
        <w:rPr>
          <w:lang w:val="fr-CH"/>
        </w:rPr>
        <w:t>L</w:t>
      </w:r>
      <w:r w:rsidR="009D2EE7" w:rsidRPr="000C6ABF">
        <w:rPr>
          <w:lang w:val="fr-CH"/>
        </w:rPr>
        <w:t>es assurés sont classés en quatre catégories</w:t>
      </w:r>
      <w:r w:rsidRPr="000C6ABF">
        <w:rPr>
          <w:lang w:val="fr-CH"/>
        </w:rPr>
        <w:t>:</w:t>
      </w:r>
    </w:p>
    <w:p w:rsidR="008F7DE3" w:rsidRPr="000C6ABF" w:rsidRDefault="005B28A7" w:rsidP="00AB0C69">
      <w:pPr>
        <w:pStyle w:val="enumlev1"/>
        <w:rPr>
          <w:lang w:val="fr-CH"/>
        </w:rPr>
      </w:pPr>
      <w:r w:rsidRPr="000C6ABF">
        <w:rPr>
          <w:lang w:val="fr-CH"/>
        </w:rPr>
        <w:t>•</w:t>
      </w:r>
      <w:r w:rsidRPr="000C6ABF">
        <w:rPr>
          <w:lang w:val="fr-CH"/>
        </w:rPr>
        <w:tab/>
      </w:r>
      <w:r w:rsidR="009D2EE7" w:rsidRPr="000C6ABF">
        <w:rPr>
          <w:lang w:val="fr-CH"/>
        </w:rPr>
        <w:t>fonctionnaires</w:t>
      </w:r>
      <w:r w:rsidR="008E5AF0" w:rsidRPr="000C6ABF">
        <w:rPr>
          <w:lang w:val="fr-CH"/>
        </w:rPr>
        <w:t xml:space="preserve"> actifs</w:t>
      </w:r>
      <w:r w:rsidR="003072F2" w:rsidRPr="000C6ABF">
        <w:rPr>
          <w:lang w:val="fr-CH"/>
        </w:rPr>
        <w:t>;</w:t>
      </w:r>
    </w:p>
    <w:p w:rsidR="008F7DE3" w:rsidRPr="000C6ABF" w:rsidRDefault="005B28A7" w:rsidP="00AB0C69">
      <w:pPr>
        <w:pStyle w:val="enumlev1"/>
        <w:rPr>
          <w:lang w:val="fr-CH"/>
        </w:rPr>
      </w:pPr>
      <w:r w:rsidRPr="000C6ABF">
        <w:rPr>
          <w:lang w:val="fr-CH"/>
        </w:rPr>
        <w:t>•</w:t>
      </w:r>
      <w:r w:rsidRPr="000C6ABF">
        <w:rPr>
          <w:lang w:val="fr-CH"/>
        </w:rPr>
        <w:tab/>
      </w:r>
      <w:r w:rsidR="009D2EE7" w:rsidRPr="000C6ABF">
        <w:rPr>
          <w:lang w:val="fr-CH"/>
        </w:rPr>
        <w:t>retraités;</w:t>
      </w:r>
    </w:p>
    <w:p w:rsidR="008F7DE3" w:rsidRPr="000C6ABF" w:rsidRDefault="005B28A7" w:rsidP="00AB0C69">
      <w:pPr>
        <w:pStyle w:val="enumlev1"/>
        <w:rPr>
          <w:lang w:val="fr-CH"/>
        </w:rPr>
      </w:pPr>
      <w:r w:rsidRPr="000C6ABF">
        <w:rPr>
          <w:lang w:val="fr-CH"/>
        </w:rPr>
        <w:t>•</w:t>
      </w:r>
      <w:r w:rsidRPr="000C6ABF">
        <w:rPr>
          <w:lang w:val="fr-CH"/>
        </w:rPr>
        <w:tab/>
      </w:r>
      <w:r w:rsidR="009D2EE7" w:rsidRPr="000C6ABF">
        <w:rPr>
          <w:lang w:val="fr-CH"/>
        </w:rPr>
        <w:t>survivants qui sont des parents d</w:t>
      </w:r>
      <w:r w:rsidR="00AB0C69" w:rsidRPr="000C6ABF">
        <w:rPr>
          <w:lang w:val="fr-CH"/>
        </w:rPr>
        <w:t>'</w:t>
      </w:r>
      <w:r w:rsidR="009D2EE7" w:rsidRPr="000C6ABF">
        <w:rPr>
          <w:lang w:val="fr-CH"/>
        </w:rPr>
        <w:t>assurés décédés de l</w:t>
      </w:r>
      <w:r w:rsidR="00AB0C69" w:rsidRPr="000C6ABF">
        <w:rPr>
          <w:lang w:val="fr-CH"/>
        </w:rPr>
        <w:t>'</w:t>
      </w:r>
      <w:r w:rsidR="009D2EE7" w:rsidRPr="000C6ABF">
        <w:rPr>
          <w:lang w:val="fr-CH"/>
        </w:rPr>
        <w:t>UIT</w:t>
      </w:r>
      <w:r w:rsidR="003072F2" w:rsidRPr="000C6ABF">
        <w:rPr>
          <w:lang w:val="fr-CH"/>
        </w:rPr>
        <w:t>;</w:t>
      </w:r>
    </w:p>
    <w:p w:rsidR="008F7DE3" w:rsidRPr="000C6ABF" w:rsidRDefault="005B28A7" w:rsidP="00AB0C69">
      <w:pPr>
        <w:pStyle w:val="enumlev1"/>
        <w:rPr>
          <w:lang w:val="fr-CH"/>
        </w:rPr>
      </w:pPr>
      <w:r w:rsidRPr="000C6ABF">
        <w:rPr>
          <w:lang w:val="fr-CH"/>
        </w:rPr>
        <w:t>•</w:t>
      </w:r>
      <w:r w:rsidRPr="000C6ABF">
        <w:rPr>
          <w:lang w:val="fr-CH"/>
        </w:rPr>
        <w:tab/>
      </w:r>
      <w:r w:rsidR="009D2EE7" w:rsidRPr="000C6ABF">
        <w:rPr>
          <w:lang w:val="fr-CH"/>
        </w:rPr>
        <w:t xml:space="preserve">volontaires extérieurs dont le nombre est négligeable. </w:t>
      </w:r>
    </w:p>
    <w:p w:rsidR="008F7DE3" w:rsidRPr="000C6ABF" w:rsidRDefault="008F7DE3" w:rsidP="008E5AF0">
      <w:pPr>
        <w:rPr>
          <w:lang w:val="fr-CH"/>
        </w:rPr>
      </w:pPr>
      <w:r w:rsidRPr="000C6ABF">
        <w:rPr>
          <w:lang w:val="fr-CH"/>
        </w:rPr>
        <w:t>96</w:t>
      </w:r>
      <w:r w:rsidRPr="000C6ABF">
        <w:rPr>
          <w:lang w:val="fr-CH"/>
        </w:rPr>
        <w:tab/>
      </w:r>
      <w:r w:rsidR="00AE5CEA" w:rsidRPr="000C6ABF">
        <w:rPr>
          <w:lang w:val="fr-CH"/>
        </w:rPr>
        <w:t>D</w:t>
      </w:r>
      <w:r w:rsidR="009D2EE7" w:rsidRPr="000C6ABF">
        <w:rPr>
          <w:lang w:val="fr-CH"/>
        </w:rPr>
        <w:t xml:space="preserve">ans les histogrammes que nous avons obtenus nous avons vérifié par exemple que </w:t>
      </w:r>
      <w:r w:rsidR="008E5AF0" w:rsidRPr="000C6ABF">
        <w:rPr>
          <w:lang w:val="fr-CH"/>
        </w:rPr>
        <w:t xml:space="preserve">l'étendue du montant des remboursements est plus faible pour les conjoints </w:t>
      </w:r>
      <w:r w:rsidR="00AE5CEA" w:rsidRPr="000C6ABF">
        <w:rPr>
          <w:lang w:val="fr-CH"/>
        </w:rPr>
        <w:t xml:space="preserve">survivants que </w:t>
      </w:r>
      <w:r w:rsidR="008E5AF0" w:rsidRPr="000C6ABF">
        <w:rPr>
          <w:lang w:val="fr-CH"/>
        </w:rPr>
        <w:t>pour l</w:t>
      </w:r>
      <w:r w:rsidR="00AE5CEA" w:rsidRPr="000C6ABF">
        <w:rPr>
          <w:lang w:val="fr-CH"/>
        </w:rPr>
        <w:t xml:space="preserve">es fonctionnaires, ce qui est normal car les </w:t>
      </w:r>
      <w:r w:rsidR="008E5AF0" w:rsidRPr="000C6ABF">
        <w:rPr>
          <w:lang w:val="fr-CH"/>
        </w:rPr>
        <w:t xml:space="preserve">conjoints </w:t>
      </w:r>
      <w:r w:rsidR="00AE5CEA" w:rsidRPr="000C6ABF">
        <w:rPr>
          <w:lang w:val="fr-CH"/>
        </w:rPr>
        <w:t xml:space="preserve">survivants sont plus âgés et </w:t>
      </w:r>
      <w:r w:rsidR="008E5AF0" w:rsidRPr="000C6ABF">
        <w:rPr>
          <w:lang w:val="fr-CH"/>
        </w:rPr>
        <w:t xml:space="preserve">la probabilité </w:t>
      </w:r>
      <w:r w:rsidR="008E5AF0" w:rsidRPr="000C6ABF">
        <w:rPr>
          <w:lang w:val="fr-CH"/>
        </w:rPr>
        <w:lastRenderedPageBreak/>
        <w:t>qu'ils aient de</w:t>
      </w:r>
      <w:r w:rsidR="002B4FBF">
        <w:rPr>
          <w:lang w:val="fr-CH"/>
        </w:rPr>
        <w:t>s</w:t>
      </w:r>
      <w:r w:rsidR="008E5AF0" w:rsidRPr="000C6ABF">
        <w:rPr>
          <w:lang w:val="fr-CH"/>
        </w:rPr>
        <w:t xml:space="preserve"> </w:t>
      </w:r>
      <w:r w:rsidR="00AE5CEA" w:rsidRPr="000C6ABF">
        <w:rPr>
          <w:lang w:val="fr-CH"/>
        </w:rPr>
        <w:t>besoin</w:t>
      </w:r>
      <w:r w:rsidR="002B4FBF">
        <w:rPr>
          <w:lang w:val="fr-CH"/>
        </w:rPr>
        <w:t>s</w:t>
      </w:r>
      <w:r w:rsidR="00AE5CEA" w:rsidRPr="000C6ABF">
        <w:rPr>
          <w:lang w:val="fr-CH"/>
        </w:rPr>
        <w:t xml:space="preserve"> de soins de santé</w:t>
      </w:r>
      <w:r w:rsidR="008E5AF0" w:rsidRPr="000C6ABF">
        <w:rPr>
          <w:lang w:val="fr-CH"/>
        </w:rPr>
        <w:t xml:space="preserve"> est plus forte</w:t>
      </w:r>
      <w:r w:rsidR="003072F2" w:rsidRPr="000C6ABF">
        <w:rPr>
          <w:lang w:val="fr-CH"/>
        </w:rPr>
        <w:t>;</w:t>
      </w:r>
      <w:r w:rsidR="00AE5CEA" w:rsidRPr="000C6ABF">
        <w:rPr>
          <w:lang w:val="fr-CH"/>
        </w:rPr>
        <w:t xml:space="preserve"> par conséquent</w:t>
      </w:r>
      <w:r w:rsidR="002B4FBF">
        <w:rPr>
          <w:lang w:val="fr-CH"/>
        </w:rPr>
        <w:t>,</w:t>
      </w:r>
      <w:r w:rsidR="00AE5CEA" w:rsidRPr="000C6ABF">
        <w:rPr>
          <w:lang w:val="fr-CH"/>
        </w:rPr>
        <w:t xml:space="preserve"> la moyenne des dépenses pour les </w:t>
      </w:r>
      <w:r w:rsidR="008E5AF0" w:rsidRPr="000C6ABF">
        <w:rPr>
          <w:lang w:val="fr-CH"/>
        </w:rPr>
        <w:t xml:space="preserve">conjoints </w:t>
      </w:r>
      <w:r w:rsidR="00AE5CEA" w:rsidRPr="000C6ABF">
        <w:rPr>
          <w:lang w:val="fr-CH"/>
        </w:rPr>
        <w:t>survivants e</w:t>
      </w:r>
      <w:r w:rsidR="008E5AF0" w:rsidRPr="000C6ABF">
        <w:rPr>
          <w:lang w:val="fr-CH"/>
        </w:rPr>
        <w:t>s</w:t>
      </w:r>
      <w:r w:rsidR="00AE5CEA" w:rsidRPr="000C6ABF">
        <w:rPr>
          <w:lang w:val="fr-CH"/>
        </w:rPr>
        <w:t>t environ le double de celle pour les fonctionnaires. Quoi qu</w:t>
      </w:r>
      <w:r w:rsidR="00AB0C69" w:rsidRPr="000C6ABF">
        <w:rPr>
          <w:lang w:val="fr-CH"/>
        </w:rPr>
        <w:t>'</w:t>
      </w:r>
      <w:r w:rsidR="00AE5CEA" w:rsidRPr="000C6ABF">
        <w:rPr>
          <w:lang w:val="fr-CH"/>
        </w:rPr>
        <w:t>il en soit, même si les données ne sont pas totalement comparables, nous avons obtenu des courbes globalement similaires dans les mêmes catégories d</w:t>
      </w:r>
      <w:r w:rsidR="00AB0C69" w:rsidRPr="000C6ABF">
        <w:rPr>
          <w:lang w:val="fr-CH"/>
        </w:rPr>
        <w:t>'</w:t>
      </w:r>
      <w:r w:rsidR="00AE5CEA" w:rsidRPr="000C6ABF">
        <w:rPr>
          <w:lang w:val="fr-CH"/>
        </w:rPr>
        <w:t>assurés pour les deux périodes comparées</w:t>
      </w:r>
      <w:r w:rsidR="003072F2" w:rsidRPr="000C6ABF">
        <w:rPr>
          <w:lang w:val="fr-CH"/>
        </w:rPr>
        <w:t>;</w:t>
      </w:r>
      <w:r w:rsidR="00AE5CEA" w:rsidRPr="000C6ABF">
        <w:rPr>
          <w:lang w:val="fr-CH"/>
        </w:rPr>
        <w:t xml:space="preserve"> ces éléments, qui résultent de notre analyse générale, corroborent le caractère plausible de l</w:t>
      </w:r>
      <w:r w:rsidR="00AB0C69" w:rsidRPr="000C6ABF">
        <w:rPr>
          <w:lang w:val="fr-CH"/>
        </w:rPr>
        <w:t>'</w:t>
      </w:r>
      <w:r w:rsidR="00AE5CEA" w:rsidRPr="000C6ABF">
        <w:rPr>
          <w:lang w:val="fr-CH"/>
        </w:rPr>
        <w:t>indication que nous a</w:t>
      </w:r>
      <w:r w:rsidR="008E5AF0" w:rsidRPr="000C6ABF">
        <w:rPr>
          <w:lang w:val="fr-CH"/>
        </w:rPr>
        <w:t xml:space="preserve"> donné</w:t>
      </w:r>
      <w:r w:rsidR="002B4FBF">
        <w:rPr>
          <w:lang w:val="fr-CH"/>
        </w:rPr>
        <w:t>e</w:t>
      </w:r>
      <w:r w:rsidR="008E5AF0" w:rsidRPr="000C6ABF">
        <w:rPr>
          <w:lang w:val="fr-CH"/>
        </w:rPr>
        <w:t xml:space="preserve"> l'</w:t>
      </w:r>
      <w:r w:rsidR="00AE5CEA" w:rsidRPr="000C6ABF">
        <w:rPr>
          <w:lang w:val="fr-CH"/>
        </w:rPr>
        <w:t xml:space="preserve">échantillon </w:t>
      </w:r>
      <w:r w:rsidR="008E5AF0" w:rsidRPr="000C6ABF">
        <w:rPr>
          <w:lang w:val="fr-CH"/>
        </w:rPr>
        <w:t>que nous avions retenu pour notre audit</w:t>
      </w:r>
      <w:r w:rsidR="00AE5CEA" w:rsidRPr="000C6ABF">
        <w:rPr>
          <w:lang w:val="fr-CH"/>
        </w:rPr>
        <w:t>, à savoir qu</w:t>
      </w:r>
      <w:r w:rsidR="00AB0C69" w:rsidRPr="000C6ABF">
        <w:rPr>
          <w:lang w:val="fr-CH"/>
        </w:rPr>
        <w:t>'</w:t>
      </w:r>
      <w:r w:rsidR="00AE5CEA" w:rsidRPr="000C6ABF">
        <w:rPr>
          <w:lang w:val="fr-CH"/>
        </w:rPr>
        <w:t>il n</w:t>
      </w:r>
      <w:r w:rsidR="00AB0C69" w:rsidRPr="000C6ABF">
        <w:rPr>
          <w:lang w:val="fr-CH"/>
        </w:rPr>
        <w:t>'</w:t>
      </w:r>
      <w:r w:rsidR="00AE5CEA" w:rsidRPr="000C6ABF">
        <w:rPr>
          <w:lang w:val="fr-CH"/>
        </w:rPr>
        <w:t>y a pas eu d</w:t>
      </w:r>
      <w:r w:rsidR="00AB0C69" w:rsidRPr="000C6ABF">
        <w:rPr>
          <w:lang w:val="fr-CH"/>
        </w:rPr>
        <w:t>'</w:t>
      </w:r>
      <w:r w:rsidR="00AE5CEA" w:rsidRPr="000C6ABF">
        <w:rPr>
          <w:lang w:val="fr-CH"/>
        </w:rPr>
        <w:t>anomalie majeure dans les dépenses de la Caisse.</w:t>
      </w:r>
    </w:p>
    <w:p w:rsidR="002344E9" w:rsidRPr="000C6ABF" w:rsidRDefault="002344E9" w:rsidP="00AB0C69">
      <w:pPr>
        <w:pStyle w:val="Headingb"/>
        <w:rPr>
          <w:lang w:val="fr-CH"/>
        </w:rPr>
      </w:pPr>
      <w:bookmarkStart w:id="235" w:name="_Toc356330902"/>
      <w:bookmarkStart w:id="236" w:name="_Toc358123321"/>
      <w:bookmarkStart w:id="237" w:name="_Toc396386968"/>
      <w:bookmarkStart w:id="238" w:name="_Toc396387848"/>
      <w:bookmarkStart w:id="239" w:name="_Toc396387962"/>
      <w:bookmarkStart w:id="240" w:name="_Toc398277647"/>
      <w:r w:rsidRPr="000C6ABF">
        <w:rPr>
          <w:lang w:val="fr-CH"/>
        </w:rPr>
        <w:t>Avantages du personnel: Retraites</w:t>
      </w:r>
      <w:bookmarkEnd w:id="235"/>
      <w:r w:rsidRPr="000C6ABF">
        <w:rPr>
          <w:lang w:val="fr-CH"/>
        </w:rPr>
        <w:t xml:space="preserve"> (ancienne Caisse)</w:t>
      </w:r>
      <w:bookmarkEnd w:id="236"/>
      <w:bookmarkEnd w:id="237"/>
      <w:bookmarkEnd w:id="238"/>
      <w:bookmarkEnd w:id="239"/>
      <w:bookmarkEnd w:id="240"/>
    </w:p>
    <w:p w:rsidR="002344E9" w:rsidRPr="000C6ABF" w:rsidRDefault="002344E9" w:rsidP="00AB0C69">
      <w:pPr>
        <w:rPr>
          <w:lang w:val="fr-CH"/>
        </w:rPr>
      </w:pPr>
      <w:r w:rsidRPr="000C6ABF">
        <w:rPr>
          <w:lang w:val="fr-CH"/>
        </w:rPr>
        <w:t>97</w:t>
      </w:r>
      <w:r w:rsidRPr="000C6ABF">
        <w:rPr>
          <w:lang w:val="fr-CH"/>
        </w:rPr>
        <w:tab/>
        <w:t>Pour l'an dernier, un montant de 90 000 CHF est comptabilisé en fin d'exercice et ce montant correspond aux engagements liés aux prestations sous forme de retraites versées à d'anciens fonctionnaires au titre de la Caisse d'assurance du personnel (voir également le paragraphe 121).</w:t>
      </w:r>
    </w:p>
    <w:p w:rsidR="007E5C83" w:rsidRPr="000C6ABF" w:rsidRDefault="007E5C83" w:rsidP="00AB0C69">
      <w:pPr>
        <w:pStyle w:val="Headingb"/>
        <w:rPr>
          <w:highlight w:val="green"/>
          <w:lang w:val="fr-CH"/>
        </w:rPr>
      </w:pPr>
      <w:bookmarkStart w:id="241" w:name="_Toc358123322"/>
      <w:bookmarkStart w:id="242" w:name="_Toc396386969"/>
      <w:bookmarkStart w:id="243" w:name="_Toc396387849"/>
      <w:bookmarkStart w:id="244" w:name="_Toc396387963"/>
      <w:bookmarkStart w:id="245" w:name="_Toc398277648"/>
      <w:r w:rsidRPr="000C6ABF">
        <w:rPr>
          <w:lang w:val="fr-CH"/>
        </w:rPr>
        <w:t>Actif net</w:t>
      </w:r>
      <w:bookmarkEnd w:id="241"/>
      <w:bookmarkEnd w:id="242"/>
      <w:bookmarkEnd w:id="243"/>
      <w:bookmarkEnd w:id="244"/>
      <w:bookmarkEnd w:id="245"/>
    </w:p>
    <w:p w:rsidR="007E5C83" w:rsidRPr="000C6ABF" w:rsidRDefault="007E5C83" w:rsidP="00AB0C69">
      <w:pPr>
        <w:rPr>
          <w:lang w:val="fr-CH"/>
        </w:rPr>
      </w:pPr>
      <w:r w:rsidRPr="000C6ABF">
        <w:rPr>
          <w:lang w:val="fr-CH"/>
        </w:rPr>
        <w:t>98</w:t>
      </w:r>
      <w:r w:rsidRPr="000C6ABF">
        <w:rPr>
          <w:lang w:val="fr-CH"/>
        </w:rPr>
        <w:tab/>
        <w:t xml:space="preserve">L'actif net comprenait les fonds propres affectés et non affectés, </w:t>
      </w:r>
      <w:r w:rsidR="003C7DA4" w:rsidRPr="000C6ABF">
        <w:rPr>
          <w:lang w:val="fr-CH"/>
        </w:rPr>
        <w:t>les fonds extrabudgétaires,</w:t>
      </w:r>
      <w:r w:rsidR="00AE5CEA" w:rsidRPr="000C6ABF">
        <w:rPr>
          <w:lang w:val="fr-CH"/>
        </w:rPr>
        <w:t xml:space="preserve"> le résultat non budgétaire, l</w:t>
      </w:r>
      <w:r w:rsidR="00AB0C69" w:rsidRPr="000C6ABF">
        <w:rPr>
          <w:lang w:val="fr-CH"/>
        </w:rPr>
        <w:t>'</w:t>
      </w:r>
      <w:r w:rsidR="00AE5CEA" w:rsidRPr="000C6ABF">
        <w:rPr>
          <w:lang w:val="fr-CH"/>
        </w:rPr>
        <w:t>excédent pour l</w:t>
      </w:r>
      <w:r w:rsidR="00AB0C69" w:rsidRPr="000C6ABF">
        <w:rPr>
          <w:lang w:val="fr-CH"/>
        </w:rPr>
        <w:t>'</w:t>
      </w:r>
      <w:r w:rsidR="00AE5CEA" w:rsidRPr="000C6ABF">
        <w:rPr>
          <w:lang w:val="fr-CH"/>
        </w:rPr>
        <w:t>exercice financier et les effets du passage aux normes</w:t>
      </w:r>
      <w:r w:rsidRPr="000C6ABF">
        <w:rPr>
          <w:lang w:val="fr-CH"/>
        </w:rPr>
        <w:t xml:space="preserve"> IPSAS. </w:t>
      </w:r>
      <w:r w:rsidR="003C7DA4" w:rsidRPr="000C6ABF">
        <w:rPr>
          <w:lang w:val="fr-CH"/>
        </w:rPr>
        <w:t>En 2013</w:t>
      </w:r>
      <w:r w:rsidRPr="000C6ABF">
        <w:rPr>
          <w:lang w:val="fr-CH"/>
        </w:rPr>
        <w:t>, l'actif net était négatif (</w:t>
      </w:r>
      <w:r w:rsidR="008E5AF0" w:rsidRPr="000C6ABF">
        <w:rPr>
          <w:rFonts w:ascii="Symbol" w:hAnsi="Symbol"/>
          <w:lang w:val="fr-CH"/>
        </w:rPr>
        <w:noBreakHyphen/>
      </w:r>
      <w:r w:rsidR="003C7DA4" w:rsidRPr="000C6ABF">
        <w:rPr>
          <w:lang w:val="fr-CH"/>
        </w:rPr>
        <w:t xml:space="preserve">196,2 millions CHF contre </w:t>
      </w:r>
      <w:r w:rsidR="003C7DA4" w:rsidRPr="000C6ABF">
        <w:rPr>
          <w:rFonts w:ascii="Symbol" w:hAnsi="Symbol"/>
          <w:lang w:val="fr-CH"/>
        </w:rPr>
        <w:noBreakHyphen/>
      </w:r>
      <w:r w:rsidRPr="000C6ABF">
        <w:rPr>
          <w:lang w:val="fr-CH"/>
        </w:rPr>
        <w:t>227,7 millions</w:t>
      </w:r>
      <w:r w:rsidR="003C7DA4" w:rsidRPr="000C6ABF">
        <w:rPr>
          <w:lang w:val="fr-CH"/>
        </w:rPr>
        <w:t xml:space="preserve"> </w:t>
      </w:r>
      <w:r w:rsidRPr="000C6ABF">
        <w:rPr>
          <w:lang w:val="fr-CH"/>
        </w:rPr>
        <w:t xml:space="preserve">CHF </w:t>
      </w:r>
      <w:r w:rsidR="003C7DA4" w:rsidRPr="000C6ABF">
        <w:rPr>
          <w:lang w:val="fr-CH"/>
        </w:rPr>
        <w:t>en 2012).</w:t>
      </w:r>
    </w:p>
    <w:p w:rsidR="00461671" w:rsidRPr="000C6ABF" w:rsidRDefault="00461671" w:rsidP="008E5AF0">
      <w:pPr>
        <w:rPr>
          <w:lang w:val="fr-CH"/>
        </w:rPr>
      </w:pPr>
      <w:r w:rsidRPr="000C6ABF">
        <w:rPr>
          <w:lang w:val="fr-CH"/>
        </w:rPr>
        <w:t>99</w:t>
      </w:r>
      <w:r w:rsidRPr="000C6ABF">
        <w:rPr>
          <w:lang w:val="fr-CH"/>
        </w:rPr>
        <w:tab/>
      </w:r>
      <w:r w:rsidR="00AE5CEA" w:rsidRPr="000C6ABF">
        <w:rPr>
          <w:lang w:val="fr-CH"/>
        </w:rPr>
        <w:t>Cette année, la présentation de l</w:t>
      </w:r>
      <w:r w:rsidR="00AB0C69" w:rsidRPr="000C6ABF">
        <w:rPr>
          <w:lang w:val="fr-CH"/>
        </w:rPr>
        <w:t>'</w:t>
      </w:r>
      <w:r w:rsidR="00AE5CEA" w:rsidRPr="000C6ABF">
        <w:rPr>
          <w:lang w:val="fr-CH"/>
        </w:rPr>
        <w:t xml:space="preserve">actif net a changé pour être conforme à la norme </w:t>
      </w:r>
      <w:r w:rsidRPr="000C6ABF">
        <w:rPr>
          <w:lang w:val="fr-CH"/>
        </w:rPr>
        <w:t xml:space="preserve">IPSAS 1 </w:t>
      </w:r>
      <w:r w:rsidR="00AE5CEA" w:rsidRPr="000C6ABF">
        <w:rPr>
          <w:lang w:val="fr-CH"/>
        </w:rPr>
        <w:t xml:space="preserve">et </w:t>
      </w:r>
      <w:r w:rsidR="008E5AF0" w:rsidRPr="000C6ABF">
        <w:rPr>
          <w:lang w:val="fr-CH"/>
        </w:rPr>
        <w:t>améliorer la</w:t>
      </w:r>
      <w:r w:rsidR="00AE5CEA" w:rsidRPr="000C6ABF">
        <w:rPr>
          <w:lang w:val="fr-CH"/>
        </w:rPr>
        <w:t xml:space="preserve"> transparence. En particulier, nous avons vérifié que </w:t>
      </w:r>
      <w:r w:rsidR="008E5AF0" w:rsidRPr="000C6ABF">
        <w:rPr>
          <w:lang w:val="fr-CH"/>
        </w:rPr>
        <w:t xml:space="preserve">la </w:t>
      </w:r>
      <w:r w:rsidR="00AE5CEA" w:rsidRPr="000C6ABF">
        <w:rPr>
          <w:lang w:val="fr-CH"/>
        </w:rPr>
        <w:t xml:space="preserve">présentation </w:t>
      </w:r>
      <w:r w:rsidR="00C7626D" w:rsidRPr="000C6ABF">
        <w:rPr>
          <w:lang w:val="fr-CH"/>
        </w:rPr>
        <w:t>différente de</w:t>
      </w:r>
      <w:r w:rsidR="008E5AF0" w:rsidRPr="000C6ABF">
        <w:rPr>
          <w:lang w:val="fr-CH"/>
        </w:rPr>
        <w:t xml:space="preserve">s mouvements </w:t>
      </w:r>
      <w:r w:rsidR="00C7626D" w:rsidRPr="000C6ABF">
        <w:rPr>
          <w:lang w:val="fr-CH"/>
        </w:rPr>
        <w:t>de l</w:t>
      </w:r>
      <w:r w:rsidR="00AB0C69" w:rsidRPr="000C6ABF">
        <w:rPr>
          <w:lang w:val="fr-CH"/>
        </w:rPr>
        <w:t>'</w:t>
      </w:r>
      <w:r w:rsidR="00C7626D" w:rsidRPr="000C6ABF">
        <w:rPr>
          <w:lang w:val="fr-CH"/>
        </w:rPr>
        <w:t xml:space="preserve">actif net </w:t>
      </w:r>
      <w:r w:rsidR="008E5AF0" w:rsidRPr="000C6ABF">
        <w:rPr>
          <w:lang w:val="fr-CH"/>
        </w:rPr>
        <w:t xml:space="preserve">fait apparaître </w:t>
      </w:r>
      <w:r w:rsidR="00C7626D" w:rsidRPr="000C6ABF">
        <w:rPr>
          <w:lang w:val="fr-CH"/>
        </w:rPr>
        <w:t>les résultats et l</w:t>
      </w:r>
      <w:r w:rsidR="00AB0C69" w:rsidRPr="000C6ABF">
        <w:rPr>
          <w:lang w:val="fr-CH"/>
        </w:rPr>
        <w:t>'</w:t>
      </w:r>
      <w:r w:rsidR="00C7626D" w:rsidRPr="000C6ABF">
        <w:rPr>
          <w:lang w:val="fr-CH"/>
        </w:rPr>
        <w:t xml:space="preserve">ajustement pour chaque fonds, comme indiqué dans le paragraphe 114 </w:t>
      </w:r>
      <w:r w:rsidR="008E5AF0" w:rsidRPr="000C6ABF">
        <w:rPr>
          <w:lang w:val="fr-CH"/>
        </w:rPr>
        <w:t>ci-après</w:t>
      </w:r>
      <w:r w:rsidR="00C7626D" w:rsidRPr="000C6ABF">
        <w:rPr>
          <w:lang w:val="fr-CH"/>
        </w:rPr>
        <w:t>.</w:t>
      </w:r>
    </w:p>
    <w:p w:rsidR="00461671" w:rsidRPr="000C6ABF" w:rsidRDefault="00461671" w:rsidP="00B83AB0">
      <w:pPr>
        <w:rPr>
          <w:lang w:val="fr-CH"/>
        </w:rPr>
      </w:pPr>
      <w:r w:rsidRPr="000C6ABF">
        <w:rPr>
          <w:lang w:val="fr-CH"/>
        </w:rPr>
        <w:t>100</w:t>
      </w:r>
      <w:r w:rsidRPr="000C6ABF">
        <w:rPr>
          <w:lang w:val="fr-CH"/>
        </w:rPr>
        <w:tab/>
      </w:r>
      <w:r w:rsidR="00C7626D" w:rsidRPr="000C6ABF">
        <w:rPr>
          <w:lang w:val="fr-CH"/>
        </w:rPr>
        <w:t>Dans notre rapport de l</w:t>
      </w:r>
      <w:r w:rsidR="00AB0C69" w:rsidRPr="000C6ABF">
        <w:rPr>
          <w:lang w:val="fr-CH"/>
        </w:rPr>
        <w:t>'</w:t>
      </w:r>
      <w:r w:rsidR="00C7626D" w:rsidRPr="000C6ABF">
        <w:rPr>
          <w:lang w:val="fr-CH"/>
        </w:rPr>
        <w:t>an dernier</w:t>
      </w:r>
      <w:r w:rsidR="002B4FBF">
        <w:rPr>
          <w:lang w:val="fr-CH"/>
        </w:rPr>
        <w:t>,</w:t>
      </w:r>
      <w:r w:rsidR="00C7626D" w:rsidRPr="000C6ABF">
        <w:rPr>
          <w:lang w:val="fr-CH"/>
        </w:rPr>
        <w:t xml:space="preserve"> nous avons recommandé </w:t>
      </w:r>
      <w:r w:rsidRPr="000C6ABF">
        <w:rPr>
          <w:lang w:val="fr-CH"/>
        </w:rPr>
        <w:t>(Rec</w:t>
      </w:r>
      <w:r w:rsidR="008E5AF0" w:rsidRPr="000C6ABF">
        <w:rPr>
          <w:lang w:val="fr-CH"/>
        </w:rPr>
        <w:t>ommandation N°</w:t>
      </w:r>
      <w:r w:rsidRPr="000C6ABF">
        <w:rPr>
          <w:lang w:val="fr-CH"/>
        </w:rPr>
        <w:t xml:space="preserve"> 8/2012)</w:t>
      </w:r>
      <w:r w:rsidR="00605BF0" w:rsidRPr="000C6ABF">
        <w:rPr>
          <w:lang w:val="fr-CH"/>
        </w:rPr>
        <w:t xml:space="preserve"> d</w:t>
      </w:r>
      <w:r w:rsidR="00AB0C69" w:rsidRPr="000C6ABF">
        <w:rPr>
          <w:lang w:val="fr-CH"/>
        </w:rPr>
        <w:t>'</w:t>
      </w:r>
      <w:r w:rsidR="00605BF0" w:rsidRPr="000C6ABF">
        <w:rPr>
          <w:lang w:val="fr-CH"/>
        </w:rPr>
        <w:t>harmoniser</w:t>
      </w:r>
      <w:r w:rsidR="00A47698" w:rsidRPr="000C6ABF">
        <w:rPr>
          <w:lang w:val="fr-CH"/>
        </w:rPr>
        <w:t xml:space="preserve"> </w:t>
      </w:r>
      <w:r w:rsidR="00605BF0" w:rsidRPr="000C6ABF">
        <w:rPr>
          <w:lang w:val="fr-CH"/>
        </w:rPr>
        <w:t>les informations financières figurant</w:t>
      </w:r>
      <w:r w:rsidRPr="000C6ABF">
        <w:rPr>
          <w:lang w:val="fr-CH"/>
        </w:rPr>
        <w:t xml:space="preserve"> </w:t>
      </w:r>
      <w:r w:rsidR="00B83AB0" w:rsidRPr="000C6ABF">
        <w:rPr>
          <w:lang w:val="fr-CH"/>
        </w:rPr>
        <w:t xml:space="preserve">actuellement </w:t>
      </w:r>
      <w:r w:rsidR="00605BF0" w:rsidRPr="000C6ABF">
        <w:rPr>
          <w:lang w:val="fr-CH"/>
        </w:rPr>
        <w:t>dans le</w:t>
      </w:r>
      <w:r w:rsidRPr="000C6ABF">
        <w:rPr>
          <w:lang w:val="fr-CH"/>
        </w:rPr>
        <w:t xml:space="preserve"> Table</w:t>
      </w:r>
      <w:r w:rsidR="00605BF0" w:rsidRPr="000C6ABF">
        <w:rPr>
          <w:lang w:val="fr-CH"/>
        </w:rPr>
        <w:t>au</w:t>
      </w:r>
      <w:r w:rsidRPr="000C6ABF">
        <w:rPr>
          <w:lang w:val="fr-CH"/>
        </w:rPr>
        <w:t xml:space="preserve"> I </w:t>
      </w:r>
      <w:r w:rsidR="006B5B96" w:rsidRPr="000C6ABF">
        <w:rPr>
          <w:lang w:val="fr-CH"/>
        </w:rPr>
        <w:t>"</w:t>
      </w:r>
      <w:r w:rsidR="00605BF0" w:rsidRPr="000C6ABF">
        <w:rPr>
          <w:lang w:val="fr-CH"/>
        </w:rPr>
        <w:t>Etat de la situation financière</w:t>
      </w:r>
      <w:r w:rsidR="006B5B96" w:rsidRPr="000C6ABF">
        <w:rPr>
          <w:lang w:val="fr-CH"/>
        </w:rPr>
        <w:t>"</w:t>
      </w:r>
      <w:r w:rsidRPr="000C6ABF">
        <w:rPr>
          <w:lang w:val="fr-CH"/>
        </w:rPr>
        <w:t xml:space="preserve"> </w:t>
      </w:r>
      <w:r w:rsidR="00605BF0" w:rsidRPr="000C6ABF">
        <w:rPr>
          <w:lang w:val="fr-CH"/>
        </w:rPr>
        <w:t xml:space="preserve">et </w:t>
      </w:r>
      <w:r w:rsidR="00B83AB0" w:rsidRPr="000C6ABF">
        <w:rPr>
          <w:lang w:val="fr-CH"/>
        </w:rPr>
        <w:t xml:space="preserve">dans </w:t>
      </w:r>
      <w:r w:rsidR="00605BF0" w:rsidRPr="000C6ABF">
        <w:rPr>
          <w:lang w:val="fr-CH"/>
        </w:rPr>
        <w:t>le Tableau</w:t>
      </w:r>
      <w:r w:rsidRPr="000C6ABF">
        <w:rPr>
          <w:lang w:val="fr-CH"/>
        </w:rPr>
        <w:t xml:space="preserve"> III </w:t>
      </w:r>
      <w:r w:rsidR="006B5B96" w:rsidRPr="000C6ABF">
        <w:rPr>
          <w:lang w:val="fr-CH"/>
        </w:rPr>
        <w:t>"</w:t>
      </w:r>
      <w:r w:rsidR="00605BF0" w:rsidRPr="000C6ABF">
        <w:rPr>
          <w:lang w:val="fr-CH"/>
        </w:rPr>
        <w:t>Etat des variations de l</w:t>
      </w:r>
      <w:r w:rsidR="00AB0C69" w:rsidRPr="000C6ABF">
        <w:rPr>
          <w:lang w:val="fr-CH"/>
        </w:rPr>
        <w:t>'</w:t>
      </w:r>
      <w:r w:rsidR="00605BF0" w:rsidRPr="000C6ABF">
        <w:rPr>
          <w:lang w:val="fr-CH"/>
        </w:rPr>
        <w:t>actif net</w:t>
      </w:r>
      <w:r w:rsidR="006B5B96" w:rsidRPr="000C6ABF">
        <w:rPr>
          <w:lang w:val="fr-CH"/>
        </w:rPr>
        <w:t>"</w:t>
      </w:r>
      <w:r w:rsidRPr="000C6ABF">
        <w:rPr>
          <w:lang w:val="fr-CH"/>
        </w:rPr>
        <w:t xml:space="preserve"> (</w:t>
      </w:r>
      <w:r w:rsidR="00605BF0" w:rsidRPr="000C6ABF">
        <w:rPr>
          <w:lang w:val="fr-CH"/>
        </w:rPr>
        <w:t>voir le paragraphe ci</w:t>
      </w:r>
      <w:r w:rsidR="00B83AB0" w:rsidRPr="000C6ABF">
        <w:rPr>
          <w:lang w:val="fr-CH"/>
        </w:rPr>
        <w:noBreakHyphen/>
      </w:r>
      <w:r w:rsidR="00605BF0" w:rsidRPr="000C6ABF">
        <w:rPr>
          <w:lang w:val="fr-CH"/>
        </w:rPr>
        <w:t xml:space="preserve">dessus) et les notes </w:t>
      </w:r>
      <w:r w:rsidR="00B83AB0" w:rsidRPr="000C6ABF">
        <w:rPr>
          <w:lang w:val="fr-CH"/>
        </w:rPr>
        <w:t>y relatives</w:t>
      </w:r>
      <w:r w:rsidR="00605BF0" w:rsidRPr="000C6ABF">
        <w:rPr>
          <w:lang w:val="fr-CH"/>
        </w:rPr>
        <w:t xml:space="preserve">, </w:t>
      </w:r>
      <w:r w:rsidR="00B83AB0" w:rsidRPr="000C6ABF">
        <w:rPr>
          <w:lang w:val="fr-CH"/>
        </w:rPr>
        <w:t xml:space="preserve">avec le </w:t>
      </w:r>
      <w:r w:rsidR="0008555D" w:rsidRPr="000C6ABF">
        <w:rPr>
          <w:lang w:val="fr-CH"/>
        </w:rPr>
        <w:t xml:space="preserve">texte </w:t>
      </w:r>
      <w:r w:rsidR="00B83AB0" w:rsidRPr="000C6ABF">
        <w:rPr>
          <w:lang w:val="fr-CH"/>
        </w:rPr>
        <w:t xml:space="preserve">amendé </w:t>
      </w:r>
      <w:r w:rsidR="0008555D" w:rsidRPr="000C6ABF">
        <w:rPr>
          <w:lang w:val="fr-CH"/>
        </w:rPr>
        <w:t xml:space="preserve">du Règlement financier, </w:t>
      </w:r>
      <w:r w:rsidR="00B83AB0" w:rsidRPr="000C6ABF">
        <w:rPr>
          <w:lang w:val="fr-CH"/>
        </w:rPr>
        <w:t xml:space="preserve">en fournissant </w:t>
      </w:r>
      <w:r w:rsidR="0008555D" w:rsidRPr="000C6ABF">
        <w:rPr>
          <w:lang w:val="fr-CH"/>
        </w:rPr>
        <w:t>une ventilation détaillée de toutes les composantes de l</w:t>
      </w:r>
      <w:r w:rsidR="00AB0C69" w:rsidRPr="000C6ABF">
        <w:rPr>
          <w:lang w:val="fr-CH"/>
        </w:rPr>
        <w:t>'</w:t>
      </w:r>
      <w:r w:rsidR="0008555D" w:rsidRPr="000C6ABF">
        <w:rPr>
          <w:lang w:val="fr-CH"/>
        </w:rPr>
        <w:t>actif net</w:t>
      </w:r>
      <w:r w:rsidRPr="000C6ABF">
        <w:rPr>
          <w:lang w:val="fr-CH"/>
        </w:rPr>
        <w:t>.</w:t>
      </w:r>
    </w:p>
    <w:p w:rsidR="00461671" w:rsidRPr="000C6ABF" w:rsidRDefault="00461671" w:rsidP="002B4FBF">
      <w:pPr>
        <w:rPr>
          <w:lang w:val="fr-CH"/>
        </w:rPr>
      </w:pPr>
      <w:r w:rsidRPr="000C6ABF">
        <w:rPr>
          <w:lang w:val="fr-CH"/>
        </w:rPr>
        <w:t>101</w:t>
      </w:r>
      <w:r w:rsidRPr="000C6ABF">
        <w:rPr>
          <w:lang w:val="fr-CH"/>
        </w:rPr>
        <w:tab/>
      </w:r>
      <w:r w:rsidR="0008555D" w:rsidRPr="000C6ABF">
        <w:rPr>
          <w:lang w:val="fr-CH"/>
        </w:rPr>
        <w:t>Nous reconnaissons que la présentation de l</w:t>
      </w:r>
      <w:r w:rsidR="00AB0C69" w:rsidRPr="000C6ABF">
        <w:rPr>
          <w:lang w:val="fr-CH"/>
        </w:rPr>
        <w:t>'</w:t>
      </w:r>
      <w:r w:rsidR="0008555D" w:rsidRPr="000C6ABF">
        <w:rPr>
          <w:lang w:val="fr-CH"/>
        </w:rPr>
        <w:t xml:space="preserve">actif net a été </w:t>
      </w:r>
      <w:r w:rsidR="00F646DB" w:rsidRPr="000C6ABF">
        <w:rPr>
          <w:lang w:val="fr-CH"/>
        </w:rPr>
        <w:t>amendée</w:t>
      </w:r>
      <w:r w:rsidR="0008555D" w:rsidRPr="000C6ABF">
        <w:rPr>
          <w:lang w:val="fr-CH"/>
        </w:rPr>
        <w:t xml:space="preserve"> et </w:t>
      </w:r>
      <w:r w:rsidR="00F646DB" w:rsidRPr="000C6ABF">
        <w:rPr>
          <w:lang w:val="fr-CH"/>
        </w:rPr>
        <w:t xml:space="preserve">fournit </w:t>
      </w:r>
      <w:r w:rsidR="0008555D" w:rsidRPr="000C6ABF">
        <w:rPr>
          <w:lang w:val="fr-CH"/>
        </w:rPr>
        <w:t xml:space="preserve">une ventilation des différentes </w:t>
      </w:r>
      <w:r w:rsidR="00F646DB" w:rsidRPr="000C6ABF">
        <w:rPr>
          <w:lang w:val="fr-CH"/>
        </w:rPr>
        <w:t xml:space="preserve">composantes de </w:t>
      </w:r>
      <w:r w:rsidR="0008555D" w:rsidRPr="000C6ABF">
        <w:rPr>
          <w:lang w:val="fr-CH"/>
        </w:rPr>
        <w:t>l</w:t>
      </w:r>
      <w:r w:rsidR="00AB0C69" w:rsidRPr="000C6ABF">
        <w:rPr>
          <w:lang w:val="fr-CH"/>
        </w:rPr>
        <w:t>'</w:t>
      </w:r>
      <w:r w:rsidR="0008555D" w:rsidRPr="000C6ABF">
        <w:rPr>
          <w:lang w:val="fr-CH"/>
        </w:rPr>
        <w:t>actif net</w:t>
      </w:r>
      <w:r w:rsidR="00F646DB" w:rsidRPr="000C6ABF">
        <w:rPr>
          <w:lang w:val="fr-CH"/>
        </w:rPr>
        <w:t>;</w:t>
      </w:r>
      <w:r w:rsidR="0008555D" w:rsidRPr="000C6ABF">
        <w:rPr>
          <w:lang w:val="fr-CH"/>
        </w:rPr>
        <w:t xml:space="preserve"> </w:t>
      </w:r>
      <w:r w:rsidR="00F646DB" w:rsidRPr="000C6ABF">
        <w:rPr>
          <w:lang w:val="fr-CH"/>
        </w:rPr>
        <w:t xml:space="preserve">les informations financières concernant </w:t>
      </w:r>
      <w:r w:rsidR="0008555D" w:rsidRPr="000C6ABF">
        <w:rPr>
          <w:lang w:val="fr-CH"/>
        </w:rPr>
        <w:t xml:space="preserve">le Fonds de réserve </w:t>
      </w:r>
      <w:r w:rsidR="00F646DB" w:rsidRPr="000C6ABF">
        <w:rPr>
          <w:lang w:val="fr-CH"/>
        </w:rPr>
        <w:t>so</w:t>
      </w:r>
      <w:r w:rsidR="0008555D" w:rsidRPr="000C6ABF">
        <w:rPr>
          <w:lang w:val="fr-CH"/>
        </w:rPr>
        <w:t xml:space="preserve">nt </w:t>
      </w:r>
      <w:r w:rsidR="00F646DB" w:rsidRPr="000C6ABF">
        <w:rPr>
          <w:lang w:val="fr-CH"/>
        </w:rPr>
        <w:t xml:space="preserve">présentées séparément </w:t>
      </w:r>
      <w:r w:rsidR="0008555D" w:rsidRPr="000C6ABF">
        <w:rPr>
          <w:lang w:val="fr-CH"/>
        </w:rPr>
        <w:t xml:space="preserve">et </w:t>
      </w:r>
      <w:r w:rsidR="00F646DB" w:rsidRPr="000C6ABF">
        <w:rPr>
          <w:lang w:val="fr-CH"/>
        </w:rPr>
        <w:t>l</w:t>
      </w:r>
      <w:r w:rsidR="0008555D" w:rsidRPr="000C6ABF">
        <w:rPr>
          <w:lang w:val="fr-CH"/>
        </w:rPr>
        <w:t xml:space="preserve">a gestion </w:t>
      </w:r>
      <w:r w:rsidR="00F646DB" w:rsidRPr="000C6ABF">
        <w:rPr>
          <w:lang w:val="fr-CH"/>
        </w:rPr>
        <w:t xml:space="preserve">de ce Fonds entre dans le cadre </w:t>
      </w:r>
      <w:r w:rsidR="0008555D" w:rsidRPr="000C6ABF">
        <w:rPr>
          <w:lang w:val="fr-CH"/>
        </w:rPr>
        <w:t>de la Note 4.</w:t>
      </w:r>
    </w:p>
    <w:p w:rsidR="00461671" w:rsidRPr="000C6ABF" w:rsidRDefault="00461671" w:rsidP="00AB0C69">
      <w:pPr>
        <w:rPr>
          <w:lang w:val="fr-CH"/>
        </w:rPr>
      </w:pPr>
      <w:r w:rsidRPr="000C6ABF">
        <w:rPr>
          <w:lang w:val="fr-CH"/>
        </w:rPr>
        <w:t>102</w:t>
      </w:r>
      <w:r w:rsidRPr="000C6ABF">
        <w:rPr>
          <w:lang w:val="fr-CH"/>
        </w:rPr>
        <w:tab/>
        <w:t>Tous les mouvements de l'actif net sont expliqués dans les différents Tableaux et Notes du Rapport de gestion financière, en particulier</w:t>
      </w:r>
      <w:r w:rsidR="00F646DB" w:rsidRPr="000C6ABF">
        <w:rPr>
          <w:lang w:val="fr-CH"/>
        </w:rPr>
        <w:t>:</w:t>
      </w:r>
    </w:p>
    <w:p w:rsidR="00461671" w:rsidRPr="000C6ABF" w:rsidRDefault="00461671" w:rsidP="00AB0C69">
      <w:pPr>
        <w:pStyle w:val="enumlev1"/>
        <w:rPr>
          <w:lang w:val="fr-CH"/>
        </w:rPr>
      </w:pPr>
      <w:r w:rsidRPr="000C6ABF">
        <w:rPr>
          <w:lang w:val="fr-CH"/>
        </w:rPr>
        <w:t>a)</w:t>
      </w:r>
      <w:r w:rsidRPr="000C6ABF">
        <w:rPr>
          <w:lang w:val="fr-CH"/>
        </w:rPr>
        <w:tab/>
        <w:t>Tableau II "Etat de la performance financière", où est indiqué l</w:t>
      </w:r>
      <w:r w:rsidR="004D7A7E" w:rsidRPr="000C6ABF">
        <w:rPr>
          <w:lang w:val="fr-CH"/>
        </w:rPr>
        <w:t xml:space="preserve">'excédent </w:t>
      </w:r>
      <w:r w:rsidRPr="000C6ABF">
        <w:rPr>
          <w:lang w:val="fr-CH"/>
        </w:rPr>
        <w:t>pour l'exercice</w:t>
      </w:r>
      <w:r w:rsidR="004D7A7E" w:rsidRPr="000C6ABF">
        <w:rPr>
          <w:lang w:val="fr-CH"/>
        </w:rPr>
        <w:t xml:space="preserve"> (2,8 millions CHF)</w:t>
      </w:r>
      <w:r w:rsidRPr="000C6ABF">
        <w:rPr>
          <w:lang w:val="fr-CH"/>
        </w:rPr>
        <w:t>.</w:t>
      </w:r>
    </w:p>
    <w:p w:rsidR="00461671" w:rsidRPr="000C6ABF" w:rsidRDefault="00461671" w:rsidP="00AB0C69">
      <w:pPr>
        <w:pStyle w:val="enumlev1"/>
        <w:rPr>
          <w:lang w:val="fr-CH"/>
        </w:rPr>
      </w:pPr>
      <w:r w:rsidRPr="000C6ABF">
        <w:rPr>
          <w:lang w:val="fr-CH"/>
        </w:rPr>
        <w:t>b)</w:t>
      </w:r>
      <w:r w:rsidRPr="000C6ABF">
        <w:rPr>
          <w:lang w:val="fr-CH"/>
        </w:rPr>
        <w:tab/>
        <w:t>Tableau III "Etat des variations de l'actif net", où sont indiqués</w:t>
      </w:r>
      <w:r w:rsidR="0008555D" w:rsidRPr="000C6ABF">
        <w:rPr>
          <w:lang w:val="fr-CH"/>
        </w:rPr>
        <w:t xml:space="preserve"> séparément</w:t>
      </w:r>
      <w:r w:rsidRPr="000C6ABF">
        <w:rPr>
          <w:lang w:val="fr-CH"/>
        </w:rPr>
        <w:t xml:space="preserve"> les mouvements </w:t>
      </w:r>
      <w:r w:rsidR="0008555D" w:rsidRPr="000C6ABF">
        <w:rPr>
          <w:lang w:val="fr-CH"/>
        </w:rPr>
        <w:t xml:space="preserve">pour chacun des </w:t>
      </w:r>
      <w:r w:rsidRPr="000C6ABF">
        <w:rPr>
          <w:lang w:val="fr-CH"/>
        </w:rPr>
        <w:t>fonds propres et les effets du passage aux normes IPSAS.</w:t>
      </w:r>
    </w:p>
    <w:p w:rsidR="00461671" w:rsidRPr="000C6ABF" w:rsidRDefault="00461671" w:rsidP="002B4FBF">
      <w:pPr>
        <w:pStyle w:val="enumlev1"/>
        <w:rPr>
          <w:lang w:val="fr-CH"/>
        </w:rPr>
      </w:pPr>
      <w:r w:rsidRPr="000C6ABF">
        <w:rPr>
          <w:lang w:val="fr-CH"/>
        </w:rPr>
        <w:t>c)</w:t>
      </w:r>
      <w:r w:rsidRPr="000C6ABF">
        <w:rPr>
          <w:lang w:val="fr-CH"/>
        </w:rPr>
        <w:tab/>
        <w:t>Tableau</w:t>
      </w:r>
      <w:r w:rsidR="001937C1" w:rsidRPr="000C6ABF">
        <w:rPr>
          <w:lang w:val="fr-CH"/>
        </w:rPr>
        <w:t xml:space="preserve"> </w:t>
      </w:r>
      <w:r w:rsidRPr="000C6ABF">
        <w:rPr>
          <w:lang w:val="fr-CH"/>
        </w:rPr>
        <w:t>V "Comparaison des montants budgétés et des montants effectifs", o</w:t>
      </w:r>
      <w:r w:rsidR="001937C1" w:rsidRPr="000C6ABF">
        <w:rPr>
          <w:lang w:val="fr-CH"/>
        </w:rPr>
        <w:t xml:space="preserve">ù il est fait état </w:t>
      </w:r>
      <w:r w:rsidR="00F646DB" w:rsidRPr="000C6ABF">
        <w:rPr>
          <w:lang w:val="fr-CH"/>
        </w:rPr>
        <w:t>de l'</w:t>
      </w:r>
      <w:r w:rsidRPr="000C6ABF">
        <w:rPr>
          <w:lang w:val="fr-CH"/>
        </w:rPr>
        <w:t>"</w:t>
      </w:r>
      <w:r w:rsidR="00F646DB" w:rsidRPr="000C6ABF">
        <w:rPr>
          <w:lang w:val="fr-CH"/>
        </w:rPr>
        <w:t>excédent</w:t>
      </w:r>
      <w:r w:rsidR="002B4FBF">
        <w:rPr>
          <w:lang w:val="fr-CH"/>
        </w:rPr>
        <w:t>/</w:t>
      </w:r>
      <w:r w:rsidR="00F646DB" w:rsidRPr="000C6ABF">
        <w:rPr>
          <w:lang w:val="fr-CH"/>
        </w:rPr>
        <w:t xml:space="preserve">du </w:t>
      </w:r>
      <w:r w:rsidR="000B6D3C" w:rsidRPr="000C6ABF">
        <w:rPr>
          <w:lang w:val="fr-CH"/>
        </w:rPr>
        <w:t>déficit</w:t>
      </w:r>
      <w:r w:rsidR="001937C1" w:rsidRPr="000C6ABF">
        <w:rPr>
          <w:lang w:val="fr-CH"/>
        </w:rPr>
        <w:t xml:space="preserve"> </w:t>
      </w:r>
      <w:r w:rsidRPr="000C6ABF">
        <w:rPr>
          <w:lang w:val="fr-CH"/>
        </w:rPr>
        <w:t>du Fonds 1000 couvert par un prélèvement sur le Fonds de réserve" et de "l'augmentation du Fonds 1010". Le Tableau V donne non seulement la "Comparaison des montants budgétés et des montants effectifs", mais aussi des informations financières sur le rapprochement des comptes entre les résultats budgétaires (montants effectifs) et les montants comptabilisés dans les états financiers (voir également la</w:t>
      </w:r>
      <w:r w:rsidR="001937C1" w:rsidRPr="000C6ABF">
        <w:rPr>
          <w:lang w:val="fr-CH"/>
        </w:rPr>
        <w:t xml:space="preserve"> Note 25</w:t>
      </w:r>
      <w:r w:rsidRPr="000C6ABF">
        <w:rPr>
          <w:lang w:val="fr-CH"/>
        </w:rPr>
        <w:t>).</w:t>
      </w:r>
    </w:p>
    <w:p w:rsidR="00461671" w:rsidRPr="000C6ABF" w:rsidRDefault="00461671" w:rsidP="00AB0C69">
      <w:pPr>
        <w:pStyle w:val="enumlev1"/>
        <w:rPr>
          <w:lang w:val="fr-CH"/>
        </w:rPr>
      </w:pPr>
      <w:r w:rsidRPr="000C6ABF">
        <w:rPr>
          <w:lang w:val="fr-CH"/>
        </w:rPr>
        <w:lastRenderedPageBreak/>
        <w:t>d)</w:t>
      </w:r>
      <w:r w:rsidRPr="000C6ABF">
        <w:rPr>
          <w:lang w:val="fr-CH"/>
        </w:rPr>
        <w:tab/>
        <w:t>Note 3 "Principaux principes comptables" dans le paragraphe relatif à la "comptabilisation des fonds", en particulier le paragraphe "Fonds propres affectés", et dans le paragraphe relatif au "Fonds de réserve</w:t>
      </w:r>
      <w:r w:rsidR="00F646DB" w:rsidRPr="000C6ABF">
        <w:rPr>
          <w:lang w:val="fr-CH"/>
        </w:rPr>
        <w:t>"</w:t>
      </w:r>
      <w:r w:rsidRPr="000C6ABF">
        <w:rPr>
          <w:lang w:val="fr-CH"/>
        </w:rPr>
        <w:t>.</w:t>
      </w:r>
    </w:p>
    <w:p w:rsidR="00461671" w:rsidRPr="000C6ABF" w:rsidRDefault="00461671" w:rsidP="002B4FBF">
      <w:pPr>
        <w:pStyle w:val="enumlev1"/>
        <w:rPr>
          <w:lang w:val="fr-CH"/>
        </w:rPr>
      </w:pPr>
      <w:r w:rsidRPr="000C6ABF">
        <w:rPr>
          <w:lang w:val="fr-CH"/>
        </w:rPr>
        <w:t>e)</w:t>
      </w:r>
      <w:r w:rsidRPr="000C6ABF">
        <w:rPr>
          <w:lang w:val="fr-CH"/>
        </w:rPr>
        <w:tab/>
        <w:t xml:space="preserve">Note 4 "Gestion de l'actif </w:t>
      </w:r>
      <w:r w:rsidR="00F646DB" w:rsidRPr="000C6ABF">
        <w:rPr>
          <w:lang w:val="fr-CH"/>
        </w:rPr>
        <w:t>net</w:t>
      </w:r>
      <w:r w:rsidRPr="000C6ABF">
        <w:rPr>
          <w:lang w:val="fr-CH"/>
        </w:rPr>
        <w:t>", où sont indiqués les mouvements du Fonds de réserve et le rapprochement entre les "fonds propres affectés à l'organisation" – comme dans le Tableau</w:t>
      </w:r>
      <w:r w:rsidR="002B4FBF">
        <w:rPr>
          <w:lang w:val="fr-CH"/>
        </w:rPr>
        <w:t> </w:t>
      </w:r>
      <w:r w:rsidRPr="000C6ABF">
        <w:rPr>
          <w:lang w:val="fr-CH"/>
        </w:rPr>
        <w:t>III – et le Fonds de réserve.</w:t>
      </w:r>
    </w:p>
    <w:p w:rsidR="008F7DE3" w:rsidRPr="000C6ABF" w:rsidRDefault="002B4FBF" w:rsidP="00AB0C69">
      <w:pPr>
        <w:pStyle w:val="Heading1"/>
        <w:rPr>
          <w:lang w:val="fr-CH"/>
        </w:rPr>
      </w:pPr>
      <w:bookmarkStart w:id="246" w:name="_Toc398277649"/>
      <w:bookmarkStart w:id="247" w:name="_Toc396386970"/>
      <w:bookmarkStart w:id="248" w:name="_Toc396387850"/>
      <w:bookmarkStart w:id="249" w:name="_Toc396387964"/>
      <w:r w:rsidRPr="000C6ABF">
        <w:rPr>
          <w:lang w:val="fr-CH"/>
        </w:rPr>
        <w:t>CAISSE COMMUNE DES PENSIONS DU PERSONNEL DES NATIONS UNIES</w:t>
      </w:r>
      <w:bookmarkEnd w:id="246"/>
      <w:r w:rsidRPr="000C6ABF">
        <w:rPr>
          <w:lang w:val="fr-CH"/>
        </w:rPr>
        <w:t xml:space="preserve"> </w:t>
      </w:r>
      <w:bookmarkEnd w:id="247"/>
      <w:bookmarkEnd w:id="248"/>
      <w:bookmarkEnd w:id="249"/>
    </w:p>
    <w:p w:rsidR="00C458BE" w:rsidRPr="000C6ABF" w:rsidRDefault="00C458BE" w:rsidP="00F646DB">
      <w:pPr>
        <w:rPr>
          <w:lang w:val="fr-CH"/>
        </w:rPr>
      </w:pPr>
      <w:r w:rsidRPr="000C6ABF">
        <w:rPr>
          <w:lang w:val="fr-CH"/>
        </w:rPr>
        <w:t>103</w:t>
      </w:r>
      <w:r w:rsidRPr="000C6ABF">
        <w:rPr>
          <w:lang w:val="fr-CH"/>
        </w:rPr>
        <w:tab/>
      </w:r>
      <w:r w:rsidR="0008555D" w:rsidRPr="000C6ABF">
        <w:rPr>
          <w:lang w:val="fr-CH"/>
        </w:rPr>
        <w:t>La question de la</w:t>
      </w:r>
      <w:r w:rsidR="00A47698" w:rsidRPr="000C6ABF">
        <w:rPr>
          <w:lang w:val="fr-CH"/>
        </w:rPr>
        <w:t xml:space="preserve"> </w:t>
      </w:r>
      <w:r w:rsidR="0008555D" w:rsidRPr="000C6ABF">
        <w:rPr>
          <w:lang w:val="fr-CH"/>
        </w:rPr>
        <w:t>CCPPNU a été largement examinée dans notre rapport de l</w:t>
      </w:r>
      <w:r w:rsidR="00AB0C69" w:rsidRPr="000C6ABF">
        <w:rPr>
          <w:lang w:val="fr-CH"/>
        </w:rPr>
        <w:t>'</w:t>
      </w:r>
      <w:r w:rsidR="0008555D" w:rsidRPr="000C6ABF">
        <w:rPr>
          <w:lang w:val="fr-CH"/>
        </w:rPr>
        <w:t>an dernier. Nous devons rappeler que l</w:t>
      </w:r>
      <w:r w:rsidR="00AB0C69" w:rsidRPr="000C6ABF">
        <w:rPr>
          <w:lang w:val="fr-CH"/>
        </w:rPr>
        <w:t>'</w:t>
      </w:r>
      <w:r w:rsidR="00C325DE" w:rsidRPr="000C6ABF">
        <w:rPr>
          <w:lang w:val="fr-CH"/>
        </w:rPr>
        <w:t>E</w:t>
      </w:r>
      <w:r w:rsidR="0008555D" w:rsidRPr="000C6ABF">
        <w:rPr>
          <w:lang w:val="fr-CH"/>
        </w:rPr>
        <w:t xml:space="preserve">quipe spéciale sur les normes comptables des Nations Unies a répondu </w:t>
      </w:r>
      <w:r w:rsidR="00F646DB" w:rsidRPr="000C6ABF">
        <w:rPr>
          <w:lang w:val="fr-CH"/>
        </w:rPr>
        <w:t xml:space="preserve">le 16 février 2013 </w:t>
      </w:r>
      <w:r w:rsidR="0008555D" w:rsidRPr="000C6ABF">
        <w:rPr>
          <w:lang w:val="fr-CH"/>
        </w:rPr>
        <w:t xml:space="preserve">à la question que </w:t>
      </w:r>
      <w:r w:rsidR="00F646DB" w:rsidRPr="000C6ABF">
        <w:rPr>
          <w:lang w:val="fr-CH"/>
        </w:rPr>
        <w:t xml:space="preserve">nous </w:t>
      </w:r>
      <w:r w:rsidR="0008555D" w:rsidRPr="000C6ABF">
        <w:rPr>
          <w:lang w:val="fr-CH"/>
        </w:rPr>
        <w:t>lui avions posée</w:t>
      </w:r>
      <w:r w:rsidR="00F646DB" w:rsidRPr="000C6ABF">
        <w:rPr>
          <w:lang w:val="fr-CH"/>
        </w:rPr>
        <w:t xml:space="preserve"> précisant</w:t>
      </w:r>
      <w:r w:rsidR="0008555D" w:rsidRPr="000C6ABF">
        <w:rPr>
          <w:lang w:val="fr-CH"/>
        </w:rPr>
        <w:t xml:space="preserve"> </w:t>
      </w:r>
      <w:r w:rsidRPr="000C6ABF">
        <w:rPr>
          <w:lang w:val="fr-CH"/>
        </w:rPr>
        <w:t>que "dans le cas où la CCPPNU ne pourrait pas assumer ses engagements en ce qui concerne les retraites, les organisations affiliées à cette Caisse ont la responsabilité d'assurer ce financement, conformément à l'Article 26 des statuts de la Caisse".</w:t>
      </w:r>
    </w:p>
    <w:p w:rsidR="006C4E7D" w:rsidRPr="000C6ABF" w:rsidRDefault="006C4E7D" w:rsidP="00267CBB">
      <w:pPr>
        <w:rPr>
          <w:lang w:val="fr-CH"/>
        </w:rPr>
      </w:pPr>
      <w:r w:rsidRPr="000C6ABF">
        <w:rPr>
          <w:lang w:val="fr-CH"/>
        </w:rPr>
        <w:t>104</w:t>
      </w:r>
      <w:r w:rsidRPr="000C6ABF">
        <w:rPr>
          <w:lang w:val="fr-CH"/>
        </w:rPr>
        <w:tab/>
      </w:r>
      <w:r w:rsidR="00267CBB" w:rsidRPr="000C6ABF">
        <w:rPr>
          <w:lang w:val="fr-CH"/>
        </w:rPr>
        <w:t>L</w:t>
      </w:r>
      <w:r w:rsidR="00AB0C69" w:rsidRPr="000C6ABF">
        <w:rPr>
          <w:lang w:val="fr-CH"/>
        </w:rPr>
        <w:t>'</w:t>
      </w:r>
      <w:r w:rsidR="00277967" w:rsidRPr="000C6ABF">
        <w:rPr>
          <w:lang w:val="fr-CH"/>
        </w:rPr>
        <w:t xml:space="preserve">Equipe spéciale </w:t>
      </w:r>
      <w:r w:rsidR="00267CBB" w:rsidRPr="000C6ABF">
        <w:rPr>
          <w:lang w:val="fr-CH"/>
        </w:rPr>
        <w:t xml:space="preserve">a clairement indiqué </w:t>
      </w:r>
      <w:r w:rsidR="00277967" w:rsidRPr="000C6ABF">
        <w:rPr>
          <w:lang w:val="fr-CH"/>
        </w:rPr>
        <w:t xml:space="preserve">que les engagements de la CCPPNU </w:t>
      </w:r>
      <w:r w:rsidR="00267CBB" w:rsidRPr="000C6ABF">
        <w:rPr>
          <w:lang w:val="fr-CH"/>
        </w:rPr>
        <w:t xml:space="preserve">ne doivent pas nécessairement être </w:t>
      </w:r>
      <w:r w:rsidR="00277967" w:rsidRPr="000C6ABF">
        <w:rPr>
          <w:lang w:val="fr-CH"/>
        </w:rPr>
        <w:t>inclus dans les états financiers de l</w:t>
      </w:r>
      <w:r w:rsidR="00AB0C69" w:rsidRPr="000C6ABF">
        <w:rPr>
          <w:lang w:val="fr-CH"/>
        </w:rPr>
        <w:t>'</w:t>
      </w:r>
      <w:r w:rsidR="00277967" w:rsidRPr="000C6ABF">
        <w:rPr>
          <w:lang w:val="fr-CH"/>
        </w:rPr>
        <w:t>UIT</w:t>
      </w:r>
      <w:r w:rsidRPr="000C6ABF">
        <w:rPr>
          <w:lang w:val="fr-CH"/>
        </w:rPr>
        <w:t>.</w:t>
      </w:r>
    </w:p>
    <w:p w:rsidR="006C4E7D" w:rsidRPr="000C6ABF" w:rsidRDefault="006C4E7D" w:rsidP="00267CBB">
      <w:pPr>
        <w:rPr>
          <w:lang w:val="fr-CH"/>
        </w:rPr>
      </w:pPr>
      <w:r w:rsidRPr="000C6ABF">
        <w:rPr>
          <w:lang w:val="fr-CH"/>
        </w:rPr>
        <w:t>105</w:t>
      </w:r>
      <w:r w:rsidRPr="000C6ABF">
        <w:rPr>
          <w:lang w:val="fr-CH"/>
        </w:rPr>
        <w:tab/>
      </w:r>
      <w:r w:rsidR="00277967" w:rsidRPr="000C6ABF">
        <w:rPr>
          <w:lang w:val="fr-CH"/>
        </w:rPr>
        <w:t>Toutefois, étant donné qu</w:t>
      </w:r>
      <w:r w:rsidR="00AB0C69" w:rsidRPr="000C6ABF">
        <w:rPr>
          <w:lang w:val="fr-CH"/>
        </w:rPr>
        <w:t>'</w:t>
      </w:r>
      <w:r w:rsidR="00277967" w:rsidRPr="000C6ABF">
        <w:rPr>
          <w:lang w:val="fr-CH"/>
        </w:rPr>
        <w:t>il n</w:t>
      </w:r>
      <w:r w:rsidR="00AB0C69" w:rsidRPr="000C6ABF">
        <w:rPr>
          <w:lang w:val="fr-CH"/>
        </w:rPr>
        <w:t>'</w:t>
      </w:r>
      <w:r w:rsidR="00277967" w:rsidRPr="000C6ABF">
        <w:rPr>
          <w:lang w:val="fr-CH"/>
        </w:rPr>
        <w:t>est pas possible d</w:t>
      </w:r>
      <w:r w:rsidR="00AB0C69" w:rsidRPr="000C6ABF">
        <w:rPr>
          <w:lang w:val="fr-CH"/>
        </w:rPr>
        <w:t>'</w:t>
      </w:r>
      <w:r w:rsidR="00277967" w:rsidRPr="000C6ABF">
        <w:rPr>
          <w:lang w:val="fr-CH"/>
        </w:rPr>
        <w:t>exclure le fait que les engagements de la CCPPNU pourrai</w:t>
      </w:r>
      <w:r w:rsidR="000B6D3C" w:rsidRPr="000C6ABF">
        <w:rPr>
          <w:lang w:val="fr-CH"/>
        </w:rPr>
        <w:t>en</w:t>
      </w:r>
      <w:r w:rsidR="00277967" w:rsidRPr="000C6ABF">
        <w:rPr>
          <w:lang w:val="fr-CH"/>
        </w:rPr>
        <w:t>t avoir</w:t>
      </w:r>
      <w:r w:rsidR="00267CBB" w:rsidRPr="000C6ABF">
        <w:rPr>
          <w:lang w:val="fr-CH"/>
        </w:rPr>
        <w:t>,</w:t>
      </w:r>
      <w:r w:rsidR="00277967" w:rsidRPr="000C6ABF">
        <w:rPr>
          <w:lang w:val="fr-CH"/>
        </w:rPr>
        <w:t xml:space="preserve"> dans l</w:t>
      </w:r>
      <w:r w:rsidR="00AB0C69" w:rsidRPr="000C6ABF">
        <w:rPr>
          <w:lang w:val="fr-CH"/>
        </w:rPr>
        <w:t>'</w:t>
      </w:r>
      <w:r w:rsidR="00277967" w:rsidRPr="000C6ABF">
        <w:rPr>
          <w:lang w:val="fr-CH"/>
        </w:rPr>
        <w:t>avenir</w:t>
      </w:r>
      <w:r w:rsidR="002B4FBF">
        <w:rPr>
          <w:lang w:val="fr-CH"/>
        </w:rPr>
        <w:t>,</w:t>
      </w:r>
      <w:r w:rsidR="00277967" w:rsidRPr="000C6ABF">
        <w:rPr>
          <w:lang w:val="fr-CH"/>
        </w:rPr>
        <w:t xml:space="preserve"> des incidences sur les organisations affiliées, nous </w:t>
      </w:r>
      <w:r w:rsidR="00267CBB" w:rsidRPr="000C6ABF">
        <w:rPr>
          <w:lang w:val="fr-CH"/>
        </w:rPr>
        <w:t xml:space="preserve">souhaitons de </w:t>
      </w:r>
      <w:r w:rsidR="00277967" w:rsidRPr="000C6ABF">
        <w:rPr>
          <w:lang w:val="fr-CH"/>
        </w:rPr>
        <w:t xml:space="preserve">nouveau </w:t>
      </w:r>
      <w:r w:rsidR="002B4FBF">
        <w:rPr>
          <w:lang w:val="fr-CH"/>
        </w:rPr>
        <w:t xml:space="preserve">rendre le </w:t>
      </w:r>
      <w:r w:rsidR="00277967" w:rsidRPr="000C6ABF">
        <w:rPr>
          <w:lang w:val="fr-CH"/>
        </w:rPr>
        <w:t xml:space="preserve">Conseil </w:t>
      </w:r>
      <w:r w:rsidR="00267CBB" w:rsidRPr="000C6ABF">
        <w:rPr>
          <w:lang w:val="fr-CH"/>
        </w:rPr>
        <w:t xml:space="preserve">attentif à ce genre </w:t>
      </w:r>
      <w:r w:rsidR="00277967" w:rsidRPr="000C6ABF">
        <w:rPr>
          <w:lang w:val="fr-CH"/>
        </w:rPr>
        <w:t xml:space="preserve">de </w:t>
      </w:r>
      <w:r w:rsidR="003072F2" w:rsidRPr="000C6ABF">
        <w:rPr>
          <w:lang w:val="fr-CH"/>
        </w:rPr>
        <w:t>"</w:t>
      </w:r>
      <w:r w:rsidR="00277967" w:rsidRPr="000C6ABF">
        <w:rPr>
          <w:lang w:val="fr-CH"/>
        </w:rPr>
        <w:t>risque potentiellement significatif</w:t>
      </w:r>
      <w:r w:rsidR="003072F2" w:rsidRPr="000C6ABF">
        <w:rPr>
          <w:lang w:val="fr-CH"/>
        </w:rPr>
        <w:t>"</w:t>
      </w:r>
      <w:r w:rsidR="00267CBB" w:rsidRPr="000C6ABF">
        <w:rPr>
          <w:lang w:val="fr-CH"/>
        </w:rPr>
        <w:t>,</w:t>
      </w:r>
      <w:r w:rsidR="00277967" w:rsidRPr="000C6ABF">
        <w:rPr>
          <w:lang w:val="fr-CH"/>
        </w:rPr>
        <w:t xml:space="preserve"> </w:t>
      </w:r>
      <w:r w:rsidR="00267CBB" w:rsidRPr="000C6ABF">
        <w:rPr>
          <w:lang w:val="fr-CH"/>
        </w:rPr>
        <w:t xml:space="preserve">comme l'ont </w:t>
      </w:r>
      <w:r w:rsidRPr="000C6ABF">
        <w:rPr>
          <w:lang w:val="fr-CH"/>
        </w:rPr>
        <w:t xml:space="preserve">aussi </w:t>
      </w:r>
      <w:r w:rsidR="00267CBB" w:rsidRPr="000C6ABF">
        <w:rPr>
          <w:lang w:val="fr-CH"/>
        </w:rPr>
        <w:t xml:space="preserve">indiqué </w:t>
      </w:r>
      <w:r w:rsidRPr="000C6ABF">
        <w:rPr>
          <w:lang w:val="fr-CH"/>
        </w:rPr>
        <w:t>nos prédécesseurs.</w:t>
      </w:r>
    </w:p>
    <w:p w:rsidR="00626E4E" w:rsidRPr="000C6ABF" w:rsidRDefault="002B4FBF" w:rsidP="00AB0C69">
      <w:pPr>
        <w:pStyle w:val="Heading1"/>
        <w:rPr>
          <w:lang w:val="fr-CH"/>
        </w:rPr>
      </w:pPr>
      <w:bookmarkStart w:id="250" w:name="_Toc358123331"/>
      <w:bookmarkStart w:id="251" w:name="_Toc396386971"/>
      <w:bookmarkStart w:id="252" w:name="_Toc396387851"/>
      <w:bookmarkStart w:id="253" w:name="_Toc396387965"/>
      <w:bookmarkStart w:id="254" w:name="_Toc398277650"/>
      <w:r>
        <w:rPr>
          <w:lang w:val="fr-CH"/>
        </w:rPr>
        <w:t>E</w:t>
      </w:r>
      <w:r w:rsidR="00626E4E" w:rsidRPr="000C6ABF">
        <w:rPr>
          <w:lang w:val="fr-CH"/>
        </w:rPr>
        <w:t>TAT DE LA PERFORMANCE FINANCIÈRE 2012</w:t>
      </w:r>
      <w:bookmarkEnd w:id="250"/>
      <w:bookmarkEnd w:id="251"/>
      <w:bookmarkEnd w:id="252"/>
      <w:bookmarkEnd w:id="253"/>
      <w:bookmarkEnd w:id="254"/>
    </w:p>
    <w:p w:rsidR="00626E4E" w:rsidRPr="000C6ABF" w:rsidRDefault="00626E4E" w:rsidP="00267CBB">
      <w:pPr>
        <w:rPr>
          <w:lang w:val="fr-CH"/>
        </w:rPr>
      </w:pPr>
      <w:r w:rsidRPr="000C6ABF">
        <w:rPr>
          <w:lang w:val="fr-CH"/>
        </w:rPr>
        <w:t>106</w:t>
      </w:r>
      <w:r w:rsidRPr="000C6ABF">
        <w:rPr>
          <w:lang w:val="fr-CH"/>
        </w:rPr>
        <w:tab/>
        <w:t>L'état de la performance financière fait apparaître les produits et les charges d'exploitation et financiers de l'Organisation classés, décrits et présentés de manière à expliquer l</w:t>
      </w:r>
      <w:r w:rsidR="00267CBB" w:rsidRPr="000C6ABF">
        <w:rPr>
          <w:lang w:val="fr-CH"/>
        </w:rPr>
        <w:t>'</w:t>
      </w:r>
      <w:r w:rsidRPr="000C6ABF">
        <w:rPr>
          <w:lang w:val="fr-CH"/>
        </w:rPr>
        <w:t>e</w:t>
      </w:r>
      <w:r w:rsidR="00267CBB" w:rsidRPr="000C6ABF">
        <w:rPr>
          <w:lang w:val="fr-CH"/>
        </w:rPr>
        <w:t>xcédent</w:t>
      </w:r>
      <w:r w:rsidRPr="000C6ABF">
        <w:rPr>
          <w:lang w:val="fr-CH"/>
        </w:rPr>
        <w:t xml:space="preserve"> ou le déficit net de l'exercice. Le résultat de la période a été un </w:t>
      </w:r>
      <w:r w:rsidR="00D31103" w:rsidRPr="000C6ABF">
        <w:rPr>
          <w:lang w:val="fr-CH"/>
        </w:rPr>
        <w:t xml:space="preserve">excédent </w:t>
      </w:r>
      <w:r w:rsidRPr="000C6ABF">
        <w:rPr>
          <w:lang w:val="fr-CH"/>
        </w:rPr>
        <w:t xml:space="preserve">de </w:t>
      </w:r>
      <w:r w:rsidR="00D31103" w:rsidRPr="000C6ABF">
        <w:rPr>
          <w:lang w:val="fr-CH"/>
        </w:rPr>
        <w:t>2</w:t>
      </w:r>
      <w:r w:rsidRPr="000C6ABF">
        <w:rPr>
          <w:lang w:val="fr-CH"/>
        </w:rPr>
        <w:t>,</w:t>
      </w:r>
      <w:r w:rsidR="00D31103" w:rsidRPr="000C6ABF">
        <w:rPr>
          <w:lang w:val="fr-CH"/>
        </w:rPr>
        <w:t>8 </w:t>
      </w:r>
      <w:r w:rsidRPr="000C6ABF">
        <w:rPr>
          <w:lang w:val="fr-CH"/>
        </w:rPr>
        <w:t>millions CHF.</w:t>
      </w:r>
    </w:p>
    <w:p w:rsidR="00626E4E" w:rsidRPr="000C6ABF" w:rsidRDefault="00626E4E" w:rsidP="00AB0C69">
      <w:pPr>
        <w:pStyle w:val="Headingb"/>
        <w:rPr>
          <w:lang w:val="fr-CH"/>
        </w:rPr>
      </w:pPr>
      <w:bookmarkStart w:id="255" w:name="_Toc358123332"/>
      <w:bookmarkStart w:id="256" w:name="_Toc396386972"/>
      <w:bookmarkStart w:id="257" w:name="_Toc396387852"/>
      <w:bookmarkStart w:id="258" w:name="_Toc396387966"/>
      <w:bookmarkStart w:id="259" w:name="_Toc398277651"/>
      <w:r w:rsidRPr="000C6ABF">
        <w:rPr>
          <w:lang w:val="fr-CH"/>
        </w:rPr>
        <w:t>Produits et charges</w:t>
      </w:r>
      <w:bookmarkEnd w:id="255"/>
      <w:bookmarkEnd w:id="256"/>
      <w:bookmarkEnd w:id="257"/>
      <w:bookmarkEnd w:id="258"/>
      <w:bookmarkEnd w:id="259"/>
    </w:p>
    <w:p w:rsidR="00626E4E" w:rsidRPr="000C6ABF" w:rsidRDefault="00626E4E" w:rsidP="003C23FC">
      <w:pPr>
        <w:rPr>
          <w:lang w:val="fr-CH"/>
        </w:rPr>
      </w:pPr>
      <w:r w:rsidRPr="000C6ABF">
        <w:rPr>
          <w:lang w:val="fr-CH"/>
        </w:rPr>
        <w:t>107</w:t>
      </w:r>
      <w:r w:rsidRPr="000C6ABF">
        <w:rPr>
          <w:lang w:val="fr-CH"/>
        </w:rPr>
        <w:tab/>
        <w:t>Le total des produits s'est élevé à 1</w:t>
      </w:r>
      <w:r w:rsidR="00D31103" w:rsidRPr="000C6ABF">
        <w:rPr>
          <w:lang w:val="fr-CH"/>
        </w:rPr>
        <w:t>97,0</w:t>
      </w:r>
      <w:r w:rsidRPr="000C6ABF">
        <w:rPr>
          <w:lang w:val="fr-CH"/>
        </w:rPr>
        <w:t xml:space="preserve"> millions CHF, soit une </w:t>
      </w:r>
      <w:r w:rsidR="004C44C7" w:rsidRPr="000C6ABF">
        <w:rPr>
          <w:lang w:val="fr-CH"/>
        </w:rPr>
        <w:t>augmentation</w:t>
      </w:r>
      <w:r w:rsidR="00277967" w:rsidRPr="000C6ABF">
        <w:rPr>
          <w:lang w:val="fr-CH"/>
        </w:rPr>
        <w:t xml:space="preserve"> </w:t>
      </w:r>
      <w:r w:rsidRPr="000C6ABF">
        <w:rPr>
          <w:lang w:val="fr-CH"/>
        </w:rPr>
        <w:t>de 1</w:t>
      </w:r>
      <w:r w:rsidR="004C44C7" w:rsidRPr="000C6ABF">
        <w:rPr>
          <w:lang w:val="fr-CH"/>
        </w:rPr>
        <w:t>8</w:t>
      </w:r>
      <w:r w:rsidRPr="000C6ABF">
        <w:rPr>
          <w:lang w:val="fr-CH"/>
        </w:rPr>
        <w:t>,7 millions CHF (</w:t>
      </w:r>
      <w:r w:rsidR="004C44C7" w:rsidRPr="000C6ABF">
        <w:rPr>
          <w:lang w:val="fr-CH"/>
        </w:rPr>
        <w:t>+10,5</w:t>
      </w:r>
      <w:r w:rsidRPr="000C6ABF">
        <w:rPr>
          <w:lang w:val="fr-CH"/>
        </w:rPr>
        <w:t>%) par rapport à 201</w:t>
      </w:r>
      <w:r w:rsidR="004C44C7" w:rsidRPr="000C6ABF">
        <w:rPr>
          <w:lang w:val="fr-CH"/>
        </w:rPr>
        <w:t>2</w:t>
      </w:r>
      <w:r w:rsidRPr="000C6ABF">
        <w:rPr>
          <w:lang w:val="fr-CH"/>
        </w:rPr>
        <w:t xml:space="preserve"> (</w:t>
      </w:r>
      <w:r w:rsidR="004C44C7" w:rsidRPr="000C6ABF">
        <w:rPr>
          <w:lang w:val="fr-CH"/>
        </w:rPr>
        <w:t>178,3</w:t>
      </w:r>
      <w:r w:rsidRPr="000C6ABF">
        <w:rPr>
          <w:lang w:val="fr-CH"/>
        </w:rPr>
        <w:t xml:space="preserve"> millions CHF), principalement en raison de l</w:t>
      </w:r>
      <w:r w:rsidR="004C44C7" w:rsidRPr="000C6ABF">
        <w:rPr>
          <w:lang w:val="fr-CH"/>
        </w:rPr>
        <w:t>'</w:t>
      </w:r>
      <w:r w:rsidR="00277967" w:rsidRPr="000C6ABF">
        <w:rPr>
          <w:lang w:val="fr-CH"/>
        </w:rPr>
        <w:t>augmentation</w:t>
      </w:r>
      <w:r w:rsidRPr="000C6ABF">
        <w:rPr>
          <w:lang w:val="fr-CH"/>
        </w:rPr>
        <w:t xml:space="preserve">: i) des contributions </w:t>
      </w:r>
      <w:r w:rsidR="004C44C7" w:rsidRPr="000C6ABF">
        <w:rPr>
          <w:lang w:val="fr-CH"/>
        </w:rPr>
        <w:t xml:space="preserve">volontaires </w:t>
      </w:r>
      <w:r w:rsidRPr="000C6ABF">
        <w:rPr>
          <w:lang w:val="fr-CH"/>
        </w:rPr>
        <w:t>(</w:t>
      </w:r>
      <w:r w:rsidR="004C44C7" w:rsidRPr="000C6ABF">
        <w:rPr>
          <w:lang w:val="fr-CH"/>
        </w:rPr>
        <w:t>+7,2 </w:t>
      </w:r>
      <w:r w:rsidRPr="000C6ABF">
        <w:rPr>
          <w:lang w:val="fr-CH"/>
        </w:rPr>
        <w:t>million</w:t>
      </w:r>
      <w:r w:rsidR="004C44C7" w:rsidRPr="000C6ABF">
        <w:rPr>
          <w:lang w:val="fr-CH"/>
        </w:rPr>
        <w:t>s</w:t>
      </w:r>
      <w:r w:rsidRPr="000C6ABF">
        <w:rPr>
          <w:lang w:val="fr-CH"/>
        </w:rPr>
        <w:t xml:space="preserve"> CHF</w:t>
      </w:r>
      <w:r w:rsidR="00384B73">
        <w:rPr>
          <w:lang w:val="fr-CH"/>
        </w:rPr>
        <w:t>,</w:t>
      </w:r>
      <w:r w:rsidR="004C44C7" w:rsidRPr="000C6ABF">
        <w:rPr>
          <w:lang w:val="fr-CH"/>
        </w:rPr>
        <w:t xml:space="preserve"> +72,2%)</w:t>
      </w:r>
      <w:r w:rsidRPr="000C6ABF">
        <w:rPr>
          <w:lang w:val="fr-CH"/>
        </w:rPr>
        <w:t>; ii)</w:t>
      </w:r>
      <w:r w:rsidR="00F622F1" w:rsidRPr="000C6ABF">
        <w:rPr>
          <w:lang w:val="fr-CH"/>
        </w:rPr>
        <w:t> </w:t>
      </w:r>
      <w:r w:rsidRPr="000C6ABF">
        <w:rPr>
          <w:lang w:val="fr-CH"/>
        </w:rPr>
        <w:t>des autres produits d'exploitation (</w:t>
      </w:r>
      <w:r w:rsidR="00AE59F3" w:rsidRPr="000C6ABF">
        <w:rPr>
          <w:lang w:val="fr-CH"/>
        </w:rPr>
        <w:t>+5,1</w:t>
      </w:r>
      <w:r w:rsidRPr="000C6ABF">
        <w:rPr>
          <w:lang w:val="fr-CH"/>
        </w:rPr>
        <w:t xml:space="preserve"> millions CHF, </w:t>
      </w:r>
      <w:r w:rsidR="00AE59F3" w:rsidRPr="000C6ABF">
        <w:rPr>
          <w:lang w:val="fr-CH"/>
        </w:rPr>
        <w:t>+</w:t>
      </w:r>
      <w:r w:rsidRPr="000C6ABF">
        <w:rPr>
          <w:lang w:val="fr-CH"/>
        </w:rPr>
        <w:t>1</w:t>
      </w:r>
      <w:r w:rsidR="00AE59F3" w:rsidRPr="000C6ABF">
        <w:rPr>
          <w:lang w:val="fr-CH"/>
        </w:rPr>
        <w:t>2,9</w:t>
      </w:r>
      <w:r w:rsidRPr="000C6ABF">
        <w:rPr>
          <w:lang w:val="fr-CH"/>
        </w:rPr>
        <w:t>%), en particulier l</w:t>
      </w:r>
      <w:r w:rsidR="00AE59F3" w:rsidRPr="000C6ABF">
        <w:rPr>
          <w:lang w:val="fr-CH"/>
        </w:rPr>
        <w:t xml:space="preserve">'augmentation </w:t>
      </w:r>
      <w:r w:rsidRPr="000C6ABF">
        <w:rPr>
          <w:lang w:val="fr-CH"/>
        </w:rPr>
        <w:t>des revenus extrabudgétaires liés à l'appui aux projets; et iii) des produits financiers (</w:t>
      </w:r>
      <w:r w:rsidR="00AE59F3" w:rsidRPr="000C6ABF">
        <w:rPr>
          <w:lang w:val="fr-CH"/>
        </w:rPr>
        <w:t>+6,0 </w:t>
      </w:r>
      <w:r w:rsidRPr="000C6ABF">
        <w:rPr>
          <w:lang w:val="fr-CH"/>
        </w:rPr>
        <w:t xml:space="preserve">millions CHF, </w:t>
      </w:r>
      <w:r w:rsidR="00AE59F3" w:rsidRPr="000C6ABF">
        <w:rPr>
          <w:lang w:val="fr-CH"/>
        </w:rPr>
        <w:t>+525,3</w:t>
      </w:r>
      <w:r w:rsidRPr="000C6ABF">
        <w:rPr>
          <w:lang w:val="fr-CH"/>
        </w:rPr>
        <w:t>%), principalement à cause des gains de change non réalisés</w:t>
      </w:r>
      <w:r w:rsidR="00AE59F3" w:rsidRPr="000C6ABF">
        <w:rPr>
          <w:lang w:val="fr-CH"/>
        </w:rPr>
        <w:t xml:space="preserve"> (+6,1 millions CHF)</w:t>
      </w:r>
      <w:r w:rsidRPr="000C6ABF">
        <w:rPr>
          <w:lang w:val="fr-CH"/>
        </w:rPr>
        <w:t>, comme indiqué dans la Note 22</w:t>
      </w:r>
      <w:r w:rsidR="00AE59F3" w:rsidRPr="000C6ABF">
        <w:rPr>
          <w:lang w:val="fr-CH"/>
        </w:rPr>
        <w:t xml:space="preserve">. </w:t>
      </w:r>
      <w:r w:rsidR="00277967" w:rsidRPr="000C6ABF">
        <w:rPr>
          <w:lang w:val="fr-CH"/>
        </w:rPr>
        <w:t>Les contributions mises en recouvrement d</w:t>
      </w:r>
      <w:r w:rsidR="00AB0C69" w:rsidRPr="000C6ABF">
        <w:rPr>
          <w:lang w:val="fr-CH"/>
        </w:rPr>
        <w:t>'</w:t>
      </w:r>
      <w:r w:rsidR="00277967" w:rsidRPr="000C6ABF">
        <w:rPr>
          <w:lang w:val="fr-CH"/>
        </w:rPr>
        <w:t xml:space="preserve">un montant de </w:t>
      </w:r>
      <w:r w:rsidR="00AE59F3" w:rsidRPr="000C6ABF">
        <w:rPr>
          <w:lang w:val="fr-CH"/>
        </w:rPr>
        <w:t>126</w:t>
      </w:r>
      <w:r w:rsidR="00D124E9" w:rsidRPr="000C6ABF">
        <w:rPr>
          <w:lang w:val="fr-CH"/>
        </w:rPr>
        <w:t>,</w:t>
      </w:r>
      <w:r w:rsidR="00AE59F3" w:rsidRPr="000C6ABF">
        <w:rPr>
          <w:lang w:val="fr-CH"/>
        </w:rPr>
        <w:t>9</w:t>
      </w:r>
      <w:r w:rsidR="00D124E9" w:rsidRPr="000C6ABF">
        <w:rPr>
          <w:lang w:val="fr-CH"/>
        </w:rPr>
        <w:t> millions</w:t>
      </w:r>
      <w:r w:rsidR="00384B73">
        <w:rPr>
          <w:lang w:val="fr-CH"/>
        </w:rPr>
        <w:t> </w:t>
      </w:r>
      <w:r w:rsidR="00D124E9" w:rsidRPr="000C6ABF">
        <w:rPr>
          <w:lang w:val="fr-CH"/>
        </w:rPr>
        <w:t>CHF</w:t>
      </w:r>
      <w:r w:rsidR="00AE59F3" w:rsidRPr="000C6ABF">
        <w:rPr>
          <w:lang w:val="fr-CH"/>
        </w:rPr>
        <w:t>,</w:t>
      </w:r>
      <w:r w:rsidR="00277967" w:rsidRPr="000C6ABF">
        <w:rPr>
          <w:lang w:val="fr-CH"/>
        </w:rPr>
        <w:t xml:space="preserve"> soit</w:t>
      </w:r>
      <w:r w:rsidR="00AE59F3" w:rsidRPr="000C6ABF">
        <w:rPr>
          <w:lang w:val="fr-CH"/>
        </w:rPr>
        <w:t xml:space="preserve"> 64</w:t>
      </w:r>
      <w:r w:rsidR="005B044C">
        <w:rPr>
          <w:lang w:val="fr-CH"/>
        </w:rPr>
        <w:t>,4</w:t>
      </w:r>
      <w:r w:rsidR="00AE59F3" w:rsidRPr="000C6ABF">
        <w:rPr>
          <w:lang w:val="fr-CH"/>
        </w:rPr>
        <w:t xml:space="preserve">% </w:t>
      </w:r>
      <w:r w:rsidR="00277967" w:rsidRPr="000C6ABF">
        <w:rPr>
          <w:lang w:val="fr-CH"/>
        </w:rPr>
        <w:t>du total des produits, n</w:t>
      </w:r>
      <w:r w:rsidR="00AB0C69" w:rsidRPr="000C6ABF">
        <w:rPr>
          <w:lang w:val="fr-CH"/>
        </w:rPr>
        <w:t>'</w:t>
      </w:r>
      <w:r w:rsidR="00277967" w:rsidRPr="000C6ABF">
        <w:rPr>
          <w:lang w:val="fr-CH"/>
        </w:rPr>
        <w:t xml:space="preserve">ont augmenté que légèrement </w:t>
      </w:r>
      <w:r w:rsidR="00D124E9" w:rsidRPr="000C6ABF">
        <w:rPr>
          <w:lang w:val="fr-CH"/>
        </w:rPr>
        <w:t>(+0,</w:t>
      </w:r>
      <w:r w:rsidR="00AE59F3" w:rsidRPr="000C6ABF">
        <w:rPr>
          <w:lang w:val="fr-CH"/>
        </w:rPr>
        <w:t>3</w:t>
      </w:r>
      <w:r w:rsidR="00D124E9" w:rsidRPr="000C6ABF">
        <w:rPr>
          <w:lang w:val="fr-CH"/>
        </w:rPr>
        <w:t> million</w:t>
      </w:r>
      <w:r w:rsidR="00384B73">
        <w:rPr>
          <w:lang w:val="fr-CH"/>
        </w:rPr>
        <w:t> </w:t>
      </w:r>
      <w:r w:rsidR="00D124E9" w:rsidRPr="000C6ABF">
        <w:rPr>
          <w:lang w:val="fr-CH"/>
        </w:rPr>
        <w:t>CHF</w:t>
      </w:r>
      <w:r w:rsidR="003C23FC">
        <w:rPr>
          <w:lang w:val="fr-CH"/>
        </w:rPr>
        <w:t>,</w:t>
      </w:r>
      <w:r w:rsidR="00D124E9" w:rsidRPr="000C6ABF">
        <w:rPr>
          <w:lang w:val="fr-CH"/>
        </w:rPr>
        <w:t xml:space="preserve"> +0,</w:t>
      </w:r>
      <w:r w:rsidR="00AE59F3" w:rsidRPr="000C6ABF">
        <w:rPr>
          <w:lang w:val="fr-CH"/>
        </w:rPr>
        <w:t>2%)</w:t>
      </w:r>
      <w:r w:rsidR="00277967" w:rsidRPr="000C6ABF">
        <w:rPr>
          <w:lang w:val="fr-CH"/>
        </w:rPr>
        <w:t xml:space="preserve"> par rapport à 2012, comme indiqué</w:t>
      </w:r>
      <w:r w:rsidR="00AE59F3" w:rsidRPr="000C6ABF">
        <w:rPr>
          <w:lang w:val="fr-CH"/>
        </w:rPr>
        <w:t xml:space="preserve"> dans la Note 21</w:t>
      </w:r>
      <w:r w:rsidRPr="000C6ABF">
        <w:rPr>
          <w:lang w:val="fr-CH"/>
        </w:rPr>
        <w:t xml:space="preserve"> du Rapport de gestion financière.</w:t>
      </w:r>
    </w:p>
    <w:p w:rsidR="00D124E9" w:rsidRPr="000C6ABF" w:rsidRDefault="00D124E9" w:rsidP="00267CBB">
      <w:pPr>
        <w:rPr>
          <w:lang w:val="fr-CH"/>
        </w:rPr>
      </w:pPr>
      <w:r w:rsidRPr="000C6ABF">
        <w:rPr>
          <w:lang w:val="fr-CH"/>
        </w:rPr>
        <w:t>108</w:t>
      </w:r>
      <w:r w:rsidRPr="000C6ABF">
        <w:rPr>
          <w:lang w:val="fr-CH"/>
        </w:rPr>
        <w:tab/>
      </w:r>
      <w:r w:rsidR="00277967" w:rsidRPr="000C6ABF">
        <w:rPr>
          <w:lang w:val="fr-CH"/>
        </w:rPr>
        <w:t>L</w:t>
      </w:r>
      <w:r w:rsidR="00267CBB" w:rsidRPr="000C6ABF">
        <w:rPr>
          <w:lang w:val="fr-CH"/>
        </w:rPr>
        <w:t>e total d</w:t>
      </w:r>
      <w:r w:rsidR="00277967" w:rsidRPr="000C6ABF">
        <w:rPr>
          <w:lang w:val="fr-CH"/>
        </w:rPr>
        <w:t>es charges s</w:t>
      </w:r>
      <w:r w:rsidR="00267CBB" w:rsidRPr="000C6ABF">
        <w:rPr>
          <w:lang w:val="fr-CH"/>
        </w:rPr>
        <w:t>'</w:t>
      </w:r>
      <w:r w:rsidR="00277967" w:rsidRPr="000C6ABF">
        <w:rPr>
          <w:lang w:val="fr-CH"/>
        </w:rPr>
        <w:t>e</w:t>
      </w:r>
      <w:r w:rsidR="00267CBB" w:rsidRPr="000C6ABF">
        <w:rPr>
          <w:lang w:val="fr-CH"/>
        </w:rPr>
        <w:t>st élevé</w:t>
      </w:r>
      <w:r w:rsidR="00277967" w:rsidRPr="000C6ABF">
        <w:rPr>
          <w:lang w:val="fr-CH"/>
        </w:rPr>
        <w:t xml:space="preserve"> à </w:t>
      </w:r>
      <w:r w:rsidRPr="000C6ABF">
        <w:rPr>
          <w:lang w:val="fr-CH"/>
        </w:rPr>
        <w:t>194,4 millions CHF</w:t>
      </w:r>
      <w:r w:rsidR="00277967" w:rsidRPr="000C6ABF">
        <w:rPr>
          <w:lang w:val="fr-CH"/>
        </w:rPr>
        <w:t>, en baisse de</w:t>
      </w:r>
      <w:r w:rsidRPr="000C6ABF">
        <w:rPr>
          <w:lang w:val="fr-CH"/>
        </w:rPr>
        <w:t xml:space="preserve"> 2,1 millions CHF </w:t>
      </w:r>
      <w:r w:rsidR="00DF59CA" w:rsidRPr="000C6ABF">
        <w:rPr>
          <w:lang w:val="fr-CH"/>
        </w:rPr>
        <w:t>(–</w:t>
      </w:r>
      <w:r w:rsidRPr="000C6ABF">
        <w:rPr>
          <w:lang w:val="fr-CH"/>
        </w:rPr>
        <w:t>1,7%),</w:t>
      </w:r>
      <w:r w:rsidR="00277967" w:rsidRPr="000C6ABF">
        <w:rPr>
          <w:lang w:val="fr-CH"/>
        </w:rPr>
        <w:t xml:space="preserve"> par rapport à 2012 </w:t>
      </w:r>
      <w:r w:rsidR="00DF59CA" w:rsidRPr="000C6ABF">
        <w:rPr>
          <w:lang w:val="fr-CH"/>
        </w:rPr>
        <w:t>(196,</w:t>
      </w:r>
      <w:r w:rsidRPr="000C6ABF">
        <w:rPr>
          <w:lang w:val="fr-CH"/>
        </w:rPr>
        <w:t>3</w:t>
      </w:r>
      <w:r w:rsidR="00DF59CA" w:rsidRPr="000C6ABF">
        <w:rPr>
          <w:lang w:val="fr-CH"/>
        </w:rPr>
        <w:t xml:space="preserve"> millions </w:t>
      </w:r>
      <w:r w:rsidRPr="000C6ABF">
        <w:rPr>
          <w:lang w:val="fr-CH"/>
        </w:rPr>
        <w:t xml:space="preserve">CHF). </w:t>
      </w:r>
      <w:r w:rsidR="00277967" w:rsidRPr="000C6ABF">
        <w:rPr>
          <w:lang w:val="fr-CH"/>
        </w:rPr>
        <w:t>Les charges de personnel</w:t>
      </w:r>
      <w:r w:rsidRPr="000C6ABF">
        <w:rPr>
          <w:lang w:val="fr-CH"/>
        </w:rPr>
        <w:t xml:space="preserve"> </w:t>
      </w:r>
      <w:r w:rsidR="00267CBB" w:rsidRPr="000C6ABF">
        <w:rPr>
          <w:lang w:val="fr-CH"/>
        </w:rPr>
        <w:t>(</w:t>
      </w:r>
      <w:r w:rsidRPr="000C6ABF">
        <w:rPr>
          <w:lang w:val="fr-CH"/>
        </w:rPr>
        <w:t>196,3 millions CHF</w:t>
      </w:r>
      <w:r w:rsidR="00267CBB" w:rsidRPr="000C6ABF">
        <w:rPr>
          <w:lang w:val="fr-CH"/>
        </w:rPr>
        <w:t xml:space="preserve">) qui représentent </w:t>
      </w:r>
      <w:r w:rsidRPr="000C6ABF">
        <w:rPr>
          <w:lang w:val="fr-CH"/>
        </w:rPr>
        <w:t>75</w:t>
      </w:r>
      <w:r w:rsidR="00DF59CA" w:rsidRPr="000C6ABF">
        <w:rPr>
          <w:lang w:val="fr-CH"/>
        </w:rPr>
        <w:t>,</w:t>
      </w:r>
      <w:r w:rsidRPr="000C6ABF">
        <w:rPr>
          <w:lang w:val="fr-CH"/>
        </w:rPr>
        <w:t xml:space="preserve">3% </w:t>
      </w:r>
      <w:r w:rsidR="00277967" w:rsidRPr="000C6ABF">
        <w:rPr>
          <w:lang w:val="fr-CH"/>
        </w:rPr>
        <w:t>des charges</w:t>
      </w:r>
      <w:r w:rsidR="00267CBB" w:rsidRPr="000C6ABF">
        <w:rPr>
          <w:lang w:val="fr-CH"/>
        </w:rPr>
        <w:t xml:space="preserve"> totales</w:t>
      </w:r>
      <w:r w:rsidR="00277967" w:rsidRPr="000C6ABF">
        <w:rPr>
          <w:lang w:val="fr-CH"/>
        </w:rPr>
        <w:t xml:space="preserve">, ont baissé de </w:t>
      </w:r>
      <w:r w:rsidRPr="000C6ABF">
        <w:rPr>
          <w:lang w:val="fr-CH"/>
        </w:rPr>
        <w:t>2,1 millions CHF (–1,4%)</w:t>
      </w:r>
      <w:r w:rsidR="00277967" w:rsidRPr="000C6ABF">
        <w:rPr>
          <w:lang w:val="fr-CH"/>
        </w:rPr>
        <w:t xml:space="preserve"> comme indiqué dans </w:t>
      </w:r>
      <w:r w:rsidR="00DF59CA" w:rsidRPr="000C6ABF">
        <w:rPr>
          <w:lang w:val="fr-CH"/>
        </w:rPr>
        <w:t xml:space="preserve">la </w:t>
      </w:r>
      <w:r w:rsidRPr="000C6ABF">
        <w:rPr>
          <w:lang w:val="fr-CH"/>
        </w:rPr>
        <w:t xml:space="preserve">Note 23 </w:t>
      </w:r>
      <w:r w:rsidR="00DF59CA" w:rsidRPr="000C6ABF">
        <w:rPr>
          <w:lang w:val="fr-CH"/>
        </w:rPr>
        <w:t>du Rapport de gestion financière</w:t>
      </w:r>
      <w:r w:rsidRPr="000C6ABF">
        <w:rPr>
          <w:lang w:val="fr-CH"/>
        </w:rPr>
        <w:t xml:space="preserve">. </w:t>
      </w:r>
      <w:r w:rsidR="00277967" w:rsidRPr="000C6ABF">
        <w:rPr>
          <w:lang w:val="fr-CH"/>
        </w:rPr>
        <w:t xml:space="preserve">La baisse importante des charges de personnel </w:t>
      </w:r>
      <w:r w:rsidR="00267CBB" w:rsidRPr="000C6ABF">
        <w:rPr>
          <w:lang w:val="fr-CH"/>
        </w:rPr>
        <w:t xml:space="preserve">concerne </w:t>
      </w:r>
      <w:r w:rsidR="00277967" w:rsidRPr="000C6ABF">
        <w:rPr>
          <w:lang w:val="fr-CH"/>
        </w:rPr>
        <w:t>la sou</w:t>
      </w:r>
      <w:r w:rsidR="00267CBB" w:rsidRPr="000C6ABF">
        <w:rPr>
          <w:lang w:val="fr-CH"/>
        </w:rPr>
        <w:t>s-</w:t>
      </w:r>
      <w:r w:rsidR="00277967" w:rsidRPr="000C6ABF">
        <w:rPr>
          <w:lang w:val="fr-CH"/>
        </w:rPr>
        <w:t xml:space="preserve">rubrique </w:t>
      </w:r>
      <w:r w:rsidR="003072F2" w:rsidRPr="000C6ABF">
        <w:rPr>
          <w:lang w:val="fr-CH"/>
        </w:rPr>
        <w:t>"</w:t>
      </w:r>
      <w:r w:rsidR="00277967" w:rsidRPr="000C6ABF">
        <w:rPr>
          <w:lang w:val="fr-CH"/>
        </w:rPr>
        <w:t>Traitements et indemnités</w:t>
      </w:r>
      <w:r w:rsidR="003072F2" w:rsidRPr="000C6ABF">
        <w:rPr>
          <w:lang w:val="fr-CH"/>
        </w:rPr>
        <w:t>"</w:t>
      </w:r>
      <w:r w:rsidR="00277967" w:rsidRPr="000C6ABF">
        <w:rPr>
          <w:lang w:val="fr-CH"/>
        </w:rPr>
        <w:t xml:space="preserve"> </w:t>
      </w:r>
      <w:r w:rsidRPr="000C6ABF">
        <w:rPr>
          <w:lang w:val="fr-CH"/>
        </w:rPr>
        <w:t xml:space="preserve">(–5,5 millions CHF), </w:t>
      </w:r>
      <w:r w:rsidR="00277967" w:rsidRPr="000C6ABF">
        <w:rPr>
          <w:lang w:val="fr-CH"/>
        </w:rPr>
        <w:t>alors qu</w:t>
      </w:r>
      <w:r w:rsidR="00AB0C69" w:rsidRPr="000C6ABF">
        <w:rPr>
          <w:lang w:val="fr-CH"/>
        </w:rPr>
        <w:t>'</w:t>
      </w:r>
      <w:r w:rsidR="00277967" w:rsidRPr="000C6ABF">
        <w:rPr>
          <w:lang w:val="fr-CH"/>
        </w:rPr>
        <w:t xml:space="preserve">il y a eu des </w:t>
      </w:r>
      <w:r w:rsidR="00277967" w:rsidRPr="000C6ABF">
        <w:rPr>
          <w:lang w:val="fr-CH"/>
        </w:rPr>
        <w:lastRenderedPageBreak/>
        <w:t xml:space="preserve">augmentations non seulement dans la rubrique </w:t>
      </w:r>
      <w:r w:rsidR="003072F2" w:rsidRPr="000C6ABF">
        <w:rPr>
          <w:lang w:val="fr-CH"/>
        </w:rPr>
        <w:t>"</w:t>
      </w:r>
      <w:r w:rsidR="00277967" w:rsidRPr="000C6ABF">
        <w:rPr>
          <w:lang w:val="fr-CH"/>
        </w:rPr>
        <w:t>Ajustement de l</w:t>
      </w:r>
      <w:r w:rsidR="00AB0C69" w:rsidRPr="000C6ABF">
        <w:rPr>
          <w:lang w:val="fr-CH"/>
        </w:rPr>
        <w:t>'</w:t>
      </w:r>
      <w:r w:rsidR="00277967" w:rsidRPr="000C6ABF">
        <w:rPr>
          <w:lang w:val="fr-CH"/>
        </w:rPr>
        <w:t>ASHI</w:t>
      </w:r>
      <w:r w:rsidR="003072F2" w:rsidRPr="000C6ABF">
        <w:rPr>
          <w:lang w:val="fr-CH"/>
        </w:rPr>
        <w:t>"</w:t>
      </w:r>
      <w:r w:rsidR="00277967" w:rsidRPr="000C6ABF">
        <w:rPr>
          <w:lang w:val="fr-CH"/>
        </w:rPr>
        <w:t xml:space="preserve"> mais aussi dans la rubrique </w:t>
      </w:r>
      <w:r w:rsidR="003072F2" w:rsidRPr="000C6ABF">
        <w:rPr>
          <w:lang w:val="fr-CH"/>
        </w:rPr>
        <w:t>"</w:t>
      </w:r>
      <w:r w:rsidR="0015581C" w:rsidRPr="000C6ABF">
        <w:rPr>
          <w:lang w:val="fr-CH"/>
        </w:rPr>
        <w:t>Indemnité pour frais d</w:t>
      </w:r>
      <w:r w:rsidR="00AB0C69" w:rsidRPr="000C6ABF">
        <w:rPr>
          <w:lang w:val="fr-CH"/>
        </w:rPr>
        <w:t>'</w:t>
      </w:r>
      <w:r w:rsidR="0015581C" w:rsidRPr="000C6ABF">
        <w:rPr>
          <w:lang w:val="fr-CH"/>
        </w:rPr>
        <w:t>études</w:t>
      </w:r>
      <w:r w:rsidR="003072F2" w:rsidRPr="000C6ABF">
        <w:rPr>
          <w:lang w:val="fr-CH"/>
        </w:rPr>
        <w:t>"</w:t>
      </w:r>
      <w:r w:rsidR="0015581C" w:rsidRPr="000C6ABF">
        <w:rPr>
          <w:lang w:val="fr-CH"/>
        </w:rPr>
        <w:t xml:space="preserve"> ainsi que pour d</w:t>
      </w:r>
      <w:r w:rsidR="00AB0C69" w:rsidRPr="000C6ABF">
        <w:rPr>
          <w:lang w:val="fr-CH"/>
        </w:rPr>
        <w:t>'</w:t>
      </w:r>
      <w:r w:rsidR="0015581C" w:rsidRPr="000C6ABF">
        <w:rPr>
          <w:lang w:val="fr-CH"/>
        </w:rPr>
        <w:t xml:space="preserve">autres charges de personnel </w:t>
      </w:r>
      <w:r w:rsidRPr="000C6ABF">
        <w:rPr>
          <w:lang w:val="fr-CH"/>
        </w:rPr>
        <w:t xml:space="preserve">(+3,3 millions CHF). </w:t>
      </w:r>
    </w:p>
    <w:p w:rsidR="00DF59CA" w:rsidRPr="000C6ABF" w:rsidRDefault="0015581C" w:rsidP="00AB0C69">
      <w:pPr>
        <w:pStyle w:val="Headingb"/>
        <w:rPr>
          <w:lang w:val="fr-CH"/>
        </w:rPr>
      </w:pPr>
      <w:bookmarkStart w:id="260" w:name="_Toc398277652"/>
      <w:r w:rsidRPr="000C6ABF">
        <w:rPr>
          <w:lang w:val="fr-CH"/>
        </w:rPr>
        <w:t>Informations sectorielles</w:t>
      </w:r>
      <w:bookmarkEnd w:id="260"/>
      <w:r w:rsidRPr="000C6ABF">
        <w:rPr>
          <w:lang w:val="fr-CH"/>
        </w:rPr>
        <w:t xml:space="preserve"> </w:t>
      </w:r>
    </w:p>
    <w:p w:rsidR="00DF59CA" w:rsidRPr="000C6ABF" w:rsidRDefault="00DF59CA" w:rsidP="00267CBB">
      <w:pPr>
        <w:rPr>
          <w:lang w:val="fr-CH"/>
        </w:rPr>
      </w:pPr>
      <w:r w:rsidRPr="000C6ABF">
        <w:rPr>
          <w:lang w:val="fr-CH"/>
        </w:rPr>
        <w:t>109</w:t>
      </w:r>
      <w:r w:rsidRPr="000C6ABF">
        <w:rPr>
          <w:lang w:val="fr-CH"/>
        </w:rPr>
        <w:tab/>
        <w:t>Des informations sectorielles sont données dans la Note 24 des états financiers de 2013. Le but de la présentation sectorielle est de lier directement les charges aux secteurs</w:t>
      </w:r>
      <w:r w:rsidRPr="000C6ABF">
        <w:rPr>
          <w:lang w:val="fr-CH"/>
        </w:rPr>
        <w:tab/>
      </w:r>
      <w:r w:rsidR="0015581C" w:rsidRPr="000C6ABF">
        <w:rPr>
          <w:lang w:val="fr-CH"/>
        </w:rPr>
        <w:t>correspondants.</w:t>
      </w:r>
      <w:r w:rsidRPr="000C6ABF">
        <w:rPr>
          <w:lang w:val="fr-CH"/>
        </w:rPr>
        <w:t xml:space="preserve"> La méthodologie présente également une répartition des charges et des produits, essentiellement par fonds et centre de coût. </w:t>
      </w:r>
      <w:r w:rsidR="0015581C" w:rsidRPr="000C6ABF">
        <w:rPr>
          <w:lang w:val="fr-CH"/>
        </w:rPr>
        <w:t xml:space="preserve">La variation </w:t>
      </w:r>
      <w:r w:rsidR="00267CBB" w:rsidRPr="000C6ABF">
        <w:rPr>
          <w:lang w:val="fr-CH"/>
        </w:rPr>
        <w:t>la plus évidente</w:t>
      </w:r>
      <w:r w:rsidR="0015581C" w:rsidRPr="000C6ABF">
        <w:rPr>
          <w:lang w:val="fr-CH"/>
        </w:rPr>
        <w:t xml:space="preserve"> par rapport à 2012 e</w:t>
      </w:r>
      <w:r w:rsidR="00267CBB" w:rsidRPr="000C6ABF">
        <w:rPr>
          <w:lang w:val="fr-CH"/>
        </w:rPr>
        <w:t>s</w:t>
      </w:r>
      <w:r w:rsidR="0015581C" w:rsidRPr="000C6ABF">
        <w:rPr>
          <w:lang w:val="fr-CH"/>
        </w:rPr>
        <w:t>t l</w:t>
      </w:r>
      <w:r w:rsidR="00AB0C69" w:rsidRPr="000C6ABF">
        <w:rPr>
          <w:lang w:val="fr-CH"/>
        </w:rPr>
        <w:t>'</w:t>
      </w:r>
      <w:r w:rsidR="00267CBB" w:rsidRPr="000C6ABF">
        <w:rPr>
          <w:lang w:val="fr-CH"/>
        </w:rPr>
        <w:t>augmentation</w:t>
      </w:r>
      <w:r w:rsidR="0015581C" w:rsidRPr="000C6ABF">
        <w:rPr>
          <w:lang w:val="fr-CH"/>
        </w:rPr>
        <w:t xml:space="preserve"> d</w:t>
      </w:r>
      <w:r w:rsidR="00267CBB" w:rsidRPr="000C6ABF">
        <w:rPr>
          <w:lang w:val="fr-CH"/>
        </w:rPr>
        <w:t xml:space="preserve">e la part que représentent les </w:t>
      </w:r>
      <w:r w:rsidR="0015581C" w:rsidRPr="000C6ABF">
        <w:rPr>
          <w:lang w:val="fr-CH"/>
        </w:rPr>
        <w:t>fonds d</w:t>
      </w:r>
      <w:r w:rsidR="00AB0C69" w:rsidRPr="000C6ABF">
        <w:rPr>
          <w:lang w:val="fr-CH"/>
        </w:rPr>
        <w:t>'</w:t>
      </w:r>
      <w:r w:rsidR="0015581C" w:rsidRPr="000C6ABF">
        <w:rPr>
          <w:lang w:val="fr-CH"/>
        </w:rPr>
        <w:t xml:space="preserve">affectation spéciale aussi bien dans le total des produits </w:t>
      </w:r>
      <w:r w:rsidRPr="000C6ABF">
        <w:rPr>
          <w:lang w:val="fr-CH"/>
        </w:rPr>
        <w:t>(7,1% en 2013 contre 3,9% en 2012)</w:t>
      </w:r>
      <w:r w:rsidR="0015581C" w:rsidRPr="000C6ABF">
        <w:rPr>
          <w:lang w:val="fr-CH"/>
        </w:rPr>
        <w:t xml:space="preserve"> que dans le total des charges </w:t>
      </w:r>
      <w:r w:rsidRPr="000C6ABF">
        <w:rPr>
          <w:lang w:val="fr-CH"/>
        </w:rPr>
        <w:t>(8,0% en 2013 contre 4,5% en 2012).</w:t>
      </w:r>
    </w:p>
    <w:p w:rsidR="00B167ED" w:rsidRPr="000C6ABF" w:rsidRDefault="00B167ED" w:rsidP="00267CBB">
      <w:pPr>
        <w:rPr>
          <w:lang w:val="fr-CH"/>
        </w:rPr>
      </w:pPr>
      <w:r w:rsidRPr="000C6ABF">
        <w:rPr>
          <w:lang w:val="fr-CH"/>
        </w:rPr>
        <w:t>110</w:t>
      </w:r>
      <w:r w:rsidRPr="000C6ABF">
        <w:rPr>
          <w:lang w:val="fr-CH"/>
        </w:rPr>
        <w:tab/>
      </w:r>
      <w:r w:rsidR="0015581C" w:rsidRPr="000C6ABF">
        <w:rPr>
          <w:lang w:val="fr-CH"/>
        </w:rPr>
        <w:t xml:space="preserve">Cette variation est due, comme </w:t>
      </w:r>
      <w:r w:rsidR="00267CBB" w:rsidRPr="000C6ABF">
        <w:rPr>
          <w:lang w:val="fr-CH"/>
        </w:rPr>
        <w:t>cela a été</w:t>
      </w:r>
      <w:r w:rsidR="0015581C" w:rsidRPr="000C6ABF">
        <w:rPr>
          <w:lang w:val="fr-CH"/>
        </w:rPr>
        <w:t xml:space="preserve"> vérifié </w:t>
      </w:r>
      <w:r w:rsidR="00267CBB" w:rsidRPr="000C6ABF">
        <w:rPr>
          <w:lang w:val="fr-CH"/>
        </w:rPr>
        <w:t xml:space="preserve">avec </w:t>
      </w:r>
      <w:r w:rsidR="0015581C" w:rsidRPr="000C6ABF">
        <w:rPr>
          <w:lang w:val="fr-CH"/>
        </w:rPr>
        <w:t>la direction du BDT, à une augmentation des fonds reçus et à l</w:t>
      </w:r>
      <w:r w:rsidR="00AB0C69" w:rsidRPr="000C6ABF">
        <w:rPr>
          <w:lang w:val="fr-CH"/>
        </w:rPr>
        <w:t>'</w:t>
      </w:r>
      <w:r w:rsidR="0015581C" w:rsidRPr="000C6ABF">
        <w:rPr>
          <w:lang w:val="fr-CH"/>
        </w:rPr>
        <w:t xml:space="preserve">accélération des activités </w:t>
      </w:r>
      <w:r w:rsidR="00267CBB" w:rsidRPr="000C6ABF">
        <w:rPr>
          <w:lang w:val="fr-CH"/>
        </w:rPr>
        <w:t>liées à</w:t>
      </w:r>
      <w:r w:rsidR="0015581C" w:rsidRPr="000C6ABF">
        <w:rPr>
          <w:lang w:val="fr-CH"/>
        </w:rPr>
        <w:t xml:space="preserve"> certains projets. Nous devons préciser que les augmentations enregistrées des produits et des charges pour ce </w:t>
      </w:r>
      <w:r w:rsidR="00384B73" w:rsidRPr="000C6ABF">
        <w:rPr>
          <w:lang w:val="fr-CH"/>
        </w:rPr>
        <w:t>S</w:t>
      </w:r>
      <w:r w:rsidR="0015581C" w:rsidRPr="000C6ABF">
        <w:rPr>
          <w:lang w:val="fr-CH"/>
        </w:rPr>
        <w:t xml:space="preserve">ecteur ne sont pas directement liées les unes aux autres. </w:t>
      </w:r>
    </w:p>
    <w:p w:rsidR="006847DD" w:rsidRPr="00384B73" w:rsidRDefault="006847DD" w:rsidP="00AB0C69">
      <w:pPr>
        <w:pStyle w:val="Headingi"/>
        <w:rPr>
          <w:b/>
          <w:bCs/>
          <w:lang w:val="fr-CH"/>
        </w:rPr>
      </w:pPr>
      <w:bookmarkStart w:id="261" w:name="_Toc358123333"/>
      <w:bookmarkStart w:id="262" w:name="_Toc396386974"/>
      <w:bookmarkStart w:id="263" w:name="_Toc396387854"/>
      <w:bookmarkStart w:id="264" w:name="_Toc396387968"/>
      <w:bookmarkStart w:id="265" w:name="_Toc398277653"/>
      <w:r w:rsidRPr="00384B73">
        <w:rPr>
          <w:b/>
          <w:bCs/>
          <w:lang w:val="fr-CH"/>
        </w:rPr>
        <w:t>Numérisation des dossiers du personnel</w:t>
      </w:r>
      <w:bookmarkEnd w:id="261"/>
      <w:bookmarkEnd w:id="262"/>
      <w:bookmarkEnd w:id="263"/>
      <w:bookmarkEnd w:id="264"/>
      <w:bookmarkEnd w:id="265"/>
    </w:p>
    <w:p w:rsidR="006847DD" w:rsidRPr="000C6ABF" w:rsidRDefault="006847DD" w:rsidP="00384B73">
      <w:pPr>
        <w:rPr>
          <w:lang w:val="fr-CH"/>
        </w:rPr>
      </w:pPr>
      <w:r w:rsidRPr="000C6ABF">
        <w:rPr>
          <w:lang w:val="fr-CH"/>
        </w:rPr>
        <w:t>111</w:t>
      </w:r>
      <w:r w:rsidRPr="000C6ABF">
        <w:rPr>
          <w:lang w:val="fr-CH"/>
        </w:rPr>
        <w:tab/>
      </w:r>
      <w:r w:rsidR="0015581C" w:rsidRPr="000C6ABF">
        <w:rPr>
          <w:lang w:val="fr-CH"/>
        </w:rPr>
        <w:t>L</w:t>
      </w:r>
      <w:r w:rsidR="00AB0C69" w:rsidRPr="000C6ABF">
        <w:rPr>
          <w:lang w:val="fr-CH"/>
        </w:rPr>
        <w:t>'</w:t>
      </w:r>
      <w:r w:rsidR="0015581C" w:rsidRPr="000C6ABF">
        <w:rPr>
          <w:lang w:val="fr-CH"/>
        </w:rPr>
        <w:t>an dernier</w:t>
      </w:r>
      <w:r w:rsidR="00384B73">
        <w:rPr>
          <w:lang w:val="fr-CH"/>
        </w:rPr>
        <w:t>,</w:t>
      </w:r>
      <w:r w:rsidR="0015581C" w:rsidRPr="000C6ABF">
        <w:rPr>
          <w:lang w:val="fr-CH"/>
        </w:rPr>
        <w:t xml:space="preserve"> nous avons </w:t>
      </w:r>
      <w:r w:rsidR="00781DB1" w:rsidRPr="000C6ABF">
        <w:rPr>
          <w:lang w:val="fr-CH"/>
        </w:rPr>
        <w:t>préconisé</w:t>
      </w:r>
      <w:r w:rsidR="0015581C" w:rsidRPr="000C6ABF">
        <w:rPr>
          <w:lang w:val="fr-CH"/>
        </w:rPr>
        <w:t xml:space="preserve"> </w:t>
      </w:r>
      <w:r w:rsidRPr="000C6ABF">
        <w:rPr>
          <w:lang w:val="fr-CH"/>
        </w:rPr>
        <w:t>(Rec</w:t>
      </w:r>
      <w:r w:rsidR="00781DB1" w:rsidRPr="000C6ABF">
        <w:rPr>
          <w:lang w:val="fr-CH"/>
        </w:rPr>
        <w:t>ommandation N°</w:t>
      </w:r>
      <w:r w:rsidRPr="000C6ABF">
        <w:rPr>
          <w:lang w:val="fr-CH"/>
        </w:rPr>
        <w:t xml:space="preserve"> 10/2012) </w:t>
      </w:r>
      <w:r w:rsidR="0015581C" w:rsidRPr="000C6ABF">
        <w:rPr>
          <w:lang w:val="fr-CH"/>
        </w:rPr>
        <w:t>une numérisation des dossiers du personnel non seulement pour éviter qu</w:t>
      </w:r>
      <w:r w:rsidR="00AB0C69" w:rsidRPr="000C6ABF">
        <w:rPr>
          <w:lang w:val="fr-CH"/>
        </w:rPr>
        <w:t>'</w:t>
      </w:r>
      <w:r w:rsidR="0015581C" w:rsidRPr="000C6ABF">
        <w:rPr>
          <w:lang w:val="fr-CH"/>
        </w:rPr>
        <w:t>un événement accidentel provoqu</w:t>
      </w:r>
      <w:r w:rsidR="00781DB1" w:rsidRPr="000C6ABF">
        <w:rPr>
          <w:lang w:val="fr-CH"/>
        </w:rPr>
        <w:t>e</w:t>
      </w:r>
      <w:r w:rsidR="0015581C" w:rsidRPr="000C6ABF">
        <w:rPr>
          <w:lang w:val="fr-CH"/>
        </w:rPr>
        <w:t xml:space="preserve"> la perte de données mais aussi pour permettre une interface directe des dossiers du personnel avec </w:t>
      </w:r>
      <w:r w:rsidRPr="000C6ABF">
        <w:rPr>
          <w:lang w:val="fr-CH"/>
        </w:rPr>
        <w:t>SAP</w:t>
      </w:r>
      <w:r w:rsidR="00384B73">
        <w:rPr>
          <w:lang w:val="fr-CH"/>
        </w:rPr>
        <w:t> </w:t>
      </w:r>
      <w:r w:rsidRPr="000C6ABF">
        <w:rPr>
          <w:lang w:val="fr-CH"/>
        </w:rPr>
        <w:t>HR.</w:t>
      </w:r>
    </w:p>
    <w:p w:rsidR="006847DD" w:rsidRPr="000C6ABF" w:rsidRDefault="006847DD" w:rsidP="00781DB1">
      <w:pPr>
        <w:rPr>
          <w:lang w:val="fr-CH"/>
        </w:rPr>
      </w:pPr>
      <w:r w:rsidRPr="000C6ABF">
        <w:rPr>
          <w:lang w:val="fr-CH"/>
        </w:rPr>
        <w:t>112</w:t>
      </w:r>
      <w:r w:rsidRPr="000C6ABF">
        <w:rPr>
          <w:lang w:val="fr-CH"/>
        </w:rPr>
        <w:tab/>
      </w:r>
      <w:r w:rsidR="0015581C" w:rsidRPr="000C6ABF">
        <w:rPr>
          <w:lang w:val="fr-CH"/>
        </w:rPr>
        <w:t>La direction indique que le 19 avril 2013 a été établi</w:t>
      </w:r>
      <w:r w:rsidR="00A47698" w:rsidRPr="000C6ABF">
        <w:rPr>
          <w:lang w:val="fr-CH"/>
        </w:rPr>
        <w:t xml:space="preserve"> </w:t>
      </w:r>
      <w:r w:rsidR="00536AA9" w:rsidRPr="000C6ABF">
        <w:rPr>
          <w:lang w:val="fr-CH"/>
        </w:rPr>
        <w:t xml:space="preserve">un </w:t>
      </w:r>
      <w:r w:rsidR="003072F2" w:rsidRPr="000C6ABF">
        <w:rPr>
          <w:lang w:val="fr-CH"/>
        </w:rPr>
        <w:t>"</w:t>
      </w:r>
      <w:r w:rsidR="00536AA9" w:rsidRPr="000C6ABF">
        <w:rPr>
          <w:lang w:val="fr-CH"/>
        </w:rPr>
        <w:t xml:space="preserve">plan détaillé </w:t>
      </w:r>
      <w:r w:rsidR="00781DB1" w:rsidRPr="000C6ABF">
        <w:rPr>
          <w:lang w:val="fr-CH"/>
        </w:rPr>
        <w:t>pour le</w:t>
      </w:r>
      <w:r w:rsidR="00536AA9" w:rsidRPr="000C6ABF">
        <w:rPr>
          <w:lang w:val="fr-CH"/>
        </w:rPr>
        <w:t xml:space="preserve"> système de numérisation des dossiers du personnel</w:t>
      </w:r>
      <w:r w:rsidR="003072F2" w:rsidRPr="000C6ABF">
        <w:rPr>
          <w:lang w:val="fr-CH"/>
        </w:rPr>
        <w:t>"</w:t>
      </w:r>
      <w:r w:rsidR="00536AA9" w:rsidRPr="000C6ABF">
        <w:rPr>
          <w:lang w:val="fr-CH"/>
        </w:rPr>
        <w:t xml:space="preserve"> </w:t>
      </w:r>
      <w:r w:rsidR="00781DB1" w:rsidRPr="000C6ABF">
        <w:rPr>
          <w:lang w:val="fr-CH"/>
        </w:rPr>
        <w:t xml:space="preserve">qui </w:t>
      </w:r>
      <w:r w:rsidR="00536AA9" w:rsidRPr="000C6ABF">
        <w:rPr>
          <w:lang w:val="fr-CH"/>
        </w:rPr>
        <w:t>compren</w:t>
      </w:r>
      <w:r w:rsidR="00781DB1" w:rsidRPr="000C6ABF">
        <w:rPr>
          <w:lang w:val="fr-CH"/>
        </w:rPr>
        <w:t xml:space="preserve">d </w:t>
      </w:r>
      <w:r w:rsidR="00536AA9" w:rsidRPr="000C6ABF">
        <w:rPr>
          <w:lang w:val="fr-CH"/>
        </w:rPr>
        <w:t>le processus métier</w:t>
      </w:r>
      <w:r w:rsidR="00A47698" w:rsidRPr="000C6ABF">
        <w:rPr>
          <w:lang w:val="fr-CH"/>
        </w:rPr>
        <w:t xml:space="preserve"> </w:t>
      </w:r>
      <w:r w:rsidR="00536AA9" w:rsidRPr="000C6ABF">
        <w:rPr>
          <w:lang w:val="fr-CH"/>
        </w:rPr>
        <w:t xml:space="preserve">HRAD </w:t>
      </w:r>
      <w:r w:rsidRPr="000C6ABF">
        <w:rPr>
          <w:lang w:val="fr-CH"/>
        </w:rPr>
        <w:t>(E&amp;B Service)</w:t>
      </w:r>
      <w:r w:rsidR="00536AA9" w:rsidRPr="000C6ABF">
        <w:rPr>
          <w:lang w:val="fr-CH"/>
        </w:rPr>
        <w:t xml:space="preserve"> et l</w:t>
      </w:r>
      <w:r w:rsidR="00781DB1" w:rsidRPr="000C6ABF">
        <w:rPr>
          <w:lang w:val="fr-CH"/>
        </w:rPr>
        <w:t xml:space="preserve">a mise en correspondance </w:t>
      </w:r>
      <w:r w:rsidR="00536AA9" w:rsidRPr="000C6ABF">
        <w:rPr>
          <w:lang w:val="fr-CH"/>
        </w:rPr>
        <w:t xml:space="preserve">de la structure du dossier personnel (version imprimée) </w:t>
      </w:r>
      <w:r w:rsidR="00781DB1" w:rsidRPr="000C6ABF">
        <w:rPr>
          <w:lang w:val="fr-CH"/>
        </w:rPr>
        <w:t>de chaque</w:t>
      </w:r>
      <w:r w:rsidR="00536AA9" w:rsidRPr="000C6ABF">
        <w:rPr>
          <w:lang w:val="fr-CH"/>
        </w:rPr>
        <w:t xml:space="preserve"> fonctionnaire et </w:t>
      </w:r>
      <w:r w:rsidR="00781DB1" w:rsidRPr="000C6ABF">
        <w:rPr>
          <w:lang w:val="fr-CH"/>
        </w:rPr>
        <w:t xml:space="preserve">que le </w:t>
      </w:r>
      <w:r w:rsidR="00536AA9" w:rsidRPr="000C6ABF">
        <w:rPr>
          <w:lang w:val="fr-CH"/>
        </w:rPr>
        <w:t xml:space="preserve">système est lié à </w:t>
      </w:r>
      <w:r w:rsidRPr="000C6ABF">
        <w:rPr>
          <w:lang w:val="fr-CH"/>
        </w:rPr>
        <w:t>SAP-ERP_HCM.</w:t>
      </w:r>
      <w:r w:rsidR="00A47698" w:rsidRPr="000C6ABF">
        <w:rPr>
          <w:lang w:val="fr-CH"/>
        </w:rPr>
        <w:t xml:space="preserve"> </w:t>
      </w:r>
    </w:p>
    <w:p w:rsidR="00B167ED" w:rsidRPr="000C6ABF" w:rsidRDefault="006847DD" w:rsidP="00781DB1">
      <w:pPr>
        <w:rPr>
          <w:lang w:val="fr-CH"/>
        </w:rPr>
      </w:pPr>
      <w:r w:rsidRPr="000C6ABF">
        <w:rPr>
          <w:lang w:val="fr-CH"/>
        </w:rPr>
        <w:t>113</w:t>
      </w:r>
      <w:r w:rsidRPr="000C6ABF">
        <w:rPr>
          <w:lang w:val="fr-CH"/>
        </w:rPr>
        <w:tab/>
      </w:r>
      <w:r w:rsidR="00781DB1" w:rsidRPr="000C6ABF">
        <w:rPr>
          <w:lang w:val="fr-CH"/>
        </w:rPr>
        <w:t>N</w:t>
      </w:r>
      <w:r w:rsidR="00536AA9" w:rsidRPr="000C6ABF">
        <w:rPr>
          <w:lang w:val="fr-CH"/>
        </w:rPr>
        <w:t>ous avons vérifié qu</w:t>
      </w:r>
      <w:r w:rsidR="00AB0C69" w:rsidRPr="000C6ABF">
        <w:rPr>
          <w:lang w:val="fr-CH"/>
        </w:rPr>
        <w:t>'</w:t>
      </w:r>
      <w:r w:rsidR="00536AA9" w:rsidRPr="000C6ABF">
        <w:rPr>
          <w:lang w:val="fr-CH"/>
        </w:rPr>
        <w:t xml:space="preserve">un prototype a été finalisé et </w:t>
      </w:r>
      <w:r w:rsidR="00781DB1" w:rsidRPr="000C6ABF">
        <w:rPr>
          <w:lang w:val="fr-CH"/>
        </w:rPr>
        <w:t>qu'</w:t>
      </w:r>
      <w:r w:rsidR="00536AA9" w:rsidRPr="000C6ABF">
        <w:rPr>
          <w:lang w:val="fr-CH"/>
        </w:rPr>
        <w:t>une phase d</w:t>
      </w:r>
      <w:r w:rsidR="00781DB1" w:rsidRPr="000C6ABF">
        <w:rPr>
          <w:lang w:val="fr-CH"/>
        </w:rPr>
        <w:t>'</w:t>
      </w:r>
      <w:r w:rsidR="00536AA9" w:rsidRPr="000C6ABF">
        <w:rPr>
          <w:lang w:val="fr-CH"/>
        </w:rPr>
        <w:t>e</w:t>
      </w:r>
      <w:r w:rsidR="00781DB1" w:rsidRPr="000C6ABF">
        <w:rPr>
          <w:lang w:val="fr-CH"/>
        </w:rPr>
        <w:t xml:space="preserve">ssai </w:t>
      </w:r>
      <w:r w:rsidR="00536AA9" w:rsidRPr="000C6ABF">
        <w:rPr>
          <w:lang w:val="fr-CH"/>
        </w:rPr>
        <w:t>est actuellement en cours. Nous suivrons l</w:t>
      </w:r>
      <w:r w:rsidR="00AB0C69" w:rsidRPr="000C6ABF">
        <w:rPr>
          <w:lang w:val="fr-CH"/>
        </w:rPr>
        <w:t>'</w:t>
      </w:r>
      <w:r w:rsidR="00536AA9" w:rsidRPr="000C6ABF">
        <w:rPr>
          <w:lang w:val="fr-CH"/>
        </w:rPr>
        <w:t>éventuel lancement opérationnel du système</w:t>
      </w:r>
      <w:r w:rsidRPr="000C6ABF">
        <w:rPr>
          <w:lang w:val="fr-CH"/>
        </w:rPr>
        <w:t>.</w:t>
      </w:r>
    </w:p>
    <w:p w:rsidR="007B761A" w:rsidRPr="000C6ABF" w:rsidRDefault="00384B73" w:rsidP="007F30DC">
      <w:pPr>
        <w:pStyle w:val="Heading1"/>
        <w:ind w:left="0" w:firstLine="0"/>
        <w:rPr>
          <w:lang w:val="fr-CH"/>
        </w:rPr>
      </w:pPr>
      <w:bookmarkStart w:id="266" w:name="_Toc358123336"/>
      <w:bookmarkStart w:id="267" w:name="_Toc396386975"/>
      <w:bookmarkStart w:id="268" w:name="_Toc396387855"/>
      <w:bookmarkStart w:id="269" w:name="_Toc396387969"/>
      <w:bookmarkStart w:id="270" w:name="_Toc398277654"/>
      <w:r>
        <w:rPr>
          <w:lang w:val="fr-CH"/>
        </w:rPr>
        <w:t>E</w:t>
      </w:r>
      <w:r w:rsidR="007B761A" w:rsidRPr="000C6ABF">
        <w:rPr>
          <w:lang w:val="fr-CH"/>
        </w:rPr>
        <w:t>TAT DES VARIATIONS DE L'ACTIF NET POUR L'EXERCICE CLOS LE 31 D</w:t>
      </w:r>
      <w:r w:rsidR="007F30DC" w:rsidRPr="000C6ABF">
        <w:rPr>
          <w:lang w:val="fr-CH"/>
        </w:rPr>
        <w:t>É</w:t>
      </w:r>
      <w:r w:rsidR="007B761A" w:rsidRPr="000C6ABF">
        <w:rPr>
          <w:lang w:val="fr-CH"/>
        </w:rPr>
        <w:t>CEMBRE 2012</w:t>
      </w:r>
      <w:bookmarkEnd w:id="266"/>
      <w:bookmarkEnd w:id="267"/>
      <w:bookmarkEnd w:id="268"/>
      <w:bookmarkEnd w:id="269"/>
      <w:bookmarkEnd w:id="270"/>
    </w:p>
    <w:p w:rsidR="007B761A" w:rsidRPr="000C6ABF" w:rsidRDefault="007B761A" w:rsidP="007F30DC">
      <w:pPr>
        <w:rPr>
          <w:lang w:val="fr-CH"/>
        </w:rPr>
      </w:pPr>
      <w:r w:rsidRPr="000C6ABF">
        <w:rPr>
          <w:lang w:val="fr-CH"/>
        </w:rPr>
        <w:t>11</w:t>
      </w:r>
      <w:r w:rsidR="008A1042" w:rsidRPr="000C6ABF">
        <w:rPr>
          <w:lang w:val="fr-CH"/>
        </w:rPr>
        <w:t>4</w:t>
      </w:r>
      <w:r w:rsidRPr="000C6ABF">
        <w:rPr>
          <w:lang w:val="fr-CH"/>
        </w:rPr>
        <w:tab/>
        <w:t xml:space="preserve">Le Tableau III "Etat des variations de l'actif net" </w:t>
      </w:r>
      <w:r w:rsidR="00536AA9" w:rsidRPr="000C6ABF">
        <w:rPr>
          <w:lang w:val="fr-CH"/>
        </w:rPr>
        <w:t>a changé par rapport au Rapport de gestion financière de l</w:t>
      </w:r>
      <w:r w:rsidR="00AB0C69" w:rsidRPr="000C6ABF">
        <w:rPr>
          <w:lang w:val="fr-CH"/>
        </w:rPr>
        <w:t>'</w:t>
      </w:r>
      <w:r w:rsidR="00536AA9" w:rsidRPr="000C6ABF">
        <w:rPr>
          <w:lang w:val="fr-CH"/>
        </w:rPr>
        <w:t>an dernier</w:t>
      </w:r>
      <w:r w:rsidR="007F30DC" w:rsidRPr="000C6ABF">
        <w:rPr>
          <w:lang w:val="fr-CH"/>
        </w:rPr>
        <w:t>;</w:t>
      </w:r>
      <w:r w:rsidR="00536AA9" w:rsidRPr="000C6ABF">
        <w:rPr>
          <w:lang w:val="fr-CH"/>
        </w:rPr>
        <w:t xml:space="preserve"> cette année</w:t>
      </w:r>
      <w:r w:rsidR="00384B73">
        <w:rPr>
          <w:lang w:val="fr-CH"/>
        </w:rPr>
        <w:t>,</w:t>
      </w:r>
      <w:r w:rsidR="00536AA9" w:rsidRPr="000C6ABF">
        <w:rPr>
          <w:lang w:val="fr-CH"/>
        </w:rPr>
        <w:t xml:space="preserve"> il indique non seulement les mouvements des fonds propres affectés et non affectés cumulés, les effets du passage aux normes IPSAS mais aussi les mouvements de chaque fonds propre, comme indiqué </w:t>
      </w:r>
      <w:r w:rsidR="007F30DC" w:rsidRPr="000C6ABF">
        <w:rPr>
          <w:lang w:val="fr-CH"/>
        </w:rPr>
        <w:t xml:space="preserve">dans </w:t>
      </w:r>
      <w:r w:rsidR="00536AA9" w:rsidRPr="000C6ABF">
        <w:rPr>
          <w:lang w:val="fr-CH"/>
        </w:rPr>
        <w:t>la</w:t>
      </w:r>
      <w:r w:rsidRPr="000C6ABF">
        <w:rPr>
          <w:lang w:val="fr-CH"/>
        </w:rPr>
        <w:t xml:space="preserve"> Note 4.</w:t>
      </w:r>
    </w:p>
    <w:p w:rsidR="008A1042" w:rsidRPr="000C6ABF" w:rsidRDefault="008A1042" w:rsidP="007F30DC">
      <w:pPr>
        <w:rPr>
          <w:lang w:val="fr-CH"/>
        </w:rPr>
      </w:pPr>
      <w:r w:rsidRPr="000C6ABF">
        <w:rPr>
          <w:lang w:val="fr-CH"/>
        </w:rPr>
        <w:t>115</w:t>
      </w:r>
      <w:r w:rsidRPr="000C6ABF">
        <w:rPr>
          <w:lang w:val="fr-CH"/>
        </w:rPr>
        <w:tab/>
      </w:r>
      <w:r w:rsidR="0025352D" w:rsidRPr="000C6ABF">
        <w:rPr>
          <w:lang w:val="fr-CH"/>
        </w:rPr>
        <w:t xml:space="preserve">Nous </w:t>
      </w:r>
      <w:r w:rsidR="00C159A9" w:rsidRPr="000C6ABF">
        <w:rPr>
          <w:lang w:val="fr-CH"/>
        </w:rPr>
        <w:t xml:space="preserve">notons que </w:t>
      </w:r>
      <w:r w:rsidRPr="000C6ABF">
        <w:rPr>
          <w:lang w:val="fr-CH"/>
        </w:rPr>
        <w:t xml:space="preserve">2 </w:t>
      </w:r>
      <w:r w:rsidR="00C159A9" w:rsidRPr="000C6ABF">
        <w:rPr>
          <w:lang w:val="fr-CH"/>
        </w:rPr>
        <w:t xml:space="preserve">millions </w:t>
      </w:r>
      <w:r w:rsidRPr="000C6ABF">
        <w:rPr>
          <w:lang w:val="fr-CH"/>
        </w:rPr>
        <w:t xml:space="preserve">CHF </w:t>
      </w:r>
      <w:r w:rsidR="00C159A9" w:rsidRPr="000C6ABF">
        <w:rPr>
          <w:lang w:val="fr-CH"/>
        </w:rPr>
        <w:t>ont été prélevés sur l</w:t>
      </w:r>
      <w:r w:rsidR="00AB0C69" w:rsidRPr="000C6ABF">
        <w:rPr>
          <w:lang w:val="fr-CH"/>
        </w:rPr>
        <w:t>'</w:t>
      </w:r>
      <w:r w:rsidR="00C159A9" w:rsidRPr="000C6ABF">
        <w:rPr>
          <w:lang w:val="fr-CH"/>
        </w:rPr>
        <w:t>excédent de l</w:t>
      </w:r>
      <w:r w:rsidR="00AB0C69" w:rsidRPr="000C6ABF">
        <w:rPr>
          <w:lang w:val="fr-CH"/>
        </w:rPr>
        <w:t>'</w:t>
      </w:r>
      <w:r w:rsidR="00C159A9" w:rsidRPr="000C6ABF">
        <w:rPr>
          <w:lang w:val="fr-CH"/>
        </w:rPr>
        <w:t xml:space="preserve">exercice financier 2013 pour alimenter le fonds </w:t>
      </w:r>
      <w:r w:rsidRPr="000C6ABF">
        <w:rPr>
          <w:lang w:val="fr-CH"/>
        </w:rPr>
        <w:t>ASHI</w:t>
      </w:r>
      <w:r w:rsidR="00C159A9" w:rsidRPr="000C6ABF">
        <w:rPr>
          <w:lang w:val="fr-CH"/>
        </w:rPr>
        <w:t>, conformément aux commentaires du Secrétaire général concernant notre rapport de l</w:t>
      </w:r>
      <w:r w:rsidR="00AB0C69" w:rsidRPr="000C6ABF">
        <w:rPr>
          <w:lang w:val="fr-CH"/>
        </w:rPr>
        <w:t>'</w:t>
      </w:r>
      <w:r w:rsidR="00C159A9" w:rsidRPr="000C6ABF">
        <w:rPr>
          <w:lang w:val="fr-CH"/>
        </w:rPr>
        <w:t>an dernier</w:t>
      </w:r>
      <w:r w:rsidRPr="000C6ABF">
        <w:rPr>
          <w:lang w:val="fr-CH"/>
        </w:rPr>
        <w:t xml:space="preserve"> (Rec</w:t>
      </w:r>
      <w:r w:rsidR="007F30DC" w:rsidRPr="000C6ABF">
        <w:rPr>
          <w:lang w:val="fr-CH"/>
        </w:rPr>
        <w:t xml:space="preserve">ommandation N° </w:t>
      </w:r>
      <w:r w:rsidRPr="000C6ABF">
        <w:rPr>
          <w:lang w:val="fr-CH"/>
        </w:rPr>
        <w:t xml:space="preserve">6/2012). </w:t>
      </w:r>
      <w:r w:rsidR="00C159A9" w:rsidRPr="000C6ABF">
        <w:rPr>
          <w:lang w:val="fr-CH"/>
        </w:rPr>
        <w:t xml:space="preserve">Par ailleurs, </w:t>
      </w:r>
      <w:r w:rsidRPr="000C6ABF">
        <w:rPr>
          <w:lang w:val="fr-CH"/>
        </w:rPr>
        <w:t>2 </w:t>
      </w:r>
      <w:r w:rsidR="00C159A9" w:rsidRPr="000C6ABF">
        <w:rPr>
          <w:lang w:val="fr-CH"/>
        </w:rPr>
        <w:t xml:space="preserve">autres </w:t>
      </w:r>
      <w:r w:rsidRPr="000C6ABF">
        <w:rPr>
          <w:lang w:val="fr-CH"/>
        </w:rPr>
        <w:t xml:space="preserve">millions CHF </w:t>
      </w:r>
      <w:r w:rsidR="00C159A9" w:rsidRPr="000C6ABF">
        <w:rPr>
          <w:lang w:val="fr-CH"/>
        </w:rPr>
        <w:t xml:space="preserve">ont été prélevés conformément au Règlement financier et aux Règles </w:t>
      </w:r>
      <w:r w:rsidRPr="000C6ABF">
        <w:rPr>
          <w:lang w:val="fr-CH"/>
        </w:rPr>
        <w:t xml:space="preserve">(Art. 10 § 5 </w:t>
      </w:r>
      <w:r w:rsidR="00C159A9" w:rsidRPr="000C6ABF">
        <w:rPr>
          <w:lang w:val="fr-CH"/>
        </w:rPr>
        <w:t xml:space="preserve">et </w:t>
      </w:r>
      <w:r w:rsidRPr="000C6ABF">
        <w:rPr>
          <w:lang w:val="fr-CH"/>
        </w:rPr>
        <w:t>Art. 12 §</w:t>
      </w:r>
      <w:r w:rsidR="00A47698" w:rsidRPr="000C6ABF">
        <w:rPr>
          <w:lang w:val="fr-CH"/>
        </w:rPr>
        <w:t xml:space="preserve"> </w:t>
      </w:r>
      <w:r w:rsidRPr="000C6ABF">
        <w:rPr>
          <w:lang w:val="fr-CH"/>
        </w:rPr>
        <w:t xml:space="preserve">4) </w:t>
      </w:r>
      <w:r w:rsidR="00C159A9" w:rsidRPr="000C6ABF">
        <w:rPr>
          <w:lang w:val="fr-CH"/>
        </w:rPr>
        <w:t xml:space="preserve">à titre exceptionnel pour le </w:t>
      </w:r>
      <w:r w:rsidR="003072F2" w:rsidRPr="000C6ABF">
        <w:rPr>
          <w:lang w:val="fr-CH"/>
        </w:rPr>
        <w:t>"</w:t>
      </w:r>
      <w:r w:rsidR="00CF7A0D" w:rsidRPr="000C6ABF">
        <w:rPr>
          <w:lang w:val="fr-CH"/>
        </w:rPr>
        <w:t>Fonds de garantie de l</w:t>
      </w:r>
      <w:r w:rsidR="00AB0C69" w:rsidRPr="000C6ABF">
        <w:rPr>
          <w:lang w:val="fr-CH"/>
        </w:rPr>
        <w:t>'</w:t>
      </w:r>
      <w:r w:rsidR="00CF7A0D" w:rsidRPr="000C6ABF">
        <w:rPr>
          <w:lang w:val="fr-CH"/>
        </w:rPr>
        <w:t>assurance maladie</w:t>
      </w:r>
      <w:r w:rsidR="003072F2" w:rsidRPr="000C6ABF">
        <w:rPr>
          <w:lang w:val="fr-CH"/>
        </w:rPr>
        <w:t>"</w:t>
      </w:r>
      <w:r w:rsidR="00CF7A0D" w:rsidRPr="000C6ABF">
        <w:rPr>
          <w:lang w:val="fr-CH"/>
        </w:rPr>
        <w:t xml:space="preserve"> </w:t>
      </w:r>
      <w:r w:rsidR="007F30DC" w:rsidRPr="000C6ABF">
        <w:rPr>
          <w:lang w:val="fr-CH"/>
        </w:rPr>
        <w:t>afin de financer le</w:t>
      </w:r>
      <w:r w:rsidR="00CF7A0D" w:rsidRPr="000C6ABF">
        <w:rPr>
          <w:lang w:val="fr-CH"/>
        </w:rPr>
        <w:t xml:space="preserve"> nouveau régime d</w:t>
      </w:r>
      <w:r w:rsidR="00AB0C69" w:rsidRPr="000C6ABF">
        <w:rPr>
          <w:lang w:val="fr-CH"/>
        </w:rPr>
        <w:t>'</w:t>
      </w:r>
      <w:r w:rsidR="00384B73">
        <w:rPr>
          <w:lang w:val="fr-CH"/>
        </w:rPr>
        <w:t xml:space="preserve">assurance </w:t>
      </w:r>
      <w:r w:rsidR="00CF7A0D" w:rsidRPr="000C6ABF">
        <w:rPr>
          <w:lang w:val="fr-CH"/>
        </w:rPr>
        <w:t>maladie entré en vigueur en 2014</w:t>
      </w:r>
      <w:r w:rsidRPr="000C6ABF">
        <w:rPr>
          <w:lang w:val="fr-CH"/>
        </w:rPr>
        <w:t xml:space="preserve">. </w:t>
      </w:r>
    </w:p>
    <w:p w:rsidR="008A1042" w:rsidRPr="000C6ABF" w:rsidRDefault="008A1042" w:rsidP="00384B73">
      <w:pPr>
        <w:pStyle w:val="Heading1"/>
        <w:spacing w:before="400"/>
        <w:ind w:left="0" w:firstLine="0"/>
        <w:rPr>
          <w:bCs/>
          <w:lang w:val="fr-CH"/>
        </w:rPr>
      </w:pPr>
      <w:bookmarkStart w:id="271" w:name="_Toc358123337"/>
      <w:bookmarkStart w:id="272" w:name="_Toc396386976"/>
      <w:bookmarkStart w:id="273" w:name="_Toc396387856"/>
      <w:bookmarkStart w:id="274" w:name="_Toc396387970"/>
      <w:bookmarkStart w:id="275" w:name="_Toc398277655"/>
      <w:bookmarkStart w:id="276" w:name="_Toc356330911"/>
      <w:r w:rsidRPr="000C6ABF">
        <w:rPr>
          <w:lang w:val="fr-CH"/>
        </w:rPr>
        <w:lastRenderedPageBreak/>
        <w:t>COMPARAISON DES MONTANTS BUDGÉTISÉS ET DES MONTANTS EFFECTIFS POUR L'EXERCICE 2012</w:t>
      </w:r>
      <w:bookmarkEnd w:id="271"/>
      <w:bookmarkEnd w:id="272"/>
      <w:bookmarkEnd w:id="273"/>
      <w:bookmarkEnd w:id="274"/>
      <w:bookmarkEnd w:id="275"/>
      <w:r w:rsidRPr="000C6ABF">
        <w:rPr>
          <w:lang w:val="fr-CH"/>
        </w:rPr>
        <w:t xml:space="preserve"> </w:t>
      </w:r>
      <w:bookmarkEnd w:id="276"/>
    </w:p>
    <w:p w:rsidR="008A1042" w:rsidRPr="000C6ABF" w:rsidRDefault="008A1042" w:rsidP="00AB0C69">
      <w:pPr>
        <w:rPr>
          <w:lang w:val="fr-CH"/>
        </w:rPr>
      </w:pPr>
      <w:r w:rsidRPr="000C6ABF">
        <w:rPr>
          <w:lang w:val="fr-CH"/>
        </w:rPr>
        <w:t>116</w:t>
      </w:r>
      <w:r w:rsidRPr="000C6ABF">
        <w:rPr>
          <w:lang w:val="fr-CH"/>
        </w:rPr>
        <w:tab/>
        <w:t>Le T</w:t>
      </w:r>
      <w:r w:rsidR="00EB3666" w:rsidRPr="000C6ABF">
        <w:rPr>
          <w:lang w:val="fr-CH"/>
        </w:rPr>
        <w:t xml:space="preserve">ableau </w:t>
      </w:r>
      <w:r w:rsidRPr="000C6ABF">
        <w:rPr>
          <w:lang w:val="fr-CH"/>
        </w:rPr>
        <w:t>V "Comparaison des montants budgétisés et des montants effectifs pour l'exercice financier 201</w:t>
      </w:r>
      <w:r w:rsidR="00EB3666" w:rsidRPr="000C6ABF">
        <w:rPr>
          <w:lang w:val="fr-CH"/>
        </w:rPr>
        <w:t>3</w:t>
      </w:r>
      <w:r w:rsidRPr="000C6ABF">
        <w:rPr>
          <w:lang w:val="fr-CH"/>
        </w:rPr>
        <w:t xml:space="preserve">" est présenté en conformité avec la norme IPSAS 24, qui requiert l'inclusion dans les états financiers de </w:t>
      </w:r>
      <w:r w:rsidR="00EB3666" w:rsidRPr="000C6ABF">
        <w:rPr>
          <w:lang w:val="fr-CH"/>
        </w:rPr>
        <w:t xml:space="preserve">cette </w:t>
      </w:r>
      <w:r w:rsidRPr="000C6ABF">
        <w:rPr>
          <w:lang w:val="fr-CH"/>
        </w:rPr>
        <w:t>comparaison</w:t>
      </w:r>
      <w:r w:rsidR="007F30DC" w:rsidRPr="000C6ABF">
        <w:rPr>
          <w:lang w:val="fr-CH"/>
        </w:rPr>
        <w:t xml:space="preserve"> résultant de l'exécution du budget</w:t>
      </w:r>
      <w:r w:rsidRPr="000C6ABF">
        <w:rPr>
          <w:lang w:val="fr-CH"/>
        </w:rPr>
        <w:t>. Cette norme exige en outre des explications sur les différences significatives entre les montants inscrits au budget et les montants réels.</w:t>
      </w:r>
    </w:p>
    <w:p w:rsidR="008A1042" w:rsidRPr="000C6ABF" w:rsidRDefault="008A1042" w:rsidP="00AB0C69">
      <w:pPr>
        <w:rPr>
          <w:lang w:val="fr-CH"/>
        </w:rPr>
      </w:pPr>
      <w:r w:rsidRPr="000C6ABF">
        <w:rPr>
          <w:lang w:val="fr-CH"/>
        </w:rPr>
        <w:t>117</w:t>
      </w:r>
      <w:r w:rsidRPr="000C6ABF">
        <w:rPr>
          <w:lang w:val="fr-CH"/>
        </w:rPr>
        <w:tab/>
        <w:t>Dans le Tab</w:t>
      </w:r>
      <w:r w:rsidR="00EB3666" w:rsidRPr="000C6ABF">
        <w:rPr>
          <w:lang w:val="fr-CH"/>
        </w:rPr>
        <w:t xml:space="preserve">leau </w:t>
      </w:r>
      <w:r w:rsidRPr="000C6ABF">
        <w:rPr>
          <w:lang w:val="fr-CH"/>
        </w:rPr>
        <w:t>V est également inclus le rapprochement comptable des écarts entre le résultat de l'exécution budgétaire (montants réels) et les montants comptabilisés dans l'état comptable. De plus amples déta</w:t>
      </w:r>
      <w:r w:rsidR="00EB3666" w:rsidRPr="000C6ABF">
        <w:rPr>
          <w:lang w:val="fr-CH"/>
        </w:rPr>
        <w:t>ils sont fournis dans la Note 25</w:t>
      </w:r>
      <w:r w:rsidRPr="000C6ABF">
        <w:rPr>
          <w:lang w:val="fr-CH"/>
        </w:rPr>
        <w:t xml:space="preserve"> du Rapport de gestion financière et nous renvoyons également aux commentaires du Secrétaire général reflétés dans le Rapport de gestion financière. Les vérifications ont démontré que les transferts des crédits budgétaires entre les Secteurs ont été réalisés en conformité avec l'Article 11 du Règlement financier.</w:t>
      </w:r>
    </w:p>
    <w:p w:rsidR="007A7DF3" w:rsidRPr="000C6ABF" w:rsidRDefault="007A7DF3" w:rsidP="00384B73">
      <w:pPr>
        <w:pStyle w:val="Heading1"/>
        <w:spacing w:before="400"/>
        <w:ind w:left="0" w:firstLine="0"/>
        <w:rPr>
          <w:lang w:val="fr-CH"/>
        </w:rPr>
      </w:pPr>
      <w:bookmarkStart w:id="277" w:name="_Toc358123338"/>
      <w:bookmarkStart w:id="278" w:name="_Toc396386977"/>
      <w:bookmarkStart w:id="279" w:name="_Toc396387857"/>
      <w:bookmarkStart w:id="280" w:name="_Toc396387971"/>
      <w:bookmarkStart w:id="281" w:name="_Toc398277656"/>
      <w:r w:rsidRPr="000C6ABF">
        <w:rPr>
          <w:lang w:val="fr-CH"/>
        </w:rPr>
        <w:t>TABLEAU DES FLUX DE TRÉSORERIE DE L'EXERCICE CLOS LE 31 DÉCEMBRE 201</w:t>
      </w:r>
      <w:bookmarkEnd w:id="277"/>
      <w:r w:rsidR="002D7104" w:rsidRPr="000C6ABF">
        <w:rPr>
          <w:lang w:val="fr-CH"/>
        </w:rPr>
        <w:t>3</w:t>
      </w:r>
      <w:bookmarkEnd w:id="278"/>
      <w:bookmarkEnd w:id="279"/>
      <w:bookmarkEnd w:id="280"/>
      <w:bookmarkEnd w:id="281"/>
    </w:p>
    <w:p w:rsidR="00DE5F8B" w:rsidRPr="000C6ABF" w:rsidRDefault="000E2826" w:rsidP="00AB0C69">
      <w:pPr>
        <w:rPr>
          <w:lang w:val="fr-CH"/>
        </w:rPr>
      </w:pPr>
      <w:r w:rsidRPr="000C6ABF">
        <w:rPr>
          <w:lang w:val="fr-CH"/>
        </w:rPr>
        <w:t>118</w:t>
      </w:r>
      <w:r w:rsidR="007A7DF3" w:rsidRPr="000C6ABF">
        <w:rPr>
          <w:lang w:val="fr-CH"/>
        </w:rPr>
        <w:tab/>
        <w:t>Le tableau des flux de trésorerie identifie les sources des flux de trésorerie, les éléments auxquels les flux ont été affectés au cours de la période considérée et le solde de trésorerie à la clôture de la période.</w:t>
      </w:r>
    </w:p>
    <w:p w:rsidR="00DE5F8B" w:rsidRPr="000C6ABF" w:rsidRDefault="000E2826" w:rsidP="007F30DC">
      <w:pPr>
        <w:rPr>
          <w:lang w:val="fr-CH"/>
        </w:rPr>
      </w:pPr>
      <w:r w:rsidRPr="000C6ABF">
        <w:rPr>
          <w:lang w:val="fr-CH"/>
        </w:rPr>
        <w:t>119</w:t>
      </w:r>
      <w:r w:rsidR="007A7DF3" w:rsidRPr="000C6ABF">
        <w:rPr>
          <w:lang w:val="fr-CH"/>
        </w:rPr>
        <w:tab/>
        <w:t>En 201</w:t>
      </w:r>
      <w:r w:rsidR="002D7104" w:rsidRPr="000C6ABF">
        <w:rPr>
          <w:lang w:val="fr-CH"/>
        </w:rPr>
        <w:t>3</w:t>
      </w:r>
      <w:r w:rsidR="007A7DF3" w:rsidRPr="000C6ABF">
        <w:rPr>
          <w:lang w:val="fr-CH"/>
        </w:rPr>
        <w:t>, l'UIT a enregistré un flux de trésorerie provenant des activités opérationnelles (</w:t>
      </w:r>
      <w:r w:rsidR="006C1452" w:rsidRPr="000C6ABF">
        <w:rPr>
          <w:rFonts w:ascii="Symbol" w:hAnsi="Symbol"/>
          <w:lang w:val="fr-CH"/>
        </w:rPr>
        <w:noBreakHyphen/>
      </w:r>
      <w:r w:rsidR="006C1452" w:rsidRPr="000C6ABF">
        <w:rPr>
          <w:rFonts w:asciiTheme="minorHAnsi" w:hAnsiTheme="minorHAnsi"/>
          <w:lang w:val="fr-CH"/>
        </w:rPr>
        <w:t>9,1 </w:t>
      </w:r>
      <w:r w:rsidR="007A7DF3" w:rsidRPr="000C6ABF">
        <w:rPr>
          <w:lang w:val="fr-CH"/>
        </w:rPr>
        <w:t xml:space="preserve">millions CHF) </w:t>
      </w:r>
      <w:r w:rsidR="00CF7A0D" w:rsidRPr="000C6ABF">
        <w:rPr>
          <w:lang w:val="fr-CH"/>
        </w:rPr>
        <w:t>moins négatif</w:t>
      </w:r>
      <w:r w:rsidR="006C1452" w:rsidRPr="000C6ABF">
        <w:rPr>
          <w:lang w:val="fr-CH"/>
        </w:rPr>
        <w:t xml:space="preserve"> </w:t>
      </w:r>
      <w:r w:rsidR="007F30DC" w:rsidRPr="000C6ABF">
        <w:rPr>
          <w:lang w:val="fr-CH"/>
        </w:rPr>
        <w:t xml:space="preserve">qu'en 2012 </w:t>
      </w:r>
      <w:r w:rsidR="007A7DF3" w:rsidRPr="000C6ABF">
        <w:rPr>
          <w:lang w:val="fr-CH"/>
        </w:rPr>
        <w:t>(</w:t>
      </w:r>
      <w:r w:rsidR="006C1452" w:rsidRPr="000C6ABF">
        <w:rPr>
          <w:lang w:val="fr-CH"/>
        </w:rPr>
        <w:t>–13 </w:t>
      </w:r>
      <w:r w:rsidR="007A7DF3" w:rsidRPr="000C6ABF">
        <w:rPr>
          <w:lang w:val="fr-CH"/>
        </w:rPr>
        <w:t>millions CHF). En 201</w:t>
      </w:r>
      <w:r w:rsidR="000F6DBD" w:rsidRPr="000C6ABF">
        <w:rPr>
          <w:lang w:val="fr-CH"/>
        </w:rPr>
        <w:t>3</w:t>
      </w:r>
      <w:r w:rsidR="007A7DF3" w:rsidRPr="000C6ABF">
        <w:rPr>
          <w:lang w:val="fr-CH"/>
        </w:rPr>
        <w:t>, comme en 201</w:t>
      </w:r>
      <w:r w:rsidR="000F6DBD" w:rsidRPr="000C6ABF">
        <w:rPr>
          <w:lang w:val="fr-CH"/>
        </w:rPr>
        <w:t xml:space="preserve">2 et </w:t>
      </w:r>
      <w:r w:rsidR="007F30DC" w:rsidRPr="000C6ABF">
        <w:rPr>
          <w:lang w:val="fr-CH"/>
        </w:rPr>
        <w:t xml:space="preserve">en </w:t>
      </w:r>
      <w:r w:rsidR="000F6DBD" w:rsidRPr="000C6ABF">
        <w:rPr>
          <w:lang w:val="fr-CH"/>
        </w:rPr>
        <w:t>2011</w:t>
      </w:r>
      <w:r w:rsidR="007A7DF3" w:rsidRPr="000C6ABF">
        <w:rPr>
          <w:lang w:val="fr-CH"/>
        </w:rPr>
        <w:t>, les flux de trésorerie provenant des activités de financement (–1,5 million CHF) ont aussi été négatifs</w:t>
      </w:r>
      <w:r w:rsidR="007F30DC" w:rsidRPr="000C6ABF">
        <w:rPr>
          <w:lang w:val="fr-CH"/>
        </w:rPr>
        <w:t>,</w:t>
      </w:r>
      <w:r w:rsidR="00CF7A0D" w:rsidRPr="000C6ABF">
        <w:rPr>
          <w:lang w:val="fr-CH"/>
        </w:rPr>
        <w:t xml:space="preserve"> </w:t>
      </w:r>
      <w:r w:rsidR="007F30DC" w:rsidRPr="000C6ABF">
        <w:rPr>
          <w:lang w:val="fr-CH"/>
        </w:rPr>
        <w:t>en raison du</w:t>
      </w:r>
      <w:r w:rsidR="007A7DF3" w:rsidRPr="000C6ABF">
        <w:rPr>
          <w:lang w:val="fr-CH"/>
        </w:rPr>
        <w:t xml:space="preserve"> remboursement de l'emprunt à la FIPOI. Les flux nets de trésorerie provenant des activités d'investissement </w:t>
      </w:r>
      <w:r w:rsidR="007F30DC" w:rsidRPr="000C6ABF">
        <w:rPr>
          <w:lang w:val="fr-CH"/>
        </w:rPr>
        <w:t xml:space="preserve">ont été en recul sensible </w:t>
      </w:r>
      <w:r w:rsidR="000F6DBD" w:rsidRPr="000C6ABF">
        <w:rPr>
          <w:lang w:val="fr-CH"/>
        </w:rPr>
        <w:t xml:space="preserve">(–19,6 millions CHF) </w:t>
      </w:r>
      <w:r w:rsidR="007F30DC" w:rsidRPr="000C6ABF">
        <w:rPr>
          <w:lang w:val="fr-CH"/>
        </w:rPr>
        <w:t xml:space="preserve">par rapport à </w:t>
      </w:r>
      <w:r w:rsidR="00CF7A0D" w:rsidRPr="000C6ABF">
        <w:rPr>
          <w:lang w:val="fr-CH"/>
        </w:rPr>
        <w:t>2012</w:t>
      </w:r>
      <w:r w:rsidR="000F6DBD" w:rsidRPr="000C6ABF">
        <w:rPr>
          <w:lang w:val="fr-CH"/>
        </w:rPr>
        <w:t xml:space="preserve"> </w:t>
      </w:r>
      <w:r w:rsidR="007F30DC" w:rsidRPr="000C6ABF">
        <w:rPr>
          <w:lang w:val="fr-CH"/>
        </w:rPr>
        <w:t>(</w:t>
      </w:r>
      <w:r w:rsidR="007A7DF3" w:rsidRPr="000C6ABF">
        <w:rPr>
          <w:lang w:val="fr-CH"/>
        </w:rPr>
        <w:t>32,3 millions CHF</w:t>
      </w:r>
      <w:r w:rsidR="007F30DC" w:rsidRPr="000C6ABF">
        <w:rPr>
          <w:lang w:val="fr-CH"/>
        </w:rPr>
        <w:t>)</w:t>
      </w:r>
      <w:r w:rsidR="007A7DF3" w:rsidRPr="000C6ABF">
        <w:rPr>
          <w:lang w:val="fr-CH"/>
        </w:rPr>
        <w:t xml:space="preserve"> principalement en raison de l</w:t>
      </w:r>
      <w:r w:rsidR="000F6DBD" w:rsidRPr="000C6ABF">
        <w:rPr>
          <w:lang w:val="fr-CH"/>
        </w:rPr>
        <w:t xml:space="preserve">'augmentation </w:t>
      </w:r>
      <w:r w:rsidR="007A7DF3" w:rsidRPr="000C6ABF">
        <w:rPr>
          <w:lang w:val="fr-CH"/>
        </w:rPr>
        <w:t xml:space="preserve">des investissements </w:t>
      </w:r>
      <w:r w:rsidR="000F6DBD" w:rsidRPr="000C6ABF">
        <w:rPr>
          <w:lang w:val="fr-CH"/>
        </w:rPr>
        <w:t>et</w:t>
      </w:r>
      <w:r w:rsidR="00CF7A0D" w:rsidRPr="000C6ABF">
        <w:rPr>
          <w:lang w:val="fr-CH"/>
        </w:rPr>
        <w:t xml:space="preserve"> de l</w:t>
      </w:r>
      <w:r w:rsidR="00AB0C69" w:rsidRPr="000C6ABF">
        <w:rPr>
          <w:lang w:val="fr-CH"/>
        </w:rPr>
        <w:t>'</w:t>
      </w:r>
      <w:r w:rsidR="00CF7A0D" w:rsidRPr="000C6ABF">
        <w:rPr>
          <w:lang w:val="fr-CH"/>
        </w:rPr>
        <w:t>acquisition de biens, de matériels et d</w:t>
      </w:r>
      <w:r w:rsidR="00AB0C69" w:rsidRPr="000C6ABF">
        <w:rPr>
          <w:lang w:val="fr-CH"/>
        </w:rPr>
        <w:t>'</w:t>
      </w:r>
      <w:r w:rsidR="00CF7A0D" w:rsidRPr="000C6ABF">
        <w:rPr>
          <w:lang w:val="fr-CH"/>
        </w:rPr>
        <w:t>équipements</w:t>
      </w:r>
      <w:r w:rsidR="007A7DF3" w:rsidRPr="000C6ABF">
        <w:rPr>
          <w:lang w:val="fr-CH"/>
        </w:rPr>
        <w:t>.</w:t>
      </w:r>
    </w:p>
    <w:p w:rsidR="007A7DF3" w:rsidRPr="000C6ABF" w:rsidRDefault="000E2826" w:rsidP="00AB0C69">
      <w:pPr>
        <w:rPr>
          <w:lang w:val="fr-CH"/>
        </w:rPr>
      </w:pPr>
      <w:r w:rsidRPr="000C6ABF">
        <w:rPr>
          <w:lang w:val="fr-CH"/>
        </w:rPr>
        <w:t>120</w:t>
      </w:r>
      <w:r w:rsidR="007A7DF3" w:rsidRPr="000C6ABF">
        <w:rPr>
          <w:lang w:val="fr-CH"/>
        </w:rPr>
        <w:tab/>
        <w:t xml:space="preserve">Le résultat net de la trésorerie et des équivalents de trésorerie fait apparaître une augmentation de </w:t>
      </w:r>
      <w:r w:rsidR="00CC3EDB" w:rsidRPr="000C6ABF">
        <w:rPr>
          <w:lang w:val="fr-CH"/>
        </w:rPr>
        <w:t>20</w:t>
      </w:r>
      <w:r w:rsidR="007A7DF3" w:rsidRPr="000C6ABF">
        <w:rPr>
          <w:lang w:val="fr-CH"/>
        </w:rPr>
        <w:t>,</w:t>
      </w:r>
      <w:r w:rsidR="00CC3EDB" w:rsidRPr="000C6ABF">
        <w:rPr>
          <w:lang w:val="fr-CH"/>
        </w:rPr>
        <w:t>2</w:t>
      </w:r>
      <w:r w:rsidR="007A7DF3" w:rsidRPr="000C6ABF">
        <w:rPr>
          <w:lang w:val="fr-CH"/>
        </w:rPr>
        <w:t xml:space="preserve"> millions CHF </w:t>
      </w:r>
      <w:r w:rsidR="00CC3EDB" w:rsidRPr="000C6ABF">
        <w:rPr>
          <w:lang w:val="fr-CH"/>
        </w:rPr>
        <w:t>en 2013</w:t>
      </w:r>
      <w:r w:rsidR="007A7DF3" w:rsidRPr="000C6ABF">
        <w:rPr>
          <w:lang w:val="fr-CH"/>
        </w:rPr>
        <w:t>. Nous avons vérifié les entrées sous-jacentes en sélectionnant des échantillons de certains comptes et constaté que toutes les opérations choisies étaient correctement étayées par des pièces justificatives. L'état des flux de trésorerie est ainsi vérifié et confirmé.</w:t>
      </w:r>
    </w:p>
    <w:p w:rsidR="000E2826" w:rsidRPr="000C6ABF" w:rsidRDefault="000C5F72" w:rsidP="00384B73">
      <w:pPr>
        <w:pStyle w:val="Heading1"/>
        <w:spacing w:before="400"/>
        <w:ind w:left="0" w:firstLine="0"/>
        <w:rPr>
          <w:lang w:val="fr-CH"/>
        </w:rPr>
      </w:pPr>
      <w:bookmarkStart w:id="282" w:name="_Toc358123339"/>
      <w:bookmarkStart w:id="283" w:name="_Toc398277657"/>
      <w:bookmarkStart w:id="284" w:name="_Toc356330913"/>
      <w:bookmarkStart w:id="285" w:name="_Toc396386978"/>
      <w:bookmarkStart w:id="286" w:name="_Toc396387858"/>
      <w:bookmarkStart w:id="287" w:name="_Toc396387972"/>
      <w:r w:rsidRPr="000C6ABF">
        <w:rPr>
          <w:lang w:val="fr-CH"/>
        </w:rPr>
        <w:t>CAISSE D'ASSURANCE DU PERSONNEL</w:t>
      </w:r>
      <w:bookmarkEnd w:id="282"/>
      <w:bookmarkEnd w:id="283"/>
      <w:r w:rsidRPr="000C6ABF">
        <w:rPr>
          <w:lang w:val="fr-CH"/>
        </w:rPr>
        <w:t xml:space="preserve"> </w:t>
      </w:r>
      <w:bookmarkEnd w:id="284"/>
      <w:bookmarkEnd w:id="285"/>
      <w:bookmarkEnd w:id="286"/>
      <w:bookmarkEnd w:id="287"/>
    </w:p>
    <w:p w:rsidR="000E2826" w:rsidRPr="000C6ABF" w:rsidRDefault="000E2826" w:rsidP="007F30DC">
      <w:pPr>
        <w:rPr>
          <w:lang w:val="fr-CH"/>
        </w:rPr>
      </w:pPr>
      <w:r w:rsidRPr="000C6ABF">
        <w:rPr>
          <w:lang w:val="fr-CH"/>
        </w:rPr>
        <w:t>121</w:t>
      </w:r>
      <w:r w:rsidRPr="000C6ABF">
        <w:rPr>
          <w:lang w:val="fr-CH"/>
        </w:rPr>
        <w:tab/>
        <w:t xml:space="preserve">Les </w:t>
      </w:r>
      <w:r w:rsidR="007F30DC" w:rsidRPr="000C6ABF">
        <w:rPr>
          <w:lang w:val="fr-CH"/>
        </w:rPr>
        <w:t>F</w:t>
      </w:r>
      <w:r w:rsidRPr="000C6ABF">
        <w:rPr>
          <w:lang w:val="fr-CH"/>
        </w:rPr>
        <w:t xml:space="preserve">onds </w:t>
      </w:r>
      <w:r w:rsidR="007F30DC" w:rsidRPr="000C6ABF">
        <w:rPr>
          <w:lang w:val="fr-CH"/>
        </w:rPr>
        <w:t xml:space="preserve">indiqués dans </w:t>
      </w:r>
      <w:r w:rsidRPr="000C6ABF">
        <w:rPr>
          <w:lang w:val="fr-CH"/>
        </w:rPr>
        <w:t>l'Annexe B2 des états financiers de l'UIT du Rapport de gestion financière sont au nombre de trois</w:t>
      </w:r>
      <w:r w:rsidR="00384B73">
        <w:rPr>
          <w:lang w:val="fr-CH"/>
        </w:rPr>
        <w:t>,</w:t>
      </w:r>
      <w:r w:rsidRPr="000C6ABF">
        <w:rPr>
          <w:lang w:val="fr-CH"/>
        </w:rPr>
        <w:t xml:space="preserve"> </w:t>
      </w:r>
      <w:r w:rsidR="007F30DC" w:rsidRPr="000C6ABF">
        <w:rPr>
          <w:lang w:val="fr-CH"/>
        </w:rPr>
        <w:t xml:space="preserve">à savoir: le </w:t>
      </w:r>
      <w:r w:rsidRPr="000C6ABF">
        <w:rPr>
          <w:lang w:val="fr-CH"/>
        </w:rPr>
        <w:t xml:space="preserve">"Fonds de réserve et des compléments" (actif total de 6,3 millions CHF), </w:t>
      </w:r>
      <w:r w:rsidR="007F30DC" w:rsidRPr="000C6ABF">
        <w:rPr>
          <w:lang w:val="fr-CH"/>
        </w:rPr>
        <w:t xml:space="preserve">le </w:t>
      </w:r>
      <w:r w:rsidRPr="000C6ABF">
        <w:rPr>
          <w:lang w:val="fr-CH"/>
        </w:rPr>
        <w:t xml:space="preserve">"Fonds de pensions" (actif total d'environ 1,5 million CHF) et </w:t>
      </w:r>
      <w:r w:rsidR="007F30DC" w:rsidRPr="000C6ABF">
        <w:rPr>
          <w:lang w:val="fr-CH"/>
        </w:rPr>
        <w:t xml:space="preserve">le </w:t>
      </w:r>
      <w:r w:rsidRPr="000C6ABF">
        <w:rPr>
          <w:lang w:val="fr-CH"/>
        </w:rPr>
        <w:t xml:space="preserve">"Fonds d'intervention" (actif total d'environ 0,2 million CHF). </w:t>
      </w:r>
    </w:p>
    <w:p w:rsidR="000E2826" w:rsidRPr="000C6ABF" w:rsidRDefault="000E2826" w:rsidP="007F30DC">
      <w:pPr>
        <w:rPr>
          <w:lang w:val="fr-CH"/>
        </w:rPr>
      </w:pPr>
      <w:r w:rsidRPr="000C6ABF">
        <w:rPr>
          <w:lang w:val="fr-CH"/>
        </w:rPr>
        <w:t>122</w:t>
      </w:r>
      <w:r w:rsidRPr="000C6ABF">
        <w:rPr>
          <w:lang w:val="fr-CH"/>
        </w:rPr>
        <w:tab/>
        <w:t xml:space="preserve">Nous avons vérifié les trois Fonds et les </w:t>
      </w:r>
      <w:r w:rsidR="007F30DC" w:rsidRPr="000C6ABF">
        <w:rPr>
          <w:lang w:val="fr-CH"/>
        </w:rPr>
        <w:t>transactions</w:t>
      </w:r>
      <w:r w:rsidRPr="000C6ABF">
        <w:rPr>
          <w:lang w:val="fr-CH"/>
        </w:rPr>
        <w:t xml:space="preserve"> sous-jacentes </w:t>
      </w:r>
      <w:r w:rsidR="007F30DC" w:rsidRPr="000C6ABF">
        <w:rPr>
          <w:lang w:val="fr-CH"/>
        </w:rPr>
        <w:t xml:space="preserve">et n'avons décelé aucune </w:t>
      </w:r>
      <w:r w:rsidRPr="000C6ABF">
        <w:rPr>
          <w:lang w:val="fr-CH"/>
        </w:rPr>
        <w:t xml:space="preserve">erreur </w:t>
      </w:r>
      <w:r w:rsidR="007F30DC" w:rsidRPr="000C6ABF">
        <w:rPr>
          <w:lang w:val="fr-CH"/>
        </w:rPr>
        <w:t xml:space="preserve">ou </w:t>
      </w:r>
      <w:r w:rsidRPr="000C6ABF">
        <w:rPr>
          <w:lang w:val="fr-CH"/>
        </w:rPr>
        <w:t>inexactitude.</w:t>
      </w:r>
    </w:p>
    <w:p w:rsidR="008A1042" w:rsidRPr="000C6ABF" w:rsidRDefault="000E2826" w:rsidP="003C23FC">
      <w:pPr>
        <w:rPr>
          <w:lang w:val="fr-CH"/>
        </w:rPr>
      </w:pPr>
      <w:r w:rsidRPr="000C6ABF">
        <w:rPr>
          <w:lang w:val="fr-CH"/>
        </w:rPr>
        <w:t>123</w:t>
      </w:r>
      <w:r w:rsidRPr="000C6ABF">
        <w:rPr>
          <w:lang w:val="fr-CH"/>
        </w:rPr>
        <w:tab/>
      </w:r>
      <w:r w:rsidR="00CF7A0D" w:rsidRPr="000C6ABF">
        <w:rPr>
          <w:lang w:val="fr-CH"/>
        </w:rPr>
        <w:t xml:space="preserve">Nous avons constaté </w:t>
      </w:r>
      <w:r w:rsidR="007F30DC" w:rsidRPr="000C6ABF">
        <w:rPr>
          <w:lang w:val="fr-CH"/>
        </w:rPr>
        <w:t xml:space="preserve">que la </w:t>
      </w:r>
      <w:r w:rsidR="00CF7A0D" w:rsidRPr="000C6ABF">
        <w:rPr>
          <w:lang w:val="fr-CH"/>
        </w:rPr>
        <w:t xml:space="preserve">procédure </w:t>
      </w:r>
      <w:r w:rsidR="007F30DC" w:rsidRPr="000C6ABF">
        <w:rPr>
          <w:lang w:val="fr-CH"/>
        </w:rPr>
        <w:t xml:space="preserve">pour </w:t>
      </w:r>
      <w:r w:rsidR="00CF7A0D" w:rsidRPr="000C6ABF">
        <w:rPr>
          <w:lang w:val="fr-CH"/>
        </w:rPr>
        <w:t>vérifi</w:t>
      </w:r>
      <w:r w:rsidR="007F30DC" w:rsidRPr="000C6ABF">
        <w:rPr>
          <w:lang w:val="fr-CH"/>
        </w:rPr>
        <w:t xml:space="preserve">er si les </w:t>
      </w:r>
      <w:r w:rsidR="00CF7A0D" w:rsidRPr="000C6ABF">
        <w:rPr>
          <w:lang w:val="fr-CH"/>
        </w:rPr>
        <w:t xml:space="preserve">bénéficiaires </w:t>
      </w:r>
      <w:r w:rsidR="007F30DC" w:rsidRPr="000C6ABF">
        <w:rPr>
          <w:lang w:val="fr-CH"/>
        </w:rPr>
        <w:t xml:space="preserve">sont bien en vie et pour suspendre ou annuler le versement </w:t>
      </w:r>
      <w:r w:rsidR="004F7D4C" w:rsidRPr="000C6ABF">
        <w:rPr>
          <w:lang w:val="fr-CH"/>
        </w:rPr>
        <w:t>des retraites</w:t>
      </w:r>
      <w:r w:rsidR="007F30DC" w:rsidRPr="000C6ABF">
        <w:rPr>
          <w:lang w:val="fr-CH"/>
        </w:rPr>
        <w:t xml:space="preserve"> est assez lente</w:t>
      </w:r>
      <w:r w:rsidR="004F7D4C" w:rsidRPr="000C6ABF">
        <w:rPr>
          <w:lang w:val="fr-CH"/>
        </w:rPr>
        <w:t>. Nous avons noté dans un cas particulier qu</w:t>
      </w:r>
      <w:r w:rsidR="00AB0C69" w:rsidRPr="000C6ABF">
        <w:rPr>
          <w:lang w:val="fr-CH"/>
        </w:rPr>
        <w:t>'</w:t>
      </w:r>
      <w:r w:rsidR="004F7D4C" w:rsidRPr="000C6ABF">
        <w:rPr>
          <w:lang w:val="fr-CH"/>
        </w:rPr>
        <w:t xml:space="preserve">après un résultat négatif pour la première étape de cette procédure </w:t>
      </w:r>
      <w:r w:rsidRPr="000C6ABF">
        <w:rPr>
          <w:lang w:val="fr-CH"/>
        </w:rPr>
        <w:t>(</w:t>
      </w:r>
      <w:r w:rsidR="006B5B96" w:rsidRPr="000C6ABF">
        <w:rPr>
          <w:lang w:val="fr-CH"/>
        </w:rPr>
        <w:t>"</w:t>
      </w:r>
      <w:r w:rsidRPr="000C6ABF">
        <w:rPr>
          <w:i/>
          <w:iCs/>
          <w:lang w:val="fr-CH"/>
        </w:rPr>
        <w:t>Attestation – Preuve de vie</w:t>
      </w:r>
      <w:r w:rsidR="006B5B96" w:rsidRPr="000C6ABF">
        <w:rPr>
          <w:lang w:val="fr-CH"/>
        </w:rPr>
        <w:t>"</w:t>
      </w:r>
      <w:r w:rsidRPr="000C6ABF">
        <w:rPr>
          <w:lang w:val="fr-CH"/>
        </w:rPr>
        <w:t>)</w:t>
      </w:r>
      <w:r w:rsidR="004F7D4C" w:rsidRPr="000C6ABF">
        <w:rPr>
          <w:lang w:val="fr-CH"/>
        </w:rPr>
        <w:t>, le 15 décembre 2011, des versements mensuels sont toujours enregistrés en 2013 même s</w:t>
      </w:r>
      <w:r w:rsidR="00AB0C69" w:rsidRPr="000C6ABF">
        <w:rPr>
          <w:lang w:val="fr-CH"/>
        </w:rPr>
        <w:t>'</w:t>
      </w:r>
      <w:r w:rsidR="004F7D4C" w:rsidRPr="000C6ABF">
        <w:rPr>
          <w:lang w:val="fr-CH"/>
        </w:rPr>
        <w:t xml:space="preserve">ils </w:t>
      </w:r>
      <w:r w:rsidR="007F30DC" w:rsidRPr="000C6ABF">
        <w:rPr>
          <w:lang w:val="fr-CH"/>
        </w:rPr>
        <w:t>avaient été</w:t>
      </w:r>
      <w:r w:rsidR="00384B73">
        <w:rPr>
          <w:lang w:val="fr-CH"/>
        </w:rPr>
        <w:t xml:space="preserve"> bloqués et non envoyés.</w:t>
      </w:r>
    </w:p>
    <w:p w:rsidR="00303397" w:rsidRPr="000C6ABF" w:rsidRDefault="00303397" w:rsidP="00AB0C69">
      <w:pPr>
        <w:rPr>
          <w:lang w:val="fr-CH"/>
        </w:rPr>
      </w:pPr>
      <w:r w:rsidRPr="000C6ABF">
        <w:rPr>
          <w:lang w:val="fr-CH"/>
        </w:rPr>
        <w:lastRenderedPageBreak/>
        <w:t>124</w:t>
      </w:r>
      <w:r w:rsidRPr="000C6ABF">
        <w:rPr>
          <w:lang w:val="fr-CH"/>
        </w:rPr>
        <w:tab/>
        <w:t>S'agissant du "Fonds de réserve et des compléments" et du "Fonds d'intervention", dans l'état du passif, sous la rubrique "Avantages du personnel", deux provisions actuarielles, respectivement de 54 000 CHF et 36 000 CHF, sont inscrites conformément à une expertise actuarielle effectuée en 2010.</w:t>
      </w:r>
    </w:p>
    <w:p w:rsidR="00303397" w:rsidRPr="000C6ABF" w:rsidRDefault="00303397" w:rsidP="007F30DC">
      <w:pPr>
        <w:rPr>
          <w:lang w:val="fr-CH"/>
        </w:rPr>
      </w:pPr>
      <w:r w:rsidRPr="000C6ABF">
        <w:rPr>
          <w:lang w:val="fr-CH"/>
        </w:rPr>
        <w:t>125</w:t>
      </w:r>
      <w:r w:rsidRPr="000C6ABF">
        <w:rPr>
          <w:lang w:val="fr-CH"/>
        </w:rPr>
        <w:tab/>
      </w:r>
      <w:r w:rsidR="004F7D4C" w:rsidRPr="000C6ABF">
        <w:rPr>
          <w:lang w:val="fr-CH"/>
        </w:rPr>
        <w:t>L</w:t>
      </w:r>
      <w:r w:rsidR="00AB0C69" w:rsidRPr="000C6ABF">
        <w:rPr>
          <w:lang w:val="fr-CH"/>
        </w:rPr>
        <w:t>'</w:t>
      </w:r>
      <w:r w:rsidR="004F7D4C" w:rsidRPr="000C6ABF">
        <w:rPr>
          <w:lang w:val="fr-CH"/>
        </w:rPr>
        <w:t>an dernier, comme nos prédécesseurs et compte tenu de</w:t>
      </w:r>
      <w:r w:rsidR="007F30DC" w:rsidRPr="000C6ABF">
        <w:rPr>
          <w:lang w:val="fr-CH"/>
        </w:rPr>
        <w:t>s montants non significatifs</w:t>
      </w:r>
      <w:r w:rsidR="004F7D4C" w:rsidRPr="000C6ABF">
        <w:rPr>
          <w:lang w:val="fr-CH"/>
        </w:rPr>
        <w:t xml:space="preserve"> de ces provisions par rapport à la valeur de l</w:t>
      </w:r>
      <w:r w:rsidR="00AB0C69" w:rsidRPr="000C6ABF">
        <w:rPr>
          <w:lang w:val="fr-CH"/>
        </w:rPr>
        <w:t>'</w:t>
      </w:r>
      <w:r w:rsidR="004F7D4C" w:rsidRPr="000C6ABF">
        <w:rPr>
          <w:lang w:val="fr-CH"/>
        </w:rPr>
        <w:t xml:space="preserve">actif, nous recommandons </w:t>
      </w:r>
      <w:r w:rsidRPr="000C6ABF">
        <w:rPr>
          <w:lang w:val="fr-CH"/>
        </w:rPr>
        <w:t>(Rec</w:t>
      </w:r>
      <w:r w:rsidR="007F30DC" w:rsidRPr="000C6ABF">
        <w:rPr>
          <w:lang w:val="fr-CH"/>
        </w:rPr>
        <w:t>ommandation N°</w:t>
      </w:r>
      <w:r w:rsidRPr="000C6ABF">
        <w:rPr>
          <w:lang w:val="fr-CH"/>
        </w:rPr>
        <w:t xml:space="preserve"> 11/2012) </w:t>
      </w:r>
      <w:r w:rsidR="004F7D4C" w:rsidRPr="000C6ABF">
        <w:rPr>
          <w:lang w:val="fr-CH"/>
        </w:rPr>
        <w:t xml:space="preserve">de procéder à une évaluation actuarielle tous les cinq ans. </w:t>
      </w:r>
    </w:p>
    <w:p w:rsidR="00303397" w:rsidRPr="000C6ABF" w:rsidRDefault="00303397" w:rsidP="007F30DC">
      <w:pPr>
        <w:rPr>
          <w:lang w:val="fr-CH"/>
        </w:rPr>
      </w:pPr>
      <w:r w:rsidRPr="000C6ABF">
        <w:rPr>
          <w:lang w:val="fr-CH"/>
        </w:rPr>
        <w:t>126</w:t>
      </w:r>
      <w:r w:rsidRPr="000C6ABF">
        <w:rPr>
          <w:lang w:val="fr-CH"/>
        </w:rPr>
        <w:tab/>
      </w:r>
      <w:r w:rsidR="004F7D4C" w:rsidRPr="000C6ABF">
        <w:rPr>
          <w:lang w:val="fr-CH"/>
        </w:rPr>
        <w:t>Nous prenons acte du fait que le Secrétaire général l</w:t>
      </w:r>
      <w:r w:rsidR="00AB0C69" w:rsidRPr="000C6ABF">
        <w:rPr>
          <w:lang w:val="fr-CH"/>
        </w:rPr>
        <w:t>'</w:t>
      </w:r>
      <w:r w:rsidR="004F7D4C" w:rsidRPr="000C6ABF">
        <w:rPr>
          <w:lang w:val="fr-CH"/>
        </w:rPr>
        <w:t xml:space="preserve">an dernier </w:t>
      </w:r>
      <w:r w:rsidR="007F30DC" w:rsidRPr="000C6ABF">
        <w:rPr>
          <w:lang w:val="fr-CH"/>
        </w:rPr>
        <w:t>a</w:t>
      </w:r>
      <w:r w:rsidR="004F7D4C" w:rsidRPr="000C6ABF">
        <w:rPr>
          <w:lang w:val="fr-CH"/>
        </w:rPr>
        <w:t xml:space="preserve"> charg</w:t>
      </w:r>
      <w:r w:rsidR="007F30DC" w:rsidRPr="000C6ABF">
        <w:rPr>
          <w:lang w:val="fr-CH"/>
        </w:rPr>
        <w:t>é</w:t>
      </w:r>
      <w:r w:rsidR="004F7D4C" w:rsidRPr="000C6ABF">
        <w:rPr>
          <w:lang w:val="fr-CH"/>
        </w:rPr>
        <w:t xml:space="preserve"> le Département de la gestion des ressources financières de mener en 2015 une nouvelle étude actuarielle pour l</w:t>
      </w:r>
      <w:r w:rsidR="00AB0C69" w:rsidRPr="000C6ABF">
        <w:rPr>
          <w:lang w:val="fr-CH"/>
        </w:rPr>
        <w:t>'</w:t>
      </w:r>
      <w:r w:rsidR="004F7D4C" w:rsidRPr="000C6ABF">
        <w:rPr>
          <w:lang w:val="fr-CH"/>
        </w:rPr>
        <w:t>ancienne Caisse des pensions. Nous suivrons l</w:t>
      </w:r>
      <w:r w:rsidR="00AB0C69" w:rsidRPr="000C6ABF">
        <w:rPr>
          <w:lang w:val="fr-CH"/>
        </w:rPr>
        <w:t>'</w:t>
      </w:r>
      <w:r w:rsidR="004F7D4C" w:rsidRPr="000C6ABF">
        <w:rPr>
          <w:lang w:val="fr-CH"/>
        </w:rPr>
        <w:t>évolution de la mise en œuvre de cette recommandation</w:t>
      </w:r>
      <w:r w:rsidRPr="000C6ABF">
        <w:rPr>
          <w:lang w:val="fr-CH"/>
        </w:rPr>
        <w:t>.</w:t>
      </w:r>
    </w:p>
    <w:p w:rsidR="008860BD" w:rsidRPr="000C6ABF" w:rsidRDefault="008860BD" w:rsidP="00384B73">
      <w:pPr>
        <w:pStyle w:val="Heading1"/>
        <w:spacing w:before="400"/>
        <w:ind w:left="0" w:firstLine="0"/>
        <w:rPr>
          <w:lang w:val="fr-CH"/>
        </w:rPr>
      </w:pPr>
      <w:bookmarkStart w:id="288" w:name="_Toc358123342"/>
      <w:bookmarkStart w:id="289" w:name="_Toc396386979"/>
      <w:bookmarkStart w:id="290" w:name="_Toc396387859"/>
      <w:bookmarkStart w:id="291" w:name="_Toc396387973"/>
      <w:bookmarkStart w:id="292" w:name="_Toc398277658"/>
      <w:r w:rsidRPr="000C6ABF">
        <w:rPr>
          <w:lang w:val="fr-CH"/>
        </w:rPr>
        <w:t>PROGRAMME DES NATIONS UNIES POUR LE DÉVELOPPEMENT (PNUD), FD-TIC ET FONDS D'AFFECTATION SPÉCIALE</w:t>
      </w:r>
      <w:bookmarkEnd w:id="288"/>
      <w:bookmarkEnd w:id="289"/>
      <w:bookmarkEnd w:id="290"/>
      <w:bookmarkEnd w:id="291"/>
      <w:bookmarkEnd w:id="292"/>
    </w:p>
    <w:p w:rsidR="008860BD" w:rsidRPr="000C6ABF" w:rsidRDefault="008860BD" w:rsidP="00AB0C69">
      <w:pPr>
        <w:rPr>
          <w:lang w:val="fr-CH"/>
        </w:rPr>
      </w:pPr>
      <w:r w:rsidRPr="000C6ABF">
        <w:rPr>
          <w:lang w:val="fr-CH"/>
        </w:rPr>
        <w:t>127</w:t>
      </w:r>
      <w:r w:rsidRPr="000C6ABF">
        <w:rPr>
          <w:lang w:val="fr-CH"/>
        </w:rPr>
        <w:tab/>
        <w:t>La Règle N° 5 de l'Annexe 2 du Règlement financier prévoit que "</w:t>
      </w:r>
      <w:r w:rsidRPr="000C6ABF">
        <w:rPr>
          <w:i/>
          <w:iCs/>
          <w:lang w:val="fr-CH"/>
        </w:rPr>
        <w:t>un compte distinct est ouvert pour chaque versement de contribution volontaire ou de fonds d'affectation spéciale dans un compte spécial de l'Union</w:t>
      </w:r>
      <w:r w:rsidRPr="000C6ABF">
        <w:rPr>
          <w:lang w:val="fr-CH"/>
        </w:rPr>
        <w:t>".</w:t>
      </w:r>
    </w:p>
    <w:p w:rsidR="008860BD" w:rsidRPr="000C6ABF" w:rsidRDefault="008860BD" w:rsidP="00AB0C69">
      <w:pPr>
        <w:rPr>
          <w:lang w:val="fr-CH"/>
        </w:rPr>
      </w:pPr>
      <w:r w:rsidRPr="000C6ABF">
        <w:rPr>
          <w:lang w:val="fr-CH"/>
        </w:rPr>
        <w:t>128</w:t>
      </w:r>
      <w:r w:rsidRPr="000C6ABF">
        <w:rPr>
          <w:lang w:val="fr-CH"/>
        </w:rPr>
        <w:tab/>
        <w:t>Dans l'Annexe B3 du Rapport de gestion financière sont répertoriés deux projets actuellement liés à l'activité du PNUD. L'Annexe B4 du Rapport de gestion financière présente les projets relevant du Fonds d'affectation spéciale. Certains projets sont financés par un prélèvement sur le FD-TIC, autorisé par une décision de la commission de direction du FD-TIC. D'autres sont financés par des contributions spécifiques et régis par des accords avec les donateurs. A l'Annexe</w:t>
      </w:r>
      <w:r w:rsidR="00E07297" w:rsidRPr="000C6ABF">
        <w:rPr>
          <w:lang w:val="fr-CH"/>
        </w:rPr>
        <w:t> B5</w:t>
      </w:r>
      <w:r w:rsidRPr="000C6ABF">
        <w:rPr>
          <w:lang w:val="fr-CH"/>
        </w:rPr>
        <w:t xml:space="preserve"> sont énumérés les projets liés au FD-TIC.</w:t>
      </w:r>
    </w:p>
    <w:p w:rsidR="00B83928" w:rsidRPr="000C6ABF" w:rsidRDefault="008860BD" w:rsidP="007F30DC">
      <w:pPr>
        <w:spacing w:after="120"/>
        <w:rPr>
          <w:lang w:val="fr-CH"/>
        </w:rPr>
      </w:pPr>
      <w:r w:rsidRPr="000C6ABF">
        <w:rPr>
          <w:lang w:val="fr-CH"/>
        </w:rPr>
        <w:t>129</w:t>
      </w:r>
      <w:r w:rsidRPr="000C6ABF">
        <w:rPr>
          <w:lang w:val="fr-CH"/>
        </w:rPr>
        <w:tab/>
      </w:r>
      <w:r w:rsidR="004F7D4C" w:rsidRPr="000C6ABF">
        <w:rPr>
          <w:lang w:val="fr-CH"/>
        </w:rPr>
        <w:t xml:space="preserve">Nous avons noté que certaines procédures </w:t>
      </w:r>
      <w:r w:rsidR="007F30DC" w:rsidRPr="000C6ABF">
        <w:rPr>
          <w:lang w:val="fr-CH"/>
        </w:rPr>
        <w:t>concernant le</w:t>
      </w:r>
      <w:r w:rsidR="004F7D4C" w:rsidRPr="000C6ABF">
        <w:rPr>
          <w:lang w:val="fr-CH"/>
        </w:rPr>
        <w:t xml:space="preserve"> transfert de montants, pour la clôture de l</w:t>
      </w:r>
      <w:r w:rsidR="00AB0C69" w:rsidRPr="000C6ABF">
        <w:rPr>
          <w:lang w:val="fr-CH"/>
        </w:rPr>
        <w:t>'</w:t>
      </w:r>
      <w:r w:rsidR="004F7D4C" w:rsidRPr="000C6ABF">
        <w:rPr>
          <w:lang w:val="fr-CH"/>
        </w:rPr>
        <w:t>exercice financier et/ou la clôture de projets financés sur des fonds extrabudgétaires, dans les états financiers des fonds de tiers</w:t>
      </w:r>
      <w:r w:rsidR="007F30DC" w:rsidRPr="000C6ABF">
        <w:rPr>
          <w:lang w:val="fr-CH"/>
        </w:rPr>
        <w:t>,</w:t>
      </w:r>
      <w:r w:rsidR="004F7D4C" w:rsidRPr="000C6ABF">
        <w:rPr>
          <w:lang w:val="fr-CH"/>
        </w:rPr>
        <w:t xml:space="preserve"> avaient amené le personnel à effectuer des corrections manuelles.</w:t>
      </w:r>
      <w:r w:rsidR="00EC49B6" w:rsidRPr="000C6ABF">
        <w:rPr>
          <w:lang w:val="fr-CH"/>
        </w:rPr>
        <w:t xml:space="preserve"> La liquidation des comptes a soulevé quelques difficultés techniques en raison de vieilles transactions qu</w:t>
      </w:r>
      <w:r w:rsidR="00AB0C69" w:rsidRPr="000C6ABF">
        <w:rPr>
          <w:lang w:val="fr-CH"/>
        </w:rPr>
        <w:t>'</w:t>
      </w:r>
      <w:r w:rsidR="00EC49B6" w:rsidRPr="000C6ABF">
        <w:rPr>
          <w:lang w:val="fr-CH"/>
        </w:rPr>
        <w:t>il n</w:t>
      </w:r>
      <w:r w:rsidR="00AB0C69" w:rsidRPr="000C6ABF">
        <w:rPr>
          <w:lang w:val="fr-CH"/>
        </w:rPr>
        <w:t>'</w:t>
      </w:r>
      <w:r w:rsidR="00EC49B6" w:rsidRPr="000C6ABF">
        <w:rPr>
          <w:lang w:val="fr-CH"/>
        </w:rPr>
        <w:t>a pas été possible d</w:t>
      </w:r>
      <w:r w:rsidR="00AB0C69" w:rsidRPr="000C6ABF">
        <w:rPr>
          <w:lang w:val="fr-CH"/>
        </w:rPr>
        <w:t>'</w:t>
      </w:r>
      <w:r w:rsidR="00EC49B6" w:rsidRPr="000C6ABF">
        <w:rPr>
          <w:lang w:val="fr-CH"/>
        </w:rPr>
        <w:t>éliminer.</w:t>
      </w:r>
    </w:p>
    <w:tbl>
      <w:tblPr>
        <w:tblStyle w:val="TableGrid"/>
        <w:tblW w:w="0" w:type="auto"/>
        <w:tblLook w:val="04A0" w:firstRow="1" w:lastRow="0" w:firstColumn="1" w:lastColumn="0" w:noHBand="0" w:noVBand="1"/>
      </w:tblPr>
      <w:tblGrid>
        <w:gridCol w:w="9629"/>
      </w:tblGrid>
      <w:tr w:rsidR="00B83928" w:rsidRPr="000C6ABF" w:rsidTr="00FB5933">
        <w:tc>
          <w:tcPr>
            <w:tcW w:w="9629" w:type="dxa"/>
          </w:tcPr>
          <w:p w:rsidR="00B83928" w:rsidRPr="000C6ABF" w:rsidRDefault="00B83928" w:rsidP="007F30DC">
            <w:pPr>
              <w:spacing w:after="120"/>
              <w:rPr>
                <w:b/>
                <w:bCs/>
                <w:u w:val="single"/>
                <w:lang w:val="fr-CH"/>
              </w:rPr>
            </w:pPr>
            <w:bookmarkStart w:id="293" w:name="_Toc396386980"/>
            <w:r w:rsidRPr="000C6ABF">
              <w:rPr>
                <w:b/>
                <w:bCs/>
                <w:u w:val="single"/>
                <w:lang w:val="fr-CH"/>
              </w:rPr>
              <w:t>Suggestion N° 4</w:t>
            </w:r>
            <w:bookmarkEnd w:id="293"/>
          </w:p>
          <w:p w:rsidR="00B83928" w:rsidRPr="000C6ABF" w:rsidRDefault="00B83928" w:rsidP="00384B73">
            <w:pPr>
              <w:spacing w:after="120"/>
              <w:rPr>
                <w:lang w:val="fr-CH"/>
              </w:rPr>
            </w:pPr>
            <w:r w:rsidRPr="000C6ABF">
              <w:rPr>
                <w:lang w:val="fr-CH"/>
              </w:rPr>
              <w:t>130</w:t>
            </w:r>
            <w:r w:rsidRPr="000C6ABF">
              <w:rPr>
                <w:lang w:val="fr-CH"/>
              </w:rPr>
              <w:tab/>
            </w:r>
            <w:r w:rsidR="00EC49B6" w:rsidRPr="000C6ABF">
              <w:rPr>
                <w:lang w:val="fr-CH"/>
              </w:rPr>
              <w:t>Pour réduire le risque d</w:t>
            </w:r>
            <w:r w:rsidR="00AB0C69" w:rsidRPr="000C6ABF">
              <w:rPr>
                <w:lang w:val="fr-CH"/>
              </w:rPr>
              <w:t>'</w:t>
            </w:r>
            <w:r w:rsidR="00EC49B6" w:rsidRPr="000C6ABF">
              <w:rPr>
                <w:lang w:val="fr-CH"/>
              </w:rPr>
              <w:t>erreurs, nous suggérons d</w:t>
            </w:r>
            <w:r w:rsidR="00AB0C69" w:rsidRPr="000C6ABF">
              <w:rPr>
                <w:lang w:val="fr-CH"/>
              </w:rPr>
              <w:t>'</w:t>
            </w:r>
            <w:r w:rsidR="00EC49B6" w:rsidRPr="000C6ABF">
              <w:rPr>
                <w:lang w:val="fr-CH"/>
              </w:rPr>
              <w:t>apporter des modifications et des améliorations aux procédures susmentionnées</w:t>
            </w:r>
            <w:r w:rsidRPr="000C6ABF">
              <w:rPr>
                <w:lang w:val="fr-CH"/>
              </w:rPr>
              <w:t>.</w:t>
            </w:r>
          </w:p>
        </w:tc>
      </w:tr>
    </w:tbl>
    <w:p w:rsidR="00B83928" w:rsidRPr="000C6ABF" w:rsidRDefault="00B83928" w:rsidP="00AB0C69">
      <w:pPr>
        <w:rPr>
          <w:lang w:val="fr-CH"/>
        </w:rPr>
      </w:pPr>
    </w:p>
    <w:tbl>
      <w:tblPr>
        <w:tblStyle w:val="TableGrid"/>
        <w:tblW w:w="0" w:type="auto"/>
        <w:tblLook w:val="04A0" w:firstRow="1" w:lastRow="0" w:firstColumn="1" w:lastColumn="0" w:noHBand="0" w:noVBand="1"/>
      </w:tblPr>
      <w:tblGrid>
        <w:gridCol w:w="9629"/>
      </w:tblGrid>
      <w:tr w:rsidR="00B83928" w:rsidRPr="000C6ABF" w:rsidTr="00FB5933">
        <w:tc>
          <w:tcPr>
            <w:tcW w:w="9629" w:type="dxa"/>
          </w:tcPr>
          <w:p w:rsidR="00B83928" w:rsidRPr="000C6ABF" w:rsidRDefault="00B83928" w:rsidP="007F30DC">
            <w:pPr>
              <w:spacing w:after="120"/>
              <w:rPr>
                <w:b/>
                <w:bCs/>
                <w:u w:val="single"/>
                <w:lang w:val="fr-CH"/>
              </w:rPr>
            </w:pPr>
            <w:bookmarkStart w:id="294" w:name="_Toc396386981"/>
            <w:r w:rsidRPr="000C6ABF">
              <w:rPr>
                <w:b/>
                <w:bCs/>
                <w:u w:val="single"/>
                <w:lang w:val="fr-CH"/>
              </w:rPr>
              <w:t>Commentaires du Secrétaire général:</w:t>
            </w:r>
            <w:bookmarkEnd w:id="294"/>
          </w:p>
          <w:p w:rsidR="00B83928" w:rsidRPr="000C6ABF" w:rsidRDefault="00EC49B6" w:rsidP="003C23FC">
            <w:pPr>
              <w:spacing w:after="120"/>
              <w:rPr>
                <w:lang w:val="fr-CH"/>
              </w:rPr>
            </w:pPr>
            <w:r w:rsidRPr="000C6ABF">
              <w:rPr>
                <w:lang w:val="fr-CH"/>
              </w:rPr>
              <w:t xml:space="preserve">En </w:t>
            </w:r>
            <w:r w:rsidR="00B83928" w:rsidRPr="000C6ABF">
              <w:rPr>
                <w:lang w:val="fr-CH"/>
              </w:rPr>
              <w:t>2013</w:t>
            </w:r>
            <w:r w:rsidR="007F30DC" w:rsidRPr="000C6ABF">
              <w:rPr>
                <w:lang w:val="fr-CH"/>
              </w:rPr>
              <w:t>,</w:t>
            </w:r>
            <w:r w:rsidRPr="000C6ABF">
              <w:rPr>
                <w:lang w:val="fr-CH"/>
              </w:rPr>
              <w:t xml:space="preserve"> certaines transactions anciennes ont </w:t>
            </w:r>
            <w:r w:rsidR="007F30DC" w:rsidRPr="000C6ABF">
              <w:rPr>
                <w:lang w:val="fr-CH"/>
              </w:rPr>
              <w:t xml:space="preserve">été </w:t>
            </w:r>
            <w:r w:rsidRPr="000C6ABF">
              <w:rPr>
                <w:lang w:val="fr-CH"/>
              </w:rPr>
              <w:t xml:space="preserve">effectivement liquidées et la procédure de transfert des soldes </w:t>
            </w:r>
            <w:r w:rsidR="00900CE3" w:rsidRPr="000C6ABF">
              <w:rPr>
                <w:lang w:val="fr-CH"/>
              </w:rPr>
              <w:t xml:space="preserve">proposée </w:t>
            </w:r>
            <w:r w:rsidRPr="000C6ABF">
              <w:rPr>
                <w:lang w:val="fr-CH"/>
              </w:rPr>
              <w:t>à la clôture de l</w:t>
            </w:r>
            <w:r w:rsidR="00AB0C69" w:rsidRPr="000C6ABF">
              <w:rPr>
                <w:lang w:val="fr-CH"/>
              </w:rPr>
              <w:t>'</w:t>
            </w:r>
            <w:r w:rsidRPr="000C6ABF">
              <w:rPr>
                <w:lang w:val="fr-CH"/>
              </w:rPr>
              <w:t xml:space="preserve">exercice 2010 </w:t>
            </w:r>
            <w:r w:rsidR="00900CE3" w:rsidRPr="000C6ABF">
              <w:rPr>
                <w:lang w:val="fr-CH"/>
              </w:rPr>
              <w:t>a été remplacée</w:t>
            </w:r>
            <w:r w:rsidRPr="000C6ABF">
              <w:rPr>
                <w:lang w:val="fr-CH"/>
              </w:rPr>
              <w:t xml:space="preserve"> par la nouvelle procédure adoptée fin 2013</w:t>
            </w:r>
            <w:r w:rsidR="00384B73">
              <w:rPr>
                <w:lang w:val="fr-CH"/>
              </w:rPr>
              <w:t>,</w:t>
            </w:r>
            <w:r w:rsidRPr="000C6ABF">
              <w:rPr>
                <w:lang w:val="fr-CH"/>
              </w:rPr>
              <w:t xml:space="preserve"> ce qui a permis d</w:t>
            </w:r>
            <w:r w:rsidR="00AB0C69" w:rsidRPr="000C6ABF">
              <w:rPr>
                <w:lang w:val="fr-CH"/>
              </w:rPr>
              <w:t>'</w:t>
            </w:r>
            <w:r w:rsidRPr="000C6ABF">
              <w:rPr>
                <w:lang w:val="fr-CH"/>
              </w:rPr>
              <w:t>inscrire correctement les soldes d</w:t>
            </w:r>
            <w:r w:rsidR="00AB0C69" w:rsidRPr="000C6ABF">
              <w:rPr>
                <w:lang w:val="fr-CH"/>
              </w:rPr>
              <w:t>'</w:t>
            </w:r>
            <w:r w:rsidRPr="000C6ABF">
              <w:rPr>
                <w:lang w:val="fr-CH"/>
              </w:rPr>
              <w:t xml:space="preserve">ouverture des </w:t>
            </w:r>
            <w:r w:rsidR="00900CE3" w:rsidRPr="000C6ABF">
              <w:rPr>
                <w:lang w:val="fr-CH"/>
              </w:rPr>
              <w:t xml:space="preserve">différents </w:t>
            </w:r>
            <w:r w:rsidRPr="000C6ABF">
              <w:rPr>
                <w:lang w:val="fr-CH"/>
              </w:rPr>
              <w:t>projets en 2014</w:t>
            </w:r>
            <w:r w:rsidR="00B83928" w:rsidRPr="000C6ABF">
              <w:rPr>
                <w:lang w:val="fr-CH"/>
              </w:rPr>
              <w:t>.</w:t>
            </w:r>
          </w:p>
        </w:tc>
      </w:tr>
    </w:tbl>
    <w:p w:rsidR="000266E7" w:rsidRPr="000C6ABF" w:rsidRDefault="00A14AC6" w:rsidP="00900CE3">
      <w:pPr>
        <w:spacing w:before="240" w:after="120"/>
        <w:rPr>
          <w:lang w:val="fr-CH"/>
        </w:rPr>
      </w:pPr>
      <w:bookmarkStart w:id="295" w:name="_Toc358123343"/>
      <w:r w:rsidRPr="000C6ABF">
        <w:rPr>
          <w:lang w:val="fr-CH"/>
        </w:rPr>
        <w:t>131</w:t>
      </w:r>
      <w:r w:rsidRPr="000C6ABF">
        <w:rPr>
          <w:lang w:val="fr-CH"/>
        </w:rPr>
        <w:tab/>
      </w:r>
      <w:r w:rsidR="00900CE3" w:rsidRPr="000C6ABF">
        <w:rPr>
          <w:lang w:val="fr-CH"/>
        </w:rPr>
        <w:t>P</w:t>
      </w:r>
      <w:r w:rsidR="00EC49B6" w:rsidRPr="000C6ABF">
        <w:rPr>
          <w:lang w:val="fr-CH"/>
        </w:rPr>
        <w:t xml:space="preserve">ar ailleurs, nous avons rencontré certaines difficultés </w:t>
      </w:r>
      <w:r w:rsidR="00900CE3" w:rsidRPr="000C6ABF">
        <w:rPr>
          <w:lang w:val="fr-CH"/>
        </w:rPr>
        <w:t>et</w:t>
      </w:r>
      <w:r w:rsidR="00384B73">
        <w:rPr>
          <w:lang w:val="fr-CH"/>
        </w:rPr>
        <w:t xml:space="preserve"> les activités de rapprochement</w:t>
      </w:r>
      <w:r w:rsidR="00EC49B6" w:rsidRPr="000C6ABF">
        <w:rPr>
          <w:lang w:val="fr-CH"/>
        </w:rPr>
        <w:t xml:space="preserve"> concernant des chiffres figurant dans la </w:t>
      </w:r>
      <w:r w:rsidRPr="000C6ABF">
        <w:rPr>
          <w:lang w:val="fr-CH"/>
        </w:rPr>
        <w:t xml:space="preserve">Note 20 </w:t>
      </w:r>
      <w:r w:rsidR="006B5B96" w:rsidRPr="000C6ABF">
        <w:rPr>
          <w:lang w:val="fr-CH"/>
        </w:rPr>
        <w:t>"</w:t>
      </w:r>
      <w:r w:rsidR="00EC49B6" w:rsidRPr="000C6ABF">
        <w:rPr>
          <w:lang w:val="fr-CH"/>
        </w:rPr>
        <w:t>Fonds extrabudgétaires affectés et non affectés</w:t>
      </w:r>
      <w:r w:rsidR="006B5B96" w:rsidRPr="000C6ABF">
        <w:rPr>
          <w:lang w:val="fr-CH"/>
        </w:rPr>
        <w:t>"</w:t>
      </w:r>
      <w:r w:rsidR="00900CE3" w:rsidRPr="000C6ABF">
        <w:rPr>
          <w:lang w:val="fr-CH"/>
        </w:rPr>
        <w:t xml:space="preserve"> ont été ralenties</w:t>
      </w:r>
      <w:r w:rsidRPr="000C6ABF">
        <w:rPr>
          <w:lang w:val="fr-CH"/>
        </w:rPr>
        <w:t xml:space="preserve">. </w:t>
      </w:r>
      <w:r w:rsidR="00EC49B6" w:rsidRPr="000C6ABF">
        <w:rPr>
          <w:lang w:val="fr-CH"/>
        </w:rPr>
        <w:t xml:space="preserve">Nous avons échantillonné les projets et les fonds et pour tous les projets </w:t>
      </w:r>
      <w:r w:rsidR="00EC49B6" w:rsidRPr="000C6ABF">
        <w:rPr>
          <w:lang w:val="fr-CH"/>
        </w:rPr>
        <w:lastRenderedPageBreak/>
        <w:t>sélectionnés, nous avons pu procéder au rapprochement</w:t>
      </w:r>
      <w:r w:rsidR="00900CE3" w:rsidRPr="000C6ABF">
        <w:rPr>
          <w:lang w:val="fr-CH"/>
        </w:rPr>
        <w:t xml:space="preserve"> des comptes</w:t>
      </w:r>
      <w:r w:rsidR="00EC49B6" w:rsidRPr="000C6ABF">
        <w:rPr>
          <w:lang w:val="fr-CH"/>
        </w:rPr>
        <w:t xml:space="preserve">. Toutefois, nous avons </w:t>
      </w:r>
      <w:r w:rsidR="00900CE3" w:rsidRPr="000C6ABF">
        <w:rPr>
          <w:lang w:val="fr-CH"/>
        </w:rPr>
        <w:t xml:space="preserve">noté qu'un </w:t>
      </w:r>
      <w:r w:rsidR="00EC49B6" w:rsidRPr="000C6ABF">
        <w:rPr>
          <w:lang w:val="fr-CH"/>
        </w:rPr>
        <w:t xml:space="preserve">rapprochement direct et immédiat des montants totaux </w:t>
      </w:r>
      <w:r w:rsidR="00900CE3" w:rsidRPr="000C6ABF">
        <w:rPr>
          <w:lang w:val="fr-CH"/>
        </w:rPr>
        <w:t xml:space="preserve">indiqués </w:t>
      </w:r>
      <w:r w:rsidR="00EC49B6" w:rsidRPr="000C6ABF">
        <w:rPr>
          <w:lang w:val="fr-CH"/>
        </w:rPr>
        <w:t xml:space="preserve">dans la Note 20 </w:t>
      </w:r>
      <w:r w:rsidR="00900CE3" w:rsidRPr="000C6ABF">
        <w:rPr>
          <w:lang w:val="fr-CH"/>
        </w:rPr>
        <w:t xml:space="preserve">et des </w:t>
      </w:r>
      <w:r w:rsidR="00EC49B6" w:rsidRPr="000C6ABF">
        <w:rPr>
          <w:lang w:val="fr-CH"/>
        </w:rPr>
        <w:t>montants enregistrés dans le système</w:t>
      </w:r>
      <w:r w:rsidR="00900CE3" w:rsidRPr="000C6ABF">
        <w:rPr>
          <w:lang w:val="fr-CH"/>
        </w:rPr>
        <w:t xml:space="preserve"> n'avait pas été réalisé</w:t>
      </w:r>
      <w:r w:rsidRPr="000C6ABF">
        <w:rPr>
          <w:lang w:val="fr-CH"/>
        </w:rPr>
        <w:t>.</w:t>
      </w:r>
    </w:p>
    <w:tbl>
      <w:tblPr>
        <w:tblStyle w:val="TableGrid"/>
        <w:tblW w:w="0" w:type="auto"/>
        <w:tblLook w:val="04A0" w:firstRow="1" w:lastRow="0" w:firstColumn="1" w:lastColumn="0" w:noHBand="0" w:noVBand="1"/>
      </w:tblPr>
      <w:tblGrid>
        <w:gridCol w:w="9629"/>
      </w:tblGrid>
      <w:tr w:rsidR="000266E7" w:rsidRPr="000C6ABF" w:rsidTr="00FB5933">
        <w:tc>
          <w:tcPr>
            <w:tcW w:w="9629" w:type="dxa"/>
          </w:tcPr>
          <w:p w:rsidR="000266E7" w:rsidRPr="000C6ABF" w:rsidRDefault="000266E7" w:rsidP="00900CE3">
            <w:pPr>
              <w:spacing w:after="120"/>
              <w:rPr>
                <w:b/>
                <w:bCs/>
                <w:u w:val="single"/>
                <w:lang w:val="fr-CH"/>
              </w:rPr>
            </w:pPr>
            <w:bookmarkStart w:id="296" w:name="_Toc396386982"/>
            <w:r w:rsidRPr="000C6ABF">
              <w:rPr>
                <w:b/>
                <w:bCs/>
                <w:u w:val="single"/>
                <w:lang w:val="fr-CH"/>
              </w:rPr>
              <w:t>Recommandation N° 4</w:t>
            </w:r>
            <w:bookmarkEnd w:id="296"/>
          </w:p>
          <w:p w:rsidR="000266E7" w:rsidRPr="000C6ABF" w:rsidRDefault="000266E7" w:rsidP="00384B73">
            <w:pPr>
              <w:spacing w:after="120"/>
              <w:rPr>
                <w:lang w:val="fr-CH"/>
              </w:rPr>
            </w:pPr>
            <w:r w:rsidRPr="000C6ABF">
              <w:rPr>
                <w:lang w:val="fr-CH"/>
              </w:rPr>
              <w:t>132</w:t>
            </w:r>
            <w:r w:rsidRPr="000C6ABF">
              <w:rPr>
                <w:lang w:val="fr-CH"/>
              </w:rPr>
              <w:tab/>
            </w:r>
            <w:r w:rsidR="00EC49B6" w:rsidRPr="000C6ABF">
              <w:rPr>
                <w:lang w:val="fr-CH"/>
              </w:rPr>
              <w:t xml:space="preserve">Nous recommandons donc à la direction de définir des lignes directrices communes concernant la comptabilisation et </w:t>
            </w:r>
            <w:r w:rsidR="00D4181D" w:rsidRPr="000C6ABF">
              <w:rPr>
                <w:lang w:val="fr-CH"/>
              </w:rPr>
              <w:t xml:space="preserve">la publication des </w:t>
            </w:r>
            <w:r w:rsidR="00900CE3" w:rsidRPr="000C6ABF">
              <w:rPr>
                <w:lang w:val="fr-CH"/>
              </w:rPr>
              <w:t>informations financières</w:t>
            </w:r>
            <w:r w:rsidR="00384B73">
              <w:rPr>
                <w:lang w:val="fr-CH"/>
              </w:rPr>
              <w:t xml:space="preserve"> relatives aux </w:t>
            </w:r>
            <w:r w:rsidR="00900CE3" w:rsidRPr="000C6ABF">
              <w:rPr>
                <w:lang w:val="fr-CH"/>
              </w:rPr>
              <w:t>fonds</w:t>
            </w:r>
            <w:r w:rsidR="00D4181D" w:rsidRPr="000C6ABF">
              <w:rPr>
                <w:lang w:val="fr-CH"/>
              </w:rPr>
              <w:t xml:space="preserve"> extrabudgétaires afin de simplifier le rapprochement des montants indiqués dans les Annexes du Rapport de gestion financière et les montants indiqués dans la </w:t>
            </w:r>
            <w:r w:rsidRPr="000C6ABF">
              <w:rPr>
                <w:lang w:val="fr-CH"/>
              </w:rPr>
              <w:t>Note 20.</w:t>
            </w:r>
          </w:p>
        </w:tc>
      </w:tr>
    </w:tbl>
    <w:p w:rsidR="000266E7" w:rsidRPr="000C6ABF" w:rsidRDefault="000266E7" w:rsidP="00AB0C69">
      <w:pPr>
        <w:rPr>
          <w:lang w:val="fr-CH"/>
        </w:rPr>
      </w:pPr>
    </w:p>
    <w:tbl>
      <w:tblPr>
        <w:tblStyle w:val="TableGrid"/>
        <w:tblW w:w="0" w:type="auto"/>
        <w:tblLook w:val="04A0" w:firstRow="1" w:lastRow="0" w:firstColumn="1" w:lastColumn="0" w:noHBand="0" w:noVBand="1"/>
      </w:tblPr>
      <w:tblGrid>
        <w:gridCol w:w="9629"/>
      </w:tblGrid>
      <w:tr w:rsidR="000266E7" w:rsidRPr="000C6ABF" w:rsidTr="00E12F57">
        <w:tc>
          <w:tcPr>
            <w:tcW w:w="9629" w:type="dxa"/>
          </w:tcPr>
          <w:p w:rsidR="000266E7" w:rsidRPr="000C6ABF" w:rsidRDefault="000266E7" w:rsidP="00900CE3">
            <w:pPr>
              <w:spacing w:after="120"/>
              <w:rPr>
                <w:b/>
                <w:bCs/>
                <w:u w:val="single"/>
                <w:lang w:val="fr-CH"/>
              </w:rPr>
            </w:pPr>
            <w:bookmarkStart w:id="297" w:name="_Toc396386983"/>
            <w:r w:rsidRPr="000C6ABF">
              <w:rPr>
                <w:b/>
                <w:bCs/>
                <w:u w:val="single"/>
                <w:lang w:val="fr-CH"/>
              </w:rPr>
              <w:t>Commentaires du Secrétaire général:</w:t>
            </w:r>
            <w:bookmarkEnd w:id="297"/>
          </w:p>
          <w:p w:rsidR="000266E7" w:rsidRPr="000C6ABF" w:rsidRDefault="00900CE3" w:rsidP="00900CE3">
            <w:pPr>
              <w:spacing w:after="120"/>
              <w:rPr>
                <w:lang w:val="fr-CH"/>
              </w:rPr>
            </w:pPr>
            <w:r w:rsidRPr="000C6ABF">
              <w:rPr>
                <w:lang w:val="fr-CH"/>
              </w:rPr>
              <w:t>L</w:t>
            </w:r>
            <w:r w:rsidR="00D4181D" w:rsidRPr="000C6ABF">
              <w:rPr>
                <w:lang w:val="fr-CH"/>
              </w:rPr>
              <w:t>es procédures comptab</w:t>
            </w:r>
            <w:r w:rsidRPr="000C6ABF">
              <w:rPr>
                <w:lang w:val="fr-CH"/>
              </w:rPr>
              <w:t>le</w:t>
            </w:r>
            <w:r w:rsidR="00384B73">
              <w:rPr>
                <w:lang w:val="fr-CH"/>
              </w:rPr>
              <w:t>s</w:t>
            </w:r>
            <w:r w:rsidRPr="000C6ABF">
              <w:rPr>
                <w:lang w:val="fr-CH"/>
              </w:rPr>
              <w:t xml:space="preserve"> et les procédures </w:t>
            </w:r>
            <w:r w:rsidR="00D4181D" w:rsidRPr="000C6ABF">
              <w:rPr>
                <w:lang w:val="fr-CH"/>
              </w:rPr>
              <w:t xml:space="preserve">de publication </w:t>
            </w:r>
            <w:r w:rsidRPr="000C6ABF">
              <w:rPr>
                <w:lang w:val="fr-CH"/>
              </w:rPr>
              <w:t xml:space="preserve">des informations financières </w:t>
            </w:r>
            <w:r w:rsidR="00D4181D" w:rsidRPr="000C6ABF">
              <w:rPr>
                <w:lang w:val="fr-CH"/>
              </w:rPr>
              <w:t xml:space="preserve">dans les états financiers seront </w:t>
            </w:r>
            <w:r w:rsidRPr="000C6ABF">
              <w:rPr>
                <w:lang w:val="fr-CH"/>
              </w:rPr>
              <w:t xml:space="preserve">étayées par des documents afin de garantir un échange de compétences techniques et d'établir des documents d'audit facilitant </w:t>
            </w:r>
            <w:r w:rsidR="00D4181D" w:rsidRPr="000C6ABF">
              <w:rPr>
                <w:lang w:val="fr-CH"/>
              </w:rPr>
              <w:t xml:space="preserve">le rapprochement </w:t>
            </w:r>
            <w:r w:rsidR="00614AA6" w:rsidRPr="000C6ABF">
              <w:rPr>
                <w:lang w:val="fr-CH"/>
              </w:rPr>
              <w:t>des chiffres extrabudgétaires</w:t>
            </w:r>
            <w:r w:rsidR="000266E7" w:rsidRPr="000C6ABF">
              <w:rPr>
                <w:lang w:val="fr-CH"/>
              </w:rPr>
              <w:t>.</w:t>
            </w:r>
          </w:p>
        </w:tc>
      </w:tr>
    </w:tbl>
    <w:p w:rsidR="00071D71" w:rsidRPr="000C6ABF" w:rsidRDefault="00384B73" w:rsidP="00AB0C69">
      <w:pPr>
        <w:pStyle w:val="Heading1"/>
        <w:rPr>
          <w:lang w:val="fr-CH"/>
        </w:rPr>
      </w:pPr>
      <w:bookmarkStart w:id="298" w:name="_Toc398277659"/>
      <w:bookmarkStart w:id="299" w:name="_Toc392672731"/>
      <w:bookmarkStart w:id="300" w:name="_Toc396386984"/>
      <w:bookmarkStart w:id="301" w:name="_Toc396387860"/>
      <w:bookmarkStart w:id="302" w:name="_Toc396387974"/>
      <w:r>
        <w:rPr>
          <w:lang w:val="fr-CH"/>
        </w:rPr>
        <w:t>E</w:t>
      </w:r>
      <w:r w:rsidRPr="000C6ABF">
        <w:rPr>
          <w:lang w:val="fr-CH"/>
        </w:rPr>
        <w:t>VALUATION DE L'UNITÉ D'AUDIT INTERNE</w:t>
      </w:r>
      <w:bookmarkEnd w:id="298"/>
      <w:r w:rsidRPr="000C6ABF">
        <w:rPr>
          <w:lang w:val="fr-CH"/>
        </w:rPr>
        <w:t xml:space="preserve"> </w:t>
      </w:r>
      <w:bookmarkEnd w:id="299"/>
      <w:bookmarkEnd w:id="300"/>
      <w:bookmarkEnd w:id="301"/>
      <w:bookmarkEnd w:id="302"/>
    </w:p>
    <w:bookmarkEnd w:id="295"/>
    <w:p w:rsidR="00C26C58" w:rsidRPr="000C6ABF" w:rsidRDefault="00C26C58" w:rsidP="00384B73">
      <w:pPr>
        <w:rPr>
          <w:lang w:val="fr-CH"/>
        </w:rPr>
      </w:pPr>
      <w:r w:rsidRPr="000C6ABF">
        <w:rPr>
          <w:lang w:val="fr-CH"/>
        </w:rPr>
        <w:t>133</w:t>
      </w:r>
      <w:r w:rsidRPr="000C6ABF">
        <w:rPr>
          <w:lang w:val="fr-CH"/>
        </w:rPr>
        <w:tab/>
      </w:r>
      <w:r w:rsidR="00D4181D" w:rsidRPr="000C6ABF">
        <w:rPr>
          <w:lang w:val="fr-CH"/>
        </w:rPr>
        <w:t xml:space="preserve">Conformément aux Normes internationales, telles que les normes </w:t>
      </w:r>
      <w:r w:rsidRPr="000C6ABF">
        <w:rPr>
          <w:lang w:val="fr-CH"/>
        </w:rPr>
        <w:t xml:space="preserve">ISSAI 1610, ISSAI 200 c.2.45, INTOSAI </w:t>
      </w:r>
      <w:proofErr w:type="spellStart"/>
      <w:r w:rsidRPr="000C6ABF">
        <w:rPr>
          <w:lang w:val="fr-CH"/>
        </w:rPr>
        <w:t>gov</w:t>
      </w:r>
      <w:proofErr w:type="spellEnd"/>
      <w:r w:rsidRPr="000C6ABF">
        <w:rPr>
          <w:lang w:val="fr-CH"/>
        </w:rPr>
        <w:t xml:space="preserve"> 9140 </w:t>
      </w:r>
      <w:r w:rsidR="00D4181D" w:rsidRPr="000C6ABF">
        <w:rPr>
          <w:lang w:val="fr-CH"/>
        </w:rPr>
        <w:t>et</w:t>
      </w:r>
      <w:r w:rsidRPr="000C6ABF">
        <w:rPr>
          <w:lang w:val="fr-CH"/>
        </w:rPr>
        <w:t xml:space="preserve"> 9150, </w:t>
      </w:r>
      <w:r w:rsidR="00D4181D" w:rsidRPr="000C6ABF">
        <w:rPr>
          <w:lang w:val="fr-CH"/>
        </w:rPr>
        <w:t>l</w:t>
      </w:r>
      <w:r w:rsidR="00AB0C69" w:rsidRPr="000C6ABF">
        <w:rPr>
          <w:lang w:val="fr-CH"/>
        </w:rPr>
        <w:t>'</w:t>
      </w:r>
      <w:r w:rsidR="00D4181D" w:rsidRPr="000C6ABF">
        <w:rPr>
          <w:lang w:val="fr-CH"/>
        </w:rPr>
        <w:t>une des t</w:t>
      </w:r>
      <w:r w:rsidR="00384B73">
        <w:rPr>
          <w:lang w:val="fr-CH"/>
        </w:rPr>
        <w:t>â</w:t>
      </w:r>
      <w:r w:rsidR="00D4181D" w:rsidRPr="000C6ABF">
        <w:rPr>
          <w:lang w:val="fr-CH"/>
        </w:rPr>
        <w:t xml:space="preserve">ches du </w:t>
      </w:r>
      <w:r w:rsidR="00384B73">
        <w:rPr>
          <w:lang w:val="fr-CH"/>
        </w:rPr>
        <w:t>V</w:t>
      </w:r>
      <w:r w:rsidR="00D4181D" w:rsidRPr="000C6ABF">
        <w:rPr>
          <w:lang w:val="fr-CH"/>
        </w:rPr>
        <w:t>érificateur extérieur des comptes est d</w:t>
      </w:r>
      <w:r w:rsidR="00AB0C69" w:rsidRPr="000C6ABF">
        <w:rPr>
          <w:lang w:val="fr-CH"/>
        </w:rPr>
        <w:t>'</w:t>
      </w:r>
      <w:r w:rsidR="00D4181D" w:rsidRPr="000C6ABF">
        <w:rPr>
          <w:lang w:val="fr-CH"/>
        </w:rPr>
        <w:t>évaluer les activités de l</w:t>
      </w:r>
      <w:r w:rsidR="00AB0C69" w:rsidRPr="000C6ABF">
        <w:rPr>
          <w:lang w:val="fr-CH"/>
        </w:rPr>
        <w:t>'</w:t>
      </w:r>
      <w:r w:rsidR="00D4181D" w:rsidRPr="000C6ABF">
        <w:rPr>
          <w:lang w:val="fr-CH"/>
        </w:rPr>
        <w:t>Unité d</w:t>
      </w:r>
      <w:r w:rsidR="00AB0C69" w:rsidRPr="000C6ABF">
        <w:rPr>
          <w:lang w:val="fr-CH"/>
        </w:rPr>
        <w:t>'</w:t>
      </w:r>
      <w:r w:rsidR="00D4181D" w:rsidRPr="000C6ABF">
        <w:rPr>
          <w:lang w:val="fr-CH"/>
        </w:rPr>
        <w:t>audit interne.</w:t>
      </w:r>
    </w:p>
    <w:p w:rsidR="00C26C58" w:rsidRPr="000C6ABF" w:rsidRDefault="00C26C58" w:rsidP="00384B73">
      <w:pPr>
        <w:rPr>
          <w:lang w:val="fr-CH"/>
        </w:rPr>
      </w:pPr>
      <w:r w:rsidRPr="000C6ABF">
        <w:rPr>
          <w:lang w:val="fr-CH"/>
        </w:rPr>
        <w:t>134</w:t>
      </w:r>
      <w:r w:rsidRPr="000C6ABF">
        <w:rPr>
          <w:lang w:val="fr-CH"/>
        </w:rPr>
        <w:tab/>
      </w:r>
      <w:r w:rsidR="00D4181D" w:rsidRPr="000C6ABF">
        <w:rPr>
          <w:lang w:val="fr-CH"/>
        </w:rPr>
        <w:t xml:space="preserve">Pour procéder à cette évaluation dans le système des Nations Unies, on </w:t>
      </w:r>
      <w:r w:rsidR="00900CE3" w:rsidRPr="000C6ABF">
        <w:rPr>
          <w:lang w:val="fr-CH"/>
        </w:rPr>
        <w:t xml:space="preserve">utilise comme référence les </w:t>
      </w:r>
      <w:r w:rsidR="00D4181D" w:rsidRPr="000C6ABF">
        <w:rPr>
          <w:lang w:val="fr-CH"/>
        </w:rPr>
        <w:t>principes généraux susmentionnés et la ligne directrice</w:t>
      </w:r>
      <w:r w:rsidR="00615BCE" w:rsidRPr="000C6ABF">
        <w:rPr>
          <w:lang w:val="fr-CH"/>
        </w:rPr>
        <w:t xml:space="preserve"> 2</w:t>
      </w:r>
      <w:r w:rsidR="00D4181D" w:rsidRPr="000C6ABF">
        <w:rPr>
          <w:lang w:val="fr-CH"/>
        </w:rPr>
        <w:t>02</w:t>
      </w:r>
      <w:r w:rsidR="00615BCE" w:rsidRPr="000C6ABF">
        <w:rPr>
          <w:lang w:val="fr-CH"/>
        </w:rPr>
        <w:t xml:space="preserve"> </w:t>
      </w:r>
      <w:r w:rsidR="00900CE3" w:rsidRPr="000C6ABF">
        <w:rPr>
          <w:lang w:val="fr-CH"/>
        </w:rPr>
        <w:t xml:space="preserve">en matière d'audit </w:t>
      </w:r>
      <w:r w:rsidR="003072F2" w:rsidRPr="000C6ABF">
        <w:rPr>
          <w:lang w:val="fr-CH"/>
        </w:rPr>
        <w:t>"</w:t>
      </w:r>
      <w:r w:rsidR="00C325DE" w:rsidRPr="000C6ABF">
        <w:rPr>
          <w:lang w:val="fr-CH"/>
        </w:rPr>
        <w:t>E</w:t>
      </w:r>
      <w:r w:rsidR="00615BCE" w:rsidRPr="000C6ABF">
        <w:rPr>
          <w:lang w:val="fr-CH"/>
        </w:rPr>
        <w:t>valuation des services d</w:t>
      </w:r>
      <w:r w:rsidR="00AB0C69" w:rsidRPr="000C6ABF">
        <w:rPr>
          <w:lang w:val="fr-CH"/>
        </w:rPr>
        <w:t>'</w:t>
      </w:r>
      <w:r w:rsidR="00615BCE" w:rsidRPr="000C6ABF">
        <w:rPr>
          <w:lang w:val="fr-CH"/>
        </w:rPr>
        <w:t>audit interne dans l</w:t>
      </w:r>
      <w:r w:rsidR="00AB0C69" w:rsidRPr="000C6ABF">
        <w:rPr>
          <w:lang w:val="fr-CH"/>
        </w:rPr>
        <w:t>'</w:t>
      </w:r>
      <w:r w:rsidR="00615BCE" w:rsidRPr="000C6ABF">
        <w:rPr>
          <w:lang w:val="fr-CH"/>
        </w:rPr>
        <w:t>Organisation des Nations Unies</w:t>
      </w:r>
      <w:r w:rsidR="00384B73">
        <w:rPr>
          <w:lang w:val="fr-CH"/>
        </w:rPr>
        <w:t>"</w:t>
      </w:r>
      <w:r w:rsidR="00615BCE" w:rsidRPr="000C6ABF">
        <w:rPr>
          <w:lang w:val="fr-CH"/>
        </w:rPr>
        <w:t>, adoptée par le Groupe d</w:t>
      </w:r>
      <w:r w:rsidR="00AB0C69" w:rsidRPr="000C6ABF">
        <w:rPr>
          <w:lang w:val="fr-CH"/>
        </w:rPr>
        <w:t>'</w:t>
      </w:r>
      <w:r w:rsidR="00614AA6" w:rsidRPr="000C6ABF">
        <w:rPr>
          <w:lang w:val="fr-CH"/>
        </w:rPr>
        <w:t>auditeurs externes des Nations U</w:t>
      </w:r>
      <w:r w:rsidR="00615BCE" w:rsidRPr="000C6ABF">
        <w:rPr>
          <w:lang w:val="fr-CH"/>
        </w:rPr>
        <w:t>nies, les institutions spécialisées et l</w:t>
      </w:r>
      <w:r w:rsidR="00AB0C69" w:rsidRPr="000C6ABF">
        <w:rPr>
          <w:lang w:val="fr-CH"/>
        </w:rPr>
        <w:t>'</w:t>
      </w:r>
      <w:r w:rsidR="00615BCE" w:rsidRPr="000C6ABF">
        <w:rPr>
          <w:lang w:val="fr-CH"/>
        </w:rPr>
        <w:t>Agence internationale de l</w:t>
      </w:r>
      <w:r w:rsidR="00AB0C69" w:rsidRPr="000C6ABF">
        <w:rPr>
          <w:lang w:val="fr-CH"/>
        </w:rPr>
        <w:t>'</w:t>
      </w:r>
      <w:r w:rsidR="00615BCE" w:rsidRPr="000C6ABF">
        <w:rPr>
          <w:lang w:val="fr-CH"/>
        </w:rPr>
        <w:t>énergie atomique à sa 34</w:t>
      </w:r>
      <w:r w:rsidR="00900CE3" w:rsidRPr="000C6ABF">
        <w:rPr>
          <w:lang w:val="fr-CH"/>
        </w:rPr>
        <w:t>ème</w:t>
      </w:r>
      <w:r w:rsidR="00615BCE" w:rsidRPr="000C6ABF">
        <w:rPr>
          <w:lang w:val="fr-CH"/>
        </w:rPr>
        <w:t xml:space="preserve"> session en novembre 2012</w:t>
      </w:r>
      <w:r w:rsidR="003072F2" w:rsidRPr="000C6ABF">
        <w:rPr>
          <w:lang w:val="fr-CH"/>
        </w:rPr>
        <w:t>;</w:t>
      </w:r>
      <w:r w:rsidR="00615BCE" w:rsidRPr="000C6ABF">
        <w:rPr>
          <w:lang w:val="fr-CH"/>
        </w:rPr>
        <w:t xml:space="preserve"> une nouvelle section a été ajoutée à la</w:t>
      </w:r>
      <w:r w:rsidR="00614AA6" w:rsidRPr="000C6ABF">
        <w:rPr>
          <w:lang w:val="fr-CH"/>
        </w:rPr>
        <w:t xml:space="preserve"> 35</w:t>
      </w:r>
      <w:r w:rsidR="00900CE3" w:rsidRPr="000C6ABF">
        <w:rPr>
          <w:lang w:val="fr-CH"/>
        </w:rPr>
        <w:t xml:space="preserve">ème </w:t>
      </w:r>
      <w:r w:rsidR="00614AA6" w:rsidRPr="000C6ABF">
        <w:rPr>
          <w:lang w:val="fr-CH"/>
        </w:rPr>
        <w:t>session</w:t>
      </w:r>
      <w:r w:rsidR="00615BCE" w:rsidRPr="000C6ABF">
        <w:rPr>
          <w:lang w:val="fr-CH"/>
        </w:rPr>
        <w:t xml:space="preserve"> </w:t>
      </w:r>
      <w:r w:rsidR="00900CE3" w:rsidRPr="000C6ABF">
        <w:rPr>
          <w:lang w:val="fr-CH"/>
        </w:rPr>
        <w:t>en novembre 1993</w:t>
      </w:r>
      <w:r w:rsidR="00614AA6" w:rsidRPr="000C6ABF">
        <w:rPr>
          <w:lang w:val="fr-CH"/>
        </w:rPr>
        <w:t>, l</w:t>
      </w:r>
      <w:r w:rsidR="00AB0C69" w:rsidRPr="000C6ABF">
        <w:rPr>
          <w:lang w:val="fr-CH"/>
        </w:rPr>
        <w:t>'</w:t>
      </w:r>
      <w:r w:rsidR="00767DE8" w:rsidRPr="000C6ABF">
        <w:rPr>
          <w:lang w:val="fr-CH"/>
        </w:rPr>
        <w:t>avant-</w:t>
      </w:r>
      <w:r w:rsidR="00614AA6" w:rsidRPr="000C6ABF">
        <w:rPr>
          <w:lang w:val="fr-CH"/>
        </w:rPr>
        <w:t>propos a été révisé à la</w:t>
      </w:r>
      <w:r w:rsidR="00900CE3" w:rsidRPr="000C6ABF">
        <w:rPr>
          <w:lang w:val="fr-CH"/>
        </w:rPr>
        <w:t xml:space="preserve"> </w:t>
      </w:r>
      <w:r w:rsidR="00614AA6" w:rsidRPr="000C6ABF">
        <w:rPr>
          <w:lang w:val="fr-CH"/>
        </w:rPr>
        <w:t>41</w:t>
      </w:r>
      <w:r w:rsidR="00900CE3" w:rsidRPr="000C6ABF">
        <w:rPr>
          <w:lang w:val="fr-CH"/>
        </w:rPr>
        <w:t>ème</w:t>
      </w:r>
      <w:r w:rsidR="00384B73">
        <w:rPr>
          <w:lang w:val="fr-CH"/>
        </w:rPr>
        <w:t> </w:t>
      </w:r>
      <w:r w:rsidR="00614AA6" w:rsidRPr="000C6ABF">
        <w:rPr>
          <w:lang w:val="fr-CH"/>
        </w:rPr>
        <w:t>session en octobre 2000.</w:t>
      </w:r>
      <w:r w:rsidR="00A47698" w:rsidRPr="000C6ABF">
        <w:rPr>
          <w:lang w:val="fr-CH"/>
        </w:rPr>
        <w:t xml:space="preserve"> </w:t>
      </w:r>
      <w:r w:rsidR="00614AA6" w:rsidRPr="000C6ABF">
        <w:rPr>
          <w:lang w:val="fr-CH"/>
        </w:rPr>
        <w:t xml:space="preserve">Nous avons proposé, </w:t>
      </w:r>
      <w:r w:rsidR="00900CE3" w:rsidRPr="000C6ABF">
        <w:rPr>
          <w:lang w:val="fr-CH"/>
        </w:rPr>
        <w:t xml:space="preserve">à </w:t>
      </w:r>
      <w:r w:rsidR="00614AA6" w:rsidRPr="000C6ABF">
        <w:rPr>
          <w:lang w:val="fr-CH"/>
        </w:rPr>
        <w:t>la réunion du Groupe d</w:t>
      </w:r>
      <w:r w:rsidR="00AB0C69" w:rsidRPr="000C6ABF">
        <w:rPr>
          <w:lang w:val="fr-CH"/>
        </w:rPr>
        <w:t>'</w:t>
      </w:r>
      <w:r w:rsidR="00614AA6" w:rsidRPr="000C6ABF">
        <w:rPr>
          <w:lang w:val="fr-CH"/>
        </w:rPr>
        <w:t xml:space="preserve">auditeurs externes à Vienne </w:t>
      </w:r>
      <w:r w:rsidR="00900CE3" w:rsidRPr="000C6ABF">
        <w:rPr>
          <w:lang w:val="fr-CH"/>
        </w:rPr>
        <w:t>de</w:t>
      </w:r>
      <w:r w:rsidR="00614AA6" w:rsidRPr="000C6ABF">
        <w:rPr>
          <w:lang w:val="fr-CH"/>
        </w:rPr>
        <w:t xml:space="preserve"> décembre 2013, de mettre à jour la ligne directrice. En raison de l</w:t>
      </w:r>
      <w:r w:rsidR="00AB0C69" w:rsidRPr="000C6ABF">
        <w:rPr>
          <w:lang w:val="fr-CH"/>
        </w:rPr>
        <w:t>'</w:t>
      </w:r>
      <w:r w:rsidR="00614AA6" w:rsidRPr="000C6ABF">
        <w:rPr>
          <w:lang w:val="fr-CH"/>
        </w:rPr>
        <w:t>ordre du jour très chargé, la thèse proposée n</w:t>
      </w:r>
      <w:r w:rsidR="00AB0C69" w:rsidRPr="000C6ABF">
        <w:rPr>
          <w:lang w:val="fr-CH"/>
        </w:rPr>
        <w:t>'</w:t>
      </w:r>
      <w:r w:rsidR="00614AA6" w:rsidRPr="000C6ABF">
        <w:rPr>
          <w:lang w:val="fr-CH"/>
        </w:rPr>
        <w:t xml:space="preserve">a pas été examinée et </w:t>
      </w:r>
      <w:r w:rsidR="00900CE3" w:rsidRPr="000C6ABF">
        <w:rPr>
          <w:lang w:val="fr-CH"/>
        </w:rPr>
        <w:t xml:space="preserve">son </w:t>
      </w:r>
      <w:r w:rsidR="00614AA6" w:rsidRPr="000C6ABF">
        <w:rPr>
          <w:lang w:val="fr-CH"/>
        </w:rPr>
        <w:t>examen a été reporté à la prochaine réunion du Groupe d</w:t>
      </w:r>
      <w:r w:rsidR="00AB0C69" w:rsidRPr="000C6ABF">
        <w:rPr>
          <w:lang w:val="fr-CH"/>
        </w:rPr>
        <w:t>'</w:t>
      </w:r>
      <w:r w:rsidR="00614AA6" w:rsidRPr="000C6ABF">
        <w:rPr>
          <w:lang w:val="fr-CH"/>
        </w:rPr>
        <w:t>auditeurs qui aura lieu en décembre 2014.</w:t>
      </w:r>
    </w:p>
    <w:p w:rsidR="00C26C58" w:rsidRPr="000C6ABF" w:rsidRDefault="00C26C58" w:rsidP="00511A1C">
      <w:pPr>
        <w:rPr>
          <w:lang w:val="fr-CH"/>
        </w:rPr>
      </w:pPr>
      <w:r w:rsidRPr="000C6ABF">
        <w:rPr>
          <w:lang w:val="fr-CH"/>
        </w:rPr>
        <w:t>135</w:t>
      </w:r>
      <w:r w:rsidRPr="000C6ABF">
        <w:rPr>
          <w:lang w:val="fr-CH"/>
        </w:rPr>
        <w:tab/>
      </w:r>
      <w:r w:rsidR="00767DE8" w:rsidRPr="000C6ABF">
        <w:rPr>
          <w:lang w:val="fr-CH"/>
        </w:rPr>
        <w:t xml:space="preserve">Dans le cadre de </w:t>
      </w:r>
      <w:r w:rsidR="00614AA6" w:rsidRPr="000C6ABF">
        <w:rPr>
          <w:lang w:val="fr-CH"/>
        </w:rPr>
        <w:t>notre tâche, le CCIG (Comité consultatif indépendant pour les questions de gestion), nous a recommandé de faire une évaluation de l</w:t>
      </w:r>
      <w:r w:rsidR="00AB0C69" w:rsidRPr="000C6ABF">
        <w:rPr>
          <w:lang w:val="fr-CH"/>
        </w:rPr>
        <w:t>'</w:t>
      </w:r>
      <w:r w:rsidR="00614AA6" w:rsidRPr="000C6ABF">
        <w:rPr>
          <w:lang w:val="fr-CH"/>
        </w:rPr>
        <w:t>Unité d</w:t>
      </w:r>
      <w:r w:rsidR="00767DE8" w:rsidRPr="000C6ABF">
        <w:rPr>
          <w:lang w:val="fr-CH"/>
        </w:rPr>
        <w:t>e l</w:t>
      </w:r>
      <w:r w:rsidR="00AB0C69" w:rsidRPr="000C6ABF">
        <w:rPr>
          <w:lang w:val="fr-CH"/>
        </w:rPr>
        <w:t>'</w:t>
      </w:r>
      <w:r w:rsidR="00614AA6" w:rsidRPr="000C6ABF">
        <w:rPr>
          <w:lang w:val="fr-CH"/>
        </w:rPr>
        <w:t xml:space="preserve">audit interne (voir la Recommandation </w:t>
      </w:r>
      <w:r w:rsidR="00767DE8" w:rsidRPr="000C6ABF">
        <w:rPr>
          <w:lang w:val="fr-CH"/>
        </w:rPr>
        <w:t xml:space="preserve">N° 5 </w:t>
      </w:r>
      <w:r w:rsidR="00614AA6" w:rsidRPr="000C6ABF">
        <w:rPr>
          <w:lang w:val="fr-CH"/>
        </w:rPr>
        <w:t xml:space="preserve">dans son rapport au Conseil </w:t>
      </w:r>
      <w:r w:rsidR="00767DE8" w:rsidRPr="000C6ABF">
        <w:rPr>
          <w:lang w:val="fr-CH"/>
        </w:rPr>
        <w:t xml:space="preserve">du </w:t>
      </w:r>
      <w:r w:rsidR="00614AA6" w:rsidRPr="000C6ABF">
        <w:rPr>
          <w:lang w:val="fr-CH"/>
        </w:rPr>
        <w:t xml:space="preserve">31 mai 2013 – </w:t>
      </w:r>
      <w:r w:rsidR="00767DE8" w:rsidRPr="000C6ABF">
        <w:rPr>
          <w:lang w:val="fr-CH"/>
        </w:rPr>
        <w:t>D</w:t>
      </w:r>
      <w:r w:rsidR="00614AA6" w:rsidRPr="000C6ABF">
        <w:rPr>
          <w:lang w:val="fr-CH"/>
        </w:rPr>
        <w:t xml:space="preserve">ocument </w:t>
      </w:r>
      <w:r w:rsidRPr="000C6ABF">
        <w:rPr>
          <w:lang w:val="fr-CH"/>
        </w:rPr>
        <w:t>C13/65).</w:t>
      </w:r>
    </w:p>
    <w:p w:rsidR="00C26C58" w:rsidRPr="000C6ABF" w:rsidRDefault="00C26C58" w:rsidP="00511A1C">
      <w:pPr>
        <w:rPr>
          <w:lang w:val="fr-CH"/>
        </w:rPr>
      </w:pPr>
      <w:r w:rsidRPr="000C6ABF">
        <w:rPr>
          <w:lang w:val="fr-CH"/>
        </w:rPr>
        <w:t>136</w:t>
      </w:r>
      <w:r w:rsidRPr="000C6ABF">
        <w:rPr>
          <w:lang w:val="fr-CH"/>
        </w:rPr>
        <w:tab/>
      </w:r>
      <w:r w:rsidR="00614AA6" w:rsidRPr="000C6ABF">
        <w:rPr>
          <w:lang w:val="fr-CH"/>
        </w:rPr>
        <w:t xml:space="preserve">Même si la ligne directrice </w:t>
      </w:r>
      <w:r w:rsidRPr="000C6ABF">
        <w:rPr>
          <w:lang w:val="fr-CH"/>
        </w:rPr>
        <w:t>202</w:t>
      </w:r>
      <w:r w:rsidR="00614AA6" w:rsidRPr="000C6ABF">
        <w:rPr>
          <w:lang w:val="fr-CH"/>
        </w:rPr>
        <w:t xml:space="preserve"> date, elle a servi de base à notre évaluation, </w:t>
      </w:r>
      <w:r w:rsidR="00511A1C" w:rsidRPr="000C6ABF">
        <w:rPr>
          <w:lang w:val="fr-CH"/>
        </w:rPr>
        <w:t>a</w:t>
      </w:r>
      <w:r w:rsidR="00614AA6" w:rsidRPr="000C6ABF">
        <w:rPr>
          <w:lang w:val="fr-CH"/>
        </w:rPr>
        <w:t>fin d</w:t>
      </w:r>
      <w:r w:rsidR="00AB0C69" w:rsidRPr="000C6ABF">
        <w:rPr>
          <w:lang w:val="fr-CH"/>
        </w:rPr>
        <w:t>'</w:t>
      </w:r>
      <w:r w:rsidR="00614AA6" w:rsidRPr="000C6ABF">
        <w:rPr>
          <w:lang w:val="fr-CH"/>
        </w:rPr>
        <w:t>avoir une approche commune au sein des Nations Unies et la liste de contrôle a été mise à jour chaque fois que cela a été nécessaire.</w:t>
      </w:r>
    </w:p>
    <w:p w:rsidR="00C26C58" w:rsidRPr="000C6ABF" w:rsidRDefault="00C26C58" w:rsidP="00511A1C">
      <w:pPr>
        <w:rPr>
          <w:lang w:val="fr-CH"/>
        </w:rPr>
      </w:pPr>
      <w:r w:rsidRPr="000C6ABF">
        <w:rPr>
          <w:lang w:val="fr-CH"/>
        </w:rPr>
        <w:t>137</w:t>
      </w:r>
      <w:r w:rsidRPr="000C6ABF">
        <w:rPr>
          <w:lang w:val="fr-CH"/>
        </w:rPr>
        <w:tab/>
      </w:r>
      <w:r w:rsidR="00511A1C" w:rsidRPr="000C6ABF">
        <w:rPr>
          <w:lang w:val="fr-CH"/>
        </w:rPr>
        <w:t>Pour réaliser</w:t>
      </w:r>
      <w:r w:rsidR="00614AA6" w:rsidRPr="000C6ABF">
        <w:rPr>
          <w:lang w:val="fr-CH"/>
        </w:rPr>
        <w:t xml:space="preserve"> notre évaluation</w:t>
      </w:r>
      <w:r w:rsidR="00511A1C" w:rsidRPr="000C6ABF">
        <w:rPr>
          <w:lang w:val="fr-CH"/>
        </w:rPr>
        <w:t>, nous nous sommes entretenus et avons échangé des</w:t>
      </w:r>
      <w:r w:rsidR="00614AA6" w:rsidRPr="000C6ABF">
        <w:rPr>
          <w:lang w:val="fr-CH"/>
        </w:rPr>
        <w:t xml:space="preserve"> courriers avec le Chef de l</w:t>
      </w:r>
      <w:r w:rsidR="00AB0C69" w:rsidRPr="000C6ABF">
        <w:rPr>
          <w:lang w:val="fr-CH"/>
        </w:rPr>
        <w:t>'</w:t>
      </w:r>
      <w:r w:rsidR="00614AA6" w:rsidRPr="000C6ABF">
        <w:rPr>
          <w:lang w:val="fr-CH"/>
        </w:rPr>
        <w:t>Unité d</w:t>
      </w:r>
      <w:r w:rsidR="00511A1C" w:rsidRPr="000C6ABF">
        <w:rPr>
          <w:lang w:val="fr-CH"/>
        </w:rPr>
        <w:t>e l</w:t>
      </w:r>
      <w:r w:rsidR="00AB0C69" w:rsidRPr="000C6ABF">
        <w:rPr>
          <w:lang w:val="fr-CH"/>
        </w:rPr>
        <w:t>'</w:t>
      </w:r>
      <w:r w:rsidR="00614AA6" w:rsidRPr="000C6ABF">
        <w:rPr>
          <w:lang w:val="fr-CH"/>
        </w:rPr>
        <w:t xml:space="preserve">audit interne et </w:t>
      </w:r>
      <w:r w:rsidR="00511A1C" w:rsidRPr="000C6ABF">
        <w:rPr>
          <w:lang w:val="fr-CH"/>
        </w:rPr>
        <w:t xml:space="preserve">nous avons étudié </w:t>
      </w:r>
      <w:r w:rsidR="00614AA6" w:rsidRPr="000C6ABF">
        <w:rPr>
          <w:lang w:val="fr-CH"/>
        </w:rPr>
        <w:t xml:space="preserve">les principaux documents. Nous avons également </w:t>
      </w:r>
      <w:r w:rsidR="00511A1C" w:rsidRPr="000C6ABF">
        <w:rPr>
          <w:lang w:val="fr-CH"/>
        </w:rPr>
        <w:t xml:space="preserve">examiné </w:t>
      </w:r>
      <w:r w:rsidR="00614AA6" w:rsidRPr="000C6ABF">
        <w:rPr>
          <w:lang w:val="fr-CH"/>
        </w:rPr>
        <w:t>les fichiers relatifs aux audits effectués au cours des deux dernières années par l</w:t>
      </w:r>
      <w:r w:rsidR="00AB0C69" w:rsidRPr="000C6ABF">
        <w:rPr>
          <w:lang w:val="fr-CH"/>
        </w:rPr>
        <w:t>'</w:t>
      </w:r>
      <w:r w:rsidR="00614AA6" w:rsidRPr="000C6ABF">
        <w:rPr>
          <w:lang w:val="fr-CH"/>
        </w:rPr>
        <w:t>Unité d</w:t>
      </w:r>
      <w:r w:rsidR="00511A1C" w:rsidRPr="000C6ABF">
        <w:rPr>
          <w:lang w:val="fr-CH"/>
        </w:rPr>
        <w:t>e l</w:t>
      </w:r>
      <w:r w:rsidR="00AB0C69" w:rsidRPr="000C6ABF">
        <w:rPr>
          <w:lang w:val="fr-CH"/>
        </w:rPr>
        <w:t>'</w:t>
      </w:r>
      <w:r w:rsidR="00614AA6" w:rsidRPr="000C6ABF">
        <w:rPr>
          <w:lang w:val="fr-CH"/>
        </w:rPr>
        <w:t>audit interne.</w:t>
      </w:r>
    </w:p>
    <w:p w:rsidR="00C26C58" w:rsidRPr="000C6ABF" w:rsidRDefault="00614AA6" w:rsidP="00511A1C">
      <w:pPr>
        <w:rPr>
          <w:lang w:val="fr-CH"/>
        </w:rPr>
      </w:pPr>
      <w:r w:rsidRPr="000C6ABF">
        <w:rPr>
          <w:lang w:val="fr-CH"/>
        </w:rPr>
        <w:t xml:space="preserve">On trouvera ci-après une liste de </w:t>
      </w:r>
      <w:r w:rsidR="00511A1C" w:rsidRPr="000C6ABF">
        <w:rPr>
          <w:lang w:val="fr-CH"/>
        </w:rPr>
        <w:t xml:space="preserve">quelques-uns </w:t>
      </w:r>
      <w:r w:rsidRPr="000C6ABF">
        <w:rPr>
          <w:lang w:val="fr-CH"/>
        </w:rPr>
        <w:t xml:space="preserve">des documents que nous avons </w:t>
      </w:r>
      <w:r w:rsidR="00511A1C" w:rsidRPr="000C6ABF">
        <w:rPr>
          <w:lang w:val="fr-CH"/>
        </w:rPr>
        <w:t xml:space="preserve">examinés </w:t>
      </w:r>
      <w:r w:rsidRPr="000C6ABF">
        <w:rPr>
          <w:lang w:val="fr-CH"/>
        </w:rPr>
        <w:t>pour l</w:t>
      </w:r>
      <w:r w:rsidR="00AB0C69" w:rsidRPr="000C6ABF">
        <w:rPr>
          <w:lang w:val="fr-CH"/>
        </w:rPr>
        <w:t>'</w:t>
      </w:r>
      <w:r w:rsidRPr="000C6ABF">
        <w:rPr>
          <w:lang w:val="fr-CH"/>
        </w:rPr>
        <w:t xml:space="preserve">évaluation de </w:t>
      </w:r>
      <w:r w:rsidR="00AC5F92" w:rsidRPr="000C6ABF">
        <w:rPr>
          <w:lang w:val="fr-CH"/>
        </w:rPr>
        <w:t>l</w:t>
      </w:r>
      <w:r w:rsidR="00AB0C69" w:rsidRPr="000C6ABF">
        <w:rPr>
          <w:lang w:val="fr-CH"/>
        </w:rPr>
        <w:t>'</w:t>
      </w:r>
      <w:r w:rsidR="00AC5F92" w:rsidRPr="000C6ABF">
        <w:rPr>
          <w:lang w:val="fr-CH"/>
        </w:rPr>
        <w:t>Unité d</w:t>
      </w:r>
      <w:r w:rsidR="00511A1C" w:rsidRPr="000C6ABF">
        <w:rPr>
          <w:lang w:val="fr-CH"/>
        </w:rPr>
        <w:t>e l</w:t>
      </w:r>
      <w:r w:rsidR="00AB0C69" w:rsidRPr="000C6ABF">
        <w:rPr>
          <w:lang w:val="fr-CH"/>
        </w:rPr>
        <w:t>'</w:t>
      </w:r>
      <w:r w:rsidR="00AC5F92" w:rsidRPr="000C6ABF">
        <w:rPr>
          <w:lang w:val="fr-CH"/>
        </w:rPr>
        <w:t>audit interne</w:t>
      </w:r>
      <w:r w:rsidR="00C26C58" w:rsidRPr="000C6ABF">
        <w:rPr>
          <w:lang w:val="fr-CH"/>
        </w:rPr>
        <w:t>:</w:t>
      </w:r>
    </w:p>
    <w:p w:rsidR="00C26C58" w:rsidRPr="000C6ABF" w:rsidRDefault="00C26C58" w:rsidP="00384B73">
      <w:pPr>
        <w:pStyle w:val="enumlev1"/>
        <w:rPr>
          <w:rStyle w:val="hps"/>
          <w:lang w:val="fr-CH"/>
        </w:rPr>
      </w:pPr>
      <w:r w:rsidRPr="000C6ABF">
        <w:rPr>
          <w:rStyle w:val="hps"/>
          <w:lang w:val="fr-CH"/>
        </w:rPr>
        <w:lastRenderedPageBreak/>
        <w:t>•</w:t>
      </w:r>
      <w:r w:rsidRPr="000C6ABF">
        <w:rPr>
          <w:rStyle w:val="hps"/>
          <w:lang w:val="fr-CH"/>
        </w:rPr>
        <w:tab/>
      </w:r>
      <w:r w:rsidR="00AC5F92" w:rsidRPr="000C6ABF">
        <w:rPr>
          <w:rStyle w:val="hps"/>
          <w:lang w:val="fr-CH"/>
        </w:rPr>
        <w:t>Règlement financier et Règles financières de l</w:t>
      </w:r>
      <w:r w:rsidR="00AB0C69" w:rsidRPr="000C6ABF">
        <w:rPr>
          <w:rStyle w:val="hps"/>
          <w:lang w:val="fr-CH"/>
        </w:rPr>
        <w:t>'</w:t>
      </w:r>
      <w:r w:rsidR="00AC5F92" w:rsidRPr="000C6ABF">
        <w:rPr>
          <w:rStyle w:val="hps"/>
          <w:lang w:val="fr-CH"/>
        </w:rPr>
        <w:t>UIT (édition de 2010)</w:t>
      </w:r>
      <w:r w:rsidR="00384B73">
        <w:rPr>
          <w:rStyle w:val="hps"/>
          <w:lang w:val="fr-CH"/>
        </w:rPr>
        <w:t>.</w:t>
      </w:r>
    </w:p>
    <w:p w:rsidR="00C26C58" w:rsidRPr="000C6ABF" w:rsidRDefault="00C26C58" w:rsidP="00384B73">
      <w:pPr>
        <w:pStyle w:val="enumlev1"/>
        <w:rPr>
          <w:rStyle w:val="hps"/>
          <w:lang w:val="fr-CH"/>
        </w:rPr>
      </w:pPr>
      <w:r w:rsidRPr="000C6ABF">
        <w:rPr>
          <w:rStyle w:val="hps"/>
          <w:lang w:val="fr-CH"/>
        </w:rPr>
        <w:t>•</w:t>
      </w:r>
      <w:r w:rsidRPr="000C6ABF">
        <w:rPr>
          <w:rStyle w:val="hps"/>
          <w:lang w:val="fr-CH"/>
        </w:rPr>
        <w:tab/>
      </w:r>
      <w:r w:rsidR="00AC5F92" w:rsidRPr="000C6ABF">
        <w:rPr>
          <w:rStyle w:val="hps"/>
          <w:lang w:val="fr-CH"/>
        </w:rPr>
        <w:t>Manuel d</w:t>
      </w:r>
      <w:r w:rsidR="00AB0C69" w:rsidRPr="000C6ABF">
        <w:rPr>
          <w:rStyle w:val="hps"/>
          <w:lang w:val="fr-CH"/>
        </w:rPr>
        <w:t>'</w:t>
      </w:r>
      <w:r w:rsidR="00AC5F92" w:rsidRPr="000C6ABF">
        <w:rPr>
          <w:rStyle w:val="hps"/>
          <w:lang w:val="fr-CH"/>
        </w:rPr>
        <w:t>audit interne de l</w:t>
      </w:r>
      <w:r w:rsidR="00AB0C69" w:rsidRPr="000C6ABF">
        <w:rPr>
          <w:rStyle w:val="hps"/>
          <w:lang w:val="fr-CH"/>
        </w:rPr>
        <w:t>'</w:t>
      </w:r>
      <w:r w:rsidR="00AC5F92" w:rsidRPr="000C6ABF">
        <w:rPr>
          <w:rStyle w:val="hps"/>
          <w:lang w:val="fr-CH"/>
        </w:rPr>
        <w:t>UIT dont les chapitres (à l</w:t>
      </w:r>
      <w:r w:rsidR="00AB0C69" w:rsidRPr="000C6ABF">
        <w:rPr>
          <w:rStyle w:val="hps"/>
          <w:lang w:val="fr-CH"/>
        </w:rPr>
        <w:t>'</w:t>
      </w:r>
      <w:r w:rsidR="00AC5F92" w:rsidRPr="000C6ABF">
        <w:rPr>
          <w:rStyle w:val="hps"/>
          <w:lang w:val="fr-CH"/>
        </w:rPr>
        <w:t xml:space="preserve">exception du </w:t>
      </w:r>
      <w:r w:rsidR="00384B73" w:rsidRPr="000C6ABF">
        <w:rPr>
          <w:rStyle w:val="hps"/>
          <w:lang w:val="fr-CH"/>
        </w:rPr>
        <w:t>C</w:t>
      </w:r>
      <w:r w:rsidR="00AC5F92" w:rsidRPr="000C6ABF">
        <w:rPr>
          <w:rStyle w:val="hps"/>
          <w:lang w:val="fr-CH"/>
        </w:rPr>
        <w:t>hapitre 1) n</w:t>
      </w:r>
      <w:r w:rsidR="00AB0C69" w:rsidRPr="000C6ABF">
        <w:rPr>
          <w:rStyle w:val="hps"/>
          <w:lang w:val="fr-CH"/>
        </w:rPr>
        <w:t>'</w:t>
      </w:r>
      <w:r w:rsidR="00AC5F92" w:rsidRPr="000C6ABF">
        <w:rPr>
          <w:rStyle w:val="hps"/>
          <w:lang w:val="fr-CH"/>
        </w:rPr>
        <w:t>ont pas été mis à jour depuis 2012</w:t>
      </w:r>
      <w:r w:rsidR="00384B73">
        <w:rPr>
          <w:rStyle w:val="hps"/>
          <w:lang w:val="fr-CH"/>
        </w:rPr>
        <w:t>.</w:t>
      </w:r>
    </w:p>
    <w:p w:rsidR="00C26C58" w:rsidRPr="000C6ABF" w:rsidRDefault="00C26C58" w:rsidP="00384B73">
      <w:pPr>
        <w:pStyle w:val="enumlev1"/>
        <w:rPr>
          <w:rStyle w:val="hps"/>
          <w:lang w:val="fr-CH"/>
        </w:rPr>
      </w:pPr>
      <w:r w:rsidRPr="000C6ABF">
        <w:rPr>
          <w:rStyle w:val="hps"/>
          <w:lang w:val="fr-CH"/>
        </w:rPr>
        <w:t>•</w:t>
      </w:r>
      <w:r w:rsidRPr="000C6ABF">
        <w:rPr>
          <w:rStyle w:val="hps"/>
          <w:lang w:val="fr-CH"/>
        </w:rPr>
        <w:tab/>
      </w:r>
      <w:r w:rsidR="00AC5F92" w:rsidRPr="000C6ABF">
        <w:rPr>
          <w:rStyle w:val="hps"/>
          <w:lang w:val="fr-CH"/>
        </w:rPr>
        <w:t>Charte d</w:t>
      </w:r>
      <w:r w:rsidR="00AB0C69" w:rsidRPr="000C6ABF">
        <w:rPr>
          <w:rStyle w:val="hps"/>
          <w:lang w:val="fr-CH"/>
        </w:rPr>
        <w:t>'</w:t>
      </w:r>
      <w:r w:rsidR="00AC5F92" w:rsidRPr="000C6ABF">
        <w:rPr>
          <w:rStyle w:val="hps"/>
          <w:lang w:val="fr-CH"/>
        </w:rPr>
        <w:t xml:space="preserve">audit interne </w:t>
      </w:r>
      <w:r w:rsidRPr="000C6ABF">
        <w:rPr>
          <w:rStyle w:val="hps"/>
          <w:lang w:val="fr-CH"/>
        </w:rPr>
        <w:t>(10</w:t>
      </w:r>
      <w:r w:rsidR="00AC5F92" w:rsidRPr="000C6ABF">
        <w:rPr>
          <w:rStyle w:val="hps"/>
          <w:lang w:val="fr-CH"/>
        </w:rPr>
        <w:t xml:space="preserve"> juin </w:t>
      </w:r>
      <w:r w:rsidRPr="000C6ABF">
        <w:rPr>
          <w:rStyle w:val="hps"/>
          <w:lang w:val="fr-CH"/>
        </w:rPr>
        <w:t xml:space="preserve">1999, </w:t>
      </w:r>
      <w:r w:rsidR="00AC5F92" w:rsidRPr="000C6ABF">
        <w:rPr>
          <w:rStyle w:val="hps"/>
          <w:lang w:val="fr-CH"/>
        </w:rPr>
        <w:t>qui a été remplacée par la version du 27 juin 2013)</w:t>
      </w:r>
      <w:r w:rsidR="00384B73">
        <w:rPr>
          <w:rStyle w:val="hps"/>
          <w:lang w:val="fr-CH"/>
        </w:rPr>
        <w:t>.</w:t>
      </w:r>
    </w:p>
    <w:p w:rsidR="00C26C58" w:rsidRPr="000C6ABF" w:rsidRDefault="00C26C58" w:rsidP="00384B73">
      <w:pPr>
        <w:pStyle w:val="enumlev1"/>
        <w:rPr>
          <w:rStyle w:val="hps"/>
          <w:lang w:val="fr-CH"/>
        </w:rPr>
      </w:pPr>
      <w:r w:rsidRPr="000C6ABF">
        <w:rPr>
          <w:rStyle w:val="hps"/>
          <w:lang w:val="fr-CH"/>
        </w:rPr>
        <w:t>•</w:t>
      </w:r>
      <w:r w:rsidRPr="000C6ABF">
        <w:rPr>
          <w:rStyle w:val="hps"/>
          <w:lang w:val="fr-CH"/>
        </w:rPr>
        <w:tab/>
      </w:r>
      <w:r w:rsidR="00AC5F92" w:rsidRPr="000C6ABF">
        <w:rPr>
          <w:rStyle w:val="hps"/>
          <w:lang w:val="fr-CH"/>
        </w:rPr>
        <w:t>Plan d</w:t>
      </w:r>
      <w:r w:rsidR="00AB0C69" w:rsidRPr="000C6ABF">
        <w:rPr>
          <w:rStyle w:val="hps"/>
          <w:lang w:val="fr-CH"/>
        </w:rPr>
        <w:t>'</w:t>
      </w:r>
      <w:r w:rsidR="00AC5F92" w:rsidRPr="000C6ABF">
        <w:rPr>
          <w:rStyle w:val="hps"/>
          <w:lang w:val="fr-CH"/>
        </w:rPr>
        <w:t xml:space="preserve">audit interne pour </w:t>
      </w:r>
      <w:r w:rsidRPr="000C6ABF">
        <w:rPr>
          <w:rStyle w:val="hps"/>
          <w:lang w:val="fr-CH"/>
        </w:rPr>
        <w:t>2012 (SG-SGO/IA/12-03)</w:t>
      </w:r>
      <w:r w:rsidR="00384B73">
        <w:rPr>
          <w:rStyle w:val="hps"/>
          <w:lang w:val="fr-CH"/>
        </w:rPr>
        <w:t>.</w:t>
      </w:r>
    </w:p>
    <w:p w:rsidR="00C26C58" w:rsidRPr="000C6ABF" w:rsidRDefault="00C26C58" w:rsidP="00384B73">
      <w:pPr>
        <w:pStyle w:val="enumlev1"/>
        <w:rPr>
          <w:rStyle w:val="hps"/>
          <w:lang w:val="fr-CH"/>
        </w:rPr>
      </w:pPr>
      <w:r w:rsidRPr="000C6ABF">
        <w:rPr>
          <w:rStyle w:val="hps"/>
          <w:lang w:val="fr-CH"/>
        </w:rPr>
        <w:t>•</w:t>
      </w:r>
      <w:r w:rsidRPr="000C6ABF">
        <w:rPr>
          <w:rStyle w:val="hps"/>
          <w:lang w:val="fr-CH"/>
        </w:rPr>
        <w:tab/>
      </w:r>
      <w:r w:rsidR="00AC5F92" w:rsidRPr="000C6ABF">
        <w:rPr>
          <w:rStyle w:val="hps"/>
          <w:lang w:val="fr-CH"/>
        </w:rPr>
        <w:t>Plan d</w:t>
      </w:r>
      <w:r w:rsidR="00AB0C69" w:rsidRPr="000C6ABF">
        <w:rPr>
          <w:rStyle w:val="hps"/>
          <w:lang w:val="fr-CH"/>
        </w:rPr>
        <w:t>'</w:t>
      </w:r>
      <w:r w:rsidR="00AC5F92" w:rsidRPr="000C6ABF">
        <w:rPr>
          <w:rStyle w:val="hps"/>
          <w:lang w:val="fr-CH"/>
        </w:rPr>
        <w:t xml:space="preserve">audit interne pour </w:t>
      </w:r>
      <w:r w:rsidRPr="000C6ABF">
        <w:rPr>
          <w:rStyle w:val="hps"/>
          <w:lang w:val="fr-CH"/>
        </w:rPr>
        <w:t>2013 (SG-SGO/IA/13-01)</w:t>
      </w:r>
      <w:r w:rsidR="00384B73">
        <w:rPr>
          <w:rStyle w:val="hps"/>
          <w:lang w:val="fr-CH"/>
        </w:rPr>
        <w:t>.</w:t>
      </w:r>
    </w:p>
    <w:p w:rsidR="00C26C58" w:rsidRPr="000C6ABF" w:rsidRDefault="00C26C58" w:rsidP="00384B73">
      <w:pPr>
        <w:pStyle w:val="enumlev1"/>
        <w:rPr>
          <w:rStyle w:val="hps"/>
          <w:lang w:val="fr-CH"/>
        </w:rPr>
      </w:pPr>
      <w:r w:rsidRPr="000C6ABF">
        <w:rPr>
          <w:rStyle w:val="hps"/>
          <w:lang w:val="fr-CH"/>
        </w:rPr>
        <w:t>•</w:t>
      </w:r>
      <w:r w:rsidRPr="000C6ABF">
        <w:rPr>
          <w:rStyle w:val="hps"/>
          <w:lang w:val="fr-CH"/>
        </w:rPr>
        <w:tab/>
      </w:r>
      <w:r w:rsidR="00AC5F92" w:rsidRPr="000C6ABF">
        <w:rPr>
          <w:rStyle w:val="hps"/>
          <w:lang w:val="fr-CH"/>
        </w:rPr>
        <w:t>Plan d</w:t>
      </w:r>
      <w:r w:rsidR="00AB0C69" w:rsidRPr="000C6ABF">
        <w:rPr>
          <w:rStyle w:val="hps"/>
          <w:lang w:val="fr-CH"/>
        </w:rPr>
        <w:t>'</w:t>
      </w:r>
      <w:r w:rsidR="00AC5F92" w:rsidRPr="000C6ABF">
        <w:rPr>
          <w:rStyle w:val="hps"/>
          <w:lang w:val="fr-CH"/>
        </w:rPr>
        <w:t>audit interne pour</w:t>
      </w:r>
      <w:r w:rsidRPr="000C6ABF">
        <w:rPr>
          <w:rStyle w:val="hps"/>
          <w:lang w:val="fr-CH"/>
        </w:rPr>
        <w:t xml:space="preserve"> 2014 (SG-SGO/IA/13-19)</w:t>
      </w:r>
      <w:r w:rsidR="00384B73">
        <w:rPr>
          <w:rStyle w:val="hps"/>
          <w:lang w:val="fr-CH"/>
        </w:rPr>
        <w:t>.</w:t>
      </w:r>
    </w:p>
    <w:p w:rsidR="00C26C58" w:rsidRPr="000C6ABF" w:rsidRDefault="00C26C58" w:rsidP="00384B73">
      <w:pPr>
        <w:pStyle w:val="enumlev1"/>
        <w:rPr>
          <w:rStyle w:val="hps"/>
          <w:lang w:val="fr-CH"/>
        </w:rPr>
      </w:pPr>
      <w:r w:rsidRPr="000C6ABF">
        <w:rPr>
          <w:rStyle w:val="hps"/>
          <w:lang w:val="fr-CH"/>
        </w:rPr>
        <w:t>•</w:t>
      </w:r>
      <w:r w:rsidRPr="000C6ABF">
        <w:rPr>
          <w:rStyle w:val="hps"/>
          <w:lang w:val="fr-CH"/>
        </w:rPr>
        <w:tab/>
      </w:r>
      <w:r w:rsidR="00AC5F92" w:rsidRPr="000C6ABF">
        <w:rPr>
          <w:rStyle w:val="hps"/>
          <w:lang w:val="fr-CH"/>
        </w:rPr>
        <w:t>Projet de résumé de la 168</w:t>
      </w:r>
      <w:r w:rsidR="00384B73">
        <w:rPr>
          <w:rStyle w:val="hps"/>
          <w:lang w:val="fr-CH"/>
        </w:rPr>
        <w:t>èm</w:t>
      </w:r>
      <w:r w:rsidR="00AC5F92" w:rsidRPr="000C6ABF">
        <w:rPr>
          <w:rStyle w:val="hps"/>
          <w:lang w:val="fr-CH"/>
        </w:rPr>
        <w:t xml:space="preserve">e réunion du Comité de gestion du Secrétariat général </w:t>
      </w:r>
      <w:r w:rsidRPr="000C6ABF">
        <w:rPr>
          <w:rStyle w:val="hps"/>
          <w:lang w:val="fr-CH"/>
        </w:rPr>
        <w:t>(Document 169-2 of 4.09.2013)</w:t>
      </w:r>
      <w:r w:rsidR="00384B73">
        <w:rPr>
          <w:rStyle w:val="hps"/>
          <w:lang w:val="fr-CH"/>
        </w:rPr>
        <w:t>.</w:t>
      </w:r>
    </w:p>
    <w:p w:rsidR="00C26C58" w:rsidRPr="000C6ABF" w:rsidRDefault="00C26C58" w:rsidP="00AB0C69">
      <w:pPr>
        <w:pStyle w:val="enumlev1"/>
        <w:rPr>
          <w:rStyle w:val="hps"/>
          <w:lang w:val="fr-CH"/>
        </w:rPr>
      </w:pPr>
      <w:r w:rsidRPr="000C6ABF">
        <w:rPr>
          <w:rStyle w:val="hps"/>
          <w:lang w:val="fr-CH"/>
        </w:rPr>
        <w:t>•</w:t>
      </w:r>
      <w:r w:rsidRPr="000C6ABF">
        <w:rPr>
          <w:rStyle w:val="hps"/>
          <w:lang w:val="fr-CH"/>
        </w:rPr>
        <w:tab/>
      </w:r>
      <w:r w:rsidR="00AC5F92" w:rsidRPr="000C6ABF">
        <w:rPr>
          <w:rStyle w:val="hps"/>
          <w:lang w:val="fr-CH"/>
        </w:rPr>
        <w:t>Rapports de l</w:t>
      </w:r>
      <w:r w:rsidR="00AB0C69" w:rsidRPr="000C6ABF">
        <w:rPr>
          <w:rStyle w:val="hps"/>
          <w:lang w:val="fr-CH"/>
        </w:rPr>
        <w:t>'</w:t>
      </w:r>
      <w:r w:rsidR="00AC5F92" w:rsidRPr="000C6ABF">
        <w:rPr>
          <w:rStyle w:val="hps"/>
          <w:lang w:val="fr-CH"/>
        </w:rPr>
        <w:t>auditeur interne sur les activités d</w:t>
      </w:r>
      <w:r w:rsidR="00AB0C69" w:rsidRPr="000C6ABF">
        <w:rPr>
          <w:rStyle w:val="hps"/>
          <w:lang w:val="fr-CH"/>
        </w:rPr>
        <w:t>'</w:t>
      </w:r>
      <w:r w:rsidR="00AC5F92" w:rsidRPr="000C6ABF">
        <w:rPr>
          <w:rStyle w:val="hps"/>
          <w:lang w:val="fr-CH"/>
        </w:rPr>
        <w:t>audit interne</w:t>
      </w:r>
      <w:r w:rsidRPr="000C6ABF">
        <w:rPr>
          <w:rStyle w:val="hps"/>
          <w:lang w:val="fr-CH"/>
        </w:rPr>
        <w:t>:</w:t>
      </w:r>
    </w:p>
    <w:p w:rsidR="00C26C58" w:rsidRPr="000C6ABF" w:rsidRDefault="00C26C58" w:rsidP="00511A1C">
      <w:pPr>
        <w:pStyle w:val="enumlev2"/>
        <w:rPr>
          <w:rStyle w:val="hps"/>
          <w:lang w:val="fr-CH"/>
        </w:rPr>
      </w:pPr>
      <w:r w:rsidRPr="000C6ABF">
        <w:rPr>
          <w:rStyle w:val="hps"/>
          <w:lang w:val="fr-CH"/>
        </w:rPr>
        <w:t>–</w:t>
      </w:r>
      <w:r w:rsidRPr="000C6ABF">
        <w:rPr>
          <w:rStyle w:val="hps"/>
          <w:lang w:val="fr-CH"/>
        </w:rPr>
        <w:tab/>
        <w:t>C12/INF/2-E du 29</w:t>
      </w:r>
      <w:r w:rsidR="00511A1C" w:rsidRPr="000C6ABF">
        <w:rPr>
          <w:rStyle w:val="hps"/>
          <w:lang w:val="fr-CH"/>
        </w:rPr>
        <w:t xml:space="preserve"> mars </w:t>
      </w:r>
      <w:r w:rsidRPr="000C6ABF">
        <w:rPr>
          <w:rStyle w:val="hps"/>
          <w:lang w:val="fr-CH"/>
        </w:rPr>
        <w:t>2012</w:t>
      </w:r>
    </w:p>
    <w:p w:rsidR="00C26C58" w:rsidRPr="000C6ABF" w:rsidRDefault="00C26C58" w:rsidP="00384B73">
      <w:pPr>
        <w:pStyle w:val="enumlev2"/>
        <w:rPr>
          <w:rStyle w:val="hps"/>
          <w:lang w:val="fr-CH"/>
        </w:rPr>
      </w:pPr>
      <w:r w:rsidRPr="000C6ABF">
        <w:rPr>
          <w:rStyle w:val="hps"/>
          <w:lang w:val="fr-CH"/>
        </w:rPr>
        <w:t>–</w:t>
      </w:r>
      <w:r w:rsidRPr="000C6ABF">
        <w:rPr>
          <w:rStyle w:val="hps"/>
          <w:lang w:val="fr-CH"/>
        </w:rPr>
        <w:tab/>
        <w:t>C13/INF/4-E du 5</w:t>
      </w:r>
      <w:r w:rsidR="00511A1C" w:rsidRPr="000C6ABF">
        <w:rPr>
          <w:rStyle w:val="hps"/>
          <w:lang w:val="fr-CH"/>
        </w:rPr>
        <w:t xml:space="preserve"> avril </w:t>
      </w:r>
      <w:r w:rsidRPr="000C6ABF">
        <w:rPr>
          <w:rStyle w:val="hps"/>
          <w:lang w:val="fr-CH"/>
        </w:rPr>
        <w:t>2013</w:t>
      </w:r>
    </w:p>
    <w:p w:rsidR="00C26C58" w:rsidRPr="000C6ABF" w:rsidRDefault="00C26C58" w:rsidP="00511A1C">
      <w:pPr>
        <w:pStyle w:val="enumlev2"/>
        <w:rPr>
          <w:rStyle w:val="hps"/>
          <w:lang w:val="fr-CH"/>
        </w:rPr>
      </w:pPr>
      <w:r w:rsidRPr="000C6ABF">
        <w:rPr>
          <w:rStyle w:val="hps"/>
          <w:lang w:val="fr-CH"/>
        </w:rPr>
        <w:t>–</w:t>
      </w:r>
      <w:r w:rsidRPr="000C6ABF">
        <w:rPr>
          <w:rStyle w:val="hps"/>
          <w:lang w:val="fr-CH"/>
        </w:rPr>
        <w:tab/>
        <w:t>C14/47-E du 18</w:t>
      </w:r>
      <w:r w:rsidR="00511A1C" w:rsidRPr="000C6ABF">
        <w:rPr>
          <w:rStyle w:val="hps"/>
          <w:lang w:val="fr-CH"/>
        </w:rPr>
        <w:t xml:space="preserve"> mars </w:t>
      </w:r>
      <w:r w:rsidRPr="000C6ABF">
        <w:rPr>
          <w:rStyle w:val="hps"/>
          <w:lang w:val="fr-CH"/>
        </w:rPr>
        <w:t>2014</w:t>
      </w:r>
      <w:r w:rsidR="00384B73">
        <w:rPr>
          <w:rStyle w:val="hps"/>
          <w:lang w:val="fr-CH"/>
        </w:rPr>
        <w:t>.</w:t>
      </w:r>
    </w:p>
    <w:p w:rsidR="00C26C58" w:rsidRPr="000C6ABF" w:rsidRDefault="00C26C58" w:rsidP="00384B73">
      <w:pPr>
        <w:pStyle w:val="enumlev1"/>
        <w:rPr>
          <w:rStyle w:val="hps"/>
          <w:lang w:val="fr-CH"/>
        </w:rPr>
      </w:pPr>
      <w:r w:rsidRPr="000C6ABF">
        <w:rPr>
          <w:rStyle w:val="hps"/>
          <w:lang w:val="fr-CH"/>
        </w:rPr>
        <w:t>•</w:t>
      </w:r>
      <w:r w:rsidRPr="000C6ABF">
        <w:rPr>
          <w:rStyle w:val="hps"/>
          <w:lang w:val="fr-CH"/>
        </w:rPr>
        <w:tab/>
        <w:t>Document IMAC-6/14 du 30</w:t>
      </w:r>
      <w:r w:rsidR="00511A1C" w:rsidRPr="000C6ABF">
        <w:rPr>
          <w:rStyle w:val="hps"/>
          <w:lang w:val="fr-CH"/>
        </w:rPr>
        <w:t xml:space="preserve"> novembre </w:t>
      </w:r>
      <w:r w:rsidRPr="000C6ABF">
        <w:rPr>
          <w:rStyle w:val="hps"/>
          <w:lang w:val="fr-CH"/>
        </w:rPr>
        <w:t>2013</w:t>
      </w:r>
      <w:r w:rsidR="00384B73">
        <w:rPr>
          <w:rStyle w:val="hps"/>
          <w:lang w:val="fr-CH"/>
        </w:rPr>
        <w:t>:</w:t>
      </w:r>
    </w:p>
    <w:p w:rsidR="00F171CC" w:rsidRPr="000C6ABF" w:rsidRDefault="00F171CC" w:rsidP="00384B73">
      <w:pPr>
        <w:pStyle w:val="enumlev2"/>
        <w:rPr>
          <w:rStyle w:val="hps"/>
          <w:lang w:val="fr-CH"/>
        </w:rPr>
      </w:pPr>
      <w:r w:rsidRPr="000C6ABF">
        <w:rPr>
          <w:rStyle w:val="hps"/>
          <w:lang w:val="fr-CH"/>
        </w:rPr>
        <w:t>–</w:t>
      </w:r>
      <w:r w:rsidRPr="000C6ABF">
        <w:rPr>
          <w:rStyle w:val="hps"/>
          <w:lang w:val="fr-CH"/>
        </w:rPr>
        <w:tab/>
        <w:t>C13/65</w:t>
      </w:r>
      <w:r w:rsidR="00384B73" w:rsidRPr="000C6ABF">
        <w:rPr>
          <w:rStyle w:val="hps"/>
          <w:lang w:val="fr-CH"/>
        </w:rPr>
        <w:t>-</w:t>
      </w:r>
      <w:r w:rsidRPr="000C6ABF">
        <w:rPr>
          <w:rStyle w:val="hps"/>
          <w:lang w:val="fr-CH"/>
        </w:rPr>
        <w:t>E du 3</w:t>
      </w:r>
      <w:r w:rsidR="00511A1C" w:rsidRPr="000C6ABF">
        <w:rPr>
          <w:rStyle w:val="hps"/>
          <w:lang w:val="fr-CH"/>
        </w:rPr>
        <w:t xml:space="preserve"> juin </w:t>
      </w:r>
      <w:r w:rsidRPr="000C6ABF">
        <w:rPr>
          <w:rStyle w:val="hps"/>
          <w:lang w:val="fr-CH"/>
        </w:rPr>
        <w:t>2013</w:t>
      </w:r>
    </w:p>
    <w:p w:rsidR="00F171CC" w:rsidRPr="000C6ABF" w:rsidRDefault="00F171CC" w:rsidP="00511A1C">
      <w:pPr>
        <w:pStyle w:val="enumlev2"/>
        <w:rPr>
          <w:rStyle w:val="hps"/>
          <w:lang w:val="fr-CH"/>
        </w:rPr>
      </w:pPr>
      <w:r w:rsidRPr="000C6ABF">
        <w:rPr>
          <w:rStyle w:val="hps"/>
          <w:lang w:val="fr-CH"/>
        </w:rPr>
        <w:t>–</w:t>
      </w:r>
      <w:r w:rsidRPr="000C6ABF">
        <w:rPr>
          <w:rStyle w:val="hps"/>
          <w:lang w:val="fr-CH"/>
        </w:rPr>
        <w:tab/>
        <w:t>C14/22-E du 31</w:t>
      </w:r>
      <w:r w:rsidR="00511A1C" w:rsidRPr="000C6ABF">
        <w:rPr>
          <w:rStyle w:val="hps"/>
          <w:lang w:val="fr-CH"/>
        </w:rPr>
        <w:t xml:space="preserve"> mars </w:t>
      </w:r>
      <w:r w:rsidRPr="000C6ABF">
        <w:rPr>
          <w:rStyle w:val="hps"/>
          <w:lang w:val="fr-CH"/>
        </w:rPr>
        <w:t>2014</w:t>
      </w:r>
      <w:r w:rsidR="00384B73">
        <w:rPr>
          <w:rStyle w:val="hps"/>
          <w:lang w:val="fr-CH"/>
        </w:rPr>
        <w:t>.</w:t>
      </w:r>
    </w:p>
    <w:p w:rsidR="00F171CC" w:rsidRPr="000C6ABF" w:rsidRDefault="00F171CC" w:rsidP="00384B73">
      <w:pPr>
        <w:pStyle w:val="enumlev1"/>
        <w:rPr>
          <w:rStyle w:val="hps"/>
          <w:lang w:val="fr-CH"/>
        </w:rPr>
      </w:pPr>
      <w:r w:rsidRPr="000C6ABF">
        <w:rPr>
          <w:rStyle w:val="hps"/>
          <w:lang w:val="fr-CH"/>
        </w:rPr>
        <w:t>•</w:t>
      </w:r>
      <w:r w:rsidRPr="000C6ABF">
        <w:rPr>
          <w:rStyle w:val="hps"/>
          <w:lang w:val="fr-CH"/>
        </w:rPr>
        <w:tab/>
      </w:r>
      <w:r w:rsidR="00AC5F92" w:rsidRPr="000C6ABF">
        <w:rPr>
          <w:rStyle w:val="hps"/>
          <w:lang w:val="fr-CH"/>
        </w:rPr>
        <w:t>Rapport d</w:t>
      </w:r>
      <w:r w:rsidR="00AB0C69" w:rsidRPr="000C6ABF">
        <w:rPr>
          <w:rStyle w:val="hps"/>
          <w:lang w:val="fr-CH"/>
        </w:rPr>
        <w:t>'</w:t>
      </w:r>
      <w:r w:rsidR="00AC5F92" w:rsidRPr="000C6ABF">
        <w:rPr>
          <w:rStyle w:val="hps"/>
          <w:lang w:val="fr-CH"/>
        </w:rPr>
        <w:t xml:space="preserve">audit interne </w:t>
      </w:r>
      <w:r w:rsidRPr="000C6ABF">
        <w:rPr>
          <w:rStyle w:val="hps"/>
          <w:lang w:val="fr-CH"/>
        </w:rPr>
        <w:t>(Audit</w:t>
      </w:r>
      <w:r w:rsidR="00AC5F92" w:rsidRPr="000C6ABF">
        <w:rPr>
          <w:rStyle w:val="hps"/>
          <w:lang w:val="fr-CH"/>
        </w:rPr>
        <w:t xml:space="preserve"> de la présence régionale de l</w:t>
      </w:r>
      <w:r w:rsidR="00AB0C69" w:rsidRPr="000C6ABF">
        <w:rPr>
          <w:rStyle w:val="hps"/>
          <w:lang w:val="fr-CH"/>
        </w:rPr>
        <w:t>'</w:t>
      </w:r>
      <w:r w:rsidR="00AC5F92" w:rsidRPr="000C6ABF">
        <w:rPr>
          <w:rStyle w:val="hps"/>
          <w:lang w:val="fr-CH"/>
        </w:rPr>
        <w:t xml:space="preserve">UIT </w:t>
      </w:r>
      <w:r w:rsidRPr="000C6ABF">
        <w:rPr>
          <w:rStyle w:val="hps"/>
          <w:lang w:val="fr-CH"/>
        </w:rPr>
        <w:t xml:space="preserve">– </w:t>
      </w:r>
      <w:r w:rsidR="00AC5F92" w:rsidRPr="000C6ABF">
        <w:rPr>
          <w:rStyle w:val="hps"/>
          <w:lang w:val="fr-CH"/>
        </w:rPr>
        <w:t>Bureaux régionaux et bureaux de zone pour la région Asie</w:t>
      </w:r>
      <w:r w:rsidR="00384B73">
        <w:rPr>
          <w:rStyle w:val="hps"/>
          <w:lang w:val="fr-CH"/>
        </w:rPr>
        <w:noBreakHyphen/>
      </w:r>
      <w:r w:rsidR="00AC5F92" w:rsidRPr="000C6ABF">
        <w:rPr>
          <w:rStyle w:val="hps"/>
          <w:lang w:val="fr-CH"/>
        </w:rPr>
        <w:t>Pacifique</w:t>
      </w:r>
      <w:r w:rsidRPr="000C6ABF">
        <w:rPr>
          <w:rStyle w:val="hps"/>
          <w:lang w:val="fr-CH"/>
        </w:rPr>
        <w:t xml:space="preserve">) – SG-SGO/IA/13-04 </w:t>
      </w:r>
      <w:r w:rsidR="00511A1C" w:rsidRPr="000C6ABF">
        <w:rPr>
          <w:rStyle w:val="hps"/>
          <w:lang w:val="fr-CH"/>
        </w:rPr>
        <w:t>du</w:t>
      </w:r>
      <w:r w:rsidRPr="000C6ABF">
        <w:rPr>
          <w:rStyle w:val="hps"/>
          <w:lang w:val="fr-CH"/>
        </w:rPr>
        <w:t xml:space="preserve"> 29</w:t>
      </w:r>
      <w:r w:rsidR="00511A1C" w:rsidRPr="000C6ABF">
        <w:rPr>
          <w:rStyle w:val="hps"/>
          <w:lang w:val="fr-CH"/>
        </w:rPr>
        <w:t xml:space="preserve"> avril </w:t>
      </w:r>
      <w:r w:rsidRPr="000C6ABF">
        <w:rPr>
          <w:rStyle w:val="hps"/>
          <w:lang w:val="fr-CH"/>
        </w:rPr>
        <w:t>2013</w:t>
      </w:r>
      <w:r w:rsidR="00384B73">
        <w:rPr>
          <w:rStyle w:val="hps"/>
          <w:lang w:val="fr-CH"/>
        </w:rPr>
        <w:t>.</w:t>
      </w:r>
    </w:p>
    <w:p w:rsidR="00F171CC" w:rsidRPr="000C6ABF" w:rsidRDefault="00F171CC" w:rsidP="00384B73">
      <w:pPr>
        <w:pStyle w:val="enumlev1"/>
        <w:rPr>
          <w:rStyle w:val="hps"/>
          <w:lang w:val="fr-CH"/>
        </w:rPr>
      </w:pPr>
      <w:r w:rsidRPr="000C6ABF">
        <w:rPr>
          <w:rStyle w:val="hps"/>
          <w:lang w:val="fr-CH"/>
        </w:rPr>
        <w:t>•</w:t>
      </w:r>
      <w:r w:rsidRPr="000C6ABF">
        <w:rPr>
          <w:rStyle w:val="hps"/>
          <w:lang w:val="fr-CH"/>
        </w:rPr>
        <w:tab/>
      </w:r>
      <w:r w:rsidR="00AC5F92" w:rsidRPr="000C6ABF">
        <w:rPr>
          <w:rStyle w:val="hps"/>
          <w:lang w:val="fr-CH"/>
        </w:rPr>
        <w:t>Rapport d</w:t>
      </w:r>
      <w:r w:rsidR="00AB0C69" w:rsidRPr="000C6ABF">
        <w:rPr>
          <w:rStyle w:val="hps"/>
          <w:lang w:val="fr-CH"/>
        </w:rPr>
        <w:t>'</w:t>
      </w:r>
      <w:r w:rsidR="00AC5F92" w:rsidRPr="000C6ABF">
        <w:rPr>
          <w:rStyle w:val="hps"/>
          <w:lang w:val="fr-CH"/>
        </w:rPr>
        <w:t xml:space="preserve">audit interne </w:t>
      </w:r>
      <w:r w:rsidRPr="000C6ABF">
        <w:rPr>
          <w:rStyle w:val="hps"/>
          <w:lang w:val="fr-CH"/>
        </w:rPr>
        <w:t>(</w:t>
      </w:r>
      <w:r w:rsidR="00AC5F92" w:rsidRPr="000C6ABF">
        <w:rPr>
          <w:rStyle w:val="hps"/>
          <w:lang w:val="fr-CH"/>
        </w:rPr>
        <w:t>Audit de la présence régionale de l</w:t>
      </w:r>
      <w:r w:rsidR="00AB0C69" w:rsidRPr="000C6ABF">
        <w:rPr>
          <w:rStyle w:val="hps"/>
          <w:lang w:val="fr-CH"/>
        </w:rPr>
        <w:t>'</w:t>
      </w:r>
      <w:r w:rsidR="00AC5F92" w:rsidRPr="000C6ABF">
        <w:rPr>
          <w:rStyle w:val="hps"/>
          <w:lang w:val="fr-CH"/>
        </w:rPr>
        <w:t xml:space="preserve">UIT – Bureaux de zone pour la Communauté des </w:t>
      </w:r>
      <w:r w:rsidR="00C325DE" w:rsidRPr="000C6ABF">
        <w:rPr>
          <w:rStyle w:val="hps"/>
          <w:lang w:val="fr-CH"/>
        </w:rPr>
        <w:t>E</w:t>
      </w:r>
      <w:r w:rsidR="009C0B6F" w:rsidRPr="000C6ABF">
        <w:rPr>
          <w:rStyle w:val="hps"/>
          <w:lang w:val="fr-CH"/>
        </w:rPr>
        <w:t>tats indépendants</w:t>
      </w:r>
      <w:r w:rsidRPr="000C6ABF">
        <w:rPr>
          <w:rStyle w:val="hps"/>
          <w:lang w:val="fr-CH"/>
        </w:rPr>
        <w:t xml:space="preserve">) – SG-SGO/IA/13-13 </w:t>
      </w:r>
      <w:r w:rsidR="009C0B6F" w:rsidRPr="000C6ABF">
        <w:rPr>
          <w:rStyle w:val="hps"/>
          <w:lang w:val="fr-CH"/>
        </w:rPr>
        <w:t xml:space="preserve">du 30 juillet </w:t>
      </w:r>
      <w:r w:rsidRPr="000C6ABF">
        <w:rPr>
          <w:rStyle w:val="hps"/>
          <w:lang w:val="fr-CH"/>
        </w:rPr>
        <w:t>2013</w:t>
      </w:r>
      <w:r w:rsidR="00384B73">
        <w:rPr>
          <w:rStyle w:val="hps"/>
          <w:lang w:val="fr-CH"/>
        </w:rPr>
        <w:t>.</w:t>
      </w:r>
    </w:p>
    <w:p w:rsidR="00F171CC" w:rsidRPr="000C6ABF" w:rsidRDefault="00F171CC" w:rsidP="00384B73">
      <w:pPr>
        <w:pStyle w:val="enumlev1"/>
        <w:rPr>
          <w:rStyle w:val="hps"/>
          <w:lang w:val="fr-CH"/>
        </w:rPr>
      </w:pPr>
      <w:r w:rsidRPr="000C6ABF">
        <w:rPr>
          <w:rStyle w:val="hps"/>
          <w:lang w:val="fr-CH"/>
        </w:rPr>
        <w:t>•</w:t>
      </w:r>
      <w:r w:rsidRPr="000C6ABF">
        <w:rPr>
          <w:rStyle w:val="hps"/>
          <w:lang w:val="fr-CH"/>
        </w:rPr>
        <w:tab/>
      </w:r>
      <w:r w:rsidR="00AC5F92" w:rsidRPr="000C6ABF">
        <w:rPr>
          <w:rStyle w:val="hps"/>
          <w:lang w:val="fr-CH"/>
        </w:rPr>
        <w:t>Rapport d</w:t>
      </w:r>
      <w:r w:rsidR="00AB0C69" w:rsidRPr="000C6ABF">
        <w:rPr>
          <w:rStyle w:val="hps"/>
          <w:lang w:val="fr-CH"/>
        </w:rPr>
        <w:t>'</w:t>
      </w:r>
      <w:r w:rsidR="00AC5F92" w:rsidRPr="000C6ABF">
        <w:rPr>
          <w:rStyle w:val="hps"/>
          <w:lang w:val="fr-CH"/>
        </w:rPr>
        <w:t xml:space="preserve">audit interne </w:t>
      </w:r>
      <w:r w:rsidRPr="000C6ABF">
        <w:rPr>
          <w:rStyle w:val="hps"/>
          <w:lang w:val="fr-CH"/>
        </w:rPr>
        <w:t>(</w:t>
      </w:r>
      <w:r w:rsidR="00AC5F92" w:rsidRPr="000C6ABF">
        <w:rPr>
          <w:rStyle w:val="hps"/>
          <w:lang w:val="fr-CH"/>
        </w:rPr>
        <w:t>Audit de la présence régionale de l</w:t>
      </w:r>
      <w:r w:rsidR="00AB0C69" w:rsidRPr="000C6ABF">
        <w:rPr>
          <w:rStyle w:val="hps"/>
          <w:lang w:val="fr-CH"/>
        </w:rPr>
        <w:t>'</w:t>
      </w:r>
      <w:r w:rsidR="00AC5F92" w:rsidRPr="000C6ABF">
        <w:rPr>
          <w:rStyle w:val="hps"/>
          <w:lang w:val="fr-CH"/>
        </w:rPr>
        <w:t>UIT – Bureaux régionaux et bureaux de zone pour la région Amériques</w:t>
      </w:r>
      <w:r w:rsidRPr="000C6ABF">
        <w:rPr>
          <w:rStyle w:val="hps"/>
          <w:lang w:val="fr-CH"/>
        </w:rPr>
        <w:t xml:space="preserve">) – SG-SGO/IA/13-15 </w:t>
      </w:r>
      <w:r w:rsidR="009C0B6F" w:rsidRPr="000C6ABF">
        <w:rPr>
          <w:rStyle w:val="hps"/>
          <w:lang w:val="fr-CH"/>
        </w:rPr>
        <w:t>du</w:t>
      </w:r>
      <w:r w:rsidRPr="000C6ABF">
        <w:rPr>
          <w:rStyle w:val="hps"/>
          <w:lang w:val="fr-CH"/>
        </w:rPr>
        <w:t xml:space="preserve"> 29</w:t>
      </w:r>
      <w:r w:rsidR="009C0B6F" w:rsidRPr="000C6ABF">
        <w:rPr>
          <w:rStyle w:val="hps"/>
          <w:lang w:val="fr-CH"/>
        </w:rPr>
        <w:t xml:space="preserve"> novembre </w:t>
      </w:r>
      <w:r w:rsidRPr="000C6ABF">
        <w:rPr>
          <w:rStyle w:val="hps"/>
          <w:lang w:val="fr-CH"/>
        </w:rPr>
        <w:t>2013</w:t>
      </w:r>
      <w:r w:rsidR="00384B73">
        <w:rPr>
          <w:rStyle w:val="hps"/>
          <w:lang w:val="fr-CH"/>
        </w:rPr>
        <w:t>.</w:t>
      </w:r>
    </w:p>
    <w:p w:rsidR="00F171CC" w:rsidRPr="000C6ABF" w:rsidRDefault="00F171CC" w:rsidP="00AB0C69">
      <w:pPr>
        <w:pStyle w:val="enumlev1"/>
        <w:rPr>
          <w:rStyle w:val="hps"/>
          <w:lang w:val="fr-CH"/>
        </w:rPr>
      </w:pPr>
      <w:r w:rsidRPr="000C6ABF">
        <w:rPr>
          <w:rStyle w:val="hps"/>
          <w:lang w:val="fr-CH"/>
        </w:rPr>
        <w:t>•</w:t>
      </w:r>
      <w:r w:rsidRPr="000C6ABF">
        <w:rPr>
          <w:rStyle w:val="hps"/>
          <w:lang w:val="fr-CH"/>
        </w:rPr>
        <w:tab/>
      </w:r>
      <w:r w:rsidR="00AC5F92" w:rsidRPr="000C6ABF">
        <w:rPr>
          <w:rStyle w:val="hps"/>
          <w:lang w:val="fr-CH"/>
        </w:rPr>
        <w:t>Autres documents divers</w:t>
      </w:r>
      <w:r w:rsidRPr="000C6ABF">
        <w:rPr>
          <w:rStyle w:val="hps"/>
          <w:lang w:val="fr-CH"/>
        </w:rPr>
        <w:t>.</w:t>
      </w:r>
    </w:p>
    <w:p w:rsidR="00F171CC" w:rsidRPr="000C6ABF" w:rsidRDefault="00F171CC" w:rsidP="00384B73">
      <w:pPr>
        <w:rPr>
          <w:lang w:val="fr-CH"/>
        </w:rPr>
      </w:pPr>
      <w:r w:rsidRPr="000C6ABF">
        <w:rPr>
          <w:lang w:val="fr-CH"/>
        </w:rPr>
        <w:t>138</w:t>
      </w:r>
      <w:r w:rsidRPr="000C6ABF">
        <w:rPr>
          <w:lang w:val="fr-CH"/>
        </w:rPr>
        <w:tab/>
      </w:r>
      <w:r w:rsidR="00AC5F92" w:rsidRPr="000C6ABF">
        <w:rPr>
          <w:lang w:val="fr-CH"/>
        </w:rPr>
        <w:t>L</w:t>
      </w:r>
      <w:r w:rsidR="00AB0C69" w:rsidRPr="000C6ABF">
        <w:rPr>
          <w:lang w:val="fr-CH"/>
        </w:rPr>
        <w:t>'</w:t>
      </w:r>
      <w:r w:rsidR="00AC5F92" w:rsidRPr="000C6ABF">
        <w:rPr>
          <w:lang w:val="fr-CH"/>
        </w:rPr>
        <w:t>Unité d</w:t>
      </w:r>
      <w:r w:rsidR="009C0B6F" w:rsidRPr="000C6ABF">
        <w:rPr>
          <w:lang w:val="fr-CH"/>
        </w:rPr>
        <w:t>e l</w:t>
      </w:r>
      <w:r w:rsidR="00AB0C69" w:rsidRPr="000C6ABF">
        <w:rPr>
          <w:lang w:val="fr-CH"/>
        </w:rPr>
        <w:t>'</w:t>
      </w:r>
      <w:r w:rsidR="00AC5F92" w:rsidRPr="000C6ABF">
        <w:rPr>
          <w:lang w:val="fr-CH"/>
        </w:rPr>
        <w:t xml:space="preserve">audit interne suit les normes internationales et </w:t>
      </w:r>
      <w:r w:rsidR="009C0B6F" w:rsidRPr="000C6ABF">
        <w:rPr>
          <w:lang w:val="fr-CH"/>
        </w:rPr>
        <w:t xml:space="preserve">utilise </w:t>
      </w:r>
      <w:r w:rsidR="00AC5F92" w:rsidRPr="000C6ABF">
        <w:rPr>
          <w:lang w:val="fr-CH"/>
        </w:rPr>
        <w:t xml:space="preserve">en particulier </w:t>
      </w:r>
      <w:r w:rsidR="009C0B6F" w:rsidRPr="000C6ABF">
        <w:rPr>
          <w:lang w:val="fr-CH"/>
        </w:rPr>
        <w:t xml:space="preserve">les </w:t>
      </w:r>
      <w:r w:rsidR="00AC5F92" w:rsidRPr="000C6ABF">
        <w:rPr>
          <w:lang w:val="fr-CH"/>
        </w:rPr>
        <w:t>normes</w:t>
      </w:r>
      <w:r w:rsidR="00384B73">
        <w:rPr>
          <w:lang w:val="fr-CH"/>
        </w:rPr>
        <w:t> </w:t>
      </w:r>
      <w:r w:rsidR="00AC5F92" w:rsidRPr="000C6ABF">
        <w:rPr>
          <w:lang w:val="fr-CH"/>
        </w:rPr>
        <w:t>IIA cité</w:t>
      </w:r>
      <w:r w:rsidR="009C0B6F" w:rsidRPr="000C6ABF">
        <w:rPr>
          <w:lang w:val="fr-CH"/>
        </w:rPr>
        <w:t>es</w:t>
      </w:r>
      <w:r w:rsidR="00AC5F92" w:rsidRPr="000C6ABF">
        <w:rPr>
          <w:lang w:val="fr-CH"/>
        </w:rPr>
        <w:t xml:space="preserve"> à la fois dans le Manuel d</w:t>
      </w:r>
      <w:r w:rsidR="00AB0C69" w:rsidRPr="000C6ABF">
        <w:rPr>
          <w:lang w:val="fr-CH"/>
        </w:rPr>
        <w:t>'</w:t>
      </w:r>
      <w:r w:rsidR="00AC5F92" w:rsidRPr="000C6ABF">
        <w:rPr>
          <w:lang w:val="fr-CH"/>
        </w:rPr>
        <w:t>audit interne de l</w:t>
      </w:r>
      <w:r w:rsidR="00AB0C69" w:rsidRPr="000C6ABF">
        <w:rPr>
          <w:lang w:val="fr-CH"/>
        </w:rPr>
        <w:t>'</w:t>
      </w:r>
      <w:r w:rsidR="00AC5F92" w:rsidRPr="000C6ABF">
        <w:rPr>
          <w:lang w:val="fr-CH"/>
        </w:rPr>
        <w:t>UIT et dans la Charte d</w:t>
      </w:r>
      <w:r w:rsidR="00AB0C69" w:rsidRPr="000C6ABF">
        <w:rPr>
          <w:lang w:val="fr-CH"/>
        </w:rPr>
        <w:t>'</w:t>
      </w:r>
      <w:r w:rsidR="00AC5F92" w:rsidRPr="000C6ABF">
        <w:rPr>
          <w:lang w:val="fr-CH"/>
        </w:rPr>
        <w:t>audit interne.</w:t>
      </w:r>
    </w:p>
    <w:p w:rsidR="00723D4F" w:rsidRPr="000C6ABF" w:rsidRDefault="00384B73" w:rsidP="00384B73">
      <w:pPr>
        <w:spacing w:after="120"/>
        <w:rPr>
          <w:lang w:val="fr-CH"/>
        </w:rPr>
      </w:pPr>
      <w:r>
        <w:rPr>
          <w:lang w:val="fr-CH"/>
        </w:rPr>
        <w:t>139</w:t>
      </w:r>
      <w:r w:rsidR="00F171CC" w:rsidRPr="000C6ABF">
        <w:rPr>
          <w:lang w:val="fr-CH"/>
        </w:rPr>
        <w:tab/>
      </w:r>
      <w:r w:rsidR="00AC5F92" w:rsidRPr="000C6ABF">
        <w:rPr>
          <w:lang w:val="fr-CH"/>
        </w:rPr>
        <w:t>L</w:t>
      </w:r>
      <w:r w:rsidR="00AB0C69" w:rsidRPr="000C6ABF">
        <w:rPr>
          <w:lang w:val="fr-CH"/>
        </w:rPr>
        <w:t>'</w:t>
      </w:r>
      <w:r w:rsidR="00AC5F92" w:rsidRPr="000C6ABF">
        <w:rPr>
          <w:lang w:val="fr-CH"/>
        </w:rPr>
        <w:t>Unité d</w:t>
      </w:r>
      <w:r w:rsidR="009C0B6F" w:rsidRPr="000C6ABF">
        <w:rPr>
          <w:lang w:val="fr-CH"/>
        </w:rPr>
        <w:t>e l</w:t>
      </w:r>
      <w:r w:rsidR="00AB0C69" w:rsidRPr="000C6ABF">
        <w:rPr>
          <w:lang w:val="fr-CH"/>
        </w:rPr>
        <w:t>'</w:t>
      </w:r>
      <w:r w:rsidR="00AC5F92" w:rsidRPr="000C6ABF">
        <w:rPr>
          <w:lang w:val="fr-CH"/>
        </w:rPr>
        <w:t xml:space="preserve">audit interne </w:t>
      </w:r>
      <w:r w:rsidR="009C0B6F" w:rsidRPr="000C6ABF">
        <w:rPr>
          <w:lang w:val="fr-CH"/>
        </w:rPr>
        <w:t>se compos</w:t>
      </w:r>
      <w:r w:rsidR="00AC5F92" w:rsidRPr="000C6ABF">
        <w:rPr>
          <w:lang w:val="fr-CH"/>
        </w:rPr>
        <w:t>e actuellement de deux auditeurs (Chef de l</w:t>
      </w:r>
      <w:r w:rsidR="00AB0C69" w:rsidRPr="000C6ABF">
        <w:rPr>
          <w:lang w:val="fr-CH"/>
        </w:rPr>
        <w:t>'</w:t>
      </w:r>
      <w:r w:rsidR="00AC5F92" w:rsidRPr="000C6ABF">
        <w:rPr>
          <w:lang w:val="fr-CH"/>
        </w:rPr>
        <w:t>unité compris) et d</w:t>
      </w:r>
      <w:r w:rsidR="00AB0C69" w:rsidRPr="000C6ABF">
        <w:rPr>
          <w:lang w:val="fr-CH"/>
        </w:rPr>
        <w:t>'</w:t>
      </w:r>
      <w:r w:rsidR="00AC5F92" w:rsidRPr="000C6ABF">
        <w:rPr>
          <w:lang w:val="fr-CH"/>
        </w:rPr>
        <w:t>un auditeur assistant qui travaille à 50% depuis janvier 2014 (il s</w:t>
      </w:r>
      <w:r w:rsidR="00AB0C69" w:rsidRPr="000C6ABF">
        <w:rPr>
          <w:lang w:val="fr-CH"/>
        </w:rPr>
        <w:t>'</w:t>
      </w:r>
      <w:r w:rsidR="00AC5F92" w:rsidRPr="000C6ABF">
        <w:rPr>
          <w:lang w:val="fr-CH"/>
        </w:rPr>
        <w:t>agissait avant d</w:t>
      </w:r>
      <w:r w:rsidR="00AB0C69" w:rsidRPr="000C6ABF">
        <w:rPr>
          <w:lang w:val="fr-CH"/>
        </w:rPr>
        <w:t>'</w:t>
      </w:r>
      <w:r w:rsidR="00AC5F92" w:rsidRPr="000C6ABF">
        <w:rPr>
          <w:lang w:val="fr-CH"/>
        </w:rPr>
        <w:t xml:space="preserve">un emploi permanent). Le profil et les qualifications professionnelles </w:t>
      </w:r>
      <w:r w:rsidR="003A7E0B" w:rsidRPr="000C6ABF">
        <w:rPr>
          <w:lang w:val="fr-CH"/>
        </w:rPr>
        <w:t>des auditeurs sont conformes aux normes requises et à l</w:t>
      </w:r>
      <w:r w:rsidR="009C0B6F" w:rsidRPr="000C6ABF">
        <w:rPr>
          <w:lang w:val="fr-CH"/>
        </w:rPr>
        <w:t>eur mandat</w:t>
      </w:r>
      <w:r w:rsidR="003A7E0B" w:rsidRPr="000C6ABF">
        <w:rPr>
          <w:lang w:val="fr-CH"/>
        </w:rPr>
        <w:t>, comme le montre le tableau ci-après</w:t>
      </w:r>
      <w:r w:rsidR="00F171CC" w:rsidRPr="000C6ABF">
        <w:rPr>
          <w:lang w:val="fr-CH"/>
        </w:rPr>
        <w:t>:</w:t>
      </w:r>
    </w:p>
    <w:tbl>
      <w:tblPr>
        <w:tblStyle w:val="TableGrid"/>
        <w:tblW w:w="0" w:type="auto"/>
        <w:tblInd w:w="-5" w:type="dxa"/>
        <w:tblLayout w:type="fixed"/>
        <w:tblLook w:val="04A0" w:firstRow="1" w:lastRow="0" w:firstColumn="1" w:lastColumn="0" w:noHBand="0" w:noVBand="1"/>
      </w:tblPr>
      <w:tblGrid>
        <w:gridCol w:w="1134"/>
        <w:gridCol w:w="1701"/>
        <w:gridCol w:w="2694"/>
        <w:gridCol w:w="2126"/>
        <w:gridCol w:w="1979"/>
      </w:tblGrid>
      <w:tr w:rsidR="008358B6" w:rsidRPr="000C6ABF" w:rsidTr="008358B6">
        <w:tc>
          <w:tcPr>
            <w:tcW w:w="1134" w:type="dxa"/>
          </w:tcPr>
          <w:p w:rsidR="00486B95" w:rsidRPr="000C6ABF" w:rsidRDefault="003A7E0B" w:rsidP="00AB0C69">
            <w:pPr>
              <w:pStyle w:val="Tablehead"/>
              <w:keepNext/>
              <w:keepLines/>
              <w:rPr>
                <w:lang w:val="fr-CH"/>
              </w:rPr>
            </w:pPr>
            <w:r w:rsidRPr="000C6ABF">
              <w:rPr>
                <w:lang w:val="fr-CH"/>
              </w:rPr>
              <w:lastRenderedPageBreak/>
              <w:t>Niveau</w:t>
            </w:r>
          </w:p>
        </w:tc>
        <w:tc>
          <w:tcPr>
            <w:tcW w:w="1701" w:type="dxa"/>
          </w:tcPr>
          <w:p w:rsidR="00486B95" w:rsidRPr="000C6ABF" w:rsidRDefault="00486B95" w:rsidP="00AB0C69">
            <w:pPr>
              <w:pStyle w:val="Tablehead"/>
              <w:keepNext/>
              <w:keepLines/>
              <w:rPr>
                <w:lang w:val="fr-CH"/>
              </w:rPr>
            </w:pPr>
            <w:r w:rsidRPr="000C6ABF">
              <w:rPr>
                <w:lang w:val="fr-CH"/>
              </w:rPr>
              <w:t xml:space="preserve">Position </w:t>
            </w:r>
            <w:r w:rsidR="003A7E0B" w:rsidRPr="000C6ABF">
              <w:rPr>
                <w:lang w:val="fr-CH"/>
              </w:rPr>
              <w:t>dans l</w:t>
            </w:r>
            <w:r w:rsidR="00AB0C69" w:rsidRPr="000C6ABF">
              <w:rPr>
                <w:lang w:val="fr-CH"/>
              </w:rPr>
              <w:t>'</w:t>
            </w:r>
            <w:r w:rsidR="003A7E0B" w:rsidRPr="000C6ABF">
              <w:rPr>
                <w:lang w:val="fr-CH"/>
              </w:rPr>
              <w:t>unité</w:t>
            </w:r>
          </w:p>
        </w:tc>
        <w:tc>
          <w:tcPr>
            <w:tcW w:w="2694" w:type="dxa"/>
          </w:tcPr>
          <w:p w:rsidR="00486B95" w:rsidRPr="000C6ABF" w:rsidRDefault="003A7E0B" w:rsidP="00AB0C69">
            <w:pPr>
              <w:pStyle w:val="Tablehead"/>
              <w:keepNext/>
              <w:keepLines/>
              <w:rPr>
                <w:lang w:val="fr-CH"/>
              </w:rPr>
            </w:pPr>
            <w:r w:rsidRPr="000C6ABF">
              <w:rPr>
                <w:lang w:val="fr-CH"/>
              </w:rPr>
              <w:t xml:space="preserve">Qualifications professionnelles </w:t>
            </w:r>
          </w:p>
        </w:tc>
        <w:tc>
          <w:tcPr>
            <w:tcW w:w="2126" w:type="dxa"/>
          </w:tcPr>
          <w:p w:rsidR="00486B95" w:rsidRPr="000C6ABF" w:rsidRDefault="003A7E0B" w:rsidP="003C23FC">
            <w:pPr>
              <w:pStyle w:val="Tablehead"/>
              <w:keepNext/>
              <w:keepLines/>
              <w:rPr>
                <w:lang w:val="fr-CH"/>
              </w:rPr>
            </w:pPr>
            <w:r w:rsidRPr="000C6ABF">
              <w:rPr>
                <w:lang w:val="fr-CH"/>
              </w:rPr>
              <w:t>Diplôme universitaire le plus élevé</w:t>
            </w:r>
          </w:p>
        </w:tc>
        <w:tc>
          <w:tcPr>
            <w:tcW w:w="1979" w:type="dxa"/>
          </w:tcPr>
          <w:p w:rsidR="00486B95" w:rsidRPr="000C6ABF" w:rsidRDefault="003A7E0B" w:rsidP="00AB0C69">
            <w:pPr>
              <w:pStyle w:val="Tablehead"/>
              <w:keepNext/>
              <w:keepLines/>
              <w:rPr>
                <w:lang w:val="fr-CH"/>
              </w:rPr>
            </w:pPr>
            <w:r w:rsidRPr="000C6ABF">
              <w:rPr>
                <w:lang w:val="fr-CH"/>
              </w:rPr>
              <w:t>Nombre d</w:t>
            </w:r>
            <w:r w:rsidR="00AB0C69" w:rsidRPr="000C6ABF">
              <w:rPr>
                <w:lang w:val="fr-CH"/>
              </w:rPr>
              <w:t>'</w:t>
            </w:r>
            <w:r w:rsidRPr="000C6ABF">
              <w:rPr>
                <w:lang w:val="fr-CH"/>
              </w:rPr>
              <w:t>années d</w:t>
            </w:r>
            <w:r w:rsidR="00AB0C69" w:rsidRPr="000C6ABF">
              <w:rPr>
                <w:lang w:val="fr-CH"/>
              </w:rPr>
              <w:t>'</w:t>
            </w:r>
            <w:r w:rsidRPr="000C6ABF">
              <w:rPr>
                <w:lang w:val="fr-CH"/>
              </w:rPr>
              <w:t>expérience dans l</w:t>
            </w:r>
            <w:r w:rsidR="00AB0C69" w:rsidRPr="000C6ABF">
              <w:rPr>
                <w:lang w:val="fr-CH"/>
              </w:rPr>
              <w:t>'</w:t>
            </w:r>
            <w:r w:rsidRPr="000C6ABF">
              <w:rPr>
                <w:lang w:val="fr-CH"/>
              </w:rPr>
              <w:t>audit interne</w:t>
            </w:r>
          </w:p>
        </w:tc>
      </w:tr>
      <w:tr w:rsidR="008358B6" w:rsidRPr="000C6ABF" w:rsidTr="008358B6">
        <w:tc>
          <w:tcPr>
            <w:tcW w:w="1134" w:type="dxa"/>
          </w:tcPr>
          <w:p w:rsidR="00486B95" w:rsidRPr="000C6ABF" w:rsidRDefault="00486B95" w:rsidP="008358B6">
            <w:pPr>
              <w:pStyle w:val="Tabletext"/>
              <w:keepNext/>
              <w:keepLines/>
              <w:spacing w:before="20" w:after="20"/>
              <w:rPr>
                <w:lang w:val="fr-CH"/>
              </w:rPr>
            </w:pPr>
            <w:r w:rsidRPr="000C6ABF">
              <w:rPr>
                <w:lang w:val="fr-CH"/>
              </w:rPr>
              <w:t>P5</w:t>
            </w:r>
          </w:p>
        </w:tc>
        <w:tc>
          <w:tcPr>
            <w:tcW w:w="1701" w:type="dxa"/>
          </w:tcPr>
          <w:p w:rsidR="00486B95" w:rsidRPr="000C6ABF" w:rsidRDefault="003A7E0B" w:rsidP="008358B6">
            <w:pPr>
              <w:pStyle w:val="Tabletext"/>
              <w:keepNext/>
              <w:keepLines/>
              <w:spacing w:before="20" w:after="20"/>
              <w:rPr>
                <w:lang w:val="fr-CH"/>
              </w:rPr>
            </w:pPr>
            <w:r w:rsidRPr="000C6ABF">
              <w:rPr>
                <w:lang w:val="fr-CH"/>
              </w:rPr>
              <w:t>Chef de l</w:t>
            </w:r>
            <w:r w:rsidR="00AB0C69" w:rsidRPr="000C6ABF">
              <w:rPr>
                <w:lang w:val="fr-CH"/>
              </w:rPr>
              <w:t>'</w:t>
            </w:r>
            <w:r w:rsidRPr="000C6ABF">
              <w:rPr>
                <w:lang w:val="fr-CH"/>
              </w:rPr>
              <w:t xml:space="preserve">unité </w:t>
            </w:r>
            <w:r w:rsidR="00CC291F" w:rsidRPr="000C6ABF">
              <w:rPr>
                <w:lang w:val="fr-CH"/>
              </w:rPr>
              <w:t xml:space="preserve">de l'audit </w:t>
            </w:r>
            <w:r w:rsidRPr="000C6ABF">
              <w:rPr>
                <w:lang w:val="fr-CH"/>
              </w:rPr>
              <w:t>interne</w:t>
            </w:r>
          </w:p>
        </w:tc>
        <w:tc>
          <w:tcPr>
            <w:tcW w:w="2694" w:type="dxa"/>
          </w:tcPr>
          <w:p w:rsidR="00486B95" w:rsidRPr="000C6ABF" w:rsidRDefault="003A7E0B" w:rsidP="008358B6">
            <w:pPr>
              <w:pStyle w:val="Tabletext"/>
              <w:keepNext/>
              <w:keepLines/>
              <w:spacing w:before="20" w:after="20"/>
              <w:rPr>
                <w:lang w:val="fr-CH"/>
              </w:rPr>
            </w:pPr>
            <w:r w:rsidRPr="000C6ABF">
              <w:rPr>
                <w:lang w:val="fr-CH"/>
              </w:rPr>
              <w:t xml:space="preserve">Auditeur interne certifié </w:t>
            </w:r>
            <w:r w:rsidR="00486B95" w:rsidRPr="000C6ABF">
              <w:rPr>
                <w:lang w:val="fr-CH"/>
              </w:rPr>
              <w:t>(CIA);</w:t>
            </w:r>
          </w:p>
          <w:p w:rsidR="00486B95" w:rsidRPr="000C6ABF" w:rsidRDefault="003A7E0B" w:rsidP="008358B6">
            <w:pPr>
              <w:pStyle w:val="Tabletext"/>
              <w:keepNext/>
              <w:keepLines/>
              <w:spacing w:before="20" w:after="20"/>
              <w:rPr>
                <w:lang w:val="fr-CH"/>
              </w:rPr>
            </w:pPr>
            <w:r w:rsidRPr="000C6ABF">
              <w:rPr>
                <w:lang w:val="fr-CH"/>
              </w:rPr>
              <w:t>Certificat d</w:t>
            </w:r>
            <w:r w:rsidR="00AB0C69" w:rsidRPr="000C6ABF">
              <w:rPr>
                <w:lang w:val="fr-CH"/>
              </w:rPr>
              <w:t>'</w:t>
            </w:r>
            <w:r w:rsidRPr="000C6ABF">
              <w:rPr>
                <w:lang w:val="fr-CH"/>
              </w:rPr>
              <w:t xml:space="preserve">assurance de gestion des risques </w:t>
            </w:r>
            <w:r w:rsidR="00486B95" w:rsidRPr="000C6ABF">
              <w:rPr>
                <w:lang w:val="fr-CH"/>
              </w:rPr>
              <w:t>(CRMA)</w:t>
            </w:r>
          </w:p>
        </w:tc>
        <w:tc>
          <w:tcPr>
            <w:tcW w:w="2126" w:type="dxa"/>
          </w:tcPr>
          <w:p w:rsidR="00486B95" w:rsidRPr="000C6ABF" w:rsidRDefault="003A7E0B" w:rsidP="008358B6">
            <w:pPr>
              <w:pStyle w:val="Tabletext"/>
              <w:keepNext/>
              <w:keepLines/>
              <w:spacing w:before="20" w:after="20"/>
              <w:rPr>
                <w:lang w:val="fr-CH"/>
              </w:rPr>
            </w:pPr>
            <w:r w:rsidRPr="000C6ABF">
              <w:rPr>
                <w:lang w:val="fr-CH"/>
              </w:rPr>
              <w:t>Maîtrise en comptabilité</w:t>
            </w:r>
          </w:p>
        </w:tc>
        <w:tc>
          <w:tcPr>
            <w:tcW w:w="1979" w:type="dxa"/>
          </w:tcPr>
          <w:p w:rsidR="00486B95" w:rsidRPr="000C6ABF" w:rsidRDefault="00486B95" w:rsidP="008358B6">
            <w:pPr>
              <w:pStyle w:val="Tabletext"/>
              <w:keepNext/>
              <w:keepLines/>
              <w:spacing w:before="20" w:after="20"/>
              <w:rPr>
                <w:lang w:val="fr-CH"/>
              </w:rPr>
            </w:pPr>
            <w:r w:rsidRPr="000C6ABF">
              <w:rPr>
                <w:lang w:val="fr-CH"/>
              </w:rPr>
              <w:t>&gt; 20 ans</w:t>
            </w:r>
          </w:p>
        </w:tc>
      </w:tr>
      <w:tr w:rsidR="008358B6" w:rsidRPr="000C6ABF" w:rsidTr="008358B6">
        <w:tc>
          <w:tcPr>
            <w:tcW w:w="1134" w:type="dxa"/>
          </w:tcPr>
          <w:p w:rsidR="00486B95" w:rsidRPr="000C6ABF" w:rsidRDefault="00486B95" w:rsidP="008358B6">
            <w:pPr>
              <w:pStyle w:val="Tabletext"/>
              <w:keepNext/>
              <w:keepLines/>
              <w:spacing w:before="20" w:after="20"/>
              <w:rPr>
                <w:lang w:val="fr-CH"/>
              </w:rPr>
            </w:pPr>
            <w:r w:rsidRPr="000C6ABF">
              <w:rPr>
                <w:lang w:val="fr-CH"/>
              </w:rPr>
              <w:t>P3</w:t>
            </w:r>
          </w:p>
        </w:tc>
        <w:tc>
          <w:tcPr>
            <w:tcW w:w="1701" w:type="dxa"/>
          </w:tcPr>
          <w:p w:rsidR="00486B95" w:rsidRPr="000C6ABF" w:rsidRDefault="003A7E0B" w:rsidP="008358B6">
            <w:pPr>
              <w:pStyle w:val="Tabletext"/>
              <w:keepNext/>
              <w:keepLines/>
              <w:spacing w:before="20" w:after="20"/>
              <w:rPr>
                <w:lang w:val="fr-CH"/>
              </w:rPr>
            </w:pPr>
            <w:r w:rsidRPr="000C6ABF">
              <w:rPr>
                <w:lang w:val="fr-CH"/>
              </w:rPr>
              <w:t>Auditeur</w:t>
            </w:r>
          </w:p>
        </w:tc>
        <w:tc>
          <w:tcPr>
            <w:tcW w:w="2694" w:type="dxa"/>
          </w:tcPr>
          <w:p w:rsidR="00486B95" w:rsidRPr="000C6ABF" w:rsidRDefault="00486B95" w:rsidP="008358B6">
            <w:pPr>
              <w:pStyle w:val="Tabletext"/>
              <w:keepNext/>
              <w:keepLines/>
              <w:spacing w:before="20" w:after="20"/>
              <w:rPr>
                <w:lang w:val="fr-CH"/>
              </w:rPr>
            </w:pPr>
            <w:r w:rsidRPr="000C6ABF">
              <w:rPr>
                <w:lang w:val="fr-CH"/>
              </w:rPr>
              <w:t>CIA</w:t>
            </w:r>
          </w:p>
        </w:tc>
        <w:tc>
          <w:tcPr>
            <w:tcW w:w="2126" w:type="dxa"/>
          </w:tcPr>
          <w:p w:rsidR="00486B95" w:rsidRPr="000C6ABF" w:rsidRDefault="003A7E0B" w:rsidP="008358B6">
            <w:pPr>
              <w:pStyle w:val="Tabletext"/>
              <w:keepNext/>
              <w:keepLines/>
              <w:spacing w:before="20" w:after="20"/>
              <w:rPr>
                <w:lang w:val="fr-CH"/>
              </w:rPr>
            </w:pPr>
            <w:r w:rsidRPr="000C6ABF">
              <w:rPr>
                <w:lang w:val="fr-CH"/>
              </w:rPr>
              <w:t>Maîtrise en administration d</w:t>
            </w:r>
            <w:r w:rsidR="00AB0C69" w:rsidRPr="000C6ABF">
              <w:rPr>
                <w:lang w:val="fr-CH"/>
              </w:rPr>
              <w:t>'</w:t>
            </w:r>
            <w:r w:rsidRPr="000C6ABF">
              <w:rPr>
                <w:lang w:val="fr-CH"/>
              </w:rPr>
              <w:t>entreprise</w:t>
            </w:r>
          </w:p>
        </w:tc>
        <w:tc>
          <w:tcPr>
            <w:tcW w:w="1979" w:type="dxa"/>
          </w:tcPr>
          <w:p w:rsidR="00486B95" w:rsidRPr="000C6ABF" w:rsidRDefault="00486B95" w:rsidP="008358B6">
            <w:pPr>
              <w:pStyle w:val="Tabletext"/>
              <w:keepNext/>
              <w:keepLines/>
              <w:spacing w:before="20" w:after="20"/>
              <w:rPr>
                <w:lang w:val="fr-CH"/>
              </w:rPr>
            </w:pPr>
            <w:r w:rsidRPr="000C6ABF">
              <w:rPr>
                <w:lang w:val="fr-CH"/>
              </w:rPr>
              <w:t>10-15 ans</w:t>
            </w:r>
          </w:p>
        </w:tc>
      </w:tr>
      <w:tr w:rsidR="008358B6" w:rsidRPr="000C6ABF" w:rsidTr="008358B6">
        <w:tc>
          <w:tcPr>
            <w:tcW w:w="1134" w:type="dxa"/>
          </w:tcPr>
          <w:p w:rsidR="00486B95" w:rsidRPr="000C6ABF" w:rsidRDefault="00486B95" w:rsidP="008358B6">
            <w:pPr>
              <w:pStyle w:val="Tabletext"/>
              <w:keepNext/>
              <w:keepLines/>
              <w:spacing w:before="20" w:after="20"/>
              <w:rPr>
                <w:lang w:val="fr-CH"/>
              </w:rPr>
            </w:pPr>
            <w:r w:rsidRPr="000C6ABF">
              <w:rPr>
                <w:lang w:val="fr-CH"/>
              </w:rPr>
              <w:t>G5</w:t>
            </w:r>
          </w:p>
        </w:tc>
        <w:tc>
          <w:tcPr>
            <w:tcW w:w="1701" w:type="dxa"/>
          </w:tcPr>
          <w:p w:rsidR="00486B95" w:rsidRPr="000C6ABF" w:rsidRDefault="00486B95" w:rsidP="008358B6">
            <w:pPr>
              <w:pStyle w:val="Tabletext"/>
              <w:keepNext/>
              <w:keepLines/>
              <w:spacing w:before="20" w:after="20"/>
              <w:rPr>
                <w:lang w:val="fr-CH"/>
              </w:rPr>
            </w:pPr>
            <w:r w:rsidRPr="000C6ABF">
              <w:rPr>
                <w:lang w:val="fr-CH"/>
              </w:rPr>
              <w:t>Audit</w:t>
            </w:r>
            <w:r w:rsidR="003A7E0B" w:rsidRPr="000C6ABF">
              <w:rPr>
                <w:lang w:val="fr-CH"/>
              </w:rPr>
              <w:t>e</w:t>
            </w:r>
            <w:r w:rsidR="00CC291F" w:rsidRPr="000C6ABF">
              <w:rPr>
                <w:lang w:val="fr-CH"/>
              </w:rPr>
              <w:t>u</w:t>
            </w:r>
            <w:r w:rsidR="003A7E0B" w:rsidRPr="000C6ABF">
              <w:rPr>
                <w:lang w:val="fr-CH"/>
              </w:rPr>
              <w:t xml:space="preserve">r </w:t>
            </w:r>
            <w:r w:rsidR="00CC291F" w:rsidRPr="000C6ABF">
              <w:rPr>
                <w:lang w:val="fr-CH"/>
              </w:rPr>
              <w:t>assistant</w:t>
            </w:r>
          </w:p>
        </w:tc>
        <w:tc>
          <w:tcPr>
            <w:tcW w:w="2694" w:type="dxa"/>
          </w:tcPr>
          <w:p w:rsidR="00486B95" w:rsidRPr="000C6ABF" w:rsidRDefault="00486B95" w:rsidP="008358B6">
            <w:pPr>
              <w:pStyle w:val="Tabletext"/>
              <w:keepNext/>
              <w:keepLines/>
              <w:spacing w:before="20" w:after="20"/>
              <w:rPr>
                <w:lang w:val="fr-CH"/>
              </w:rPr>
            </w:pPr>
          </w:p>
        </w:tc>
        <w:tc>
          <w:tcPr>
            <w:tcW w:w="2126" w:type="dxa"/>
          </w:tcPr>
          <w:p w:rsidR="00486B95" w:rsidRPr="000C6ABF" w:rsidRDefault="00486B95" w:rsidP="008358B6">
            <w:pPr>
              <w:pStyle w:val="Tabletext"/>
              <w:keepNext/>
              <w:keepLines/>
              <w:spacing w:before="20" w:after="20"/>
              <w:rPr>
                <w:lang w:val="fr-CH"/>
              </w:rPr>
            </w:pPr>
            <w:r w:rsidRPr="000C6ABF">
              <w:rPr>
                <w:lang w:val="fr-CH"/>
              </w:rPr>
              <w:t xml:space="preserve">MBA </w:t>
            </w:r>
            <w:r w:rsidR="003A7E0B" w:rsidRPr="000C6ABF">
              <w:rPr>
                <w:lang w:val="fr-CH"/>
              </w:rPr>
              <w:t>nive</w:t>
            </w:r>
            <w:r w:rsidR="00CC291F" w:rsidRPr="000C6ABF">
              <w:rPr>
                <w:lang w:val="fr-CH"/>
              </w:rPr>
              <w:t>a</w:t>
            </w:r>
            <w:r w:rsidR="003A7E0B" w:rsidRPr="000C6ABF">
              <w:rPr>
                <w:lang w:val="fr-CH"/>
              </w:rPr>
              <w:t>u</w:t>
            </w:r>
            <w:r w:rsidRPr="000C6ABF">
              <w:rPr>
                <w:lang w:val="fr-CH"/>
              </w:rPr>
              <w:t xml:space="preserve"> 1, Open </w:t>
            </w:r>
            <w:proofErr w:type="spellStart"/>
            <w:r w:rsidRPr="000C6ABF">
              <w:rPr>
                <w:lang w:val="fr-CH"/>
              </w:rPr>
              <w:t>University</w:t>
            </w:r>
            <w:proofErr w:type="spellEnd"/>
            <w:r w:rsidRPr="000C6ABF">
              <w:rPr>
                <w:lang w:val="fr-CH"/>
              </w:rPr>
              <w:t xml:space="preserve">; </w:t>
            </w:r>
            <w:r w:rsidR="003A7E0B" w:rsidRPr="000C6ABF">
              <w:rPr>
                <w:lang w:val="fr-CH"/>
              </w:rPr>
              <w:t>Certificat d</w:t>
            </w:r>
            <w:r w:rsidR="00AB0C69" w:rsidRPr="000C6ABF">
              <w:rPr>
                <w:lang w:val="fr-CH"/>
              </w:rPr>
              <w:t>'</w:t>
            </w:r>
            <w:r w:rsidR="003A7E0B" w:rsidRPr="000C6ABF">
              <w:rPr>
                <w:lang w:val="fr-CH"/>
              </w:rPr>
              <w:t>aptitude à la gestion des ressources humaines</w:t>
            </w:r>
            <w:r w:rsidRPr="000C6ABF">
              <w:rPr>
                <w:lang w:val="fr-CH"/>
              </w:rPr>
              <w:t xml:space="preserve">, Open </w:t>
            </w:r>
            <w:proofErr w:type="spellStart"/>
            <w:r w:rsidRPr="000C6ABF">
              <w:rPr>
                <w:lang w:val="fr-CH"/>
              </w:rPr>
              <w:t>University</w:t>
            </w:r>
            <w:proofErr w:type="spellEnd"/>
          </w:p>
        </w:tc>
        <w:tc>
          <w:tcPr>
            <w:tcW w:w="1979" w:type="dxa"/>
          </w:tcPr>
          <w:p w:rsidR="00486B95" w:rsidRPr="000C6ABF" w:rsidRDefault="00486B95" w:rsidP="008358B6">
            <w:pPr>
              <w:pStyle w:val="Tabletext"/>
              <w:keepNext/>
              <w:keepLines/>
              <w:spacing w:before="20" w:after="20"/>
              <w:rPr>
                <w:lang w:val="fr-CH"/>
              </w:rPr>
            </w:pPr>
            <w:r w:rsidRPr="000C6ABF">
              <w:rPr>
                <w:lang w:val="fr-CH"/>
              </w:rPr>
              <w:t>&lt; 3 ans</w:t>
            </w:r>
          </w:p>
        </w:tc>
      </w:tr>
    </w:tbl>
    <w:p w:rsidR="00AF180E" w:rsidRPr="000C6ABF" w:rsidRDefault="00AF180E" w:rsidP="008358B6">
      <w:pPr>
        <w:rPr>
          <w:lang w:val="fr-CH"/>
        </w:rPr>
      </w:pPr>
      <w:r w:rsidRPr="000C6ABF">
        <w:rPr>
          <w:lang w:val="fr-CH"/>
        </w:rPr>
        <w:t>140</w:t>
      </w:r>
      <w:r w:rsidRPr="000C6ABF">
        <w:rPr>
          <w:lang w:val="fr-CH"/>
        </w:rPr>
        <w:tab/>
      </w:r>
      <w:r w:rsidR="003A7E0B" w:rsidRPr="000C6ABF">
        <w:rPr>
          <w:lang w:val="fr-CH"/>
        </w:rPr>
        <w:t>Le</w:t>
      </w:r>
      <w:r w:rsidR="00CB37B7" w:rsidRPr="000C6ABF">
        <w:rPr>
          <w:lang w:val="fr-CH"/>
        </w:rPr>
        <w:t>s</w:t>
      </w:r>
      <w:r w:rsidR="003A7E0B" w:rsidRPr="000C6ABF">
        <w:rPr>
          <w:lang w:val="fr-CH"/>
        </w:rPr>
        <w:t xml:space="preserve"> </w:t>
      </w:r>
      <w:r w:rsidR="00CB37B7" w:rsidRPr="000C6ABF">
        <w:rPr>
          <w:lang w:val="fr-CH"/>
        </w:rPr>
        <w:t>fonctionnaires ont</w:t>
      </w:r>
      <w:r w:rsidR="003A7E0B" w:rsidRPr="000C6ABF">
        <w:rPr>
          <w:lang w:val="fr-CH"/>
        </w:rPr>
        <w:t xml:space="preserve"> connaissance du code </w:t>
      </w:r>
      <w:r w:rsidR="00CC291F" w:rsidRPr="000C6ABF">
        <w:rPr>
          <w:lang w:val="fr-CH"/>
        </w:rPr>
        <w:t>de déontologie de l'</w:t>
      </w:r>
      <w:r w:rsidR="003A7E0B" w:rsidRPr="000C6ABF">
        <w:rPr>
          <w:lang w:val="fr-CH"/>
        </w:rPr>
        <w:t>IIA et la Charte d</w:t>
      </w:r>
      <w:r w:rsidR="00AB0C69" w:rsidRPr="000C6ABF">
        <w:rPr>
          <w:lang w:val="fr-CH"/>
        </w:rPr>
        <w:t>'</w:t>
      </w:r>
      <w:r w:rsidR="003A7E0B" w:rsidRPr="000C6ABF">
        <w:rPr>
          <w:lang w:val="fr-CH"/>
        </w:rPr>
        <w:t xml:space="preserve">audit interne encourage à agir conformément à ce code. Les fonctionnaires de la catégorie professionnelle suivent </w:t>
      </w:r>
      <w:r w:rsidR="00CC291F" w:rsidRPr="000C6ABF">
        <w:rPr>
          <w:lang w:val="fr-CH"/>
        </w:rPr>
        <w:t xml:space="preserve">chaque année </w:t>
      </w:r>
      <w:r w:rsidR="003A7E0B" w:rsidRPr="000C6ABF">
        <w:rPr>
          <w:lang w:val="fr-CH"/>
        </w:rPr>
        <w:t>une formation</w:t>
      </w:r>
      <w:r w:rsidR="00CC291F" w:rsidRPr="000C6ABF">
        <w:rPr>
          <w:lang w:val="fr-CH"/>
        </w:rPr>
        <w:t xml:space="preserve"> </w:t>
      </w:r>
      <w:r w:rsidR="00CB37B7" w:rsidRPr="000C6ABF">
        <w:rPr>
          <w:lang w:val="fr-CH"/>
        </w:rPr>
        <w:t xml:space="preserve">pour </w:t>
      </w:r>
      <w:r w:rsidR="00CC291F" w:rsidRPr="000C6ABF">
        <w:rPr>
          <w:lang w:val="fr-CH"/>
        </w:rPr>
        <w:t>conserver leur certification ainsi que</w:t>
      </w:r>
      <w:r w:rsidR="004A1C1F" w:rsidRPr="000C6ABF">
        <w:rPr>
          <w:lang w:val="fr-CH"/>
        </w:rPr>
        <w:t xml:space="preserve"> dans le cade de la formation professionnelle continue</w:t>
      </w:r>
      <w:r w:rsidR="003072F2" w:rsidRPr="000C6ABF">
        <w:rPr>
          <w:lang w:val="fr-CH"/>
        </w:rPr>
        <w:t>;</w:t>
      </w:r>
      <w:r w:rsidR="004A1C1F" w:rsidRPr="000C6ABF">
        <w:rPr>
          <w:lang w:val="fr-CH"/>
        </w:rPr>
        <w:t xml:space="preserve"> le chef</w:t>
      </w:r>
      <w:r w:rsidR="00A47698" w:rsidRPr="000C6ABF">
        <w:rPr>
          <w:lang w:val="fr-CH"/>
        </w:rPr>
        <w:t xml:space="preserve"> </w:t>
      </w:r>
      <w:r w:rsidR="004A1C1F" w:rsidRPr="000C6ABF">
        <w:rPr>
          <w:lang w:val="fr-CH"/>
        </w:rPr>
        <w:t>de l</w:t>
      </w:r>
      <w:r w:rsidR="00AB0C69" w:rsidRPr="000C6ABF">
        <w:rPr>
          <w:lang w:val="fr-CH"/>
        </w:rPr>
        <w:t>'</w:t>
      </w:r>
      <w:r w:rsidR="004A1C1F" w:rsidRPr="000C6ABF">
        <w:rPr>
          <w:lang w:val="fr-CH"/>
        </w:rPr>
        <w:t>Unité d</w:t>
      </w:r>
      <w:r w:rsidR="00430489" w:rsidRPr="000C6ABF">
        <w:rPr>
          <w:lang w:val="fr-CH"/>
        </w:rPr>
        <w:t>e l</w:t>
      </w:r>
      <w:r w:rsidR="00AB0C69" w:rsidRPr="000C6ABF">
        <w:rPr>
          <w:lang w:val="fr-CH"/>
        </w:rPr>
        <w:t>'</w:t>
      </w:r>
      <w:r w:rsidR="004A1C1F" w:rsidRPr="000C6ABF">
        <w:rPr>
          <w:lang w:val="fr-CH"/>
        </w:rPr>
        <w:t>audit interne</w:t>
      </w:r>
      <w:r w:rsidR="007F74AF" w:rsidRPr="000C6ABF">
        <w:rPr>
          <w:lang w:val="fr-CH"/>
        </w:rPr>
        <w:t xml:space="preserve"> prévoit au moins une semaine par an dans le plan d</w:t>
      </w:r>
      <w:r w:rsidR="00AB0C69" w:rsidRPr="000C6ABF">
        <w:rPr>
          <w:lang w:val="fr-CH"/>
        </w:rPr>
        <w:t>'</w:t>
      </w:r>
      <w:r w:rsidR="007F74AF" w:rsidRPr="000C6ABF">
        <w:rPr>
          <w:lang w:val="fr-CH"/>
        </w:rPr>
        <w:t>audit pour la formation du personnel. Il indique qu</w:t>
      </w:r>
      <w:r w:rsidR="00AB0C69" w:rsidRPr="000C6ABF">
        <w:rPr>
          <w:lang w:val="fr-CH"/>
        </w:rPr>
        <w:t>'</w:t>
      </w:r>
      <w:r w:rsidR="007F74AF" w:rsidRPr="000C6ABF">
        <w:rPr>
          <w:lang w:val="fr-CH"/>
        </w:rPr>
        <w:t>il n</w:t>
      </w:r>
      <w:r w:rsidR="00AB0C69" w:rsidRPr="000C6ABF">
        <w:rPr>
          <w:lang w:val="fr-CH"/>
        </w:rPr>
        <w:t>'</w:t>
      </w:r>
      <w:r w:rsidR="007F74AF" w:rsidRPr="000C6ABF">
        <w:rPr>
          <w:lang w:val="fr-CH"/>
        </w:rPr>
        <w:t>y a pas de problèmes budgétaires pour la formation même s</w:t>
      </w:r>
      <w:r w:rsidR="008358B6">
        <w:rPr>
          <w:lang w:val="fr-CH"/>
        </w:rPr>
        <w:t>'</w:t>
      </w:r>
      <w:r w:rsidR="007F74AF" w:rsidRPr="000C6ABF">
        <w:rPr>
          <w:lang w:val="fr-CH"/>
        </w:rPr>
        <w:t>il doit demander chaque fois aux ressources humaines de mettre les sommes requises à disposition. C</w:t>
      </w:r>
      <w:r w:rsidR="00A214EB" w:rsidRPr="000C6ABF">
        <w:rPr>
          <w:lang w:val="fr-CH"/>
        </w:rPr>
        <w:t>'</w:t>
      </w:r>
      <w:r w:rsidR="00430489" w:rsidRPr="000C6ABF">
        <w:rPr>
          <w:lang w:val="fr-CH"/>
        </w:rPr>
        <w:t xml:space="preserve">est </w:t>
      </w:r>
      <w:r w:rsidR="007F74AF" w:rsidRPr="000C6ABF">
        <w:rPr>
          <w:lang w:val="fr-CH"/>
        </w:rPr>
        <w:t xml:space="preserve">toutefois la norme et la procédure généralement </w:t>
      </w:r>
      <w:r w:rsidR="00A214EB" w:rsidRPr="000C6ABF">
        <w:rPr>
          <w:lang w:val="fr-CH"/>
        </w:rPr>
        <w:t>suivie</w:t>
      </w:r>
      <w:r w:rsidR="007F74AF" w:rsidRPr="000C6ABF">
        <w:rPr>
          <w:lang w:val="fr-CH"/>
        </w:rPr>
        <w:t xml:space="preserve"> à l</w:t>
      </w:r>
      <w:r w:rsidR="00AB0C69" w:rsidRPr="000C6ABF">
        <w:rPr>
          <w:lang w:val="fr-CH"/>
        </w:rPr>
        <w:t>'</w:t>
      </w:r>
      <w:r w:rsidR="007F74AF" w:rsidRPr="000C6ABF">
        <w:rPr>
          <w:lang w:val="fr-CH"/>
        </w:rPr>
        <w:t>UIT pour la formation. Chaque année</w:t>
      </w:r>
      <w:r w:rsidR="008358B6">
        <w:rPr>
          <w:lang w:val="fr-CH"/>
        </w:rPr>
        <w:t>,</w:t>
      </w:r>
      <w:r w:rsidR="007F74AF" w:rsidRPr="000C6ABF">
        <w:rPr>
          <w:lang w:val="fr-CH"/>
        </w:rPr>
        <w:t xml:space="preserve"> les fonctionnaires de la catégorie professionnelle de l</w:t>
      </w:r>
      <w:r w:rsidR="00AB0C69" w:rsidRPr="000C6ABF">
        <w:rPr>
          <w:lang w:val="fr-CH"/>
        </w:rPr>
        <w:t>'</w:t>
      </w:r>
      <w:r w:rsidR="007F74AF" w:rsidRPr="000C6ABF">
        <w:rPr>
          <w:lang w:val="fr-CH"/>
        </w:rPr>
        <w:t>Unité d</w:t>
      </w:r>
      <w:r w:rsidR="000F2C0C" w:rsidRPr="000C6ABF">
        <w:rPr>
          <w:lang w:val="fr-CH"/>
        </w:rPr>
        <w:t>e l</w:t>
      </w:r>
      <w:r w:rsidR="00AB0C69" w:rsidRPr="000C6ABF">
        <w:rPr>
          <w:lang w:val="fr-CH"/>
        </w:rPr>
        <w:t>'</w:t>
      </w:r>
      <w:r w:rsidR="007F74AF" w:rsidRPr="000C6ABF">
        <w:rPr>
          <w:lang w:val="fr-CH"/>
        </w:rPr>
        <w:t xml:space="preserve">audit interne respectent les exigences des normes IIA en ce qui concerne la formation continue. Ce processus leur permet de </w:t>
      </w:r>
      <w:r w:rsidR="00A214EB" w:rsidRPr="000C6ABF">
        <w:rPr>
          <w:lang w:val="fr-CH"/>
        </w:rPr>
        <w:t>conserver leur certification</w:t>
      </w:r>
      <w:r w:rsidR="007F74AF" w:rsidRPr="000C6ABF">
        <w:rPr>
          <w:lang w:val="fr-CH"/>
        </w:rPr>
        <w:t>. L</w:t>
      </w:r>
      <w:r w:rsidR="00AB0C69" w:rsidRPr="000C6ABF">
        <w:rPr>
          <w:lang w:val="fr-CH"/>
        </w:rPr>
        <w:t>'</w:t>
      </w:r>
      <w:r w:rsidR="007F74AF" w:rsidRPr="000C6ABF">
        <w:rPr>
          <w:lang w:val="fr-CH"/>
        </w:rPr>
        <w:t xml:space="preserve">UIT a </w:t>
      </w:r>
      <w:r w:rsidR="00A214EB" w:rsidRPr="000C6ABF">
        <w:rPr>
          <w:lang w:val="fr-CH"/>
        </w:rPr>
        <w:t xml:space="preserve">fait le choix de recruter, pour le personnel de la catégorie professionnelle de </w:t>
      </w:r>
      <w:r w:rsidR="000F2C0C" w:rsidRPr="000C6ABF">
        <w:rPr>
          <w:lang w:val="fr-CH"/>
        </w:rPr>
        <w:t>l</w:t>
      </w:r>
      <w:r w:rsidR="00AB0C69" w:rsidRPr="000C6ABF">
        <w:rPr>
          <w:lang w:val="fr-CH"/>
        </w:rPr>
        <w:t>'</w:t>
      </w:r>
      <w:r w:rsidR="000F2C0C" w:rsidRPr="000C6ABF">
        <w:rPr>
          <w:lang w:val="fr-CH"/>
        </w:rPr>
        <w:t>Unité de l</w:t>
      </w:r>
      <w:r w:rsidR="00AB0C69" w:rsidRPr="000C6ABF">
        <w:rPr>
          <w:lang w:val="fr-CH"/>
        </w:rPr>
        <w:t>'</w:t>
      </w:r>
      <w:r w:rsidR="007F74AF" w:rsidRPr="000C6ABF">
        <w:rPr>
          <w:lang w:val="fr-CH"/>
        </w:rPr>
        <w:t>audit interne</w:t>
      </w:r>
      <w:r w:rsidR="00A214EB" w:rsidRPr="000C6ABF">
        <w:rPr>
          <w:lang w:val="fr-CH"/>
        </w:rPr>
        <w:t>,</w:t>
      </w:r>
      <w:r w:rsidR="007F74AF" w:rsidRPr="000C6ABF">
        <w:rPr>
          <w:lang w:val="fr-CH"/>
        </w:rPr>
        <w:t xml:space="preserve"> uniquement des auditeurs internes certifiés.</w:t>
      </w:r>
    </w:p>
    <w:p w:rsidR="00AF180E" w:rsidRPr="000C6ABF" w:rsidRDefault="00AF180E" w:rsidP="00A214EB">
      <w:pPr>
        <w:pStyle w:val="Headingb"/>
        <w:rPr>
          <w:lang w:val="fr-CH"/>
        </w:rPr>
      </w:pPr>
      <w:bookmarkStart w:id="303" w:name="_Toc392672732"/>
      <w:bookmarkStart w:id="304" w:name="_Toc396386985"/>
      <w:bookmarkStart w:id="305" w:name="_Toc396387861"/>
      <w:bookmarkStart w:id="306" w:name="_Toc396387975"/>
      <w:bookmarkStart w:id="307" w:name="_Toc398277660"/>
      <w:r w:rsidRPr="000C6ABF">
        <w:rPr>
          <w:lang w:val="fr-CH"/>
        </w:rPr>
        <w:t xml:space="preserve">Absence </w:t>
      </w:r>
      <w:r w:rsidR="00A214EB" w:rsidRPr="000C6ABF">
        <w:rPr>
          <w:lang w:val="fr-CH"/>
        </w:rPr>
        <w:t>de</w:t>
      </w:r>
      <w:r w:rsidR="007F74AF" w:rsidRPr="000C6ABF">
        <w:rPr>
          <w:lang w:val="fr-CH"/>
        </w:rPr>
        <w:t xml:space="preserve"> plan d</w:t>
      </w:r>
      <w:r w:rsidR="00AB0C69" w:rsidRPr="000C6ABF">
        <w:rPr>
          <w:lang w:val="fr-CH"/>
        </w:rPr>
        <w:t>'</w:t>
      </w:r>
      <w:r w:rsidR="007F74AF" w:rsidRPr="000C6ABF">
        <w:rPr>
          <w:lang w:val="fr-CH"/>
        </w:rPr>
        <w:t>audit pluriannuel</w:t>
      </w:r>
      <w:bookmarkEnd w:id="303"/>
      <w:bookmarkEnd w:id="304"/>
      <w:bookmarkEnd w:id="305"/>
      <w:bookmarkEnd w:id="306"/>
      <w:bookmarkEnd w:id="307"/>
    </w:p>
    <w:p w:rsidR="008F1909" w:rsidRPr="000C6ABF" w:rsidRDefault="00AF180E" w:rsidP="008358B6">
      <w:pPr>
        <w:spacing w:after="120"/>
        <w:rPr>
          <w:lang w:val="fr-CH"/>
        </w:rPr>
      </w:pPr>
      <w:r w:rsidRPr="000C6ABF">
        <w:rPr>
          <w:lang w:val="fr-CH"/>
        </w:rPr>
        <w:t>141</w:t>
      </w:r>
      <w:r w:rsidRPr="000C6ABF">
        <w:rPr>
          <w:lang w:val="fr-CH"/>
        </w:rPr>
        <w:tab/>
      </w:r>
      <w:r w:rsidR="00A214EB" w:rsidRPr="000C6ABF">
        <w:rPr>
          <w:lang w:val="fr-CH"/>
        </w:rPr>
        <w:t>L</w:t>
      </w:r>
      <w:r w:rsidR="00AB0C69" w:rsidRPr="000C6ABF">
        <w:rPr>
          <w:lang w:val="fr-CH"/>
        </w:rPr>
        <w:t>'</w:t>
      </w:r>
      <w:r w:rsidR="007F74AF" w:rsidRPr="000C6ABF">
        <w:rPr>
          <w:lang w:val="fr-CH"/>
        </w:rPr>
        <w:t>auditeur interne présente un plan de travail d</w:t>
      </w:r>
      <w:r w:rsidR="00AB0C69" w:rsidRPr="000C6ABF">
        <w:rPr>
          <w:lang w:val="fr-CH"/>
        </w:rPr>
        <w:t>'</w:t>
      </w:r>
      <w:r w:rsidR="007F74AF" w:rsidRPr="000C6ABF">
        <w:rPr>
          <w:lang w:val="fr-CH"/>
        </w:rPr>
        <w:t>audit interne annuel mais pas de plan d</w:t>
      </w:r>
      <w:r w:rsidR="00AB0C69" w:rsidRPr="000C6ABF">
        <w:rPr>
          <w:lang w:val="fr-CH"/>
        </w:rPr>
        <w:t>'</w:t>
      </w:r>
      <w:r w:rsidR="007F74AF" w:rsidRPr="000C6ABF">
        <w:rPr>
          <w:lang w:val="fr-CH"/>
        </w:rPr>
        <w:t xml:space="preserve">audit pluriannuel (à long ou à moyen terme). Les </w:t>
      </w:r>
      <w:r w:rsidR="008358B6" w:rsidRPr="000C6ABF">
        <w:rPr>
          <w:lang w:val="fr-CH"/>
        </w:rPr>
        <w:t>U</w:t>
      </w:r>
      <w:r w:rsidR="007F74AF" w:rsidRPr="000C6ABF">
        <w:rPr>
          <w:lang w:val="fr-CH"/>
        </w:rPr>
        <w:t>nités d</w:t>
      </w:r>
      <w:r w:rsidR="00A214EB" w:rsidRPr="000C6ABF">
        <w:rPr>
          <w:lang w:val="fr-CH"/>
        </w:rPr>
        <w:t>e l</w:t>
      </w:r>
      <w:r w:rsidR="00AB0C69" w:rsidRPr="000C6ABF">
        <w:rPr>
          <w:lang w:val="fr-CH"/>
        </w:rPr>
        <w:t>'</w:t>
      </w:r>
      <w:r w:rsidR="007F74AF" w:rsidRPr="000C6ABF">
        <w:rPr>
          <w:lang w:val="fr-CH"/>
        </w:rPr>
        <w:t>audit interne d</w:t>
      </w:r>
      <w:r w:rsidR="00AB0C69" w:rsidRPr="000C6ABF">
        <w:rPr>
          <w:lang w:val="fr-CH"/>
        </w:rPr>
        <w:t>'</w:t>
      </w:r>
      <w:r w:rsidR="007F74AF" w:rsidRPr="000C6ABF">
        <w:rPr>
          <w:lang w:val="fr-CH"/>
        </w:rPr>
        <w:t>autres institutions du système des Nations Unies</w:t>
      </w:r>
      <w:r w:rsidR="000F2C0C" w:rsidRPr="000C6ABF">
        <w:rPr>
          <w:lang w:val="fr-CH"/>
        </w:rPr>
        <w:t xml:space="preserve"> que le Chef de l</w:t>
      </w:r>
      <w:r w:rsidR="00AB0C69" w:rsidRPr="000C6ABF">
        <w:rPr>
          <w:lang w:val="fr-CH"/>
        </w:rPr>
        <w:t>'</w:t>
      </w:r>
      <w:r w:rsidR="000F2C0C" w:rsidRPr="000C6ABF">
        <w:rPr>
          <w:lang w:val="fr-CH"/>
        </w:rPr>
        <w:t>Unité de l</w:t>
      </w:r>
      <w:r w:rsidR="00AB0C69" w:rsidRPr="000C6ABF">
        <w:rPr>
          <w:lang w:val="fr-CH"/>
        </w:rPr>
        <w:t>'</w:t>
      </w:r>
      <w:r w:rsidR="007F74AF" w:rsidRPr="000C6ABF">
        <w:rPr>
          <w:lang w:val="fr-CH"/>
        </w:rPr>
        <w:t xml:space="preserve">audit interne </w:t>
      </w:r>
      <w:r w:rsidR="00A214EB" w:rsidRPr="000C6ABF">
        <w:rPr>
          <w:lang w:val="fr-CH"/>
        </w:rPr>
        <w:t>a</w:t>
      </w:r>
      <w:r w:rsidR="007F74AF" w:rsidRPr="000C6ABF">
        <w:rPr>
          <w:lang w:val="fr-CH"/>
        </w:rPr>
        <w:t xml:space="preserve"> consult</w:t>
      </w:r>
      <w:r w:rsidR="00A214EB" w:rsidRPr="000C6ABF">
        <w:rPr>
          <w:lang w:val="fr-CH"/>
        </w:rPr>
        <w:t>é</w:t>
      </w:r>
      <w:r w:rsidR="007F74AF" w:rsidRPr="000C6ABF">
        <w:rPr>
          <w:lang w:val="fr-CH"/>
        </w:rPr>
        <w:t>e</w:t>
      </w:r>
      <w:r w:rsidR="00A214EB" w:rsidRPr="000C6ABF">
        <w:rPr>
          <w:lang w:val="fr-CH"/>
        </w:rPr>
        <w:t>s</w:t>
      </w:r>
      <w:r w:rsidR="007F74AF" w:rsidRPr="000C6ABF">
        <w:rPr>
          <w:lang w:val="fr-CH"/>
        </w:rPr>
        <w:t xml:space="preserve"> présente</w:t>
      </w:r>
      <w:r w:rsidR="008358B6">
        <w:rPr>
          <w:lang w:val="fr-CH"/>
        </w:rPr>
        <w:t>nt</w:t>
      </w:r>
      <w:r w:rsidR="007F74AF" w:rsidRPr="000C6ABF">
        <w:rPr>
          <w:lang w:val="fr-CH"/>
        </w:rPr>
        <w:t xml:space="preserve"> uniquement un plan d</w:t>
      </w:r>
      <w:r w:rsidR="00AB0C69" w:rsidRPr="000C6ABF">
        <w:rPr>
          <w:lang w:val="fr-CH"/>
        </w:rPr>
        <w:t>'</w:t>
      </w:r>
      <w:r w:rsidR="007F74AF" w:rsidRPr="000C6ABF">
        <w:rPr>
          <w:lang w:val="fr-CH"/>
        </w:rPr>
        <w:t xml:space="preserve">audit </w:t>
      </w:r>
      <w:r w:rsidR="00A214EB" w:rsidRPr="000C6ABF">
        <w:rPr>
          <w:lang w:val="fr-CH"/>
        </w:rPr>
        <w:t xml:space="preserve">annuel, d'autres </w:t>
      </w:r>
      <w:r w:rsidR="007F74AF" w:rsidRPr="000C6ABF">
        <w:rPr>
          <w:lang w:val="fr-CH"/>
        </w:rPr>
        <w:t xml:space="preserve">un plan biannuel. </w:t>
      </w:r>
      <w:r w:rsidR="002B553C" w:rsidRPr="000C6ABF">
        <w:rPr>
          <w:lang w:val="fr-CH"/>
        </w:rPr>
        <w:t>A</w:t>
      </w:r>
      <w:r w:rsidR="007F74AF" w:rsidRPr="000C6ABF">
        <w:rPr>
          <w:lang w:val="fr-CH"/>
        </w:rPr>
        <w:t xml:space="preserve"> titre de référence et conformément aux bonnes pratiques, le manuel d</w:t>
      </w:r>
      <w:r w:rsidR="00AB0C69" w:rsidRPr="000C6ABF">
        <w:rPr>
          <w:lang w:val="fr-CH"/>
        </w:rPr>
        <w:t>'</w:t>
      </w:r>
      <w:r w:rsidR="007F74AF" w:rsidRPr="000C6ABF">
        <w:rPr>
          <w:lang w:val="fr-CH"/>
        </w:rPr>
        <w:t>audit de la Division d</w:t>
      </w:r>
      <w:r w:rsidR="00A214EB" w:rsidRPr="000C6ABF">
        <w:rPr>
          <w:lang w:val="fr-CH"/>
        </w:rPr>
        <w:t>e l</w:t>
      </w:r>
      <w:r w:rsidR="00AB0C69" w:rsidRPr="000C6ABF">
        <w:rPr>
          <w:lang w:val="fr-CH"/>
        </w:rPr>
        <w:t>'</w:t>
      </w:r>
      <w:r w:rsidR="007F74AF" w:rsidRPr="000C6ABF">
        <w:rPr>
          <w:lang w:val="fr-CH"/>
        </w:rPr>
        <w:t>audit interne des Nations Unies prescrit</w:t>
      </w:r>
      <w:r w:rsidRPr="000C6ABF">
        <w:rPr>
          <w:lang w:val="fr-CH"/>
        </w:rPr>
        <w:t xml:space="preserve"> (section B.5.1) </w:t>
      </w:r>
      <w:r w:rsidR="007F74AF" w:rsidRPr="000C6ABF">
        <w:rPr>
          <w:lang w:val="fr-CH"/>
        </w:rPr>
        <w:t xml:space="preserve">que la Division </w:t>
      </w:r>
      <w:r w:rsidR="006B5B96" w:rsidRPr="000C6ABF">
        <w:rPr>
          <w:i/>
          <w:iCs/>
          <w:lang w:val="fr-CH"/>
        </w:rPr>
        <w:t>"</w:t>
      </w:r>
      <w:r w:rsidR="007F74AF" w:rsidRPr="000C6ABF">
        <w:rPr>
          <w:i/>
          <w:iCs/>
          <w:lang w:val="fr-CH"/>
        </w:rPr>
        <w:t>établit des plans d</w:t>
      </w:r>
      <w:r w:rsidR="00AB0C69" w:rsidRPr="000C6ABF">
        <w:rPr>
          <w:i/>
          <w:iCs/>
          <w:lang w:val="fr-CH"/>
        </w:rPr>
        <w:t>'</w:t>
      </w:r>
      <w:r w:rsidR="007F74AF" w:rsidRPr="000C6ABF">
        <w:rPr>
          <w:i/>
          <w:iCs/>
          <w:lang w:val="fr-CH"/>
        </w:rPr>
        <w:t>audit interne</w:t>
      </w:r>
      <w:r w:rsidR="00A47698" w:rsidRPr="000C6ABF">
        <w:rPr>
          <w:i/>
          <w:iCs/>
          <w:lang w:val="fr-CH"/>
        </w:rPr>
        <w:t xml:space="preserve"> </w:t>
      </w:r>
      <w:r w:rsidR="007F74AF" w:rsidRPr="000C6ABF">
        <w:rPr>
          <w:i/>
          <w:iCs/>
          <w:lang w:val="fr-CH"/>
        </w:rPr>
        <w:t>tous les trois ans basés avant tout sur des exercices de gestion des risques</w:t>
      </w:r>
      <w:r w:rsidR="006B5B96" w:rsidRPr="000C6ABF">
        <w:rPr>
          <w:lang w:val="fr-CH"/>
        </w:rPr>
        <w:t>"</w:t>
      </w:r>
      <w:r w:rsidRPr="000C6ABF">
        <w:rPr>
          <w:lang w:val="fr-CH"/>
        </w:rPr>
        <w:t>.</w:t>
      </w:r>
    </w:p>
    <w:tbl>
      <w:tblPr>
        <w:tblStyle w:val="TableGrid"/>
        <w:tblW w:w="0" w:type="auto"/>
        <w:tblLook w:val="04A0" w:firstRow="1" w:lastRow="0" w:firstColumn="1" w:lastColumn="0" w:noHBand="0" w:noVBand="1"/>
      </w:tblPr>
      <w:tblGrid>
        <w:gridCol w:w="9629"/>
      </w:tblGrid>
      <w:tr w:rsidR="008F1909" w:rsidRPr="000C6ABF" w:rsidTr="00FB5933">
        <w:tc>
          <w:tcPr>
            <w:tcW w:w="9629" w:type="dxa"/>
          </w:tcPr>
          <w:p w:rsidR="008F1909" w:rsidRPr="000C6ABF" w:rsidRDefault="008F1909" w:rsidP="00A214EB">
            <w:pPr>
              <w:spacing w:after="120"/>
              <w:rPr>
                <w:b/>
                <w:bCs/>
                <w:u w:val="single"/>
                <w:lang w:val="fr-CH"/>
              </w:rPr>
            </w:pPr>
            <w:bookmarkStart w:id="308" w:name="_Toc396386986"/>
            <w:r w:rsidRPr="000C6ABF">
              <w:rPr>
                <w:b/>
                <w:bCs/>
                <w:u w:val="single"/>
                <w:lang w:val="fr-CH"/>
              </w:rPr>
              <w:t>Suggestion N° 5</w:t>
            </w:r>
            <w:bookmarkEnd w:id="308"/>
          </w:p>
          <w:p w:rsidR="008F1909" w:rsidRPr="000C6ABF" w:rsidRDefault="008F1909" w:rsidP="002B553C">
            <w:pPr>
              <w:spacing w:after="120"/>
              <w:rPr>
                <w:lang w:val="fr-CH"/>
              </w:rPr>
            </w:pPr>
            <w:r w:rsidRPr="000C6ABF">
              <w:rPr>
                <w:bCs/>
                <w:lang w:val="fr-CH"/>
              </w:rPr>
              <w:t>142</w:t>
            </w:r>
            <w:r w:rsidRPr="000C6ABF">
              <w:rPr>
                <w:bCs/>
                <w:lang w:val="fr-CH"/>
              </w:rPr>
              <w:tab/>
            </w:r>
            <w:r w:rsidR="000F2C0C" w:rsidRPr="000C6ABF">
              <w:rPr>
                <w:bCs/>
                <w:lang w:val="fr-CH"/>
              </w:rPr>
              <w:t>Nous suggérons à l</w:t>
            </w:r>
            <w:r w:rsidR="00AB0C69" w:rsidRPr="000C6ABF">
              <w:rPr>
                <w:bCs/>
                <w:lang w:val="fr-CH"/>
              </w:rPr>
              <w:t>'</w:t>
            </w:r>
            <w:r w:rsidR="000F2C0C" w:rsidRPr="000C6ABF">
              <w:rPr>
                <w:bCs/>
                <w:lang w:val="fr-CH"/>
              </w:rPr>
              <w:t>Unité de l</w:t>
            </w:r>
            <w:r w:rsidR="00AB0C69" w:rsidRPr="000C6ABF">
              <w:rPr>
                <w:bCs/>
                <w:lang w:val="fr-CH"/>
              </w:rPr>
              <w:t>'</w:t>
            </w:r>
            <w:r w:rsidR="00CF6239" w:rsidRPr="000C6ABF">
              <w:rPr>
                <w:bCs/>
                <w:lang w:val="fr-CH"/>
              </w:rPr>
              <w:t xml:space="preserve">audit interne </w:t>
            </w:r>
            <w:r w:rsidR="00A214EB" w:rsidRPr="000C6ABF">
              <w:rPr>
                <w:bCs/>
                <w:lang w:val="fr-CH"/>
              </w:rPr>
              <w:t xml:space="preserve">d'adopter </w:t>
            </w:r>
            <w:r w:rsidR="00CF6239" w:rsidRPr="000C6ABF">
              <w:rPr>
                <w:bCs/>
                <w:lang w:val="fr-CH"/>
              </w:rPr>
              <w:t>un plan d</w:t>
            </w:r>
            <w:r w:rsidR="00AB0C69" w:rsidRPr="000C6ABF">
              <w:rPr>
                <w:bCs/>
                <w:lang w:val="fr-CH"/>
              </w:rPr>
              <w:t>'</w:t>
            </w:r>
            <w:r w:rsidR="00CF6239" w:rsidRPr="000C6ABF">
              <w:rPr>
                <w:bCs/>
                <w:lang w:val="fr-CH"/>
              </w:rPr>
              <w:t xml:space="preserve">audit </w:t>
            </w:r>
            <w:r w:rsidR="00640FE3" w:rsidRPr="000C6ABF">
              <w:rPr>
                <w:bCs/>
                <w:lang w:val="fr-CH"/>
              </w:rPr>
              <w:t>pluriannuel</w:t>
            </w:r>
            <w:r w:rsidR="00CF6239" w:rsidRPr="000C6ABF">
              <w:rPr>
                <w:bCs/>
                <w:lang w:val="fr-CH"/>
              </w:rPr>
              <w:t>, basé sur un exercice d</w:t>
            </w:r>
            <w:r w:rsidR="00AB0C69" w:rsidRPr="000C6ABF">
              <w:rPr>
                <w:bCs/>
                <w:lang w:val="fr-CH"/>
              </w:rPr>
              <w:t>'</w:t>
            </w:r>
            <w:r w:rsidR="00CF6239" w:rsidRPr="000C6ABF">
              <w:rPr>
                <w:bCs/>
                <w:lang w:val="fr-CH"/>
              </w:rPr>
              <w:t>évaluation des risques</w:t>
            </w:r>
            <w:r w:rsidR="008358B6">
              <w:rPr>
                <w:bCs/>
                <w:lang w:val="fr-CH"/>
              </w:rPr>
              <w:t>.</w:t>
            </w:r>
          </w:p>
        </w:tc>
      </w:tr>
    </w:tbl>
    <w:p w:rsidR="008F1909" w:rsidRPr="008358B6" w:rsidRDefault="008F1909" w:rsidP="00AB0C69">
      <w:pPr>
        <w:rPr>
          <w:sz w:val="16"/>
          <w:szCs w:val="16"/>
          <w:lang w:val="fr-CH"/>
        </w:rPr>
      </w:pPr>
    </w:p>
    <w:tbl>
      <w:tblPr>
        <w:tblStyle w:val="TableGrid"/>
        <w:tblW w:w="0" w:type="auto"/>
        <w:tblLook w:val="04A0" w:firstRow="1" w:lastRow="0" w:firstColumn="1" w:lastColumn="0" w:noHBand="0" w:noVBand="1"/>
      </w:tblPr>
      <w:tblGrid>
        <w:gridCol w:w="9629"/>
      </w:tblGrid>
      <w:tr w:rsidR="008F1909" w:rsidRPr="000C6ABF" w:rsidTr="00FB5933">
        <w:tc>
          <w:tcPr>
            <w:tcW w:w="9629" w:type="dxa"/>
          </w:tcPr>
          <w:p w:rsidR="008F1909" w:rsidRPr="000C6ABF" w:rsidRDefault="008F1909" w:rsidP="002B553C">
            <w:pPr>
              <w:spacing w:after="120"/>
              <w:rPr>
                <w:b/>
                <w:bCs/>
                <w:u w:val="single"/>
                <w:lang w:val="fr-CH"/>
              </w:rPr>
            </w:pPr>
            <w:bookmarkStart w:id="309" w:name="_Toc396386987"/>
            <w:r w:rsidRPr="000C6ABF">
              <w:rPr>
                <w:b/>
                <w:bCs/>
                <w:u w:val="single"/>
                <w:lang w:val="fr-CH"/>
              </w:rPr>
              <w:t>Commentaires du Secrétaire général:</w:t>
            </w:r>
            <w:bookmarkEnd w:id="309"/>
          </w:p>
          <w:p w:rsidR="008F1909" w:rsidRPr="000C6ABF" w:rsidRDefault="00CF6239" w:rsidP="002B553C">
            <w:pPr>
              <w:spacing w:after="120"/>
              <w:rPr>
                <w:lang w:val="fr-CH"/>
              </w:rPr>
            </w:pPr>
            <w:r w:rsidRPr="000C6ABF">
              <w:rPr>
                <w:lang w:val="fr-CH"/>
              </w:rPr>
              <w:t>L</w:t>
            </w:r>
            <w:r w:rsidR="00AB0C69" w:rsidRPr="000C6ABF">
              <w:rPr>
                <w:lang w:val="fr-CH"/>
              </w:rPr>
              <w:t>'</w:t>
            </w:r>
            <w:r w:rsidRPr="000C6ABF">
              <w:rPr>
                <w:lang w:val="fr-CH"/>
              </w:rPr>
              <w:t>auditeur interne s</w:t>
            </w:r>
            <w:r w:rsidR="00AB0C69" w:rsidRPr="000C6ABF">
              <w:rPr>
                <w:lang w:val="fr-CH"/>
              </w:rPr>
              <w:t>'</w:t>
            </w:r>
            <w:r w:rsidRPr="000C6ABF">
              <w:rPr>
                <w:lang w:val="fr-CH"/>
              </w:rPr>
              <w:t>efforcera d</w:t>
            </w:r>
            <w:r w:rsidR="00AB0C69" w:rsidRPr="000C6ABF">
              <w:rPr>
                <w:lang w:val="fr-CH"/>
              </w:rPr>
              <w:t>'</w:t>
            </w:r>
            <w:r w:rsidRPr="000C6ABF">
              <w:rPr>
                <w:lang w:val="fr-CH"/>
              </w:rPr>
              <w:t>établir un plan d</w:t>
            </w:r>
            <w:r w:rsidR="00AB0C69" w:rsidRPr="000C6ABF">
              <w:rPr>
                <w:lang w:val="fr-CH"/>
              </w:rPr>
              <w:t>'</w:t>
            </w:r>
            <w:r w:rsidRPr="000C6ABF">
              <w:rPr>
                <w:lang w:val="fr-CH"/>
              </w:rPr>
              <w:t xml:space="preserve">audit </w:t>
            </w:r>
            <w:r w:rsidR="00A214EB" w:rsidRPr="000C6ABF">
              <w:rPr>
                <w:lang w:val="fr-CH"/>
              </w:rPr>
              <w:t xml:space="preserve">sur une base </w:t>
            </w:r>
            <w:r w:rsidRPr="000C6ABF">
              <w:rPr>
                <w:lang w:val="fr-CH"/>
              </w:rPr>
              <w:t>pluriannuel</w:t>
            </w:r>
            <w:r w:rsidR="00A214EB" w:rsidRPr="000C6ABF">
              <w:rPr>
                <w:lang w:val="fr-CH"/>
              </w:rPr>
              <w:t>le</w:t>
            </w:r>
            <w:r w:rsidR="008F1909" w:rsidRPr="000C6ABF">
              <w:rPr>
                <w:lang w:val="fr-CH"/>
              </w:rPr>
              <w:t>.</w:t>
            </w:r>
          </w:p>
        </w:tc>
      </w:tr>
    </w:tbl>
    <w:p w:rsidR="00AF180E" w:rsidRPr="000C6ABF" w:rsidRDefault="00CF6239" w:rsidP="00353E8C">
      <w:pPr>
        <w:pStyle w:val="Headingb"/>
        <w:spacing w:before="360"/>
        <w:ind w:left="0" w:firstLine="0"/>
        <w:rPr>
          <w:lang w:val="fr-CH"/>
        </w:rPr>
      </w:pPr>
      <w:bookmarkStart w:id="310" w:name="_Toc392672733"/>
      <w:bookmarkStart w:id="311" w:name="_Toc396386988"/>
      <w:bookmarkStart w:id="312" w:name="_Toc396387862"/>
      <w:bookmarkStart w:id="313" w:name="_Toc396387976"/>
      <w:bookmarkStart w:id="314" w:name="_Toc398277661"/>
      <w:r w:rsidRPr="000C6ABF">
        <w:rPr>
          <w:lang w:val="fr-CH"/>
        </w:rPr>
        <w:lastRenderedPageBreak/>
        <w:t>Même si la politique de g</w:t>
      </w:r>
      <w:r w:rsidR="00640FE3" w:rsidRPr="000C6ABF">
        <w:rPr>
          <w:lang w:val="fr-CH"/>
        </w:rPr>
        <w:t>e</w:t>
      </w:r>
      <w:r w:rsidRPr="000C6ABF">
        <w:rPr>
          <w:lang w:val="fr-CH"/>
        </w:rPr>
        <w:t>stion des risques d</w:t>
      </w:r>
      <w:r w:rsidR="00AB0C69" w:rsidRPr="000C6ABF">
        <w:rPr>
          <w:lang w:val="fr-CH"/>
        </w:rPr>
        <w:t>'</w:t>
      </w:r>
      <w:r w:rsidRPr="000C6ABF">
        <w:rPr>
          <w:lang w:val="fr-CH"/>
        </w:rPr>
        <w:t>entreprise</w:t>
      </w:r>
      <w:r w:rsidR="0089267E" w:rsidRPr="000C6ABF">
        <w:rPr>
          <w:lang w:val="fr-CH"/>
        </w:rPr>
        <w:t xml:space="preserve"> (ERM)</w:t>
      </w:r>
      <w:r w:rsidRPr="000C6ABF">
        <w:rPr>
          <w:lang w:val="fr-CH"/>
        </w:rPr>
        <w:t xml:space="preserve"> n</w:t>
      </w:r>
      <w:r w:rsidR="00AB0C69" w:rsidRPr="000C6ABF">
        <w:rPr>
          <w:lang w:val="fr-CH"/>
        </w:rPr>
        <w:t>'</w:t>
      </w:r>
      <w:r w:rsidRPr="000C6ABF">
        <w:rPr>
          <w:lang w:val="fr-CH"/>
        </w:rPr>
        <w:t xml:space="preserve">a pas encore été mise en </w:t>
      </w:r>
      <w:r w:rsidR="00640FE3" w:rsidRPr="000C6ABF">
        <w:rPr>
          <w:lang w:val="fr-CH"/>
        </w:rPr>
        <w:t>œuvre, un plan basé sur les risques est nécessaire.</w:t>
      </w:r>
      <w:bookmarkEnd w:id="310"/>
      <w:bookmarkEnd w:id="311"/>
      <w:bookmarkEnd w:id="312"/>
      <w:bookmarkEnd w:id="313"/>
      <w:bookmarkEnd w:id="314"/>
    </w:p>
    <w:p w:rsidR="00AF180E" w:rsidRPr="000C6ABF" w:rsidRDefault="00AF180E" w:rsidP="008358B6">
      <w:pPr>
        <w:rPr>
          <w:lang w:val="fr-CH"/>
        </w:rPr>
      </w:pPr>
      <w:r w:rsidRPr="000C6ABF">
        <w:rPr>
          <w:lang w:val="fr-CH"/>
        </w:rPr>
        <w:t>143</w:t>
      </w:r>
      <w:r w:rsidRPr="000C6ABF">
        <w:rPr>
          <w:lang w:val="fr-CH"/>
        </w:rPr>
        <w:tab/>
      </w:r>
      <w:r w:rsidR="00640FE3" w:rsidRPr="000C6ABF">
        <w:rPr>
          <w:lang w:val="fr-CH"/>
        </w:rPr>
        <w:t>Après avoir comparé les plans de travail pour les années 2012,</w:t>
      </w:r>
      <w:r w:rsidR="008358B6">
        <w:rPr>
          <w:lang w:val="fr-CH"/>
        </w:rPr>
        <w:t xml:space="preserve"> </w:t>
      </w:r>
      <w:r w:rsidR="00640FE3" w:rsidRPr="000C6ABF">
        <w:rPr>
          <w:lang w:val="fr-CH"/>
        </w:rPr>
        <w:t>2013 et 2014</w:t>
      </w:r>
      <w:r w:rsidR="008358B6">
        <w:rPr>
          <w:lang w:val="fr-CH"/>
        </w:rPr>
        <w:t>,</w:t>
      </w:r>
      <w:r w:rsidR="00640FE3" w:rsidRPr="000C6ABF">
        <w:rPr>
          <w:lang w:val="fr-CH"/>
        </w:rPr>
        <w:t xml:space="preserve"> nous avons relevé des améliorations d</w:t>
      </w:r>
      <w:r w:rsidR="00AB0C69" w:rsidRPr="000C6ABF">
        <w:rPr>
          <w:lang w:val="fr-CH"/>
        </w:rPr>
        <w:t>'</w:t>
      </w:r>
      <w:r w:rsidR="00640FE3" w:rsidRPr="000C6ABF">
        <w:rPr>
          <w:lang w:val="fr-CH"/>
        </w:rPr>
        <w:t xml:space="preserve">un plan à un autre. Les plans sont définis comme étant des plans </w:t>
      </w:r>
      <w:r w:rsidR="003072F2" w:rsidRPr="000C6ABF">
        <w:rPr>
          <w:lang w:val="fr-CH"/>
        </w:rPr>
        <w:t>"</w:t>
      </w:r>
      <w:r w:rsidR="00640FE3" w:rsidRPr="000C6ABF">
        <w:rPr>
          <w:lang w:val="fr-CH"/>
        </w:rPr>
        <w:t>basés sur les risques</w:t>
      </w:r>
      <w:r w:rsidR="003072F2" w:rsidRPr="000C6ABF">
        <w:rPr>
          <w:lang w:val="fr-CH"/>
        </w:rPr>
        <w:t>"</w:t>
      </w:r>
      <w:r w:rsidR="00640FE3" w:rsidRPr="000C6ABF">
        <w:rPr>
          <w:lang w:val="fr-CH"/>
        </w:rPr>
        <w:t xml:space="preserve"> mais </w:t>
      </w:r>
      <w:r w:rsidR="0089267E" w:rsidRPr="000C6ABF">
        <w:rPr>
          <w:lang w:val="fr-CH"/>
        </w:rPr>
        <w:t>cela ne veut pas dire</w:t>
      </w:r>
      <w:r w:rsidR="00640FE3" w:rsidRPr="000C6ABF">
        <w:rPr>
          <w:lang w:val="fr-CH"/>
        </w:rPr>
        <w:t xml:space="preserve"> pour autant que </w:t>
      </w:r>
      <w:r w:rsidR="0089267E" w:rsidRPr="000C6ABF">
        <w:rPr>
          <w:lang w:val="fr-CH"/>
        </w:rPr>
        <w:t>l'</w:t>
      </w:r>
      <w:r w:rsidR="008358B6" w:rsidRPr="000C6ABF">
        <w:rPr>
          <w:lang w:val="fr-CH"/>
        </w:rPr>
        <w:t>U</w:t>
      </w:r>
      <w:r w:rsidR="0089267E" w:rsidRPr="000C6ABF">
        <w:rPr>
          <w:lang w:val="fr-CH"/>
        </w:rPr>
        <w:t xml:space="preserve">nité de </w:t>
      </w:r>
      <w:r w:rsidR="00640FE3" w:rsidRPr="000C6ABF">
        <w:rPr>
          <w:lang w:val="fr-CH"/>
        </w:rPr>
        <w:t>l</w:t>
      </w:r>
      <w:r w:rsidR="00AB0C69" w:rsidRPr="000C6ABF">
        <w:rPr>
          <w:lang w:val="fr-CH"/>
        </w:rPr>
        <w:t>'</w:t>
      </w:r>
      <w:r w:rsidR="00640FE3" w:rsidRPr="000C6ABF">
        <w:rPr>
          <w:lang w:val="fr-CH"/>
        </w:rPr>
        <w:t>audit interne a fait l</w:t>
      </w:r>
      <w:r w:rsidR="00AB0C69" w:rsidRPr="000C6ABF">
        <w:rPr>
          <w:lang w:val="fr-CH"/>
        </w:rPr>
        <w:t>'</w:t>
      </w:r>
      <w:r w:rsidR="00640FE3" w:rsidRPr="000C6ABF">
        <w:rPr>
          <w:lang w:val="fr-CH"/>
        </w:rPr>
        <w:t>évaluation des risques. Nous notons que la politique de gestion des risques d</w:t>
      </w:r>
      <w:r w:rsidR="00AB0C69" w:rsidRPr="000C6ABF">
        <w:rPr>
          <w:lang w:val="fr-CH"/>
        </w:rPr>
        <w:t>'</w:t>
      </w:r>
      <w:r w:rsidR="00640FE3" w:rsidRPr="000C6ABF">
        <w:rPr>
          <w:lang w:val="fr-CH"/>
        </w:rPr>
        <w:t>entreprise n</w:t>
      </w:r>
      <w:r w:rsidR="00AB0C69" w:rsidRPr="000C6ABF">
        <w:rPr>
          <w:lang w:val="fr-CH"/>
        </w:rPr>
        <w:t>'</w:t>
      </w:r>
      <w:r w:rsidR="00640FE3" w:rsidRPr="000C6ABF">
        <w:rPr>
          <w:lang w:val="fr-CH"/>
        </w:rPr>
        <w:t>a pas été encore mise en œuvre à l</w:t>
      </w:r>
      <w:r w:rsidR="00AB0C69" w:rsidRPr="000C6ABF">
        <w:rPr>
          <w:lang w:val="fr-CH"/>
        </w:rPr>
        <w:t>'</w:t>
      </w:r>
      <w:r w:rsidR="00640FE3" w:rsidRPr="000C6ABF">
        <w:rPr>
          <w:lang w:val="fr-CH"/>
        </w:rPr>
        <w:t>UIT. Pour mettre en œuvre les dispositions de la Résolution 151 (</w:t>
      </w:r>
      <w:proofErr w:type="spellStart"/>
      <w:r w:rsidR="0089267E" w:rsidRPr="000C6ABF">
        <w:rPr>
          <w:lang w:val="fr-CH"/>
        </w:rPr>
        <w:t>Rév</w:t>
      </w:r>
      <w:proofErr w:type="spellEnd"/>
      <w:r w:rsidR="0089267E" w:rsidRPr="000C6ABF">
        <w:rPr>
          <w:lang w:val="fr-CH"/>
        </w:rPr>
        <w:t xml:space="preserve">. </w:t>
      </w:r>
      <w:r w:rsidR="00640FE3" w:rsidRPr="000C6ABF">
        <w:rPr>
          <w:lang w:val="fr-CH"/>
        </w:rPr>
        <w:t>Guadalajara</w:t>
      </w:r>
      <w:r w:rsidR="0089267E" w:rsidRPr="000C6ABF">
        <w:rPr>
          <w:lang w:val="fr-CH"/>
        </w:rPr>
        <w:t>,</w:t>
      </w:r>
      <w:r w:rsidR="00640FE3" w:rsidRPr="000C6ABF">
        <w:rPr>
          <w:lang w:val="fr-CH"/>
        </w:rPr>
        <w:t xml:space="preserve"> 2010) de la Conférence de plénipotentiaires, un atelier a été organisé en mai</w:t>
      </w:r>
      <w:r w:rsidR="008358B6">
        <w:rPr>
          <w:lang w:val="fr-CH"/>
        </w:rPr>
        <w:t> </w:t>
      </w:r>
      <w:r w:rsidR="00640FE3" w:rsidRPr="000C6ABF">
        <w:rPr>
          <w:lang w:val="fr-CH"/>
        </w:rPr>
        <w:t xml:space="preserve">2013 sur </w:t>
      </w:r>
      <w:r w:rsidR="0089267E" w:rsidRPr="000C6ABF">
        <w:rPr>
          <w:lang w:val="fr-CH"/>
        </w:rPr>
        <w:t>"</w:t>
      </w:r>
      <w:r w:rsidR="00640FE3" w:rsidRPr="000C6ABF">
        <w:rPr>
          <w:lang w:val="fr-CH"/>
        </w:rPr>
        <w:t>la gestion</w:t>
      </w:r>
      <w:r w:rsidR="00A92242" w:rsidRPr="000C6ABF">
        <w:rPr>
          <w:lang w:val="fr-CH"/>
        </w:rPr>
        <w:t xml:space="preserve"> stratégique</w:t>
      </w:r>
      <w:r w:rsidR="00640FE3" w:rsidRPr="000C6ABF">
        <w:rPr>
          <w:lang w:val="fr-CH"/>
        </w:rPr>
        <w:t xml:space="preserve"> des risques à l</w:t>
      </w:r>
      <w:r w:rsidR="00AB0C69" w:rsidRPr="000C6ABF">
        <w:rPr>
          <w:lang w:val="fr-CH"/>
        </w:rPr>
        <w:t>'</w:t>
      </w:r>
      <w:r w:rsidR="00640FE3" w:rsidRPr="000C6ABF">
        <w:rPr>
          <w:lang w:val="fr-CH"/>
        </w:rPr>
        <w:t>UIT</w:t>
      </w:r>
      <w:r w:rsidR="0089267E" w:rsidRPr="000C6ABF">
        <w:rPr>
          <w:lang w:val="fr-CH"/>
        </w:rPr>
        <w:t>"</w:t>
      </w:r>
      <w:r w:rsidR="00640FE3" w:rsidRPr="000C6ABF">
        <w:rPr>
          <w:lang w:val="fr-CH"/>
        </w:rPr>
        <w:t>. La direction de l</w:t>
      </w:r>
      <w:r w:rsidR="00AB0C69" w:rsidRPr="000C6ABF">
        <w:rPr>
          <w:lang w:val="fr-CH"/>
        </w:rPr>
        <w:t>'</w:t>
      </w:r>
      <w:r w:rsidR="00640FE3" w:rsidRPr="000C6ABF">
        <w:rPr>
          <w:lang w:val="fr-CH"/>
        </w:rPr>
        <w:t xml:space="preserve">UIT a été aidée par la société de conseil </w:t>
      </w:r>
      <w:r w:rsidR="006B5B96" w:rsidRPr="000C6ABF">
        <w:rPr>
          <w:lang w:val="fr-CH"/>
        </w:rPr>
        <w:t>"</w:t>
      </w:r>
      <w:r w:rsidRPr="000C6ABF">
        <w:rPr>
          <w:i/>
          <w:iCs/>
          <w:lang w:val="fr-CH"/>
        </w:rPr>
        <w:t xml:space="preserve">Dalberg Global Development </w:t>
      </w:r>
      <w:proofErr w:type="spellStart"/>
      <w:r w:rsidRPr="000C6ABF">
        <w:rPr>
          <w:i/>
          <w:iCs/>
          <w:lang w:val="fr-CH"/>
        </w:rPr>
        <w:t>Advisors</w:t>
      </w:r>
      <w:proofErr w:type="spellEnd"/>
      <w:r w:rsidR="006B5B96" w:rsidRPr="000C6ABF">
        <w:rPr>
          <w:lang w:val="fr-CH"/>
        </w:rPr>
        <w:t>"</w:t>
      </w:r>
      <w:r w:rsidRPr="000C6ABF">
        <w:rPr>
          <w:lang w:val="fr-CH"/>
        </w:rPr>
        <w:t xml:space="preserve"> </w:t>
      </w:r>
      <w:r w:rsidR="00640FE3" w:rsidRPr="000C6ABF">
        <w:rPr>
          <w:lang w:val="fr-CH"/>
        </w:rPr>
        <w:t xml:space="preserve">pour préparer </w:t>
      </w:r>
      <w:r w:rsidR="0089267E" w:rsidRPr="000C6ABF">
        <w:rPr>
          <w:lang w:val="fr-CH"/>
        </w:rPr>
        <w:t xml:space="preserve">et organiser </w:t>
      </w:r>
      <w:r w:rsidR="00640FE3" w:rsidRPr="000C6ABF">
        <w:rPr>
          <w:lang w:val="fr-CH"/>
        </w:rPr>
        <w:t>un atelier sur la gestion</w:t>
      </w:r>
      <w:r w:rsidR="00A92242" w:rsidRPr="000C6ABF">
        <w:rPr>
          <w:lang w:val="fr-CH"/>
        </w:rPr>
        <w:t xml:space="preserve"> stratégique</w:t>
      </w:r>
      <w:r w:rsidR="00640FE3" w:rsidRPr="000C6ABF">
        <w:rPr>
          <w:lang w:val="fr-CH"/>
        </w:rPr>
        <w:t xml:space="preserve"> des risques </w:t>
      </w:r>
      <w:r w:rsidR="00A92242" w:rsidRPr="000C6ABF">
        <w:rPr>
          <w:lang w:val="fr-CH"/>
        </w:rPr>
        <w:t>à l</w:t>
      </w:r>
      <w:r w:rsidR="00AB0C69" w:rsidRPr="000C6ABF">
        <w:rPr>
          <w:lang w:val="fr-CH"/>
        </w:rPr>
        <w:t>'</w:t>
      </w:r>
      <w:r w:rsidR="00A92242" w:rsidRPr="000C6ABF">
        <w:rPr>
          <w:lang w:val="fr-CH"/>
        </w:rPr>
        <w:t>intention des</w:t>
      </w:r>
      <w:r w:rsidR="003A5AA8" w:rsidRPr="000C6ABF">
        <w:rPr>
          <w:lang w:val="fr-CH"/>
        </w:rPr>
        <w:t xml:space="preserve"> cadres dirigeants</w:t>
      </w:r>
      <w:r w:rsidRPr="000C6ABF">
        <w:rPr>
          <w:lang w:val="fr-CH"/>
        </w:rPr>
        <w:t>.</w:t>
      </w:r>
    </w:p>
    <w:p w:rsidR="00AF180E" w:rsidRPr="000C6ABF" w:rsidRDefault="00AF180E" w:rsidP="0089267E">
      <w:pPr>
        <w:rPr>
          <w:lang w:val="fr-CH"/>
        </w:rPr>
      </w:pPr>
      <w:r w:rsidRPr="000C6ABF">
        <w:rPr>
          <w:lang w:val="fr-CH"/>
        </w:rPr>
        <w:t>144</w:t>
      </w:r>
      <w:r w:rsidRPr="000C6ABF">
        <w:rPr>
          <w:lang w:val="fr-CH"/>
        </w:rPr>
        <w:tab/>
      </w:r>
      <w:r w:rsidR="002173B9" w:rsidRPr="000C6ABF">
        <w:rPr>
          <w:sz w:val="22"/>
          <w:lang w:val="fr-CH"/>
        </w:rPr>
        <w:t xml:space="preserve">Le CCIG recommande </w:t>
      </w:r>
      <w:r w:rsidR="002173B9" w:rsidRPr="000C6ABF">
        <w:rPr>
          <w:lang w:val="fr-CH"/>
        </w:rPr>
        <w:t xml:space="preserve">dans son </w:t>
      </w:r>
      <w:r w:rsidR="002173B9" w:rsidRPr="000C6ABF">
        <w:rPr>
          <w:szCs w:val="24"/>
          <w:lang w:val="fr-CH"/>
        </w:rPr>
        <w:t xml:space="preserve">Rapport annuel de </w:t>
      </w:r>
      <w:r w:rsidRPr="000C6ABF">
        <w:rPr>
          <w:szCs w:val="24"/>
          <w:lang w:val="fr-CH"/>
        </w:rPr>
        <w:t xml:space="preserve">2013 </w:t>
      </w:r>
      <w:r w:rsidR="002173B9" w:rsidRPr="000C6ABF">
        <w:rPr>
          <w:szCs w:val="24"/>
          <w:lang w:val="fr-CH"/>
        </w:rPr>
        <w:t>"</w:t>
      </w:r>
      <w:r w:rsidR="002173B9" w:rsidRPr="000C6ABF">
        <w:rPr>
          <w:i/>
          <w:iCs/>
          <w:szCs w:val="24"/>
          <w:lang w:val="fr-CH"/>
        </w:rPr>
        <w:t>que l'UIT élabore en priorité des modalités en matière de gestion systématique des risques applicables à l'échelle de l'Union tout entière et que les crédits budgétaires nécessaires soient alloués à cette fin</w:t>
      </w:r>
      <w:r w:rsidR="002173B9" w:rsidRPr="000C6ABF">
        <w:rPr>
          <w:szCs w:val="24"/>
          <w:lang w:val="fr-CH"/>
        </w:rPr>
        <w:t>"</w:t>
      </w:r>
      <w:r w:rsidRPr="000C6ABF">
        <w:rPr>
          <w:szCs w:val="24"/>
          <w:lang w:val="fr-CH"/>
        </w:rPr>
        <w:t xml:space="preserve">; </w:t>
      </w:r>
      <w:r w:rsidR="0021716F" w:rsidRPr="000C6ABF">
        <w:rPr>
          <w:szCs w:val="24"/>
          <w:lang w:val="fr-CH"/>
        </w:rPr>
        <w:t xml:space="preserve">dans son Rapport annuel de </w:t>
      </w:r>
      <w:r w:rsidRPr="000C6ABF">
        <w:rPr>
          <w:szCs w:val="24"/>
          <w:lang w:val="fr-CH"/>
        </w:rPr>
        <w:t>2014,</w:t>
      </w:r>
      <w:r w:rsidR="0021716F" w:rsidRPr="000C6ABF">
        <w:rPr>
          <w:szCs w:val="24"/>
          <w:lang w:val="fr-CH"/>
        </w:rPr>
        <w:t xml:space="preserve"> le CCIG</w:t>
      </w:r>
      <w:r w:rsidRPr="000C6ABF">
        <w:rPr>
          <w:szCs w:val="24"/>
          <w:lang w:val="fr-CH"/>
        </w:rPr>
        <w:t xml:space="preserve"> </w:t>
      </w:r>
      <w:r w:rsidR="005C2CA1" w:rsidRPr="000C6ABF">
        <w:rPr>
          <w:lang w:val="fr-CH"/>
        </w:rPr>
        <w:t>a relevé</w:t>
      </w:r>
      <w:r w:rsidR="00640FE3" w:rsidRPr="000C6ABF">
        <w:rPr>
          <w:lang w:val="fr-CH"/>
        </w:rPr>
        <w:t xml:space="preserve"> des améliorations dans l</w:t>
      </w:r>
      <w:r w:rsidR="00AB0C69" w:rsidRPr="000C6ABF">
        <w:rPr>
          <w:lang w:val="fr-CH"/>
        </w:rPr>
        <w:t>'</w:t>
      </w:r>
      <w:r w:rsidR="00640FE3" w:rsidRPr="000C6ABF">
        <w:rPr>
          <w:lang w:val="fr-CH"/>
        </w:rPr>
        <w:t xml:space="preserve">élaboration du </w:t>
      </w:r>
      <w:r w:rsidR="0089267E" w:rsidRPr="000C6ABF">
        <w:rPr>
          <w:lang w:val="fr-CH"/>
        </w:rPr>
        <w:t>projet de p</w:t>
      </w:r>
      <w:r w:rsidR="005C2CA1" w:rsidRPr="000C6ABF">
        <w:rPr>
          <w:lang w:val="fr-CH"/>
        </w:rPr>
        <w:t>lan stratégique</w:t>
      </w:r>
      <w:r w:rsidR="00A92242" w:rsidRPr="000C6ABF">
        <w:rPr>
          <w:lang w:val="fr-CH"/>
        </w:rPr>
        <w:t xml:space="preserve"> </w:t>
      </w:r>
      <w:r w:rsidR="0089267E" w:rsidRPr="000C6ABF">
        <w:rPr>
          <w:lang w:val="fr-CH"/>
        </w:rPr>
        <w:t>en</w:t>
      </w:r>
      <w:r w:rsidR="00A92242" w:rsidRPr="000C6ABF">
        <w:rPr>
          <w:lang w:val="fr-CH"/>
        </w:rPr>
        <w:t xml:space="preserve"> ce qui </w:t>
      </w:r>
      <w:r w:rsidR="0089267E" w:rsidRPr="000C6ABF">
        <w:rPr>
          <w:lang w:val="fr-CH"/>
        </w:rPr>
        <w:t xml:space="preserve">concerne </w:t>
      </w:r>
      <w:r w:rsidR="00A92242" w:rsidRPr="000C6ABF">
        <w:rPr>
          <w:lang w:val="fr-CH"/>
        </w:rPr>
        <w:t>l</w:t>
      </w:r>
      <w:r w:rsidR="00AB0C69" w:rsidRPr="000C6ABF">
        <w:rPr>
          <w:lang w:val="fr-CH"/>
        </w:rPr>
        <w:t>'</w:t>
      </w:r>
      <w:r w:rsidR="00A92242" w:rsidRPr="000C6ABF">
        <w:rPr>
          <w:lang w:val="fr-CH"/>
        </w:rPr>
        <w:t>identification des risques</w:t>
      </w:r>
      <w:r w:rsidR="003072F2" w:rsidRPr="000C6ABF">
        <w:rPr>
          <w:lang w:val="fr-CH"/>
        </w:rPr>
        <w:t>;</w:t>
      </w:r>
      <w:r w:rsidR="00A92242" w:rsidRPr="000C6ABF">
        <w:rPr>
          <w:lang w:val="fr-CH"/>
        </w:rPr>
        <w:t xml:space="preserve"> toutefois</w:t>
      </w:r>
      <w:r w:rsidRPr="000C6ABF">
        <w:rPr>
          <w:szCs w:val="24"/>
          <w:lang w:val="fr-CH"/>
        </w:rPr>
        <w:t xml:space="preserve">, </w:t>
      </w:r>
      <w:r w:rsidR="00C81935" w:rsidRPr="000C6ABF">
        <w:rPr>
          <w:szCs w:val="24"/>
          <w:lang w:val="fr-CH"/>
        </w:rPr>
        <w:t>le CCIG</w:t>
      </w:r>
      <w:r w:rsidR="0089267E" w:rsidRPr="000C6ABF">
        <w:rPr>
          <w:szCs w:val="24"/>
          <w:lang w:val="fr-CH"/>
        </w:rPr>
        <w:t xml:space="preserve"> a</w:t>
      </w:r>
      <w:r w:rsidR="00C81935" w:rsidRPr="000C6ABF">
        <w:rPr>
          <w:szCs w:val="24"/>
          <w:lang w:val="fr-CH"/>
        </w:rPr>
        <w:t xml:space="preserve"> recomma</w:t>
      </w:r>
      <w:r w:rsidRPr="000C6ABF">
        <w:rPr>
          <w:szCs w:val="24"/>
          <w:lang w:val="fr-CH"/>
        </w:rPr>
        <w:t>nd</w:t>
      </w:r>
      <w:r w:rsidR="0089267E" w:rsidRPr="000C6ABF">
        <w:rPr>
          <w:szCs w:val="24"/>
          <w:lang w:val="fr-CH"/>
        </w:rPr>
        <w:t>é</w:t>
      </w:r>
      <w:r w:rsidRPr="000C6ABF">
        <w:rPr>
          <w:lang w:val="fr-CH"/>
        </w:rPr>
        <w:t xml:space="preserve"> </w:t>
      </w:r>
      <w:r w:rsidR="00C81935" w:rsidRPr="000C6ABF">
        <w:rPr>
          <w:lang w:val="fr-CH"/>
        </w:rPr>
        <w:t>"</w:t>
      </w:r>
      <w:r w:rsidR="00C81935" w:rsidRPr="000C6ABF">
        <w:rPr>
          <w:i/>
          <w:iCs/>
          <w:lang w:val="fr-CH"/>
        </w:rPr>
        <w:t>que l'élaboration de modalités pour la gestion systématique des risques soit constamment poursuivie et appliquée au niveau opérationnel, dans le cadre du processus d'activité, et soit assortie d'un registre des risques, avec des pilotes des risques et un examen périodique par la haute direction</w:t>
      </w:r>
      <w:r w:rsidR="00C81935" w:rsidRPr="000C6ABF">
        <w:rPr>
          <w:lang w:val="fr-CH"/>
        </w:rPr>
        <w:t>"</w:t>
      </w:r>
      <w:r w:rsidRPr="000C6ABF">
        <w:rPr>
          <w:lang w:val="fr-CH"/>
        </w:rPr>
        <w:t>.</w:t>
      </w:r>
    </w:p>
    <w:p w:rsidR="00AF180E" w:rsidRPr="000C6ABF" w:rsidRDefault="00AF180E" w:rsidP="0089267E">
      <w:pPr>
        <w:rPr>
          <w:lang w:val="fr-CH"/>
        </w:rPr>
      </w:pPr>
      <w:r w:rsidRPr="000C6ABF">
        <w:rPr>
          <w:lang w:val="fr-CH"/>
        </w:rPr>
        <w:t>145</w:t>
      </w:r>
      <w:r w:rsidRPr="000C6ABF">
        <w:rPr>
          <w:lang w:val="fr-CH"/>
        </w:rPr>
        <w:tab/>
      </w:r>
      <w:r w:rsidR="0046271A" w:rsidRPr="000C6ABF">
        <w:rPr>
          <w:lang w:val="fr-CH"/>
        </w:rPr>
        <w:t>L</w:t>
      </w:r>
      <w:r w:rsidR="0089267E" w:rsidRPr="000C6ABF">
        <w:rPr>
          <w:lang w:val="fr-CH"/>
        </w:rPr>
        <w:t xml:space="preserve">e principe </w:t>
      </w:r>
      <w:r w:rsidRPr="000C6ABF">
        <w:rPr>
          <w:lang w:val="fr-CH"/>
        </w:rPr>
        <w:t xml:space="preserve">2010.A1 </w:t>
      </w:r>
      <w:r w:rsidR="0046271A" w:rsidRPr="000C6ABF">
        <w:rPr>
          <w:lang w:val="fr-CH"/>
        </w:rPr>
        <w:t>des Normes IIA dispose ce qui suit</w:t>
      </w:r>
      <w:r w:rsidR="008358B6">
        <w:rPr>
          <w:lang w:val="fr-CH"/>
        </w:rPr>
        <w:t>:</w:t>
      </w:r>
      <w:r w:rsidRPr="000C6ABF">
        <w:rPr>
          <w:lang w:val="fr-CH"/>
        </w:rPr>
        <w:t xml:space="preserve"> </w:t>
      </w:r>
      <w:r w:rsidR="006B5B96" w:rsidRPr="000C6ABF">
        <w:rPr>
          <w:lang w:val="fr-CH"/>
        </w:rPr>
        <w:t>"</w:t>
      </w:r>
      <w:r w:rsidR="0046271A" w:rsidRPr="000C6ABF">
        <w:rPr>
          <w:i/>
          <w:iCs/>
          <w:lang w:val="fr-CH"/>
        </w:rPr>
        <w:t>Le plan d'audit interne doit s'appuyer sur une évaluation des risques documentée et ré</w:t>
      </w:r>
      <w:r w:rsidR="0089267E" w:rsidRPr="000C6ABF">
        <w:rPr>
          <w:i/>
          <w:iCs/>
          <w:lang w:val="fr-CH"/>
        </w:rPr>
        <w:t>alisée au moins une fois par an</w:t>
      </w:r>
      <w:r w:rsidR="006B5B96" w:rsidRPr="000C6ABF">
        <w:rPr>
          <w:lang w:val="fr-CH"/>
        </w:rPr>
        <w:t>"</w:t>
      </w:r>
      <w:r w:rsidRPr="000C6ABF">
        <w:rPr>
          <w:lang w:val="fr-CH"/>
        </w:rPr>
        <w:t xml:space="preserve">. </w:t>
      </w:r>
      <w:r w:rsidR="0046271A" w:rsidRPr="000C6ABF">
        <w:rPr>
          <w:lang w:val="fr-CH"/>
        </w:rPr>
        <w:t>D</w:t>
      </w:r>
      <w:r w:rsidR="00AB0C69" w:rsidRPr="000C6ABF">
        <w:rPr>
          <w:lang w:val="fr-CH"/>
        </w:rPr>
        <w:t>'</w:t>
      </w:r>
      <w:r w:rsidR="0046271A" w:rsidRPr="000C6ABF">
        <w:rPr>
          <w:lang w:val="fr-CH"/>
        </w:rPr>
        <w:t>après le manuel d</w:t>
      </w:r>
      <w:r w:rsidR="0089267E" w:rsidRPr="000C6ABF">
        <w:rPr>
          <w:lang w:val="fr-CH"/>
        </w:rPr>
        <w:t>e l</w:t>
      </w:r>
      <w:r w:rsidR="00AB0C69" w:rsidRPr="000C6ABF">
        <w:rPr>
          <w:lang w:val="fr-CH"/>
        </w:rPr>
        <w:t>'</w:t>
      </w:r>
      <w:r w:rsidR="0046271A" w:rsidRPr="000C6ABF">
        <w:rPr>
          <w:lang w:val="fr-CH"/>
        </w:rPr>
        <w:t>audit interne, le Chef de l</w:t>
      </w:r>
      <w:r w:rsidR="00AB0C69" w:rsidRPr="000C6ABF">
        <w:rPr>
          <w:lang w:val="fr-CH"/>
        </w:rPr>
        <w:t>'</w:t>
      </w:r>
      <w:r w:rsidR="0046271A" w:rsidRPr="000C6ABF">
        <w:rPr>
          <w:lang w:val="fr-CH"/>
        </w:rPr>
        <w:t>Unité d</w:t>
      </w:r>
      <w:r w:rsidR="00AB0C69" w:rsidRPr="000C6ABF">
        <w:rPr>
          <w:lang w:val="fr-CH"/>
        </w:rPr>
        <w:t>'</w:t>
      </w:r>
      <w:r w:rsidR="0046271A" w:rsidRPr="000C6ABF">
        <w:rPr>
          <w:lang w:val="fr-CH"/>
        </w:rPr>
        <w:t>audit interne dispose d</w:t>
      </w:r>
      <w:r w:rsidR="00AB0C69" w:rsidRPr="000C6ABF">
        <w:rPr>
          <w:lang w:val="fr-CH"/>
        </w:rPr>
        <w:t>'</w:t>
      </w:r>
      <w:r w:rsidR="0046271A" w:rsidRPr="000C6ABF">
        <w:rPr>
          <w:lang w:val="fr-CH"/>
        </w:rPr>
        <w:t>un registre des risques</w:t>
      </w:r>
      <w:r w:rsidRPr="000C6ABF">
        <w:rPr>
          <w:lang w:val="fr-CH"/>
        </w:rPr>
        <w:t>.</w:t>
      </w:r>
    </w:p>
    <w:p w:rsidR="0008241E" w:rsidRPr="000C6ABF" w:rsidRDefault="00AF180E" w:rsidP="0089267E">
      <w:pPr>
        <w:spacing w:after="120"/>
        <w:rPr>
          <w:lang w:val="fr-CH"/>
        </w:rPr>
      </w:pPr>
      <w:r w:rsidRPr="000C6ABF">
        <w:rPr>
          <w:lang w:val="fr-CH"/>
        </w:rPr>
        <w:t>146</w:t>
      </w:r>
      <w:r w:rsidRPr="000C6ABF">
        <w:rPr>
          <w:lang w:val="fr-CH"/>
        </w:rPr>
        <w:tab/>
      </w:r>
      <w:r w:rsidR="0046271A" w:rsidRPr="000C6ABF">
        <w:rPr>
          <w:lang w:val="fr-CH"/>
        </w:rPr>
        <w:t>A ce propos, nous notons qu</w:t>
      </w:r>
      <w:r w:rsidR="00AB0C69" w:rsidRPr="000C6ABF">
        <w:rPr>
          <w:lang w:val="fr-CH"/>
        </w:rPr>
        <w:t>'</w:t>
      </w:r>
      <w:r w:rsidR="0046271A" w:rsidRPr="000C6ABF">
        <w:rPr>
          <w:lang w:val="fr-CH"/>
        </w:rPr>
        <w:t>il n</w:t>
      </w:r>
      <w:r w:rsidR="00AB0C69" w:rsidRPr="000C6ABF">
        <w:rPr>
          <w:lang w:val="fr-CH"/>
        </w:rPr>
        <w:t>'</w:t>
      </w:r>
      <w:r w:rsidR="0046271A" w:rsidRPr="000C6ABF">
        <w:rPr>
          <w:lang w:val="fr-CH"/>
        </w:rPr>
        <w:t xml:space="preserve">existe aucune règle sur la périodicité </w:t>
      </w:r>
      <w:r w:rsidR="0089267E" w:rsidRPr="000C6ABF">
        <w:rPr>
          <w:lang w:val="fr-CH"/>
        </w:rPr>
        <w:t>des</w:t>
      </w:r>
      <w:r w:rsidR="0046271A" w:rsidRPr="000C6ABF">
        <w:rPr>
          <w:lang w:val="fr-CH"/>
        </w:rPr>
        <w:t xml:space="preserve"> audit</w:t>
      </w:r>
      <w:r w:rsidR="0089267E" w:rsidRPr="000C6ABF">
        <w:rPr>
          <w:lang w:val="fr-CH"/>
        </w:rPr>
        <w:t>s</w:t>
      </w:r>
      <w:r w:rsidR="0046271A" w:rsidRPr="000C6ABF">
        <w:rPr>
          <w:lang w:val="fr-CH"/>
        </w:rPr>
        <w:t xml:space="preserve"> de</w:t>
      </w:r>
      <w:r w:rsidR="0034369A" w:rsidRPr="000C6ABF">
        <w:rPr>
          <w:lang w:val="fr-CH"/>
        </w:rPr>
        <w:t xml:space="preserve"> chaque fonction majeur</w:t>
      </w:r>
      <w:r w:rsidR="0089267E" w:rsidRPr="000C6ABF">
        <w:rPr>
          <w:lang w:val="fr-CH"/>
        </w:rPr>
        <w:t>e</w:t>
      </w:r>
      <w:r w:rsidR="0034369A" w:rsidRPr="000C6ABF">
        <w:rPr>
          <w:lang w:val="fr-CH"/>
        </w:rPr>
        <w:t xml:space="preserve"> financière ou non financière; étant donné que la </w:t>
      </w:r>
      <w:r w:rsidR="0089267E" w:rsidRPr="000C6ABF">
        <w:rPr>
          <w:lang w:val="fr-CH"/>
        </w:rPr>
        <w:t xml:space="preserve">politique ERM </w:t>
      </w:r>
      <w:r w:rsidR="0034369A" w:rsidRPr="000C6ABF">
        <w:rPr>
          <w:lang w:val="fr-CH"/>
        </w:rPr>
        <w:t>n</w:t>
      </w:r>
      <w:r w:rsidR="00AB0C69" w:rsidRPr="000C6ABF">
        <w:rPr>
          <w:lang w:val="fr-CH"/>
        </w:rPr>
        <w:t>'</w:t>
      </w:r>
      <w:r w:rsidR="0034369A" w:rsidRPr="000C6ABF">
        <w:rPr>
          <w:lang w:val="fr-CH"/>
        </w:rPr>
        <w:t>a pas encore été mise en œuvre, le Chef de l</w:t>
      </w:r>
      <w:r w:rsidR="00AB0C69" w:rsidRPr="000C6ABF">
        <w:rPr>
          <w:lang w:val="fr-CH"/>
        </w:rPr>
        <w:t>'</w:t>
      </w:r>
      <w:r w:rsidR="0034369A" w:rsidRPr="000C6ABF">
        <w:rPr>
          <w:lang w:val="fr-CH"/>
        </w:rPr>
        <w:t>Unité de l</w:t>
      </w:r>
      <w:r w:rsidR="00AB0C69" w:rsidRPr="000C6ABF">
        <w:rPr>
          <w:lang w:val="fr-CH"/>
        </w:rPr>
        <w:t>'</w:t>
      </w:r>
      <w:r w:rsidR="0034369A" w:rsidRPr="000C6ABF">
        <w:rPr>
          <w:lang w:val="fr-CH"/>
        </w:rPr>
        <w:t>audit interne s</w:t>
      </w:r>
      <w:r w:rsidR="00AB0C69" w:rsidRPr="000C6ABF">
        <w:rPr>
          <w:lang w:val="fr-CH"/>
        </w:rPr>
        <w:t>'</w:t>
      </w:r>
      <w:r w:rsidR="0034369A" w:rsidRPr="000C6ABF">
        <w:rPr>
          <w:lang w:val="fr-CH"/>
        </w:rPr>
        <w:t>appuie sur son propre registre de risques et sur les contributions de la direction pour déterminer</w:t>
      </w:r>
      <w:r w:rsidR="00A47698" w:rsidRPr="000C6ABF">
        <w:rPr>
          <w:lang w:val="fr-CH"/>
        </w:rPr>
        <w:t xml:space="preserve"> </w:t>
      </w:r>
      <w:r w:rsidR="0034369A" w:rsidRPr="000C6ABF">
        <w:rPr>
          <w:lang w:val="fr-CH"/>
        </w:rPr>
        <w:t xml:space="preserve">les audits qui seront intégrés dans le plan de travail annuel. </w:t>
      </w:r>
    </w:p>
    <w:tbl>
      <w:tblPr>
        <w:tblStyle w:val="TableGrid"/>
        <w:tblW w:w="0" w:type="auto"/>
        <w:tblLook w:val="04A0" w:firstRow="1" w:lastRow="0" w:firstColumn="1" w:lastColumn="0" w:noHBand="0" w:noVBand="1"/>
      </w:tblPr>
      <w:tblGrid>
        <w:gridCol w:w="9629"/>
      </w:tblGrid>
      <w:tr w:rsidR="0008241E" w:rsidRPr="000C6ABF" w:rsidTr="00FB5933">
        <w:tc>
          <w:tcPr>
            <w:tcW w:w="9629" w:type="dxa"/>
          </w:tcPr>
          <w:p w:rsidR="0008241E" w:rsidRPr="000C6ABF" w:rsidRDefault="0008241E" w:rsidP="0089267E">
            <w:pPr>
              <w:spacing w:after="120"/>
              <w:rPr>
                <w:b/>
                <w:bCs/>
                <w:u w:val="single"/>
                <w:lang w:val="fr-CH"/>
              </w:rPr>
            </w:pPr>
            <w:bookmarkStart w:id="315" w:name="_Toc396386989"/>
            <w:r w:rsidRPr="000C6ABF">
              <w:rPr>
                <w:b/>
                <w:bCs/>
                <w:u w:val="single"/>
                <w:lang w:val="fr-CH"/>
              </w:rPr>
              <w:t>Recommandations N° 5</w:t>
            </w:r>
            <w:bookmarkEnd w:id="315"/>
          </w:p>
          <w:p w:rsidR="0008241E" w:rsidRPr="000C6ABF" w:rsidRDefault="0008241E" w:rsidP="00E830F1">
            <w:pPr>
              <w:spacing w:after="120"/>
              <w:rPr>
                <w:lang w:val="fr-CH"/>
              </w:rPr>
            </w:pPr>
            <w:r w:rsidRPr="000C6ABF">
              <w:rPr>
                <w:bCs/>
                <w:lang w:val="fr-CH"/>
              </w:rPr>
              <w:t>147</w:t>
            </w:r>
            <w:r w:rsidRPr="000C6ABF">
              <w:rPr>
                <w:bCs/>
                <w:lang w:val="fr-CH"/>
              </w:rPr>
              <w:tab/>
            </w:r>
            <w:r w:rsidR="0034369A" w:rsidRPr="000C6ABF">
              <w:rPr>
                <w:bCs/>
                <w:lang w:val="fr-CH"/>
              </w:rPr>
              <w:t>Même si nous s</w:t>
            </w:r>
            <w:r w:rsidR="000F2C0C" w:rsidRPr="000C6ABF">
              <w:rPr>
                <w:bCs/>
                <w:lang w:val="fr-CH"/>
              </w:rPr>
              <w:t>ommes</w:t>
            </w:r>
            <w:r w:rsidR="0034369A" w:rsidRPr="000C6ABF">
              <w:rPr>
                <w:bCs/>
                <w:lang w:val="fr-CH"/>
              </w:rPr>
              <w:t xml:space="preserve"> conscients</w:t>
            </w:r>
            <w:r w:rsidR="00A47698" w:rsidRPr="000C6ABF">
              <w:rPr>
                <w:bCs/>
                <w:lang w:val="fr-CH"/>
              </w:rPr>
              <w:t xml:space="preserve"> </w:t>
            </w:r>
            <w:r w:rsidR="0034369A" w:rsidRPr="000C6ABF">
              <w:rPr>
                <w:bCs/>
                <w:lang w:val="fr-CH"/>
              </w:rPr>
              <w:t>qu</w:t>
            </w:r>
            <w:r w:rsidR="00AB0C69" w:rsidRPr="000C6ABF">
              <w:rPr>
                <w:bCs/>
                <w:lang w:val="fr-CH"/>
              </w:rPr>
              <w:t>'</w:t>
            </w:r>
            <w:r w:rsidR="0034369A" w:rsidRPr="000C6ABF">
              <w:rPr>
                <w:bCs/>
                <w:lang w:val="fr-CH"/>
              </w:rPr>
              <w:t>il sera peut</w:t>
            </w:r>
            <w:r w:rsidR="00E830F1">
              <w:rPr>
                <w:bCs/>
                <w:lang w:val="fr-CH"/>
              </w:rPr>
              <w:t>-</w:t>
            </w:r>
            <w:r w:rsidR="0034369A" w:rsidRPr="000C6ABF">
              <w:rPr>
                <w:bCs/>
                <w:lang w:val="fr-CH"/>
              </w:rPr>
              <w:t>être difficile de réaliser une évaluation des risques sans</w:t>
            </w:r>
            <w:r w:rsidR="0089267E" w:rsidRPr="000C6ABF">
              <w:rPr>
                <w:bCs/>
                <w:lang w:val="fr-CH"/>
              </w:rPr>
              <w:t xml:space="preserve"> politique de</w:t>
            </w:r>
            <w:r w:rsidR="0034369A" w:rsidRPr="000C6ABF">
              <w:rPr>
                <w:bCs/>
                <w:lang w:val="fr-CH"/>
              </w:rPr>
              <w:t xml:space="preserve"> gestion des risques d</w:t>
            </w:r>
            <w:r w:rsidR="00AB0C69" w:rsidRPr="000C6ABF">
              <w:rPr>
                <w:bCs/>
                <w:lang w:val="fr-CH"/>
              </w:rPr>
              <w:t>'</w:t>
            </w:r>
            <w:r w:rsidR="0034369A" w:rsidRPr="000C6ABF">
              <w:rPr>
                <w:bCs/>
                <w:lang w:val="fr-CH"/>
              </w:rPr>
              <w:t>entreprise, nous recommandons à l</w:t>
            </w:r>
            <w:r w:rsidR="00AB0C69" w:rsidRPr="000C6ABF">
              <w:rPr>
                <w:bCs/>
                <w:lang w:val="fr-CH"/>
              </w:rPr>
              <w:t>'</w:t>
            </w:r>
            <w:r w:rsidR="0034369A" w:rsidRPr="000C6ABF">
              <w:rPr>
                <w:bCs/>
                <w:lang w:val="fr-CH"/>
              </w:rPr>
              <w:t>auditeur interne d</w:t>
            </w:r>
            <w:r w:rsidR="00AB0C69" w:rsidRPr="000C6ABF">
              <w:rPr>
                <w:bCs/>
                <w:lang w:val="fr-CH"/>
              </w:rPr>
              <w:t>'</w:t>
            </w:r>
            <w:r w:rsidR="0034369A" w:rsidRPr="000C6ABF">
              <w:rPr>
                <w:bCs/>
                <w:lang w:val="fr-CH"/>
              </w:rPr>
              <w:t>améliorer le processus d</w:t>
            </w:r>
            <w:r w:rsidR="00AB0C69" w:rsidRPr="000C6ABF">
              <w:rPr>
                <w:bCs/>
                <w:lang w:val="fr-CH"/>
              </w:rPr>
              <w:t>'</w:t>
            </w:r>
            <w:r w:rsidR="0034369A" w:rsidRPr="000C6ABF">
              <w:rPr>
                <w:bCs/>
                <w:lang w:val="fr-CH"/>
              </w:rPr>
              <w:t>établissement d</w:t>
            </w:r>
            <w:r w:rsidR="00AB0C69" w:rsidRPr="000C6ABF">
              <w:rPr>
                <w:bCs/>
                <w:lang w:val="fr-CH"/>
              </w:rPr>
              <w:t>'</w:t>
            </w:r>
            <w:r w:rsidR="0034369A" w:rsidRPr="000C6ABF">
              <w:rPr>
                <w:bCs/>
                <w:lang w:val="fr-CH"/>
              </w:rPr>
              <w:t>un plan d</w:t>
            </w:r>
            <w:r w:rsidR="00AB0C69" w:rsidRPr="000C6ABF">
              <w:rPr>
                <w:bCs/>
                <w:lang w:val="fr-CH"/>
              </w:rPr>
              <w:t>'</w:t>
            </w:r>
            <w:r w:rsidR="0034369A" w:rsidRPr="000C6ABF">
              <w:rPr>
                <w:bCs/>
                <w:lang w:val="fr-CH"/>
              </w:rPr>
              <w:t xml:space="preserve">audit </w:t>
            </w:r>
            <w:r w:rsidR="006B5B96" w:rsidRPr="000C6ABF">
              <w:rPr>
                <w:bCs/>
                <w:lang w:val="fr-CH"/>
              </w:rPr>
              <w:t>"</w:t>
            </w:r>
            <w:r w:rsidR="0034369A" w:rsidRPr="000C6ABF">
              <w:rPr>
                <w:bCs/>
                <w:lang w:val="fr-CH"/>
              </w:rPr>
              <w:t>basé sur les risques</w:t>
            </w:r>
            <w:r w:rsidR="006B5B96" w:rsidRPr="000C6ABF">
              <w:rPr>
                <w:bCs/>
                <w:lang w:val="fr-CH"/>
              </w:rPr>
              <w:t>"</w:t>
            </w:r>
            <w:r w:rsidR="0034369A" w:rsidRPr="000C6ABF">
              <w:rPr>
                <w:bCs/>
                <w:lang w:val="fr-CH"/>
              </w:rPr>
              <w:t xml:space="preserve"> en s</w:t>
            </w:r>
            <w:r w:rsidR="00AB0C69" w:rsidRPr="000C6ABF">
              <w:rPr>
                <w:bCs/>
                <w:lang w:val="fr-CH"/>
              </w:rPr>
              <w:t>'</w:t>
            </w:r>
            <w:r w:rsidR="0034369A" w:rsidRPr="000C6ABF">
              <w:rPr>
                <w:bCs/>
                <w:lang w:val="fr-CH"/>
              </w:rPr>
              <w:t>appuyant sur le registre des risques et sur l</w:t>
            </w:r>
            <w:r w:rsidR="00AB0C69" w:rsidRPr="000C6ABF">
              <w:rPr>
                <w:bCs/>
                <w:lang w:val="fr-CH"/>
              </w:rPr>
              <w:t>'</w:t>
            </w:r>
            <w:r w:rsidR="0034369A" w:rsidRPr="000C6ABF">
              <w:rPr>
                <w:bCs/>
                <w:lang w:val="fr-CH"/>
              </w:rPr>
              <w:t>analyse des risques (qui sera faite chaque année)</w:t>
            </w:r>
            <w:r w:rsidRPr="000C6ABF">
              <w:rPr>
                <w:bCs/>
                <w:lang w:val="fr-CH"/>
              </w:rPr>
              <w:t>.</w:t>
            </w:r>
          </w:p>
        </w:tc>
      </w:tr>
    </w:tbl>
    <w:p w:rsidR="0008241E" w:rsidRPr="000C6ABF" w:rsidRDefault="0008241E" w:rsidP="00AB0C69">
      <w:pPr>
        <w:spacing w:after="120"/>
        <w:rPr>
          <w:lang w:val="fr-CH"/>
        </w:rPr>
      </w:pPr>
    </w:p>
    <w:tbl>
      <w:tblPr>
        <w:tblStyle w:val="TableGrid"/>
        <w:tblW w:w="0" w:type="auto"/>
        <w:tblLook w:val="04A0" w:firstRow="1" w:lastRow="0" w:firstColumn="1" w:lastColumn="0" w:noHBand="0" w:noVBand="1"/>
      </w:tblPr>
      <w:tblGrid>
        <w:gridCol w:w="9629"/>
      </w:tblGrid>
      <w:tr w:rsidR="00DA1E28" w:rsidRPr="000C6ABF" w:rsidTr="00FB5933">
        <w:tc>
          <w:tcPr>
            <w:tcW w:w="9629" w:type="dxa"/>
          </w:tcPr>
          <w:p w:rsidR="00DA1E28" w:rsidRPr="000C6ABF" w:rsidRDefault="00DA1E28" w:rsidP="0089267E">
            <w:pPr>
              <w:spacing w:after="120"/>
              <w:rPr>
                <w:b/>
                <w:bCs/>
                <w:u w:val="single"/>
                <w:lang w:val="fr-CH"/>
              </w:rPr>
            </w:pPr>
            <w:r w:rsidRPr="000C6ABF">
              <w:rPr>
                <w:b/>
                <w:bCs/>
                <w:u w:val="single"/>
                <w:lang w:val="fr-CH"/>
              </w:rPr>
              <w:t>Commentaires du Secrétaire général:</w:t>
            </w:r>
          </w:p>
          <w:p w:rsidR="00DA1E28" w:rsidRPr="000C6ABF" w:rsidRDefault="0034369A" w:rsidP="00CF07C6">
            <w:pPr>
              <w:spacing w:after="120"/>
              <w:rPr>
                <w:lang w:val="fr-CH"/>
              </w:rPr>
            </w:pPr>
            <w:r w:rsidRPr="000C6ABF">
              <w:rPr>
                <w:lang w:val="fr-CH"/>
              </w:rPr>
              <w:t xml:space="preserve">Conformément à la recommandation formulée par le CCIG, </w:t>
            </w:r>
            <w:r w:rsidR="00CF07C6" w:rsidRPr="000C6ABF">
              <w:rPr>
                <w:lang w:val="fr-CH"/>
              </w:rPr>
              <w:t>l'</w:t>
            </w:r>
            <w:r w:rsidR="00E830F1" w:rsidRPr="000C6ABF">
              <w:rPr>
                <w:lang w:val="fr-CH"/>
              </w:rPr>
              <w:t>U</w:t>
            </w:r>
            <w:r w:rsidR="00CF07C6" w:rsidRPr="000C6ABF">
              <w:rPr>
                <w:lang w:val="fr-CH"/>
              </w:rPr>
              <w:t xml:space="preserve">nité de </w:t>
            </w:r>
            <w:r w:rsidRPr="000C6ABF">
              <w:rPr>
                <w:lang w:val="fr-CH"/>
              </w:rPr>
              <w:t>l</w:t>
            </w:r>
            <w:r w:rsidR="00AB0C69" w:rsidRPr="000C6ABF">
              <w:rPr>
                <w:lang w:val="fr-CH"/>
              </w:rPr>
              <w:t>'</w:t>
            </w:r>
            <w:r w:rsidRPr="000C6ABF">
              <w:rPr>
                <w:lang w:val="fr-CH"/>
              </w:rPr>
              <w:t>audit interne améliorera le processus de planification et présentera dans le plan d</w:t>
            </w:r>
            <w:r w:rsidR="00AB0C69" w:rsidRPr="000C6ABF">
              <w:rPr>
                <w:lang w:val="fr-CH"/>
              </w:rPr>
              <w:t>'</w:t>
            </w:r>
            <w:r w:rsidRPr="000C6ABF">
              <w:rPr>
                <w:lang w:val="fr-CH"/>
              </w:rPr>
              <w:t xml:space="preserve">audit </w:t>
            </w:r>
            <w:r w:rsidR="00CF07C6" w:rsidRPr="000C6ABF">
              <w:rPr>
                <w:lang w:val="fr-CH"/>
              </w:rPr>
              <w:t>l</w:t>
            </w:r>
            <w:r w:rsidRPr="000C6ABF">
              <w:rPr>
                <w:lang w:val="fr-CH"/>
              </w:rPr>
              <w:t>es éléments de l</w:t>
            </w:r>
            <w:r w:rsidR="00AB0C69" w:rsidRPr="000C6ABF">
              <w:rPr>
                <w:lang w:val="fr-CH"/>
              </w:rPr>
              <w:t>'</w:t>
            </w:r>
            <w:r w:rsidRPr="000C6ABF">
              <w:rPr>
                <w:lang w:val="fr-CH"/>
              </w:rPr>
              <w:t>analyse de</w:t>
            </w:r>
            <w:r w:rsidR="00CF07C6" w:rsidRPr="000C6ABF">
              <w:rPr>
                <w:lang w:val="fr-CH"/>
              </w:rPr>
              <w:t>s</w:t>
            </w:r>
            <w:r w:rsidRPr="000C6ABF">
              <w:rPr>
                <w:lang w:val="fr-CH"/>
              </w:rPr>
              <w:t xml:space="preserve"> risque</w:t>
            </w:r>
            <w:r w:rsidR="00CF07C6" w:rsidRPr="000C6ABF">
              <w:rPr>
                <w:lang w:val="fr-CH"/>
              </w:rPr>
              <w:t>s</w:t>
            </w:r>
            <w:r w:rsidRPr="000C6ABF">
              <w:rPr>
                <w:lang w:val="fr-CH"/>
              </w:rPr>
              <w:t xml:space="preserve"> et </w:t>
            </w:r>
            <w:r w:rsidR="00CF07C6" w:rsidRPr="000C6ABF">
              <w:rPr>
                <w:lang w:val="fr-CH"/>
              </w:rPr>
              <w:t>l</w:t>
            </w:r>
            <w:r w:rsidRPr="000C6ABF">
              <w:rPr>
                <w:lang w:val="fr-CH"/>
              </w:rPr>
              <w:t>es priorités.</w:t>
            </w:r>
          </w:p>
        </w:tc>
      </w:tr>
    </w:tbl>
    <w:p w:rsidR="00AF180E" w:rsidRPr="000C6ABF" w:rsidRDefault="0034369A" w:rsidP="00AB0C69">
      <w:pPr>
        <w:pStyle w:val="Headingb"/>
        <w:rPr>
          <w:lang w:val="fr-CH"/>
        </w:rPr>
      </w:pPr>
      <w:bookmarkStart w:id="316" w:name="_Toc398277662"/>
      <w:bookmarkStart w:id="317" w:name="_Toc392672734"/>
      <w:bookmarkStart w:id="318" w:name="_Toc396386990"/>
      <w:bookmarkStart w:id="319" w:name="_Toc396387863"/>
      <w:bookmarkStart w:id="320" w:name="_Toc396387977"/>
      <w:r w:rsidRPr="000C6ABF">
        <w:rPr>
          <w:lang w:val="fr-CH"/>
        </w:rPr>
        <w:t>Le plan de travail annuel couvre-t-il suffisamment tous les risques</w:t>
      </w:r>
      <w:r w:rsidR="00E02183" w:rsidRPr="000C6ABF">
        <w:rPr>
          <w:lang w:val="fr-CH"/>
        </w:rPr>
        <w:t>?</w:t>
      </w:r>
      <w:bookmarkEnd w:id="316"/>
      <w:r w:rsidRPr="000C6ABF">
        <w:rPr>
          <w:lang w:val="fr-CH"/>
        </w:rPr>
        <w:t xml:space="preserve"> </w:t>
      </w:r>
      <w:bookmarkEnd w:id="317"/>
      <w:bookmarkEnd w:id="318"/>
      <w:bookmarkEnd w:id="319"/>
      <w:bookmarkEnd w:id="320"/>
    </w:p>
    <w:p w:rsidR="00AF180E" w:rsidRPr="000C6ABF" w:rsidRDefault="00AF180E" w:rsidP="00CF07C6">
      <w:pPr>
        <w:rPr>
          <w:lang w:val="fr-CH"/>
        </w:rPr>
      </w:pPr>
      <w:r w:rsidRPr="000C6ABF">
        <w:rPr>
          <w:lang w:val="fr-CH"/>
        </w:rPr>
        <w:t>148</w:t>
      </w:r>
      <w:r w:rsidRPr="000C6ABF">
        <w:rPr>
          <w:lang w:val="fr-CH"/>
        </w:rPr>
        <w:tab/>
      </w:r>
      <w:r w:rsidR="00CF07C6" w:rsidRPr="000C6ABF">
        <w:rPr>
          <w:lang w:val="fr-CH"/>
        </w:rPr>
        <w:t>D</w:t>
      </w:r>
      <w:r w:rsidR="008550EC" w:rsidRPr="000C6ABF">
        <w:rPr>
          <w:lang w:val="fr-CH"/>
        </w:rPr>
        <w:t>ans le plan de travail annuel pour 2013</w:t>
      </w:r>
      <w:r w:rsidR="00CF07C6" w:rsidRPr="000C6ABF">
        <w:rPr>
          <w:lang w:val="fr-CH"/>
        </w:rPr>
        <w:t>,</w:t>
      </w:r>
      <w:r w:rsidR="008550EC" w:rsidRPr="000C6ABF">
        <w:rPr>
          <w:lang w:val="fr-CH"/>
        </w:rPr>
        <w:t xml:space="preserve"> trois audits avaient été prévu</w:t>
      </w:r>
      <w:r w:rsidR="00CF07C6" w:rsidRPr="000C6ABF">
        <w:rPr>
          <w:lang w:val="fr-CH"/>
        </w:rPr>
        <w:t>s</w:t>
      </w:r>
      <w:r w:rsidR="008550EC" w:rsidRPr="000C6ABF">
        <w:rPr>
          <w:lang w:val="fr-CH"/>
        </w:rPr>
        <w:t xml:space="preserve"> (deux d</w:t>
      </w:r>
      <w:r w:rsidR="00AB0C69" w:rsidRPr="000C6ABF">
        <w:rPr>
          <w:lang w:val="fr-CH"/>
        </w:rPr>
        <w:t>'</w:t>
      </w:r>
      <w:r w:rsidR="008550EC" w:rsidRPr="000C6ABF">
        <w:rPr>
          <w:lang w:val="fr-CH"/>
        </w:rPr>
        <w:t>entre eux concernaient les bureaux régionaux et les bureaux de zone de la</w:t>
      </w:r>
      <w:r w:rsidR="00A47698" w:rsidRPr="000C6ABF">
        <w:rPr>
          <w:lang w:val="fr-CH"/>
        </w:rPr>
        <w:t xml:space="preserve"> </w:t>
      </w:r>
      <w:r w:rsidR="008550EC" w:rsidRPr="000C6ABF">
        <w:rPr>
          <w:lang w:val="fr-CH"/>
        </w:rPr>
        <w:t>CEI et de la région Amériques). Aucun audit n</w:t>
      </w:r>
      <w:r w:rsidR="00AB0C69" w:rsidRPr="000C6ABF">
        <w:rPr>
          <w:lang w:val="fr-CH"/>
        </w:rPr>
        <w:t>'</w:t>
      </w:r>
      <w:r w:rsidR="008550EC" w:rsidRPr="000C6ABF">
        <w:rPr>
          <w:lang w:val="fr-CH"/>
        </w:rPr>
        <w:t>a été réalisé au siège de l</w:t>
      </w:r>
      <w:r w:rsidR="00AB0C69" w:rsidRPr="000C6ABF">
        <w:rPr>
          <w:lang w:val="fr-CH"/>
        </w:rPr>
        <w:t>'</w:t>
      </w:r>
      <w:r w:rsidR="008550EC" w:rsidRPr="000C6ABF">
        <w:rPr>
          <w:lang w:val="fr-CH"/>
        </w:rPr>
        <w:t>UIT au cours des deux dernières années, si ce n</w:t>
      </w:r>
      <w:r w:rsidR="00AB0C69" w:rsidRPr="000C6ABF">
        <w:rPr>
          <w:lang w:val="fr-CH"/>
        </w:rPr>
        <w:t>'</w:t>
      </w:r>
      <w:r w:rsidR="008550EC" w:rsidRPr="000C6ABF">
        <w:rPr>
          <w:lang w:val="fr-CH"/>
        </w:rPr>
        <w:t xml:space="preserve">est deux </w:t>
      </w:r>
      <w:r w:rsidR="008550EC" w:rsidRPr="000C6ABF">
        <w:rPr>
          <w:lang w:val="fr-CH"/>
        </w:rPr>
        <w:lastRenderedPageBreak/>
        <w:t xml:space="preserve">audits en 2011 sur </w:t>
      </w:r>
      <w:r w:rsidR="003072F2" w:rsidRPr="000C6ABF">
        <w:rPr>
          <w:lang w:val="fr-CH"/>
        </w:rPr>
        <w:t>"</w:t>
      </w:r>
      <w:r w:rsidR="00CF07C6" w:rsidRPr="000C6ABF">
        <w:rPr>
          <w:lang w:val="fr-CH"/>
        </w:rPr>
        <w:t>le coût</w:t>
      </w:r>
      <w:r w:rsidR="008550EC" w:rsidRPr="000C6ABF">
        <w:rPr>
          <w:lang w:val="fr-CH"/>
        </w:rPr>
        <w:t xml:space="preserve"> des publications</w:t>
      </w:r>
      <w:r w:rsidR="003072F2" w:rsidRPr="000C6ABF">
        <w:rPr>
          <w:lang w:val="fr-CH"/>
        </w:rPr>
        <w:t>"</w:t>
      </w:r>
      <w:r w:rsidR="008550EC" w:rsidRPr="000C6ABF">
        <w:rPr>
          <w:lang w:val="fr-CH"/>
        </w:rPr>
        <w:t xml:space="preserve"> et </w:t>
      </w:r>
      <w:r w:rsidR="003072F2" w:rsidRPr="000C6ABF">
        <w:rPr>
          <w:lang w:val="fr-CH"/>
        </w:rPr>
        <w:t>"</w:t>
      </w:r>
      <w:r w:rsidR="00CF07C6" w:rsidRPr="000C6ABF">
        <w:rPr>
          <w:lang w:val="fr-CH"/>
        </w:rPr>
        <w:t xml:space="preserve">les </w:t>
      </w:r>
      <w:r w:rsidR="008550EC" w:rsidRPr="000C6ABF">
        <w:rPr>
          <w:lang w:val="fr-CH"/>
        </w:rPr>
        <w:t>contributions volontaires</w:t>
      </w:r>
      <w:r w:rsidR="00E830F1">
        <w:rPr>
          <w:lang w:val="fr-CH"/>
        </w:rPr>
        <w:t>"</w:t>
      </w:r>
      <w:r w:rsidR="008550EC" w:rsidRPr="000C6ABF">
        <w:rPr>
          <w:lang w:val="fr-CH"/>
        </w:rPr>
        <w:t xml:space="preserve">. Toutefois, nous avons noté une amélioration </w:t>
      </w:r>
      <w:r w:rsidR="00CF07C6" w:rsidRPr="000C6ABF">
        <w:rPr>
          <w:lang w:val="fr-CH"/>
        </w:rPr>
        <w:t>en ce qui concerne</w:t>
      </w:r>
      <w:r w:rsidR="008550EC" w:rsidRPr="000C6ABF">
        <w:rPr>
          <w:lang w:val="fr-CH"/>
        </w:rPr>
        <w:t xml:space="preserve"> le nombre d</w:t>
      </w:r>
      <w:r w:rsidR="00AB0C69" w:rsidRPr="000C6ABF">
        <w:rPr>
          <w:lang w:val="fr-CH"/>
        </w:rPr>
        <w:t>'</w:t>
      </w:r>
      <w:r w:rsidR="008550EC" w:rsidRPr="000C6ABF">
        <w:rPr>
          <w:lang w:val="fr-CH"/>
        </w:rPr>
        <w:t>audits prévu</w:t>
      </w:r>
      <w:r w:rsidR="00CF07C6" w:rsidRPr="000C6ABF">
        <w:rPr>
          <w:lang w:val="fr-CH"/>
        </w:rPr>
        <w:t>s</w:t>
      </w:r>
      <w:r w:rsidR="008550EC" w:rsidRPr="000C6ABF">
        <w:rPr>
          <w:lang w:val="fr-CH"/>
        </w:rPr>
        <w:t xml:space="preserve"> dans </w:t>
      </w:r>
      <w:r w:rsidR="00CF07C6" w:rsidRPr="000C6ABF">
        <w:rPr>
          <w:lang w:val="fr-CH"/>
        </w:rPr>
        <w:t>le plan de travail annuel 2014.</w:t>
      </w:r>
    </w:p>
    <w:p w:rsidR="00AF180E" w:rsidRPr="000C6ABF" w:rsidRDefault="00AF180E" w:rsidP="00CF07C6">
      <w:pPr>
        <w:rPr>
          <w:lang w:val="fr-CH"/>
        </w:rPr>
      </w:pPr>
      <w:r w:rsidRPr="000C6ABF">
        <w:rPr>
          <w:lang w:val="fr-CH"/>
        </w:rPr>
        <w:t>149</w:t>
      </w:r>
      <w:r w:rsidRPr="000C6ABF">
        <w:rPr>
          <w:lang w:val="fr-CH"/>
        </w:rPr>
        <w:tab/>
      </w:r>
      <w:r w:rsidR="00CF07C6" w:rsidRPr="000C6ABF">
        <w:rPr>
          <w:lang w:val="fr-CH"/>
        </w:rPr>
        <w:t>P</w:t>
      </w:r>
      <w:r w:rsidR="008550EC" w:rsidRPr="000C6ABF">
        <w:rPr>
          <w:lang w:val="fr-CH"/>
        </w:rPr>
        <w:t>our ce qui est des auditeurs concernant les bureaux régionaux, nous avons vérifié certaines des pièces justificatives. Conformément au plan de travail annuel pour 2013, les échéances ont été respectées et les rapports ont été soumis au Secrétaire général qui les a transmis au</w:t>
      </w:r>
      <w:r w:rsidR="00CF07C6" w:rsidRPr="000C6ABF">
        <w:rPr>
          <w:lang w:val="fr-CH"/>
        </w:rPr>
        <w:t>x</w:t>
      </w:r>
      <w:r w:rsidR="008550EC" w:rsidRPr="000C6ABF">
        <w:rPr>
          <w:lang w:val="fr-CH"/>
        </w:rPr>
        <w:t xml:space="preserve"> gestionnaire</w:t>
      </w:r>
      <w:r w:rsidR="00CF07C6" w:rsidRPr="000C6ABF">
        <w:rPr>
          <w:lang w:val="fr-CH"/>
        </w:rPr>
        <w:t>s</w:t>
      </w:r>
      <w:r w:rsidR="008550EC" w:rsidRPr="000C6ABF">
        <w:rPr>
          <w:lang w:val="fr-CH"/>
        </w:rPr>
        <w:t xml:space="preserve"> concerné</w:t>
      </w:r>
      <w:r w:rsidR="00CF07C6" w:rsidRPr="000C6ABF">
        <w:rPr>
          <w:lang w:val="fr-CH"/>
        </w:rPr>
        <w:t>s</w:t>
      </w:r>
      <w:r w:rsidR="003072F2" w:rsidRPr="000C6ABF">
        <w:rPr>
          <w:lang w:val="fr-CH"/>
        </w:rPr>
        <w:t>;</w:t>
      </w:r>
      <w:r w:rsidR="008550EC" w:rsidRPr="000C6ABF">
        <w:rPr>
          <w:lang w:val="fr-CH"/>
        </w:rPr>
        <w:t xml:space="preserve"> d</w:t>
      </w:r>
      <w:r w:rsidR="00CF07C6" w:rsidRPr="000C6ABF">
        <w:rPr>
          <w:lang w:val="fr-CH"/>
        </w:rPr>
        <w:t xml:space="preserve">es </w:t>
      </w:r>
      <w:r w:rsidR="008550EC" w:rsidRPr="000C6ABF">
        <w:rPr>
          <w:lang w:val="fr-CH"/>
        </w:rPr>
        <w:t>examen</w:t>
      </w:r>
      <w:r w:rsidR="00CF07C6" w:rsidRPr="000C6ABF">
        <w:rPr>
          <w:lang w:val="fr-CH"/>
        </w:rPr>
        <w:t>s</w:t>
      </w:r>
      <w:r w:rsidR="008550EC" w:rsidRPr="000C6ABF">
        <w:rPr>
          <w:lang w:val="fr-CH"/>
        </w:rPr>
        <w:t xml:space="preserve"> préliminaire</w:t>
      </w:r>
      <w:r w:rsidR="00CF07C6" w:rsidRPr="000C6ABF">
        <w:rPr>
          <w:lang w:val="fr-CH"/>
        </w:rPr>
        <w:t>s</w:t>
      </w:r>
      <w:r w:rsidR="008550EC" w:rsidRPr="000C6ABF">
        <w:rPr>
          <w:lang w:val="fr-CH"/>
        </w:rPr>
        <w:t xml:space="preserve"> et des discussions ave</w:t>
      </w:r>
      <w:r w:rsidR="00E830F1">
        <w:rPr>
          <w:lang w:val="fr-CH"/>
        </w:rPr>
        <w:t>c la direction ont été organisé</w:t>
      </w:r>
      <w:r w:rsidR="008550EC" w:rsidRPr="000C6ABF">
        <w:rPr>
          <w:lang w:val="fr-CH"/>
        </w:rPr>
        <w:t>s</w:t>
      </w:r>
      <w:r w:rsidR="003072F2" w:rsidRPr="000C6ABF">
        <w:rPr>
          <w:lang w:val="fr-CH"/>
        </w:rPr>
        <w:t>;</w:t>
      </w:r>
      <w:r w:rsidR="008550EC" w:rsidRPr="000C6ABF">
        <w:rPr>
          <w:lang w:val="fr-CH"/>
        </w:rPr>
        <w:t xml:space="preserve"> toutes les pièces justificatives concernant les audits ont été communiqué</w:t>
      </w:r>
      <w:r w:rsidR="000F2C0C" w:rsidRPr="000C6ABF">
        <w:rPr>
          <w:lang w:val="fr-CH"/>
        </w:rPr>
        <w:t>es</w:t>
      </w:r>
      <w:r w:rsidR="008550EC" w:rsidRPr="000C6ABF">
        <w:rPr>
          <w:lang w:val="fr-CH"/>
        </w:rPr>
        <w:t xml:space="preserve"> aux personnes visées par l</w:t>
      </w:r>
      <w:r w:rsidR="00AB0C69" w:rsidRPr="000C6ABF">
        <w:rPr>
          <w:lang w:val="fr-CH"/>
        </w:rPr>
        <w:t>'</w:t>
      </w:r>
      <w:r w:rsidR="008550EC" w:rsidRPr="000C6ABF">
        <w:rPr>
          <w:lang w:val="fr-CH"/>
        </w:rPr>
        <w:t>audit, révisé</w:t>
      </w:r>
      <w:r w:rsidR="000F2C0C" w:rsidRPr="000C6ABF">
        <w:rPr>
          <w:lang w:val="fr-CH"/>
        </w:rPr>
        <w:t>e</w:t>
      </w:r>
      <w:r w:rsidR="008550EC" w:rsidRPr="000C6ABF">
        <w:rPr>
          <w:lang w:val="fr-CH"/>
        </w:rPr>
        <w:t>s et approuvé</w:t>
      </w:r>
      <w:r w:rsidR="000F2C0C" w:rsidRPr="000C6ABF">
        <w:rPr>
          <w:lang w:val="fr-CH"/>
        </w:rPr>
        <w:t>e</w:t>
      </w:r>
      <w:r w:rsidR="008550EC" w:rsidRPr="000C6ABF">
        <w:rPr>
          <w:lang w:val="fr-CH"/>
        </w:rPr>
        <w:t>s par le Chef de l</w:t>
      </w:r>
      <w:r w:rsidR="00AB0C69" w:rsidRPr="000C6ABF">
        <w:rPr>
          <w:lang w:val="fr-CH"/>
        </w:rPr>
        <w:t>'</w:t>
      </w:r>
      <w:r w:rsidR="008550EC" w:rsidRPr="000C6ABF">
        <w:rPr>
          <w:lang w:val="fr-CH"/>
        </w:rPr>
        <w:t>Unité de l</w:t>
      </w:r>
      <w:r w:rsidR="00AB0C69" w:rsidRPr="000C6ABF">
        <w:rPr>
          <w:lang w:val="fr-CH"/>
        </w:rPr>
        <w:t>'</w:t>
      </w:r>
      <w:r w:rsidR="008550EC" w:rsidRPr="000C6ABF">
        <w:rPr>
          <w:lang w:val="fr-CH"/>
        </w:rPr>
        <w:t>audit interne</w:t>
      </w:r>
      <w:r w:rsidR="003072F2" w:rsidRPr="000C6ABF">
        <w:rPr>
          <w:lang w:val="fr-CH"/>
        </w:rPr>
        <w:t>;</w:t>
      </w:r>
      <w:r w:rsidR="008550EC" w:rsidRPr="000C6ABF">
        <w:rPr>
          <w:lang w:val="fr-CH"/>
        </w:rPr>
        <w:t xml:space="preserve"> les rapports d</w:t>
      </w:r>
      <w:r w:rsidR="00AB0C69" w:rsidRPr="000C6ABF">
        <w:rPr>
          <w:lang w:val="fr-CH"/>
        </w:rPr>
        <w:t>'</w:t>
      </w:r>
      <w:r w:rsidR="008550EC" w:rsidRPr="000C6ABF">
        <w:rPr>
          <w:lang w:val="fr-CH"/>
        </w:rPr>
        <w:t xml:space="preserve">audit comportaient des recommandations qui </w:t>
      </w:r>
      <w:r w:rsidR="00CF07C6" w:rsidRPr="000C6ABF">
        <w:rPr>
          <w:lang w:val="fr-CH"/>
        </w:rPr>
        <w:t xml:space="preserve">toutes </w:t>
      </w:r>
      <w:r w:rsidR="008550EC" w:rsidRPr="000C6ABF">
        <w:rPr>
          <w:lang w:val="fr-CH"/>
        </w:rPr>
        <w:t xml:space="preserve">ont été acceptées par la direction. </w:t>
      </w:r>
    </w:p>
    <w:p w:rsidR="00AF180E" w:rsidRPr="000C6ABF" w:rsidRDefault="00AF180E" w:rsidP="00CF07C6">
      <w:pPr>
        <w:rPr>
          <w:lang w:val="fr-CH"/>
        </w:rPr>
      </w:pPr>
      <w:r w:rsidRPr="000C6ABF">
        <w:rPr>
          <w:lang w:val="fr-CH"/>
        </w:rPr>
        <w:t>150</w:t>
      </w:r>
      <w:r w:rsidRPr="000C6ABF">
        <w:rPr>
          <w:lang w:val="fr-CH"/>
        </w:rPr>
        <w:tab/>
      </w:r>
      <w:r w:rsidR="008550EC" w:rsidRPr="000C6ABF">
        <w:rPr>
          <w:lang w:val="fr-CH"/>
        </w:rPr>
        <w:t>En fait</w:t>
      </w:r>
      <w:r w:rsidR="00CF07C6" w:rsidRPr="000C6ABF">
        <w:rPr>
          <w:lang w:val="fr-CH"/>
        </w:rPr>
        <w:t>,</w:t>
      </w:r>
      <w:r w:rsidR="008550EC" w:rsidRPr="000C6ABF">
        <w:rPr>
          <w:lang w:val="fr-CH"/>
        </w:rPr>
        <w:t xml:space="preserve"> nous avons l</w:t>
      </w:r>
      <w:r w:rsidR="00AB0C69" w:rsidRPr="000C6ABF">
        <w:rPr>
          <w:lang w:val="fr-CH"/>
        </w:rPr>
        <w:t>'</w:t>
      </w:r>
      <w:r w:rsidR="008550EC" w:rsidRPr="000C6ABF">
        <w:rPr>
          <w:lang w:val="fr-CH"/>
        </w:rPr>
        <w:t xml:space="preserve">an dernier également utilisé certaine des conclusions concernant les bureaux régionaux. </w:t>
      </w:r>
    </w:p>
    <w:p w:rsidR="005D6DA8" w:rsidRPr="000C6ABF" w:rsidRDefault="00AF180E" w:rsidP="00E830F1">
      <w:pPr>
        <w:spacing w:after="120"/>
        <w:rPr>
          <w:lang w:val="fr-CH"/>
        </w:rPr>
      </w:pPr>
      <w:r w:rsidRPr="000C6ABF">
        <w:rPr>
          <w:lang w:val="fr-CH"/>
        </w:rPr>
        <w:t>151</w:t>
      </w:r>
      <w:r w:rsidRPr="000C6ABF">
        <w:rPr>
          <w:lang w:val="fr-CH"/>
        </w:rPr>
        <w:tab/>
      </w:r>
      <w:r w:rsidR="00CF07C6" w:rsidRPr="000C6ABF">
        <w:rPr>
          <w:lang w:val="fr-CH"/>
        </w:rPr>
        <w:t>P</w:t>
      </w:r>
      <w:r w:rsidR="008550EC" w:rsidRPr="000C6ABF">
        <w:rPr>
          <w:lang w:val="fr-CH"/>
        </w:rPr>
        <w:t xml:space="preserve">ar ailleurs, nous relevons que, à la suite de la </w:t>
      </w:r>
      <w:r w:rsidR="00E830F1" w:rsidRPr="000C6ABF">
        <w:rPr>
          <w:lang w:val="fr-CH"/>
        </w:rPr>
        <w:t>R</w:t>
      </w:r>
      <w:r w:rsidR="00CF07C6" w:rsidRPr="000C6ABF">
        <w:rPr>
          <w:lang w:val="fr-CH"/>
        </w:rPr>
        <w:t>ecommandation</w:t>
      </w:r>
      <w:r w:rsidR="008550EC" w:rsidRPr="000C6ABF">
        <w:rPr>
          <w:lang w:val="fr-CH"/>
        </w:rPr>
        <w:t xml:space="preserve"> </w:t>
      </w:r>
      <w:r w:rsidR="00CF07C6" w:rsidRPr="000C6ABF">
        <w:rPr>
          <w:lang w:val="fr-CH"/>
        </w:rPr>
        <w:t>N°</w:t>
      </w:r>
      <w:r w:rsidR="008550EC" w:rsidRPr="000C6ABF">
        <w:rPr>
          <w:lang w:val="fr-CH"/>
        </w:rPr>
        <w:t xml:space="preserve"> 1 du CCIG figurant dans le second rapport annuel </w:t>
      </w:r>
      <w:r w:rsidRPr="000C6ABF">
        <w:rPr>
          <w:lang w:val="fr-CH"/>
        </w:rPr>
        <w:t>(</w:t>
      </w:r>
      <w:r w:rsidR="00CF07C6" w:rsidRPr="000C6ABF">
        <w:rPr>
          <w:lang w:val="fr-CH"/>
        </w:rPr>
        <w:t>Document</w:t>
      </w:r>
      <w:r w:rsidRPr="000C6ABF">
        <w:rPr>
          <w:lang w:val="fr-CH"/>
        </w:rPr>
        <w:t xml:space="preserve"> C13/65),</w:t>
      </w:r>
      <w:r w:rsidR="008550EC" w:rsidRPr="000C6ABF">
        <w:rPr>
          <w:lang w:val="fr-CH"/>
        </w:rPr>
        <w:t xml:space="preserve"> le plan de travail annuel concernant l</w:t>
      </w:r>
      <w:r w:rsidR="00AB0C69" w:rsidRPr="000C6ABF">
        <w:rPr>
          <w:lang w:val="fr-CH"/>
        </w:rPr>
        <w:t>'</w:t>
      </w:r>
      <w:r w:rsidR="008550EC" w:rsidRPr="000C6ABF">
        <w:rPr>
          <w:lang w:val="fr-CH"/>
        </w:rPr>
        <w:t xml:space="preserve">audit interne pour 2014 a été soumis au CCIG avant </w:t>
      </w:r>
      <w:r w:rsidR="00CF07C6" w:rsidRPr="000C6ABF">
        <w:rPr>
          <w:lang w:val="fr-CH"/>
        </w:rPr>
        <w:t>qu'il ne soit</w:t>
      </w:r>
      <w:r w:rsidR="008550EC" w:rsidRPr="000C6ABF">
        <w:rPr>
          <w:lang w:val="fr-CH"/>
        </w:rPr>
        <w:t xml:space="preserve"> approuvé par le Secrétaire général.</w:t>
      </w:r>
    </w:p>
    <w:tbl>
      <w:tblPr>
        <w:tblStyle w:val="TableGrid"/>
        <w:tblW w:w="0" w:type="auto"/>
        <w:tblLook w:val="04A0" w:firstRow="1" w:lastRow="0" w:firstColumn="1" w:lastColumn="0" w:noHBand="0" w:noVBand="1"/>
      </w:tblPr>
      <w:tblGrid>
        <w:gridCol w:w="9629"/>
      </w:tblGrid>
      <w:tr w:rsidR="005D6DA8" w:rsidRPr="000C6ABF" w:rsidTr="00E12F57">
        <w:tc>
          <w:tcPr>
            <w:tcW w:w="9629" w:type="dxa"/>
          </w:tcPr>
          <w:p w:rsidR="005D6DA8" w:rsidRPr="000C6ABF" w:rsidRDefault="005D6DA8" w:rsidP="00E02183">
            <w:pPr>
              <w:spacing w:after="120"/>
              <w:rPr>
                <w:b/>
                <w:bCs/>
                <w:u w:val="single"/>
                <w:lang w:val="fr-CH"/>
              </w:rPr>
            </w:pPr>
            <w:r w:rsidRPr="000C6ABF">
              <w:rPr>
                <w:b/>
                <w:bCs/>
                <w:u w:val="single"/>
                <w:lang w:val="fr-CH"/>
              </w:rPr>
              <w:t>Suggestion N° 6</w:t>
            </w:r>
          </w:p>
          <w:p w:rsidR="005D6DA8" w:rsidRPr="000C6ABF" w:rsidRDefault="005D6DA8" w:rsidP="00E830F1">
            <w:pPr>
              <w:spacing w:after="120"/>
              <w:rPr>
                <w:lang w:val="fr-CH"/>
              </w:rPr>
            </w:pPr>
            <w:r w:rsidRPr="000C6ABF">
              <w:rPr>
                <w:bCs/>
                <w:lang w:val="fr-CH"/>
              </w:rPr>
              <w:t>152</w:t>
            </w:r>
            <w:r w:rsidRPr="000C6ABF">
              <w:rPr>
                <w:bCs/>
                <w:lang w:val="fr-CH"/>
              </w:rPr>
              <w:tab/>
            </w:r>
            <w:r w:rsidR="008550EC" w:rsidRPr="000C6ABF">
              <w:rPr>
                <w:bCs/>
                <w:lang w:val="fr-CH"/>
              </w:rPr>
              <w:t xml:space="preserve">Compte tenu de notre </w:t>
            </w:r>
            <w:r w:rsidR="00E830F1" w:rsidRPr="000C6ABF">
              <w:rPr>
                <w:bCs/>
                <w:lang w:val="fr-CH"/>
              </w:rPr>
              <w:t>R</w:t>
            </w:r>
            <w:r w:rsidR="008550EC" w:rsidRPr="000C6ABF">
              <w:rPr>
                <w:bCs/>
                <w:lang w:val="fr-CH"/>
              </w:rPr>
              <w:t xml:space="preserve">ecommandation </w:t>
            </w:r>
            <w:r w:rsidR="00CF07C6" w:rsidRPr="000C6ABF">
              <w:rPr>
                <w:bCs/>
                <w:lang w:val="fr-CH"/>
              </w:rPr>
              <w:t>N°</w:t>
            </w:r>
            <w:r w:rsidR="008550EC" w:rsidRPr="000C6ABF">
              <w:rPr>
                <w:bCs/>
                <w:lang w:val="fr-CH"/>
              </w:rPr>
              <w:t xml:space="preserve"> 5 précédente, il est</w:t>
            </w:r>
            <w:r w:rsidR="00CF07C6" w:rsidRPr="000C6ABF">
              <w:rPr>
                <w:bCs/>
                <w:lang w:val="fr-CH"/>
              </w:rPr>
              <w:t>,</w:t>
            </w:r>
            <w:r w:rsidR="008550EC" w:rsidRPr="000C6ABF">
              <w:rPr>
                <w:bCs/>
                <w:lang w:val="fr-CH"/>
              </w:rPr>
              <w:t xml:space="preserve"> à notre sens</w:t>
            </w:r>
            <w:r w:rsidR="00CF07C6" w:rsidRPr="000C6ABF">
              <w:rPr>
                <w:bCs/>
                <w:lang w:val="fr-CH"/>
              </w:rPr>
              <w:t>,</w:t>
            </w:r>
            <w:r w:rsidR="008550EC" w:rsidRPr="000C6ABF">
              <w:rPr>
                <w:bCs/>
                <w:lang w:val="fr-CH"/>
              </w:rPr>
              <w:t xml:space="preserve"> important de l</w:t>
            </w:r>
            <w:r w:rsidR="000F2C0C" w:rsidRPr="000C6ABF">
              <w:rPr>
                <w:bCs/>
                <w:lang w:val="fr-CH"/>
              </w:rPr>
              <w:t>ier</w:t>
            </w:r>
            <w:r w:rsidR="008550EC" w:rsidRPr="000C6ABF">
              <w:rPr>
                <w:bCs/>
                <w:lang w:val="fr-CH"/>
              </w:rPr>
              <w:t xml:space="preserve"> activité et risque. Même si nous avons noté </w:t>
            </w:r>
            <w:r w:rsidR="00CF07C6" w:rsidRPr="000C6ABF">
              <w:rPr>
                <w:bCs/>
                <w:lang w:val="fr-CH"/>
              </w:rPr>
              <w:t>que le plan de travail annuel 2014 prévoya</w:t>
            </w:r>
            <w:r w:rsidR="00E830F1">
              <w:rPr>
                <w:bCs/>
                <w:lang w:val="fr-CH"/>
              </w:rPr>
              <w:t>i</w:t>
            </w:r>
            <w:r w:rsidR="00CF07C6" w:rsidRPr="000C6ABF">
              <w:rPr>
                <w:bCs/>
                <w:lang w:val="fr-CH"/>
              </w:rPr>
              <w:t xml:space="preserve">t </w:t>
            </w:r>
            <w:r w:rsidR="008550EC" w:rsidRPr="000C6ABF">
              <w:rPr>
                <w:bCs/>
                <w:lang w:val="fr-CH"/>
              </w:rPr>
              <w:t>un plus grand nombre d</w:t>
            </w:r>
            <w:r w:rsidR="00AB0C69" w:rsidRPr="000C6ABF">
              <w:rPr>
                <w:bCs/>
                <w:lang w:val="fr-CH"/>
              </w:rPr>
              <w:t>'</w:t>
            </w:r>
            <w:r w:rsidR="008550EC" w:rsidRPr="000C6ABF">
              <w:rPr>
                <w:bCs/>
                <w:lang w:val="fr-CH"/>
              </w:rPr>
              <w:t xml:space="preserve">audits au </w:t>
            </w:r>
            <w:r w:rsidR="008F7439">
              <w:rPr>
                <w:bCs/>
                <w:lang w:val="fr-CH"/>
              </w:rPr>
              <w:t>s</w:t>
            </w:r>
            <w:r w:rsidR="008550EC" w:rsidRPr="000C6ABF">
              <w:rPr>
                <w:bCs/>
                <w:lang w:val="fr-CH"/>
              </w:rPr>
              <w:t>iège, nous suggérons à l</w:t>
            </w:r>
            <w:r w:rsidR="00AB0C69" w:rsidRPr="000C6ABF">
              <w:rPr>
                <w:bCs/>
                <w:lang w:val="fr-CH"/>
              </w:rPr>
              <w:t>'</w:t>
            </w:r>
            <w:r w:rsidR="008550EC" w:rsidRPr="000C6ABF">
              <w:rPr>
                <w:bCs/>
                <w:lang w:val="fr-CH"/>
              </w:rPr>
              <w:t>Unité de l</w:t>
            </w:r>
            <w:r w:rsidR="00AB0C69" w:rsidRPr="000C6ABF">
              <w:rPr>
                <w:bCs/>
                <w:lang w:val="fr-CH"/>
              </w:rPr>
              <w:t>'</w:t>
            </w:r>
            <w:r w:rsidR="008550EC" w:rsidRPr="000C6ABF">
              <w:rPr>
                <w:bCs/>
                <w:lang w:val="fr-CH"/>
              </w:rPr>
              <w:t xml:space="preserve">audit interne </w:t>
            </w:r>
            <w:r w:rsidR="000F2C0C" w:rsidRPr="000C6ABF">
              <w:rPr>
                <w:bCs/>
                <w:lang w:val="fr-CH"/>
              </w:rPr>
              <w:t>d</w:t>
            </w:r>
            <w:r w:rsidR="00AB0C69" w:rsidRPr="000C6ABF">
              <w:rPr>
                <w:bCs/>
                <w:lang w:val="fr-CH"/>
              </w:rPr>
              <w:t>'</w:t>
            </w:r>
            <w:r w:rsidR="000F2C0C" w:rsidRPr="000C6ABF">
              <w:rPr>
                <w:bCs/>
                <w:lang w:val="fr-CH"/>
              </w:rPr>
              <w:t>indiquer</w:t>
            </w:r>
            <w:r w:rsidR="008550EC" w:rsidRPr="000C6ABF">
              <w:rPr>
                <w:bCs/>
                <w:lang w:val="fr-CH"/>
              </w:rPr>
              <w:t xml:space="preserve"> au Secrétaire général et au CCIG, au cours de l</w:t>
            </w:r>
            <w:r w:rsidR="00AB0C69" w:rsidRPr="000C6ABF">
              <w:rPr>
                <w:bCs/>
                <w:lang w:val="fr-CH"/>
              </w:rPr>
              <w:t>'</w:t>
            </w:r>
            <w:r w:rsidR="008550EC" w:rsidRPr="000C6ABF">
              <w:rPr>
                <w:bCs/>
                <w:lang w:val="fr-CH"/>
              </w:rPr>
              <w:t>exercice d</w:t>
            </w:r>
            <w:r w:rsidR="00AB0C69" w:rsidRPr="000C6ABF">
              <w:rPr>
                <w:bCs/>
                <w:lang w:val="fr-CH"/>
              </w:rPr>
              <w:t>'</w:t>
            </w:r>
            <w:r w:rsidR="008550EC" w:rsidRPr="000C6ABF">
              <w:rPr>
                <w:bCs/>
                <w:lang w:val="fr-CH"/>
              </w:rPr>
              <w:t>approbation du plan de travail annuel, si le nombre d</w:t>
            </w:r>
            <w:r w:rsidR="00AB0C69" w:rsidRPr="000C6ABF">
              <w:rPr>
                <w:bCs/>
                <w:lang w:val="fr-CH"/>
              </w:rPr>
              <w:t>'</w:t>
            </w:r>
            <w:r w:rsidR="008550EC" w:rsidRPr="000C6ABF">
              <w:rPr>
                <w:bCs/>
                <w:lang w:val="fr-CH"/>
              </w:rPr>
              <w:t xml:space="preserve">audits prévus est suffisant pour couvrir </w:t>
            </w:r>
            <w:r w:rsidR="00CF07C6" w:rsidRPr="000C6ABF">
              <w:rPr>
                <w:bCs/>
                <w:lang w:val="fr-CH"/>
              </w:rPr>
              <w:t>l</w:t>
            </w:r>
            <w:r w:rsidR="008550EC" w:rsidRPr="000C6ABF">
              <w:rPr>
                <w:bCs/>
                <w:lang w:val="fr-CH"/>
              </w:rPr>
              <w:t>es principaux risques identifiés.</w:t>
            </w:r>
          </w:p>
        </w:tc>
      </w:tr>
    </w:tbl>
    <w:p w:rsidR="005D6DA8" w:rsidRPr="000C6ABF" w:rsidRDefault="005D6DA8" w:rsidP="00E830F1">
      <w:pPr>
        <w:rPr>
          <w:lang w:val="fr-CH"/>
        </w:rPr>
      </w:pPr>
    </w:p>
    <w:tbl>
      <w:tblPr>
        <w:tblStyle w:val="TableGrid"/>
        <w:tblW w:w="0" w:type="auto"/>
        <w:tblLook w:val="04A0" w:firstRow="1" w:lastRow="0" w:firstColumn="1" w:lastColumn="0" w:noHBand="0" w:noVBand="1"/>
      </w:tblPr>
      <w:tblGrid>
        <w:gridCol w:w="9629"/>
      </w:tblGrid>
      <w:tr w:rsidR="005D6DA8" w:rsidRPr="000C6ABF" w:rsidTr="00E12F57">
        <w:tc>
          <w:tcPr>
            <w:tcW w:w="9629" w:type="dxa"/>
          </w:tcPr>
          <w:p w:rsidR="005D6DA8" w:rsidRPr="000C6ABF" w:rsidRDefault="005D6DA8" w:rsidP="00E02183">
            <w:pPr>
              <w:keepNext/>
              <w:keepLines/>
              <w:spacing w:after="120"/>
              <w:rPr>
                <w:b/>
                <w:bCs/>
                <w:u w:val="single"/>
                <w:lang w:val="fr-CH"/>
              </w:rPr>
            </w:pPr>
            <w:r w:rsidRPr="000C6ABF">
              <w:rPr>
                <w:b/>
                <w:bCs/>
                <w:u w:val="single"/>
                <w:lang w:val="fr-CH"/>
              </w:rPr>
              <w:t>Commentaires du Secrétaire général:</w:t>
            </w:r>
          </w:p>
          <w:p w:rsidR="005D6DA8" w:rsidRPr="000C6ABF" w:rsidRDefault="008550EC" w:rsidP="00E02183">
            <w:pPr>
              <w:keepNext/>
              <w:keepLines/>
              <w:spacing w:after="120"/>
              <w:rPr>
                <w:lang w:val="fr-CH"/>
              </w:rPr>
            </w:pPr>
            <w:r w:rsidRPr="000C6ABF">
              <w:rPr>
                <w:lang w:val="fr-CH"/>
              </w:rPr>
              <w:t>La finalité de l</w:t>
            </w:r>
            <w:r w:rsidR="00AB0C69" w:rsidRPr="000C6ABF">
              <w:rPr>
                <w:lang w:val="fr-CH"/>
              </w:rPr>
              <w:t>'</w:t>
            </w:r>
            <w:r w:rsidRPr="000C6ABF">
              <w:rPr>
                <w:lang w:val="fr-CH"/>
              </w:rPr>
              <w:t xml:space="preserve">audit interne </w:t>
            </w:r>
            <w:r w:rsidR="00E02183" w:rsidRPr="000C6ABF">
              <w:rPr>
                <w:lang w:val="fr-CH"/>
              </w:rPr>
              <w:t xml:space="preserve">sera d'indiquer au </w:t>
            </w:r>
            <w:r w:rsidRPr="000C6ABF">
              <w:rPr>
                <w:lang w:val="fr-CH"/>
              </w:rPr>
              <w:t>Secrétaire gé</w:t>
            </w:r>
            <w:r w:rsidR="00E2628A" w:rsidRPr="000C6ABF">
              <w:rPr>
                <w:lang w:val="fr-CH"/>
              </w:rPr>
              <w:t xml:space="preserve">néral et </w:t>
            </w:r>
            <w:r w:rsidR="00E02183" w:rsidRPr="000C6ABF">
              <w:rPr>
                <w:lang w:val="fr-CH"/>
              </w:rPr>
              <w:t xml:space="preserve">au </w:t>
            </w:r>
            <w:r w:rsidRPr="000C6ABF">
              <w:rPr>
                <w:lang w:val="fr-CH"/>
              </w:rPr>
              <w:t>CCIG</w:t>
            </w:r>
            <w:r w:rsidR="00E2628A" w:rsidRPr="000C6ABF">
              <w:rPr>
                <w:lang w:val="fr-CH"/>
              </w:rPr>
              <w:t xml:space="preserve"> </w:t>
            </w:r>
            <w:r w:rsidR="00E02183" w:rsidRPr="000C6ABF">
              <w:rPr>
                <w:lang w:val="fr-CH"/>
              </w:rPr>
              <w:t xml:space="preserve">si des "lacunes" ont été identifiées </w:t>
            </w:r>
            <w:r w:rsidR="00E2628A" w:rsidRPr="000C6ABF">
              <w:rPr>
                <w:lang w:val="fr-CH"/>
              </w:rPr>
              <w:t>dans la couverture de l</w:t>
            </w:r>
            <w:r w:rsidR="00AB0C69" w:rsidRPr="000C6ABF">
              <w:rPr>
                <w:lang w:val="fr-CH"/>
              </w:rPr>
              <w:t>'</w:t>
            </w:r>
            <w:r w:rsidR="00E2628A" w:rsidRPr="000C6ABF">
              <w:rPr>
                <w:lang w:val="fr-CH"/>
              </w:rPr>
              <w:t xml:space="preserve">audit. </w:t>
            </w:r>
          </w:p>
        </w:tc>
      </w:tr>
    </w:tbl>
    <w:p w:rsidR="005D6DA8" w:rsidRPr="000C6ABF" w:rsidRDefault="005D6DA8" w:rsidP="00AB0C69">
      <w:pPr>
        <w:spacing w:after="120"/>
        <w:rPr>
          <w:lang w:val="fr-CH"/>
        </w:rPr>
      </w:pPr>
    </w:p>
    <w:tbl>
      <w:tblPr>
        <w:tblStyle w:val="TableGrid"/>
        <w:tblW w:w="0" w:type="auto"/>
        <w:tblLook w:val="04A0" w:firstRow="1" w:lastRow="0" w:firstColumn="1" w:lastColumn="0" w:noHBand="0" w:noVBand="1"/>
      </w:tblPr>
      <w:tblGrid>
        <w:gridCol w:w="9629"/>
      </w:tblGrid>
      <w:tr w:rsidR="005D6DA8" w:rsidRPr="000C6ABF" w:rsidTr="00E12F57">
        <w:tc>
          <w:tcPr>
            <w:tcW w:w="9629" w:type="dxa"/>
          </w:tcPr>
          <w:p w:rsidR="005D6DA8" w:rsidRPr="000C6ABF" w:rsidRDefault="005D6DA8" w:rsidP="00AB0C69">
            <w:pPr>
              <w:rPr>
                <w:b/>
                <w:bCs/>
                <w:u w:val="single"/>
                <w:lang w:val="fr-CH"/>
              </w:rPr>
            </w:pPr>
            <w:r w:rsidRPr="000C6ABF">
              <w:rPr>
                <w:b/>
                <w:bCs/>
                <w:u w:val="single"/>
                <w:lang w:val="fr-CH"/>
              </w:rPr>
              <w:t>Suggestion N° 7</w:t>
            </w:r>
          </w:p>
          <w:p w:rsidR="005D6DA8" w:rsidRPr="000C6ABF" w:rsidRDefault="005D6DA8" w:rsidP="00E02183">
            <w:pPr>
              <w:rPr>
                <w:lang w:val="fr-CH"/>
              </w:rPr>
            </w:pPr>
            <w:r w:rsidRPr="000C6ABF">
              <w:rPr>
                <w:bCs/>
                <w:lang w:val="fr-CH"/>
              </w:rPr>
              <w:t>153</w:t>
            </w:r>
            <w:r w:rsidRPr="000C6ABF">
              <w:rPr>
                <w:bCs/>
                <w:lang w:val="fr-CH"/>
              </w:rPr>
              <w:tab/>
            </w:r>
            <w:r w:rsidR="00E2628A" w:rsidRPr="000C6ABF">
              <w:rPr>
                <w:bCs/>
                <w:lang w:val="fr-CH"/>
              </w:rPr>
              <w:t xml:space="preserve">Compte tenu de notre </w:t>
            </w:r>
            <w:r w:rsidR="00E830F1" w:rsidRPr="000C6ABF">
              <w:rPr>
                <w:bCs/>
                <w:lang w:val="fr-CH"/>
              </w:rPr>
              <w:t>R</w:t>
            </w:r>
            <w:r w:rsidR="00E2628A" w:rsidRPr="000C6ABF">
              <w:rPr>
                <w:bCs/>
                <w:lang w:val="fr-CH"/>
              </w:rPr>
              <w:t xml:space="preserve">ecommandation </w:t>
            </w:r>
            <w:r w:rsidR="00E02183" w:rsidRPr="000C6ABF">
              <w:rPr>
                <w:bCs/>
                <w:lang w:val="fr-CH"/>
              </w:rPr>
              <w:t>N°</w:t>
            </w:r>
            <w:r w:rsidR="00E2628A" w:rsidRPr="000C6ABF">
              <w:rPr>
                <w:bCs/>
                <w:lang w:val="fr-CH"/>
              </w:rPr>
              <w:t xml:space="preserve"> 5 </w:t>
            </w:r>
            <w:r w:rsidR="000F2C0C" w:rsidRPr="000C6ABF">
              <w:rPr>
                <w:bCs/>
                <w:lang w:val="fr-CH"/>
              </w:rPr>
              <w:t>précédente,</w:t>
            </w:r>
            <w:r w:rsidR="00E2628A" w:rsidRPr="000C6ABF">
              <w:rPr>
                <w:bCs/>
                <w:lang w:val="fr-CH"/>
              </w:rPr>
              <w:t xml:space="preserve"> étant donné qu</w:t>
            </w:r>
            <w:r w:rsidR="00AB0C69" w:rsidRPr="000C6ABF">
              <w:rPr>
                <w:bCs/>
                <w:lang w:val="fr-CH"/>
              </w:rPr>
              <w:t>'</w:t>
            </w:r>
            <w:r w:rsidR="00E2628A" w:rsidRPr="000C6ABF">
              <w:rPr>
                <w:bCs/>
                <w:lang w:val="fr-CH"/>
              </w:rPr>
              <w:t xml:space="preserve">il pourrait être difficile de couvrir tous les risques </w:t>
            </w:r>
            <w:r w:rsidR="00E02183" w:rsidRPr="000C6ABF">
              <w:rPr>
                <w:bCs/>
                <w:lang w:val="fr-CH"/>
              </w:rPr>
              <w:t>recensés</w:t>
            </w:r>
            <w:r w:rsidR="00E2628A" w:rsidRPr="000C6ABF">
              <w:rPr>
                <w:bCs/>
                <w:lang w:val="fr-CH"/>
              </w:rPr>
              <w:t xml:space="preserve"> pendant une année donnée, nous suggérons que l</w:t>
            </w:r>
            <w:r w:rsidR="00AB0C69" w:rsidRPr="000C6ABF">
              <w:rPr>
                <w:bCs/>
                <w:lang w:val="fr-CH"/>
              </w:rPr>
              <w:t>'</w:t>
            </w:r>
            <w:r w:rsidR="00E2628A" w:rsidRPr="000C6ABF">
              <w:rPr>
                <w:bCs/>
                <w:lang w:val="fr-CH"/>
              </w:rPr>
              <w:t>auditeur interne présent</w:t>
            </w:r>
            <w:r w:rsidR="00E02183" w:rsidRPr="000C6ABF">
              <w:rPr>
                <w:bCs/>
                <w:lang w:val="fr-CH"/>
              </w:rPr>
              <w:t>e</w:t>
            </w:r>
            <w:r w:rsidR="00E2628A" w:rsidRPr="000C6ABF">
              <w:rPr>
                <w:bCs/>
                <w:lang w:val="fr-CH"/>
              </w:rPr>
              <w:t xml:space="preserve"> un plan de travail pluriannuel prévoyant un nombre d</w:t>
            </w:r>
            <w:r w:rsidR="00AB0C69" w:rsidRPr="000C6ABF">
              <w:rPr>
                <w:bCs/>
                <w:lang w:val="fr-CH"/>
              </w:rPr>
              <w:t>'</w:t>
            </w:r>
            <w:r w:rsidR="00E02183" w:rsidRPr="000C6ABF">
              <w:rPr>
                <w:bCs/>
                <w:lang w:val="fr-CH"/>
              </w:rPr>
              <w:t>audits suffisant</w:t>
            </w:r>
            <w:r w:rsidR="00E2628A" w:rsidRPr="000C6ABF">
              <w:rPr>
                <w:bCs/>
                <w:lang w:val="fr-CH"/>
              </w:rPr>
              <w:t xml:space="preserve"> pour couvrir, sur une période donnée, les risques majeurs identifiés</w:t>
            </w:r>
            <w:r w:rsidRPr="000C6ABF">
              <w:rPr>
                <w:bCs/>
                <w:lang w:val="fr-CH"/>
              </w:rPr>
              <w:t>.</w:t>
            </w:r>
          </w:p>
        </w:tc>
      </w:tr>
    </w:tbl>
    <w:p w:rsidR="005D6DA8" w:rsidRPr="000C6ABF" w:rsidRDefault="005D6DA8" w:rsidP="00E830F1">
      <w:pPr>
        <w:rPr>
          <w:lang w:val="fr-CH"/>
        </w:rPr>
      </w:pPr>
      <w:bookmarkStart w:id="321" w:name="_Toc392672735"/>
    </w:p>
    <w:tbl>
      <w:tblPr>
        <w:tblStyle w:val="TableGrid"/>
        <w:tblW w:w="0" w:type="auto"/>
        <w:tblLook w:val="04A0" w:firstRow="1" w:lastRow="0" w:firstColumn="1" w:lastColumn="0" w:noHBand="0" w:noVBand="1"/>
      </w:tblPr>
      <w:tblGrid>
        <w:gridCol w:w="9629"/>
      </w:tblGrid>
      <w:tr w:rsidR="005D6DA8" w:rsidRPr="000C6ABF" w:rsidTr="00E12F57">
        <w:tc>
          <w:tcPr>
            <w:tcW w:w="9629" w:type="dxa"/>
          </w:tcPr>
          <w:p w:rsidR="005D6DA8" w:rsidRPr="000C6ABF" w:rsidRDefault="005D6DA8" w:rsidP="00AB0C69">
            <w:pPr>
              <w:rPr>
                <w:b/>
                <w:bCs/>
                <w:u w:val="single"/>
                <w:lang w:val="fr-CH"/>
              </w:rPr>
            </w:pPr>
            <w:r w:rsidRPr="000C6ABF">
              <w:rPr>
                <w:b/>
                <w:bCs/>
                <w:u w:val="single"/>
                <w:lang w:val="fr-CH"/>
              </w:rPr>
              <w:t>Commentaires du Secrétaire général:</w:t>
            </w:r>
          </w:p>
          <w:p w:rsidR="005D6DA8" w:rsidRPr="000C6ABF" w:rsidRDefault="00E2628A" w:rsidP="00E02183">
            <w:pPr>
              <w:rPr>
                <w:lang w:val="fr-CH"/>
              </w:rPr>
            </w:pPr>
            <w:r w:rsidRPr="000C6ABF">
              <w:rPr>
                <w:lang w:val="fr-CH"/>
              </w:rPr>
              <w:t>L</w:t>
            </w:r>
            <w:r w:rsidR="00AB0C69" w:rsidRPr="000C6ABF">
              <w:rPr>
                <w:lang w:val="fr-CH"/>
              </w:rPr>
              <w:t>'</w:t>
            </w:r>
            <w:r w:rsidRPr="000C6ABF">
              <w:rPr>
                <w:lang w:val="fr-CH"/>
              </w:rPr>
              <w:t>Auditeur interne s</w:t>
            </w:r>
            <w:r w:rsidR="00AB0C69" w:rsidRPr="000C6ABF">
              <w:rPr>
                <w:lang w:val="fr-CH"/>
              </w:rPr>
              <w:t>'</w:t>
            </w:r>
            <w:r w:rsidRPr="000C6ABF">
              <w:rPr>
                <w:lang w:val="fr-CH"/>
              </w:rPr>
              <w:t>efforcera de planifier l</w:t>
            </w:r>
            <w:r w:rsidR="00AB0C69" w:rsidRPr="000C6ABF">
              <w:rPr>
                <w:lang w:val="fr-CH"/>
              </w:rPr>
              <w:t>'</w:t>
            </w:r>
            <w:r w:rsidRPr="000C6ABF">
              <w:rPr>
                <w:lang w:val="fr-CH"/>
              </w:rPr>
              <w:t xml:space="preserve">audit sur </w:t>
            </w:r>
            <w:r w:rsidR="00E02183" w:rsidRPr="000C6ABF">
              <w:rPr>
                <w:lang w:val="fr-CH"/>
              </w:rPr>
              <w:t>une base pluriannuelle</w:t>
            </w:r>
            <w:r w:rsidRPr="000C6ABF">
              <w:rPr>
                <w:lang w:val="fr-CH"/>
              </w:rPr>
              <w:t xml:space="preserve"> afin de tenir compte de la couverture par l</w:t>
            </w:r>
            <w:r w:rsidR="00AB0C69" w:rsidRPr="000C6ABF">
              <w:rPr>
                <w:lang w:val="fr-CH"/>
              </w:rPr>
              <w:t>'</w:t>
            </w:r>
            <w:r w:rsidRPr="000C6ABF">
              <w:rPr>
                <w:lang w:val="fr-CH"/>
              </w:rPr>
              <w:t>audit des principaux risques identifiés par l</w:t>
            </w:r>
            <w:r w:rsidR="00AB0C69" w:rsidRPr="000C6ABF">
              <w:rPr>
                <w:lang w:val="fr-CH"/>
              </w:rPr>
              <w:t>'</w:t>
            </w:r>
            <w:r w:rsidRPr="000C6ABF">
              <w:rPr>
                <w:lang w:val="fr-CH"/>
              </w:rPr>
              <w:t>audit interne.</w:t>
            </w:r>
          </w:p>
        </w:tc>
      </w:tr>
    </w:tbl>
    <w:p w:rsidR="00AF180E" w:rsidRPr="000C6ABF" w:rsidRDefault="00E2628A" w:rsidP="00E830F1">
      <w:pPr>
        <w:pStyle w:val="Headingb"/>
        <w:rPr>
          <w:lang w:val="fr-CH"/>
        </w:rPr>
      </w:pPr>
      <w:bookmarkStart w:id="322" w:name="_Toc396386991"/>
      <w:bookmarkStart w:id="323" w:name="_Toc396387864"/>
      <w:bookmarkStart w:id="324" w:name="_Toc396387978"/>
      <w:bookmarkStart w:id="325" w:name="_Toc398277663"/>
      <w:r w:rsidRPr="000C6ABF">
        <w:rPr>
          <w:lang w:val="fr-CH"/>
        </w:rPr>
        <w:lastRenderedPageBreak/>
        <w:t>Les ressources de l</w:t>
      </w:r>
      <w:r w:rsidR="00AB0C69" w:rsidRPr="000C6ABF">
        <w:rPr>
          <w:lang w:val="fr-CH"/>
        </w:rPr>
        <w:t>'</w:t>
      </w:r>
      <w:r w:rsidRPr="000C6ABF">
        <w:rPr>
          <w:lang w:val="fr-CH"/>
        </w:rPr>
        <w:t>Unité de l</w:t>
      </w:r>
      <w:r w:rsidR="00AB0C69" w:rsidRPr="000C6ABF">
        <w:rPr>
          <w:lang w:val="fr-CH"/>
        </w:rPr>
        <w:t>'</w:t>
      </w:r>
      <w:r w:rsidRPr="000C6ABF">
        <w:rPr>
          <w:lang w:val="fr-CH"/>
        </w:rPr>
        <w:t>audit interne sont-elles suffisantes</w:t>
      </w:r>
      <w:r w:rsidR="00E02183" w:rsidRPr="000C6ABF">
        <w:rPr>
          <w:lang w:val="fr-CH"/>
        </w:rPr>
        <w:t>?</w:t>
      </w:r>
      <w:bookmarkEnd w:id="321"/>
      <w:bookmarkEnd w:id="322"/>
      <w:bookmarkEnd w:id="323"/>
      <w:bookmarkEnd w:id="324"/>
      <w:bookmarkEnd w:id="325"/>
    </w:p>
    <w:p w:rsidR="00AF180E" w:rsidRPr="000C6ABF" w:rsidRDefault="00AF180E" w:rsidP="00E830F1">
      <w:pPr>
        <w:keepNext/>
        <w:keepLines/>
        <w:rPr>
          <w:lang w:val="fr-CH"/>
        </w:rPr>
      </w:pPr>
      <w:r w:rsidRPr="000C6ABF">
        <w:rPr>
          <w:lang w:val="fr-CH"/>
        </w:rPr>
        <w:t>154</w:t>
      </w:r>
      <w:r w:rsidRPr="000C6ABF">
        <w:rPr>
          <w:lang w:val="fr-CH"/>
        </w:rPr>
        <w:tab/>
      </w:r>
      <w:r w:rsidR="00E2628A" w:rsidRPr="000C6ABF">
        <w:rPr>
          <w:lang w:val="fr-CH"/>
        </w:rPr>
        <w:t>Nous souscrivons à l</w:t>
      </w:r>
      <w:r w:rsidR="00AB0C69" w:rsidRPr="000C6ABF">
        <w:rPr>
          <w:lang w:val="fr-CH"/>
        </w:rPr>
        <w:t>'</w:t>
      </w:r>
      <w:r w:rsidR="00E2628A" w:rsidRPr="000C6ABF">
        <w:rPr>
          <w:lang w:val="fr-CH"/>
        </w:rPr>
        <w:t>analyse du CCIG sur la nécessité d</w:t>
      </w:r>
      <w:r w:rsidR="00AB0C69" w:rsidRPr="000C6ABF">
        <w:rPr>
          <w:lang w:val="fr-CH"/>
        </w:rPr>
        <w:t>'</w:t>
      </w:r>
      <w:r w:rsidR="00E2628A" w:rsidRPr="000C6ABF">
        <w:rPr>
          <w:lang w:val="fr-CH"/>
        </w:rPr>
        <w:t>envisager une augmentation possible des ressources attribuées à l</w:t>
      </w:r>
      <w:r w:rsidR="00AB0C69" w:rsidRPr="000C6ABF">
        <w:rPr>
          <w:lang w:val="fr-CH"/>
        </w:rPr>
        <w:t>'</w:t>
      </w:r>
      <w:r w:rsidR="00E2628A" w:rsidRPr="000C6ABF">
        <w:rPr>
          <w:lang w:val="fr-CH"/>
        </w:rPr>
        <w:t>Unité de l</w:t>
      </w:r>
      <w:r w:rsidR="00AB0C69" w:rsidRPr="000C6ABF">
        <w:rPr>
          <w:lang w:val="fr-CH"/>
        </w:rPr>
        <w:t>'</w:t>
      </w:r>
      <w:r w:rsidR="00E2628A" w:rsidRPr="000C6ABF">
        <w:rPr>
          <w:lang w:val="fr-CH"/>
        </w:rPr>
        <w:t>audit interne</w:t>
      </w:r>
      <w:r w:rsidR="003072F2" w:rsidRPr="000C6ABF">
        <w:rPr>
          <w:lang w:val="fr-CH"/>
        </w:rPr>
        <w:t>;</w:t>
      </w:r>
      <w:r w:rsidR="00E2628A" w:rsidRPr="000C6ABF">
        <w:rPr>
          <w:lang w:val="fr-CH"/>
        </w:rPr>
        <w:t xml:space="preserve"> nous tenons également compte du fait que le Secrétaire général, pour l</w:t>
      </w:r>
      <w:r w:rsidR="00AB0C69" w:rsidRPr="000C6ABF">
        <w:rPr>
          <w:lang w:val="fr-CH"/>
        </w:rPr>
        <w:t>'</w:t>
      </w:r>
      <w:r w:rsidR="00E2628A" w:rsidRPr="000C6ABF">
        <w:rPr>
          <w:lang w:val="fr-CH"/>
        </w:rPr>
        <w:t>instant, a répondu au CCIG qu</w:t>
      </w:r>
      <w:r w:rsidR="00AB0C69" w:rsidRPr="000C6ABF">
        <w:rPr>
          <w:lang w:val="fr-CH"/>
        </w:rPr>
        <w:t>'</w:t>
      </w:r>
      <w:r w:rsidR="00E2628A" w:rsidRPr="000C6ABF">
        <w:rPr>
          <w:lang w:val="fr-CH"/>
        </w:rPr>
        <w:t>il n</w:t>
      </w:r>
      <w:r w:rsidR="00AB0C69" w:rsidRPr="000C6ABF">
        <w:rPr>
          <w:lang w:val="fr-CH"/>
        </w:rPr>
        <w:t>'</w:t>
      </w:r>
      <w:r w:rsidR="00E2628A" w:rsidRPr="000C6ABF">
        <w:rPr>
          <w:lang w:val="fr-CH"/>
        </w:rPr>
        <w:t xml:space="preserve">était pas possible </w:t>
      </w:r>
      <w:r w:rsidR="007E59F9" w:rsidRPr="000C6ABF">
        <w:rPr>
          <w:lang w:val="fr-CH"/>
        </w:rPr>
        <w:t>de soutenir</w:t>
      </w:r>
      <w:r w:rsidR="00E2628A" w:rsidRPr="000C6ABF">
        <w:rPr>
          <w:lang w:val="fr-CH"/>
        </w:rPr>
        <w:t xml:space="preserve"> une augmentation des ressources </w:t>
      </w:r>
      <w:r w:rsidR="00E02183" w:rsidRPr="000C6ABF">
        <w:rPr>
          <w:lang w:val="fr-CH"/>
        </w:rPr>
        <w:t xml:space="preserve">dont dispose </w:t>
      </w:r>
      <w:r w:rsidR="00E2628A" w:rsidRPr="000C6ABF">
        <w:rPr>
          <w:lang w:val="fr-CH"/>
        </w:rPr>
        <w:t>actuellement l</w:t>
      </w:r>
      <w:r w:rsidR="00AB0C69" w:rsidRPr="000C6ABF">
        <w:rPr>
          <w:lang w:val="fr-CH"/>
        </w:rPr>
        <w:t>'</w:t>
      </w:r>
      <w:r w:rsidR="00E2628A" w:rsidRPr="000C6ABF">
        <w:rPr>
          <w:lang w:val="fr-CH"/>
        </w:rPr>
        <w:t>Unité.</w:t>
      </w:r>
    </w:p>
    <w:p w:rsidR="00873BDC" w:rsidRPr="000C6ABF" w:rsidRDefault="00AF180E" w:rsidP="00E830F1">
      <w:pPr>
        <w:spacing w:after="120"/>
        <w:rPr>
          <w:lang w:val="fr-CH"/>
        </w:rPr>
      </w:pPr>
      <w:r w:rsidRPr="000C6ABF">
        <w:rPr>
          <w:lang w:val="fr-CH"/>
        </w:rPr>
        <w:t>155</w:t>
      </w:r>
      <w:r w:rsidRPr="000C6ABF">
        <w:rPr>
          <w:lang w:val="fr-CH"/>
        </w:rPr>
        <w:tab/>
      </w:r>
      <w:r w:rsidR="00E2628A" w:rsidRPr="000C6ABF">
        <w:rPr>
          <w:lang w:val="fr-CH"/>
        </w:rPr>
        <w:t>Nous estim</w:t>
      </w:r>
      <w:r w:rsidR="007E59F9" w:rsidRPr="000C6ABF">
        <w:rPr>
          <w:lang w:val="fr-CH"/>
        </w:rPr>
        <w:t xml:space="preserve">ons </w:t>
      </w:r>
      <w:r w:rsidR="00E2628A" w:rsidRPr="000C6ABF">
        <w:rPr>
          <w:lang w:val="fr-CH"/>
        </w:rPr>
        <w:t>que seule la mise en œuvre d</w:t>
      </w:r>
      <w:r w:rsidR="00AB0C69" w:rsidRPr="000C6ABF">
        <w:rPr>
          <w:lang w:val="fr-CH"/>
        </w:rPr>
        <w:t>'</w:t>
      </w:r>
      <w:r w:rsidR="00E2628A" w:rsidRPr="000C6ABF">
        <w:rPr>
          <w:lang w:val="fr-CH"/>
        </w:rPr>
        <w:t xml:space="preserve">une analyse solide des risques et un </w:t>
      </w:r>
      <w:r w:rsidR="007E59F9" w:rsidRPr="000C6ABF">
        <w:rPr>
          <w:lang w:val="fr-CH"/>
        </w:rPr>
        <w:t xml:space="preserve">contrôle </w:t>
      </w:r>
      <w:r w:rsidR="00E2628A" w:rsidRPr="000C6ABF">
        <w:rPr>
          <w:lang w:val="fr-CH"/>
        </w:rPr>
        <w:t>de la durée de l</w:t>
      </w:r>
      <w:r w:rsidR="00AB0C69" w:rsidRPr="000C6ABF">
        <w:rPr>
          <w:lang w:val="fr-CH"/>
        </w:rPr>
        <w:t>'</w:t>
      </w:r>
      <w:r w:rsidR="00E2628A" w:rsidRPr="000C6ABF">
        <w:rPr>
          <w:lang w:val="fr-CH"/>
        </w:rPr>
        <w:t>audit permettront d</w:t>
      </w:r>
      <w:r w:rsidR="00AB0C69" w:rsidRPr="000C6ABF">
        <w:rPr>
          <w:lang w:val="fr-CH"/>
        </w:rPr>
        <w:t>'</w:t>
      </w:r>
      <w:r w:rsidR="00E2628A" w:rsidRPr="000C6ABF">
        <w:rPr>
          <w:lang w:val="fr-CH"/>
        </w:rPr>
        <w:t>évaluer si les ressources sont suffisantes pour couvrir l</w:t>
      </w:r>
      <w:r w:rsidR="00AB0C69" w:rsidRPr="000C6ABF">
        <w:rPr>
          <w:lang w:val="fr-CH"/>
        </w:rPr>
        <w:t>'</w:t>
      </w:r>
      <w:r w:rsidR="00E2628A" w:rsidRPr="000C6ABF">
        <w:rPr>
          <w:lang w:val="fr-CH"/>
        </w:rPr>
        <w:t>audit de tous les risques et les domaines d</w:t>
      </w:r>
      <w:r w:rsidR="00AB0C69" w:rsidRPr="000C6ABF">
        <w:rPr>
          <w:lang w:val="fr-CH"/>
        </w:rPr>
        <w:t>'</w:t>
      </w:r>
      <w:r w:rsidR="00E2628A" w:rsidRPr="000C6ABF">
        <w:rPr>
          <w:lang w:val="fr-CH"/>
        </w:rPr>
        <w:t>activité plus étendus de l</w:t>
      </w:r>
      <w:r w:rsidR="00AB0C69" w:rsidRPr="000C6ABF">
        <w:rPr>
          <w:lang w:val="fr-CH"/>
        </w:rPr>
        <w:t>'</w:t>
      </w:r>
      <w:r w:rsidR="00E2628A" w:rsidRPr="000C6ABF">
        <w:rPr>
          <w:lang w:val="fr-CH"/>
        </w:rPr>
        <w:t>Union</w:t>
      </w:r>
      <w:r w:rsidRPr="000C6ABF">
        <w:rPr>
          <w:lang w:val="fr-CH"/>
        </w:rPr>
        <w:t>.</w:t>
      </w:r>
    </w:p>
    <w:tbl>
      <w:tblPr>
        <w:tblStyle w:val="TableGrid"/>
        <w:tblW w:w="0" w:type="auto"/>
        <w:tblLook w:val="04A0" w:firstRow="1" w:lastRow="0" w:firstColumn="1" w:lastColumn="0" w:noHBand="0" w:noVBand="1"/>
      </w:tblPr>
      <w:tblGrid>
        <w:gridCol w:w="9629"/>
      </w:tblGrid>
      <w:tr w:rsidR="00873BDC" w:rsidRPr="000C6ABF" w:rsidTr="00E12F57">
        <w:tc>
          <w:tcPr>
            <w:tcW w:w="9629" w:type="dxa"/>
          </w:tcPr>
          <w:p w:rsidR="00873BDC" w:rsidRPr="000C6ABF" w:rsidRDefault="00873BDC" w:rsidP="007E59F9">
            <w:pPr>
              <w:spacing w:after="120"/>
              <w:rPr>
                <w:b/>
                <w:bCs/>
                <w:u w:val="single"/>
                <w:lang w:val="fr-CH"/>
              </w:rPr>
            </w:pPr>
            <w:r w:rsidRPr="000C6ABF">
              <w:rPr>
                <w:b/>
                <w:bCs/>
                <w:u w:val="single"/>
                <w:lang w:val="fr-CH"/>
              </w:rPr>
              <w:t>Suggestion N° 8</w:t>
            </w:r>
          </w:p>
          <w:p w:rsidR="00873BDC" w:rsidRPr="000C6ABF" w:rsidRDefault="000F2C0C" w:rsidP="007E59F9">
            <w:pPr>
              <w:spacing w:after="120"/>
              <w:rPr>
                <w:lang w:val="fr-CH"/>
              </w:rPr>
            </w:pPr>
            <w:r w:rsidRPr="000C6ABF">
              <w:rPr>
                <w:bCs/>
                <w:lang w:val="fr-CH"/>
              </w:rPr>
              <w:t>156</w:t>
            </w:r>
            <w:r w:rsidRPr="000C6ABF">
              <w:rPr>
                <w:bCs/>
                <w:lang w:val="fr-CH"/>
              </w:rPr>
              <w:tab/>
            </w:r>
            <w:r w:rsidR="00E2628A" w:rsidRPr="000C6ABF">
              <w:rPr>
                <w:bCs/>
                <w:lang w:val="fr-CH"/>
              </w:rPr>
              <w:t>Même s</w:t>
            </w:r>
            <w:r w:rsidR="007E59F9" w:rsidRPr="000C6ABF">
              <w:rPr>
                <w:bCs/>
                <w:lang w:val="fr-CH"/>
              </w:rPr>
              <w:t>'</w:t>
            </w:r>
            <w:r w:rsidR="00E2628A" w:rsidRPr="000C6ABF">
              <w:rPr>
                <w:bCs/>
                <w:lang w:val="fr-CH"/>
              </w:rPr>
              <w:t>i</w:t>
            </w:r>
            <w:r w:rsidR="007E59F9" w:rsidRPr="000C6ABF">
              <w:rPr>
                <w:bCs/>
                <w:lang w:val="fr-CH"/>
              </w:rPr>
              <w:t>l</w:t>
            </w:r>
            <w:r w:rsidR="00E2628A" w:rsidRPr="000C6ABF">
              <w:rPr>
                <w:bCs/>
                <w:lang w:val="fr-CH"/>
              </w:rPr>
              <w:t xml:space="preserve"> existe un système de </w:t>
            </w:r>
            <w:r w:rsidR="007E59F9" w:rsidRPr="000C6ABF">
              <w:rPr>
                <w:bCs/>
                <w:lang w:val="fr-CH"/>
              </w:rPr>
              <w:t xml:space="preserve">suivi </w:t>
            </w:r>
            <w:r w:rsidR="00E2628A" w:rsidRPr="000C6ABF">
              <w:rPr>
                <w:bCs/>
                <w:lang w:val="fr-CH"/>
              </w:rPr>
              <w:t>du temps</w:t>
            </w:r>
            <w:r w:rsidR="007E59F9" w:rsidRPr="000C6ABF">
              <w:rPr>
                <w:bCs/>
                <w:lang w:val="fr-CH"/>
              </w:rPr>
              <w:t xml:space="preserve"> approfondi</w:t>
            </w:r>
            <w:r w:rsidR="00E2628A" w:rsidRPr="000C6ABF">
              <w:rPr>
                <w:bCs/>
                <w:lang w:val="fr-CH"/>
              </w:rPr>
              <w:t>, nous suggérons à l</w:t>
            </w:r>
            <w:r w:rsidR="00AB0C69" w:rsidRPr="000C6ABF">
              <w:rPr>
                <w:bCs/>
                <w:lang w:val="fr-CH"/>
              </w:rPr>
              <w:t>'</w:t>
            </w:r>
            <w:r w:rsidR="00E2628A" w:rsidRPr="000C6ABF">
              <w:rPr>
                <w:bCs/>
                <w:lang w:val="fr-CH"/>
              </w:rPr>
              <w:t>Unité de l</w:t>
            </w:r>
            <w:r w:rsidR="00AB0C69" w:rsidRPr="000C6ABF">
              <w:rPr>
                <w:bCs/>
                <w:lang w:val="fr-CH"/>
              </w:rPr>
              <w:t>'</w:t>
            </w:r>
            <w:r w:rsidR="00E2628A" w:rsidRPr="000C6ABF">
              <w:rPr>
                <w:bCs/>
                <w:lang w:val="fr-CH"/>
              </w:rPr>
              <w:t>audit interne d</w:t>
            </w:r>
            <w:r w:rsidR="00AB0C69" w:rsidRPr="000C6ABF">
              <w:rPr>
                <w:bCs/>
                <w:lang w:val="fr-CH"/>
              </w:rPr>
              <w:t>'</w:t>
            </w:r>
            <w:r w:rsidR="00E2628A" w:rsidRPr="000C6ABF">
              <w:rPr>
                <w:bCs/>
                <w:lang w:val="fr-CH"/>
              </w:rPr>
              <w:t xml:space="preserve">établir un lien entre ce système et toutes les tâches </w:t>
            </w:r>
            <w:r w:rsidR="007E59F9" w:rsidRPr="000C6ABF">
              <w:rPr>
                <w:bCs/>
                <w:lang w:val="fr-CH"/>
              </w:rPr>
              <w:t xml:space="preserve">éventuelles </w:t>
            </w:r>
            <w:r w:rsidR="00E2628A" w:rsidRPr="000C6ABF">
              <w:rPr>
                <w:bCs/>
                <w:lang w:val="fr-CH"/>
              </w:rPr>
              <w:t xml:space="preserve">prévues dans un plan de travail annuel et dans un plan de travail pluriannuel </w:t>
            </w:r>
            <w:r w:rsidR="008A3FA2" w:rsidRPr="000C6ABF">
              <w:rPr>
                <w:bCs/>
                <w:lang w:val="fr-CH"/>
              </w:rPr>
              <w:t>(v</w:t>
            </w:r>
            <w:r w:rsidRPr="000C6ABF">
              <w:rPr>
                <w:bCs/>
                <w:lang w:val="fr-CH"/>
              </w:rPr>
              <w:t xml:space="preserve">oir notre suggestion </w:t>
            </w:r>
            <w:r w:rsidR="007E59F9" w:rsidRPr="000C6ABF">
              <w:rPr>
                <w:bCs/>
                <w:lang w:val="fr-CH"/>
              </w:rPr>
              <w:t xml:space="preserve">N° </w:t>
            </w:r>
            <w:r w:rsidRPr="000C6ABF">
              <w:rPr>
                <w:bCs/>
                <w:lang w:val="fr-CH"/>
              </w:rPr>
              <w:t>7) a</w:t>
            </w:r>
            <w:r w:rsidR="008A3FA2" w:rsidRPr="000C6ABF">
              <w:rPr>
                <w:bCs/>
                <w:lang w:val="fr-CH"/>
              </w:rPr>
              <w:t>fin de donner au Secrétaire général davantage d</w:t>
            </w:r>
            <w:r w:rsidR="00AB0C69" w:rsidRPr="000C6ABF">
              <w:rPr>
                <w:bCs/>
                <w:lang w:val="fr-CH"/>
              </w:rPr>
              <w:t>'</w:t>
            </w:r>
            <w:r w:rsidR="008A3FA2" w:rsidRPr="000C6ABF">
              <w:rPr>
                <w:bCs/>
                <w:lang w:val="fr-CH"/>
              </w:rPr>
              <w:t>éléments et d</w:t>
            </w:r>
            <w:r w:rsidR="00AB0C69" w:rsidRPr="000C6ABF">
              <w:rPr>
                <w:bCs/>
                <w:lang w:val="fr-CH"/>
              </w:rPr>
              <w:t>'</w:t>
            </w:r>
            <w:r w:rsidR="008A3FA2" w:rsidRPr="000C6ABF">
              <w:rPr>
                <w:bCs/>
                <w:lang w:val="fr-CH"/>
              </w:rPr>
              <w:t>information</w:t>
            </w:r>
            <w:r w:rsidRPr="000C6ABF">
              <w:rPr>
                <w:bCs/>
                <w:lang w:val="fr-CH"/>
              </w:rPr>
              <w:t>s</w:t>
            </w:r>
            <w:r w:rsidR="008A3FA2" w:rsidRPr="000C6ABF">
              <w:rPr>
                <w:bCs/>
                <w:lang w:val="fr-CH"/>
              </w:rPr>
              <w:t xml:space="preserve"> pour décider dans l</w:t>
            </w:r>
            <w:r w:rsidR="00AB0C69" w:rsidRPr="000C6ABF">
              <w:rPr>
                <w:bCs/>
                <w:lang w:val="fr-CH"/>
              </w:rPr>
              <w:t>'</w:t>
            </w:r>
            <w:r w:rsidR="008A3FA2" w:rsidRPr="000C6ABF">
              <w:rPr>
                <w:bCs/>
                <w:lang w:val="fr-CH"/>
              </w:rPr>
              <w:t xml:space="preserve">avenir si les ressources </w:t>
            </w:r>
            <w:r w:rsidR="007E59F9" w:rsidRPr="000C6ABF">
              <w:rPr>
                <w:bCs/>
                <w:lang w:val="fr-CH"/>
              </w:rPr>
              <w:t xml:space="preserve">allouées à </w:t>
            </w:r>
            <w:r w:rsidR="008A3FA2" w:rsidRPr="000C6ABF">
              <w:rPr>
                <w:bCs/>
                <w:lang w:val="fr-CH"/>
              </w:rPr>
              <w:t>l</w:t>
            </w:r>
            <w:r w:rsidR="00AB0C69" w:rsidRPr="000C6ABF">
              <w:rPr>
                <w:bCs/>
                <w:lang w:val="fr-CH"/>
              </w:rPr>
              <w:t>'</w:t>
            </w:r>
            <w:r w:rsidR="008A3FA2" w:rsidRPr="000C6ABF">
              <w:rPr>
                <w:bCs/>
                <w:lang w:val="fr-CH"/>
              </w:rPr>
              <w:t>Unité de l</w:t>
            </w:r>
            <w:r w:rsidR="00AB0C69" w:rsidRPr="000C6ABF">
              <w:rPr>
                <w:bCs/>
                <w:lang w:val="fr-CH"/>
              </w:rPr>
              <w:t>'</w:t>
            </w:r>
            <w:r w:rsidR="008A3FA2" w:rsidRPr="000C6ABF">
              <w:rPr>
                <w:bCs/>
                <w:lang w:val="fr-CH"/>
              </w:rPr>
              <w:t>audit interne sont ou non suffisantes</w:t>
            </w:r>
            <w:r w:rsidR="00873BDC" w:rsidRPr="000C6ABF">
              <w:rPr>
                <w:bCs/>
                <w:lang w:val="fr-CH"/>
              </w:rPr>
              <w:t>.</w:t>
            </w:r>
          </w:p>
        </w:tc>
      </w:tr>
    </w:tbl>
    <w:p w:rsidR="00873BDC" w:rsidRPr="000C6ABF" w:rsidRDefault="00873BDC" w:rsidP="00E830F1">
      <w:pPr>
        <w:rPr>
          <w:lang w:val="fr-CH"/>
        </w:rPr>
      </w:pPr>
    </w:p>
    <w:tbl>
      <w:tblPr>
        <w:tblStyle w:val="TableGrid"/>
        <w:tblW w:w="0" w:type="auto"/>
        <w:tblLook w:val="04A0" w:firstRow="1" w:lastRow="0" w:firstColumn="1" w:lastColumn="0" w:noHBand="0" w:noVBand="1"/>
      </w:tblPr>
      <w:tblGrid>
        <w:gridCol w:w="9629"/>
      </w:tblGrid>
      <w:tr w:rsidR="00873BDC" w:rsidRPr="000C6ABF" w:rsidTr="00E12F57">
        <w:tc>
          <w:tcPr>
            <w:tcW w:w="9629" w:type="dxa"/>
          </w:tcPr>
          <w:p w:rsidR="00873BDC" w:rsidRPr="000C6ABF" w:rsidRDefault="00873BDC" w:rsidP="00072139">
            <w:pPr>
              <w:spacing w:after="120"/>
              <w:ind w:right="57"/>
              <w:rPr>
                <w:b/>
                <w:bCs/>
                <w:u w:val="single"/>
                <w:lang w:val="fr-CH"/>
              </w:rPr>
            </w:pPr>
            <w:r w:rsidRPr="000C6ABF">
              <w:rPr>
                <w:b/>
                <w:bCs/>
                <w:u w:val="single"/>
                <w:lang w:val="fr-CH"/>
              </w:rPr>
              <w:t>Commentaires du Secrétaire général:</w:t>
            </w:r>
          </w:p>
          <w:p w:rsidR="00873BDC" w:rsidRPr="000C6ABF" w:rsidRDefault="008A3FA2" w:rsidP="00072139">
            <w:pPr>
              <w:spacing w:after="120"/>
              <w:ind w:right="57"/>
              <w:rPr>
                <w:lang w:val="fr-CH"/>
              </w:rPr>
            </w:pPr>
            <w:r w:rsidRPr="000C6ABF">
              <w:rPr>
                <w:lang w:val="fr-CH"/>
              </w:rPr>
              <w:t>L</w:t>
            </w:r>
            <w:r w:rsidR="00AB0C69" w:rsidRPr="000C6ABF">
              <w:rPr>
                <w:lang w:val="fr-CH"/>
              </w:rPr>
              <w:t>'</w:t>
            </w:r>
            <w:r w:rsidRPr="000C6ABF">
              <w:rPr>
                <w:lang w:val="fr-CH"/>
              </w:rPr>
              <w:t xml:space="preserve">Auditeur interne aura pour instruction de continuer à </w:t>
            </w:r>
            <w:r w:rsidR="007E59F9" w:rsidRPr="000C6ABF">
              <w:rPr>
                <w:lang w:val="fr-CH"/>
              </w:rPr>
              <w:t>assurer le suivi de son temps de travail</w:t>
            </w:r>
            <w:r w:rsidR="00072139" w:rsidRPr="000C6ABF">
              <w:rPr>
                <w:lang w:val="fr-CH"/>
              </w:rPr>
              <w:t xml:space="preserve"> et</w:t>
            </w:r>
            <w:r w:rsidR="007E59F9" w:rsidRPr="000C6ABF">
              <w:rPr>
                <w:lang w:val="fr-CH"/>
              </w:rPr>
              <w:t xml:space="preserve"> de faire </w:t>
            </w:r>
            <w:r w:rsidRPr="000C6ABF">
              <w:rPr>
                <w:lang w:val="fr-CH"/>
              </w:rPr>
              <w:t xml:space="preserve">rapport régulièrement sur les progrès réalisés par rapport au plan de travail annuel. </w:t>
            </w:r>
          </w:p>
        </w:tc>
      </w:tr>
    </w:tbl>
    <w:p w:rsidR="00AF180E" w:rsidRPr="000C6ABF" w:rsidRDefault="008A3FA2" w:rsidP="00AB0C69">
      <w:pPr>
        <w:pStyle w:val="Headingb"/>
        <w:spacing w:before="360"/>
        <w:rPr>
          <w:lang w:val="fr-CH"/>
        </w:rPr>
      </w:pPr>
      <w:bookmarkStart w:id="326" w:name="_Toc398277664"/>
      <w:r w:rsidRPr="000C6ABF">
        <w:rPr>
          <w:lang w:val="fr-CH"/>
        </w:rPr>
        <w:t>Autonomie et indépendance de l</w:t>
      </w:r>
      <w:r w:rsidR="00AB0C69" w:rsidRPr="000C6ABF">
        <w:rPr>
          <w:lang w:val="fr-CH"/>
        </w:rPr>
        <w:t>'</w:t>
      </w:r>
      <w:r w:rsidRPr="000C6ABF">
        <w:rPr>
          <w:lang w:val="fr-CH"/>
        </w:rPr>
        <w:t>Auditeur interne</w:t>
      </w:r>
      <w:bookmarkEnd w:id="326"/>
    </w:p>
    <w:p w:rsidR="00AF180E" w:rsidRPr="000C6ABF" w:rsidRDefault="00AF180E" w:rsidP="00E830F1">
      <w:pPr>
        <w:rPr>
          <w:lang w:val="fr-CH"/>
        </w:rPr>
      </w:pPr>
      <w:r w:rsidRPr="000C6ABF">
        <w:rPr>
          <w:lang w:val="fr-CH"/>
        </w:rPr>
        <w:t>157</w:t>
      </w:r>
      <w:r w:rsidRPr="000C6ABF">
        <w:rPr>
          <w:lang w:val="fr-CH"/>
        </w:rPr>
        <w:tab/>
      </w:r>
      <w:r w:rsidR="00072139" w:rsidRPr="000C6ABF">
        <w:rPr>
          <w:lang w:val="fr-CH"/>
        </w:rPr>
        <w:t>L</w:t>
      </w:r>
      <w:r w:rsidR="008A3FA2" w:rsidRPr="000C6ABF">
        <w:rPr>
          <w:lang w:val="fr-CH"/>
        </w:rPr>
        <w:t>e</w:t>
      </w:r>
      <w:r w:rsidR="00072139" w:rsidRPr="000C6ABF">
        <w:rPr>
          <w:lang w:val="fr-CH"/>
        </w:rPr>
        <w:t xml:space="preserve"> troisième audit prévu</w:t>
      </w:r>
      <w:r w:rsidR="008A3FA2" w:rsidRPr="000C6ABF">
        <w:rPr>
          <w:lang w:val="fr-CH"/>
        </w:rPr>
        <w:t xml:space="preserve"> pour 2013 concern</w:t>
      </w:r>
      <w:r w:rsidR="00072139" w:rsidRPr="000C6ABF">
        <w:rPr>
          <w:lang w:val="fr-CH"/>
        </w:rPr>
        <w:t>ait</w:t>
      </w:r>
      <w:r w:rsidR="008A3FA2" w:rsidRPr="000C6ABF">
        <w:rPr>
          <w:lang w:val="fr-CH"/>
        </w:rPr>
        <w:t xml:space="preserve"> le</w:t>
      </w:r>
      <w:r w:rsidR="00072139" w:rsidRPr="000C6ABF">
        <w:rPr>
          <w:lang w:val="fr-CH"/>
        </w:rPr>
        <w:t xml:space="preserve"> cadre réglementaire</w:t>
      </w:r>
      <w:r w:rsidR="008A3FA2" w:rsidRPr="000C6ABF">
        <w:rPr>
          <w:lang w:val="fr-CH"/>
        </w:rPr>
        <w:t xml:space="preserve"> intern</w:t>
      </w:r>
      <w:r w:rsidR="00072139" w:rsidRPr="000C6ABF">
        <w:rPr>
          <w:lang w:val="fr-CH"/>
        </w:rPr>
        <w:t>e</w:t>
      </w:r>
      <w:r w:rsidR="008A3FA2" w:rsidRPr="000C6ABF">
        <w:rPr>
          <w:lang w:val="fr-CH"/>
        </w:rPr>
        <w:t xml:space="preserve"> de l</w:t>
      </w:r>
      <w:r w:rsidR="00AB0C69" w:rsidRPr="000C6ABF">
        <w:rPr>
          <w:lang w:val="fr-CH"/>
        </w:rPr>
        <w:t>'</w:t>
      </w:r>
      <w:r w:rsidR="008A3FA2" w:rsidRPr="000C6ABF">
        <w:rPr>
          <w:lang w:val="fr-CH"/>
        </w:rPr>
        <w:t>UIT (ordres de service)</w:t>
      </w:r>
      <w:r w:rsidR="003072F2" w:rsidRPr="000C6ABF">
        <w:rPr>
          <w:lang w:val="fr-CH"/>
        </w:rPr>
        <w:t>;</w:t>
      </w:r>
      <w:r w:rsidR="008A3FA2" w:rsidRPr="000C6ABF">
        <w:rPr>
          <w:lang w:val="fr-CH"/>
        </w:rPr>
        <w:t xml:space="preserve"> il a été annulé à la suite d</w:t>
      </w:r>
      <w:r w:rsidR="00AB0C69" w:rsidRPr="000C6ABF">
        <w:rPr>
          <w:lang w:val="fr-CH"/>
        </w:rPr>
        <w:t>'</w:t>
      </w:r>
      <w:r w:rsidR="008A3FA2" w:rsidRPr="000C6ABF">
        <w:rPr>
          <w:lang w:val="fr-CH"/>
        </w:rPr>
        <w:t>un changement de priorité</w:t>
      </w:r>
      <w:r w:rsidR="00072139" w:rsidRPr="000C6ABF">
        <w:rPr>
          <w:lang w:val="fr-CH"/>
        </w:rPr>
        <w:t>s</w:t>
      </w:r>
      <w:r w:rsidR="008A3FA2" w:rsidRPr="000C6ABF">
        <w:rPr>
          <w:lang w:val="fr-CH"/>
        </w:rPr>
        <w:t xml:space="preserve"> décidé par le Secrétaire général qui a désigné le Département concerné chargé de réviser, </w:t>
      </w:r>
      <w:r w:rsidR="00072139" w:rsidRPr="000C6ABF">
        <w:rPr>
          <w:lang w:val="fr-CH"/>
        </w:rPr>
        <w:t>en</w:t>
      </w:r>
      <w:r w:rsidR="008A3FA2" w:rsidRPr="000C6ABF">
        <w:rPr>
          <w:lang w:val="fr-CH"/>
        </w:rPr>
        <w:t xml:space="preserve"> coordination </w:t>
      </w:r>
      <w:r w:rsidR="00072139" w:rsidRPr="000C6ABF">
        <w:rPr>
          <w:lang w:val="fr-CH"/>
        </w:rPr>
        <w:t>avec</w:t>
      </w:r>
      <w:r w:rsidR="008A3FA2" w:rsidRPr="000C6ABF">
        <w:rPr>
          <w:lang w:val="fr-CH"/>
        </w:rPr>
        <w:t xml:space="preserve"> l</w:t>
      </w:r>
      <w:r w:rsidR="00AB0C69" w:rsidRPr="000C6ABF">
        <w:rPr>
          <w:lang w:val="fr-CH"/>
        </w:rPr>
        <w:t>'</w:t>
      </w:r>
      <w:r w:rsidR="008A3FA2" w:rsidRPr="000C6ABF">
        <w:rPr>
          <w:lang w:val="fr-CH"/>
        </w:rPr>
        <w:t xml:space="preserve">Unité des affaires juridiques et </w:t>
      </w:r>
      <w:r w:rsidR="00072139" w:rsidRPr="000C6ABF">
        <w:rPr>
          <w:lang w:val="fr-CH"/>
        </w:rPr>
        <w:t>le</w:t>
      </w:r>
      <w:r w:rsidR="008A3FA2" w:rsidRPr="000C6ABF">
        <w:rPr>
          <w:lang w:val="fr-CH"/>
        </w:rPr>
        <w:t xml:space="preserve"> Département de la gestion des ressources humaines, les ordres de service</w:t>
      </w:r>
      <w:r w:rsidRPr="000C6ABF">
        <w:rPr>
          <w:lang w:val="fr-CH"/>
        </w:rPr>
        <w:t xml:space="preserve">. </w:t>
      </w:r>
    </w:p>
    <w:p w:rsidR="00B95E84" w:rsidRPr="000C6ABF" w:rsidRDefault="00AF180E" w:rsidP="00072139">
      <w:pPr>
        <w:spacing w:after="120"/>
        <w:rPr>
          <w:lang w:val="fr-CH"/>
        </w:rPr>
      </w:pPr>
      <w:r w:rsidRPr="000C6ABF">
        <w:rPr>
          <w:lang w:val="fr-CH"/>
        </w:rPr>
        <w:t>158</w:t>
      </w:r>
      <w:r w:rsidRPr="000C6ABF">
        <w:rPr>
          <w:lang w:val="fr-CH"/>
        </w:rPr>
        <w:tab/>
      </w:r>
      <w:r w:rsidR="00E830F1" w:rsidRPr="000C6ABF">
        <w:rPr>
          <w:lang w:val="fr-CH"/>
        </w:rPr>
        <w:t>D</w:t>
      </w:r>
      <w:r w:rsidR="008A3FA2" w:rsidRPr="000C6ABF">
        <w:rPr>
          <w:lang w:val="fr-CH"/>
        </w:rPr>
        <w:t>ans le budget de l</w:t>
      </w:r>
      <w:r w:rsidR="00AB0C69" w:rsidRPr="000C6ABF">
        <w:rPr>
          <w:lang w:val="fr-CH"/>
        </w:rPr>
        <w:t>'</w:t>
      </w:r>
      <w:r w:rsidR="008A3FA2" w:rsidRPr="000C6ABF">
        <w:rPr>
          <w:lang w:val="fr-CH"/>
        </w:rPr>
        <w:t>Unité de l</w:t>
      </w:r>
      <w:r w:rsidR="00AB0C69" w:rsidRPr="000C6ABF">
        <w:rPr>
          <w:lang w:val="fr-CH"/>
        </w:rPr>
        <w:t>'</w:t>
      </w:r>
      <w:r w:rsidR="008A3FA2" w:rsidRPr="000C6ABF">
        <w:rPr>
          <w:lang w:val="fr-CH"/>
        </w:rPr>
        <w:t>audit interne</w:t>
      </w:r>
      <w:r w:rsidR="00E830F1">
        <w:rPr>
          <w:lang w:val="fr-CH"/>
        </w:rPr>
        <w:t>,</w:t>
      </w:r>
      <w:r w:rsidR="008A3FA2" w:rsidRPr="000C6ABF">
        <w:rPr>
          <w:lang w:val="fr-CH"/>
        </w:rPr>
        <w:t xml:space="preserve"> une petite provision budgétaire est prévue pour les services contractuels </w:t>
      </w:r>
      <w:r w:rsidRPr="000C6ABF">
        <w:rPr>
          <w:lang w:val="fr-CH"/>
        </w:rPr>
        <w:t>(5</w:t>
      </w:r>
      <w:r w:rsidR="00B95E84" w:rsidRPr="000C6ABF">
        <w:rPr>
          <w:lang w:val="fr-CH"/>
        </w:rPr>
        <w:t> </w:t>
      </w:r>
      <w:r w:rsidRPr="000C6ABF">
        <w:rPr>
          <w:lang w:val="fr-CH"/>
        </w:rPr>
        <w:t>000</w:t>
      </w:r>
      <w:r w:rsidR="00B95E84" w:rsidRPr="000C6ABF">
        <w:rPr>
          <w:lang w:val="fr-CH"/>
        </w:rPr>
        <w:t> </w:t>
      </w:r>
      <w:r w:rsidRPr="000C6ABF">
        <w:rPr>
          <w:lang w:val="fr-CH"/>
        </w:rPr>
        <w:t xml:space="preserve">CHF </w:t>
      </w:r>
      <w:r w:rsidR="008A3FA2" w:rsidRPr="000C6ABF">
        <w:rPr>
          <w:lang w:val="fr-CH"/>
        </w:rPr>
        <w:t>pour</w:t>
      </w:r>
      <w:r w:rsidRPr="000C6ABF">
        <w:rPr>
          <w:lang w:val="fr-CH"/>
        </w:rPr>
        <w:t xml:space="preserve"> 2014); </w:t>
      </w:r>
      <w:r w:rsidR="008A3FA2" w:rsidRPr="000C6ABF">
        <w:rPr>
          <w:lang w:val="fr-CH"/>
        </w:rPr>
        <w:t>par ailleurs, le Chef de l</w:t>
      </w:r>
      <w:r w:rsidR="00AB0C69" w:rsidRPr="000C6ABF">
        <w:rPr>
          <w:lang w:val="fr-CH"/>
        </w:rPr>
        <w:t>'</w:t>
      </w:r>
      <w:r w:rsidR="008A3FA2" w:rsidRPr="000C6ABF">
        <w:rPr>
          <w:lang w:val="fr-CH"/>
        </w:rPr>
        <w:t>Unité de l</w:t>
      </w:r>
      <w:r w:rsidR="00AB0C69" w:rsidRPr="000C6ABF">
        <w:rPr>
          <w:lang w:val="fr-CH"/>
        </w:rPr>
        <w:t>'</w:t>
      </w:r>
      <w:r w:rsidR="008A3FA2" w:rsidRPr="000C6ABF">
        <w:rPr>
          <w:lang w:val="fr-CH"/>
        </w:rPr>
        <w:t>audit interne n</w:t>
      </w:r>
      <w:r w:rsidR="00AB0C69" w:rsidRPr="000C6ABF">
        <w:rPr>
          <w:lang w:val="fr-CH"/>
        </w:rPr>
        <w:t>'</w:t>
      </w:r>
      <w:r w:rsidR="008A3FA2" w:rsidRPr="000C6ABF">
        <w:rPr>
          <w:lang w:val="fr-CH"/>
        </w:rPr>
        <w:t xml:space="preserve">est pas habilité à gérer directement ce budget, </w:t>
      </w:r>
      <w:r w:rsidR="00072139" w:rsidRPr="000C6ABF">
        <w:rPr>
          <w:lang w:val="fr-CH"/>
        </w:rPr>
        <w:t>à mobiliser</w:t>
      </w:r>
      <w:r w:rsidR="008A3FA2" w:rsidRPr="000C6ABF">
        <w:rPr>
          <w:lang w:val="fr-CH"/>
        </w:rPr>
        <w:t xml:space="preserve"> une assistance extérieure lorsque des compétences particulières sont nécessaires. </w:t>
      </w:r>
      <w:r w:rsidR="00072139" w:rsidRPr="000C6ABF">
        <w:rPr>
          <w:lang w:val="fr-CH"/>
        </w:rPr>
        <w:t>Il faut suivre l</w:t>
      </w:r>
      <w:r w:rsidR="008A3FA2" w:rsidRPr="000C6ABF">
        <w:rPr>
          <w:lang w:val="fr-CH"/>
        </w:rPr>
        <w:t xml:space="preserve">a procédure normale </w:t>
      </w:r>
      <w:r w:rsidR="00072139" w:rsidRPr="000C6ABF">
        <w:rPr>
          <w:lang w:val="fr-CH"/>
        </w:rPr>
        <w:t xml:space="preserve">appliquée à </w:t>
      </w:r>
      <w:r w:rsidR="008A3FA2" w:rsidRPr="000C6ABF">
        <w:rPr>
          <w:lang w:val="fr-CH"/>
        </w:rPr>
        <w:t>l</w:t>
      </w:r>
      <w:r w:rsidR="00AB0C69" w:rsidRPr="000C6ABF">
        <w:rPr>
          <w:lang w:val="fr-CH"/>
        </w:rPr>
        <w:t>'</w:t>
      </w:r>
      <w:r w:rsidR="008A3FA2" w:rsidRPr="000C6ABF">
        <w:rPr>
          <w:lang w:val="fr-CH"/>
        </w:rPr>
        <w:t xml:space="preserve">UIT </w:t>
      </w:r>
      <w:r w:rsidR="00072139" w:rsidRPr="000C6ABF">
        <w:rPr>
          <w:lang w:val="fr-CH"/>
        </w:rPr>
        <w:t xml:space="preserve">concernant </w:t>
      </w:r>
      <w:r w:rsidR="008A3FA2" w:rsidRPr="000C6ABF">
        <w:rPr>
          <w:lang w:val="fr-CH"/>
        </w:rPr>
        <w:t>l</w:t>
      </w:r>
      <w:r w:rsidR="00AB0C69" w:rsidRPr="000C6ABF">
        <w:rPr>
          <w:lang w:val="fr-CH"/>
        </w:rPr>
        <w:t>'</w:t>
      </w:r>
      <w:r w:rsidR="008A3FA2" w:rsidRPr="000C6ABF">
        <w:rPr>
          <w:lang w:val="fr-CH"/>
        </w:rPr>
        <w:t>engagement de</w:t>
      </w:r>
      <w:r w:rsidR="00072139" w:rsidRPr="000C6ABF">
        <w:rPr>
          <w:lang w:val="fr-CH"/>
        </w:rPr>
        <w:t>s</w:t>
      </w:r>
      <w:r w:rsidR="008A3FA2" w:rsidRPr="000C6ABF">
        <w:rPr>
          <w:lang w:val="fr-CH"/>
        </w:rPr>
        <w:t xml:space="preserve"> dépenses</w:t>
      </w:r>
      <w:r w:rsidR="00072139" w:rsidRPr="000C6ABF">
        <w:rPr>
          <w:lang w:val="fr-CH"/>
        </w:rPr>
        <w:t xml:space="preserve">, assortie des </w:t>
      </w:r>
      <w:r w:rsidR="008A3FA2" w:rsidRPr="000C6ABF">
        <w:rPr>
          <w:lang w:val="fr-CH"/>
        </w:rPr>
        <w:t>autorisations pertinentes</w:t>
      </w:r>
      <w:r w:rsidR="00072139" w:rsidRPr="000C6ABF">
        <w:rPr>
          <w:lang w:val="fr-CH"/>
        </w:rPr>
        <w:t>,</w:t>
      </w:r>
      <w:r w:rsidR="008A3FA2" w:rsidRPr="000C6ABF">
        <w:rPr>
          <w:lang w:val="fr-CH"/>
        </w:rPr>
        <w:t xml:space="preserve"> </w:t>
      </w:r>
      <w:r w:rsidR="00072139" w:rsidRPr="000C6ABF">
        <w:rPr>
          <w:lang w:val="fr-CH"/>
        </w:rPr>
        <w:t>mais c</w:t>
      </w:r>
      <w:r w:rsidR="008A3FA2" w:rsidRPr="000C6ABF">
        <w:rPr>
          <w:lang w:val="fr-CH"/>
        </w:rPr>
        <w:t xml:space="preserve">ela pourrait </w:t>
      </w:r>
      <w:r w:rsidR="00072139" w:rsidRPr="000C6ABF">
        <w:rPr>
          <w:lang w:val="fr-CH"/>
        </w:rPr>
        <w:t xml:space="preserve">constituer </w:t>
      </w:r>
      <w:r w:rsidR="008A3FA2" w:rsidRPr="000C6ABF">
        <w:rPr>
          <w:lang w:val="fr-CH"/>
        </w:rPr>
        <w:t xml:space="preserve">un inconvénient </w:t>
      </w:r>
      <w:r w:rsidR="00072139" w:rsidRPr="000C6ABF">
        <w:rPr>
          <w:lang w:val="fr-CH"/>
        </w:rPr>
        <w:t xml:space="preserve">dans le cas où l'on aurait besoin, </w:t>
      </w:r>
      <w:r w:rsidR="008A3FA2" w:rsidRPr="000C6ABF">
        <w:rPr>
          <w:lang w:val="fr-CH"/>
        </w:rPr>
        <w:t xml:space="preserve">pour des audits particuliers dans des domaines sensibles, de compétences qui ne sont pas disponibles </w:t>
      </w:r>
      <w:r w:rsidR="00072139" w:rsidRPr="000C6ABF">
        <w:rPr>
          <w:lang w:val="fr-CH"/>
        </w:rPr>
        <w:t xml:space="preserve">au sein de </w:t>
      </w:r>
      <w:r w:rsidR="008A3FA2" w:rsidRPr="000C6ABF">
        <w:rPr>
          <w:lang w:val="fr-CH"/>
        </w:rPr>
        <w:t>l</w:t>
      </w:r>
      <w:r w:rsidR="00AB0C69" w:rsidRPr="000C6ABF">
        <w:rPr>
          <w:lang w:val="fr-CH"/>
        </w:rPr>
        <w:t>'</w:t>
      </w:r>
      <w:r w:rsidR="008A3FA2" w:rsidRPr="000C6ABF">
        <w:rPr>
          <w:lang w:val="fr-CH"/>
        </w:rPr>
        <w:t>Unité de l</w:t>
      </w:r>
      <w:r w:rsidR="00AB0C69" w:rsidRPr="000C6ABF">
        <w:rPr>
          <w:lang w:val="fr-CH"/>
        </w:rPr>
        <w:t>'</w:t>
      </w:r>
      <w:r w:rsidR="008A3FA2" w:rsidRPr="000C6ABF">
        <w:rPr>
          <w:lang w:val="fr-CH"/>
        </w:rPr>
        <w:t>audit interne</w:t>
      </w:r>
      <w:r w:rsidRPr="000C6ABF">
        <w:rPr>
          <w:lang w:val="fr-CH"/>
        </w:rPr>
        <w:t>.</w:t>
      </w:r>
    </w:p>
    <w:tbl>
      <w:tblPr>
        <w:tblStyle w:val="TableGrid"/>
        <w:tblW w:w="0" w:type="auto"/>
        <w:tblLook w:val="04A0" w:firstRow="1" w:lastRow="0" w:firstColumn="1" w:lastColumn="0" w:noHBand="0" w:noVBand="1"/>
      </w:tblPr>
      <w:tblGrid>
        <w:gridCol w:w="9629"/>
      </w:tblGrid>
      <w:tr w:rsidR="00B95E84" w:rsidRPr="000C6ABF" w:rsidTr="00E12F57">
        <w:tc>
          <w:tcPr>
            <w:tcW w:w="9629" w:type="dxa"/>
          </w:tcPr>
          <w:p w:rsidR="00B95E84" w:rsidRPr="000C6ABF" w:rsidRDefault="00B95E84" w:rsidP="009E3573">
            <w:pPr>
              <w:spacing w:after="120"/>
              <w:rPr>
                <w:b/>
                <w:bCs/>
                <w:u w:val="single"/>
                <w:lang w:val="fr-CH"/>
              </w:rPr>
            </w:pPr>
            <w:r w:rsidRPr="000C6ABF">
              <w:rPr>
                <w:b/>
                <w:bCs/>
                <w:u w:val="single"/>
                <w:lang w:val="fr-CH"/>
              </w:rPr>
              <w:t>Suggestion N° 9</w:t>
            </w:r>
          </w:p>
          <w:p w:rsidR="00B95E84" w:rsidRPr="000C6ABF" w:rsidRDefault="00B95E84" w:rsidP="009E3573">
            <w:pPr>
              <w:spacing w:after="120"/>
              <w:rPr>
                <w:lang w:val="fr-CH"/>
              </w:rPr>
            </w:pPr>
            <w:r w:rsidRPr="000C6ABF">
              <w:rPr>
                <w:bCs/>
                <w:lang w:val="fr-CH"/>
              </w:rPr>
              <w:t>159</w:t>
            </w:r>
            <w:r w:rsidRPr="000C6ABF">
              <w:rPr>
                <w:bCs/>
                <w:lang w:val="fr-CH"/>
              </w:rPr>
              <w:tab/>
            </w:r>
            <w:r w:rsidR="008A3FA2" w:rsidRPr="000C6ABF">
              <w:rPr>
                <w:bCs/>
                <w:lang w:val="fr-CH"/>
              </w:rPr>
              <w:t xml:space="preserve">Nous suggérons, </w:t>
            </w:r>
            <w:r w:rsidR="009E3573" w:rsidRPr="000C6ABF">
              <w:rPr>
                <w:bCs/>
                <w:lang w:val="fr-CH"/>
              </w:rPr>
              <w:t>pour donner davantage d'</w:t>
            </w:r>
            <w:r w:rsidR="008A3FA2" w:rsidRPr="000C6ABF">
              <w:rPr>
                <w:bCs/>
                <w:lang w:val="fr-CH"/>
              </w:rPr>
              <w:t xml:space="preserve">autonomie </w:t>
            </w:r>
            <w:r w:rsidR="009E3573" w:rsidRPr="000C6ABF">
              <w:rPr>
                <w:bCs/>
                <w:lang w:val="fr-CH"/>
              </w:rPr>
              <w:t xml:space="preserve">à </w:t>
            </w:r>
            <w:r w:rsidR="008A3FA2" w:rsidRPr="000C6ABF">
              <w:rPr>
                <w:bCs/>
                <w:lang w:val="fr-CH"/>
              </w:rPr>
              <w:t>l</w:t>
            </w:r>
            <w:r w:rsidR="00AB0C69" w:rsidRPr="000C6ABF">
              <w:rPr>
                <w:bCs/>
                <w:lang w:val="fr-CH"/>
              </w:rPr>
              <w:t>'</w:t>
            </w:r>
            <w:r w:rsidR="008A3FA2" w:rsidRPr="000C6ABF">
              <w:rPr>
                <w:bCs/>
                <w:lang w:val="fr-CH"/>
              </w:rPr>
              <w:t>Unité de l</w:t>
            </w:r>
            <w:r w:rsidR="00AB0C69" w:rsidRPr="000C6ABF">
              <w:rPr>
                <w:bCs/>
                <w:lang w:val="fr-CH"/>
              </w:rPr>
              <w:t>'</w:t>
            </w:r>
            <w:r w:rsidR="008A3FA2" w:rsidRPr="000C6ABF">
              <w:rPr>
                <w:bCs/>
                <w:lang w:val="fr-CH"/>
              </w:rPr>
              <w:t xml:space="preserve">audit interne, que le Chef de cette Unité </w:t>
            </w:r>
            <w:r w:rsidR="009E3573" w:rsidRPr="000C6ABF">
              <w:rPr>
                <w:bCs/>
                <w:lang w:val="fr-CH"/>
              </w:rPr>
              <w:t xml:space="preserve">indique, si nécessaire, dès le </w:t>
            </w:r>
            <w:r w:rsidR="008A3FA2" w:rsidRPr="000C6ABF">
              <w:rPr>
                <w:bCs/>
                <w:lang w:val="fr-CH"/>
              </w:rPr>
              <w:t>processus d</w:t>
            </w:r>
            <w:r w:rsidR="00AB0C69" w:rsidRPr="000C6ABF">
              <w:rPr>
                <w:bCs/>
                <w:lang w:val="fr-CH"/>
              </w:rPr>
              <w:t>'</w:t>
            </w:r>
            <w:r w:rsidR="008A3FA2" w:rsidRPr="000C6ABF">
              <w:rPr>
                <w:bCs/>
                <w:lang w:val="fr-CH"/>
              </w:rPr>
              <w:t xml:space="preserve">approbation du plan de travail annuel, </w:t>
            </w:r>
            <w:r w:rsidR="009E3573" w:rsidRPr="000C6ABF">
              <w:rPr>
                <w:bCs/>
                <w:lang w:val="fr-CH"/>
              </w:rPr>
              <w:t xml:space="preserve">le </w:t>
            </w:r>
            <w:r w:rsidR="008A3FA2" w:rsidRPr="000C6ABF">
              <w:rPr>
                <w:bCs/>
                <w:lang w:val="fr-CH"/>
              </w:rPr>
              <w:t xml:space="preserve">montant nécessaire pour </w:t>
            </w:r>
            <w:r w:rsidR="009E3573" w:rsidRPr="000C6ABF">
              <w:rPr>
                <w:bCs/>
                <w:lang w:val="fr-CH"/>
              </w:rPr>
              <w:t xml:space="preserve">recruter des </w:t>
            </w:r>
            <w:r w:rsidR="008A3FA2" w:rsidRPr="000C6ABF">
              <w:rPr>
                <w:bCs/>
                <w:lang w:val="fr-CH"/>
              </w:rPr>
              <w:t>professionnels compétents. Ainsi, le Secrétaire général</w:t>
            </w:r>
            <w:r w:rsidR="009E3573" w:rsidRPr="000C6ABF">
              <w:rPr>
                <w:bCs/>
                <w:lang w:val="fr-CH"/>
              </w:rPr>
              <w:t>,</w:t>
            </w:r>
            <w:r w:rsidR="008A3FA2" w:rsidRPr="000C6ABF">
              <w:rPr>
                <w:bCs/>
                <w:lang w:val="fr-CH"/>
              </w:rPr>
              <w:t xml:space="preserve"> et indirectement le CCIG</w:t>
            </w:r>
            <w:r w:rsidR="009E3573" w:rsidRPr="000C6ABF">
              <w:rPr>
                <w:bCs/>
                <w:lang w:val="fr-CH"/>
              </w:rPr>
              <w:t>,</w:t>
            </w:r>
            <w:r w:rsidR="008A3FA2" w:rsidRPr="000C6ABF">
              <w:rPr>
                <w:bCs/>
                <w:lang w:val="fr-CH"/>
              </w:rPr>
              <w:t xml:space="preserve"> pourr</w:t>
            </w:r>
            <w:r w:rsidR="009E3573" w:rsidRPr="000C6ABF">
              <w:rPr>
                <w:bCs/>
                <w:lang w:val="fr-CH"/>
              </w:rPr>
              <w:t>aie</w:t>
            </w:r>
            <w:r w:rsidR="008A3FA2" w:rsidRPr="000C6ABF">
              <w:rPr>
                <w:bCs/>
                <w:lang w:val="fr-CH"/>
              </w:rPr>
              <w:t>nt ou non approuv</w:t>
            </w:r>
            <w:r w:rsidR="009E3573" w:rsidRPr="000C6ABF">
              <w:rPr>
                <w:bCs/>
                <w:lang w:val="fr-CH"/>
              </w:rPr>
              <w:t>er</w:t>
            </w:r>
            <w:r w:rsidR="008A3FA2" w:rsidRPr="000C6ABF">
              <w:rPr>
                <w:bCs/>
                <w:lang w:val="fr-CH"/>
              </w:rPr>
              <w:t xml:space="preserve"> le</w:t>
            </w:r>
            <w:r w:rsidR="009E3573" w:rsidRPr="000C6ABF">
              <w:rPr>
                <w:bCs/>
                <w:lang w:val="fr-CH"/>
              </w:rPr>
              <w:t xml:space="preserve"> montant</w:t>
            </w:r>
            <w:r w:rsidR="008A3FA2" w:rsidRPr="000C6ABF">
              <w:rPr>
                <w:bCs/>
                <w:lang w:val="fr-CH"/>
              </w:rPr>
              <w:t xml:space="preserve"> </w:t>
            </w:r>
            <w:r w:rsidR="009E3573" w:rsidRPr="000C6ABF">
              <w:rPr>
                <w:bCs/>
                <w:lang w:val="fr-CH"/>
              </w:rPr>
              <w:t xml:space="preserve">inscrit au budget </w:t>
            </w:r>
            <w:r w:rsidR="008A3FA2" w:rsidRPr="000C6ABF">
              <w:rPr>
                <w:bCs/>
                <w:lang w:val="fr-CH"/>
              </w:rPr>
              <w:t>et, par la suite, l</w:t>
            </w:r>
            <w:r w:rsidR="00AB0C69" w:rsidRPr="000C6ABF">
              <w:rPr>
                <w:bCs/>
                <w:lang w:val="fr-CH"/>
              </w:rPr>
              <w:t>'</w:t>
            </w:r>
            <w:r w:rsidR="008A3FA2" w:rsidRPr="000C6ABF">
              <w:rPr>
                <w:bCs/>
                <w:lang w:val="fr-CH"/>
              </w:rPr>
              <w:t>Unité de l</w:t>
            </w:r>
            <w:r w:rsidR="00AB0C69" w:rsidRPr="000C6ABF">
              <w:rPr>
                <w:bCs/>
                <w:lang w:val="fr-CH"/>
              </w:rPr>
              <w:t>'</w:t>
            </w:r>
            <w:r w:rsidR="008A3FA2" w:rsidRPr="000C6ABF">
              <w:rPr>
                <w:bCs/>
                <w:lang w:val="fr-CH"/>
              </w:rPr>
              <w:t>audit interne pourra</w:t>
            </w:r>
            <w:r w:rsidR="009E3573" w:rsidRPr="000C6ABF">
              <w:rPr>
                <w:bCs/>
                <w:lang w:val="fr-CH"/>
              </w:rPr>
              <w:t>it</w:t>
            </w:r>
            <w:r w:rsidR="008A3FA2" w:rsidRPr="000C6ABF">
              <w:rPr>
                <w:bCs/>
                <w:lang w:val="fr-CH"/>
              </w:rPr>
              <w:t xml:space="preserve"> gérer directement la somme </w:t>
            </w:r>
            <w:r w:rsidR="009E3573" w:rsidRPr="000C6ABF">
              <w:rPr>
                <w:bCs/>
                <w:lang w:val="fr-CH"/>
              </w:rPr>
              <w:t xml:space="preserve">allouée </w:t>
            </w:r>
            <w:r w:rsidR="008A3FA2" w:rsidRPr="000C6ABF">
              <w:rPr>
                <w:bCs/>
                <w:lang w:val="fr-CH"/>
              </w:rPr>
              <w:t>pour les services contractuels, si nécessaire dans le courant de l</w:t>
            </w:r>
            <w:r w:rsidR="00AB0C69" w:rsidRPr="000C6ABF">
              <w:rPr>
                <w:bCs/>
                <w:lang w:val="fr-CH"/>
              </w:rPr>
              <w:t>'</w:t>
            </w:r>
            <w:r w:rsidR="008A3FA2" w:rsidRPr="000C6ABF">
              <w:rPr>
                <w:bCs/>
                <w:lang w:val="fr-CH"/>
              </w:rPr>
              <w:t xml:space="preserve">année, </w:t>
            </w:r>
            <w:r w:rsidR="009E3573" w:rsidRPr="000C6ABF">
              <w:rPr>
                <w:bCs/>
                <w:lang w:val="fr-CH"/>
              </w:rPr>
              <w:t xml:space="preserve">dans le respect </w:t>
            </w:r>
            <w:r w:rsidR="008A3FA2" w:rsidRPr="000C6ABF">
              <w:rPr>
                <w:bCs/>
                <w:lang w:val="fr-CH"/>
              </w:rPr>
              <w:t>de la procédure suivie à l</w:t>
            </w:r>
            <w:r w:rsidR="00AB0C69" w:rsidRPr="000C6ABF">
              <w:rPr>
                <w:bCs/>
                <w:lang w:val="fr-CH"/>
              </w:rPr>
              <w:t>'</w:t>
            </w:r>
            <w:r w:rsidR="008A3FA2" w:rsidRPr="000C6ABF">
              <w:rPr>
                <w:bCs/>
                <w:lang w:val="fr-CH"/>
              </w:rPr>
              <w:t>UIT pour les engagements de dépenses.</w:t>
            </w:r>
          </w:p>
        </w:tc>
      </w:tr>
      <w:tr w:rsidR="00B95E84" w:rsidRPr="000C6ABF" w:rsidTr="00672E71">
        <w:trPr>
          <w:cantSplit/>
        </w:trPr>
        <w:tc>
          <w:tcPr>
            <w:tcW w:w="9629" w:type="dxa"/>
          </w:tcPr>
          <w:p w:rsidR="00B95E84" w:rsidRPr="000C6ABF" w:rsidRDefault="00B95E84" w:rsidP="00AB0C69">
            <w:pPr>
              <w:rPr>
                <w:b/>
                <w:bCs/>
                <w:u w:val="single"/>
                <w:lang w:val="fr-CH"/>
              </w:rPr>
            </w:pPr>
            <w:r w:rsidRPr="000C6ABF">
              <w:rPr>
                <w:b/>
                <w:bCs/>
                <w:u w:val="single"/>
                <w:lang w:val="fr-CH"/>
              </w:rPr>
              <w:lastRenderedPageBreak/>
              <w:t>Commentaires du Secrétaire général:</w:t>
            </w:r>
          </w:p>
          <w:p w:rsidR="00B95E84" w:rsidRPr="000C6ABF" w:rsidRDefault="000F2C0C" w:rsidP="00054975">
            <w:pPr>
              <w:rPr>
                <w:lang w:val="fr-CH"/>
              </w:rPr>
            </w:pPr>
            <w:r w:rsidRPr="000C6ABF">
              <w:rPr>
                <w:lang w:val="fr-CH"/>
              </w:rPr>
              <w:t>Pendant l</w:t>
            </w:r>
            <w:r w:rsidR="00AB0C69" w:rsidRPr="000C6ABF">
              <w:rPr>
                <w:lang w:val="fr-CH"/>
              </w:rPr>
              <w:t>'</w:t>
            </w:r>
            <w:r w:rsidRPr="000C6ABF">
              <w:rPr>
                <w:lang w:val="fr-CH"/>
              </w:rPr>
              <w:t>exercice annuel</w:t>
            </w:r>
            <w:r w:rsidR="00054975" w:rsidRPr="000C6ABF">
              <w:rPr>
                <w:lang w:val="fr-CH"/>
              </w:rPr>
              <w:t xml:space="preserve"> de planification de l'audit, ou</w:t>
            </w:r>
            <w:r w:rsidR="00E8707D" w:rsidRPr="000C6ABF">
              <w:rPr>
                <w:lang w:val="fr-CH"/>
              </w:rPr>
              <w:t xml:space="preserve"> chaque fois que cela est nécessaire pendant l</w:t>
            </w:r>
            <w:r w:rsidR="00AB0C69" w:rsidRPr="000C6ABF">
              <w:rPr>
                <w:lang w:val="fr-CH"/>
              </w:rPr>
              <w:t>'</w:t>
            </w:r>
            <w:r w:rsidR="00E8707D" w:rsidRPr="000C6ABF">
              <w:rPr>
                <w:lang w:val="fr-CH"/>
              </w:rPr>
              <w:t>année, le Chef de l</w:t>
            </w:r>
            <w:r w:rsidR="00AB0C69" w:rsidRPr="000C6ABF">
              <w:rPr>
                <w:lang w:val="fr-CH"/>
              </w:rPr>
              <w:t>'</w:t>
            </w:r>
            <w:r w:rsidR="00E8707D" w:rsidRPr="000C6ABF">
              <w:rPr>
                <w:lang w:val="fr-CH"/>
              </w:rPr>
              <w:t>Unité de l</w:t>
            </w:r>
            <w:r w:rsidR="00AB0C69" w:rsidRPr="000C6ABF">
              <w:rPr>
                <w:lang w:val="fr-CH"/>
              </w:rPr>
              <w:t>'</w:t>
            </w:r>
            <w:r w:rsidR="00E8707D" w:rsidRPr="000C6ABF">
              <w:rPr>
                <w:lang w:val="fr-CH"/>
              </w:rPr>
              <w:t xml:space="preserve">audit interne </w:t>
            </w:r>
            <w:r w:rsidR="00054975" w:rsidRPr="000C6ABF">
              <w:rPr>
                <w:lang w:val="fr-CH"/>
              </w:rPr>
              <w:t>déterminera</w:t>
            </w:r>
            <w:r w:rsidR="00E8707D" w:rsidRPr="000C6ABF">
              <w:rPr>
                <w:lang w:val="fr-CH"/>
              </w:rPr>
              <w:t xml:space="preserve"> si des compétences particulières sont nécessaires. </w:t>
            </w:r>
            <w:r w:rsidR="00054975" w:rsidRPr="000C6ABF">
              <w:rPr>
                <w:lang w:val="fr-CH"/>
              </w:rPr>
              <w:t xml:space="preserve">Le </w:t>
            </w:r>
            <w:r w:rsidR="00E8707D" w:rsidRPr="000C6ABF">
              <w:rPr>
                <w:lang w:val="fr-CH"/>
              </w:rPr>
              <w:t xml:space="preserve">Secrétaire général </w:t>
            </w:r>
            <w:r w:rsidR="00054975" w:rsidRPr="000C6ABF">
              <w:rPr>
                <w:lang w:val="fr-CH"/>
              </w:rPr>
              <w:t xml:space="preserve">pourra ainsi dégager </w:t>
            </w:r>
            <w:r w:rsidR="00E8707D" w:rsidRPr="000C6ABF">
              <w:rPr>
                <w:lang w:val="fr-CH"/>
              </w:rPr>
              <w:t>des ressources dans le budget général de l</w:t>
            </w:r>
            <w:r w:rsidR="00AB0C69" w:rsidRPr="000C6ABF">
              <w:rPr>
                <w:lang w:val="fr-CH"/>
              </w:rPr>
              <w:t>'</w:t>
            </w:r>
            <w:r w:rsidR="00E8707D" w:rsidRPr="000C6ABF">
              <w:rPr>
                <w:lang w:val="fr-CH"/>
              </w:rPr>
              <w:t>Union.</w:t>
            </w:r>
          </w:p>
        </w:tc>
      </w:tr>
    </w:tbl>
    <w:p w:rsidR="00AF180E" w:rsidRPr="000C6ABF" w:rsidRDefault="00E8707D" w:rsidP="00AB0C69">
      <w:pPr>
        <w:pStyle w:val="Headingb"/>
        <w:rPr>
          <w:lang w:val="fr-CH"/>
        </w:rPr>
      </w:pPr>
      <w:bookmarkStart w:id="327" w:name="_Toc398277665"/>
      <w:bookmarkStart w:id="328" w:name="_Toc392672737"/>
      <w:bookmarkStart w:id="329" w:name="_Toc396386993"/>
      <w:bookmarkStart w:id="330" w:name="_Toc396387866"/>
      <w:bookmarkStart w:id="331" w:name="_Toc396387980"/>
      <w:r w:rsidRPr="000C6ABF">
        <w:rPr>
          <w:lang w:val="fr-CH"/>
        </w:rPr>
        <w:t>Coopération entre l</w:t>
      </w:r>
      <w:r w:rsidR="00AB0C69" w:rsidRPr="000C6ABF">
        <w:rPr>
          <w:lang w:val="fr-CH"/>
        </w:rPr>
        <w:t>'</w:t>
      </w:r>
      <w:r w:rsidRPr="000C6ABF">
        <w:rPr>
          <w:lang w:val="fr-CH"/>
        </w:rPr>
        <w:t>Auditeur interne et le Vérificateur extérieur des comptes</w:t>
      </w:r>
      <w:bookmarkEnd w:id="327"/>
      <w:r w:rsidRPr="000C6ABF">
        <w:rPr>
          <w:lang w:val="fr-CH"/>
        </w:rPr>
        <w:t xml:space="preserve"> </w:t>
      </w:r>
      <w:bookmarkEnd w:id="328"/>
      <w:bookmarkEnd w:id="329"/>
      <w:bookmarkEnd w:id="330"/>
      <w:bookmarkEnd w:id="331"/>
    </w:p>
    <w:p w:rsidR="00AF180E" w:rsidRPr="000C6ABF" w:rsidRDefault="00AF180E" w:rsidP="00E830F1">
      <w:pPr>
        <w:rPr>
          <w:lang w:val="fr-CH"/>
        </w:rPr>
      </w:pPr>
      <w:r w:rsidRPr="000C6ABF">
        <w:rPr>
          <w:lang w:val="fr-CH"/>
        </w:rPr>
        <w:t>160</w:t>
      </w:r>
      <w:r w:rsidRPr="000C6ABF">
        <w:rPr>
          <w:lang w:val="fr-CH"/>
        </w:rPr>
        <w:tab/>
      </w:r>
      <w:r w:rsidR="00E8707D" w:rsidRPr="000C6ABF">
        <w:rPr>
          <w:lang w:val="fr-CH"/>
        </w:rPr>
        <w:t>Pour ce qui est des règles figurant dans le Manuel d</w:t>
      </w:r>
      <w:r w:rsidR="00054975" w:rsidRPr="000C6ABF">
        <w:rPr>
          <w:lang w:val="fr-CH"/>
        </w:rPr>
        <w:t>e l</w:t>
      </w:r>
      <w:r w:rsidR="00AB0C69" w:rsidRPr="000C6ABF">
        <w:rPr>
          <w:lang w:val="fr-CH"/>
        </w:rPr>
        <w:t>'</w:t>
      </w:r>
      <w:r w:rsidR="00E8707D" w:rsidRPr="000C6ABF">
        <w:rPr>
          <w:lang w:val="fr-CH"/>
        </w:rPr>
        <w:t>audit interne de l</w:t>
      </w:r>
      <w:r w:rsidR="00AB0C69" w:rsidRPr="000C6ABF">
        <w:rPr>
          <w:lang w:val="fr-CH"/>
        </w:rPr>
        <w:t>'</w:t>
      </w:r>
      <w:r w:rsidR="00E8707D" w:rsidRPr="000C6ABF">
        <w:rPr>
          <w:lang w:val="fr-CH"/>
        </w:rPr>
        <w:t xml:space="preserve">UIT, même si la communication avec le Vérificateur extérieur des comptes peut toujours être améliorée, </w:t>
      </w:r>
      <w:r w:rsidR="00054975" w:rsidRPr="000C6ABF">
        <w:rPr>
          <w:lang w:val="fr-CH"/>
        </w:rPr>
        <w:t>nous reconnaissons que nous avons toujours reçu</w:t>
      </w:r>
      <w:r w:rsidR="00E8707D" w:rsidRPr="000C6ABF">
        <w:rPr>
          <w:lang w:val="fr-CH"/>
        </w:rPr>
        <w:t xml:space="preserve"> à ce jour</w:t>
      </w:r>
      <w:r w:rsidR="00054975" w:rsidRPr="000C6ABF">
        <w:rPr>
          <w:lang w:val="fr-CH"/>
        </w:rPr>
        <w:t>, dans les délais voulus,</w:t>
      </w:r>
      <w:r w:rsidR="00E8707D" w:rsidRPr="000C6ABF">
        <w:rPr>
          <w:lang w:val="fr-CH"/>
        </w:rPr>
        <w:t xml:space="preserve"> un flux constant d</w:t>
      </w:r>
      <w:r w:rsidR="00AB0C69" w:rsidRPr="000C6ABF">
        <w:rPr>
          <w:lang w:val="fr-CH"/>
        </w:rPr>
        <w:t>'</w:t>
      </w:r>
      <w:r w:rsidR="00E8707D" w:rsidRPr="000C6ABF">
        <w:rPr>
          <w:lang w:val="fr-CH"/>
        </w:rPr>
        <w:t>information</w:t>
      </w:r>
      <w:r w:rsidR="00054975" w:rsidRPr="000C6ABF">
        <w:rPr>
          <w:lang w:val="fr-CH"/>
        </w:rPr>
        <w:t>s</w:t>
      </w:r>
      <w:r w:rsidR="00E8707D" w:rsidRPr="000C6ABF">
        <w:rPr>
          <w:lang w:val="fr-CH"/>
        </w:rPr>
        <w:t xml:space="preserve"> de l</w:t>
      </w:r>
      <w:r w:rsidR="00AB0C69" w:rsidRPr="000C6ABF">
        <w:rPr>
          <w:lang w:val="fr-CH"/>
        </w:rPr>
        <w:t>'</w:t>
      </w:r>
      <w:r w:rsidR="00E8707D" w:rsidRPr="000C6ABF">
        <w:rPr>
          <w:lang w:val="fr-CH"/>
        </w:rPr>
        <w:t>Unité de l</w:t>
      </w:r>
      <w:r w:rsidR="00AB0C69" w:rsidRPr="000C6ABF">
        <w:rPr>
          <w:lang w:val="fr-CH"/>
        </w:rPr>
        <w:t>'</w:t>
      </w:r>
      <w:r w:rsidR="00E8707D" w:rsidRPr="000C6ABF">
        <w:rPr>
          <w:lang w:val="fr-CH"/>
        </w:rPr>
        <w:t>audit interne</w:t>
      </w:r>
      <w:r w:rsidRPr="000C6ABF">
        <w:rPr>
          <w:lang w:val="fr-CH"/>
        </w:rPr>
        <w:t>.</w:t>
      </w:r>
    </w:p>
    <w:p w:rsidR="00AF180E" w:rsidRPr="000C6ABF" w:rsidRDefault="00AF180E" w:rsidP="00AB0C69">
      <w:pPr>
        <w:rPr>
          <w:lang w:val="fr-CH"/>
        </w:rPr>
      </w:pPr>
    </w:p>
    <w:p w:rsidR="005D38FB" w:rsidRPr="000C6ABF" w:rsidRDefault="005D38FB" w:rsidP="00AB0C69">
      <w:pPr>
        <w:rPr>
          <w:lang w:val="fr-CH"/>
        </w:rPr>
        <w:sectPr w:rsidR="005D38FB" w:rsidRPr="000C6ABF" w:rsidSect="005C3890">
          <w:headerReference w:type="even" r:id="rId13"/>
          <w:headerReference w:type="default" r:id="rId14"/>
          <w:footerReference w:type="even" r:id="rId15"/>
          <w:footerReference w:type="default" r:id="rId16"/>
          <w:footerReference w:type="first" r:id="rId17"/>
          <w:pgSz w:w="11907" w:h="16840" w:code="9"/>
          <w:pgMar w:top="1418" w:right="1134" w:bottom="1418" w:left="1134" w:header="720" w:footer="720" w:gutter="0"/>
          <w:paperSrc w:first="261" w:other="261"/>
          <w:cols w:space="720"/>
          <w:titlePg/>
        </w:sectPr>
      </w:pPr>
    </w:p>
    <w:p w:rsidR="005D38FB" w:rsidRPr="000C6ABF" w:rsidRDefault="005D38FB" w:rsidP="00304E88">
      <w:pPr>
        <w:pStyle w:val="AnnexNo"/>
        <w:spacing w:before="120"/>
        <w:rPr>
          <w:lang w:val="fr-CH"/>
        </w:rPr>
      </w:pPr>
      <w:bookmarkStart w:id="332" w:name="_Toc396386994"/>
      <w:bookmarkStart w:id="333" w:name="_Toc396387867"/>
      <w:bookmarkStart w:id="334" w:name="_Toc396387981"/>
      <w:bookmarkStart w:id="335" w:name="_Toc398277666"/>
      <w:r w:rsidRPr="000C6ABF">
        <w:rPr>
          <w:lang w:val="fr-CH"/>
        </w:rPr>
        <w:lastRenderedPageBreak/>
        <w:t>annexe 1</w:t>
      </w:r>
      <w:bookmarkEnd w:id="332"/>
      <w:bookmarkEnd w:id="333"/>
      <w:bookmarkEnd w:id="334"/>
      <w:bookmarkEnd w:id="335"/>
    </w:p>
    <w:p w:rsidR="005D38FB" w:rsidRPr="000C6ABF" w:rsidRDefault="005D38FB" w:rsidP="00AB0C69">
      <w:pPr>
        <w:pStyle w:val="Annextitle"/>
        <w:rPr>
          <w:lang w:val="fr-CH"/>
        </w:rPr>
      </w:pPr>
      <w:bookmarkStart w:id="336" w:name="_Toc396386995"/>
      <w:bookmarkStart w:id="337" w:name="_Toc396387868"/>
      <w:bookmarkStart w:id="338" w:name="_Toc396387982"/>
      <w:r w:rsidRPr="000C6ABF">
        <w:rPr>
          <w:lang w:val="fr-CH"/>
        </w:rPr>
        <w:t xml:space="preserve">Suivi des recommandations </w:t>
      </w:r>
      <w:r w:rsidR="0086339A" w:rsidRPr="000C6ABF">
        <w:rPr>
          <w:lang w:val="fr-CH"/>
        </w:rPr>
        <w:t>de</w:t>
      </w:r>
      <w:r w:rsidRPr="000C6ABF">
        <w:rPr>
          <w:lang w:val="fr-CH"/>
        </w:rPr>
        <w:t xml:space="preserve"> notre précédent rapport</w:t>
      </w:r>
      <w:bookmarkEnd w:id="336"/>
      <w:bookmarkEnd w:id="337"/>
      <w:bookmarkEnd w:id="338"/>
    </w:p>
    <w:tbl>
      <w:tblPr>
        <w:tblStyle w:val="TableGrid"/>
        <w:tblW w:w="14567" w:type="dxa"/>
        <w:jc w:val="center"/>
        <w:tblLook w:val="04A0" w:firstRow="1" w:lastRow="0" w:firstColumn="1" w:lastColumn="0" w:noHBand="0" w:noVBand="1"/>
      </w:tblPr>
      <w:tblGrid>
        <w:gridCol w:w="926"/>
        <w:gridCol w:w="3411"/>
        <w:gridCol w:w="3410"/>
        <w:gridCol w:w="3410"/>
        <w:gridCol w:w="3410"/>
      </w:tblGrid>
      <w:tr w:rsidR="002E7127" w:rsidRPr="000C6ABF" w:rsidTr="002E7127">
        <w:trPr>
          <w:jc w:val="center"/>
        </w:trPr>
        <w:tc>
          <w:tcPr>
            <w:tcW w:w="846" w:type="dxa"/>
          </w:tcPr>
          <w:p w:rsidR="002702AF" w:rsidRPr="000C6ABF" w:rsidRDefault="002702AF" w:rsidP="008D027D">
            <w:pPr>
              <w:pStyle w:val="Tablehead"/>
              <w:rPr>
                <w:sz w:val="20"/>
                <w:lang w:val="fr-CH"/>
              </w:rPr>
            </w:pPr>
          </w:p>
        </w:tc>
        <w:tc>
          <w:tcPr>
            <w:tcW w:w="3119" w:type="dxa"/>
          </w:tcPr>
          <w:p w:rsidR="002702AF" w:rsidRPr="000C6ABF" w:rsidRDefault="00B77A59" w:rsidP="008D027D">
            <w:pPr>
              <w:pStyle w:val="Tablehead"/>
              <w:rPr>
                <w:lang w:val="fr-CH"/>
              </w:rPr>
            </w:pPr>
            <w:r w:rsidRPr="000C6ABF">
              <w:rPr>
                <w:lang w:val="fr-CH"/>
              </w:rPr>
              <w:t>Recommandation faite par la</w:t>
            </w:r>
            <w:r w:rsidR="00901D9A" w:rsidRPr="000C6ABF">
              <w:rPr>
                <w:lang w:val="fr-CH"/>
              </w:rPr>
              <w:br/>
            </w:r>
            <w:r w:rsidRPr="000C6ABF">
              <w:rPr>
                <w:lang w:val="fr-CH"/>
              </w:rPr>
              <w:t>Cour des comptes italienne</w:t>
            </w:r>
          </w:p>
        </w:tc>
        <w:tc>
          <w:tcPr>
            <w:tcW w:w="3119" w:type="dxa"/>
          </w:tcPr>
          <w:p w:rsidR="002702AF" w:rsidRPr="000C6ABF" w:rsidRDefault="002702AF" w:rsidP="008D027D">
            <w:pPr>
              <w:pStyle w:val="Tablehead"/>
              <w:rPr>
                <w:lang w:val="fr-CH"/>
              </w:rPr>
            </w:pPr>
            <w:r w:rsidRPr="000C6ABF">
              <w:rPr>
                <w:lang w:val="fr-CH"/>
              </w:rPr>
              <w:t xml:space="preserve">Commentaires formulés par le Secrétaire général lors de la </w:t>
            </w:r>
            <w:r w:rsidR="00B77A59" w:rsidRPr="000C6ABF">
              <w:rPr>
                <w:lang w:val="fr-CH"/>
              </w:rPr>
              <w:t>p</w:t>
            </w:r>
            <w:r w:rsidRPr="000C6ABF">
              <w:rPr>
                <w:lang w:val="fr-CH"/>
              </w:rPr>
              <w:t>ublication du rapport</w:t>
            </w:r>
          </w:p>
        </w:tc>
        <w:tc>
          <w:tcPr>
            <w:tcW w:w="3119" w:type="dxa"/>
          </w:tcPr>
          <w:p w:rsidR="002702AF" w:rsidRPr="000C6ABF" w:rsidRDefault="002702AF" w:rsidP="008D027D">
            <w:pPr>
              <w:pStyle w:val="Tablehead"/>
              <w:rPr>
                <w:lang w:val="fr-CH"/>
              </w:rPr>
            </w:pPr>
            <w:r w:rsidRPr="000C6ABF">
              <w:rPr>
                <w:lang w:val="fr-CH"/>
              </w:rPr>
              <w:t xml:space="preserve">Etat de la situation indiqué </w:t>
            </w:r>
            <w:r w:rsidR="00B77A59" w:rsidRPr="000C6ABF">
              <w:rPr>
                <w:lang w:val="fr-CH"/>
              </w:rPr>
              <w:br/>
            </w:r>
            <w:r w:rsidRPr="000C6ABF">
              <w:rPr>
                <w:lang w:val="fr-CH"/>
              </w:rPr>
              <w:t xml:space="preserve">par la direction de l'UIT </w:t>
            </w:r>
          </w:p>
        </w:tc>
        <w:tc>
          <w:tcPr>
            <w:tcW w:w="3119" w:type="dxa"/>
          </w:tcPr>
          <w:p w:rsidR="002702AF" w:rsidRPr="000C6ABF" w:rsidRDefault="002702AF" w:rsidP="008D027D">
            <w:pPr>
              <w:pStyle w:val="Tablehead"/>
              <w:rPr>
                <w:lang w:val="fr-CH"/>
              </w:rPr>
            </w:pPr>
            <w:r w:rsidRPr="000C6ABF">
              <w:rPr>
                <w:lang w:val="fr-CH"/>
              </w:rPr>
              <w:t>Etat des mesures prises par la direction selon l'évaluation de la Cour des comptes italienne</w:t>
            </w:r>
          </w:p>
        </w:tc>
      </w:tr>
      <w:tr w:rsidR="002E7127" w:rsidRPr="000C6ABF" w:rsidTr="002E7127">
        <w:trPr>
          <w:jc w:val="center"/>
        </w:trPr>
        <w:tc>
          <w:tcPr>
            <w:tcW w:w="846" w:type="dxa"/>
          </w:tcPr>
          <w:p w:rsidR="00EF5F39" w:rsidRPr="000C6ABF" w:rsidRDefault="00EF5F39" w:rsidP="00304E88">
            <w:pPr>
              <w:pStyle w:val="Tabletext"/>
              <w:rPr>
                <w:b/>
                <w:bCs/>
                <w:lang w:val="fr-CH"/>
              </w:rPr>
            </w:pPr>
            <w:r w:rsidRPr="000C6ABF">
              <w:rPr>
                <w:b/>
                <w:bCs/>
                <w:lang w:val="fr-CH"/>
              </w:rPr>
              <w:t>Rec. 1</w:t>
            </w:r>
            <w:r w:rsidRPr="000C6ABF">
              <w:rPr>
                <w:b/>
                <w:bCs/>
                <w:lang w:val="fr-CH"/>
              </w:rPr>
              <w:br/>
              <w:t>2012</w:t>
            </w:r>
          </w:p>
        </w:tc>
        <w:tc>
          <w:tcPr>
            <w:tcW w:w="3119" w:type="dxa"/>
          </w:tcPr>
          <w:p w:rsidR="00EF5F39" w:rsidRPr="000C6ABF" w:rsidRDefault="00E8707D" w:rsidP="00304E88">
            <w:pPr>
              <w:pStyle w:val="Tabletext"/>
              <w:rPr>
                <w:rFonts w:asciiTheme="minorHAnsi" w:eastAsia="Times New Roman" w:hAnsiTheme="minorHAnsi" w:cs="Times New Roman"/>
                <w:b/>
                <w:i/>
                <w:lang w:val="fr-CH" w:eastAsia="it-IT"/>
              </w:rPr>
            </w:pPr>
            <w:r w:rsidRPr="000C6ABF">
              <w:rPr>
                <w:rFonts w:asciiTheme="minorHAnsi" w:eastAsia="Times New Roman" w:hAnsiTheme="minorHAnsi" w:cs="Times New Roman"/>
                <w:b/>
                <w:i/>
                <w:lang w:val="fr-CH" w:eastAsia="it-IT"/>
              </w:rPr>
              <w:t xml:space="preserve">Une double signature devrait être requise pour les montants supérieurs à </w:t>
            </w:r>
            <w:r w:rsidR="00EF5F39" w:rsidRPr="000C6ABF">
              <w:rPr>
                <w:rFonts w:asciiTheme="minorHAnsi" w:eastAsia="Times New Roman" w:hAnsiTheme="minorHAnsi" w:cs="Times New Roman"/>
                <w:b/>
                <w:i/>
                <w:lang w:val="fr-CH" w:eastAsia="it-IT"/>
              </w:rPr>
              <w:t>5 000 CHF</w:t>
            </w:r>
          </w:p>
          <w:p w:rsidR="00EF5F39" w:rsidRPr="000C6ABF" w:rsidRDefault="00EF5F39" w:rsidP="00304E88">
            <w:pPr>
              <w:pStyle w:val="Tabletext"/>
              <w:rPr>
                <w:lang w:val="fr-CH"/>
              </w:rPr>
            </w:pPr>
            <w:r w:rsidRPr="000C6ABF">
              <w:rPr>
                <w:lang w:val="fr-CH"/>
              </w:rPr>
              <w:t xml:space="preserve">Bien que nous comprenions les explications fournies par la direction en ce qui concerne la faisabilité de la mise en </w:t>
            </w:r>
            <w:proofErr w:type="spellStart"/>
            <w:r w:rsidRPr="000C6ABF">
              <w:rPr>
                <w:lang w:val="fr-CH"/>
              </w:rPr>
              <w:t>oeuvre</w:t>
            </w:r>
            <w:proofErr w:type="spellEnd"/>
            <w:r w:rsidRPr="000C6ABF">
              <w:rPr>
                <w:lang w:val="fr-CH"/>
              </w:rPr>
              <w:t xml:space="preserve"> de la double signature dans les bureaux hors siège, selon lesquelles par exemple un seul fonctionnaire de grade P pouvait être présent dans un bureau hors siège, </w:t>
            </w:r>
            <w:r w:rsidRPr="007B5613">
              <w:rPr>
                <w:lang w:val="fr-CH"/>
              </w:rPr>
              <w:t>nous recommandons</w:t>
            </w:r>
            <w:r w:rsidRPr="000C6ABF">
              <w:rPr>
                <w:lang w:val="fr-CH"/>
              </w:rPr>
              <w:t xml:space="preserve"> à la direction de faire en sorte que les opérations financières avec les banques portent chaque fois que possible la double signature pour les montants supérieurs à 5</w:t>
            </w:r>
            <w:r w:rsidR="000767BE" w:rsidRPr="000C6ABF">
              <w:rPr>
                <w:lang w:val="fr-CH"/>
              </w:rPr>
              <w:t> </w:t>
            </w:r>
            <w:r w:rsidRPr="000C6ABF">
              <w:rPr>
                <w:lang w:val="fr-CH"/>
              </w:rPr>
              <w:t>000</w:t>
            </w:r>
            <w:r w:rsidR="000767BE" w:rsidRPr="000C6ABF">
              <w:rPr>
                <w:lang w:val="fr-CH"/>
              </w:rPr>
              <w:t> </w:t>
            </w:r>
            <w:r w:rsidRPr="000C6ABF">
              <w:rPr>
                <w:lang w:val="fr-CH"/>
              </w:rPr>
              <w:t xml:space="preserve">CHF et que, dans les cas où les fonctionnaires responsables gèrent seuls un compte bancaire de l'UIT, ceux-ci reçoivent de la part de la direction une autorisation </w:t>
            </w:r>
            <w:r w:rsidRPr="000C6ABF">
              <w:rPr>
                <w:i/>
                <w:iCs/>
                <w:lang w:val="fr-CH"/>
              </w:rPr>
              <w:t>ex ante</w:t>
            </w:r>
            <w:r w:rsidRPr="000C6ABF">
              <w:rPr>
                <w:lang w:val="fr-CH"/>
              </w:rPr>
              <w:t>.</w:t>
            </w:r>
          </w:p>
        </w:tc>
        <w:tc>
          <w:tcPr>
            <w:tcW w:w="3119" w:type="dxa"/>
          </w:tcPr>
          <w:p w:rsidR="00EF5F39" w:rsidRPr="000C6ABF" w:rsidRDefault="00EF5F39" w:rsidP="00304E88">
            <w:pPr>
              <w:pStyle w:val="Tabletext"/>
              <w:rPr>
                <w:lang w:val="fr-CH"/>
              </w:rPr>
            </w:pPr>
            <w:r w:rsidRPr="000C6ABF">
              <w:rPr>
                <w:lang w:val="fr-CH"/>
              </w:rPr>
              <w:t>Ces procédures sont appliquées chaque fois que possible. Dans le cas des bureaux hors siège où la double signature n'est pas possible en raison de contraintes particulières (contraintes juridiques pour certains pays dans le cas des signatures bancaires), des autorisations spécifiques seront accordées et un contrôle sera effectué.</w:t>
            </w:r>
          </w:p>
        </w:tc>
        <w:tc>
          <w:tcPr>
            <w:tcW w:w="3119" w:type="dxa"/>
          </w:tcPr>
          <w:p w:rsidR="00EF5F39" w:rsidRPr="000C6ABF" w:rsidRDefault="00E8707D" w:rsidP="00304E88">
            <w:pPr>
              <w:pStyle w:val="Tabletext"/>
              <w:rPr>
                <w:lang w:val="fr-CH" w:eastAsia="it-IT"/>
              </w:rPr>
            </w:pPr>
            <w:r w:rsidRPr="000C6ABF">
              <w:rPr>
                <w:lang w:val="fr-CH" w:eastAsia="it-IT"/>
              </w:rPr>
              <w:t>Ces procédures sont appliquées conformément aux commentaires formulés par le Secrétaire général.</w:t>
            </w:r>
          </w:p>
          <w:p w:rsidR="00EF5F39" w:rsidRPr="000C6ABF" w:rsidRDefault="00E8707D" w:rsidP="00304E88">
            <w:pPr>
              <w:pStyle w:val="Tabletext"/>
              <w:rPr>
                <w:lang w:val="fr-CH" w:eastAsia="it-IT"/>
              </w:rPr>
            </w:pPr>
            <w:r w:rsidRPr="000C6ABF">
              <w:rPr>
                <w:lang w:val="fr-CH" w:eastAsia="it-IT"/>
              </w:rPr>
              <w:t>Par ailleurs, il a été procédé à un examen des signatures autorisées et il a été rappelé officiellement aux fonctionnaires des bureaux hors siège de faire rapport activement sur tous les mouvements de personnel susceptible</w:t>
            </w:r>
            <w:r w:rsidR="007B5613">
              <w:rPr>
                <w:lang w:val="fr-CH" w:eastAsia="it-IT"/>
              </w:rPr>
              <w:t>s</w:t>
            </w:r>
            <w:r w:rsidRPr="000C6ABF">
              <w:rPr>
                <w:lang w:val="fr-CH" w:eastAsia="it-IT"/>
              </w:rPr>
              <w:t xml:space="preserve"> d</w:t>
            </w:r>
            <w:r w:rsidR="00AB0C69" w:rsidRPr="000C6ABF">
              <w:rPr>
                <w:lang w:val="fr-CH" w:eastAsia="it-IT"/>
              </w:rPr>
              <w:t>'</w:t>
            </w:r>
            <w:r w:rsidRPr="000C6ABF">
              <w:rPr>
                <w:lang w:val="fr-CH" w:eastAsia="it-IT"/>
              </w:rPr>
              <w:t>avoir une incidence sur les personnes ayant pouvoir de signature. En outre, la note interne du Département de la gestion des ressources financières concernant la délégation de signature</w:t>
            </w:r>
            <w:r w:rsidR="000C76C4" w:rsidRPr="000C6ABF">
              <w:rPr>
                <w:lang w:val="fr-CH" w:eastAsia="it-IT"/>
              </w:rPr>
              <w:t xml:space="preserve"> a été mise </w:t>
            </w:r>
            <w:r w:rsidRPr="000C6ABF">
              <w:rPr>
                <w:lang w:val="fr-CH" w:eastAsia="it-IT"/>
              </w:rPr>
              <w:t>à jour</w:t>
            </w:r>
            <w:r w:rsidR="00B51113" w:rsidRPr="000C6ABF">
              <w:rPr>
                <w:lang w:val="fr-CH" w:eastAsia="it-IT"/>
              </w:rPr>
              <w:t xml:space="preserve"> pour tenir compte des derniers mouvements de personnel ainsi que du seuil de</w:t>
            </w:r>
            <w:r w:rsidRPr="000C6ABF">
              <w:rPr>
                <w:lang w:val="fr-CH" w:eastAsia="it-IT"/>
              </w:rPr>
              <w:t xml:space="preserve"> </w:t>
            </w:r>
            <w:r w:rsidR="00B51113" w:rsidRPr="000C6ABF">
              <w:rPr>
                <w:lang w:val="fr-CH" w:eastAsia="it-IT"/>
              </w:rPr>
              <w:t>5</w:t>
            </w:r>
            <w:r w:rsidR="007B5613">
              <w:rPr>
                <w:lang w:val="fr-CH" w:eastAsia="it-IT"/>
              </w:rPr>
              <w:t xml:space="preserve"> </w:t>
            </w:r>
            <w:r w:rsidR="00B51113" w:rsidRPr="000C6ABF">
              <w:rPr>
                <w:lang w:val="fr-CH" w:eastAsia="it-IT"/>
              </w:rPr>
              <w:t>000</w:t>
            </w:r>
            <w:r w:rsidR="00A47698" w:rsidRPr="000C6ABF">
              <w:rPr>
                <w:lang w:val="fr-CH" w:eastAsia="it-IT"/>
              </w:rPr>
              <w:t xml:space="preserve"> </w:t>
            </w:r>
            <w:r w:rsidR="00D146A9" w:rsidRPr="000C6ABF">
              <w:rPr>
                <w:lang w:val="fr-CH" w:eastAsia="it-IT"/>
              </w:rPr>
              <w:t>USD fixé</w:t>
            </w:r>
            <w:r w:rsidR="00B51113" w:rsidRPr="000C6ABF">
              <w:rPr>
                <w:lang w:val="fr-CH" w:eastAsia="it-IT"/>
              </w:rPr>
              <w:t xml:space="preserve"> pour les bureaux hors sièg</w:t>
            </w:r>
            <w:r w:rsidR="00130573" w:rsidRPr="000C6ABF">
              <w:rPr>
                <w:lang w:val="fr-CH" w:eastAsia="it-IT"/>
              </w:rPr>
              <w:t>e</w:t>
            </w:r>
            <w:r w:rsidR="007B5613">
              <w:rPr>
                <w:lang w:val="fr-CH" w:eastAsia="it-IT"/>
              </w:rPr>
              <w:t>.</w:t>
            </w:r>
          </w:p>
        </w:tc>
        <w:tc>
          <w:tcPr>
            <w:tcW w:w="3119" w:type="dxa"/>
          </w:tcPr>
          <w:p w:rsidR="00EF5F39" w:rsidRPr="000C6ABF" w:rsidRDefault="00B51113" w:rsidP="007B5613">
            <w:pPr>
              <w:pStyle w:val="Tabletext"/>
              <w:rPr>
                <w:lang w:val="fr-CH" w:eastAsia="it-IT"/>
              </w:rPr>
            </w:pPr>
            <w:r w:rsidRPr="000C6ABF">
              <w:rPr>
                <w:lang w:val="fr-CH" w:eastAsia="it-IT"/>
              </w:rPr>
              <w:t>Non mise en œuvre en 2013 compte tenu également de ce qu</w:t>
            </w:r>
            <w:r w:rsidR="00AB0C69" w:rsidRPr="000C6ABF">
              <w:rPr>
                <w:lang w:val="fr-CH" w:eastAsia="it-IT"/>
              </w:rPr>
              <w:t>'</w:t>
            </w:r>
            <w:r w:rsidRPr="000C6ABF">
              <w:rPr>
                <w:lang w:val="fr-CH" w:eastAsia="it-IT"/>
              </w:rPr>
              <w:t>a indiqué l</w:t>
            </w:r>
            <w:r w:rsidR="00AB0C69" w:rsidRPr="000C6ABF">
              <w:rPr>
                <w:lang w:val="fr-CH" w:eastAsia="it-IT"/>
              </w:rPr>
              <w:t>'</w:t>
            </w:r>
            <w:r w:rsidRPr="000C6ABF">
              <w:rPr>
                <w:lang w:val="fr-CH" w:eastAsia="it-IT"/>
              </w:rPr>
              <w:t>Auditeur interne de l</w:t>
            </w:r>
            <w:r w:rsidR="00AB0C69" w:rsidRPr="000C6ABF">
              <w:rPr>
                <w:lang w:val="fr-CH" w:eastAsia="it-IT"/>
              </w:rPr>
              <w:t>'</w:t>
            </w:r>
            <w:r w:rsidRPr="000C6ABF">
              <w:rPr>
                <w:lang w:val="fr-CH" w:eastAsia="it-IT"/>
              </w:rPr>
              <w:t>UIT dans ses rapports sur les bureaux régionaux et les bureaux de zone publiés en 2013.</w:t>
            </w:r>
          </w:p>
          <w:p w:rsidR="00EF5F39" w:rsidRPr="000C6ABF" w:rsidRDefault="00B51113" w:rsidP="00304E88">
            <w:pPr>
              <w:pStyle w:val="Tabletext"/>
              <w:rPr>
                <w:lang w:val="fr-CH" w:eastAsia="it-IT"/>
              </w:rPr>
            </w:pPr>
            <w:r w:rsidRPr="000C6ABF">
              <w:rPr>
                <w:lang w:val="fr-CH" w:eastAsia="it-IT"/>
              </w:rPr>
              <w:t>Nous notons également qu</w:t>
            </w:r>
            <w:r w:rsidR="00AB0C69" w:rsidRPr="000C6ABF">
              <w:rPr>
                <w:lang w:val="fr-CH" w:eastAsia="it-IT"/>
              </w:rPr>
              <w:t>'</w:t>
            </w:r>
            <w:r w:rsidRPr="000C6ABF">
              <w:rPr>
                <w:lang w:val="fr-CH" w:eastAsia="it-IT"/>
              </w:rPr>
              <w:t>une mis</w:t>
            </w:r>
            <w:r w:rsidR="00130573" w:rsidRPr="000C6ABF">
              <w:rPr>
                <w:lang w:val="fr-CH" w:eastAsia="it-IT"/>
              </w:rPr>
              <w:t>e en œuvre est en cours en 2014</w:t>
            </w:r>
            <w:r w:rsidR="00EF5F39" w:rsidRPr="000C6ABF">
              <w:rPr>
                <w:lang w:val="fr-CH" w:eastAsia="it-IT"/>
              </w:rPr>
              <w:t>.</w:t>
            </w:r>
          </w:p>
        </w:tc>
      </w:tr>
    </w:tbl>
    <w:p w:rsidR="002E7127" w:rsidRPr="000C6ABF" w:rsidRDefault="002E7127">
      <w:pPr>
        <w:rPr>
          <w:lang w:val="fr-CH"/>
        </w:rPr>
      </w:pPr>
      <w:r w:rsidRPr="000C6ABF">
        <w:rPr>
          <w:lang w:val="fr-CH"/>
        </w:rPr>
        <w:lastRenderedPageBreak/>
        <w:br w:type="page"/>
      </w:r>
    </w:p>
    <w:tbl>
      <w:tblPr>
        <w:tblStyle w:val="TableGrid"/>
        <w:tblW w:w="14567" w:type="dxa"/>
        <w:jc w:val="center"/>
        <w:tblLook w:val="04A0" w:firstRow="1" w:lastRow="0" w:firstColumn="1" w:lastColumn="0" w:noHBand="0" w:noVBand="1"/>
      </w:tblPr>
      <w:tblGrid>
        <w:gridCol w:w="926"/>
        <w:gridCol w:w="3411"/>
        <w:gridCol w:w="3410"/>
        <w:gridCol w:w="3410"/>
        <w:gridCol w:w="3410"/>
      </w:tblGrid>
      <w:tr w:rsidR="000C6ABF" w:rsidRPr="000C6ABF" w:rsidTr="000C6ABF">
        <w:trPr>
          <w:jc w:val="center"/>
        </w:trPr>
        <w:tc>
          <w:tcPr>
            <w:tcW w:w="926" w:type="dxa"/>
          </w:tcPr>
          <w:p w:rsidR="000C6ABF" w:rsidRPr="000C6ABF" w:rsidRDefault="000C6ABF" w:rsidP="000C6ABF">
            <w:pPr>
              <w:pStyle w:val="Tabletext"/>
              <w:rPr>
                <w:b/>
                <w:bCs/>
                <w:lang w:val="fr-CH"/>
              </w:rPr>
            </w:pPr>
          </w:p>
        </w:tc>
        <w:tc>
          <w:tcPr>
            <w:tcW w:w="3411" w:type="dxa"/>
          </w:tcPr>
          <w:p w:rsidR="000C6ABF" w:rsidRPr="000C6ABF" w:rsidRDefault="000C6ABF" w:rsidP="000C6ABF">
            <w:pPr>
              <w:pStyle w:val="Tablehead"/>
              <w:rPr>
                <w:lang w:val="fr-CH"/>
              </w:rPr>
            </w:pPr>
            <w:r w:rsidRPr="000C6ABF">
              <w:rPr>
                <w:lang w:val="fr-CH"/>
              </w:rPr>
              <w:t>Recommandation faite par la</w:t>
            </w:r>
            <w:r w:rsidRPr="000C6ABF">
              <w:rPr>
                <w:lang w:val="fr-CH"/>
              </w:rPr>
              <w:br/>
              <w:t>Cour des comptes italienne</w:t>
            </w:r>
          </w:p>
        </w:tc>
        <w:tc>
          <w:tcPr>
            <w:tcW w:w="3410" w:type="dxa"/>
          </w:tcPr>
          <w:p w:rsidR="000C6ABF" w:rsidRPr="000C6ABF" w:rsidRDefault="000C6ABF" w:rsidP="000C6ABF">
            <w:pPr>
              <w:pStyle w:val="Tablehead"/>
              <w:rPr>
                <w:lang w:val="fr-CH"/>
              </w:rPr>
            </w:pPr>
            <w:r w:rsidRPr="000C6ABF">
              <w:rPr>
                <w:lang w:val="fr-CH"/>
              </w:rPr>
              <w:t>Commentaires formulés par le Secrétaire général lors de la publication du rapport</w:t>
            </w:r>
          </w:p>
        </w:tc>
        <w:tc>
          <w:tcPr>
            <w:tcW w:w="3410" w:type="dxa"/>
          </w:tcPr>
          <w:p w:rsidR="000C6ABF" w:rsidRPr="000C6ABF" w:rsidRDefault="000C6ABF" w:rsidP="000C6ABF">
            <w:pPr>
              <w:pStyle w:val="Tablehead"/>
              <w:rPr>
                <w:lang w:val="fr-CH"/>
              </w:rPr>
            </w:pPr>
            <w:r w:rsidRPr="000C6ABF">
              <w:rPr>
                <w:lang w:val="fr-CH"/>
              </w:rPr>
              <w:t xml:space="preserve">Etat de la situation indiqué </w:t>
            </w:r>
            <w:r w:rsidRPr="000C6ABF">
              <w:rPr>
                <w:lang w:val="fr-CH"/>
              </w:rPr>
              <w:br/>
              <w:t xml:space="preserve">par la direction de l'UIT </w:t>
            </w:r>
          </w:p>
        </w:tc>
        <w:tc>
          <w:tcPr>
            <w:tcW w:w="3410" w:type="dxa"/>
          </w:tcPr>
          <w:p w:rsidR="000C6ABF" w:rsidRPr="000C6ABF" w:rsidRDefault="000C6ABF" w:rsidP="000C6ABF">
            <w:pPr>
              <w:pStyle w:val="Tablehead"/>
              <w:rPr>
                <w:lang w:val="fr-CH"/>
              </w:rPr>
            </w:pPr>
            <w:r w:rsidRPr="000C6ABF">
              <w:rPr>
                <w:lang w:val="fr-CH"/>
              </w:rPr>
              <w:t>Etat des mesures prises par la direction selon l'évaluation de la Cour des comptes italienne</w:t>
            </w:r>
          </w:p>
        </w:tc>
      </w:tr>
      <w:tr w:rsidR="000C6ABF" w:rsidRPr="000C6ABF" w:rsidTr="000C6ABF">
        <w:trPr>
          <w:jc w:val="center"/>
        </w:trPr>
        <w:tc>
          <w:tcPr>
            <w:tcW w:w="926" w:type="dxa"/>
          </w:tcPr>
          <w:p w:rsidR="000C6ABF" w:rsidRPr="000C6ABF" w:rsidRDefault="000C6ABF" w:rsidP="000C6ABF">
            <w:pPr>
              <w:pStyle w:val="Tabletext"/>
              <w:rPr>
                <w:b/>
                <w:bCs/>
                <w:lang w:val="fr-CH"/>
              </w:rPr>
            </w:pPr>
            <w:r w:rsidRPr="000C6ABF">
              <w:rPr>
                <w:b/>
                <w:bCs/>
                <w:lang w:val="fr-CH"/>
              </w:rPr>
              <w:t>Rec. 2</w:t>
            </w:r>
            <w:r w:rsidRPr="000C6ABF">
              <w:rPr>
                <w:b/>
                <w:bCs/>
                <w:lang w:val="fr-CH"/>
              </w:rPr>
              <w:br/>
              <w:t>2012</w:t>
            </w:r>
          </w:p>
        </w:tc>
        <w:tc>
          <w:tcPr>
            <w:tcW w:w="3411" w:type="dxa"/>
          </w:tcPr>
          <w:p w:rsidR="000C6ABF" w:rsidRPr="000C6ABF" w:rsidRDefault="000C6ABF" w:rsidP="000C6ABF">
            <w:pPr>
              <w:pStyle w:val="Tabletext"/>
              <w:rPr>
                <w:rFonts w:asciiTheme="minorHAnsi" w:hAnsiTheme="minorHAnsi"/>
                <w:lang w:val="fr-CH"/>
              </w:rPr>
            </w:pPr>
            <w:r w:rsidRPr="000C6ABF">
              <w:rPr>
                <w:rFonts w:asciiTheme="minorHAnsi" w:eastAsia="Times New Roman" w:hAnsiTheme="minorHAnsi" w:cs="Times New Roman"/>
                <w:b/>
                <w:bCs/>
                <w:i/>
                <w:iCs/>
                <w:lang w:val="fr-CH" w:eastAsia="it-IT"/>
              </w:rPr>
              <w:t xml:space="preserve">Fonds en caisse dans les bureaux hors siège </w:t>
            </w:r>
          </w:p>
          <w:p w:rsidR="000C6ABF" w:rsidRPr="000C6ABF" w:rsidRDefault="000C6ABF" w:rsidP="000C6ABF">
            <w:pPr>
              <w:pStyle w:val="Tabletext"/>
              <w:rPr>
                <w:lang w:val="fr-CH"/>
              </w:rPr>
            </w:pPr>
            <w:r w:rsidRPr="000C6ABF">
              <w:rPr>
                <w:lang w:val="fr-CH"/>
              </w:rPr>
              <w:t xml:space="preserve">Nous considérons que la différence constatée en raison du problème de rapprochement n'est pas importante en termes de valeur. Néanmoins, </w:t>
            </w:r>
            <w:r w:rsidRPr="007B5613">
              <w:rPr>
                <w:lang w:val="fr-CH"/>
              </w:rPr>
              <w:t>nous recommandons</w:t>
            </w:r>
            <w:r w:rsidRPr="000C6ABF">
              <w:rPr>
                <w:lang w:val="fr-CH"/>
              </w:rPr>
              <w:t xml:space="preserve"> à la direction de renforcer ses contrôles sur les fonds en caisse, en se reportant également à la recommandation formulée par l'Unité de l'audit interne dans ses rapports relatifs à la présence régionale de l'UIT</w:t>
            </w:r>
            <w:r w:rsidR="007B5613">
              <w:rPr>
                <w:lang w:val="fr-CH"/>
              </w:rPr>
              <w:t>.</w:t>
            </w:r>
          </w:p>
        </w:tc>
        <w:tc>
          <w:tcPr>
            <w:tcW w:w="3410" w:type="dxa"/>
          </w:tcPr>
          <w:p w:rsidR="000C6ABF" w:rsidRPr="000C6ABF" w:rsidRDefault="000C6ABF" w:rsidP="000C6ABF">
            <w:pPr>
              <w:pStyle w:val="Tabletext"/>
              <w:rPr>
                <w:lang w:val="fr-CH"/>
              </w:rPr>
            </w:pPr>
            <w:r w:rsidRPr="000C6ABF">
              <w:rPr>
                <w:lang w:val="fr-CH"/>
              </w:rPr>
              <w:t>Le rapprochement de trésorerie est actuellement effectué chaque mois dans les bureaux hors siège. Toute comptabilité effectuée sur une période d'un mois se traduira donc par des problèmes de rapprochement pour cette raison même. Le Département de la gestion des ressources financières (FRMD) fera en sorte qu'un examen du processus actuel soit effectué en 2013. Des rapports d'audit interne établis récemment ont déjà mis en évidence ces problèmes ainsi que les procédures de contrôle interne à appliquer pour atténuer les risques associés. La direction a déjà approuvé ces recommandations et des mesures complémentaires seront prises en 2013.</w:t>
            </w:r>
          </w:p>
        </w:tc>
        <w:tc>
          <w:tcPr>
            <w:tcW w:w="3410" w:type="dxa"/>
          </w:tcPr>
          <w:p w:rsidR="000C6ABF" w:rsidRPr="000C6ABF" w:rsidRDefault="000C6ABF" w:rsidP="000C6ABF">
            <w:pPr>
              <w:pStyle w:val="Tabletext"/>
              <w:rPr>
                <w:lang w:val="fr-CH"/>
              </w:rPr>
            </w:pPr>
            <w:r w:rsidRPr="000C6ABF">
              <w:rPr>
                <w:lang w:val="fr-CH"/>
              </w:rPr>
              <w:t>Le Département de la gestion des ressources financières normalise actuellement les rapports de gestion de la trésorerie et examine le processus de publication dans les états financiers afin d'optimiser le rapprochement des comptes. L'opération sera terminée en 2014.</w:t>
            </w:r>
          </w:p>
        </w:tc>
        <w:tc>
          <w:tcPr>
            <w:tcW w:w="3410" w:type="dxa"/>
          </w:tcPr>
          <w:p w:rsidR="000C6ABF" w:rsidRPr="000C6ABF" w:rsidRDefault="000C6ABF" w:rsidP="000C6ABF">
            <w:pPr>
              <w:pStyle w:val="Tabletext"/>
              <w:rPr>
                <w:lang w:val="fr-CH" w:eastAsia="it-IT"/>
              </w:rPr>
            </w:pPr>
            <w:r w:rsidRPr="000C6ABF">
              <w:rPr>
                <w:lang w:val="fr-CH" w:eastAsia="it-IT"/>
              </w:rPr>
              <w:t>Non mise en œuvre en 2013 compte tenu également de ce qu'a indiqué l'Auditeur interne de l'UIT dans ses rapports sur les bureaux régionaux et les bureaux de zone publiés en 2013.</w:t>
            </w:r>
          </w:p>
          <w:p w:rsidR="000C6ABF" w:rsidRPr="000C6ABF" w:rsidRDefault="000C6ABF" w:rsidP="000C6ABF">
            <w:pPr>
              <w:pStyle w:val="Tabletext"/>
              <w:rPr>
                <w:lang w:val="fr-CH"/>
              </w:rPr>
            </w:pPr>
            <w:r w:rsidRPr="000C6ABF">
              <w:rPr>
                <w:lang w:val="fr-CH" w:eastAsia="it-IT"/>
              </w:rPr>
              <w:t>Nous notons également qu'une mise en œuvre est en cours en 2014</w:t>
            </w:r>
            <w:r w:rsidRPr="000C6ABF">
              <w:rPr>
                <w:lang w:val="fr-CH"/>
              </w:rPr>
              <w:t>.</w:t>
            </w:r>
          </w:p>
        </w:tc>
      </w:tr>
    </w:tbl>
    <w:p w:rsidR="006A3C3F" w:rsidRPr="000C6ABF" w:rsidRDefault="006A3C3F" w:rsidP="00AB0C69">
      <w:pPr>
        <w:tabs>
          <w:tab w:val="clear" w:pos="567"/>
          <w:tab w:val="clear" w:pos="1134"/>
          <w:tab w:val="clear" w:pos="1701"/>
          <w:tab w:val="clear" w:pos="2268"/>
          <w:tab w:val="clear" w:pos="2835"/>
        </w:tabs>
        <w:overflowPunct/>
        <w:autoSpaceDE/>
        <w:autoSpaceDN/>
        <w:adjustRightInd/>
        <w:spacing w:before="0"/>
        <w:textAlignment w:val="auto"/>
        <w:rPr>
          <w:lang w:val="fr-CH"/>
        </w:rPr>
      </w:pPr>
    </w:p>
    <w:p w:rsidR="000C6ABF" w:rsidRDefault="000C6ABF" w:rsidP="00AB0C69">
      <w:pPr>
        <w:tabs>
          <w:tab w:val="clear" w:pos="567"/>
          <w:tab w:val="clear" w:pos="1134"/>
          <w:tab w:val="clear" w:pos="1701"/>
          <w:tab w:val="clear" w:pos="2268"/>
          <w:tab w:val="clear" w:pos="2835"/>
        </w:tabs>
        <w:overflowPunct/>
        <w:autoSpaceDE/>
        <w:autoSpaceDN/>
        <w:adjustRightInd/>
        <w:spacing w:before="0"/>
        <w:textAlignment w:val="auto"/>
        <w:rPr>
          <w:lang w:val="fr-CH"/>
        </w:rPr>
      </w:pPr>
      <w:r>
        <w:rPr>
          <w:lang w:val="fr-CH"/>
        </w:rPr>
        <w:br w:type="page"/>
      </w:r>
    </w:p>
    <w:p w:rsidR="000C6ABF" w:rsidRDefault="000C6ABF" w:rsidP="00AB0C69">
      <w:pPr>
        <w:tabs>
          <w:tab w:val="clear" w:pos="567"/>
          <w:tab w:val="clear" w:pos="1134"/>
          <w:tab w:val="clear" w:pos="1701"/>
          <w:tab w:val="clear" w:pos="2268"/>
          <w:tab w:val="clear" w:pos="2835"/>
        </w:tabs>
        <w:overflowPunct/>
        <w:autoSpaceDE/>
        <w:autoSpaceDN/>
        <w:adjustRightInd/>
        <w:spacing w:before="0"/>
        <w:textAlignment w:val="auto"/>
        <w:rPr>
          <w:lang w:val="fr-CH"/>
        </w:rPr>
      </w:pPr>
    </w:p>
    <w:tbl>
      <w:tblPr>
        <w:tblStyle w:val="TableGrid"/>
        <w:tblW w:w="14567" w:type="dxa"/>
        <w:jc w:val="center"/>
        <w:tblLook w:val="04A0" w:firstRow="1" w:lastRow="0" w:firstColumn="1" w:lastColumn="0" w:noHBand="0" w:noVBand="1"/>
      </w:tblPr>
      <w:tblGrid>
        <w:gridCol w:w="926"/>
        <w:gridCol w:w="3411"/>
        <w:gridCol w:w="3410"/>
        <w:gridCol w:w="3410"/>
        <w:gridCol w:w="3410"/>
      </w:tblGrid>
      <w:tr w:rsidR="000C6ABF" w:rsidRPr="000C6ABF" w:rsidTr="0082771F">
        <w:trPr>
          <w:jc w:val="center"/>
        </w:trPr>
        <w:tc>
          <w:tcPr>
            <w:tcW w:w="926" w:type="dxa"/>
          </w:tcPr>
          <w:p w:rsidR="000C6ABF" w:rsidRPr="000C6ABF" w:rsidRDefault="000C6ABF" w:rsidP="0082771F">
            <w:pPr>
              <w:pStyle w:val="Tabletext"/>
              <w:rPr>
                <w:b/>
                <w:bCs/>
                <w:lang w:val="fr-CH"/>
              </w:rPr>
            </w:pPr>
          </w:p>
        </w:tc>
        <w:tc>
          <w:tcPr>
            <w:tcW w:w="3411" w:type="dxa"/>
          </w:tcPr>
          <w:p w:rsidR="000C6ABF" w:rsidRPr="000C6ABF" w:rsidRDefault="000C6ABF" w:rsidP="0082771F">
            <w:pPr>
              <w:pStyle w:val="Tablehead"/>
              <w:rPr>
                <w:lang w:val="fr-CH"/>
              </w:rPr>
            </w:pPr>
            <w:r w:rsidRPr="000C6ABF">
              <w:rPr>
                <w:lang w:val="fr-CH"/>
              </w:rPr>
              <w:t>Recommandation faite par la</w:t>
            </w:r>
            <w:r w:rsidRPr="000C6ABF">
              <w:rPr>
                <w:lang w:val="fr-CH"/>
              </w:rPr>
              <w:br/>
              <w:t>Cour des comptes italienne</w:t>
            </w:r>
          </w:p>
        </w:tc>
        <w:tc>
          <w:tcPr>
            <w:tcW w:w="3410" w:type="dxa"/>
          </w:tcPr>
          <w:p w:rsidR="000C6ABF" w:rsidRPr="000C6ABF" w:rsidRDefault="000C6ABF" w:rsidP="0082771F">
            <w:pPr>
              <w:pStyle w:val="Tablehead"/>
              <w:rPr>
                <w:lang w:val="fr-CH"/>
              </w:rPr>
            </w:pPr>
            <w:r w:rsidRPr="000C6ABF">
              <w:rPr>
                <w:lang w:val="fr-CH"/>
              </w:rPr>
              <w:t>Commentaires formulés par le Secrétaire général lors de la publication du rapport</w:t>
            </w:r>
          </w:p>
        </w:tc>
        <w:tc>
          <w:tcPr>
            <w:tcW w:w="3410" w:type="dxa"/>
          </w:tcPr>
          <w:p w:rsidR="000C6ABF" w:rsidRPr="000C6ABF" w:rsidRDefault="000C6ABF" w:rsidP="0082771F">
            <w:pPr>
              <w:pStyle w:val="Tablehead"/>
              <w:rPr>
                <w:lang w:val="fr-CH"/>
              </w:rPr>
            </w:pPr>
            <w:r w:rsidRPr="000C6ABF">
              <w:rPr>
                <w:lang w:val="fr-CH"/>
              </w:rPr>
              <w:t xml:space="preserve">Etat de la situation indiqué </w:t>
            </w:r>
            <w:r w:rsidRPr="000C6ABF">
              <w:rPr>
                <w:lang w:val="fr-CH"/>
              </w:rPr>
              <w:br/>
              <w:t xml:space="preserve">par la direction de l'UIT </w:t>
            </w:r>
          </w:p>
        </w:tc>
        <w:tc>
          <w:tcPr>
            <w:tcW w:w="3410" w:type="dxa"/>
          </w:tcPr>
          <w:p w:rsidR="000C6ABF" w:rsidRPr="000C6ABF" w:rsidRDefault="000C6ABF" w:rsidP="0082771F">
            <w:pPr>
              <w:pStyle w:val="Tablehead"/>
              <w:rPr>
                <w:lang w:val="fr-CH"/>
              </w:rPr>
            </w:pPr>
            <w:r w:rsidRPr="000C6ABF">
              <w:rPr>
                <w:lang w:val="fr-CH"/>
              </w:rPr>
              <w:t>Etat des mesures prises par la direction selon l'évaluation de la Cour des comptes italienne</w:t>
            </w:r>
          </w:p>
        </w:tc>
      </w:tr>
      <w:tr w:rsidR="000C6ABF" w:rsidRPr="000C6ABF" w:rsidTr="0082771F">
        <w:trPr>
          <w:jc w:val="center"/>
        </w:trPr>
        <w:tc>
          <w:tcPr>
            <w:tcW w:w="926" w:type="dxa"/>
          </w:tcPr>
          <w:p w:rsidR="000C6ABF" w:rsidRPr="000C6ABF" w:rsidRDefault="000C6ABF" w:rsidP="000C6ABF">
            <w:pPr>
              <w:pStyle w:val="Tabletext"/>
              <w:rPr>
                <w:b/>
                <w:bCs/>
                <w:lang w:val="fr-CH"/>
              </w:rPr>
            </w:pPr>
            <w:r w:rsidRPr="000C6ABF">
              <w:rPr>
                <w:b/>
                <w:bCs/>
                <w:lang w:val="fr-CH"/>
              </w:rPr>
              <w:t>Rec. 3</w:t>
            </w:r>
            <w:r w:rsidRPr="000C6ABF">
              <w:rPr>
                <w:b/>
                <w:bCs/>
                <w:lang w:val="fr-CH"/>
              </w:rPr>
              <w:br/>
              <w:t>2012</w:t>
            </w:r>
          </w:p>
        </w:tc>
        <w:tc>
          <w:tcPr>
            <w:tcW w:w="3411" w:type="dxa"/>
          </w:tcPr>
          <w:p w:rsidR="000C6ABF" w:rsidRPr="000C6ABF" w:rsidRDefault="000C6ABF" w:rsidP="000C6ABF">
            <w:pPr>
              <w:pStyle w:val="Tabletext"/>
              <w:rPr>
                <w:rFonts w:asciiTheme="minorHAnsi" w:eastAsia="Times New Roman" w:hAnsiTheme="minorHAnsi" w:cs="Times New Roman"/>
                <w:b/>
                <w:bCs/>
                <w:i/>
                <w:iCs/>
                <w:lang w:val="fr-CH" w:eastAsia="it-IT"/>
              </w:rPr>
            </w:pPr>
            <w:r w:rsidRPr="000C6ABF">
              <w:rPr>
                <w:rFonts w:asciiTheme="minorHAnsi" w:eastAsia="Times New Roman" w:hAnsiTheme="minorHAnsi" w:cs="Times New Roman"/>
                <w:b/>
                <w:bCs/>
                <w:i/>
                <w:iCs/>
                <w:lang w:val="fr-CH" w:eastAsia="it-IT"/>
              </w:rPr>
              <w:t>"Droit de superficie"</w:t>
            </w:r>
          </w:p>
          <w:p w:rsidR="000C6ABF" w:rsidRPr="000C6ABF" w:rsidRDefault="000C6ABF" w:rsidP="000C6ABF">
            <w:pPr>
              <w:pStyle w:val="Tabletext"/>
              <w:rPr>
                <w:lang w:val="fr-CH"/>
              </w:rPr>
            </w:pPr>
            <w:r w:rsidRPr="000C6ABF">
              <w:rPr>
                <w:lang w:val="fr-CH"/>
              </w:rPr>
              <w:t xml:space="preserve">Etant donné qu'il est important et dans l'intérêt de l'UIT de renouveler le "droit de superficie" qui lui est accordé par l'Etat de Genève depuis 1967, </w:t>
            </w:r>
            <w:r w:rsidRPr="007B5613">
              <w:rPr>
                <w:lang w:val="fr-CH"/>
              </w:rPr>
              <w:t xml:space="preserve">nous recommandons à </w:t>
            </w:r>
            <w:r w:rsidRPr="000C6ABF">
              <w:rPr>
                <w:lang w:val="fr-CH"/>
              </w:rPr>
              <w:t>la direction d'engager, dès que possible, des négociations sur ce sujet avec les autorités compétentes du pays hôte.</w:t>
            </w:r>
          </w:p>
        </w:tc>
        <w:tc>
          <w:tcPr>
            <w:tcW w:w="3410" w:type="dxa"/>
          </w:tcPr>
          <w:p w:rsidR="000C6ABF" w:rsidRPr="000C6ABF" w:rsidRDefault="000C6ABF" w:rsidP="000C6ABF">
            <w:pPr>
              <w:pStyle w:val="Tabletext"/>
              <w:rPr>
                <w:lang w:val="fr-CH"/>
              </w:rPr>
            </w:pPr>
            <w:r w:rsidRPr="000C6ABF">
              <w:rPr>
                <w:lang w:val="fr-CH"/>
              </w:rPr>
              <w:t>Le Conseiller juridique a pris contact dès janvier 2013 avec les autorités compétentes du pays hôte afin d'engager un processus de négociation.</w:t>
            </w:r>
          </w:p>
        </w:tc>
        <w:tc>
          <w:tcPr>
            <w:tcW w:w="3410" w:type="dxa"/>
          </w:tcPr>
          <w:p w:rsidR="000C6ABF" w:rsidRPr="000C6ABF" w:rsidRDefault="000C6ABF" w:rsidP="007B5613">
            <w:pPr>
              <w:pStyle w:val="Tabletext"/>
              <w:rPr>
                <w:lang w:val="fr-CH"/>
              </w:rPr>
            </w:pPr>
            <w:r w:rsidRPr="000C6ABF">
              <w:rPr>
                <w:lang w:val="fr-CH"/>
              </w:rPr>
              <w:t xml:space="preserve">Les autorités compétentes du pays hôte ont accueilli favorablement la demande de l'UIT dans son principe et confirmé leur intérêt ainsi que le fait que les décisions concernant le remplacement du bâtiment </w:t>
            </w:r>
            <w:proofErr w:type="spellStart"/>
            <w:r w:rsidRPr="000C6ABF">
              <w:rPr>
                <w:lang w:val="fr-CH"/>
              </w:rPr>
              <w:t>Varembé</w:t>
            </w:r>
            <w:proofErr w:type="spellEnd"/>
            <w:r w:rsidRPr="000C6ABF">
              <w:rPr>
                <w:lang w:val="fr-CH"/>
              </w:rPr>
              <w:t>, toujours à l'étude, entra</w:t>
            </w:r>
            <w:r w:rsidR="007B5613">
              <w:rPr>
                <w:lang w:val="fr-CH"/>
              </w:rPr>
              <w:t>î</w:t>
            </w:r>
            <w:r w:rsidRPr="000C6ABF">
              <w:rPr>
                <w:lang w:val="fr-CH"/>
              </w:rPr>
              <w:t>neront de nouveaux développements</w:t>
            </w:r>
            <w:r w:rsidR="007B5613">
              <w:rPr>
                <w:lang w:val="fr-CH"/>
              </w:rPr>
              <w:t>.</w:t>
            </w:r>
          </w:p>
        </w:tc>
        <w:tc>
          <w:tcPr>
            <w:tcW w:w="3410" w:type="dxa"/>
          </w:tcPr>
          <w:p w:rsidR="000C6ABF" w:rsidRPr="000C6ABF" w:rsidRDefault="000C6ABF" w:rsidP="000C6ABF">
            <w:pPr>
              <w:pStyle w:val="Tabletext"/>
              <w:rPr>
                <w:lang w:val="fr-CH"/>
              </w:rPr>
            </w:pPr>
            <w:r w:rsidRPr="000C6ABF">
              <w:rPr>
                <w:lang w:val="fr-CH"/>
              </w:rPr>
              <w:t>En attente</w:t>
            </w:r>
          </w:p>
          <w:p w:rsidR="000C6ABF" w:rsidRPr="000C6ABF" w:rsidRDefault="000C6ABF" w:rsidP="000C6ABF">
            <w:pPr>
              <w:pStyle w:val="Tabletext"/>
              <w:rPr>
                <w:lang w:val="fr-CH"/>
              </w:rPr>
            </w:pPr>
            <w:r w:rsidRPr="000C6ABF">
              <w:rPr>
                <w:lang w:val="fr-CH"/>
              </w:rPr>
              <w:t>Nous prenons note des informations fournies par la direction concernant cette question</w:t>
            </w:r>
            <w:r w:rsidR="007B5613">
              <w:rPr>
                <w:lang w:val="fr-CH"/>
              </w:rPr>
              <w:t>.</w:t>
            </w:r>
          </w:p>
        </w:tc>
      </w:tr>
    </w:tbl>
    <w:p w:rsidR="000C6ABF" w:rsidRDefault="000C6ABF" w:rsidP="00AB0C69">
      <w:pPr>
        <w:tabs>
          <w:tab w:val="clear" w:pos="567"/>
          <w:tab w:val="clear" w:pos="1134"/>
          <w:tab w:val="clear" w:pos="1701"/>
          <w:tab w:val="clear" w:pos="2268"/>
          <w:tab w:val="clear" w:pos="2835"/>
        </w:tabs>
        <w:overflowPunct/>
        <w:autoSpaceDE/>
        <w:autoSpaceDN/>
        <w:adjustRightInd/>
        <w:spacing w:before="0"/>
        <w:textAlignment w:val="auto"/>
        <w:rPr>
          <w:lang w:val="fr-CH"/>
        </w:rPr>
      </w:pPr>
    </w:p>
    <w:p w:rsidR="000C6ABF" w:rsidRDefault="000C6ABF" w:rsidP="00AB0C69">
      <w:pPr>
        <w:tabs>
          <w:tab w:val="clear" w:pos="567"/>
          <w:tab w:val="clear" w:pos="1134"/>
          <w:tab w:val="clear" w:pos="1701"/>
          <w:tab w:val="clear" w:pos="2268"/>
          <w:tab w:val="clear" w:pos="2835"/>
        </w:tabs>
        <w:overflowPunct/>
        <w:autoSpaceDE/>
        <w:autoSpaceDN/>
        <w:adjustRightInd/>
        <w:spacing w:before="0"/>
        <w:textAlignment w:val="auto"/>
        <w:rPr>
          <w:lang w:val="fr-CH"/>
        </w:rPr>
      </w:pPr>
      <w:r>
        <w:rPr>
          <w:lang w:val="fr-CH"/>
        </w:rPr>
        <w:br w:type="page"/>
      </w:r>
    </w:p>
    <w:tbl>
      <w:tblPr>
        <w:tblStyle w:val="TableGrid"/>
        <w:tblW w:w="14567" w:type="dxa"/>
        <w:jc w:val="center"/>
        <w:tblLook w:val="04A0" w:firstRow="1" w:lastRow="0" w:firstColumn="1" w:lastColumn="0" w:noHBand="0" w:noVBand="1"/>
      </w:tblPr>
      <w:tblGrid>
        <w:gridCol w:w="926"/>
        <w:gridCol w:w="3411"/>
        <w:gridCol w:w="3410"/>
        <w:gridCol w:w="3410"/>
        <w:gridCol w:w="3410"/>
      </w:tblGrid>
      <w:tr w:rsidR="000C6ABF" w:rsidRPr="000C6ABF" w:rsidTr="0082771F">
        <w:trPr>
          <w:jc w:val="center"/>
        </w:trPr>
        <w:tc>
          <w:tcPr>
            <w:tcW w:w="926" w:type="dxa"/>
          </w:tcPr>
          <w:p w:rsidR="000C6ABF" w:rsidRPr="000C6ABF" w:rsidRDefault="000C6ABF" w:rsidP="0082771F">
            <w:pPr>
              <w:pStyle w:val="Tabletext"/>
              <w:rPr>
                <w:b/>
                <w:bCs/>
                <w:lang w:val="fr-CH"/>
              </w:rPr>
            </w:pPr>
          </w:p>
        </w:tc>
        <w:tc>
          <w:tcPr>
            <w:tcW w:w="3411" w:type="dxa"/>
          </w:tcPr>
          <w:p w:rsidR="000C6ABF" w:rsidRPr="000C6ABF" w:rsidRDefault="000C6ABF" w:rsidP="0082771F">
            <w:pPr>
              <w:pStyle w:val="Tablehead"/>
              <w:rPr>
                <w:lang w:val="fr-CH"/>
              </w:rPr>
            </w:pPr>
            <w:r w:rsidRPr="000C6ABF">
              <w:rPr>
                <w:lang w:val="fr-CH"/>
              </w:rPr>
              <w:t>Recommandation faite par la</w:t>
            </w:r>
            <w:r w:rsidRPr="000C6ABF">
              <w:rPr>
                <w:lang w:val="fr-CH"/>
              </w:rPr>
              <w:br/>
              <w:t>Cour des comptes italienne</w:t>
            </w:r>
          </w:p>
        </w:tc>
        <w:tc>
          <w:tcPr>
            <w:tcW w:w="3410" w:type="dxa"/>
          </w:tcPr>
          <w:p w:rsidR="000C6ABF" w:rsidRPr="000C6ABF" w:rsidRDefault="000C6ABF" w:rsidP="0082771F">
            <w:pPr>
              <w:pStyle w:val="Tablehead"/>
              <w:rPr>
                <w:lang w:val="fr-CH"/>
              </w:rPr>
            </w:pPr>
            <w:r w:rsidRPr="000C6ABF">
              <w:rPr>
                <w:lang w:val="fr-CH"/>
              </w:rPr>
              <w:t>Commentaires formulés par le Secrétaire général lors de la publication du rapport</w:t>
            </w:r>
          </w:p>
        </w:tc>
        <w:tc>
          <w:tcPr>
            <w:tcW w:w="3410" w:type="dxa"/>
          </w:tcPr>
          <w:p w:rsidR="000C6ABF" w:rsidRPr="000C6ABF" w:rsidRDefault="000C6ABF" w:rsidP="0082771F">
            <w:pPr>
              <w:pStyle w:val="Tablehead"/>
              <w:rPr>
                <w:lang w:val="fr-CH"/>
              </w:rPr>
            </w:pPr>
            <w:r w:rsidRPr="000C6ABF">
              <w:rPr>
                <w:lang w:val="fr-CH"/>
              </w:rPr>
              <w:t xml:space="preserve">Etat de la situation indiqué </w:t>
            </w:r>
            <w:r w:rsidRPr="000C6ABF">
              <w:rPr>
                <w:lang w:val="fr-CH"/>
              </w:rPr>
              <w:br/>
              <w:t xml:space="preserve">par la direction de l'UIT </w:t>
            </w:r>
          </w:p>
        </w:tc>
        <w:tc>
          <w:tcPr>
            <w:tcW w:w="3410" w:type="dxa"/>
          </w:tcPr>
          <w:p w:rsidR="000C6ABF" w:rsidRPr="000C6ABF" w:rsidRDefault="000C6ABF" w:rsidP="0082771F">
            <w:pPr>
              <w:pStyle w:val="Tablehead"/>
              <w:rPr>
                <w:lang w:val="fr-CH"/>
              </w:rPr>
            </w:pPr>
            <w:r w:rsidRPr="000C6ABF">
              <w:rPr>
                <w:lang w:val="fr-CH"/>
              </w:rPr>
              <w:t>Etat des mesures prises par la direction selon l'évaluation de la Cour des comptes italienne</w:t>
            </w:r>
          </w:p>
        </w:tc>
      </w:tr>
      <w:tr w:rsidR="000C6ABF" w:rsidRPr="000C6ABF" w:rsidTr="0082771F">
        <w:trPr>
          <w:jc w:val="center"/>
        </w:trPr>
        <w:tc>
          <w:tcPr>
            <w:tcW w:w="926" w:type="dxa"/>
          </w:tcPr>
          <w:p w:rsidR="000C6ABF" w:rsidRPr="000C6ABF" w:rsidRDefault="000C6ABF" w:rsidP="000C6ABF">
            <w:pPr>
              <w:pStyle w:val="Tabletext"/>
              <w:rPr>
                <w:b/>
                <w:bCs/>
                <w:lang w:val="fr-CH"/>
              </w:rPr>
            </w:pPr>
            <w:r w:rsidRPr="000C6ABF">
              <w:rPr>
                <w:b/>
                <w:bCs/>
                <w:lang w:val="fr-CH"/>
              </w:rPr>
              <w:t>Rec. 4</w:t>
            </w:r>
            <w:r w:rsidRPr="000C6ABF">
              <w:rPr>
                <w:b/>
                <w:bCs/>
                <w:lang w:val="fr-CH"/>
              </w:rPr>
              <w:br/>
              <w:t>2012</w:t>
            </w:r>
          </w:p>
        </w:tc>
        <w:tc>
          <w:tcPr>
            <w:tcW w:w="3411" w:type="dxa"/>
          </w:tcPr>
          <w:p w:rsidR="000C6ABF" w:rsidRPr="000C6ABF" w:rsidRDefault="000C6ABF" w:rsidP="000C6ABF">
            <w:pPr>
              <w:pStyle w:val="Tabletext"/>
              <w:rPr>
                <w:rFonts w:asciiTheme="minorHAnsi" w:hAnsiTheme="minorHAnsi"/>
                <w:lang w:val="fr-CH"/>
              </w:rPr>
            </w:pPr>
            <w:r w:rsidRPr="000C6ABF">
              <w:rPr>
                <w:rFonts w:asciiTheme="minorHAnsi" w:eastAsia="Times New Roman" w:hAnsiTheme="minorHAnsi" w:cs="Times New Roman"/>
                <w:b/>
                <w:bCs/>
                <w:i/>
                <w:iCs/>
                <w:lang w:val="fr-CH" w:eastAsia="it-IT"/>
              </w:rPr>
              <w:t>Comptabilisation de l'actif dans le registre</w:t>
            </w:r>
          </w:p>
          <w:p w:rsidR="000C6ABF" w:rsidRPr="000C6ABF" w:rsidRDefault="000C6ABF" w:rsidP="000C6ABF">
            <w:pPr>
              <w:pStyle w:val="Tabletext"/>
              <w:rPr>
                <w:lang w:val="fr-CH"/>
              </w:rPr>
            </w:pPr>
            <w:r w:rsidRPr="000C6ABF">
              <w:rPr>
                <w:lang w:val="fr-CH"/>
              </w:rPr>
              <w:t xml:space="preserve">[...] nous avons effectué un inventaire physique des stocks de certaines catégories d'immobilisations corporelles, mobilier et équipements informatiques par exemple, et nous avons recherché leur trace dans les comptes. Nous avons constaté que les fonctionnaires responsables de l'UIT de la Division de la gestion des installations (Département de la gestion des ressources humaines) n'avaient pas retrouvé certains des actifs pendant l'inventaire physique des stocks en fin d'exercice (ce qui représente environ 0,73% de la valeur d'acquisition des actifs concernés). Nous n'ignorons pas que les contrôles effectués ont permis de retrouver une partie des actifs qui manquaient en fin d'exercice, </w:t>
            </w:r>
            <w:r w:rsidRPr="007B5613">
              <w:rPr>
                <w:lang w:val="fr-CH"/>
              </w:rPr>
              <w:t>mais nous recommandons</w:t>
            </w:r>
            <w:r w:rsidRPr="000C6ABF">
              <w:rPr>
                <w:lang w:val="fr-CH"/>
              </w:rPr>
              <w:t xml:space="preserve"> à la direction de poursuivre ses recherches et de passer par pertes et profits les articles qui n'auront pas été retrouvés au cours de 2013.</w:t>
            </w:r>
          </w:p>
        </w:tc>
        <w:tc>
          <w:tcPr>
            <w:tcW w:w="3410" w:type="dxa"/>
          </w:tcPr>
          <w:p w:rsidR="000C6ABF" w:rsidRPr="000C6ABF" w:rsidRDefault="000C6ABF" w:rsidP="000C6ABF">
            <w:pPr>
              <w:pStyle w:val="Tabletext"/>
              <w:rPr>
                <w:lang w:val="fr-CH"/>
              </w:rPr>
            </w:pPr>
            <w:r w:rsidRPr="000C6ABF">
              <w:rPr>
                <w:lang w:val="fr-CH"/>
              </w:rPr>
              <w:t>Je vais charger le Département de la gestion des ressources humaines de collaborer avec la Division de la gestion des installations pour qu'en 2013 les efforts se poursuivent et je ferai toute la lumière sur l'existence et le traitement des actifs qui n'ont pas été saisis lors de l'inventaire</w:t>
            </w:r>
            <w:r w:rsidR="007B5613">
              <w:rPr>
                <w:lang w:val="fr-CH"/>
              </w:rPr>
              <w:t>.</w:t>
            </w:r>
          </w:p>
        </w:tc>
        <w:tc>
          <w:tcPr>
            <w:tcW w:w="3410" w:type="dxa"/>
          </w:tcPr>
          <w:p w:rsidR="000C6ABF" w:rsidRPr="000C6ABF" w:rsidRDefault="000C6ABF" w:rsidP="000C6ABF">
            <w:pPr>
              <w:pStyle w:val="Tabletext"/>
              <w:rPr>
                <w:lang w:val="fr-CH"/>
              </w:rPr>
            </w:pPr>
            <w:r w:rsidRPr="000C6ABF">
              <w:rPr>
                <w:lang w:val="fr-CH"/>
              </w:rPr>
              <w:t>Le processus d'identification et de localisation et/ou passation par pertes et profits des actifs non retrouvés pendant l'inventaire a débuté les années passées et avance selon le plan.</w:t>
            </w:r>
          </w:p>
        </w:tc>
        <w:tc>
          <w:tcPr>
            <w:tcW w:w="3410" w:type="dxa"/>
          </w:tcPr>
          <w:p w:rsidR="000C6ABF" w:rsidRPr="000C6ABF" w:rsidRDefault="000C6ABF" w:rsidP="000C6ABF">
            <w:pPr>
              <w:pStyle w:val="Tabletext"/>
              <w:rPr>
                <w:lang w:val="fr-CH"/>
              </w:rPr>
            </w:pPr>
            <w:r w:rsidRPr="000C6ABF">
              <w:rPr>
                <w:lang w:val="fr-CH"/>
              </w:rPr>
              <w:t>En cours</w:t>
            </w:r>
          </w:p>
        </w:tc>
      </w:tr>
    </w:tbl>
    <w:p w:rsidR="000C6ABF" w:rsidRDefault="000C6ABF" w:rsidP="00AB0C69">
      <w:pPr>
        <w:tabs>
          <w:tab w:val="clear" w:pos="567"/>
          <w:tab w:val="clear" w:pos="1134"/>
          <w:tab w:val="clear" w:pos="1701"/>
          <w:tab w:val="clear" w:pos="2268"/>
          <w:tab w:val="clear" w:pos="2835"/>
        </w:tabs>
        <w:overflowPunct/>
        <w:autoSpaceDE/>
        <w:autoSpaceDN/>
        <w:adjustRightInd/>
        <w:spacing w:before="0"/>
        <w:textAlignment w:val="auto"/>
        <w:rPr>
          <w:lang w:val="fr-CH"/>
        </w:rPr>
      </w:pPr>
    </w:p>
    <w:tbl>
      <w:tblPr>
        <w:tblStyle w:val="TableGrid"/>
        <w:tblW w:w="14567" w:type="dxa"/>
        <w:jc w:val="center"/>
        <w:tblLook w:val="04A0" w:firstRow="1" w:lastRow="0" w:firstColumn="1" w:lastColumn="0" w:noHBand="0" w:noVBand="1"/>
      </w:tblPr>
      <w:tblGrid>
        <w:gridCol w:w="926"/>
        <w:gridCol w:w="3411"/>
        <w:gridCol w:w="3410"/>
        <w:gridCol w:w="3410"/>
        <w:gridCol w:w="3410"/>
      </w:tblGrid>
      <w:tr w:rsidR="000C6ABF" w:rsidRPr="000C6ABF" w:rsidTr="0082771F">
        <w:trPr>
          <w:jc w:val="center"/>
        </w:trPr>
        <w:tc>
          <w:tcPr>
            <w:tcW w:w="926" w:type="dxa"/>
          </w:tcPr>
          <w:p w:rsidR="000C6ABF" w:rsidRPr="000C6ABF" w:rsidRDefault="000C6ABF" w:rsidP="0082771F">
            <w:pPr>
              <w:pStyle w:val="Tabletext"/>
              <w:rPr>
                <w:b/>
                <w:bCs/>
                <w:lang w:val="fr-CH"/>
              </w:rPr>
            </w:pPr>
          </w:p>
        </w:tc>
        <w:tc>
          <w:tcPr>
            <w:tcW w:w="3411" w:type="dxa"/>
          </w:tcPr>
          <w:p w:rsidR="000C6ABF" w:rsidRPr="000C6ABF" w:rsidRDefault="000C6ABF" w:rsidP="0082771F">
            <w:pPr>
              <w:pStyle w:val="Tablehead"/>
              <w:rPr>
                <w:lang w:val="fr-CH"/>
              </w:rPr>
            </w:pPr>
            <w:r w:rsidRPr="000C6ABF">
              <w:rPr>
                <w:lang w:val="fr-CH"/>
              </w:rPr>
              <w:t>Recommandation faite par la</w:t>
            </w:r>
            <w:r w:rsidRPr="000C6ABF">
              <w:rPr>
                <w:lang w:val="fr-CH"/>
              </w:rPr>
              <w:br/>
              <w:t>Cour des comptes italienne</w:t>
            </w:r>
          </w:p>
        </w:tc>
        <w:tc>
          <w:tcPr>
            <w:tcW w:w="3410" w:type="dxa"/>
          </w:tcPr>
          <w:p w:rsidR="000C6ABF" w:rsidRPr="000C6ABF" w:rsidRDefault="000C6ABF" w:rsidP="0082771F">
            <w:pPr>
              <w:pStyle w:val="Tablehead"/>
              <w:rPr>
                <w:lang w:val="fr-CH"/>
              </w:rPr>
            </w:pPr>
            <w:r w:rsidRPr="000C6ABF">
              <w:rPr>
                <w:lang w:val="fr-CH"/>
              </w:rPr>
              <w:t>Commentaires formulés par le Secrétaire général lors de la publication du rapport</w:t>
            </w:r>
          </w:p>
        </w:tc>
        <w:tc>
          <w:tcPr>
            <w:tcW w:w="3410" w:type="dxa"/>
          </w:tcPr>
          <w:p w:rsidR="000C6ABF" w:rsidRPr="000C6ABF" w:rsidRDefault="000C6ABF" w:rsidP="0082771F">
            <w:pPr>
              <w:pStyle w:val="Tablehead"/>
              <w:rPr>
                <w:lang w:val="fr-CH"/>
              </w:rPr>
            </w:pPr>
            <w:r w:rsidRPr="000C6ABF">
              <w:rPr>
                <w:lang w:val="fr-CH"/>
              </w:rPr>
              <w:t xml:space="preserve">Etat de la situation indiqué </w:t>
            </w:r>
            <w:r w:rsidRPr="000C6ABF">
              <w:rPr>
                <w:lang w:val="fr-CH"/>
              </w:rPr>
              <w:br/>
              <w:t xml:space="preserve">par la direction de l'UIT </w:t>
            </w:r>
          </w:p>
        </w:tc>
        <w:tc>
          <w:tcPr>
            <w:tcW w:w="3410" w:type="dxa"/>
          </w:tcPr>
          <w:p w:rsidR="000C6ABF" w:rsidRPr="000C6ABF" w:rsidRDefault="000C6ABF" w:rsidP="0082771F">
            <w:pPr>
              <w:pStyle w:val="Tablehead"/>
              <w:rPr>
                <w:lang w:val="fr-CH"/>
              </w:rPr>
            </w:pPr>
            <w:r w:rsidRPr="000C6ABF">
              <w:rPr>
                <w:lang w:val="fr-CH"/>
              </w:rPr>
              <w:t>Etat des mesures prises par la direction selon l'évaluation de la Cour des comptes italienne</w:t>
            </w:r>
          </w:p>
        </w:tc>
      </w:tr>
      <w:tr w:rsidR="000C6ABF" w:rsidRPr="000C6ABF" w:rsidTr="0082771F">
        <w:trPr>
          <w:jc w:val="center"/>
        </w:trPr>
        <w:tc>
          <w:tcPr>
            <w:tcW w:w="926" w:type="dxa"/>
          </w:tcPr>
          <w:p w:rsidR="000C6ABF" w:rsidRPr="000C6ABF" w:rsidRDefault="000C6ABF" w:rsidP="000C6ABF">
            <w:pPr>
              <w:pStyle w:val="Tabletext"/>
              <w:rPr>
                <w:b/>
                <w:bCs/>
                <w:lang w:val="fr-CH"/>
              </w:rPr>
            </w:pPr>
            <w:r w:rsidRPr="000C6ABF">
              <w:rPr>
                <w:b/>
                <w:bCs/>
                <w:lang w:val="fr-CH"/>
              </w:rPr>
              <w:t>Rec. 5</w:t>
            </w:r>
            <w:r w:rsidRPr="000C6ABF">
              <w:rPr>
                <w:b/>
                <w:bCs/>
                <w:lang w:val="fr-CH"/>
              </w:rPr>
              <w:br/>
              <w:t>2012</w:t>
            </w:r>
          </w:p>
        </w:tc>
        <w:tc>
          <w:tcPr>
            <w:tcW w:w="3411" w:type="dxa"/>
          </w:tcPr>
          <w:p w:rsidR="000C6ABF" w:rsidRPr="000C6ABF" w:rsidRDefault="000C6ABF" w:rsidP="007B5613">
            <w:pPr>
              <w:pStyle w:val="Tabletext"/>
              <w:rPr>
                <w:rFonts w:asciiTheme="minorHAnsi" w:eastAsia="Times New Roman" w:hAnsiTheme="minorHAnsi" w:cs="Times New Roman"/>
                <w:b/>
                <w:bCs/>
                <w:i/>
                <w:iCs/>
                <w:lang w:val="fr-CH" w:eastAsia="it-IT"/>
              </w:rPr>
            </w:pPr>
            <w:r w:rsidRPr="000C6ABF">
              <w:rPr>
                <w:rFonts w:asciiTheme="minorHAnsi" w:eastAsia="Times New Roman" w:hAnsiTheme="minorHAnsi" w:cs="Times New Roman"/>
                <w:b/>
                <w:bCs/>
                <w:i/>
                <w:iCs/>
                <w:lang w:val="fr-CH" w:eastAsia="it-IT"/>
              </w:rPr>
              <w:t>Avantage du personnel: primes de rapatriement</w:t>
            </w:r>
          </w:p>
          <w:p w:rsidR="000C6ABF" w:rsidRPr="000C6ABF" w:rsidRDefault="000C6ABF" w:rsidP="000C6ABF">
            <w:pPr>
              <w:pStyle w:val="Tabletext"/>
              <w:rPr>
                <w:lang w:val="fr-CH"/>
              </w:rPr>
            </w:pPr>
            <w:r w:rsidRPr="000C6ABF">
              <w:rPr>
                <w:lang w:val="fr-CH"/>
              </w:rPr>
              <w:t xml:space="preserve">Cette différence dans les hypothèses de base n'a toutefois pas une grosse incidence sur le calcul final. En particulier, l'utilisation d'un taux d'actualisation plus faible par CPA aboutit à une valeur finale plus prudente. Toutefois, </w:t>
            </w:r>
            <w:r w:rsidRPr="007B5613">
              <w:rPr>
                <w:lang w:val="fr-CH"/>
              </w:rPr>
              <w:t>nous recommandons à la d</w:t>
            </w:r>
            <w:r w:rsidRPr="000C6ABF">
              <w:rPr>
                <w:lang w:val="fr-CH"/>
              </w:rPr>
              <w:t>irection d'utiliser des hypothèses de base similaires dans toutes les études actuarielles qui seront réalisées, lorsque les circonstances sont comparables, en particulier pour ce qui est du taux d'actualisation.</w:t>
            </w:r>
          </w:p>
        </w:tc>
        <w:tc>
          <w:tcPr>
            <w:tcW w:w="3410" w:type="dxa"/>
          </w:tcPr>
          <w:p w:rsidR="000C6ABF" w:rsidRPr="000C6ABF" w:rsidRDefault="000C6ABF" w:rsidP="000C6ABF">
            <w:pPr>
              <w:pStyle w:val="Tabletext"/>
              <w:rPr>
                <w:lang w:val="fr-CH"/>
              </w:rPr>
            </w:pPr>
            <w:r w:rsidRPr="000C6ABF">
              <w:rPr>
                <w:lang w:val="fr-CH"/>
              </w:rPr>
              <w:t>Je prends note de cette recommandation et je vais donner pour instruction au Département de la gestion des ressources financières d'harmoniser les hypothèses de base retenues dans les études actuarielles, lorsque que cela se justifie pour 2013.</w:t>
            </w:r>
          </w:p>
        </w:tc>
        <w:tc>
          <w:tcPr>
            <w:tcW w:w="3410" w:type="dxa"/>
          </w:tcPr>
          <w:p w:rsidR="000C6ABF" w:rsidRPr="000C6ABF" w:rsidRDefault="000C6ABF" w:rsidP="000C6ABF">
            <w:pPr>
              <w:pStyle w:val="Tabletext"/>
              <w:rPr>
                <w:lang w:val="fr-CH"/>
              </w:rPr>
            </w:pPr>
            <w:r w:rsidRPr="000C6ABF">
              <w:rPr>
                <w:lang w:val="fr-CH" w:eastAsia="it-IT"/>
              </w:rPr>
              <w:t>Cette recommandation a été prise en compte pour les rapports actuariels pour l'exercice clos en 2013. Les hypothèses de base ont été comparées afin d'utiliser des hypothèses similaires lorsque les circonstances sont comparables et dans un souci d'harmonisation lorsque les conditions (en particulier la période considérée) sont différentes.</w:t>
            </w:r>
          </w:p>
        </w:tc>
        <w:tc>
          <w:tcPr>
            <w:tcW w:w="3410" w:type="dxa"/>
          </w:tcPr>
          <w:p w:rsidR="000C6ABF" w:rsidRPr="000C6ABF" w:rsidRDefault="000C6ABF" w:rsidP="000C6ABF">
            <w:pPr>
              <w:pStyle w:val="Tabletext"/>
              <w:rPr>
                <w:lang w:val="fr-CH"/>
              </w:rPr>
            </w:pPr>
            <w:r w:rsidRPr="000C6ABF">
              <w:rPr>
                <w:lang w:val="fr-CH"/>
              </w:rPr>
              <w:t>Clos</w:t>
            </w:r>
          </w:p>
        </w:tc>
      </w:tr>
    </w:tbl>
    <w:p w:rsidR="000C6ABF" w:rsidRDefault="000C6ABF" w:rsidP="00AB0C69">
      <w:pPr>
        <w:tabs>
          <w:tab w:val="clear" w:pos="567"/>
          <w:tab w:val="clear" w:pos="1134"/>
          <w:tab w:val="clear" w:pos="1701"/>
          <w:tab w:val="clear" w:pos="2268"/>
          <w:tab w:val="clear" w:pos="2835"/>
        </w:tabs>
        <w:overflowPunct/>
        <w:autoSpaceDE/>
        <w:autoSpaceDN/>
        <w:adjustRightInd/>
        <w:spacing w:before="0"/>
        <w:textAlignment w:val="auto"/>
        <w:rPr>
          <w:lang w:val="fr-CH"/>
        </w:rPr>
      </w:pPr>
    </w:p>
    <w:p w:rsidR="000C6ABF" w:rsidRDefault="000C6ABF" w:rsidP="00AB0C69">
      <w:pPr>
        <w:tabs>
          <w:tab w:val="clear" w:pos="567"/>
          <w:tab w:val="clear" w:pos="1134"/>
          <w:tab w:val="clear" w:pos="1701"/>
          <w:tab w:val="clear" w:pos="2268"/>
          <w:tab w:val="clear" w:pos="2835"/>
        </w:tabs>
        <w:overflowPunct/>
        <w:autoSpaceDE/>
        <w:autoSpaceDN/>
        <w:adjustRightInd/>
        <w:spacing w:before="0"/>
        <w:textAlignment w:val="auto"/>
        <w:rPr>
          <w:lang w:val="fr-CH"/>
        </w:rPr>
      </w:pPr>
      <w:r>
        <w:rPr>
          <w:lang w:val="fr-CH"/>
        </w:rPr>
        <w:br w:type="page"/>
      </w:r>
    </w:p>
    <w:tbl>
      <w:tblPr>
        <w:tblStyle w:val="TableGrid"/>
        <w:tblW w:w="14567" w:type="dxa"/>
        <w:jc w:val="center"/>
        <w:tblLook w:val="04A0" w:firstRow="1" w:lastRow="0" w:firstColumn="1" w:lastColumn="0" w:noHBand="0" w:noVBand="1"/>
      </w:tblPr>
      <w:tblGrid>
        <w:gridCol w:w="926"/>
        <w:gridCol w:w="3411"/>
        <w:gridCol w:w="3410"/>
        <w:gridCol w:w="3730"/>
        <w:gridCol w:w="3090"/>
      </w:tblGrid>
      <w:tr w:rsidR="000C6ABF" w:rsidRPr="007A7E7F" w:rsidTr="007A7E7F">
        <w:trPr>
          <w:jc w:val="center"/>
        </w:trPr>
        <w:tc>
          <w:tcPr>
            <w:tcW w:w="926" w:type="dxa"/>
          </w:tcPr>
          <w:p w:rsidR="000C6ABF" w:rsidRPr="007A7E7F" w:rsidRDefault="000C6ABF" w:rsidP="0082771F">
            <w:pPr>
              <w:pStyle w:val="Tabletext"/>
              <w:rPr>
                <w:b/>
                <w:bCs/>
                <w:sz w:val="20"/>
                <w:szCs w:val="20"/>
                <w:lang w:val="fr-CH"/>
              </w:rPr>
            </w:pPr>
          </w:p>
        </w:tc>
        <w:tc>
          <w:tcPr>
            <w:tcW w:w="3411" w:type="dxa"/>
          </w:tcPr>
          <w:p w:rsidR="000C6ABF" w:rsidRPr="007A7E7F" w:rsidRDefault="000C6ABF" w:rsidP="0082771F">
            <w:pPr>
              <w:pStyle w:val="Tablehead"/>
              <w:rPr>
                <w:sz w:val="20"/>
                <w:szCs w:val="20"/>
                <w:lang w:val="fr-CH"/>
              </w:rPr>
            </w:pPr>
            <w:r w:rsidRPr="007A7E7F">
              <w:rPr>
                <w:sz w:val="20"/>
                <w:szCs w:val="20"/>
                <w:lang w:val="fr-CH"/>
              </w:rPr>
              <w:t>Recommandation faite par la</w:t>
            </w:r>
            <w:r w:rsidRPr="007A7E7F">
              <w:rPr>
                <w:sz w:val="20"/>
                <w:szCs w:val="20"/>
                <w:lang w:val="fr-CH"/>
              </w:rPr>
              <w:br/>
              <w:t>Cour des comptes italienne</w:t>
            </w:r>
          </w:p>
        </w:tc>
        <w:tc>
          <w:tcPr>
            <w:tcW w:w="3410" w:type="dxa"/>
          </w:tcPr>
          <w:p w:rsidR="000C6ABF" w:rsidRPr="007A7E7F" w:rsidRDefault="000C6ABF" w:rsidP="0082771F">
            <w:pPr>
              <w:pStyle w:val="Tablehead"/>
              <w:rPr>
                <w:sz w:val="20"/>
                <w:szCs w:val="20"/>
                <w:lang w:val="fr-CH"/>
              </w:rPr>
            </w:pPr>
            <w:r w:rsidRPr="007A7E7F">
              <w:rPr>
                <w:sz w:val="20"/>
                <w:szCs w:val="20"/>
                <w:lang w:val="fr-CH"/>
              </w:rPr>
              <w:t>Commentaires formulés par le Secrétaire général lors de la publication du rapport</w:t>
            </w:r>
          </w:p>
        </w:tc>
        <w:tc>
          <w:tcPr>
            <w:tcW w:w="3730" w:type="dxa"/>
          </w:tcPr>
          <w:p w:rsidR="000C6ABF" w:rsidRPr="007A7E7F" w:rsidRDefault="000C6ABF" w:rsidP="0082771F">
            <w:pPr>
              <w:pStyle w:val="Tablehead"/>
              <w:rPr>
                <w:sz w:val="20"/>
                <w:szCs w:val="20"/>
                <w:lang w:val="fr-CH"/>
              </w:rPr>
            </w:pPr>
            <w:r w:rsidRPr="007A7E7F">
              <w:rPr>
                <w:sz w:val="20"/>
                <w:szCs w:val="20"/>
                <w:lang w:val="fr-CH"/>
              </w:rPr>
              <w:t xml:space="preserve">Etat de la situation indiqué </w:t>
            </w:r>
            <w:r w:rsidRPr="007A7E7F">
              <w:rPr>
                <w:sz w:val="20"/>
                <w:szCs w:val="20"/>
                <w:lang w:val="fr-CH"/>
              </w:rPr>
              <w:br/>
              <w:t xml:space="preserve">par la direction de l'UIT </w:t>
            </w:r>
          </w:p>
        </w:tc>
        <w:tc>
          <w:tcPr>
            <w:tcW w:w="3090" w:type="dxa"/>
          </w:tcPr>
          <w:p w:rsidR="000C6ABF" w:rsidRPr="007A7E7F" w:rsidRDefault="000C6ABF" w:rsidP="0082771F">
            <w:pPr>
              <w:pStyle w:val="Tablehead"/>
              <w:rPr>
                <w:sz w:val="20"/>
                <w:szCs w:val="20"/>
                <w:lang w:val="fr-CH"/>
              </w:rPr>
            </w:pPr>
            <w:r w:rsidRPr="007A7E7F">
              <w:rPr>
                <w:sz w:val="20"/>
                <w:szCs w:val="20"/>
                <w:lang w:val="fr-CH"/>
              </w:rPr>
              <w:t>Etat des mesures prises par la direction selon l'évaluation de la Cour des comptes italienne</w:t>
            </w:r>
          </w:p>
        </w:tc>
      </w:tr>
      <w:tr w:rsidR="001A7E5B" w:rsidRPr="007A7E7F" w:rsidTr="007A7E7F">
        <w:trPr>
          <w:jc w:val="center"/>
        </w:trPr>
        <w:tc>
          <w:tcPr>
            <w:tcW w:w="926" w:type="dxa"/>
          </w:tcPr>
          <w:p w:rsidR="001A7E5B" w:rsidRPr="007A7E7F" w:rsidRDefault="001A7E5B" w:rsidP="001A7E5B">
            <w:pPr>
              <w:pStyle w:val="Tabletext"/>
              <w:rPr>
                <w:b/>
                <w:bCs/>
                <w:sz w:val="20"/>
                <w:szCs w:val="20"/>
                <w:lang w:val="fr-CH"/>
              </w:rPr>
            </w:pPr>
            <w:r w:rsidRPr="007A7E7F">
              <w:rPr>
                <w:b/>
                <w:bCs/>
                <w:sz w:val="20"/>
                <w:szCs w:val="20"/>
                <w:lang w:val="fr-CH"/>
              </w:rPr>
              <w:t>Rec. 6</w:t>
            </w:r>
            <w:r w:rsidRPr="007A7E7F">
              <w:rPr>
                <w:b/>
                <w:bCs/>
                <w:sz w:val="20"/>
                <w:szCs w:val="20"/>
                <w:lang w:val="fr-CH"/>
              </w:rPr>
              <w:br/>
              <w:t>2012</w:t>
            </w:r>
          </w:p>
        </w:tc>
        <w:tc>
          <w:tcPr>
            <w:tcW w:w="3411" w:type="dxa"/>
          </w:tcPr>
          <w:p w:rsidR="001A7E5B" w:rsidRPr="007A7E7F" w:rsidRDefault="001A7E5B" w:rsidP="001A7E5B">
            <w:pPr>
              <w:pStyle w:val="Tabletext"/>
              <w:rPr>
                <w:rFonts w:eastAsia="Times New Roman" w:cs="Times New Roman"/>
                <w:sz w:val="20"/>
                <w:szCs w:val="20"/>
                <w:lang w:val="fr-CH" w:eastAsia="it-IT"/>
              </w:rPr>
            </w:pPr>
            <w:r w:rsidRPr="007A7E7F">
              <w:rPr>
                <w:rFonts w:eastAsia="Times New Roman" w:cs="Times New Roman"/>
                <w:b/>
                <w:bCs/>
                <w:i/>
                <w:iCs/>
                <w:sz w:val="20"/>
                <w:szCs w:val="20"/>
                <w:lang w:val="fr-CH" w:eastAsia="it-IT"/>
              </w:rPr>
              <w:t>Mesures correctives à prendre pour remédier à l'actif net négatif imputable aux avantages du personnel après la cessation de service</w:t>
            </w:r>
            <w:r w:rsidRPr="007A7E7F">
              <w:rPr>
                <w:rFonts w:eastAsia="Times New Roman" w:cs="Times New Roman"/>
                <w:sz w:val="20"/>
                <w:szCs w:val="20"/>
                <w:lang w:val="fr-CH" w:eastAsia="it-IT"/>
              </w:rPr>
              <w:t xml:space="preserve"> </w:t>
            </w:r>
          </w:p>
          <w:p w:rsidR="001A7E5B" w:rsidRPr="007A7E7F" w:rsidRDefault="001A7E5B" w:rsidP="007B5613">
            <w:pPr>
              <w:pStyle w:val="Tabletext"/>
              <w:rPr>
                <w:sz w:val="20"/>
                <w:szCs w:val="20"/>
                <w:lang w:val="fr-CH"/>
              </w:rPr>
            </w:pPr>
            <w:r w:rsidRPr="007A7E7F">
              <w:rPr>
                <w:sz w:val="20"/>
                <w:szCs w:val="20"/>
                <w:lang w:val="fr-CH"/>
              </w:rPr>
              <w:t>Etant donné que les p</w:t>
            </w:r>
            <w:r w:rsidR="002326A7" w:rsidRPr="007A7E7F">
              <w:rPr>
                <w:sz w:val="20"/>
                <w:szCs w:val="20"/>
                <w:lang w:val="fr-CH"/>
              </w:rPr>
              <w:t>r</w:t>
            </w:r>
            <w:r w:rsidRPr="007A7E7F">
              <w:rPr>
                <w:sz w:val="20"/>
                <w:szCs w:val="20"/>
                <w:lang w:val="fr-CH"/>
              </w:rPr>
              <w:t xml:space="preserve">ovisions pour l'ASHI </w:t>
            </w:r>
            <w:r w:rsidR="002326A7" w:rsidRPr="007A7E7F">
              <w:rPr>
                <w:sz w:val="20"/>
                <w:szCs w:val="20"/>
                <w:lang w:val="fr-CH"/>
              </w:rPr>
              <w:t>représentent</w:t>
            </w:r>
            <w:r w:rsidRPr="007A7E7F">
              <w:rPr>
                <w:sz w:val="20"/>
                <w:szCs w:val="20"/>
                <w:lang w:val="fr-CH"/>
              </w:rPr>
              <w:t xml:space="preserve"> une part très importante</w:t>
            </w:r>
            <w:r w:rsidR="002326A7" w:rsidRPr="007A7E7F">
              <w:rPr>
                <w:sz w:val="20"/>
                <w:szCs w:val="20"/>
                <w:lang w:val="fr-CH"/>
              </w:rPr>
              <w:t xml:space="preserve"> de l'actif net négatif, même si la santé financière de l'Union est assurée à court terme</w:t>
            </w:r>
            <w:r w:rsidRPr="007A7E7F">
              <w:rPr>
                <w:sz w:val="20"/>
                <w:szCs w:val="20"/>
                <w:lang w:val="fr-CH"/>
              </w:rPr>
              <w:t>, il est impossible de procéder à une évaluation en cette période o</w:t>
            </w:r>
            <w:r w:rsidR="002326A7" w:rsidRPr="007A7E7F">
              <w:rPr>
                <w:sz w:val="20"/>
                <w:szCs w:val="20"/>
                <w:lang w:val="fr-CH"/>
              </w:rPr>
              <w:t>ù</w:t>
            </w:r>
            <w:r w:rsidRPr="007A7E7F">
              <w:rPr>
                <w:sz w:val="20"/>
                <w:szCs w:val="20"/>
                <w:lang w:val="fr-CH"/>
              </w:rPr>
              <w:t xml:space="preserve"> la santé financière de l'</w:t>
            </w:r>
            <w:r w:rsidR="002326A7" w:rsidRPr="007A7E7F">
              <w:rPr>
                <w:sz w:val="20"/>
                <w:szCs w:val="20"/>
                <w:lang w:val="fr-CH"/>
              </w:rPr>
              <w:t xml:space="preserve">UIT </w:t>
            </w:r>
            <w:r w:rsidRPr="007A7E7F">
              <w:rPr>
                <w:sz w:val="20"/>
                <w:szCs w:val="20"/>
                <w:lang w:val="fr-CH"/>
              </w:rPr>
              <w:t xml:space="preserve">risque d'être compromise. </w:t>
            </w:r>
            <w:r w:rsidRPr="007B5613">
              <w:rPr>
                <w:sz w:val="20"/>
                <w:szCs w:val="20"/>
                <w:lang w:val="fr-CH"/>
              </w:rPr>
              <w:t>Nous recommandons</w:t>
            </w:r>
            <w:r w:rsidRPr="007A7E7F">
              <w:rPr>
                <w:sz w:val="20"/>
                <w:szCs w:val="20"/>
                <w:lang w:val="fr-CH"/>
              </w:rPr>
              <w:t xml:space="preserve"> donc à la direction de s'appuyer, pour les années à venir, sur une étude actuarielle complète afin d'apporter des réponses, et d'éventuelles solutions, à ce problème.</w:t>
            </w:r>
          </w:p>
        </w:tc>
        <w:tc>
          <w:tcPr>
            <w:tcW w:w="3410" w:type="dxa"/>
          </w:tcPr>
          <w:p w:rsidR="001A7E5B" w:rsidRPr="007A7E7F" w:rsidRDefault="001A7E5B" w:rsidP="001A7E5B">
            <w:pPr>
              <w:pStyle w:val="Tabletext"/>
              <w:rPr>
                <w:sz w:val="20"/>
                <w:szCs w:val="20"/>
                <w:lang w:val="fr-CH"/>
              </w:rPr>
            </w:pPr>
            <w:r w:rsidRPr="007A7E7F">
              <w:rPr>
                <w:sz w:val="20"/>
                <w:szCs w:val="20"/>
                <w:lang w:val="fr-CH"/>
              </w:rPr>
              <w:t>Je prends note de cette recommandation et vous informe qu'un processus est en cours pour effectuer une étude actuarielle complète et définir différents scénarios afin d'évaluer les mesures correctives à prendre pour diminuer les engagements au titre de l'Assurance maladie après la cessation de service qui ne sont pas financés.</w:t>
            </w:r>
          </w:p>
        </w:tc>
        <w:tc>
          <w:tcPr>
            <w:tcW w:w="3730" w:type="dxa"/>
          </w:tcPr>
          <w:p w:rsidR="008C2A3F" w:rsidRPr="007A7E7F" w:rsidRDefault="001A7E5B" w:rsidP="007B5613">
            <w:pPr>
              <w:pStyle w:val="Tabletext"/>
              <w:rPr>
                <w:sz w:val="20"/>
                <w:szCs w:val="20"/>
                <w:lang w:val="fr-CH" w:eastAsia="it-IT"/>
              </w:rPr>
            </w:pPr>
            <w:r w:rsidRPr="007A7E7F">
              <w:rPr>
                <w:sz w:val="20"/>
                <w:szCs w:val="20"/>
                <w:lang w:val="fr-CH" w:eastAsia="it-IT"/>
              </w:rPr>
              <w:t xml:space="preserve">L'UIT </w:t>
            </w:r>
            <w:r w:rsidR="002326A7" w:rsidRPr="007A7E7F">
              <w:rPr>
                <w:sz w:val="20"/>
                <w:szCs w:val="20"/>
                <w:lang w:val="fr-CH" w:eastAsia="it-IT"/>
              </w:rPr>
              <w:t>n'</w:t>
            </w:r>
            <w:r w:rsidRPr="007A7E7F">
              <w:rPr>
                <w:sz w:val="20"/>
                <w:szCs w:val="20"/>
                <w:lang w:val="fr-CH" w:eastAsia="it-IT"/>
              </w:rPr>
              <w:t xml:space="preserve">est </w:t>
            </w:r>
            <w:r w:rsidR="002326A7" w:rsidRPr="007A7E7F">
              <w:rPr>
                <w:sz w:val="20"/>
                <w:szCs w:val="20"/>
                <w:lang w:val="fr-CH" w:eastAsia="it-IT"/>
              </w:rPr>
              <w:t>plus affiliée à l'</w:t>
            </w:r>
            <w:r w:rsidRPr="007A7E7F">
              <w:rPr>
                <w:rFonts w:cs="Segoe UI"/>
                <w:color w:val="000000"/>
                <w:sz w:val="20"/>
                <w:szCs w:val="20"/>
                <w:lang w:val="fr-CH"/>
              </w:rPr>
              <w:t>ASHI (Caisse d'assurance maladie après la cessation de service</w:t>
            </w:r>
            <w:r w:rsidRPr="007A7E7F">
              <w:rPr>
                <w:sz w:val="20"/>
                <w:szCs w:val="20"/>
                <w:lang w:val="fr-CH" w:eastAsia="it-IT"/>
              </w:rPr>
              <w:t>)</w:t>
            </w:r>
            <w:r w:rsidR="002326A7" w:rsidRPr="007A7E7F">
              <w:rPr>
                <w:sz w:val="20"/>
                <w:szCs w:val="20"/>
                <w:lang w:val="fr-CH" w:eastAsia="it-IT"/>
              </w:rPr>
              <w:t xml:space="preserve">. Elle est passée à la compagnie d'assurance </w:t>
            </w:r>
            <w:proofErr w:type="spellStart"/>
            <w:r w:rsidR="00962C41" w:rsidRPr="007B5613">
              <w:rPr>
                <w:sz w:val="20"/>
                <w:szCs w:val="20"/>
                <w:lang w:val="fr-CH"/>
              </w:rPr>
              <w:t>Cigna-</w:t>
            </w:r>
            <w:r w:rsidR="007B5613">
              <w:rPr>
                <w:sz w:val="20"/>
                <w:szCs w:val="20"/>
                <w:lang w:val="fr-CH"/>
              </w:rPr>
              <w:t>V</w:t>
            </w:r>
            <w:r w:rsidR="00962C41" w:rsidRPr="007B5613">
              <w:rPr>
                <w:sz w:val="20"/>
                <w:szCs w:val="20"/>
                <w:lang w:val="fr-CH"/>
              </w:rPr>
              <w:t>an</w:t>
            </w:r>
            <w:r w:rsidR="007B5613">
              <w:rPr>
                <w:sz w:val="20"/>
                <w:szCs w:val="20"/>
                <w:lang w:val="fr-CH"/>
              </w:rPr>
              <w:t>b</w:t>
            </w:r>
            <w:r w:rsidR="00962C41" w:rsidRPr="007B5613">
              <w:rPr>
                <w:sz w:val="20"/>
                <w:szCs w:val="20"/>
                <w:lang w:val="fr-CH"/>
              </w:rPr>
              <w:t>reda</w:t>
            </w:r>
            <w:proofErr w:type="spellEnd"/>
            <w:r w:rsidR="00962C41" w:rsidRPr="007A7E7F">
              <w:rPr>
                <w:sz w:val="20"/>
                <w:szCs w:val="20"/>
                <w:lang w:val="fr-CH" w:eastAsia="it-IT"/>
              </w:rPr>
              <w:t xml:space="preserve"> </w:t>
            </w:r>
            <w:r w:rsidRPr="007A7E7F">
              <w:rPr>
                <w:sz w:val="20"/>
                <w:szCs w:val="20"/>
                <w:lang w:val="fr-CH" w:eastAsia="it-IT"/>
              </w:rPr>
              <w:t>le 1er</w:t>
            </w:r>
            <w:r w:rsidR="007B5613">
              <w:rPr>
                <w:sz w:val="20"/>
                <w:szCs w:val="20"/>
                <w:lang w:val="fr-CH" w:eastAsia="it-IT"/>
              </w:rPr>
              <w:t> </w:t>
            </w:r>
            <w:r w:rsidRPr="007A7E7F">
              <w:rPr>
                <w:sz w:val="20"/>
                <w:szCs w:val="20"/>
                <w:lang w:val="fr-CH" w:eastAsia="it-IT"/>
              </w:rPr>
              <w:t>mai</w:t>
            </w:r>
            <w:r w:rsidR="007B5613">
              <w:rPr>
                <w:sz w:val="20"/>
                <w:szCs w:val="20"/>
                <w:lang w:val="fr-CH" w:eastAsia="it-IT"/>
              </w:rPr>
              <w:t> </w:t>
            </w:r>
            <w:r w:rsidRPr="007A7E7F">
              <w:rPr>
                <w:sz w:val="20"/>
                <w:szCs w:val="20"/>
                <w:lang w:val="fr-CH" w:eastAsia="it-IT"/>
              </w:rPr>
              <w:t>2014. Une étude actuarielle complète sera réalisée en 2016. Des mesures correctives ont déjà été prises</w:t>
            </w:r>
            <w:r w:rsidR="008C2A3F" w:rsidRPr="007A7E7F">
              <w:rPr>
                <w:sz w:val="20"/>
                <w:szCs w:val="20"/>
                <w:lang w:val="fr-CH" w:eastAsia="it-IT"/>
              </w:rPr>
              <w:t>.</w:t>
            </w:r>
            <w:r w:rsidRPr="007A7E7F">
              <w:rPr>
                <w:sz w:val="20"/>
                <w:szCs w:val="20"/>
                <w:lang w:val="fr-CH" w:eastAsia="it-IT"/>
              </w:rPr>
              <w:t xml:space="preserve"> Leur mise en œuvre sera suivie et adaptée </w:t>
            </w:r>
            <w:r w:rsidR="008C2A3F" w:rsidRPr="007A7E7F">
              <w:rPr>
                <w:sz w:val="20"/>
                <w:szCs w:val="20"/>
                <w:lang w:val="fr-CH" w:eastAsia="it-IT"/>
              </w:rPr>
              <w:t>a</w:t>
            </w:r>
            <w:r w:rsidRPr="007A7E7F">
              <w:rPr>
                <w:sz w:val="20"/>
                <w:szCs w:val="20"/>
                <w:lang w:val="fr-CH" w:eastAsia="it-IT"/>
              </w:rPr>
              <w:t>fin d'assurer le financement par répartition ainsi que le financement des engagements au t</w:t>
            </w:r>
            <w:r w:rsidR="008C2A3F" w:rsidRPr="007A7E7F">
              <w:rPr>
                <w:sz w:val="20"/>
                <w:szCs w:val="20"/>
                <w:lang w:val="fr-CH" w:eastAsia="it-IT"/>
              </w:rPr>
              <w:t xml:space="preserve">itre </w:t>
            </w:r>
            <w:r w:rsidRPr="007A7E7F">
              <w:rPr>
                <w:sz w:val="20"/>
                <w:szCs w:val="20"/>
                <w:lang w:val="fr-CH" w:eastAsia="it-IT"/>
              </w:rPr>
              <w:t>de l'</w:t>
            </w:r>
            <w:r w:rsidR="008C2A3F" w:rsidRPr="007A7E7F">
              <w:rPr>
                <w:sz w:val="20"/>
                <w:szCs w:val="20"/>
                <w:lang w:val="fr-CH" w:eastAsia="it-IT"/>
              </w:rPr>
              <w:t>ASHI sur le long terme.</w:t>
            </w:r>
          </w:p>
          <w:p w:rsidR="008C2A3F" w:rsidRPr="007A7E7F" w:rsidRDefault="001A7E5B" w:rsidP="007A7E7F">
            <w:pPr>
              <w:pStyle w:val="Tabletext"/>
              <w:rPr>
                <w:sz w:val="20"/>
                <w:szCs w:val="20"/>
                <w:lang w:val="fr-CH"/>
              </w:rPr>
            </w:pPr>
            <w:r w:rsidRPr="007A7E7F">
              <w:rPr>
                <w:sz w:val="20"/>
                <w:szCs w:val="20"/>
                <w:lang w:val="fr-CH" w:eastAsia="it-IT"/>
              </w:rPr>
              <w:t>La contribution de l'UIT à la Caisse est passée de 3,31</w:t>
            </w:r>
            <w:r w:rsidR="008C2A3F" w:rsidRPr="007A7E7F">
              <w:rPr>
                <w:sz w:val="20"/>
                <w:szCs w:val="20"/>
                <w:lang w:val="fr-CH" w:eastAsia="it-IT"/>
              </w:rPr>
              <w:t> % à 3,91</w:t>
            </w:r>
            <w:r w:rsidRPr="007A7E7F">
              <w:rPr>
                <w:sz w:val="20"/>
                <w:szCs w:val="20"/>
                <w:lang w:val="fr-CH" w:eastAsia="it-IT"/>
              </w:rPr>
              <w:t>% pour le budget 2014</w:t>
            </w:r>
            <w:r w:rsidR="008C2A3F" w:rsidRPr="007A7E7F">
              <w:rPr>
                <w:sz w:val="20"/>
                <w:szCs w:val="20"/>
                <w:lang w:val="fr-CH" w:eastAsia="it-IT"/>
              </w:rPr>
              <w:t>-</w:t>
            </w:r>
            <w:r w:rsidRPr="007A7E7F">
              <w:rPr>
                <w:sz w:val="20"/>
                <w:szCs w:val="20"/>
                <w:lang w:val="fr-CH" w:eastAsia="it-IT"/>
              </w:rPr>
              <w:t xml:space="preserve">2015. </w:t>
            </w:r>
            <w:r w:rsidR="008C2A3F" w:rsidRPr="007A7E7F">
              <w:rPr>
                <w:sz w:val="20"/>
                <w:szCs w:val="20"/>
                <w:lang w:val="fr-CH" w:eastAsia="it-IT"/>
              </w:rPr>
              <w:t>Le</w:t>
            </w:r>
            <w:r w:rsidRPr="007A7E7F">
              <w:rPr>
                <w:sz w:val="20"/>
                <w:szCs w:val="20"/>
                <w:lang w:val="fr-CH" w:eastAsia="it-IT"/>
              </w:rPr>
              <w:t xml:space="preserve"> Fonds de réserve ASHI a été créé et 2</w:t>
            </w:r>
            <w:r w:rsidR="007A7E7F" w:rsidRPr="007A7E7F">
              <w:rPr>
                <w:sz w:val="20"/>
                <w:szCs w:val="20"/>
                <w:lang w:val="fr-CH" w:eastAsia="it-IT"/>
              </w:rPr>
              <w:t> </w:t>
            </w:r>
            <w:r w:rsidRPr="007A7E7F">
              <w:rPr>
                <w:sz w:val="20"/>
                <w:szCs w:val="20"/>
                <w:lang w:val="fr-CH" w:eastAsia="it-IT"/>
              </w:rPr>
              <w:t>millions CHF provenant de l'excédent budgétaire 2013 ont été versé</w:t>
            </w:r>
            <w:r w:rsidR="007A7E7F" w:rsidRPr="007A7E7F">
              <w:rPr>
                <w:sz w:val="20"/>
                <w:szCs w:val="20"/>
                <w:lang w:val="fr-CH" w:eastAsia="it-IT"/>
              </w:rPr>
              <w:t>s</w:t>
            </w:r>
            <w:r w:rsidRPr="007A7E7F">
              <w:rPr>
                <w:sz w:val="20"/>
                <w:szCs w:val="20"/>
                <w:lang w:val="fr-CH" w:eastAsia="it-IT"/>
              </w:rPr>
              <w:t xml:space="preserve"> sur ce fond</w:t>
            </w:r>
            <w:r w:rsidR="008C2A3F" w:rsidRPr="007A7E7F">
              <w:rPr>
                <w:sz w:val="20"/>
                <w:szCs w:val="20"/>
                <w:lang w:val="fr-CH" w:eastAsia="it-IT"/>
              </w:rPr>
              <w:t>s</w:t>
            </w:r>
            <w:r w:rsidRPr="007A7E7F">
              <w:rPr>
                <w:sz w:val="20"/>
                <w:szCs w:val="20"/>
                <w:lang w:val="fr-CH" w:eastAsia="it-IT"/>
              </w:rPr>
              <w:t xml:space="preserve">. </w:t>
            </w:r>
            <w:r w:rsidR="008C2A3F" w:rsidRPr="007A7E7F">
              <w:rPr>
                <w:sz w:val="20"/>
                <w:szCs w:val="20"/>
                <w:lang w:val="fr-CH" w:eastAsia="it-IT"/>
              </w:rPr>
              <w:t xml:space="preserve">Par ailleurs, conformément à la </w:t>
            </w:r>
            <w:r w:rsidRPr="007A7E7F">
              <w:rPr>
                <w:sz w:val="20"/>
                <w:szCs w:val="20"/>
                <w:lang w:val="fr-CH" w:eastAsia="it-IT"/>
              </w:rPr>
              <w:t>R</w:t>
            </w:r>
            <w:r w:rsidR="008C2A3F" w:rsidRPr="007A7E7F">
              <w:rPr>
                <w:sz w:val="20"/>
                <w:szCs w:val="20"/>
                <w:lang w:val="fr-CH" w:eastAsia="it-IT"/>
              </w:rPr>
              <w:t xml:space="preserve">ésolution </w:t>
            </w:r>
            <w:r w:rsidRPr="007A7E7F">
              <w:rPr>
                <w:sz w:val="20"/>
                <w:szCs w:val="20"/>
                <w:lang w:val="fr-CH" w:eastAsia="it-IT"/>
              </w:rPr>
              <w:t xml:space="preserve">1359, </w:t>
            </w:r>
            <w:r w:rsidR="008C2A3F" w:rsidRPr="007A7E7F">
              <w:rPr>
                <w:sz w:val="20"/>
                <w:szCs w:val="20"/>
                <w:lang w:val="fr-CH" w:eastAsia="it-IT"/>
              </w:rPr>
              <w:t xml:space="preserve">4 millions </w:t>
            </w:r>
            <w:r w:rsidRPr="007A7E7F">
              <w:rPr>
                <w:sz w:val="20"/>
                <w:szCs w:val="20"/>
                <w:lang w:val="fr-CH" w:eastAsia="it-IT"/>
              </w:rPr>
              <w:t xml:space="preserve">CHF </w:t>
            </w:r>
            <w:r w:rsidR="008C2A3F" w:rsidRPr="007A7E7F">
              <w:rPr>
                <w:sz w:val="20"/>
                <w:szCs w:val="20"/>
                <w:lang w:val="fr-CH" w:eastAsia="it-IT"/>
              </w:rPr>
              <w:t>ont été prélevés sur le Fonds de réserve pour constituer une réserve en vue du financement à long terme de l'</w:t>
            </w:r>
            <w:r w:rsidRPr="007A7E7F">
              <w:rPr>
                <w:sz w:val="20"/>
                <w:szCs w:val="20"/>
                <w:lang w:val="fr-CH" w:eastAsia="it-IT"/>
              </w:rPr>
              <w:t>ASHI.</w:t>
            </w:r>
            <w:r w:rsidR="008C2A3F" w:rsidRPr="007A7E7F">
              <w:rPr>
                <w:sz w:val="20"/>
                <w:szCs w:val="20"/>
                <w:lang w:val="fr-CH" w:eastAsia="it-IT"/>
              </w:rPr>
              <w:t xml:space="preserve"> </w:t>
            </w:r>
            <w:r w:rsidR="007B5613">
              <w:rPr>
                <w:sz w:val="20"/>
                <w:szCs w:val="20"/>
                <w:lang w:val="fr-CH" w:eastAsia="it-IT"/>
              </w:rPr>
              <w:br/>
            </w:r>
            <w:r w:rsidR="008C2A3F" w:rsidRPr="007A7E7F">
              <w:rPr>
                <w:sz w:val="20"/>
                <w:szCs w:val="20"/>
                <w:lang w:val="fr-CH" w:eastAsia="it-IT"/>
              </w:rPr>
              <w:t xml:space="preserve">En outre, le projet de Plan financier pour la période </w:t>
            </w:r>
            <w:r w:rsidR="008C2A3F" w:rsidRPr="007A7E7F">
              <w:rPr>
                <w:rFonts w:cstheme="minorHAnsi"/>
                <w:sz w:val="20"/>
                <w:szCs w:val="20"/>
                <w:lang w:eastAsia="it-IT"/>
              </w:rPr>
              <w:t>2016</w:t>
            </w:r>
            <w:r w:rsidR="008C2A3F" w:rsidRPr="007A7E7F">
              <w:rPr>
                <w:rFonts w:cstheme="minorHAnsi"/>
                <w:sz w:val="20"/>
                <w:szCs w:val="20"/>
                <w:lang w:eastAsia="it-IT"/>
              </w:rPr>
              <w:noBreakHyphen/>
              <w:t xml:space="preserve">2019 comportera d'autres mesures correctives pour assurer le financement à long terme des engagements au titre de l'ASHI. Il convient de noter par ailleurs que l'augmentation du taux d'actualisation utilisé dans </w:t>
            </w:r>
            <w:r w:rsidR="008C2A3F" w:rsidRPr="007A7E7F">
              <w:rPr>
                <w:rFonts w:cstheme="minorHAnsi"/>
                <w:sz w:val="20"/>
                <w:szCs w:val="20"/>
                <w:lang w:val="fr-CH" w:eastAsia="it-IT"/>
              </w:rPr>
              <w:t>l'évaluation</w:t>
            </w:r>
            <w:r w:rsidR="008C2A3F" w:rsidRPr="007A7E7F">
              <w:rPr>
                <w:rFonts w:cstheme="minorHAnsi"/>
                <w:sz w:val="20"/>
                <w:szCs w:val="20"/>
                <w:lang w:eastAsia="it-IT"/>
              </w:rPr>
              <w:t xml:space="preserve"> actuarielle 2013 a eu une incidence positive impo</w:t>
            </w:r>
            <w:r w:rsidR="002B6F5C" w:rsidRPr="007A7E7F">
              <w:rPr>
                <w:rFonts w:cstheme="minorHAnsi"/>
                <w:sz w:val="20"/>
                <w:szCs w:val="20"/>
                <w:lang w:eastAsia="it-IT"/>
              </w:rPr>
              <w:t>r</w:t>
            </w:r>
            <w:r w:rsidR="008C2A3F" w:rsidRPr="007A7E7F">
              <w:rPr>
                <w:rFonts w:cstheme="minorHAnsi"/>
                <w:sz w:val="20"/>
                <w:szCs w:val="20"/>
                <w:lang w:eastAsia="it-IT"/>
              </w:rPr>
              <w:t>tante sur l'actif net puisque les gains actuariels se sont chiffrés à 26,5 millions CHF</w:t>
            </w:r>
            <w:r w:rsidR="007A7E7F">
              <w:rPr>
                <w:rFonts w:cstheme="minorHAnsi"/>
                <w:sz w:val="20"/>
                <w:szCs w:val="20"/>
                <w:lang w:eastAsia="it-IT"/>
              </w:rPr>
              <w:t>.</w:t>
            </w:r>
          </w:p>
        </w:tc>
        <w:tc>
          <w:tcPr>
            <w:tcW w:w="3090" w:type="dxa"/>
          </w:tcPr>
          <w:p w:rsidR="001A7E5B" w:rsidRPr="007A7E7F" w:rsidRDefault="001A7E5B" w:rsidP="001A7E5B">
            <w:pPr>
              <w:pStyle w:val="Tabletext"/>
              <w:rPr>
                <w:sz w:val="20"/>
                <w:szCs w:val="20"/>
                <w:lang w:val="fr-CH" w:eastAsia="it-IT"/>
              </w:rPr>
            </w:pPr>
            <w:r w:rsidRPr="007A7E7F">
              <w:rPr>
                <w:sz w:val="20"/>
                <w:szCs w:val="20"/>
                <w:lang w:val="fr-CH" w:eastAsia="it-IT"/>
              </w:rPr>
              <w:t>Clos</w:t>
            </w:r>
          </w:p>
          <w:p w:rsidR="001A7E5B" w:rsidRPr="007A7E7F" w:rsidRDefault="001A7E5B" w:rsidP="008C2A3F">
            <w:pPr>
              <w:pStyle w:val="Tabletext"/>
              <w:rPr>
                <w:sz w:val="20"/>
                <w:szCs w:val="20"/>
                <w:lang w:val="fr-CH" w:eastAsia="it-IT"/>
              </w:rPr>
            </w:pPr>
            <w:r w:rsidRPr="007A7E7F">
              <w:rPr>
                <w:sz w:val="20"/>
                <w:szCs w:val="20"/>
                <w:lang w:val="fr-CH" w:eastAsia="it-IT"/>
              </w:rPr>
              <w:t>Voir la nouvelle recommandation relative à l'étude actuarielle ASHI.</w:t>
            </w:r>
          </w:p>
        </w:tc>
      </w:tr>
    </w:tbl>
    <w:p w:rsidR="000C6ABF" w:rsidRDefault="000C6ABF" w:rsidP="00AB0C69">
      <w:pPr>
        <w:tabs>
          <w:tab w:val="clear" w:pos="567"/>
          <w:tab w:val="clear" w:pos="1134"/>
          <w:tab w:val="clear" w:pos="1701"/>
          <w:tab w:val="clear" w:pos="2268"/>
          <w:tab w:val="clear" w:pos="2835"/>
        </w:tabs>
        <w:overflowPunct/>
        <w:autoSpaceDE/>
        <w:autoSpaceDN/>
        <w:adjustRightInd/>
        <w:spacing w:before="0"/>
        <w:textAlignment w:val="auto"/>
        <w:rPr>
          <w:lang w:val="fr-CH"/>
        </w:rPr>
      </w:pPr>
    </w:p>
    <w:p w:rsidR="001A7E5B" w:rsidRDefault="001A7E5B" w:rsidP="00AB0C69">
      <w:pPr>
        <w:tabs>
          <w:tab w:val="clear" w:pos="567"/>
          <w:tab w:val="clear" w:pos="1134"/>
          <w:tab w:val="clear" w:pos="1701"/>
          <w:tab w:val="clear" w:pos="2268"/>
          <w:tab w:val="clear" w:pos="2835"/>
        </w:tabs>
        <w:overflowPunct/>
        <w:autoSpaceDE/>
        <w:autoSpaceDN/>
        <w:adjustRightInd/>
        <w:spacing w:before="0"/>
        <w:textAlignment w:val="auto"/>
        <w:rPr>
          <w:lang w:val="fr-CH"/>
        </w:rPr>
      </w:pPr>
    </w:p>
    <w:tbl>
      <w:tblPr>
        <w:tblStyle w:val="TableGrid"/>
        <w:tblW w:w="14567" w:type="dxa"/>
        <w:jc w:val="center"/>
        <w:tblLook w:val="04A0" w:firstRow="1" w:lastRow="0" w:firstColumn="1" w:lastColumn="0" w:noHBand="0" w:noVBand="1"/>
      </w:tblPr>
      <w:tblGrid>
        <w:gridCol w:w="926"/>
        <w:gridCol w:w="3411"/>
        <w:gridCol w:w="3410"/>
        <w:gridCol w:w="3410"/>
        <w:gridCol w:w="3410"/>
      </w:tblGrid>
      <w:tr w:rsidR="001A7E5B" w:rsidRPr="000C6ABF" w:rsidTr="0082771F">
        <w:trPr>
          <w:jc w:val="center"/>
        </w:trPr>
        <w:tc>
          <w:tcPr>
            <w:tcW w:w="926" w:type="dxa"/>
          </w:tcPr>
          <w:p w:rsidR="001A7E5B" w:rsidRPr="000C6ABF" w:rsidRDefault="001A7E5B" w:rsidP="0082771F">
            <w:pPr>
              <w:pStyle w:val="Tabletext"/>
              <w:rPr>
                <w:b/>
                <w:bCs/>
                <w:lang w:val="fr-CH"/>
              </w:rPr>
            </w:pPr>
          </w:p>
        </w:tc>
        <w:tc>
          <w:tcPr>
            <w:tcW w:w="3411" w:type="dxa"/>
          </w:tcPr>
          <w:p w:rsidR="001A7E5B" w:rsidRPr="000C6ABF" w:rsidRDefault="001A7E5B" w:rsidP="0082771F">
            <w:pPr>
              <w:pStyle w:val="Tablehead"/>
              <w:rPr>
                <w:lang w:val="fr-CH"/>
              </w:rPr>
            </w:pPr>
            <w:r w:rsidRPr="000C6ABF">
              <w:rPr>
                <w:lang w:val="fr-CH"/>
              </w:rPr>
              <w:t>Recommandation faite par la</w:t>
            </w:r>
            <w:r w:rsidRPr="000C6ABF">
              <w:rPr>
                <w:lang w:val="fr-CH"/>
              </w:rPr>
              <w:br/>
              <w:t>Cour des comptes italienne</w:t>
            </w:r>
          </w:p>
        </w:tc>
        <w:tc>
          <w:tcPr>
            <w:tcW w:w="3410" w:type="dxa"/>
          </w:tcPr>
          <w:p w:rsidR="001A7E5B" w:rsidRPr="000C6ABF" w:rsidRDefault="001A7E5B" w:rsidP="0082771F">
            <w:pPr>
              <w:pStyle w:val="Tablehead"/>
              <w:rPr>
                <w:lang w:val="fr-CH"/>
              </w:rPr>
            </w:pPr>
            <w:r w:rsidRPr="000C6ABF">
              <w:rPr>
                <w:lang w:val="fr-CH"/>
              </w:rPr>
              <w:t>Commentaires formulés par le Secrétaire général lors de la publication du rapport</w:t>
            </w:r>
          </w:p>
        </w:tc>
        <w:tc>
          <w:tcPr>
            <w:tcW w:w="3410" w:type="dxa"/>
          </w:tcPr>
          <w:p w:rsidR="001A7E5B" w:rsidRPr="000C6ABF" w:rsidRDefault="001A7E5B" w:rsidP="0082771F">
            <w:pPr>
              <w:pStyle w:val="Tablehead"/>
              <w:rPr>
                <w:lang w:val="fr-CH"/>
              </w:rPr>
            </w:pPr>
            <w:r w:rsidRPr="000C6ABF">
              <w:rPr>
                <w:lang w:val="fr-CH"/>
              </w:rPr>
              <w:t xml:space="preserve">Etat de la situation indiqué </w:t>
            </w:r>
            <w:r w:rsidRPr="000C6ABF">
              <w:rPr>
                <w:lang w:val="fr-CH"/>
              </w:rPr>
              <w:br/>
              <w:t xml:space="preserve">par la direction de l'UIT </w:t>
            </w:r>
          </w:p>
        </w:tc>
        <w:tc>
          <w:tcPr>
            <w:tcW w:w="3410" w:type="dxa"/>
          </w:tcPr>
          <w:p w:rsidR="001A7E5B" w:rsidRPr="000C6ABF" w:rsidRDefault="001A7E5B" w:rsidP="0082771F">
            <w:pPr>
              <w:pStyle w:val="Tablehead"/>
              <w:rPr>
                <w:lang w:val="fr-CH"/>
              </w:rPr>
            </w:pPr>
            <w:r w:rsidRPr="000C6ABF">
              <w:rPr>
                <w:lang w:val="fr-CH"/>
              </w:rPr>
              <w:t>Etat des mesures prises par la direction selon l'évaluation de la Cour des comptes italienne</w:t>
            </w:r>
          </w:p>
        </w:tc>
      </w:tr>
      <w:tr w:rsidR="001A7E5B" w:rsidRPr="000C6ABF" w:rsidTr="0082771F">
        <w:trPr>
          <w:jc w:val="center"/>
        </w:trPr>
        <w:tc>
          <w:tcPr>
            <w:tcW w:w="926" w:type="dxa"/>
          </w:tcPr>
          <w:p w:rsidR="001A7E5B" w:rsidRPr="001A7E5B" w:rsidRDefault="001A7E5B" w:rsidP="001A7E5B">
            <w:pPr>
              <w:pStyle w:val="Tabletext"/>
              <w:rPr>
                <w:b/>
                <w:bCs/>
                <w:lang w:val="fr-CH"/>
              </w:rPr>
            </w:pPr>
            <w:r w:rsidRPr="001A7E5B">
              <w:rPr>
                <w:b/>
                <w:bCs/>
                <w:lang w:val="fr-CH"/>
              </w:rPr>
              <w:t>Rec. 7</w:t>
            </w:r>
            <w:r w:rsidRPr="001A7E5B">
              <w:rPr>
                <w:b/>
                <w:bCs/>
                <w:lang w:val="fr-CH"/>
              </w:rPr>
              <w:br/>
              <w:t>2012</w:t>
            </w:r>
          </w:p>
        </w:tc>
        <w:tc>
          <w:tcPr>
            <w:tcW w:w="3411" w:type="dxa"/>
          </w:tcPr>
          <w:p w:rsidR="001A7E5B" w:rsidRPr="000C6ABF" w:rsidRDefault="001A7E5B" w:rsidP="001A7E5B">
            <w:pPr>
              <w:pStyle w:val="Tabletext"/>
              <w:rPr>
                <w:rFonts w:asciiTheme="minorHAnsi" w:eastAsia="Times New Roman" w:hAnsiTheme="minorHAnsi" w:cs="Times New Roman"/>
                <w:b/>
                <w:bCs/>
                <w:i/>
                <w:iCs/>
                <w:lang w:val="fr-CH" w:eastAsia="it-IT"/>
              </w:rPr>
            </w:pPr>
            <w:r w:rsidRPr="000C6ABF">
              <w:rPr>
                <w:rFonts w:asciiTheme="minorHAnsi" w:eastAsia="Times New Roman" w:hAnsiTheme="minorHAnsi" w:cs="Times New Roman"/>
                <w:b/>
                <w:bCs/>
                <w:i/>
                <w:iCs/>
                <w:lang w:val="fr-CH" w:eastAsia="it-IT"/>
              </w:rPr>
              <w:t>Le principe de mutualisation entre l'UIT et le BIT n'est pas respecté</w:t>
            </w:r>
          </w:p>
          <w:p w:rsidR="001A7E5B" w:rsidRPr="000C6ABF" w:rsidRDefault="001A7E5B" w:rsidP="001A7E5B">
            <w:pPr>
              <w:pStyle w:val="Tabletext"/>
              <w:rPr>
                <w:lang w:val="fr-CH"/>
              </w:rPr>
            </w:pPr>
            <w:r w:rsidRPr="000C6ABF">
              <w:rPr>
                <w:lang w:val="fr-CH"/>
              </w:rPr>
              <w:t>[...]</w:t>
            </w:r>
            <w:r w:rsidR="007A7E7F">
              <w:rPr>
                <w:lang w:val="fr-CH"/>
              </w:rPr>
              <w:t xml:space="preserve"> </w:t>
            </w:r>
            <w:r w:rsidRPr="000C6ABF">
              <w:rPr>
                <w:lang w:val="fr-CH"/>
              </w:rPr>
              <w:t xml:space="preserve">que le BIT n'acceptera pas le "principe de mutualisation" tel qu'il a été défini par nos prédécesseurs. Par conséquent, </w:t>
            </w:r>
            <w:r w:rsidRPr="007B5613">
              <w:rPr>
                <w:lang w:val="fr-CH"/>
              </w:rPr>
              <w:t xml:space="preserve">nous recommandons </w:t>
            </w:r>
            <w:r w:rsidRPr="000C6ABF">
              <w:rPr>
                <w:lang w:val="fr-CH"/>
              </w:rPr>
              <w:t>à la direction de réfléchir à d'autres options de financement, pour la Caisse, à l'intérieur ou à l'extérieur du système des Nations Unies.</w:t>
            </w:r>
          </w:p>
        </w:tc>
        <w:tc>
          <w:tcPr>
            <w:tcW w:w="3410" w:type="dxa"/>
          </w:tcPr>
          <w:p w:rsidR="001A7E5B" w:rsidRPr="000C6ABF" w:rsidRDefault="001A7E5B" w:rsidP="001A7E5B">
            <w:pPr>
              <w:pStyle w:val="Tabletext"/>
              <w:rPr>
                <w:lang w:val="fr-CH"/>
              </w:rPr>
            </w:pPr>
            <w:r w:rsidRPr="000C6ABF">
              <w:rPr>
                <w:lang w:val="fr-CH"/>
              </w:rPr>
              <w:t>Depuis le début de l'année, l'UIT réfléchit à d'autres options de financement.</w:t>
            </w:r>
          </w:p>
        </w:tc>
        <w:tc>
          <w:tcPr>
            <w:tcW w:w="3410" w:type="dxa"/>
          </w:tcPr>
          <w:p w:rsidR="001A7E5B" w:rsidRPr="000C6ABF" w:rsidRDefault="001A7E5B" w:rsidP="007B5613">
            <w:pPr>
              <w:pStyle w:val="Tabletext"/>
              <w:rPr>
                <w:lang w:val="fr-CH"/>
              </w:rPr>
            </w:pPr>
            <w:r w:rsidRPr="000C6ABF">
              <w:rPr>
                <w:lang w:val="fr-CH"/>
              </w:rPr>
              <w:t xml:space="preserve">L'UIT a </w:t>
            </w:r>
            <w:r w:rsidR="007A7E7F">
              <w:rPr>
                <w:lang w:val="fr-CH"/>
              </w:rPr>
              <w:t>changé de</w:t>
            </w:r>
            <w:r w:rsidRPr="000C6ABF">
              <w:rPr>
                <w:lang w:val="fr-CH"/>
              </w:rPr>
              <w:t xml:space="preserve"> régime d'assurance (Caisse d'assurance pour la protection de la santé du personnel)</w:t>
            </w:r>
            <w:r w:rsidR="007A7E7F">
              <w:rPr>
                <w:lang w:val="fr-CH"/>
              </w:rPr>
              <w:t xml:space="preserve">. Elle est désormais affiliée à la compagnie </w:t>
            </w:r>
            <w:proofErr w:type="spellStart"/>
            <w:r w:rsidRPr="000C6ABF">
              <w:rPr>
                <w:lang w:val="fr-CH"/>
              </w:rPr>
              <w:t>Cigna-</w:t>
            </w:r>
            <w:r w:rsidR="007B5613">
              <w:rPr>
                <w:lang w:val="fr-CH"/>
              </w:rPr>
              <w:t>V</w:t>
            </w:r>
            <w:r w:rsidRPr="000C6ABF">
              <w:rPr>
                <w:lang w:val="fr-CH"/>
              </w:rPr>
              <w:t>an</w:t>
            </w:r>
            <w:r w:rsidR="007B5613">
              <w:rPr>
                <w:lang w:val="fr-CH"/>
              </w:rPr>
              <w:t>b</w:t>
            </w:r>
            <w:r w:rsidRPr="000C6ABF">
              <w:rPr>
                <w:lang w:val="fr-CH"/>
              </w:rPr>
              <w:t>reda</w:t>
            </w:r>
            <w:proofErr w:type="spellEnd"/>
            <w:r w:rsidRPr="000C6ABF">
              <w:rPr>
                <w:lang w:val="fr-CH"/>
              </w:rPr>
              <w:t xml:space="preserve"> </w:t>
            </w:r>
            <w:r w:rsidR="007B5613">
              <w:rPr>
                <w:lang w:val="fr-CH"/>
              </w:rPr>
              <w:t xml:space="preserve">depuis </w:t>
            </w:r>
            <w:r w:rsidRPr="000C6ABF">
              <w:rPr>
                <w:lang w:val="fr-CH"/>
              </w:rPr>
              <w:t>le 1</w:t>
            </w:r>
            <w:r w:rsidRPr="007A7E7F">
              <w:rPr>
                <w:lang w:val="fr-CH"/>
              </w:rPr>
              <w:t>er</w:t>
            </w:r>
            <w:r w:rsidRPr="000C6ABF">
              <w:rPr>
                <w:lang w:val="fr-CH"/>
              </w:rPr>
              <w:t xml:space="preserve"> mai 2014.</w:t>
            </w:r>
          </w:p>
        </w:tc>
        <w:tc>
          <w:tcPr>
            <w:tcW w:w="3410" w:type="dxa"/>
          </w:tcPr>
          <w:p w:rsidR="001A7E5B" w:rsidRPr="000C6ABF" w:rsidRDefault="001A7E5B" w:rsidP="001A7E5B">
            <w:pPr>
              <w:pStyle w:val="Tabletext"/>
              <w:rPr>
                <w:lang w:val="fr-CH"/>
              </w:rPr>
            </w:pPr>
            <w:r w:rsidRPr="000C6ABF">
              <w:rPr>
                <w:lang w:val="fr-CH"/>
              </w:rPr>
              <w:t>Clos</w:t>
            </w:r>
          </w:p>
        </w:tc>
      </w:tr>
    </w:tbl>
    <w:p w:rsidR="001A7E5B" w:rsidRDefault="001A7E5B" w:rsidP="00AB0C69">
      <w:pPr>
        <w:tabs>
          <w:tab w:val="clear" w:pos="567"/>
          <w:tab w:val="clear" w:pos="1134"/>
          <w:tab w:val="clear" w:pos="1701"/>
          <w:tab w:val="clear" w:pos="2268"/>
          <w:tab w:val="clear" w:pos="2835"/>
        </w:tabs>
        <w:overflowPunct/>
        <w:autoSpaceDE/>
        <w:autoSpaceDN/>
        <w:adjustRightInd/>
        <w:spacing w:before="0"/>
        <w:textAlignment w:val="auto"/>
        <w:rPr>
          <w:lang w:val="fr-CH"/>
        </w:rPr>
      </w:pPr>
      <w:r>
        <w:rPr>
          <w:lang w:val="fr-CH"/>
        </w:rPr>
        <w:br w:type="page"/>
      </w:r>
    </w:p>
    <w:p w:rsidR="000C6ABF" w:rsidRPr="000C6ABF" w:rsidRDefault="000C6ABF" w:rsidP="00AB0C69">
      <w:pPr>
        <w:tabs>
          <w:tab w:val="clear" w:pos="567"/>
          <w:tab w:val="clear" w:pos="1134"/>
          <w:tab w:val="clear" w:pos="1701"/>
          <w:tab w:val="clear" w:pos="2268"/>
          <w:tab w:val="clear" w:pos="2835"/>
        </w:tabs>
        <w:overflowPunct/>
        <w:autoSpaceDE/>
        <w:autoSpaceDN/>
        <w:adjustRightInd/>
        <w:spacing w:before="0"/>
        <w:textAlignment w:val="auto"/>
        <w:rPr>
          <w:lang w:val="fr-CH"/>
        </w:rPr>
      </w:pPr>
    </w:p>
    <w:tbl>
      <w:tblPr>
        <w:tblStyle w:val="TableGrid"/>
        <w:tblW w:w="14567" w:type="dxa"/>
        <w:jc w:val="center"/>
        <w:tblLook w:val="04A0" w:firstRow="1" w:lastRow="0" w:firstColumn="1" w:lastColumn="0" w:noHBand="0" w:noVBand="1"/>
      </w:tblPr>
      <w:tblGrid>
        <w:gridCol w:w="926"/>
        <w:gridCol w:w="3411"/>
        <w:gridCol w:w="3410"/>
        <w:gridCol w:w="3410"/>
        <w:gridCol w:w="3410"/>
      </w:tblGrid>
      <w:tr w:rsidR="001A7E5B" w:rsidRPr="00962C41" w:rsidTr="0082771F">
        <w:trPr>
          <w:jc w:val="center"/>
        </w:trPr>
        <w:tc>
          <w:tcPr>
            <w:tcW w:w="926" w:type="dxa"/>
          </w:tcPr>
          <w:p w:rsidR="001A7E5B" w:rsidRPr="00962C41" w:rsidRDefault="001A7E5B" w:rsidP="0082771F">
            <w:pPr>
              <w:pStyle w:val="Tabletext"/>
              <w:rPr>
                <w:b/>
                <w:bCs/>
                <w:sz w:val="20"/>
                <w:szCs w:val="20"/>
                <w:lang w:val="fr-CH"/>
              </w:rPr>
            </w:pPr>
          </w:p>
        </w:tc>
        <w:tc>
          <w:tcPr>
            <w:tcW w:w="3411" w:type="dxa"/>
          </w:tcPr>
          <w:p w:rsidR="001A7E5B" w:rsidRPr="00962C41" w:rsidRDefault="001A7E5B" w:rsidP="0082771F">
            <w:pPr>
              <w:pStyle w:val="Tablehead"/>
              <w:rPr>
                <w:sz w:val="20"/>
                <w:szCs w:val="20"/>
                <w:lang w:val="fr-CH"/>
              </w:rPr>
            </w:pPr>
            <w:r w:rsidRPr="00962C41">
              <w:rPr>
                <w:sz w:val="20"/>
                <w:szCs w:val="20"/>
                <w:lang w:val="fr-CH"/>
              </w:rPr>
              <w:t>Recommandation faite par la</w:t>
            </w:r>
            <w:r w:rsidRPr="00962C41">
              <w:rPr>
                <w:sz w:val="20"/>
                <w:szCs w:val="20"/>
                <w:lang w:val="fr-CH"/>
              </w:rPr>
              <w:br/>
              <w:t>Cour des comptes italienne</w:t>
            </w:r>
          </w:p>
        </w:tc>
        <w:tc>
          <w:tcPr>
            <w:tcW w:w="3410" w:type="dxa"/>
          </w:tcPr>
          <w:p w:rsidR="001A7E5B" w:rsidRPr="00962C41" w:rsidRDefault="001A7E5B" w:rsidP="0082771F">
            <w:pPr>
              <w:pStyle w:val="Tablehead"/>
              <w:rPr>
                <w:sz w:val="20"/>
                <w:szCs w:val="20"/>
                <w:lang w:val="fr-CH"/>
              </w:rPr>
            </w:pPr>
            <w:r w:rsidRPr="00962C41">
              <w:rPr>
                <w:sz w:val="20"/>
                <w:szCs w:val="20"/>
                <w:lang w:val="fr-CH"/>
              </w:rPr>
              <w:t>Commentaires formulés par le Secrétaire général lors de la publication du rapport</w:t>
            </w:r>
          </w:p>
        </w:tc>
        <w:tc>
          <w:tcPr>
            <w:tcW w:w="3410" w:type="dxa"/>
          </w:tcPr>
          <w:p w:rsidR="001A7E5B" w:rsidRPr="00962C41" w:rsidRDefault="001A7E5B" w:rsidP="0082771F">
            <w:pPr>
              <w:pStyle w:val="Tablehead"/>
              <w:rPr>
                <w:sz w:val="20"/>
                <w:szCs w:val="20"/>
                <w:lang w:val="fr-CH"/>
              </w:rPr>
            </w:pPr>
            <w:r w:rsidRPr="00962C41">
              <w:rPr>
                <w:sz w:val="20"/>
                <w:szCs w:val="20"/>
                <w:lang w:val="fr-CH"/>
              </w:rPr>
              <w:t xml:space="preserve">Etat de la situation indiqué </w:t>
            </w:r>
            <w:r w:rsidRPr="00962C41">
              <w:rPr>
                <w:sz w:val="20"/>
                <w:szCs w:val="20"/>
                <w:lang w:val="fr-CH"/>
              </w:rPr>
              <w:br/>
              <w:t xml:space="preserve">par la direction de l'UIT </w:t>
            </w:r>
          </w:p>
        </w:tc>
        <w:tc>
          <w:tcPr>
            <w:tcW w:w="3410" w:type="dxa"/>
          </w:tcPr>
          <w:p w:rsidR="001A7E5B" w:rsidRPr="00962C41" w:rsidRDefault="001A7E5B" w:rsidP="0082771F">
            <w:pPr>
              <w:pStyle w:val="Tablehead"/>
              <w:rPr>
                <w:sz w:val="20"/>
                <w:szCs w:val="20"/>
                <w:lang w:val="fr-CH"/>
              </w:rPr>
            </w:pPr>
            <w:r w:rsidRPr="00962C41">
              <w:rPr>
                <w:sz w:val="20"/>
                <w:szCs w:val="20"/>
                <w:lang w:val="fr-CH"/>
              </w:rPr>
              <w:t>Etat des mesures prises par la direction selon l'évaluation de la Cour des comptes italienne</w:t>
            </w:r>
          </w:p>
        </w:tc>
      </w:tr>
      <w:tr w:rsidR="001A7E5B" w:rsidRPr="00962C41" w:rsidTr="0082771F">
        <w:trPr>
          <w:jc w:val="center"/>
        </w:trPr>
        <w:tc>
          <w:tcPr>
            <w:tcW w:w="926" w:type="dxa"/>
          </w:tcPr>
          <w:p w:rsidR="001A7E5B" w:rsidRPr="00962C41" w:rsidRDefault="001A7E5B" w:rsidP="001A7E5B">
            <w:pPr>
              <w:pStyle w:val="Tabletext"/>
              <w:rPr>
                <w:b/>
                <w:bCs/>
                <w:sz w:val="20"/>
                <w:szCs w:val="20"/>
                <w:lang w:val="fr-CH"/>
              </w:rPr>
            </w:pPr>
            <w:r w:rsidRPr="00962C41">
              <w:rPr>
                <w:b/>
                <w:bCs/>
                <w:sz w:val="20"/>
                <w:szCs w:val="20"/>
                <w:lang w:val="fr-CH"/>
              </w:rPr>
              <w:t>Rec. 8</w:t>
            </w:r>
            <w:r w:rsidRPr="00962C41">
              <w:rPr>
                <w:b/>
                <w:bCs/>
                <w:sz w:val="20"/>
                <w:szCs w:val="20"/>
                <w:lang w:val="fr-CH"/>
              </w:rPr>
              <w:br/>
              <w:t>2012</w:t>
            </w:r>
          </w:p>
        </w:tc>
        <w:tc>
          <w:tcPr>
            <w:tcW w:w="3411" w:type="dxa"/>
          </w:tcPr>
          <w:p w:rsidR="001A7E5B" w:rsidRPr="00962C41" w:rsidRDefault="001A7E5B" w:rsidP="001A7E5B">
            <w:pPr>
              <w:pStyle w:val="Tabletext"/>
              <w:rPr>
                <w:rFonts w:asciiTheme="minorHAnsi" w:eastAsia="Times New Roman" w:hAnsiTheme="minorHAnsi" w:cs="Times New Roman"/>
                <w:b/>
                <w:bCs/>
                <w:i/>
                <w:iCs/>
                <w:sz w:val="20"/>
                <w:szCs w:val="20"/>
                <w:lang w:val="fr-CH" w:eastAsia="it-IT"/>
              </w:rPr>
            </w:pPr>
            <w:r w:rsidRPr="00962C41">
              <w:rPr>
                <w:rFonts w:asciiTheme="minorHAnsi" w:eastAsia="Times New Roman" w:hAnsiTheme="minorHAnsi" w:cs="Times New Roman"/>
                <w:b/>
                <w:bCs/>
                <w:i/>
                <w:iCs/>
                <w:sz w:val="20"/>
                <w:szCs w:val="20"/>
                <w:lang w:val="fr-CH" w:eastAsia="it-IT"/>
              </w:rPr>
              <w:t>Actif net</w:t>
            </w:r>
          </w:p>
          <w:p w:rsidR="00962C41" w:rsidRPr="00962C41" w:rsidRDefault="001A7E5B" w:rsidP="007B5613">
            <w:pPr>
              <w:pStyle w:val="Tabletext"/>
              <w:rPr>
                <w:sz w:val="20"/>
                <w:szCs w:val="20"/>
                <w:lang w:val="fr-CH"/>
              </w:rPr>
            </w:pPr>
            <w:r w:rsidRPr="00962C41">
              <w:rPr>
                <w:sz w:val="20"/>
                <w:szCs w:val="20"/>
                <w:lang w:val="fr-CH"/>
              </w:rPr>
              <w:t>A la suite du débat, à la session de l'an dernier du Conseil (juillet 201</w:t>
            </w:r>
            <w:r w:rsidR="007B5613">
              <w:rPr>
                <w:sz w:val="20"/>
                <w:szCs w:val="20"/>
                <w:lang w:val="fr-CH"/>
              </w:rPr>
              <w:t>3</w:t>
            </w:r>
            <w:r w:rsidRPr="00962C41">
              <w:rPr>
                <w:sz w:val="20"/>
                <w:szCs w:val="20"/>
                <w:lang w:val="fr-CH"/>
              </w:rPr>
              <w:t>), sur la relation entre le Fonds de réserve et l'actif net, nous avons noté que le Règlement financier n'était pas en accord avec la pratique comptable. La direction a donc proposé au Groupe de travail du Conseil sur la gestion des ressources financières et humaines (CWG-FHR) d'amender le Règlement financier. A la date où le rapport a été publié, les amendements n'avaient pas encore été approuvés.</w:t>
            </w:r>
            <w:r w:rsidR="007B5613">
              <w:rPr>
                <w:sz w:val="20"/>
                <w:szCs w:val="20"/>
                <w:lang w:val="fr-CH"/>
              </w:rPr>
              <w:t xml:space="preserve"> </w:t>
            </w:r>
            <w:r w:rsidR="00962C41" w:rsidRPr="00962C41">
              <w:rPr>
                <w:sz w:val="20"/>
                <w:szCs w:val="20"/>
                <w:lang w:val="fr-CH"/>
              </w:rPr>
              <w:t xml:space="preserve">Si ces amendements sont approuvés, </w:t>
            </w:r>
            <w:r w:rsidR="00962C41" w:rsidRPr="007B5613">
              <w:rPr>
                <w:sz w:val="20"/>
                <w:szCs w:val="20"/>
                <w:lang w:val="fr-CH"/>
              </w:rPr>
              <w:t xml:space="preserve">nous recommandons </w:t>
            </w:r>
            <w:r w:rsidR="00962C41" w:rsidRPr="00962C41">
              <w:rPr>
                <w:sz w:val="20"/>
                <w:szCs w:val="20"/>
                <w:lang w:val="fr-CH"/>
              </w:rPr>
              <w:t>d'harmoniser, dans le prochain Rapport de gestion financière, les informations financières figurant actuellement dans le Tableau I "Etat de la situation financière" et dans le Tableau III "Etat des variations de l'actif net" (voir le paragraphe ci</w:t>
            </w:r>
            <w:r w:rsidR="007B5613">
              <w:rPr>
                <w:sz w:val="20"/>
                <w:szCs w:val="20"/>
                <w:lang w:val="fr-CH"/>
              </w:rPr>
              <w:noBreakHyphen/>
            </w:r>
            <w:r w:rsidR="00962C41" w:rsidRPr="00962C41">
              <w:rPr>
                <w:sz w:val="20"/>
                <w:szCs w:val="20"/>
                <w:lang w:val="fr-CH"/>
              </w:rPr>
              <w:t>dessus), et les notes y relatives avec le texte amendé du Règlement financier, en fournissant une ventilation détaillée de toutes les composantes de l'actif net.</w:t>
            </w:r>
          </w:p>
        </w:tc>
        <w:tc>
          <w:tcPr>
            <w:tcW w:w="3410" w:type="dxa"/>
          </w:tcPr>
          <w:p w:rsidR="001A7E5B" w:rsidRPr="00962C41" w:rsidRDefault="001A7E5B" w:rsidP="001A7E5B">
            <w:pPr>
              <w:pStyle w:val="Tabletext"/>
              <w:rPr>
                <w:sz w:val="20"/>
                <w:szCs w:val="20"/>
                <w:lang w:val="fr-CH"/>
              </w:rPr>
            </w:pPr>
            <w:r w:rsidRPr="00962C41">
              <w:rPr>
                <w:sz w:val="20"/>
                <w:szCs w:val="20"/>
                <w:lang w:val="fr-CH"/>
              </w:rPr>
              <w:t>Dans l'attente de la décision qui sera prise à la session de 2013 du Conseil concernant les amendements qu'il est proposé d'apporter au Règlement financier et aux Règles financières, j'ai donné pour instruction au Département de la gestion des ressources financières d'adapter en conséquence la présentation et la diffusion des informations financières relatives à l'actif net.</w:t>
            </w:r>
          </w:p>
        </w:tc>
        <w:tc>
          <w:tcPr>
            <w:tcW w:w="3410" w:type="dxa"/>
          </w:tcPr>
          <w:p w:rsidR="001A7E5B" w:rsidRPr="00962C41" w:rsidRDefault="001A7E5B" w:rsidP="001A7E5B">
            <w:pPr>
              <w:pStyle w:val="Tabletext"/>
              <w:rPr>
                <w:sz w:val="20"/>
                <w:szCs w:val="20"/>
                <w:lang w:val="fr-CH"/>
              </w:rPr>
            </w:pPr>
            <w:r w:rsidRPr="00962C41">
              <w:rPr>
                <w:sz w:val="20"/>
                <w:szCs w:val="20"/>
                <w:lang w:val="fr-CH"/>
              </w:rPr>
              <w:t>La présentation de l'actif net a été modifiée. Elle offrira une ventilation des différentes composantes de l'actif net. Les informations financières concernant le Fonds de réserve sont présentées séparément. La présentation proposée a été soumise aux vérificateurs extérieurs des co</w:t>
            </w:r>
            <w:r w:rsidR="00962C41" w:rsidRPr="00962C41">
              <w:rPr>
                <w:sz w:val="20"/>
                <w:szCs w:val="20"/>
                <w:lang w:val="fr-CH"/>
              </w:rPr>
              <w:t>mptes pour examen et validation</w:t>
            </w:r>
            <w:r w:rsidRPr="00962C41">
              <w:rPr>
                <w:sz w:val="20"/>
                <w:szCs w:val="20"/>
                <w:lang w:val="fr-CH"/>
              </w:rPr>
              <w:t xml:space="preserve">. </w:t>
            </w:r>
          </w:p>
        </w:tc>
        <w:tc>
          <w:tcPr>
            <w:tcW w:w="3410" w:type="dxa"/>
          </w:tcPr>
          <w:p w:rsidR="001A7E5B" w:rsidRPr="00962C41" w:rsidRDefault="001A7E5B" w:rsidP="001A7E5B">
            <w:pPr>
              <w:pStyle w:val="Tabletext"/>
              <w:rPr>
                <w:sz w:val="20"/>
                <w:szCs w:val="20"/>
                <w:lang w:val="fr-CH"/>
              </w:rPr>
            </w:pPr>
            <w:r w:rsidRPr="00962C41">
              <w:rPr>
                <w:sz w:val="20"/>
                <w:szCs w:val="20"/>
                <w:lang w:val="fr-CH"/>
              </w:rPr>
              <w:t xml:space="preserve">Mise en œuvre </w:t>
            </w:r>
          </w:p>
        </w:tc>
      </w:tr>
    </w:tbl>
    <w:p w:rsidR="005B783E" w:rsidRPr="000C6ABF" w:rsidRDefault="005B783E" w:rsidP="00AB0C69">
      <w:pPr>
        <w:rPr>
          <w:lang w:val="fr-CH"/>
        </w:rPr>
      </w:pPr>
    </w:p>
    <w:p w:rsidR="005B783E" w:rsidRPr="000C6ABF" w:rsidRDefault="005B783E" w:rsidP="00AB0C69">
      <w:pPr>
        <w:tabs>
          <w:tab w:val="clear" w:pos="567"/>
          <w:tab w:val="clear" w:pos="1134"/>
          <w:tab w:val="clear" w:pos="1701"/>
          <w:tab w:val="clear" w:pos="2268"/>
          <w:tab w:val="clear" w:pos="2835"/>
        </w:tabs>
        <w:overflowPunct/>
        <w:autoSpaceDE/>
        <w:autoSpaceDN/>
        <w:adjustRightInd/>
        <w:spacing w:before="0"/>
        <w:textAlignment w:val="auto"/>
        <w:rPr>
          <w:lang w:val="fr-CH"/>
        </w:rPr>
      </w:pPr>
      <w:r w:rsidRPr="000C6ABF">
        <w:rPr>
          <w:lang w:val="fr-CH"/>
        </w:rPr>
        <w:br w:type="page"/>
      </w:r>
    </w:p>
    <w:tbl>
      <w:tblPr>
        <w:tblStyle w:val="TableGrid"/>
        <w:tblW w:w="14567" w:type="dxa"/>
        <w:jc w:val="center"/>
        <w:tblLook w:val="04A0" w:firstRow="1" w:lastRow="0" w:firstColumn="1" w:lastColumn="0" w:noHBand="0" w:noVBand="1"/>
      </w:tblPr>
      <w:tblGrid>
        <w:gridCol w:w="926"/>
        <w:gridCol w:w="3411"/>
        <w:gridCol w:w="3410"/>
        <w:gridCol w:w="3410"/>
        <w:gridCol w:w="3410"/>
      </w:tblGrid>
      <w:tr w:rsidR="001A7E5B" w:rsidRPr="000C6ABF" w:rsidTr="0082771F">
        <w:trPr>
          <w:jc w:val="center"/>
        </w:trPr>
        <w:tc>
          <w:tcPr>
            <w:tcW w:w="926" w:type="dxa"/>
          </w:tcPr>
          <w:p w:rsidR="001A7E5B" w:rsidRPr="000C6ABF" w:rsidRDefault="001A7E5B" w:rsidP="0082771F">
            <w:pPr>
              <w:pStyle w:val="Tabletext"/>
              <w:rPr>
                <w:b/>
                <w:bCs/>
                <w:lang w:val="fr-CH"/>
              </w:rPr>
            </w:pPr>
          </w:p>
        </w:tc>
        <w:tc>
          <w:tcPr>
            <w:tcW w:w="3411" w:type="dxa"/>
          </w:tcPr>
          <w:p w:rsidR="001A7E5B" w:rsidRPr="000C6ABF" w:rsidRDefault="001A7E5B" w:rsidP="0082771F">
            <w:pPr>
              <w:pStyle w:val="Tablehead"/>
              <w:rPr>
                <w:lang w:val="fr-CH"/>
              </w:rPr>
            </w:pPr>
            <w:r w:rsidRPr="000C6ABF">
              <w:rPr>
                <w:lang w:val="fr-CH"/>
              </w:rPr>
              <w:t>Recommandation faite par la</w:t>
            </w:r>
            <w:r w:rsidRPr="000C6ABF">
              <w:rPr>
                <w:lang w:val="fr-CH"/>
              </w:rPr>
              <w:br/>
              <w:t>Cour des comptes italienne</w:t>
            </w:r>
          </w:p>
        </w:tc>
        <w:tc>
          <w:tcPr>
            <w:tcW w:w="3410" w:type="dxa"/>
          </w:tcPr>
          <w:p w:rsidR="001A7E5B" w:rsidRPr="000C6ABF" w:rsidRDefault="001A7E5B" w:rsidP="0082771F">
            <w:pPr>
              <w:pStyle w:val="Tablehead"/>
              <w:rPr>
                <w:lang w:val="fr-CH"/>
              </w:rPr>
            </w:pPr>
            <w:r w:rsidRPr="000C6ABF">
              <w:rPr>
                <w:lang w:val="fr-CH"/>
              </w:rPr>
              <w:t>Commentaires formulés par le Secrétaire général lors de la publication du rapport</w:t>
            </w:r>
          </w:p>
        </w:tc>
        <w:tc>
          <w:tcPr>
            <w:tcW w:w="3410" w:type="dxa"/>
          </w:tcPr>
          <w:p w:rsidR="001A7E5B" w:rsidRPr="000C6ABF" w:rsidRDefault="001A7E5B" w:rsidP="0082771F">
            <w:pPr>
              <w:pStyle w:val="Tablehead"/>
              <w:rPr>
                <w:lang w:val="fr-CH"/>
              </w:rPr>
            </w:pPr>
            <w:r w:rsidRPr="000C6ABF">
              <w:rPr>
                <w:lang w:val="fr-CH"/>
              </w:rPr>
              <w:t xml:space="preserve">Etat de la situation indiqué </w:t>
            </w:r>
            <w:r w:rsidRPr="000C6ABF">
              <w:rPr>
                <w:lang w:val="fr-CH"/>
              </w:rPr>
              <w:br/>
              <w:t xml:space="preserve">par la direction de l'UIT </w:t>
            </w:r>
          </w:p>
        </w:tc>
        <w:tc>
          <w:tcPr>
            <w:tcW w:w="3410" w:type="dxa"/>
          </w:tcPr>
          <w:p w:rsidR="001A7E5B" w:rsidRPr="000C6ABF" w:rsidRDefault="001A7E5B" w:rsidP="0082771F">
            <w:pPr>
              <w:pStyle w:val="Tablehead"/>
              <w:rPr>
                <w:lang w:val="fr-CH"/>
              </w:rPr>
            </w:pPr>
            <w:r w:rsidRPr="000C6ABF">
              <w:rPr>
                <w:lang w:val="fr-CH"/>
              </w:rPr>
              <w:t>Etat des mesures prises par la direction selon l'évaluation de la Cour des comptes italienne</w:t>
            </w:r>
          </w:p>
        </w:tc>
      </w:tr>
      <w:tr w:rsidR="001A7E5B" w:rsidRPr="000C6ABF" w:rsidTr="0082771F">
        <w:trPr>
          <w:jc w:val="center"/>
        </w:trPr>
        <w:tc>
          <w:tcPr>
            <w:tcW w:w="926" w:type="dxa"/>
          </w:tcPr>
          <w:p w:rsidR="001A7E5B" w:rsidRPr="001A7E5B" w:rsidRDefault="001A7E5B" w:rsidP="001A7E5B">
            <w:pPr>
              <w:pStyle w:val="Tabletext"/>
              <w:rPr>
                <w:b/>
                <w:bCs/>
                <w:lang w:val="fr-CH"/>
              </w:rPr>
            </w:pPr>
            <w:r w:rsidRPr="001A7E5B">
              <w:rPr>
                <w:b/>
                <w:bCs/>
                <w:lang w:val="fr-CH"/>
              </w:rPr>
              <w:t xml:space="preserve">Rec. </w:t>
            </w:r>
            <w:r>
              <w:rPr>
                <w:b/>
                <w:bCs/>
                <w:lang w:val="fr-CH"/>
              </w:rPr>
              <w:t>9</w:t>
            </w:r>
            <w:r w:rsidRPr="001A7E5B">
              <w:rPr>
                <w:b/>
                <w:bCs/>
                <w:lang w:val="fr-CH"/>
              </w:rPr>
              <w:br/>
              <w:t>2012</w:t>
            </w:r>
          </w:p>
        </w:tc>
        <w:tc>
          <w:tcPr>
            <w:tcW w:w="3411" w:type="dxa"/>
          </w:tcPr>
          <w:p w:rsidR="001A7E5B" w:rsidRPr="000C6ABF" w:rsidRDefault="001A7E5B" w:rsidP="001A7E5B">
            <w:pPr>
              <w:pStyle w:val="Tabletext"/>
              <w:rPr>
                <w:rFonts w:asciiTheme="minorHAnsi" w:eastAsia="Times New Roman" w:hAnsiTheme="minorHAnsi" w:cs="Times New Roman"/>
                <w:b/>
                <w:bCs/>
                <w:i/>
                <w:iCs/>
                <w:lang w:val="fr-CH" w:eastAsia="it-IT"/>
              </w:rPr>
            </w:pPr>
            <w:r w:rsidRPr="000C6ABF">
              <w:rPr>
                <w:rFonts w:asciiTheme="minorHAnsi" w:eastAsia="Times New Roman" w:hAnsiTheme="minorHAnsi" w:cs="Times New Roman"/>
                <w:b/>
                <w:bCs/>
                <w:i/>
                <w:iCs/>
                <w:lang w:val="fr-CH" w:eastAsia="it-IT"/>
              </w:rPr>
              <w:t>Possibilités de compenser l'actif négatif net</w:t>
            </w:r>
          </w:p>
          <w:p w:rsidR="001A7E5B" w:rsidRPr="000C6ABF" w:rsidRDefault="001A7E5B" w:rsidP="007B5613">
            <w:pPr>
              <w:pStyle w:val="Tabletext"/>
              <w:rPr>
                <w:lang w:val="fr-CH"/>
              </w:rPr>
            </w:pPr>
            <w:r w:rsidRPr="000C6ABF">
              <w:rPr>
                <w:lang w:val="fr-CH"/>
              </w:rPr>
              <w:t xml:space="preserve">Nous reconnaissons que la Direction s'occupe de certains problèmes et, par exemple, que l'intention existe d'augmenter la contribution de l'UIT à la CAPS (3,91%) comme proposé dans le projet de budget, et </w:t>
            </w:r>
            <w:r w:rsidRPr="007B5613">
              <w:rPr>
                <w:lang w:val="fr-CH"/>
              </w:rPr>
              <w:t>nous recommandons de t</w:t>
            </w:r>
            <w:r w:rsidRPr="000C6ABF">
              <w:rPr>
                <w:lang w:val="fr-CH"/>
              </w:rPr>
              <w:t>oujours évaluer si les mesures prises sont vraiment des mesures structurelles visant à réduire le niveau de sous</w:t>
            </w:r>
            <w:r w:rsidR="007B5613">
              <w:rPr>
                <w:lang w:val="fr-CH"/>
              </w:rPr>
              <w:noBreakHyphen/>
            </w:r>
            <w:r w:rsidRPr="000C6ABF">
              <w:rPr>
                <w:lang w:val="fr-CH"/>
              </w:rPr>
              <w:t>financement.</w:t>
            </w:r>
          </w:p>
        </w:tc>
        <w:tc>
          <w:tcPr>
            <w:tcW w:w="3410" w:type="dxa"/>
          </w:tcPr>
          <w:p w:rsidR="001A7E5B" w:rsidRPr="000C6ABF" w:rsidRDefault="001A7E5B" w:rsidP="001A7E5B">
            <w:pPr>
              <w:pStyle w:val="Tabletext"/>
              <w:rPr>
                <w:lang w:val="fr-CH"/>
              </w:rPr>
            </w:pPr>
            <w:r w:rsidRPr="000C6ABF">
              <w:rPr>
                <w:lang w:val="fr-CH"/>
              </w:rPr>
              <w:t>Je prends note de cette recommandation et vous informe qu'un processus complet d'analyse actuarielle et de définition de différents scénarios est en cours pour évaluer les mesures correctives destinées à réduire les engagements non financés au titre de l'ASHI.</w:t>
            </w:r>
          </w:p>
        </w:tc>
        <w:tc>
          <w:tcPr>
            <w:tcW w:w="3410" w:type="dxa"/>
          </w:tcPr>
          <w:p w:rsidR="001A7E5B" w:rsidRPr="000C6ABF" w:rsidRDefault="001A7E5B" w:rsidP="00962C41">
            <w:pPr>
              <w:pStyle w:val="Tabletext"/>
              <w:rPr>
                <w:lang w:val="fr-CH"/>
              </w:rPr>
            </w:pPr>
            <w:r w:rsidRPr="000C6ABF">
              <w:rPr>
                <w:lang w:val="fr-CH" w:eastAsia="it-IT"/>
              </w:rPr>
              <w:t xml:space="preserve">Se reporter aux différentes mises à jour </w:t>
            </w:r>
            <w:r w:rsidR="00962C41">
              <w:rPr>
                <w:lang w:val="fr-CH" w:eastAsia="it-IT"/>
              </w:rPr>
              <w:t>d</w:t>
            </w:r>
            <w:r w:rsidRPr="000C6ABF">
              <w:rPr>
                <w:lang w:val="fr-CH" w:eastAsia="it-IT"/>
              </w:rPr>
              <w:t xml:space="preserve">es </w:t>
            </w:r>
            <w:r w:rsidR="007B5613" w:rsidRPr="000C6ABF">
              <w:rPr>
                <w:lang w:val="fr-CH" w:eastAsia="it-IT"/>
              </w:rPr>
              <w:t>R</w:t>
            </w:r>
            <w:r w:rsidRPr="000C6ABF">
              <w:rPr>
                <w:lang w:val="fr-CH" w:eastAsia="it-IT"/>
              </w:rPr>
              <w:t>ecommandations</w:t>
            </w:r>
            <w:r w:rsidR="00962C41">
              <w:rPr>
                <w:lang w:val="fr-CH" w:eastAsia="it-IT"/>
              </w:rPr>
              <w:t xml:space="preserve"> N°</w:t>
            </w:r>
            <w:r w:rsidRPr="000C6ABF">
              <w:rPr>
                <w:lang w:val="fr-CH" w:eastAsia="it-IT"/>
              </w:rPr>
              <w:t xml:space="preserve"> 6 et </w:t>
            </w:r>
            <w:r w:rsidR="00962C41">
              <w:rPr>
                <w:lang w:val="fr-CH" w:eastAsia="it-IT"/>
              </w:rPr>
              <w:t xml:space="preserve">N° </w:t>
            </w:r>
            <w:r w:rsidRPr="000C6ABF">
              <w:rPr>
                <w:lang w:val="fr-CH" w:eastAsia="it-IT"/>
              </w:rPr>
              <w:t>7</w:t>
            </w:r>
          </w:p>
        </w:tc>
        <w:tc>
          <w:tcPr>
            <w:tcW w:w="3410" w:type="dxa"/>
          </w:tcPr>
          <w:p w:rsidR="001A7E5B" w:rsidRPr="000C6ABF" w:rsidRDefault="001A7E5B" w:rsidP="001A7E5B">
            <w:pPr>
              <w:pStyle w:val="Tabletext"/>
              <w:rPr>
                <w:lang w:val="fr-CH" w:eastAsia="it-IT"/>
              </w:rPr>
            </w:pPr>
            <w:r w:rsidRPr="000C6ABF">
              <w:rPr>
                <w:lang w:val="fr-CH" w:eastAsia="it-IT"/>
              </w:rPr>
              <w:t>En cours</w:t>
            </w:r>
          </w:p>
          <w:p w:rsidR="001A7E5B" w:rsidRPr="000C6ABF" w:rsidRDefault="001A7E5B" w:rsidP="001A7E5B">
            <w:pPr>
              <w:pStyle w:val="Tabletext"/>
              <w:rPr>
                <w:lang w:val="fr-CH"/>
              </w:rPr>
            </w:pPr>
            <w:r w:rsidRPr="000C6ABF">
              <w:rPr>
                <w:lang w:val="fr-CH" w:eastAsia="it-IT"/>
              </w:rPr>
              <w:t>Nous prenons note des efforts déployés par la direction de l'UIT.</w:t>
            </w:r>
          </w:p>
        </w:tc>
      </w:tr>
    </w:tbl>
    <w:p w:rsidR="006A3C3F" w:rsidRPr="000C6ABF" w:rsidRDefault="006A3C3F" w:rsidP="00AB0C69">
      <w:pPr>
        <w:rPr>
          <w:lang w:val="fr-CH"/>
        </w:rPr>
      </w:pPr>
    </w:p>
    <w:p w:rsidR="005B783E" w:rsidRPr="000C6ABF" w:rsidRDefault="005B783E" w:rsidP="00AB0C69">
      <w:pPr>
        <w:tabs>
          <w:tab w:val="clear" w:pos="567"/>
          <w:tab w:val="clear" w:pos="1134"/>
          <w:tab w:val="clear" w:pos="1701"/>
          <w:tab w:val="clear" w:pos="2268"/>
          <w:tab w:val="clear" w:pos="2835"/>
        </w:tabs>
        <w:overflowPunct/>
        <w:autoSpaceDE/>
        <w:autoSpaceDN/>
        <w:adjustRightInd/>
        <w:spacing w:before="0"/>
        <w:textAlignment w:val="auto"/>
        <w:rPr>
          <w:lang w:val="fr-CH"/>
        </w:rPr>
      </w:pPr>
      <w:r w:rsidRPr="000C6ABF">
        <w:rPr>
          <w:lang w:val="fr-CH"/>
        </w:rPr>
        <w:br w:type="page"/>
      </w:r>
    </w:p>
    <w:tbl>
      <w:tblPr>
        <w:tblStyle w:val="TableGrid"/>
        <w:tblW w:w="14567" w:type="dxa"/>
        <w:jc w:val="center"/>
        <w:tblLook w:val="04A0" w:firstRow="1" w:lastRow="0" w:firstColumn="1" w:lastColumn="0" w:noHBand="0" w:noVBand="1"/>
      </w:tblPr>
      <w:tblGrid>
        <w:gridCol w:w="926"/>
        <w:gridCol w:w="3411"/>
        <w:gridCol w:w="3410"/>
        <w:gridCol w:w="3410"/>
        <w:gridCol w:w="3410"/>
      </w:tblGrid>
      <w:tr w:rsidR="001A7E5B" w:rsidRPr="000C6ABF" w:rsidTr="0082771F">
        <w:trPr>
          <w:jc w:val="center"/>
        </w:trPr>
        <w:tc>
          <w:tcPr>
            <w:tcW w:w="926" w:type="dxa"/>
          </w:tcPr>
          <w:p w:rsidR="001A7E5B" w:rsidRPr="000C6ABF" w:rsidRDefault="001A7E5B" w:rsidP="0082771F">
            <w:pPr>
              <w:pStyle w:val="Tabletext"/>
              <w:rPr>
                <w:b/>
                <w:bCs/>
                <w:lang w:val="fr-CH"/>
              </w:rPr>
            </w:pPr>
          </w:p>
        </w:tc>
        <w:tc>
          <w:tcPr>
            <w:tcW w:w="3411" w:type="dxa"/>
          </w:tcPr>
          <w:p w:rsidR="001A7E5B" w:rsidRPr="000C6ABF" w:rsidRDefault="001A7E5B" w:rsidP="0082771F">
            <w:pPr>
              <w:pStyle w:val="Tablehead"/>
              <w:rPr>
                <w:lang w:val="fr-CH"/>
              </w:rPr>
            </w:pPr>
            <w:r w:rsidRPr="000C6ABF">
              <w:rPr>
                <w:lang w:val="fr-CH"/>
              </w:rPr>
              <w:t>Recommandation faite par la</w:t>
            </w:r>
            <w:r w:rsidRPr="000C6ABF">
              <w:rPr>
                <w:lang w:val="fr-CH"/>
              </w:rPr>
              <w:br/>
              <w:t>Cour des comptes italienne</w:t>
            </w:r>
          </w:p>
        </w:tc>
        <w:tc>
          <w:tcPr>
            <w:tcW w:w="3410" w:type="dxa"/>
          </w:tcPr>
          <w:p w:rsidR="001A7E5B" w:rsidRPr="000C6ABF" w:rsidRDefault="001A7E5B" w:rsidP="0082771F">
            <w:pPr>
              <w:pStyle w:val="Tablehead"/>
              <w:rPr>
                <w:lang w:val="fr-CH"/>
              </w:rPr>
            </w:pPr>
            <w:r w:rsidRPr="000C6ABF">
              <w:rPr>
                <w:lang w:val="fr-CH"/>
              </w:rPr>
              <w:t>Commentaires formulés par le Secrétaire général lors de la publication du rapport</w:t>
            </w:r>
          </w:p>
        </w:tc>
        <w:tc>
          <w:tcPr>
            <w:tcW w:w="3410" w:type="dxa"/>
          </w:tcPr>
          <w:p w:rsidR="001A7E5B" w:rsidRPr="000C6ABF" w:rsidRDefault="001A7E5B" w:rsidP="0082771F">
            <w:pPr>
              <w:pStyle w:val="Tablehead"/>
              <w:rPr>
                <w:lang w:val="fr-CH"/>
              </w:rPr>
            </w:pPr>
            <w:r w:rsidRPr="000C6ABF">
              <w:rPr>
                <w:lang w:val="fr-CH"/>
              </w:rPr>
              <w:t xml:space="preserve">Etat de la situation indiqué </w:t>
            </w:r>
            <w:r w:rsidRPr="000C6ABF">
              <w:rPr>
                <w:lang w:val="fr-CH"/>
              </w:rPr>
              <w:br/>
              <w:t xml:space="preserve">par la direction de l'UIT </w:t>
            </w:r>
          </w:p>
        </w:tc>
        <w:tc>
          <w:tcPr>
            <w:tcW w:w="3410" w:type="dxa"/>
          </w:tcPr>
          <w:p w:rsidR="001A7E5B" w:rsidRPr="000C6ABF" w:rsidRDefault="001A7E5B" w:rsidP="0082771F">
            <w:pPr>
              <w:pStyle w:val="Tablehead"/>
              <w:rPr>
                <w:lang w:val="fr-CH"/>
              </w:rPr>
            </w:pPr>
            <w:r w:rsidRPr="000C6ABF">
              <w:rPr>
                <w:lang w:val="fr-CH"/>
              </w:rPr>
              <w:t>Etat des mesures prises par la direction selon l'évaluation de la Cour des comptes italienne</w:t>
            </w:r>
          </w:p>
        </w:tc>
      </w:tr>
      <w:tr w:rsidR="001A7E5B" w:rsidRPr="006F7888" w:rsidTr="0082771F">
        <w:trPr>
          <w:jc w:val="center"/>
        </w:trPr>
        <w:tc>
          <w:tcPr>
            <w:tcW w:w="926" w:type="dxa"/>
          </w:tcPr>
          <w:p w:rsidR="001A7E5B" w:rsidRPr="001A7E5B" w:rsidRDefault="001A7E5B" w:rsidP="001A7E5B">
            <w:pPr>
              <w:pStyle w:val="Tabletext"/>
              <w:rPr>
                <w:b/>
                <w:bCs/>
                <w:lang w:val="fr-CH"/>
              </w:rPr>
            </w:pPr>
            <w:r w:rsidRPr="001A7E5B">
              <w:rPr>
                <w:b/>
                <w:bCs/>
                <w:lang w:val="fr-CH"/>
              </w:rPr>
              <w:t xml:space="preserve">Rec. </w:t>
            </w:r>
            <w:r>
              <w:rPr>
                <w:b/>
                <w:bCs/>
                <w:lang w:val="fr-CH"/>
              </w:rPr>
              <w:t>10</w:t>
            </w:r>
            <w:r w:rsidRPr="001A7E5B">
              <w:rPr>
                <w:b/>
                <w:bCs/>
                <w:lang w:val="fr-CH"/>
              </w:rPr>
              <w:br/>
              <w:t>2012</w:t>
            </w:r>
          </w:p>
        </w:tc>
        <w:tc>
          <w:tcPr>
            <w:tcW w:w="3411" w:type="dxa"/>
          </w:tcPr>
          <w:p w:rsidR="001A7E5B" w:rsidRPr="000C6ABF" w:rsidRDefault="001A7E5B" w:rsidP="001A7E5B">
            <w:pPr>
              <w:pStyle w:val="Tabletext"/>
              <w:rPr>
                <w:rFonts w:asciiTheme="minorHAnsi" w:eastAsia="Times New Roman" w:hAnsiTheme="minorHAnsi" w:cs="Times New Roman"/>
                <w:b/>
                <w:bCs/>
                <w:i/>
                <w:iCs/>
                <w:lang w:val="fr-CH" w:eastAsia="it-IT"/>
              </w:rPr>
            </w:pPr>
            <w:r w:rsidRPr="000C6ABF">
              <w:rPr>
                <w:rFonts w:asciiTheme="minorHAnsi" w:eastAsia="Times New Roman" w:hAnsiTheme="minorHAnsi" w:cs="Times New Roman"/>
                <w:b/>
                <w:bCs/>
                <w:i/>
                <w:iCs/>
                <w:lang w:val="fr-CH" w:eastAsia="it-IT"/>
              </w:rPr>
              <w:t>Numérisation des dossiers des fonctionnaires</w:t>
            </w:r>
          </w:p>
          <w:p w:rsidR="001A7E5B" w:rsidRPr="000C6ABF" w:rsidRDefault="001A7E5B" w:rsidP="00514625">
            <w:pPr>
              <w:pStyle w:val="Tabletext"/>
              <w:rPr>
                <w:lang w:val="fr-CH"/>
              </w:rPr>
            </w:pPr>
            <w:r w:rsidRPr="000C6ABF">
              <w:rPr>
                <w:lang w:val="fr-CH"/>
              </w:rPr>
              <w:t xml:space="preserve">Bien que notre analyse de la correspondance des données introduites dans le système informatique avec les dossiers du personnel n'ait pas révélé d'écarts majeurs, </w:t>
            </w:r>
            <w:r w:rsidRPr="007B5613">
              <w:rPr>
                <w:lang w:val="fr-CH"/>
              </w:rPr>
              <w:t>nous recommandons</w:t>
            </w:r>
            <w:r w:rsidRPr="000C6ABF">
              <w:rPr>
                <w:lang w:val="fr-CH"/>
              </w:rPr>
              <w:t xml:space="preserve"> à la Direction de commencer à évaluer le rapport coût-efficacité d'une numérisation des dossiers du personnel, non seulement pour éviter qu'un événement accidentel provoque la perte de données essentielles, mais aussi pour permettre une interface directe des dossiers du personnel avec SAP</w:t>
            </w:r>
            <w:r w:rsidR="00514625">
              <w:rPr>
                <w:lang w:val="fr-CH"/>
              </w:rPr>
              <w:t> </w:t>
            </w:r>
            <w:r w:rsidRPr="000C6ABF">
              <w:rPr>
                <w:lang w:val="fr-CH"/>
              </w:rPr>
              <w:t>HR.</w:t>
            </w:r>
          </w:p>
        </w:tc>
        <w:tc>
          <w:tcPr>
            <w:tcW w:w="3410" w:type="dxa"/>
          </w:tcPr>
          <w:p w:rsidR="001A7E5B" w:rsidRPr="000C6ABF" w:rsidRDefault="001A7E5B" w:rsidP="001A7E5B">
            <w:pPr>
              <w:pStyle w:val="Tabletext"/>
              <w:rPr>
                <w:lang w:val="fr-CH"/>
              </w:rPr>
            </w:pPr>
            <w:r w:rsidRPr="000C6ABF">
              <w:rPr>
                <w:lang w:val="fr-CH"/>
              </w:rPr>
              <w:t>Je prends note de cette recommandation et vous informe que le HRMD étudie cette possibilité.</w:t>
            </w:r>
          </w:p>
        </w:tc>
        <w:tc>
          <w:tcPr>
            <w:tcW w:w="3410" w:type="dxa"/>
          </w:tcPr>
          <w:p w:rsidR="001A7E5B" w:rsidRPr="000C6ABF" w:rsidRDefault="001A7E5B" w:rsidP="006F7888">
            <w:pPr>
              <w:pStyle w:val="Tabletext"/>
              <w:rPr>
                <w:lang w:val="fr-CH" w:eastAsia="it-IT"/>
              </w:rPr>
            </w:pPr>
            <w:r w:rsidRPr="000C6ABF">
              <w:rPr>
                <w:lang w:val="fr-CH" w:eastAsia="it-IT"/>
              </w:rPr>
              <w:t>Le plan détaillé (DBBP) du système de numérisation des dossiers du personnel a été établi le 19</w:t>
            </w:r>
            <w:r w:rsidR="006F7888">
              <w:rPr>
                <w:lang w:val="fr-CH" w:eastAsia="it-IT"/>
              </w:rPr>
              <w:t> </w:t>
            </w:r>
            <w:r w:rsidRPr="000C6ABF">
              <w:rPr>
                <w:lang w:val="fr-CH" w:eastAsia="it-IT"/>
              </w:rPr>
              <w:t>avri</w:t>
            </w:r>
            <w:r w:rsidR="00514625">
              <w:rPr>
                <w:lang w:val="fr-CH" w:eastAsia="it-IT"/>
              </w:rPr>
              <w:t>l</w:t>
            </w:r>
            <w:r w:rsidR="006F7888">
              <w:rPr>
                <w:lang w:val="fr-CH" w:eastAsia="it-IT"/>
              </w:rPr>
              <w:t> </w:t>
            </w:r>
            <w:r w:rsidRPr="000C6ABF">
              <w:rPr>
                <w:lang w:val="fr-CH" w:eastAsia="it-IT"/>
              </w:rPr>
              <w:t>2013</w:t>
            </w:r>
            <w:r w:rsidR="007B5613">
              <w:rPr>
                <w:lang w:val="fr-CH" w:eastAsia="it-IT"/>
              </w:rPr>
              <w:t>.</w:t>
            </w:r>
          </w:p>
          <w:p w:rsidR="001A7E5B" w:rsidRPr="000C6ABF" w:rsidRDefault="006F7888" w:rsidP="007B5613">
            <w:pPr>
              <w:pStyle w:val="Tabletext"/>
              <w:rPr>
                <w:lang w:val="fr-CH" w:eastAsia="it-IT"/>
              </w:rPr>
            </w:pPr>
            <w:r>
              <w:rPr>
                <w:lang w:val="fr-CH" w:eastAsia="it-IT"/>
              </w:rPr>
              <w:t>C</w:t>
            </w:r>
            <w:r w:rsidR="001A7E5B" w:rsidRPr="000C6ABF">
              <w:rPr>
                <w:lang w:val="fr-CH" w:eastAsia="it-IT"/>
              </w:rPr>
              <w:t>e plan intègre le processus métier HRAD (Service</w:t>
            </w:r>
            <w:r w:rsidR="00514625">
              <w:rPr>
                <w:lang w:val="fr-CH" w:eastAsia="it-IT"/>
              </w:rPr>
              <w:t xml:space="preserve"> </w:t>
            </w:r>
            <w:r w:rsidR="001A7E5B" w:rsidRPr="000C6ABF">
              <w:rPr>
                <w:lang w:val="fr-CH" w:eastAsia="it-IT"/>
              </w:rPr>
              <w:t>E&amp;</w:t>
            </w:r>
            <w:proofErr w:type="gramStart"/>
            <w:r w:rsidR="001A7E5B" w:rsidRPr="000C6ABF">
              <w:rPr>
                <w:lang w:val="fr-CH" w:eastAsia="it-IT"/>
              </w:rPr>
              <w:t>B )</w:t>
            </w:r>
            <w:proofErr w:type="gramEnd"/>
            <w:r w:rsidR="001A7E5B" w:rsidRPr="000C6ABF">
              <w:rPr>
                <w:lang w:val="fr-CH" w:eastAsia="it-IT"/>
              </w:rPr>
              <w:t xml:space="preserve"> et </w:t>
            </w:r>
            <w:r>
              <w:rPr>
                <w:lang w:val="fr-CH" w:eastAsia="it-IT"/>
              </w:rPr>
              <w:t xml:space="preserve">prévoit </w:t>
            </w:r>
            <w:r w:rsidR="001A7E5B" w:rsidRPr="000C6ABF">
              <w:rPr>
                <w:lang w:val="fr-CH" w:eastAsia="it-IT"/>
              </w:rPr>
              <w:t>la mise en correspondance de la structure d</w:t>
            </w:r>
            <w:r>
              <w:rPr>
                <w:lang w:val="fr-CH" w:eastAsia="it-IT"/>
              </w:rPr>
              <w:t xml:space="preserve">es </w:t>
            </w:r>
            <w:r w:rsidR="001A7E5B" w:rsidRPr="000C6ABF">
              <w:rPr>
                <w:lang w:val="fr-CH" w:eastAsia="it-IT"/>
              </w:rPr>
              <w:t>dossier</w:t>
            </w:r>
            <w:r>
              <w:rPr>
                <w:lang w:val="fr-CH" w:eastAsia="it-IT"/>
              </w:rPr>
              <w:t>s</w:t>
            </w:r>
            <w:r w:rsidR="001A7E5B" w:rsidRPr="000C6ABF">
              <w:rPr>
                <w:lang w:val="fr-CH" w:eastAsia="it-IT"/>
              </w:rPr>
              <w:t xml:space="preserve"> </w:t>
            </w:r>
            <w:r>
              <w:rPr>
                <w:lang w:val="fr-CH" w:eastAsia="it-IT"/>
              </w:rPr>
              <w:t xml:space="preserve">du </w:t>
            </w:r>
            <w:r w:rsidR="001A7E5B" w:rsidRPr="000C6ABF">
              <w:rPr>
                <w:lang w:val="fr-CH" w:eastAsia="it-IT"/>
              </w:rPr>
              <w:t>personnel (imprimé</w:t>
            </w:r>
            <w:r>
              <w:rPr>
                <w:lang w:val="fr-CH" w:eastAsia="it-IT"/>
              </w:rPr>
              <w:t>s</w:t>
            </w:r>
            <w:r w:rsidR="001A7E5B" w:rsidRPr="000C6ABF">
              <w:rPr>
                <w:lang w:val="fr-CH" w:eastAsia="it-IT"/>
              </w:rPr>
              <w:t>) des fonctionnaires. Le système est relié à SAP-ERP_HCM.</w:t>
            </w:r>
          </w:p>
          <w:p w:rsidR="001A7E5B" w:rsidRPr="000C6ABF" w:rsidRDefault="001A7E5B" w:rsidP="00514625">
            <w:pPr>
              <w:pStyle w:val="Tabletext"/>
              <w:rPr>
                <w:lang w:val="fr-CH" w:eastAsia="it-IT"/>
              </w:rPr>
            </w:pPr>
            <w:r w:rsidRPr="000C6ABF">
              <w:rPr>
                <w:lang w:val="fr-CH" w:eastAsia="it-IT"/>
              </w:rPr>
              <w:t>Le prototype a été finalisé en tenant compte de la récente version actualisée de SharePoint (2013). Une phase d'essai est en cours.</w:t>
            </w:r>
          </w:p>
          <w:p w:rsidR="001A7E5B" w:rsidRPr="000C6ABF" w:rsidRDefault="001A7E5B" w:rsidP="001A7E5B">
            <w:pPr>
              <w:pStyle w:val="Tabletext"/>
              <w:rPr>
                <w:lang w:val="fr-CH" w:eastAsia="it-IT"/>
              </w:rPr>
            </w:pPr>
            <w:r w:rsidRPr="000C6ABF">
              <w:rPr>
                <w:lang w:val="fr-CH" w:eastAsia="it-IT"/>
              </w:rPr>
              <w:t>Le système de numérisation des dossiers du personnel devrait être opérationne</w:t>
            </w:r>
            <w:r w:rsidR="007B5613">
              <w:rPr>
                <w:lang w:val="fr-CH" w:eastAsia="it-IT"/>
              </w:rPr>
              <w:t>l au premier trimestre de 2014.</w:t>
            </w:r>
          </w:p>
        </w:tc>
        <w:tc>
          <w:tcPr>
            <w:tcW w:w="3410" w:type="dxa"/>
          </w:tcPr>
          <w:p w:rsidR="006F7888" w:rsidRPr="006F7888" w:rsidRDefault="006F7888" w:rsidP="001A7E5B">
            <w:pPr>
              <w:pStyle w:val="Tabletext"/>
              <w:rPr>
                <w:lang w:val="fr-CH" w:eastAsia="it-IT"/>
              </w:rPr>
            </w:pPr>
            <w:r w:rsidRPr="006F7888">
              <w:rPr>
                <w:lang w:val="fr-CH" w:eastAsia="it-IT"/>
              </w:rPr>
              <w:t>En cours</w:t>
            </w:r>
          </w:p>
          <w:p w:rsidR="001A7E5B" w:rsidRPr="006F7888" w:rsidRDefault="006F7888" w:rsidP="006F7888">
            <w:pPr>
              <w:pStyle w:val="Tabletext"/>
              <w:rPr>
                <w:lang w:val="fr-CH"/>
              </w:rPr>
            </w:pPr>
            <w:r w:rsidRPr="006F7888">
              <w:rPr>
                <w:lang w:val="fr-CH" w:eastAsia="it-IT"/>
              </w:rPr>
              <w:t xml:space="preserve">Nous prenons note de la mise en </w:t>
            </w:r>
            <w:proofErr w:type="spellStart"/>
            <w:r w:rsidRPr="006F7888">
              <w:rPr>
                <w:lang w:val="fr-CH" w:eastAsia="it-IT"/>
              </w:rPr>
              <w:t>oeuvre</w:t>
            </w:r>
            <w:proofErr w:type="spellEnd"/>
            <w:r w:rsidRPr="006F7888">
              <w:rPr>
                <w:lang w:val="fr-CH" w:eastAsia="it-IT"/>
              </w:rPr>
              <w:t xml:space="preserve"> récente</w:t>
            </w:r>
            <w:r w:rsidR="001A7E5B" w:rsidRPr="006F7888">
              <w:rPr>
                <w:lang w:val="fr-CH" w:eastAsia="it-IT"/>
              </w:rPr>
              <w:t>.</w:t>
            </w:r>
          </w:p>
        </w:tc>
      </w:tr>
    </w:tbl>
    <w:p w:rsidR="001A7E5B" w:rsidRPr="006F7888" w:rsidRDefault="001A7E5B" w:rsidP="00AB0C69">
      <w:pPr>
        <w:rPr>
          <w:lang w:val="fr-CH"/>
        </w:rPr>
      </w:pPr>
      <w:r w:rsidRPr="006F7888">
        <w:rPr>
          <w:lang w:val="fr-CH"/>
        </w:rPr>
        <w:br w:type="page"/>
      </w:r>
    </w:p>
    <w:tbl>
      <w:tblPr>
        <w:tblStyle w:val="TableGrid"/>
        <w:tblW w:w="14567" w:type="dxa"/>
        <w:jc w:val="center"/>
        <w:tblLook w:val="04A0" w:firstRow="1" w:lastRow="0" w:firstColumn="1" w:lastColumn="0" w:noHBand="0" w:noVBand="1"/>
      </w:tblPr>
      <w:tblGrid>
        <w:gridCol w:w="926"/>
        <w:gridCol w:w="3411"/>
        <w:gridCol w:w="3410"/>
        <w:gridCol w:w="3410"/>
        <w:gridCol w:w="3410"/>
      </w:tblGrid>
      <w:tr w:rsidR="001A7E5B" w:rsidRPr="000C6ABF" w:rsidTr="0082771F">
        <w:trPr>
          <w:jc w:val="center"/>
        </w:trPr>
        <w:tc>
          <w:tcPr>
            <w:tcW w:w="926" w:type="dxa"/>
          </w:tcPr>
          <w:p w:rsidR="001A7E5B" w:rsidRPr="000C6ABF" w:rsidRDefault="001A7E5B" w:rsidP="0082771F">
            <w:pPr>
              <w:pStyle w:val="Tabletext"/>
              <w:rPr>
                <w:b/>
                <w:bCs/>
                <w:lang w:val="fr-CH"/>
              </w:rPr>
            </w:pPr>
          </w:p>
        </w:tc>
        <w:tc>
          <w:tcPr>
            <w:tcW w:w="3411" w:type="dxa"/>
          </w:tcPr>
          <w:p w:rsidR="001A7E5B" w:rsidRPr="000C6ABF" w:rsidRDefault="001A7E5B" w:rsidP="0082771F">
            <w:pPr>
              <w:pStyle w:val="Tablehead"/>
              <w:rPr>
                <w:lang w:val="fr-CH"/>
              </w:rPr>
            </w:pPr>
            <w:r w:rsidRPr="000C6ABF">
              <w:rPr>
                <w:lang w:val="fr-CH"/>
              </w:rPr>
              <w:t>Recommandation faite par la</w:t>
            </w:r>
            <w:r w:rsidRPr="000C6ABF">
              <w:rPr>
                <w:lang w:val="fr-CH"/>
              </w:rPr>
              <w:br/>
              <w:t>Cour des comptes italienne</w:t>
            </w:r>
          </w:p>
        </w:tc>
        <w:tc>
          <w:tcPr>
            <w:tcW w:w="3410" w:type="dxa"/>
          </w:tcPr>
          <w:p w:rsidR="001A7E5B" w:rsidRPr="000C6ABF" w:rsidRDefault="001A7E5B" w:rsidP="0082771F">
            <w:pPr>
              <w:pStyle w:val="Tablehead"/>
              <w:rPr>
                <w:lang w:val="fr-CH"/>
              </w:rPr>
            </w:pPr>
            <w:r w:rsidRPr="000C6ABF">
              <w:rPr>
                <w:lang w:val="fr-CH"/>
              </w:rPr>
              <w:t>Commentaires formulés par le Secrétaire général lors de la publication du rapport</w:t>
            </w:r>
          </w:p>
        </w:tc>
        <w:tc>
          <w:tcPr>
            <w:tcW w:w="3410" w:type="dxa"/>
          </w:tcPr>
          <w:p w:rsidR="001A7E5B" w:rsidRPr="000C6ABF" w:rsidRDefault="001A7E5B" w:rsidP="0082771F">
            <w:pPr>
              <w:pStyle w:val="Tablehead"/>
              <w:rPr>
                <w:lang w:val="fr-CH"/>
              </w:rPr>
            </w:pPr>
            <w:r w:rsidRPr="000C6ABF">
              <w:rPr>
                <w:lang w:val="fr-CH"/>
              </w:rPr>
              <w:t xml:space="preserve">Etat de la situation indiqué </w:t>
            </w:r>
            <w:r w:rsidRPr="000C6ABF">
              <w:rPr>
                <w:lang w:val="fr-CH"/>
              </w:rPr>
              <w:br/>
              <w:t xml:space="preserve">par la direction de l'UIT </w:t>
            </w:r>
          </w:p>
        </w:tc>
        <w:tc>
          <w:tcPr>
            <w:tcW w:w="3410" w:type="dxa"/>
          </w:tcPr>
          <w:p w:rsidR="001A7E5B" w:rsidRPr="000C6ABF" w:rsidRDefault="001A7E5B" w:rsidP="0082771F">
            <w:pPr>
              <w:pStyle w:val="Tablehead"/>
              <w:rPr>
                <w:lang w:val="fr-CH"/>
              </w:rPr>
            </w:pPr>
            <w:r w:rsidRPr="000C6ABF">
              <w:rPr>
                <w:lang w:val="fr-CH"/>
              </w:rPr>
              <w:t>Etat des mesures prises par la direction selon l'évaluation de la Cour des comptes italienne</w:t>
            </w:r>
          </w:p>
        </w:tc>
      </w:tr>
      <w:tr w:rsidR="001A7E5B" w:rsidRPr="001A7E5B" w:rsidTr="0082771F">
        <w:trPr>
          <w:jc w:val="center"/>
        </w:trPr>
        <w:tc>
          <w:tcPr>
            <w:tcW w:w="926" w:type="dxa"/>
          </w:tcPr>
          <w:p w:rsidR="001A7E5B" w:rsidRPr="001A7E5B" w:rsidRDefault="001A7E5B" w:rsidP="001A7E5B">
            <w:pPr>
              <w:pStyle w:val="Tabletext"/>
              <w:rPr>
                <w:b/>
                <w:bCs/>
                <w:lang w:val="fr-CH"/>
              </w:rPr>
            </w:pPr>
            <w:r w:rsidRPr="001A7E5B">
              <w:rPr>
                <w:b/>
                <w:bCs/>
                <w:lang w:val="fr-CH"/>
              </w:rPr>
              <w:t xml:space="preserve">Rec. </w:t>
            </w:r>
            <w:r>
              <w:rPr>
                <w:b/>
                <w:bCs/>
                <w:lang w:val="fr-CH"/>
              </w:rPr>
              <w:t>11</w:t>
            </w:r>
            <w:r w:rsidRPr="001A7E5B">
              <w:rPr>
                <w:b/>
                <w:bCs/>
                <w:lang w:val="fr-CH"/>
              </w:rPr>
              <w:br/>
              <w:t>2012</w:t>
            </w:r>
          </w:p>
        </w:tc>
        <w:tc>
          <w:tcPr>
            <w:tcW w:w="3411" w:type="dxa"/>
          </w:tcPr>
          <w:p w:rsidR="001A7E5B" w:rsidRPr="000C6ABF" w:rsidRDefault="001A7E5B" w:rsidP="001A7E5B">
            <w:pPr>
              <w:pStyle w:val="Tabletext"/>
              <w:rPr>
                <w:rFonts w:ascii="Times New Roman" w:eastAsia="Times New Roman" w:hAnsi="Times New Roman" w:cs="Times New Roman"/>
                <w:b/>
                <w:bCs/>
                <w:i/>
                <w:iCs/>
                <w:lang w:val="fr-CH" w:eastAsia="it-IT"/>
              </w:rPr>
            </w:pPr>
            <w:r w:rsidRPr="000C6ABF">
              <w:rPr>
                <w:rFonts w:ascii="Times New Roman" w:eastAsia="Times New Roman" w:hAnsi="Times New Roman" w:cs="Times New Roman"/>
                <w:b/>
                <w:bCs/>
                <w:i/>
                <w:iCs/>
                <w:lang w:val="fr-CH" w:eastAsia="it-IT"/>
              </w:rPr>
              <w:t>Caisse d'assurance du personnel</w:t>
            </w:r>
          </w:p>
          <w:p w:rsidR="001A7E5B" w:rsidRPr="000C6ABF" w:rsidRDefault="001A7E5B" w:rsidP="001A7E5B">
            <w:pPr>
              <w:pStyle w:val="Tabletext"/>
              <w:rPr>
                <w:lang w:val="fr-CH"/>
              </w:rPr>
            </w:pPr>
            <w:r w:rsidRPr="000C6ABF">
              <w:rPr>
                <w:lang w:val="fr-CH"/>
              </w:rPr>
              <w:t>L'année passée, nos prédécesseurs, le Contrôle fédéral des finances de la Confédération suisse (CDF), avai</w:t>
            </w:r>
            <w:r w:rsidR="007B5613">
              <w:rPr>
                <w:lang w:val="fr-CH"/>
              </w:rPr>
              <w:t>en</w:t>
            </w:r>
            <w:r w:rsidRPr="000C6ABF">
              <w:rPr>
                <w:lang w:val="fr-CH"/>
              </w:rPr>
              <w:t xml:space="preserve">t indiqué qu'"il n'a pas été nécessaire de procéder à une nouvelle étude actuarielle. Etant donné que les engagements en question sont relativement mineurs, l'étude de 2010 est suffisante". En conséquence, dans le même esprit que nos prédécesseurs, et compte tenu de la non-pertinence de ces provisions par rapport à la valeur de l'actif, </w:t>
            </w:r>
            <w:r w:rsidRPr="007B5613">
              <w:rPr>
                <w:lang w:val="fr-CH"/>
              </w:rPr>
              <w:t>nous recommandons</w:t>
            </w:r>
            <w:r w:rsidRPr="000C6ABF">
              <w:rPr>
                <w:lang w:val="fr-CH"/>
              </w:rPr>
              <w:t xml:space="preserve"> de procéder à une évaluation actuarielle tous les cinq ans.</w:t>
            </w:r>
          </w:p>
        </w:tc>
        <w:tc>
          <w:tcPr>
            <w:tcW w:w="3410" w:type="dxa"/>
          </w:tcPr>
          <w:p w:rsidR="001A7E5B" w:rsidRPr="000C6ABF" w:rsidRDefault="001A7E5B" w:rsidP="001A7E5B">
            <w:pPr>
              <w:pStyle w:val="Tabletext"/>
              <w:rPr>
                <w:lang w:val="fr-CH"/>
              </w:rPr>
            </w:pPr>
            <w:r w:rsidRPr="000C6ABF">
              <w:rPr>
                <w:lang w:val="fr-CH"/>
              </w:rPr>
              <w:t>Je prends note de cette recommandation et ai chargé le FRMD de mener en 2015 une nouvelle étude actuarielle pour l'ancienne caisse des pensions.</w:t>
            </w:r>
          </w:p>
        </w:tc>
        <w:tc>
          <w:tcPr>
            <w:tcW w:w="3410" w:type="dxa"/>
          </w:tcPr>
          <w:p w:rsidR="001A7E5B" w:rsidRPr="000C6ABF" w:rsidRDefault="001A7E5B" w:rsidP="001A7E5B">
            <w:pPr>
              <w:pStyle w:val="Tabletext"/>
              <w:rPr>
                <w:lang w:val="fr-CH"/>
              </w:rPr>
            </w:pPr>
            <w:r w:rsidRPr="000C6ABF">
              <w:rPr>
                <w:lang w:val="fr-CH" w:eastAsia="it-IT"/>
              </w:rPr>
              <w:t xml:space="preserve">L'étude actuarielle sera commandée en 2015 comme recommandé. </w:t>
            </w:r>
          </w:p>
        </w:tc>
        <w:tc>
          <w:tcPr>
            <w:tcW w:w="3410" w:type="dxa"/>
          </w:tcPr>
          <w:p w:rsidR="001A7E5B" w:rsidRPr="000C6ABF" w:rsidRDefault="001A7E5B" w:rsidP="001A7E5B">
            <w:pPr>
              <w:pStyle w:val="Tabletext"/>
              <w:rPr>
                <w:lang w:val="fr-CH" w:eastAsia="it-IT"/>
              </w:rPr>
            </w:pPr>
            <w:r w:rsidRPr="000C6ABF">
              <w:rPr>
                <w:lang w:val="fr-CH" w:eastAsia="it-IT"/>
              </w:rPr>
              <w:t>En cours</w:t>
            </w:r>
          </w:p>
        </w:tc>
      </w:tr>
    </w:tbl>
    <w:p w:rsidR="005B783E" w:rsidRPr="001A7E5B" w:rsidRDefault="005B783E" w:rsidP="00AB0C69">
      <w:pPr>
        <w:rPr>
          <w:lang w:val="en-US"/>
        </w:rPr>
      </w:pPr>
    </w:p>
    <w:p w:rsidR="005B783E" w:rsidRPr="001A7E5B" w:rsidRDefault="005B783E" w:rsidP="00AB0C69">
      <w:pPr>
        <w:tabs>
          <w:tab w:val="clear" w:pos="567"/>
          <w:tab w:val="clear" w:pos="1134"/>
          <w:tab w:val="clear" w:pos="1701"/>
          <w:tab w:val="clear" w:pos="2268"/>
          <w:tab w:val="clear" w:pos="2835"/>
        </w:tabs>
        <w:overflowPunct/>
        <w:autoSpaceDE/>
        <w:autoSpaceDN/>
        <w:adjustRightInd/>
        <w:spacing w:before="0"/>
        <w:textAlignment w:val="auto"/>
        <w:rPr>
          <w:lang w:val="en-US"/>
        </w:rPr>
      </w:pPr>
    </w:p>
    <w:p w:rsidR="00D51895" w:rsidRPr="000C6ABF" w:rsidRDefault="00D51895" w:rsidP="00AB0C69">
      <w:pPr>
        <w:tabs>
          <w:tab w:val="clear" w:pos="567"/>
          <w:tab w:val="clear" w:pos="1134"/>
          <w:tab w:val="clear" w:pos="1701"/>
          <w:tab w:val="clear" w:pos="2268"/>
          <w:tab w:val="clear" w:pos="2835"/>
        </w:tabs>
        <w:overflowPunct/>
        <w:autoSpaceDE/>
        <w:autoSpaceDN/>
        <w:adjustRightInd/>
        <w:spacing w:before="0"/>
        <w:textAlignment w:val="auto"/>
        <w:rPr>
          <w:lang w:val="fr-CH"/>
        </w:rPr>
      </w:pPr>
    </w:p>
    <w:p w:rsidR="00665BA9" w:rsidRPr="000C6ABF" w:rsidRDefault="00665BA9" w:rsidP="00AB0C69">
      <w:pPr>
        <w:pStyle w:val="Annextitle"/>
        <w:rPr>
          <w:lang w:val="fr-CH" w:eastAsia="it-IT"/>
        </w:rPr>
      </w:pPr>
      <w:bookmarkStart w:id="339" w:name="_Toc392672740"/>
      <w:bookmarkStart w:id="340" w:name="_Toc396386996"/>
      <w:bookmarkStart w:id="341" w:name="_Toc396387869"/>
      <w:bookmarkStart w:id="342" w:name="_Toc396387983"/>
      <w:r w:rsidRPr="000C6ABF">
        <w:rPr>
          <w:lang w:val="fr-CH" w:eastAsia="it-IT"/>
        </w:rPr>
        <w:br w:type="page"/>
      </w:r>
    </w:p>
    <w:p w:rsidR="006A3C3F" w:rsidRPr="000C6ABF" w:rsidRDefault="00D51895" w:rsidP="00514625">
      <w:pPr>
        <w:pStyle w:val="Annextitle"/>
        <w:spacing w:before="360" w:after="120"/>
        <w:rPr>
          <w:lang w:val="fr-CH" w:eastAsia="it-IT"/>
        </w:rPr>
      </w:pPr>
      <w:r w:rsidRPr="000C6ABF">
        <w:rPr>
          <w:lang w:val="fr-CH" w:eastAsia="it-IT"/>
        </w:rPr>
        <w:lastRenderedPageBreak/>
        <w:t xml:space="preserve">Suivi des recommandations émises par </w:t>
      </w:r>
      <w:r w:rsidRPr="000C6ABF">
        <w:rPr>
          <w:lang w:val="fr-CH"/>
        </w:rPr>
        <w:t>le Contrôle fédéral des finances de la Confédération suisse</w:t>
      </w:r>
      <w:r w:rsidRPr="000C6ABF">
        <w:rPr>
          <w:lang w:val="fr-CH" w:eastAsia="it-IT"/>
        </w:rPr>
        <w:t xml:space="preserve"> (SFAO</w:t>
      </w:r>
      <w:bookmarkEnd w:id="339"/>
      <w:r w:rsidRPr="000C6ABF">
        <w:rPr>
          <w:lang w:val="fr-CH" w:eastAsia="it-IT"/>
        </w:rPr>
        <w:t>)</w:t>
      </w:r>
      <w:bookmarkEnd w:id="340"/>
      <w:bookmarkEnd w:id="341"/>
      <w:bookmarkEnd w:id="342"/>
    </w:p>
    <w:tbl>
      <w:tblPr>
        <w:tblStyle w:val="TableGrid"/>
        <w:tblW w:w="14031" w:type="dxa"/>
        <w:tblLayout w:type="fixed"/>
        <w:tblLook w:val="04A0" w:firstRow="1" w:lastRow="0" w:firstColumn="1" w:lastColumn="0" w:noHBand="0" w:noVBand="1"/>
      </w:tblPr>
      <w:tblGrid>
        <w:gridCol w:w="1271"/>
        <w:gridCol w:w="2552"/>
        <w:gridCol w:w="2552"/>
        <w:gridCol w:w="2552"/>
        <w:gridCol w:w="2552"/>
        <w:gridCol w:w="2552"/>
      </w:tblGrid>
      <w:tr w:rsidR="008031CA" w:rsidRPr="007E4593" w:rsidTr="00AF1B58">
        <w:tc>
          <w:tcPr>
            <w:tcW w:w="1271" w:type="dxa"/>
          </w:tcPr>
          <w:p w:rsidR="008031CA" w:rsidRPr="007E4593" w:rsidRDefault="008031CA" w:rsidP="00AB0C69">
            <w:pPr>
              <w:pStyle w:val="Tablehead"/>
              <w:rPr>
                <w:sz w:val="20"/>
                <w:szCs w:val="20"/>
                <w:lang w:val="fr-CH" w:eastAsia="it-IT"/>
              </w:rPr>
            </w:pPr>
            <w:r w:rsidRPr="007E4593">
              <w:rPr>
                <w:sz w:val="20"/>
                <w:szCs w:val="20"/>
                <w:lang w:val="fr-CH" w:eastAsia="it-IT"/>
              </w:rPr>
              <w:t>Rapport</w:t>
            </w:r>
          </w:p>
        </w:tc>
        <w:tc>
          <w:tcPr>
            <w:tcW w:w="2552" w:type="dxa"/>
          </w:tcPr>
          <w:p w:rsidR="008031CA" w:rsidRPr="007E4593" w:rsidRDefault="008031CA" w:rsidP="00AB0C69">
            <w:pPr>
              <w:pStyle w:val="Tablehead"/>
              <w:rPr>
                <w:sz w:val="20"/>
                <w:szCs w:val="20"/>
                <w:lang w:val="fr-CH"/>
              </w:rPr>
            </w:pPr>
            <w:r w:rsidRPr="007E4593">
              <w:rPr>
                <w:sz w:val="20"/>
                <w:szCs w:val="20"/>
                <w:lang w:val="fr-CH"/>
              </w:rPr>
              <w:t>Recommandation faite par le Vérificateur suisse</w:t>
            </w:r>
          </w:p>
        </w:tc>
        <w:tc>
          <w:tcPr>
            <w:tcW w:w="2552" w:type="dxa"/>
          </w:tcPr>
          <w:p w:rsidR="008031CA" w:rsidRPr="007E4593" w:rsidRDefault="008031CA" w:rsidP="00514625">
            <w:pPr>
              <w:pStyle w:val="Tablehead"/>
              <w:rPr>
                <w:sz w:val="20"/>
                <w:szCs w:val="20"/>
                <w:lang w:val="fr-CH" w:eastAsia="it-IT"/>
              </w:rPr>
            </w:pPr>
            <w:r w:rsidRPr="007E4593">
              <w:rPr>
                <w:sz w:val="20"/>
                <w:szCs w:val="20"/>
                <w:lang w:val="fr-CH"/>
              </w:rPr>
              <w:t xml:space="preserve">Commentaires formulés par le Secrétaire général lors de la publication du </w:t>
            </w:r>
            <w:r w:rsidR="00C45547" w:rsidRPr="007E4593">
              <w:rPr>
                <w:sz w:val="20"/>
                <w:szCs w:val="20"/>
                <w:lang w:val="fr-CH"/>
              </w:rPr>
              <w:t>Vérificateur suisse</w:t>
            </w:r>
          </w:p>
        </w:tc>
        <w:tc>
          <w:tcPr>
            <w:tcW w:w="2552" w:type="dxa"/>
          </w:tcPr>
          <w:p w:rsidR="008031CA" w:rsidRPr="007E4593" w:rsidRDefault="00C45547" w:rsidP="00AB0C69">
            <w:pPr>
              <w:pStyle w:val="Tablehead"/>
              <w:rPr>
                <w:sz w:val="20"/>
                <w:szCs w:val="20"/>
                <w:lang w:val="fr-CH"/>
              </w:rPr>
            </w:pPr>
            <w:r w:rsidRPr="007E4593">
              <w:rPr>
                <w:sz w:val="20"/>
                <w:szCs w:val="20"/>
                <w:lang w:val="fr-CH"/>
              </w:rPr>
              <w:t>Etat de la situation indiqué par la direction de l'UIT en lien avec le rapport du Vérificateur suisse</w:t>
            </w:r>
          </w:p>
        </w:tc>
        <w:tc>
          <w:tcPr>
            <w:tcW w:w="2552" w:type="dxa"/>
          </w:tcPr>
          <w:p w:rsidR="008031CA" w:rsidRPr="007E4593" w:rsidRDefault="008031CA" w:rsidP="00514625">
            <w:pPr>
              <w:pStyle w:val="Tablehead"/>
              <w:rPr>
                <w:sz w:val="20"/>
                <w:szCs w:val="20"/>
                <w:lang w:val="fr-CH" w:eastAsia="it-IT"/>
              </w:rPr>
            </w:pPr>
            <w:r w:rsidRPr="007E4593">
              <w:rPr>
                <w:sz w:val="20"/>
                <w:szCs w:val="20"/>
                <w:lang w:val="fr-CH" w:eastAsia="it-IT"/>
              </w:rPr>
              <w:t>Comment</w:t>
            </w:r>
            <w:r w:rsidR="00514625" w:rsidRPr="007E4593">
              <w:rPr>
                <w:sz w:val="20"/>
                <w:szCs w:val="20"/>
                <w:lang w:val="fr-CH" w:eastAsia="it-IT"/>
              </w:rPr>
              <w:t>aire</w:t>
            </w:r>
            <w:r w:rsidRPr="007E4593">
              <w:rPr>
                <w:sz w:val="20"/>
                <w:szCs w:val="20"/>
                <w:lang w:val="fr-CH" w:eastAsia="it-IT"/>
              </w:rPr>
              <w:t xml:space="preserve">s </w:t>
            </w:r>
            <w:r w:rsidR="00514625" w:rsidRPr="007E4593">
              <w:rPr>
                <w:sz w:val="20"/>
                <w:szCs w:val="20"/>
                <w:lang w:val="fr-CH" w:eastAsia="it-IT"/>
              </w:rPr>
              <w:t>de la direction de l'UIT concernant le rapport précédent de la Cour des comptes italienne</w:t>
            </w:r>
          </w:p>
        </w:tc>
        <w:tc>
          <w:tcPr>
            <w:tcW w:w="2552" w:type="dxa"/>
          </w:tcPr>
          <w:p w:rsidR="008031CA" w:rsidRPr="007E4593" w:rsidRDefault="008031CA" w:rsidP="00514625">
            <w:pPr>
              <w:pStyle w:val="Tablehead"/>
              <w:rPr>
                <w:sz w:val="20"/>
                <w:szCs w:val="20"/>
                <w:lang w:val="fr-CH" w:eastAsia="it-IT"/>
              </w:rPr>
            </w:pPr>
            <w:r w:rsidRPr="007E4593">
              <w:rPr>
                <w:sz w:val="20"/>
                <w:szCs w:val="20"/>
                <w:lang w:val="fr-CH"/>
              </w:rPr>
              <w:t xml:space="preserve">Etat des mesures prises </w:t>
            </w:r>
            <w:r w:rsidRPr="007E4593">
              <w:rPr>
                <w:sz w:val="20"/>
                <w:szCs w:val="20"/>
                <w:lang w:val="fr-CH"/>
              </w:rPr>
              <w:br/>
              <w:t>par la direction selon l'évaluation de la Cour des comptes italienne</w:t>
            </w:r>
          </w:p>
        </w:tc>
      </w:tr>
      <w:tr w:rsidR="00C45547" w:rsidRPr="007E4593" w:rsidTr="00AF1B58">
        <w:tc>
          <w:tcPr>
            <w:tcW w:w="1271" w:type="dxa"/>
          </w:tcPr>
          <w:p w:rsidR="00C45547" w:rsidRPr="007E4593" w:rsidRDefault="00C45547" w:rsidP="00AB0C69">
            <w:pPr>
              <w:pStyle w:val="Tabletext"/>
              <w:rPr>
                <w:b/>
                <w:bCs/>
                <w:sz w:val="20"/>
                <w:szCs w:val="20"/>
                <w:lang w:val="fr-CH" w:eastAsia="it-IT"/>
              </w:rPr>
            </w:pPr>
            <w:r w:rsidRPr="007E4593">
              <w:rPr>
                <w:b/>
                <w:bCs/>
                <w:sz w:val="20"/>
                <w:szCs w:val="20"/>
                <w:lang w:val="fr-CH" w:eastAsia="it-IT"/>
              </w:rPr>
              <w:t>Rec. 1</w:t>
            </w:r>
            <w:r w:rsidR="001B7011" w:rsidRPr="007E4593">
              <w:rPr>
                <w:b/>
                <w:bCs/>
                <w:sz w:val="20"/>
                <w:szCs w:val="20"/>
                <w:lang w:val="fr-CH" w:eastAsia="it-IT"/>
              </w:rPr>
              <w:br/>
            </w:r>
            <w:r w:rsidRPr="007E4593">
              <w:rPr>
                <w:b/>
                <w:bCs/>
                <w:sz w:val="20"/>
                <w:szCs w:val="20"/>
                <w:lang w:val="fr-CH" w:eastAsia="it-IT"/>
              </w:rPr>
              <w:t>2010</w:t>
            </w:r>
          </w:p>
          <w:p w:rsidR="00C45547" w:rsidRPr="007E4593" w:rsidRDefault="00C45547" w:rsidP="00AB0C69">
            <w:pPr>
              <w:pStyle w:val="Tabletext"/>
              <w:rPr>
                <w:b/>
                <w:bCs/>
                <w:sz w:val="20"/>
                <w:szCs w:val="20"/>
                <w:lang w:val="fr-CH" w:eastAsia="it-IT"/>
              </w:rPr>
            </w:pPr>
            <w:r w:rsidRPr="007E4593">
              <w:rPr>
                <w:b/>
                <w:bCs/>
                <w:sz w:val="20"/>
                <w:szCs w:val="20"/>
                <w:lang w:val="fr-CH" w:eastAsia="it-IT"/>
              </w:rPr>
              <w:t>r</w:t>
            </w:r>
            <w:r w:rsidR="00E33193" w:rsidRPr="007E4593">
              <w:rPr>
                <w:b/>
                <w:bCs/>
                <w:sz w:val="20"/>
                <w:szCs w:val="20"/>
                <w:lang w:val="fr-CH" w:eastAsia="it-IT"/>
              </w:rPr>
              <w:t xml:space="preserve">éitérée </w:t>
            </w:r>
            <w:r w:rsidR="001B7011" w:rsidRPr="007E4593">
              <w:rPr>
                <w:b/>
                <w:bCs/>
                <w:sz w:val="20"/>
                <w:szCs w:val="20"/>
                <w:lang w:val="fr-CH" w:eastAsia="it-IT"/>
              </w:rPr>
              <w:br/>
            </w:r>
            <w:r w:rsidR="00E33193" w:rsidRPr="007E4593">
              <w:rPr>
                <w:b/>
                <w:bCs/>
                <w:sz w:val="20"/>
                <w:szCs w:val="20"/>
                <w:lang w:val="fr-CH" w:eastAsia="it-IT"/>
              </w:rPr>
              <w:t>e</w:t>
            </w:r>
            <w:r w:rsidRPr="007E4593">
              <w:rPr>
                <w:b/>
                <w:bCs/>
                <w:sz w:val="20"/>
                <w:szCs w:val="20"/>
                <w:lang w:val="fr-CH" w:eastAsia="it-IT"/>
              </w:rPr>
              <w:t>n 2011</w:t>
            </w:r>
          </w:p>
        </w:tc>
        <w:tc>
          <w:tcPr>
            <w:tcW w:w="2552" w:type="dxa"/>
          </w:tcPr>
          <w:p w:rsidR="00C45547" w:rsidRPr="007E4593" w:rsidRDefault="00C45547" w:rsidP="00AB0C69">
            <w:pPr>
              <w:pStyle w:val="Tabletext"/>
              <w:rPr>
                <w:sz w:val="20"/>
                <w:szCs w:val="20"/>
                <w:highlight w:val="yellow"/>
                <w:lang w:val="fr-CH"/>
              </w:rPr>
            </w:pPr>
            <w:r w:rsidRPr="007E4593">
              <w:rPr>
                <w:rStyle w:val="CharacterStyle17"/>
                <w:szCs w:val="20"/>
                <w:lang w:val="fr-CH"/>
              </w:rPr>
              <w:t>Je recommande à l'UIT de procéder aux corrections nécessaires en lien avec la valorisation des stocks et d'adapter en conséquence son système informatique de manière à pouvoir garantir une évaluation correcte des stocks en conformité avec les normes IPSAS.</w:t>
            </w:r>
          </w:p>
        </w:tc>
        <w:tc>
          <w:tcPr>
            <w:tcW w:w="2552" w:type="dxa"/>
          </w:tcPr>
          <w:p w:rsidR="00C45547" w:rsidRPr="007E4593" w:rsidRDefault="00C45547" w:rsidP="00AB0C69">
            <w:pPr>
              <w:pStyle w:val="Tabletext"/>
              <w:rPr>
                <w:sz w:val="20"/>
                <w:szCs w:val="20"/>
                <w:highlight w:val="yellow"/>
                <w:lang w:val="fr-CH"/>
              </w:rPr>
            </w:pPr>
            <w:r w:rsidRPr="007E4593">
              <w:rPr>
                <w:rStyle w:val="CharacterStyle17"/>
                <w:szCs w:val="20"/>
                <w:lang w:val="fr-CH"/>
              </w:rPr>
              <w:t>Un projet sur la politique de valorisation des stocks avait été soumis au collaborateur du Vérificateur extérieur des comptes en novembre 2011. Cette politique définissait les règles de valorisation du stock des publications avec une dépréciation calculée linéairement. Nous ferons une étude des coûts des publications en y incluant les frais de personnel afin de démontrer notre approche et d'obtenir la validation des nouveaux Vérificateurs extérieurs des comptes en 2012</w:t>
            </w:r>
            <w:r w:rsidR="00E33193" w:rsidRPr="007E4593">
              <w:rPr>
                <w:rStyle w:val="CharacterStyle17"/>
                <w:szCs w:val="20"/>
                <w:lang w:val="fr-CH"/>
              </w:rPr>
              <w:t>.</w:t>
            </w:r>
          </w:p>
        </w:tc>
        <w:tc>
          <w:tcPr>
            <w:tcW w:w="2552" w:type="dxa"/>
          </w:tcPr>
          <w:p w:rsidR="00C45547" w:rsidRPr="007E4593" w:rsidRDefault="00C45547" w:rsidP="00AB0C69">
            <w:pPr>
              <w:pStyle w:val="Tabletext"/>
              <w:rPr>
                <w:sz w:val="20"/>
                <w:szCs w:val="20"/>
                <w:highlight w:val="yellow"/>
                <w:lang w:val="fr-CH"/>
              </w:rPr>
            </w:pPr>
            <w:r w:rsidRPr="007E4593">
              <w:rPr>
                <w:rStyle w:val="CharacterStyle17"/>
                <w:szCs w:val="20"/>
                <w:lang w:val="fr-CH"/>
              </w:rPr>
              <w:t>Les mesures de valorisation des stocks sont en train d'être examinées par nos nouveaux Vérificateurs extérieurs.</w:t>
            </w:r>
          </w:p>
        </w:tc>
        <w:tc>
          <w:tcPr>
            <w:tcW w:w="2552" w:type="dxa"/>
          </w:tcPr>
          <w:p w:rsidR="00C45547" w:rsidRPr="007E4593" w:rsidRDefault="00D07101" w:rsidP="00AB0C69">
            <w:pPr>
              <w:pStyle w:val="Tabletext"/>
              <w:rPr>
                <w:sz w:val="20"/>
                <w:szCs w:val="20"/>
                <w:lang w:val="fr-CH" w:eastAsia="it-IT"/>
              </w:rPr>
            </w:pPr>
            <w:r w:rsidRPr="007E4593">
              <w:rPr>
                <w:rStyle w:val="CharacterStyle17"/>
                <w:szCs w:val="20"/>
                <w:lang w:val="fr-CH"/>
              </w:rPr>
              <w:t xml:space="preserve">Les mesures de valorisation des stocks ont été définies </w:t>
            </w:r>
            <w:r w:rsidR="00234C2E" w:rsidRPr="007E4593">
              <w:rPr>
                <w:rStyle w:val="CharacterStyle17"/>
                <w:szCs w:val="20"/>
                <w:lang w:val="fr-CH"/>
              </w:rPr>
              <w:t xml:space="preserve">et les modifications à intégrer dans le système de gestion des publications </w:t>
            </w:r>
            <w:r w:rsidR="00C45547" w:rsidRPr="007E4593">
              <w:rPr>
                <w:sz w:val="20"/>
                <w:szCs w:val="20"/>
                <w:lang w:val="fr-CH" w:eastAsia="it-IT"/>
              </w:rPr>
              <w:t>(DPS)</w:t>
            </w:r>
            <w:r w:rsidR="00234C2E" w:rsidRPr="007E4593">
              <w:rPr>
                <w:sz w:val="20"/>
                <w:szCs w:val="20"/>
                <w:lang w:val="fr-CH" w:eastAsia="it-IT"/>
              </w:rPr>
              <w:t xml:space="preserve"> ont été défini</w:t>
            </w:r>
            <w:r w:rsidR="00514625" w:rsidRPr="007E4593">
              <w:rPr>
                <w:sz w:val="20"/>
                <w:szCs w:val="20"/>
                <w:lang w:val="fr-CH" w:eastAsia="it-IT"/>
              </w:rPr>
              <w:t>es</w:t>
            </w:r>
            <w:r w:rsidR="00234C2E" w:rsidRPr="007E4593">
              <w:rPr>
                <w:sz w:val="20"/>
                <w:szCs w:val="20"/>
                <w:lang w:val="fr-CH" w:eastAsia="it-IT"/>
              </w:rPr>
              <w:t xml:space="preserve"> et mis</w:t>
            </w:r>
            <w:r w:rsidR="00514625" w:rsidRPr="007E4593">
              <w:rPr>
                <w:sz w:val="20"/>
                <w:szCs w:val="20"/>
                <w:lang w:val="fr-CH" w:eastAsia="it-IT"/>
              </w:rPr>
              <w:t>es</w:t>
            </w:r>
            <w:r w:rsidR="00234C2E" w:rsidRPr="007E4593">
              <w:rPr>
                <w:sz w:val="20"/>
                <w:szCs w:val="20"/>
                <w:lang w:val="fr-CH" w:eastAsia="it-IT"/>
              </w:rPr>
              <w:t xml:space="preserve"> en œuvre à compter du 1er mai 2014. Des lignes directrices ont été publiées à l</w:t>
            </w:r>
            <w:r w:rsidR="00AB0C69" w:rsidRPr="007E4593">
              <w:rPr>
                <w:sz w:val="20"/>
                <w:szCs w:val="20"/>
                <w:lang w:val="fr-CH" w:eastAsia="it-IT"/>
              </w:rPr>
              <w:t>'</w:t>
            </w:r>
            <w:r w:rsidR="00234C2E" w:rsidRPr="007E4593">
              <w:rPr>
                <w:sz w:val="20"/>
                <w:szCs w:val="20"/>
                <w:lang w:val="fr-CH" w:eastAsia="it-IT"/>
              </w:rPr>
              <w:t>intention des utilisateurs. Les premières semaines d</w:t>
            </w:r>
            <w:r w:rsidR="00AB0C69" w:rsidRPr="007E4593">
              <w:rPr>
                <w:sz w:val="20"/>
                <w:szCs w:val="20"/>
                <w:lang w:val="fr-CH" w:eastAsia="it-IT"/>
              </w:rPr>
              <w:t>'</w:t>
            </w:r>
            <w:r w:rsidR="00234C2E" w:rsidRPr="007E4593">
              <w:rPr>
                <w:sz w:val="20"/>
                <w:szCs w:val="20"/>
                <w:lang w:val="fr-CH" w:eastAsia="it-IT"/>
              </w:rPr>
              <w:t>utilisation des données DPS sont en cours d</w:t>
            </w:r>
            <w:r w:rsidR="00AB0C69" w:rsidRPr="007E4593">
              <w:rPr>
                <w:sz w:val="20"/>
                <w:szCs w:val="20"/>
                <w:lang w:val="fr-CH" w:eastAsia="it-IT"/>
              </w:rPr>
              <w:t>'</w:t>
            </w:r>
            <w:r w:rsidR="00234C2E" w:rsidRPr="007E4593">
              <w:rPr>
                <w:sz w:val="20"/>
                <w:szCs w:val="20"/>
                <w:lang w:val="fr-CH" w:eastAsia="it-IT"/>
              </w:rPr>
              <w:t>analyse et la méthode de valorisation est en cours d</w:t>
            </w:r>
            <w:r w:rsidR="00AB0C69" w:rsidRPr="007E4593">
              <w:rPr>
                <w:sz w:val="20"/>
                <w:szCs w:val="20"/>
                <w:lang w:val="fr-CH" w:eastAsia="it-IT"/>
              </w:rPr>
              <w:t>'</w:t>
            </w:r>
            <w:r w:rsidR="00234C2E" w:rsidRPr="007E4593">
              <w:rPr>
                <w:sz w:val="20"/>
                <w:szCs w:val="20"/>
                <w:lang w:val="fr-CH" w:eastAsia="it-IT"/>
              </w:rPr>
              <w:t>essai.</w:t>
            </w:r>
          </w:p>
        </w:tc>
        <w:tc>
          <w:tcPr>
            <w:tcW w:w="2552" w:type="dxa"/>
          </w:tcPr>
          <w:p w:rsidR="00C45547" w:rsidRPr="007E4593" w:rsidRDefault="00E33193" w:rsidP="00AB0C69">
            <w:pPr>
              <w:rPr>
                <w:sz w:val="20"/>
                <w:szCs w:val="20"/>
                <w:lang w:val="fr-CH" w:eastAsia="it-IT"/>
              </w:rPr>
            </w:pPr>
            <w:r w:rsidRPr="007E4593">
              <w:rPr>
                <w:sz w:val="20"/>
                <w:szCs w:val="20"/>
                <w:lang w:val="fr-CH" w:eastAsia="it-IT"/>
              </w:rPr>
              <w:t>Clo</w:t>
            </w:r>
            <w:r w:rsidR="00D07101" w:rsidRPr="007E4593">
              <w:rPr>
                <w:sz w:val="20"/>
                <w:szCs w:val="20"/>
                <w:lang w:val="fr-CH" w:eastAsia="it-IT"/>
              </w:rPr>
              <w:t>s</w:t>
            </w:r>
          </w:p>
        </w:tc>
      </w:tr>
    </w:tbl>
    <w:p w:rsidR="00514625" w:rsidRDefault="00514625"/>
    <w:p w:rsidR="00514625" w:rsidRDefault="00514625">
      <w:r>
        <w:br w:type="page"/>
      </w:r>
    </w:p>
    <w:tbl>
      <w:tblPr>
        <w:tblStyle w:val="TableGrid"/>
        <w:tblW w:w="14031" w:type="dxa"/>
        <w:tblLayout w:type="fixed"/>
        <w:tblLook w:val="04A0" w:firstRow="1" w:lastRow="0" w:firstColumn="1" w:lastColumn="0" w:noHBand="0" w:noVBand="1"/>
      </w:tblPr>
      <w:tblGrid>
        <w:gridCol w:w="1271"/>
        <w:gridCol w:w="2552"/>
        <w:gridCol w:w="2552"/>
        <w:gridCol w:w="2552"/>
        <w:gridCol w:w="2552"/>
        <w:gridCol w:w="2552"/>
      </w:tblGrid>
      <w:tr w:rsidR="00514625" w:rsidRPr="007E4593" w:rsidTr="0082771F">
        <w:tc>
          <w:tcPr>
            <w:tcW w:w="1271" w:type="dxa"/>
          </w:tcPr>
          <w:p w:rsidR="00514625" w:rsidRPr="007E4593" w:rsidRDefault="00514625" w:rsidP="0082771F">
            <w:pPr>
              <w:pStyle w:val="Tablehead"/>
              <w:rPr>
                <w:sz w:val="20"/>
                <w:szCs w:val="20"/>
                <w:lang w:val="fr-CH" w:eastAsia="it-IT"/>
              </w:rPr>
            </w:pPr>
            <w:r w:rsidRPr="007E4593">
              <w:rPr>
                <w:sz w:val="20"/>
                <w:szCs w:val="20"/>
                <w:lang w:val="fr-CH" w:eastAsia="it-IT"/>
              </w:rPr>
              <w:lastRenderedPageBreak/>
              <w:t>Rapport</w:t>
            </w:r>
          </w:p>
        </w:tc>
        <w:tc>
          <w:tcPr>
            <w:tcW w:w="2552" w:type="dxa"/>
          </w:tcPr>
          <w:p w:rsidR="00514625" w:rsidRPr="007E4593" w:rsidRDefault="00514625" w:rsidP="0082771F">
            <w:pPr>
              <w:pStyle w:val="Tablehead"/>
              <w:rPr>
                <w:sz w:val="20"/>
                <w:szCs w:val="20"/>
                <w:lang w:val="fr-CH"/>
              </w:rPr>
            </w:pPr>
            <w:r w:rsidRPr="007E4593">
              <w:rPr>
                <w:sz w:val="20"/>
                <w:szCs w:val="20"/>
                <w:lang w:val="fr-CH"/>
              </w:rPr>
              <w:t>Recommandation faite par le Vérificateur suisse</w:t>
            </w:r>
          </w:p>
        </w:tc>
        <w:tc>
          <w:tcPr>
            <w:tcW w:w="2552" w:type="dxa"/>
          </w:tcPr>
          <w:p w:rsidR="00514625" w:rsidRPr="007E4593" w:rsidRDefault="00514625" w:rsidP="0082771F">
            <w:pPr>
              <w:pStyle w:val="Tablehead"/>
              <w:rPr>
                <w:sz w:val="20"/>
                <w:szCs w:val="20"/>
                <w:lang w:val="fr-CH" w:eastAsia="it-IT"/>
              </w:rPr>
            </w:pPr>
            <w:r w:rsidRPr="007E4593">
              <w:rPr>
                <w:sz w:val="20"/>
                <w:szCs w:val="20"/>
                <w:lang w:val="fr-CH"/>
              </w:rPr>
              <w:t>Commentaires formulés par le Secrétaire général lors de la publication du Vérificateur suisse</w:t>
            </w:r>
          </w:p>
        </w:tc>
        <w:tc>
          <w:tcPr>
            <w:tcW w:w="2552" w:type="dxa"/>
          </w:tcPr>
          <w:p w:rsidR="00514625" w:rsidRPr="007E4593" w:rsidRDefault="00514625" w:rsidP="0082771F">
            <w:pPr>
              <w:pStyle w:val="Tablehead"/>
              <w:rPr>
                <w:sz w:val="20"/>
                <w:szCs w:val="20"/>
                <w:lang w:val="fr-CH"/>
              </w:rPr>
            </w:pPr>
            <w:r w:rsidRPr="007E4593">
              <w:rPr>
                <w:sz w:val="20"/>
                <w:szCs w:val="20"/>
                <w:lang w:val="fr-CH"/>
              </w:rPr>
              <w:t>Etat de la situation indiqué par la direction de l'UIT en lien avec le rapport du Vérificateur suisse</w:t>
            </w:r>
          </w:p>
        </w:tc>
        <w:tc>
          <w:tcPr>
            <w:tcW w:w="2552" w:type="dxa"/>
          </w:tcPr>
          <w:p w:rsidR="00514625" w:rsidRPr="007E4593" w:rsidRDefault="00514625" w:rsidP="0082771F">
            <w:pPr>
              <w:pStyle w:val="Tablehead"/>
              <w:rPr>
                <w:sz w:val="20"/>
                <w:szCs w:val="20"/>
                <w:lang w:val="fr-CH" w:eastAsia="it-IT"/>
              </w:rPr>
            </w:pPr>
            <w:r w:rsidRPr="007E4593">
              <w:rPr>
                <w:sz w:val="20"/>
                <w:szCs w:val="20"/>
                <w:lang w:val="fr-CH" w:eastAsia="it-IT"/>
              </w:rPr>
              <w:t>Commentaires de la direction de l'UIT concernant le rapport précédent de la Cour des comptes italienne</w:t>
            </w:r>
          </w:p>
        </w:tc>
        <w:tc>
          <w:tcPr>
            <w:tcW w:w="2552" w:type="dxa"/>
          </w:tcPr>
          <w:p w:rsidR="00514625" w:rsidRPr="007E4593" w:rsidRDefault="00514625" w:rsidP="0082771F">
            <w:pPr>
              <w:pStyle w:val="Tablehead"/>
              <w:rPr>
                <w:sz w:val="20"/>
                <w:szCs w:val="20"/>
                <w:lang w:val="fr-CH" w:eastAsia="it-IT"/>
              </w:rPr>
            </w:pPr>
            <w:r w:rsidRPr="007E4593">
              <w:rPr>
                <w:sz w:val="20"/>
                <w:szCs w:val="20"/>
                <w:lang w:val="fr-CH"/>
              </w:rPr>
              <w:t xml:space="preserve">Etat des mesures prises </w:t>
            </w:r>
            <w:r w:rsidRPr="007E4593">
              <w:rPr>
                <w:sz w:val="20"/>
                <w:szCs w:val="20"/>
                <w:lang w:val="fr-CH"/>
              </w:rPr>
              <w:br/>
              <w:t>par la direction selon l'évaluation de la Cour des comptes italienne</w:t>
            </w:r>
          </w:p>
        </w:tc>
      </w:tr>
      <w:tr w:rsidR="00514625" w:rsidRPr="000C6ABF" w:rsidTr="0082771F">
        <w:tc>
          <w:tcPr>
            <w:tcW w:w="1271" w:type="dxa"/>
          </w:tcPr>
          <w:p w:rsidR="00514625" w:rsidRPr="000C6ABF" w:rsidRDefault="00514625" w:rsidP="00514625">
            <w:pPr>
              <w:pStyle w:val="Tabletext"/>
              <w:rPr>
                <w:b/>
                <w:bCs/>
                <w:sz w:val="20"/>
                <w:lang w:val="fr-CH"/>
              </w:rPr>
            </w:pPr>
            <w:r w:rsidRPr="000C6ABF">
              <w:rPr>
                <w:b/>
                <w:bCs/>
                <w:sz w:val="20"/>
                <w:lang w:val="fr-CH"/>
              </w:rPr>
              <w:t>Rec. 2</w:t>
            </w:r>
            <w:r w:rsidRPr="000C6ABF">
              <w:rPr>
                <w:b/>
                <w:bCs/>
                <w:sz w:val="20"/>
                <w:lang w:val="fr-CH"/>
              </w:rPr>
              <w:br/>
              <w:t>2008</w:t>
            </w:r>
          </w:p>
          <w:p w:rsidR="00514625" w:rsidRPr="000C6ABF" w:rsidRDefault="00514625" w:rsidP="00514625">
            <w:pPr>
              <w:pStyle w:val="Tabletext"/>
              <w:rPr>
                <w:b/>
                <w:bCs/>
                <w:lang w:val="fr-CH" w:eastAsia="it-IT"/>
              </w:rPr>
            </w:pPr>
            <w:r w:rsidRPr="000C6ABF">
              <w:rPr>
                <w:b/>
                <w:bCs/>
                <w:sz w:val="20"/>
                <w:lang w:val="fr-CH"/>
              </w:rPr>
              <w:t>Rec. 3</w:t>
            </w:r>
            <w:r w:rsidRPr="000C6ABF">
              <w:rPr>
                <w:b/>
                <w:bCs/>
                <w:sz w:val="20"/>
                <w:lang w:val="fr-CH"/>
              </w:rPr>
              <w:br/>
              <w:t>2009</w:t>
            </w:r>
          </w:p>
        </w:tc>
        <w:tc>
          <w:tcPr>
            <w:tcW w:w="2552" w:type="dxa"/>
          </w:tcPr>
          <w:p w:rsidR="00514625" w:rsidRPr="000C6ABF" w:rsidRDefault="00514625" w:rsidP="00514625">
            <w:pPr>
              <w:pStyle w:val="Tabletext"/>
              <w:rPr>
                <w:sz w:val="20"/>
                <w:lang w:val="fr-CH"/>
              </w:rPr>
            </w:pPr>
            <w:r w:rsidRPr="000C6ABF">
              <w:rPr>
                <w:rStyle w:val="CharacterStyle17"/>
                <w:lang w:val="fr-CH"/>
              </w:rPr>
              <w:t>Les opérations effectuées de manière manuelle en dehors de l'environnement SAP sont des sources d'erreurs et de dysfonctionnements et génèrent des tâches additionnelles pouvant ne pas être contenues dans le cahier des charges des collaborateurs concernés. Effectuées sans véritable suppléance, celles-ci occasionnent des retard dans l'exécution J'invite une nouvelle fois l'UIT à intégrer le plus rapidement possible l'outil de gestion de projet BCS dans le logiciel SAP.</w:t>
            </w:r>
          </w:p>
        </w:tc>
        <w:tc>
          <w:tcPr>
            <w:tcW w:w="2552" w:type="dxa"/>
          </w:tcPr>
          <w:p w:rsidR="00514625" w:rsidRPr="000C6ABF" w:rsidRDefault="00514625" w:rsidP="00514625">
            <w:pPr>
              <w:pStyle w:val="Tabletext"/>
              <w:rPr>
                <w:sz w:val="20"/>
                <w:lang w:val="fr-CH"/>
              </w:rPr>
            </w:pPr>
            <w:r w:rsidRPr="000C6ABF">
              <w:rPr>
                <w:rStyle w:val="CharacterStyle17"/>
                <w:lang w:val="fr-CH"/>
              </w:rPr>
              <w:t>Les deux recommandations 1/2008 et 2/2009 sont étroitement liées. En 2011, le Département de la gestion des ressources financières, le Bureau de développement des télécommunications (BDT) et le Département des services informatiques ont entrepris une étude sur la nécessité ou non d'introduire une seconde comptabilité en USD, avec le concours des consultants. Les conclusions de cette étude ont abouti à la nécessité de renforcer les besoins en formation du module Grant Management (GM) afin d'utiliser au maximum les spécificités de ce module.</w:t>
            </w:r>
          </w:p>
        </w:tc>
        <w:tc>
          <w:tcPr>
            <w:tcW w:w="2552" w:type="dxa"/>
          </w:tcPr>
          <w:p w:rsidR="00514625" w:rsidRPr="000C6ABF" w:rsidRDefault="00514625" w:rsidP="00514625">
            <w:pPr>
              <w:pStyle w:val="Tabletext"/>
              <w:rPr>
                <w:highlight w:val="yellow"/>
                <w:lang w:val="fr-CH"/>
              </w:rPr>
            </w:pPr>
            <w:r w:rsidRPr="000C6ABF">
              <w:rPr>
                <w:rStyle w:val="CharacterStyle17"/>
                <w:lang w:val="fr-CH"/>
              </w:rPr>
              <w:t>Le système SAP Grant Management (GM) a été mis en place par l'UIT en janvier 2010 pour la gestion financière des projets de coopération technique. Les processus financiers y relatifs ont été examinés en 2011 et ces processus sont en train d'être optimisés tandis que les utilisateurs bénéficient d'une nouvelle formation.</w:t>
            </w:r>
          </w:p>
        </w:tc>
        <w:tc>
          <w:tcPr>
            <w:tcW w:w="2552" w:type="dxa"/>
          </w:tcPr>
          <w:p w:rsidR="00514625" w:rsidRPr="000C6ABF" w:rsidRDefault="00514625" w:rsidP="00514625">
            <w:pPr>
              <w:pStyle w:val="Tabletext"/>
              <w:rPr>
                <w:lang w:val="fr-CH"/>
              </w:rPr>
            </w:pPr>
            <w:r w:rsidRPr="000C6ABF">
              <w:rPr>
                <w:rStyle w:val="CharacterStyle17"/>
                <w:lang w:val="fr-CH"/>
              </w:rPr>
              <w:t>Le système SAP Grant Management (GM) a été mis en place par l'UIT en janvier 2010 pour la gestion financière des projets de coopération technique. Les processus financiers y relatifs ont été examinés en 2011 et ces processus sont en train d'être optimisés tandis que les utilisateurs bénéficient d'une nouvelle formation.</w:t>
            </w:r>
          </w:p>
          <w:p w:rsidR="00514625" w:rsidRPr="007B5613" w:rsidRDefault="00514625" w:rsidP="00514625">
            <w:pPr>
              <w:pStyle w:val="Tabletext"/>
              <w:rPr>
                <w:sz w:val="20"/>
                <w:szCs w:val="20"/>
                <w:lang w:val="fr-CH" w:eastAsia="it-IT"/>
              </w:rPr>
            </w:pPr>
            <w:r w:rsidRPr="007B5613">
              <w:rPr>
                <w:sz w:val="20"/>
                <w:szCs w:val="20"/>
                <w:lang w:val="fr-CH"/>
              </w:rPr>
              <w:t>Ce processus est toujours en cours en raison de contraintes budgétaires.</w:t>
            </w:r>
          </w:p>
        </w:tc>
        <w:tc>
          <w:tcPr>
            <w:tcW w:w="2552" w:type="dxa"/>
          </w:tcPr>
          <w:p w:rsidR="00514625" w:rsidRPr="007B5613" w:rsidRDefault="00514625" w:rsidP="00514625">
            <w:pPr>
              <w:pStyle w:val="Tabletext"/>
              <w:rPr>
                <w:sz w:val="20"/>
                <w:szCs w:val="20"/>
                <w:lang w:val="fr-CH"/>
              </w:rPr>
            </w:pPr>
            <w:r w:rsidRPr="007B5613">
              <w:rPr>
                <w:sz w:val="20"/>
                <w:szCs w:val="20"/>
                <w:lang w:val="fr-CH"/>
              </w:rPr>
              <w:t>En cours</w:t>
            </w:r>
          </w:p>
        </w:tc>
      </w:tr>
      <w:tr w:rsidR="00514625" w:rsidRPr="000C6ABF" w:rsidTr="0082771F">
        <w:tc>
          <w:tcPr>
            <w:tcW w:w="1271" w:type="dxa"/>
          </w:tcPr>
          <w:p w:rsidR="00514625" w:rsidRPr="000C6ABF" w:rsidRDefault="00514625" w:rsidP="00514625">
            <w:pPr>
              <w:pStyle w:val="Tabletext"/>
              <w:rPr>
                <w:b/>
                <w:bCs/>
                <w:sz w:val="20"/>
                <w:lang w:val="fr-CH"/>
              </w:rPr>
            </w:pPr>
          </w:p>
        </w:tc>
        <w:tc>
          <w:tcPr>
            <w:tcW w:w="2552" w:type="dxa"/>
          </w:tcPr>
          <w:p w:rsidR="00514625" w:rsidRPr="000C6ABF" w:rsidRDefault="00514625" w:rsidP="00514625">
            <w:pPr>
              <w:keepNext/>
              <w:keepLines/>
              <w:rPr>
                <w:rStyle w:val="CharacterStyle17"/>
                <w:lang w:val="fr-CH"/>
              </w:rPr>
            </w:pPr>
            <w:r w:rsidRPr="000C6ABF">
              <w:rPr>
                <w:rStyle w:val="CharacterStyle17"/>
                <w:lang w:val="fr-CH"/>
              </w:rPr>
              <w:t>En conséquence, j'invite l'UIT:</w:t>
            </w:r>
          </w:p>
          <w:p w:rsidR="007B5613" w:rsidRDefault="00514625" w:rsidP="00514625">
            <w:pPr>
              <w:keepNext/>
              <w:keepLines/>
              <w:tabs>
                <w:tab w:val="clear" w:pos="567"/>
                <w:tab w:val="left" w:pos="317"/>
              </w:tabs>
              <w:spacing w:before="60"/>
              <w:ind w:left="318" w:hanging="318"/>
              <w:rPr>
                <w:rStyle w:val="CharacterStyle17"/>
                <w:lang w:val="fr-CH"/>
              </w:rPr>
            </w:pPr>
            <w:r w:rsidRPr="000C6ABF">
              <w:rPr>
                <w:rStyle w:val="CharacterStyle17"/>
                <w:lang w:val="fr-CH"/>
              </w:rPr>
              <w:t>–</w:t>
            </w:r>
            <w:r w:rsidRPr="000C6ABF">
              <w:rPr>
                <w:rStyle w:val="CharacterStyle17"/>
                <w:lang w:val="fr-CH"/>
              </w:rPr>
              <w:tab/>
              <w:t xml:space="preserve">à se prononcer sur l'ouverture éventuelle dans le module Grant Management (GM) de tous les projets non opérationnellement et </w:t>
            </w:r>
            <w:r w:rsidRPr="000C6ABF">
              <w:rPr>
                <w:rStyle w:val="CharacterStyle17"/>
                <w:lang w:val="fr-CH"/>
              </w:rPr>
              <w:lastRenderedPageBreak/>
              <w:t>non financièrement clôturés de manière à permettre le calcul et la répartition corrects des intérêts de placements sur les projets;</w:t>
            </w:r>
          </w:p>
          <w:p w:rsidR="00514625" w:rsidRPr="000C6ABF" w:rsidRDefault="00514625" w:rsidP="007B5613">
            <w:pPr>
              <w:keepNext/>
              <w:keepLines/>
              <w:tabs>
                <w:tab w:val="clear" w:pos="567"/>
                <w:tab w:val="left" w:pos="317"/>
              </w:tabs>
              <w:spacing w:before="60"/>
              <w:ind w:left="318" w:hanging="318"/>
              <w:rPr>
                <w:rStyle w:val="CharacterStyle17"/>
                <w:lang w:val="fr-CH"/>
              </w:rPr>
            </w:pPr>
            <w:r>
              <w:rPr>
                <w:rStyle w:val="CharacterStyle17"/>
                <w:lang w:val="fr-CH"/>
              </w:rPr>
              <w:t xml:space="preserve">– </w:t>
            </w:r>
            <w:r w:rsidR="007B5613">
              <w:rPr>
                <w:rStyle w:val="CharacterStyle17"/>
                <w:lang w:val="fr-CH"/>
              </w:rPr>
              <w:tab/>
            </w:r>
            <w:r w:rsidRPr="000C6ABF">
              <w:rPr>
                <w:rStyle w:val="CharacterStyle17"/>
                <w:lang w:val="fr-CH"/>
              </w:rPr>
              <w:t>à définir les principaux processus de coopération technique et à fixer les responsabilités y relatives;</w:t>
            </w:r>
          </w:p>
          <w:p w:rsidR="00514625" w:rsidRPr="000C6ABF" w:rsidRDefault="00514625" w:rsidP="00514625">
            <w:pPr>
              <w:keepNext/>
              <w:keepLines/>
              <w:tabs>
                <w:tab w:val="clear" w:pos="567"/>
                <w:tab w:val="left" w:pos="317"/>
              </w:tabs>
              <w:spacing w:before="60"/>
              <w:ind w:left="318" w:hanging="318"/>
              <w:rPr>
                <w:rStyle w:val="CharacterStyle17"/>
                <w:lang w:val="fr-CH"/>
              </w:rPr>
            </w:pPr>
            <w:r w:rsidRPr="000C6ABF">
              <w:rPr>
                <w:rStyle w:val="CharacterStyle17"/>
                <w:lang w:val="fr-CH"/>
              </w:rPr>
              <w:t>–</w:t>
            </w:r>
            <w:r w:rsidRPr="000C6ABF">
              <w:rPr>
                <w:rStyle w:val="CharacterStyle17"/>
                <w:lang w:val="fr-CH"/>
              </w:rPr>
              <w:tab/>
              <w:t xml:space="preserve">à mettre en </w:t>
            </w:r>
            <w:proofErr w:type="spellStart"/>
            <w:r w:rsidRPr="000C6ABF">
              <w:rPr>
                <w:rStyle w:val="CharacterStyle17"/>
                <w:lang w:val="fr-CH"/>
              </w:rPr>
              <w:t>oeuvre</w:t>
            </w:r>
            <w:proofErr w:type="spellEnd"/>
            <w:r w:rsidRPr="000C6ABF">
              <w:rPr>
                <w:rStyle w:val="CharacterStyle17"/>
                <w:lang w:val="fr-CH"/>
              </w:rPr>
              <w:t xml:space="preserve"> les mesures de formation nécessaires à la bonne utilisation du nouvel environnement SAP dans le domaine de la coopération technique.</w:t>
            </w:r>
          </w:p>
        </w:tc>
        <w:tc>
          <w:tcPr>
            <w:tcW w:w="2552" w:type="dxa"/>
          </w:tcPr>
          <w:p w:rsidR="00514625" w:rsidRPr="000C6ABF" w:rsidRDefault="00514625" w:rsidP="00514625">
            <w:pPr>
              <w:pStyle w:val="Tabletext"/>
              <w:rPr>
                <w:rStyle w:val="CharacterStyle17"/>
                <w:lang w:val="fr-CH"/>
              </w:rPr>
            </w:pPr>
            <w:r w:rsidRPr="000C6ABF">
              <w:rPr>
                <w:rStyle w:val="CharacterStyle17"/>
                <w:lang w:val="fr-CH"/>
              </w:rPr>
              <w:lastRenderedPageBreak/>
              <w:t xml:space="preserve">Des progrès ont été réalisés dans le domaine de la gestion administrative des projets. En effet, l'ensemble des projets pour lesquels aucun mouvement n'avait été constaté depuis plusieurs années ont été clos et les reliquats placés </w:t>
            </w:r>
            <w:r w:rsidRPr="000C6ABF">
              <w:rPr>
                <w:rStyle w:val="CharacterStyle17"/>
                <w:lang w:val="fr-CH"/>
              </w:rPr>
              <w:lastRenderedPageBreak/>
              <w:t>sur un compte d'attente (remboursement des donateurs, utilisation pour d'autres projets, etc.). Les donateurs sont contactés pour décider de l'utilisation ultérieure de ces fonds.</w:t>
            </w:r>
          </w:p>
          <w:p w:rsidR="00514625" w:rsidRPr="000C6ABF" w:rsidRDefault="00514625" w:rsidP="00514625">
            <w:pPr>
              <w:pStyle w:val="Tabletext"/>
              <w:rPr>
                <w:rStyle w:val="CharacterStyle17"/>
                <w:lang w:val="fr-CH"/>
              </w:rPr>
            </w:pPr>
            <w:r w:rsidRPr="000C6ABF">
              <w:rPr>
                <w:rStyle w:val="CharacterStyle17"/>
                <w:lang w:val="fr-CH"/>
              </w:rPr>
              <w:t>Concernant le système SAP GM, une étude ou une analyse des écarts a été effectuée en 2011 afin de déterminer les besoins de développement pour utiliser de manière optimale et adaptée ledit système.</w:t>
            </w:r>
          </w:p>
        </w:tc>
        <w:tc>
          <w:tcPr>
            <w:tcW w:w="2552" w:type="dxa"/>
          </w:tcPr>
          <w:p w:rsidR="00514625" w:rsidRPr="000C6ABF" w:rsidRDefault="00514625" w:rsidP="00514625">
            <w:pPr>
              <w:pStyle w:val="Tabletext"/>
              <w:rPr>
                <w:rStyle w:val="CharacterStyle17"/>
                <w:lang w:val="fr-CH"/>
              </w:rPr>
            </w:pPr>
          </w:p>
        </w:tc>
        <w:tc>
          <w:tcPr>
            <w:tcW w:w="2552" w:type="dxa"/>
          </w:tcPr>
          <w:p w:rsidR="00514625" w:rsidRPr="000C6ABF" w:rsidRDefault="00514625" w:rsidP="00514625">
            <w:pPr>
              <w:pStyle w:val="Tabletext"/>
              <w:rPr>
                <w:rStyle w:val="CharacterStyle17"/>
                <w:lang w:val="fr-CH"/>
              </w:rPr>
            </w:pPr>
          </w:p>
        </w:tc>
        <w:tc>
          <w:tcPr>
            <w:tcW w:w="2552" w:type="dxa"/>
          </w:tcPr>
          <w:p w:rsidR="00514625" w:rsidRPr="000C6ABF" w:rsidRDefault="00514625" w:rsidP="00514625">
            <w:pPr>
              <w:pStyle w:val="Tabletext"/>
              <w:rPr>
                <w:lang w:val="fr-CH"/>
              </w:rPr>
            </w:pPr>
          </w:p>
        </w:tc>
      </w:tr>
    </w:tbl>
    <w:p w:rsidR="00514625" w:rsidRDefault="00514625" w:rsidP="00514625"/>
    <w:p w:rsidR="007E4593" w:rsidRDefault="007E4593">
      <w:r>
        <w:br w:type="page"/>
      </w:r>
    </w:p>
    <w:p w:rsidR="00514625" w:rsidRDefault="00514625"/>
    <w:tbl>
      <w:tblPr>
        <w:tblStyle w:val="TableGrid"/>
        <w:tblW w:w="14031" w:type="dxa"/>
        <w:tblLayout w:type="fixed"/>
        <w:tblLook w:val="04A0" w:firstRow="1" w:lastRow="0" w:firstColumn="1" w:lastColumn="0" w:noHBand="0" w:noVBand="1"/>
      </w:tblPr>
      <w:tblGrid>
        <w:gridCol w:w="1413"/>
        <w:gridCol w:w="2551"/>
        <w:gridCol w:w="2411"/>
        <w:gridCol w:w="2692"/>
        <w:gridCol w:w="2552"/>
        <w:gridCol w:w="2412"/>
      </w:tblGrid>
      <w:tr w:rsidR="007E4593" w:rsidRPr="007E4593" w:rsidTr="0082771F">
        <w:tc>
          <w:tcPr>
            <w:tcW w:w="1413" w:type="dxa"/>
          </w:tcPr>
          <w:p w:rsidR="007E4593" w:rsidRPr="007E4593" w:rsidRDefault="007E4593" w:rsidP="0082771F">
            <w:pPr>
              <w:pStyle w:val="Tablehead"/>
              <w:rPr>
                <w:sz w:val="20"/>
                <w:szCs w:val="20"/>
                <w:lang w:val="fr-CH" w:eastAsia="it-IT"/>
              </w:rPr>
            </w:pPr>
            <w:r w:rsidRPr="007E4593">
              <w:rPr>
                <w:sz w:val="20"/>
                <w:szCs w:val="20"/>
                <w:lang w:val="fr-CH" w:eastAsia="it-IT"/>
              </w:rPr>
              <w:t>Rapport</w:t>
            </w:r>
          </w:p>
        </w:tc>
        <w:tc>
          <w:tcPr>
            <w:tcW w:w="2551" w:type="dxa"/>
          </w:tcPr>
          <w:p w:rsidR="007E4593" w:rsidRPr="007E4593" w:rsidRDefault="007E4593" w:rsidP="0082771F">
            <w:pPr>
              <w:pStyle w:val="Tablehead"/>
              <w:rPr>
                <w:sz w:val="20"/>
                <w:szCs w:val="20"/>
                <w:lang w:val="fr-CH"/>
              </w:rPr>
            </w:pPr>
            <w:r w:rsidRPr="007E4593">
              <w:rPr>
                <w:sz w:val="20"/>
                <w:szCs w:val="20"/>
                <w:lang w:val="fr-CH"/>
              </w:rPr>
              <w:t>Recommandation faite par le Vérificateur suisse</w:t>
            </w:r>
          </w:p>
        </w:tc>
        <w:tc>
          <w:tcPr>
            <w:tcW w:w="2411" w:type="dxa"/>
          </w:tcPr>
          <w:p w:rsidR="007E4593" w:rsidRPr="007E4593" w:rsidRDefault="007E4593" w:rsidP="0082771F">
            <w:pPr>
              <w:pStyle w:val="Tablehead"/>
              <w:rPr>
                <w:sz w:val="20"/>
                <w:szCs w:val="20"/>
                <w:lang w:val="fr-CH" w:eastAsia="it-IT"/>
              </w:rPr>
            </w:pPr>
            <w:r w:rsidRPr="007E4593">
              <w:rPr>
                <w:sz w:val="20"/>
                <w:szCs w:val="20"/>
                <w:lang w:val="fr-CH"/>
              </w:rPr>
              <w:t>Commentaires formulés par le Secrétaire général lors de la publication du Vérificateur suisse</w:t>
            </w:r>
          </w:p>
        </w:tc>
        <w:tc>
          <w:tcPr>
            <w:tcW w:w="2692" w:type="dxa"/>
          </w:tcPr>
          <w:p w:rsidR="007E4593" w:rsidRPr="007E4593" w:rsidRDefault="007E4593" w:rsidP="0082771F">
            <w:pPr>
              <w:pStyle w:val="Tablehead"/>
              <w:rPr>
                <w:sz w:val="20"/>
                <w:szCs w:val="20"/>
                <w:lang w:val="fr-CH"/>
              </w:rPr>
            </w:pPr>
            <w:r w:rsidRPr="007E4593">
              <w:rPr>
                <w:sz w:val="20"/>
                <w:szCs w:val="20"/>
                <w:lang w:val="fr-CH"/>
              </w:rPr>
              <w:t>Etat de la situation indiqué par la direction de l'UIT en lien avec le rapport du Vérificateur suisse</w:t>
            </w:r>
          </w:p>
        </w:tc>
        <w:tc>
          <w:tcPr>
            <w:tcW w:w="2552" w:type="dxa"/>
          </w:tcPr>
          <w:p w:rsidR="007E4593" w:rsidRPr="007E4593" w:rsidRDefault="007E4593" w:rsidP="0082771F">
            <w:pPr>
              <w:pStyle w:val="Tablehead"/>
              <w:rPr>
                <w:sz w:val="20"/>
                <w:szCs w:val="20"/>
                <w:lang w:val="fr-CH" w:eastAsia="it-IT"/>
              </w:rPr>
            </w:pPr>
            <w:r w:rsidRPr="007E4593">
              <w:rPr>
                <w:sz w:val="20"/>
                <w:szCs w:val="20"/>
                <w:lang w:val="fr-CH" w:eastAsia="it-IT"/>
              </w:rPr>
              <w:t>Commentaires de la direction de l'UIT concernant le rapport précédent de la Cour des comptes italienne</w:t>
            </w:r>
          </w:p>
        </w:tc>
        <w:tc>
          <w:tcPr>
            <w:tcW w:w="2412" w:type="dxa"/>
          </w:tcPr>
          <w:p w:rsidR="007E4593" w:rsidRPr="007E4593" w:rsidRDefault="007E4593" w:rsidP="0082771F">
            <w:pPr>
              <w:pStyle w:val="Tablehead"/>
              <w:rPr>
                <w:sz w:val="20"/>
                <w:szCs w:val="20"/>
                <w:lang w:val="fr-CH" w:eastAsia="it-IT"/>
              </w:rPr>
            </w:pPr>
            <w:r w:rsidRPr="007E4593">
              <w:rPr>
                <w:sz w:val="20"/>
                <w:szCs w:val="20"/>
                <w:lang w:val="fr-CH"/>
              </w:rPr>
              <w:t xml:space="preserve">Etat des mesures prises </w:t>
            </w:r>
            <w:r w:rsidRPr="007E4593">
              <w:rPr>
                <w:sz w:val="20"/>
                <w:szCs w:val="20"/>
                <w:lang w:val="fr-CH"/>
              </w:rPr>
              <w:br/>
              <w:t>par la direction selon l'évaluation de la Cour des comptes italienne</w:t>
            </w:r>
          </w:p>
        </w:tc>
      </w:tr>
      <w:tr w:rsidR="00B538DA" w:rsidRPr="000C6ABF" w:rsidTr="0082771F">
        <w:tc>
          <w:tcPr>
            <w:tcW w:w="1413" w:type="dxa"/>
          </w:tcPr>
          <w:p w:rsidR="00B538DA" w:rsidRPr="000C6ABF" w:rsidRDefault="00B538DA" w:rsidP="0082771F">
            <w:pPr>
              <w:pStyle w:val="Tabletext"/>
              <w:keepNext/>
              <w:keepLines/>
              <w:jc w:val="center"/>
              <w:rPr>
                <w:highlight w:val="yellow"/>
                <w:lang w:val="fr-CH"/>
              </w:rPr>
            </w:pPr>
            <w:r w:rsidRPr="000C6ABF">
              <w:rPr>
                <w:rStyle w:val="CharacterStyle17"/>
                <w:rFonts w:asciiTheme="minorHAnsi" w:hAnsiTheme="minorHAnsi" w:cstheme="minorHAnsi"/>
                <w:b/>
                <w:bCs/>
                <w:lang w:val="fr-CH"/>
              </w:rPr>
              <w:t>Audit informati</w:t>
            </w:r>
            <w:r w:rsidR="0082771F">
              <w:rPr>
                <w:rStyle w:val="CharacterStyle17"/>
                <w:rFonts w:asciiTheme="minorHAnsi" w:hAnsiTheme="minorHAnsi" w:cstheme="minorHAnsi"/>
                <w:b/>
                <w:bCs/>
                <w:lang w:val="fr-CH"/>
              </w:rPr>
              <w:t>que</w:t>
            </w:r>
            <w:r w:rsidR="007E4593">
              <w:rPr>
                <w:rStyle w:val="CharacterStyle17"/>
                <w:rFonts w:asciiTheme="minorHAnsi" w:hAnsiTheme="minorHAnsi" w:cstheme="minorHAnsi"/>
                <w:b/>
                <w:bCs/>
                <w:lang w:val="fr-CH"/>
              </w:rPr>
              <w:t xml:space="preserve"> </w:t>
            </w:r>
            <w:r w:rsidRPr="000C6ABF">
              <w:rPr>
                <w:rStyle w:val="CharacterStyle17"/>
                <w:rFonts w:asciiTheme="minorHAnsi" w:hAnsiTheme="minorHAnsi" w:cstheme="minorHAnsi"/>
                <w:b/>
                <w:bCs/>
                <w:lang w:val="fr-CH"/>
              </w:rPr>
              <w:t>2011</w:t>
            </w:r>
            <w:r w:rsidRPr="000C6ABF">
              <w:rPr>
                <w:rStyle w:val="CharacterStyle17"/>
                <w:rFonts w:asciiTheme="minorHAnsi" w:hAnsiTheme="minorHAnsi" w:cstheme="minorHAnsi"/>
                <w:b/>
                <w:bCs/>
                <w:lang w:val="fr-CH"/>
              </w:rPr>
              <w:br/>
              <w:t>Rec. 4</w:t>
            </w:r>
          </w:p>
        </w:tc>
        <w:tc>
          <w:tcPr>
            <w:tcW w:w="2551" w:type="dxa"/>
          </w:tcPr>
          <w:p w:rsidR="00B538DA" w:rsidRPr="00F65956" w:rsidRDefault="00B538DA" w:rsidP="00F65956">
            <w:pPr>
              <w:pStyle w:val="Tabletext"/>
              <w:rPr>
                <w:b/>
                <w:bCs/>
                <w:sz w:val="20"/>
                <w:lang w:val="fr-CH"/>
              </w:rPr>
            </w:pPr>
            <w:r w:rsidRPr="00F65956">
              <w:rPr>
                <w:b/>
                <w:bCs/>
                <w:sz w:val="20"/>
                <w:lang w:val="fr-CH"/>
              </w:rPr>
              <w:t>Gestion inadéquate de la séparation des tâches (SAP</w:t>
            </w:r>
            <w:r w:rsidR="00F65956">
              <w:rPr>
                <w:b/>
                <w:bCs/>
                <w:sz w:val="20"/>
                <w:lang w:val="fr-CH"/>
              </w:rPr>
              <w:t> </w:t>
            </w:r>
            <w:r w:rsidRPr="00F65956">
              <w:rPr>
                <w:b/>
                <w:bCs/>
                <w:sz w:val="20"/>
                <w:lang w:val="fr-CH"/>
              </w:rPr>
              <w:t>SRM)</w:t>
            </w:r>
          </w:p>
          <w:p w:rsidR="00B538DA" w:rsidRPr="000C6ABF" w:rsidRDefault="00B538DA" w:rsidP="00AB0C69">
            <w:pPr>
              <w:pStyle w:val="Tabletext"/>
              <w:keepNext/>
              <w:keepLines/>
              <w:rPr>
                <w:rFonts w:asciiTheme="minorHAnsi" w:hAnsiTheme="minorHAnsi" w:cstheme="minorHAnsi"/>
                <w:sz w:val="20"/>
                <w:highlight w:val="yellow"/>
                <w:lang w:val="fr-CH"/>
              </w:rPr>
            </w:pPr>
            <w:r w:rsidRPr="000C6ABF">
              <w:rPr>
                <w:rFonts w:asciiTheme="minorHAnsi" w:hAnsiTheme="minorHAnsi" w:cstheme="minorHAnsi"/>
                <w:sz w:val="20"/>
                <w:lang w:val="fr-CH"/>
              </w:rPr>
              <w:t>Je recommande à l'UIT que les responsables métiers identifient les accès sensibles et les éventuels conflits de séparation de tâches, afin que les équipes informatiques puissent ensuite identifier techniquement les accès particulièrement risqués et ajuster les profils SAP correspondants.</w:t>
            </w:r>
          </w:p>
        </w:tc>
        <w:tc>
          <w:tcPr>
            <w:tcW w:w="2411" w:type="dxa"/>
          </w:tcPr>
          <w:p w:rsidR="00B538DA" w:rsidRPr="000C6ABF" w:rsidRDefault="00B538DA" w:rsidP="00AB0C69">
            <w:pPr>
              <w:pStyle w:val="Tabletext"/>
              <w:keepNext/>
              <w:keepLines/>
              <w:rPr>
                <w:rFonts w:asciiTheme="minorHAnsi" w:hAnsiTheme="minorHAnsi" w:cstheme="minorHAnsi"/>
                <w:sz w:val="20"/>
                <w:highlight w:val="yellow"/>
                <w:lang w:val="fr-CH"/>
              </w:rPr>
            </w:pPr>
            <w:r w:rsidRPr="000C6ABF">
              <w:rPr>
                <w:rFonts w:asciiTheme="minorHAnsi" w:hAnsiTheme="minorHAnsi" w:cstheme="minorHAnsi"/>
                <w:sz w:val="20"/>
                <w:lang w:val="fr-CH"/>
              </w:rPr>
              <w:t>La Division de la planification des ressources de l'entreprise a déjà redéfini, dans un premier temps, les rôles des utilisateurs SAP existants. La division de la planification des ressources de l'entreprise est d'accord avec le Vérificateur extérieur sur le fait qu'une solution SAP pour la gestion de la gouvernance, des risques et de la conformité (GRC) serait utile pour la gestion des droits d'accès et le traitement des conflits et des risques liés à la séparation des tâches. Le Département IS soumettra au Comité des TIC une proposition d'investissement dans le logiciel et les services GRC.</w:t>
            </w:r>
          </w:p>
        </w:tc>
        <w:tc>
          <w:tcPr>
            <w:tcW w:w="2692" w:type="dxa"/>
          </w:tcPr>
          <w:p w:rsidR="00B538DA" w:rsidRPr="000C6ABF" w:rsidRDefault="00B538DA" w:rsidP="00F65956">
            <w:pPr>
              <w:pStyle w:val="Tabletext"/>
              <w:rPr>
                <w:highlight w:val="yellow"/>
                <w:lang w:val="fr-CH"/>
              </w:rPr>
            </w:pPr>
            <w:r w:rsidRPr="000C6ABF">
              <w:rPr>
                <w:rStyle w:val="CharacterStyle17"/>
                <w:rFonts w:asciiTheme="minorHAnsi" w:hAnsiTheme="minorHAnsi" w:cstheme="minorHAnsi"/>
                <w:lang w:val="fr-CH"/>
              </w:rPr>
              <w:t>Nous avons été informés que le prix d'une application logicielle de gestion "de la gouvernance, des risques et de la conformité" (GRC) peut atteindre 500 000 CHF. Nous savons en outre que les procédures strictes et précises du processus d'autorisation d'accès mises en place en avril</w:t>
            </w:r>
            <w:r w:rsidR="00F65956">
              <w:rPr>
                <w:rStyle w:val="CharacterStyle17"/>
                <w:rFonts w:asciiTheme="minorHAnsi" w:hAnsiTheme="minorHAnsi" w:cstheme="minorHAnsi"/>
                <w:lang w:val="fr-CH"/>
              </w:rPr>
              <w:t> </w:t>
            </w:r>
            <w:r w:rsidRPr="000C6ABF">
              <w:rPr>
                <w:rStyle w:val="CharacterStyle17"/>
                <w:rFonts w:asciiTheme="minorHAnsi" w:hAnsiTheme="minorHAnsi" w:cstheme="minorHAnsi"/>
                <w:lang w:val="fr-CH"/>
              </w:rPr>
              <w:t>2012, appliquées manuellement (c'est-à-dire avec des décisions contrevérifiées sur papier), devraient donner de bons résultats pour la séparation des tâches. A notre avis, cette recommandation, que la direction a choisi de contourner pour des raisons économiques, n'a pas été entièrement appliquée. Nous pensons que la direction devrait reconsidérer la possibilité d'utiliser un logiciel si son coût baissait à l'avenir</w:t>
            </w:r>
            <w:r w:rsidR="00F65956">
              <w:rPr>
                <w:rStyle w:val="CharacterStyle17"/>
                <w:rFonts w:asciiTheme="minorHAnsi" w:hAnsiTheme="minorHAnsi" w:cstheme="minorHAnsi"/>
                <w:lang w:val="fr-CH"/>
              </w:rPr>
              <w:t>.</w:t>
            </w:r>
          </w:p>
        </w:tc>
        <w:tc>
          <w:tcPr>
            <w:tcW w:w="2552" w:type="dxa"/>
          </w:tcPr>
          <w:p w:rsidR="00B538DA" w:rsidRPr="000C6ABF" w:rsidRDefault="00B538DA" w:rsidP="00AB0C69">
            <w:pPr>
              <w:pStyle w:val="Tabletext"/>
              <w:keepNext/>
              <w:keepLines/>
              <w:rPr>
                <w:rFonts w:asciiTheme="minorHAnsi" w:hAnsiTheme="minorHAnsi" w:cstheme="minorHAnsi"/>
                <w:sz w:val="20"/>
                <w:highlight w:val="yellow"/>
                <w:lang w:val="fr-CH"/>
              </w:rPr>
            </w:pPr>
            <w:r w:rsidRPr="000C6ABF">
              <w:rPr>
                <w:rStyle w:val="CharacterStyle17"/>
                <w:rFonts w:asciiTheme="minorHAnsi" w:hAnsiTheme="minorHAnsi" w:cstheme="minorHAnsi"/>
                <w:lang w:val="fr-CH"/>
              </w:rPr>
              <w:t>IS a soumis une proposition au Comité des TIC concernant le financement de l'achat de logiciels et de services GRC. La demande de financement n'a pas été acceptée. Une nouvelle procédure d'autorisation d'accès SAP a été mise en place (depuis avril 2012) qui devrait limiter les risques en matière d'accès.</w:t>
            </w:r>
          </w:p>
        </w:tc>
        <w:tc>
          <w:tcPr>
            <w:tcW w:w="2412" w:type="dxa"/>
          </w:tcPr>
          <w:p w:rsidR="00B538DA" w:rsidRPr="00F65956" w:rsidRDefault="00D07101" w:rsidP="00AB0C69">
            <w:pPr>
              <w:pStyle w:val="Tabletext"/>
              <w:rPr>
                <w:sz w:val="20"/>
                <w:szCs w:val="20"/>
                <w:lang w:val="fr-CH"/>
              </w:rPr>
            </w:pPr>
            <w:r w:rsidRPr="00F65956">
              <w:rPr>
                <w:sz w:val="20"/>
                <w:szCs w:val="20"/>
                <w:lang w:val="fr-CH"/>
              </w:rPr>
              <w:t>Mise en œuvre</w:t>
            </w:r>
          </w:p>
        </w:tc>
      </w:tr>
    </w:tbl>
    <w:p w:rsidR="0086339A" w:rsidRPr="000C6ABF" w:rsidRDefault="0086339A" w:rsidP="00AB0C69">
      <w:pPr>
        <w:tabs>
          <w:tab w:val="clear" w:pos="567"/>
          <w:tab w:val="clear" w:pos="1134"/>
          <w:tab w:val="clear" w:pos="1701"/>
          <w:tab w:val="clear" w:pos="2268"/>
          <w:tab w:val="clear" w:pos="2835"/>
        </w:tabs>
        <w:overflowPunct/>
        <w:autoSpaceDE/>
        <w:autoSpaceDN/>
        <w:adjustRightInd/>
        <w:spacing w:before="0"/>
        <w:textAlignment w:val="auto"/>
        <w:rPr>
          <w:lang w:val="fr-CH" w:eastAsia="it-IT"/>
        </w:rPr>
      </w:pPr>
    </w:p>
    <w:p w:rsidR="001F2AE0" w:rsidRPr="000C6ABF" w:rsidRDefault="001F2AE0" w:rsidP="00AB0C69">
      <w:pPr>
        <w:pStyle w:val="Annextitle"/>
        <w:rPr>
          <w:lang w:val="fr-CH"/>
        </w:rPr>
      </w:pPr>
      <w:bookmarkStart w:id="343" w:name="_Toc396386997"/>
      <w:bookmarkStart w:id="344" w:name="_Toc396387870"/>
      <w:bookmarkStart w:id="345" w:name="_Toc396387984"/>
      <w:r w:rsidRPr="000C6ABF">
        <w:rPr>
          <w:lang w:val="fr-CH"/>
        </w:rPr>
        <w:br w:type="page"/>
      </w:r>
    </w:p>
    <w:p w:rsidR="0086339A" w:rsidRPr="000C6ABF" w:rsidRDefault="0086339A" w:rsidP="00AB0C69">
      <w:pPr>
        <w:pStyle w:val="Annextitle"/>
        <w:rPr>
          <w:lang w:val="fr-CH"/>
        </w:rPr>
      </w:pPr>
      <w:r w:rsidRPr="000C6ABF">
        <w:rPr>
          <w:lang w:val="fr-CH"/>
        </w:rPr>
        <w:lastRenderedPageBreak/>
        <w:t>Suivi des suggestions de notre précédent rapport</w:t>
      </w:r>
      <w:bookmarkEnd w:id="343"/>
      <w:bookmarkEnd w:id="344"/>
      <w:bookmarkEnd w:id="345"/>
    </w:p>
    <w:tbl>
      <w:tblPr>
        <w:tblStyle w:val="TableGrid"/>
        <w:tblW w:w="14567" w:type="dxa"/>
        <w:tblLook w:val="04A0" w:firstRow="1" w:lastRow="0" w:firstColumn="1" w:lastColumn="0" w:noHBand="0" w:noVBand="1"/>
      </w:tblPr>
      <w:tblGrid>
        <w:gridCol w:w="1217"/>
        <w:gridCol w:w="3375"/>
        <w:gridCol w:w="3596"/>
        <w:gridCol w:w="3119"/>
        <w:gridCol w:w="3260"/>
      </w:tblGrid>
      <w:tr w:rsidR="0086339A" w:rsidRPr="000C6ABF" w:rsidTr="001F2AE0">
        <w:trPr>
          <w:tblHeader/>
        </w:trPr>
        <w:tc>
          <w:tcPr>
            <w:tcW w:w="1217" w:type="dxa"/>
          </w:tcPr>
          <w:p w:rsidR="0086339A" w:rsidRPr="000C6ABF" w:rsidRDefault="0086339A" w:rsidP="00AB0C69">
            <w:pPr>
              <w:pStyle w:val="Tablehead"/>
              <w:rPr>
                <w:sz w:val="20"/>
                <w:lang w:val="fr-CH"/>
              </w:rPr>
            </w:pPr>
          </w:p>
          <w:p w:rsidR="001F2AE0" w:rsidRPr="000C6ABF" w:rsidRDefault="001F2AE0" w:rsidP="00AB0C69">
            <w:pPr>
              <w:pStyle w:val="Tablehead"/>
              <w:rPr>
                <w:sz w:val="20"/>
                <w:lang w:val="fr-CH"/>
              </w:rPr>
            </w:pPr>
          </w:p>
        </w:tc>
        <w:tc>
          <w:tcPr>
            <w:tcW w:w="3375" w:type="dxa"/>
          </w:tcPr>
          <w:p w:rsidR="0086339A" w:rsidRPr="000C6ABF" w:rsidRDefault="0086339A" w:rsidP="007E4593">
            <w:pPr>
              <w:pStyle w:val="Tablehead"/>
              <w:rPr>
                <w:lang w:val="fr-CH"/>
              </w:rPr>
            </w:pPr>
            <w:r w:rsidRPr="000C6ABF">
              <w:rPr>
                <w:lang w:val="fr-CH"/>
              </w:rPr>
              <w:t>Suggestion faite par la Cour des comptes italienne</w:t>
            </w:r>
          </w:p>
        </w:tc>
        <w:tc>
          <w:tcPr>
            <w:tcW w:w="3596" w:type="dxa"/>
          </w:tcPr>
          <w:p w:rsidR="0086339A" w:rsidRPr="000C6ABF" w:rsidRDefault="0086339A" w:rsidP="007E4593">
            <w:pPr>
              <w:pStyle w:val="Tablehead"/>
              <w:rPr>
                <w:lang w:val="fr-CH"/>
              </w:rPr>
            </w:pPr>
            <w:r w:rsidRPr="000C6ABF">
              <w:rPr>
                <w:lang w:val="fr-CH"/>
              </w:rPr>
              <w:t>Commentaires formulés par le Secrétaire général lors de la publication du rapport</w:t>
            </w:r>
          </w:p>
        </w:tc>
        <w:tc>
          <w:tcPr>
            <w:tcW w:w="3119" w:type="dxa"/>
          </w:tcPr>
          <w:p w:rsidR="0086339A" w:rsidRPr="000C6ABF" w:rsidRDefault="0086339A" w:rsidP="00AB0C69">
            <w:pPr>
              <w:pStyle w:val="Tablehead"/>
              <w:rPr>
                <w:lang w:val="fr-CH"/>
              </w:rPr>
            </w:pPr>
            <w:r w:rsidRPr="000C6ABF">
              <w:rPr>
                <w:lang w:val="fr-CH"/>
              </w:rPr>
              <w:t xml:space="preserve">Etat de la situation indiqué </w:t>
            </w:r>
            <w:r w:rsidRPr="000C6ABF">
              <w:rPr>
                <w:lang w:val="fr-CH"/>
              </w:rPr>
              <w:br/>
              <w:t xml:space="preserve">par la direction de l'UIT </w:t>
            </w:r>
          </w:p>
        </w:tc>
        <w:tc>
          <w:tcPr>
            <w:tcW w:w="3260" w:type="dxa"/>
          </w:tcPr>
          <w:p w:rsidR="0086339A" w:rsidRPr="000C6ABF" w:rsidRDefault="0086339A" w:rsidP="007E4593">
            <w:pPr>
              <w:pStyle w:val="Tablehead"/>
              <w:rPr>
                <w:lang w:val="fr-CH"/>
              </w:rPr>
            </w:pPr>
            <w:r w:rsidRPr="000C6ABF">
              <w:rPr>
                <w:lang w:val="fr-CH"/>
              </w:rPr>
              <w:t>Etat des mesures prises par la direction selon l'évaluation de la Cour des comptes italienne</w:t>
            </w:r>
          </w:p>
        </w:tc>
      </w:tr>
      <w:tr w:rsidR="0086339A" w:rsidRPr="000C6ABF" w:rsidTr="0086339A">
        <w:tc>
          <w:tcPr>
            <w:tcW w:w="1217" w:type="dxa"/>
          </w:tcPr>
          <w:p w:rsidR="0086339A" w:rsidRPr="000C6ABF" w:rsidRDefault="0086339A" w:rsidP="00AB0C69">
            <w:pPr>
              <w:pStyle w:val="Tabletext"/>
              <w:rPr>
                <w:b/>
                <w:bCs/>
                <w:lang w:val="fr-CH"/>
              </w:rPr>
            </w:pPr>
            <w:proofErr w:type="spellStart"/>
            <w:r w:rsidRPr="000C6ABF">
              <w:rPr>
                <w:b/>
                <w:bCs/>
                <w:lang w:val="fr-CH"/>
              </w:rPr>
              <w:t>Sugg</w:t>
            </w:r>
            <w:proofErr w:type="spellEnd"/>
            <w:r w:rsidRPr="000C6ABF">
              <w:rPr>
                <w:b/>
                <w:bCs/>
                <w:lang w:val="fr-CH"/>
              </w:rPr>
              <w:t>. 1</w:t>
            </w:r>
          </w:p>
          <w:p w:rsidR="0086339A" w:rsidRPr="000C6ABF" w:rsidRDefault="0086339A" w:rsidP="00AB0C69">
            <w:pPr>
              <w:pStyle w:val="Tabletext"/>
              <w:rPr>
                <w:lang w:val="fr-CH"/>
              </w:rPr>
            </w:pPr>
            <w:r w:rsidRPr="000C6ABF">
              <w:rPr>
                <w:b/>
                <w:bCs/>
                <w:lang w:val="fr-CH"/>
              </w:rPr>
              <w:t>2012</w:t>
            </w:r>
          </w:p>
        </w:tc>
        <w:tc>
          <w:tcPr>
            <w:tcW w:w="3375" w:type="dxa"/>
          </w:tcPr>
          <w:p w:rsidR="0086339A" w:rsidRPr="000C6ABF" w:rsidRDefault="0086339A" w:rsidP="00AB0C69">
            <w:pPr>
              <w:pStyle w:val="Tabletext"/>
              <w:rPr>
                <w:b/>
                <w:bCs/>
                <w:i/>
                <w:iCs/>
                <w:lang w:val="fr-CH"/>
              </w:rPr>
            </w:pPr>
            <w:bookmarkStart w:id="346" w:name="_Toc358123272"/>
            <w:r w:rsidRPr="000C6ABF">
              <w:rPr>
                <w:b/>
                <w:bCs/>
                <w:i/>
                <w:iCs/>
                <w:lang w:val="fr-CH"/>
              </w:rPr>
              <w:t>Etablissement de rapports financiers pour les bureaux hors siège</w:t>
            </w:r>
            <w:bookmarkEnd w:id="346"/>
          </w:p>
          <w:p w:rsidR="0086339A" w:rsidRPr="000C6ABF" w:rsidRDefault="0086339A" w:rsidP="00AB0C69">
            <w:pPr>
              <w:pStyle w:val="Tabletext"/>
              <w:rPr>
                <w:lang w:val="fr-CH"/>
              </w:rPr>
            </w:pPr>
            <w:r w:rsidRPr="000C6ABF">
              <w:rPr>
                <w:lang w:val="fr-CH"/>
              </w:rPr>
              <w:t xml:space="preserve">Il convient de souligner que tous les comptes bancaires utilisés dans les bureaux hors siège sont périodiquement rapprochés et supervisés par la direction de l'UIT. Cependant, étant donné que les montants ne sont pas directement insérés dans les comptes par les fonctionnaires hors siège, l'inscription de tous les mouvements dans le système comptable informatique (SAP) est effectuée périodiquement au niveau du siège. La direction est consciente de ce problème, de sorte que </w:t>
            </w:r>
            <w:r w:rsidRPr="00F65956">
              <w:rPr>
                <w:lang w:val="fr-CH"/>
              </w:rPr>
              <w:t>nous suggérons</w:t>
            </w:r>
            <w:r w:rsidRPr="000C6ABF">
              <w:rPr>
                <w:lang w:val="fr-CH"/>
              </w:rPr>
              <w:t xml:space="preserve"> de poursuivre les efforts en vue de mettre en place un système approprié d'établissement de rapports financiers au niveau des bureaux hors siège.</w:t>
            </w:r>
          </w:p>
        </w:tc>
        <w:tc>
          <w:tcPr>
            <w:tcW w:w="3596" w:type="dxa"/>
          </w:tcPr>
          <w:p w:rsidR="0086339A" w:rsidRPr="000C6ABF" w:rsidRDefault="0086339A" w:rsidP="00AB0C69">
            <w:pPr>
              <w:pStyle w:val="Tabletext"/>
              <w:rPr>
                <w:lang w:val="fr-CH"/>
              </w:rPr>
            </w:pPr>
            <w:r w:rsidRPr="000C6ABF">
              <w:rPr>
                <w:lang w:val="fr-CH"/>
              </w:rPr>
              <w:t>Je prends note de cette suggestion et vous informe qu'une grande partie des problèmes identifiés en ce qui concerne l'établissement de rapports financiers seront en principe résolus grâce à la formation du personnel concerné des bureaux hors siège.</w:t>
            </w:r>
          </w:p>
        </w:tc>
        <w:tc>
          <w:tcPr>
            <w:tcW w:w="3119" w:type="dxa"/>
          </w:tcPr>
          <w:p w:rsidR="0086339A" w:rsidRPr="000C6ABF" w:rsidRDefault="00D07101" w:rsidP="00AB0C69">
            <w:pPr>
              <w:pStyle w:val="Tabletext"/>
              <w:rPr>
                <w:lang w:val="fr-CH"/>
              </w:rPr>
            </w:pPr>
            <w:r w:rsidRPr="000C6ABF">
              <w:rPr>
                <w:lang w:val="fr-CH"/>
              </w:rPr>
              <w:t>Cette question est en cours d</w:t>
            </w:r>
            <w:r w:rsidR="00AB0C69" w:rsidRPr="000C6ABF">
              <w:rPr>
                <w:lang w:val="fr-CH"/>
              </w:rPr>
              <w:t>'</w:t>
            </w:r>
            <w:r w:rsidRPr="000C6ABF">
              <w:rPr>
                <w:lang w:val="fr-CH"/>
              </w:rPr>
              <w:t>examen avec la normalisation de la procédure d</w:t>
            </w:r>
            <w:r w:rsidR="00AB0C69" w:rsidRPr="000C6ABF">
              <w:rPr>
                <w:lang w:val="fr-CH"/>
              </w:rPr>
              <w:t>'</w:t>
            </w:r>
            <w:r w:rsidRPr="000C6ABF">
              <w:rPr>
                <w:lang w:val="fr-CH"/>
              </w:rPr>
              <w:t>établissement de</w:t>
            </w:r>
            <w:r w:rsidR="007E4593">
              <w:rPr>
                <w:lang w:val="fr-CH"/>
              </w:rPr>
              <w:t>s</w:t>
            </w:r>
            <w:r w:rsidRPr="000C6ABF">
              <w:rPr>
                <w:lang w:val="fr-CH"/>
              </w:rPr>
              <w:t xml:space="preserve"> rapports financiers pour les bureaux hors siège, laquelle devrait s</w:t>
            </w:r>
            <w:r w:rsidR="00AB0C69" w:rsidRPr="000C6ABF">
              <w:rPr>
                <w:lang w:val="fr-CH"/>
              </w:rPr>
              <w:t>'</w:t>
            </w:r>
            <w:r w:rsidRPr="000C6ABF">
              <w:rPr>
                <w:lang w:val="fr-CH"/>
              </w:rPr>
              <w:t xml:space="preserve">achever en 2014. </w:t>
            </w:r>
          </w:p>
        </w:tc>
        <w:tc>
          <w:tcPr>
            <w:tcW w:w="3260" w:type="dxa"/>
          </w:tcPr>
          <w:p w:rsidR="0086339A" w:rsidRPr="000C6ABF" w:rsidRDefault="00D07101" w:rsidP="00AB0C69">
            <w:pPr>
              <w:pStyle w:val="Tabletext"/>
              <w:rPr>
                <w:lang w:val="fr-CH"/>
              </w:rPr>
            </w:pPr>
            <w:r w:rsidRPr="000C6ABF">
              <w:rPr>
                <w:lang w:val="fr-CH"/>
              </w:rPr>
              <w:t>En cours</w:t>
            </w:r>
          </w:p>
        </w:tc>
      </w:tr>
    </w:tbl>
    <w:p w:rsidR="007E4593" w:rsidRDefault="007E4593">
      <w:r>
        <w:br w:type="page"/>
      </w:r>
    </w:p>
    <w:tbl>
      <w:tblPr>
        <w:tblStyle w:val="TableGrid"/>
        <w:tblW w:w="14567" w:type="dxa"/>
        <w:tblLook w:val="04A0" w:firstRow="1" w:lastRow="0" w:firstColumn="1" w:lastColumn="0" w:noHBand="0" w:noVBand="1"/>
      </w:tblPr>
      <w:tblGrid>
        <w:gridCol w:w="1217"/>
        <w:gridCol w:w="3375"/>
        <w:gridCol w:w="3596"/>
        <w:gridCol w:w="3119"/>
        <w:gridCol w:w="3260"/>
      </w:tblGrid>
      <w:tr w:rsidR="0082771F" w:rsidRPr="000C6ABF" w:rsidTr="0082771F">
        <w:trPr>
          <w:tblHeader/>
        </w:trPr>
        <w:tc>
          <w:tcPr>
            <w:tcW w:w="1217" w:type="dxa"/>
          </w:tcPr>
          <w:p w:rsidR="0082771F" w:rsidRPr="000C6ABF" w:rsidRDefault="0082771F" w:rsidP="0082771F">
            <w:pPr>
              <w:pStyle w:val="Tablehead"/>
              <w:rPr>
                <w:sz w:val="20"/>
                <w:lang w:val="fr-CH"/>
              </w:rPr>
            </w:pPr>
          </w:p>
          <w:p w:rsidR="0082771F" w:rsidRPr="000C6ABF" w:rsidRDefault="0082771F" w:rsidP="0082771F">
            <w:pPr>
              <w:pStyle w:val="Tablehead"/>
              <w:rPr>
                <w:sz w:val="20"/>
                <w:lang w:val="fr-CH"/>
              </w:rPr>
            </w:pPr>
          </w:p>
        </w:tc>
        <w:tc>
          <w:tcPr>
            <w:tcW w:w="3375" w:type="dxa"/>
          </w:tcPr>
          <w:p w:rsidR="0082771F" w:rsidRPr="000C6ABF" w:rsidRDefault="0082771F" w:rsidP="0082771F">
            <w:pPr>
              <w:pStyle w:val="Tablehead"/>
              <w:rPr>
                <w:lang w:val="fr-CH"/>
              </w:rPr>
            </w:pPr>
            <w:r w:rsidRPr="000C6ABF">
              <w:rPr>
                <w:lang w:val="fr-CH"/>
              </w:rPr>
              <w:t>Suggestion faite par la Cour des comptes italienne</w:t>
            </w:r>
          </w:p>
        </w:tc>
        <w:tc>
          <w:tcPr>
            <w:tcW w:w="3596" w:type="dxa"/>
          </w:tcPr>
          <w:p w:rsidR="0082771F" w:rsidRPr="000C6ABF" w:rsidRDefault="0082771F" w:rsidP="0082771F">
            <w:pPr>
              <w:pStyle w:val="Tablehead"/>
              <w:rPr>
                <w:lang w:val="fr-CH"/>
              </w:rPr>
            </w:pPr>
            <w:r w:rsidRPr="000C6ABF">
              <w:rPr>
                <w:lang w:val="fr-CH"/>
              </w:rPr>
              <w:t>Commentaires formulés par le Secrétaire général lors de la publication du rapport</w:t>
            </w:r>
          </w:p>
        </w:tc>
        <w:tc>
          <w:tcPr>
            <w:tcW w:w="3119" w:type="dxa"/>
          </w:tcPr>
          <w:p w:rsidR="0082771F" w:rsidRPr="000C6ABF" w:rsidRDefault="0082771F" w:rsidP="0082771F">
            <w:pPr>
              <w:pStyle w:val="Tablehead"/>
              <w:rPr>
                <w:lang w:val="fr-CH"/>
              </w:rPr>
            </w:pPr>
            <w:r w:rsidRPr="000C6ABF">
              <w:rPr>
                <w:lang w:val="fr-CH"/>
              </w:rPr>
              <w:t xml:space="preserve">Etat de la situation indiqué </w:t>
            </w:r>
            <w:r w:rsidRPr="000C6ABF">
              <w:rPr>
                <w:lang w:val="fr-CH"/>
              </w:rPr>
              <w:br/>
              <w:t xml:space="preserve">par la direction de l'UIT </w:t>
            </w:r>
          </w:p>
        </w:tc>
        <w:tc>
          <w:tcPr>
            <w:tcW w:w="3260" w:type="dxa"/>
          </w:tcPr>
          <w:p w:rsidR="0082771F" w:rsidRPr="000C6ABF" w:rsidRDefault="0082771F" w:rsidP="0082771F">
            <w:pPr>
              <w:pStyle w:val="Tablehead"/>
              <w:rPr>
                <w:lang w:val="fr-CH"/>
              </w:rPr>
            </w:pPr>
            <w:r w:rsidRPr="000C6ABF">
              <w:rPr>
                <w:lang w:val="fr-CH"/>
              </w:rPr>
              <w:t>Etat des mesures prises par la direction selon l'évaluation de la Cour des comptes italienne</w:t>
            </w:r>
          </w:p>
        </w:tc>
      </w:tr>
      <w:tr w:rsidR="0082771F" w:rsidRPr="000C6ABF" w:rsidTr="0082771F">
        <w:tc>
          <w:tcPr>
            <w:tcW w:w="1217" w:type="dxa"/>
          </w:tcPr>
          <w:p w:rsidR="0082771F" w:rsidRPr="000C6ABF" w:rsidRDefault="0082771F" w:rsidP="0082771F">
            <w:pPr>
              <w:pStyle w:val="Tabletext"/>
              <w:rPr>
                <w:b/>
                <w:bCs/>
                <w:lang w:val="fr-CH"/>
              </w:rPr>
            </w:pPr>
            <w:proofErr w:type="spellStart"/>
            <w:r w:rsidRPr="000C6ABF">
              <w:rPr>
                <w:b/>
                <w:bCs/>
                <w:lang w:val="fr-CH"/>
              </w:rPr>
              <w:t>Sugg</w:t>
            </w:r>
            <w:proofErr w:type="spellEnd"/>
            <w:r w:rsidRPr="000C6ABF">
              <w:rPr>
                <w:b/>
                <w:bCs/>
                <w:lang w:val="fr-CH"/>
              </w:rPr>
              <w:t xml:space="preserve">. </w:t>
            </w:r>
            <w:r>
              <w:rPr>
                <w:b/>
                <w:bCs/>
                <w:lang w:val="fr-CH"/>
              </w:rPr>
              <w:t>2</w:t>
            </w:r>
          </w:p>
          <w:p w:rsidR="0082771F" w:rsidRPr="000C6ABF" w:rsidRDefault="0082771F" w:rsidP="0082771F">
            <w:pPr>
              <w:pStyle w:val="Tabletext"/>
              <w:rPr>
                <w:lang w:val="fr-CH"/>
              </w:rPr>
            </w:pPr>
            <w:r w:rsidRPr="000C6ABF">
              <w:rPr>
                <w:b/>
                <w:bCs/>
                <w:lang w:val="fr-CH"/>
              </w:rPr>
              <w:t>2012</w:t>
            </w:r>
          </w:p>
        </w:tc>
        <w:tc>
          <w:tcPr>
            <w:tcW w:w="3375" w:type="dxa"/>
          </w:tcPr>
          <w:p w:rsidR="0082771F" w:rsidRPr="000C6ABF" w:rsidRDefault="0082771F" w:rsidP="0082771F">
            <w:pPr>
              <w:pStyle w:val="Tabletext"/>
              <w:rPr>
                <w:b/>
                <w:bCs/>
                <w:i/>
                <w:iCs/>
                <w:lang w:val="fr-CH"/>
              </w:rPr>
            </w:pPr>
            <w:r w:rsidRPr="000C6ABF">
              <w:rPr>
                <w:b/>
                <w:bCs/>
                <w:i/>
                <w:iCs/>
                <w:lang w:val="fr-CH"/>
              </w:rPr>
              <w:t xml:space="preserve">Mise en </w:t>
            </w:r>
            <w:proofErr w:type="spellStart"/>
            <w:r w:rsidRPr="000C6ABF">
              <w:rPr>
                <w:b/>
                <w:bCs/>
                <w:i/>
                <w:iCs/>
                <w:lang w:val="fr-CH"/>
              </w:rPr>
              <w:t>oeuvre</w:t>
            </w:r>
            <w:proofErr w:type="spellEnd"/>
            <w:r w:rsidRPr="000C6ABF">
              <w:rPr>
                <w:b/>
                <w:bCs/>
                <w:i/>
                <w:iCs/>
                <w:lang w:val="fr-CH"/>
              </w:rPr>
              <w:t xml:space="preserve"> des normes IPSAS 28, 29 et 30</w:t>
            </w:r>
          </w:p>
          <w:p w:rsidR="0082771F" w:rsidRPr="000C6ABF" w:rsidRDefault="0082771F" w:rsidP="0082771F">
            <w:pPr>
              <w:pStyle w:val="Tabletext"/>
              <w:rPr>
                <w:lang w:val="fr-CH"/>
              </w:rPr>
            </w:pPr>
            <w:r w:rsidRPr="000C6ABF">
              <w:rPr>
                <w:lang w:val="fr-CH"/>
              </w:rPr>
              <w:t>La direction nous a assuré</w:t>
            </w:r>
            <w:r w:rsidR="00F65956">
              <w:rPr>
                <w:lang w:val="fr-CH"/>
              </w:rPr>
              <w:t>s</w:t>
            </w:r>
            <w:r w:rsidRPr="000C6ABF">
              <w:rPr>
                <w:lang w:val="fr-CH"/>
              </w:rPr>
              <w:t xml:space="preserve"> de sa participation à la mise en </w:t>
            </w:r>
            <w:proofErr w:type="spellStart"/>
            <w:r w:rsidRPr="000C6ABF">
              <w:rPr>
                <w:lang w:val="fr-CH"/>
              </w:rPr>
              <w:t>oeuvre</w:t>
            </w:r>
            <w:proofErr w:type="spellEnd"/>
            <w:r w:rsidRPr="000C6ABF">
              <w:rPr>
                <w:lang w:val="fr-CH"/>
              </w:rPr>
              <w:t xml:space="preserve"> des normes IPSAS 28, 29 et 30 et nous suivrons la question. En conséquence, </w:t>
            </w:r>
            <w:r w:rsidRPr="00F65956">
              <w:rPr>
                <w:lang w:val="fr-CH"/>
              </w:rPr>
              <w:t>nous suggérons à</w:t>
            </w:r>
            <w:r w:rsidRPr="000C6ABF">
              <w:rPr>
                <w:lang w:val="fr-CH"/>
              </w:rPr>
              <w:t xml:space="preserve"> la direction de revoir, à terme, la classification des "Placements" en actifs non courants et de déterminer si les placements seront détenus ou non jusqu'à leur échéance.</w:t>
            </w:r>
          </w:p>
        </w:tc>
        <w:tc>
          <w:tcPr>
            <w:tcW w:w="3596" w:type="dxa"/>
          </w:tcPr>
          <w:p w:rsidR="0082771F" w:rsidRPr="000C6ABF" w:rsidRDefault="0082771F" w:rsidP="0082771F">
            <w:pPr>
              <w:pStyle w:val="Tabletext"/>
              <w:rPr>
                <w:lang w:val="fr-CH"/>
              </w:rPr>
            </w:pPr>
            <w:r w:rsidRPr="000C6ABF">
              <w:rPr>
                <w:lang w:val="fr-CH"/>
              </w:rPr>
              <w:t xml:space="preserve">Je prends note de cette suggestion et confirme qu'il en sera tenu compte lors de la mise en </w:t>
            </w:r>
            <w:proofErr w:type="spellStart"/>
            <w:r w:rsidRPr="000C6ABF">
              <w:rPr>
                <w:lang w:val="fr-CH"/>
              </w:rPr>
              <w:t>oeuvre</w:t>
            </w:r>
            <w:proofErr w:type="spellEnd"/>
            <w:r w:rsidRPr="000C6ABF">
              <w:rPr>
                <w:lang w:val="fr-CH"/>
              </w:rPr>
              <w:t xml:space="preserve"> des normes IPSAS 28, 29 et 30 en 2013.</w:t>
            </w:r>
          </w:p>
        </w:tc>
        <w:tc>
          <w:tcPr>
            <w:tcW w:w="3119" w:type="dxa"/>
          </w:tcPr>
          <w:p w:rsidR="0082771F" w:rsidRPr="000C6ABF" w:rsidRDefault="0082771F" w:rsidP="0082771F">
            <w:pPr>
              <w:pStyle w:val="Tabletext"/>
              <w:rPr>
                <w:lang w:val="fr-CH" w:eastAsia="it-IT"/>
              </w:rPr>
            </w:pPr>
            <w:r w:rsidRPr="000C6ABF">
              <w:rPr>
                <w:lang w:val="fr-CH" w:eastAsia="it-IT"/>
              </w:rPr>
              <w:t>Les normes IPSAS 28, 29, 30 ont été mises en œuvre sans incidence importante pour ce qui est de la comptabilisation et de l'évaluation des instruments financiers, compte tenu de la nature des instruments financiers de l'UIT qui avai</w:t>
            </w:r>
            <w:r>
              <w:rPr>
                <w:lang w:val="fr-CH" w:eastAsia="it-IT"/>
              </w:rPr>
              <w:t>en</w:t>
            </w:r>
            <w:r w:rsidRPr="000C6ABF">
              <w:rPr>
                <w:lang w:val="fr-CH" w:eastAsia="it-IT"/>
              </w:rPr>
              <w:t>t déjà été comptabilisé</w:t>
            </w:r>
            <w:r>
              <w:rPr>
                <w:lang w:val="fr-CH" w:eastAsia="it-IT"/>
              </w:rPr>
              <w:t>s</w:t>
            </w:r>
            <w:r w:rsidRPr="000C6ABF">
              <w:rPr>
                <w:lang w:val="fr-CH" w:eastAsia="it-IT"/>
              </w:rPr>
              <w:t xml:space="preserve"> et évalu</w:t>
            </w:r>
            <w:r>
              <w:rPr>
                <w:lang w:val="fr-CH" w:eastAsia="it-IT"/>
              </w:rPr>
              <w:t>és</w:t>
            </w:r>
            <w:r w:rsidRPr="000C6ABF">
              <w:rPr>
                <w:lang w:val="fr-CH" w:eastAsia="it-IT"/>
              </w:rPr>
              <w:t xml:space="preserve"> conformément à la norme mise en œuvre et aux options figurant dans les normes. </w:t>
            </w:r>
          </w:p>
          <w:p w:rsidR="0082771F" w:rsidRPr="000C6ABF" w:rsidRDefault="0082771F" w:rsidP="0082771F">
            <w:pPr>
              <w:pStyle w:val="Tabletext"/>
              <w:rPr>
                <w:lang w:val="fr-CH"/>
              </w:rPr>
            </w:pPr>
            <w:r w:rsidRPr="000C6ABF">
              <w:rPr>
                <w:lang w:val="fr-CH" w:eastAsia="it-IT"/>
              </w:rPr>
              <w:t>Les informations financières publiées dans le rapport de gestion financière ont été modifiées afin que ces informations soient conformes à la norme IPSAS 30</w:t>
            </w:r>
            <w:r w:rsidR="00F65956">
              <w:rPr>
                <w:lang w:val="fr-CH" w:eastAsia="it-IT"/>
              </w:rPr>
              <w:t>.</w:t>
            </w:r>
          </w:p>
        </w:tc>
        <w:tc>
          <w:tcPr>
            <w:tcW w:w="3260" w:type="dxa"/>
          </w:tcPr>
          <w:p w:rsidR="0082771F" w:rsidRPr="000C6ABF" w:rsidRDefault="0082771F" w:rsidP="0082771F">
            <w:pPr>
              <w:pStyle w:val="Tabletext"/>
              <w:rPr>
                <w:lang w:val="fr-CH"/>
              </w:rPr>
            </w:pPr>
            <w:r w:rsidRPr="000C6ABF">
              <w:rPr>
                <w:lang w:val="fr-CH"/>
              </w:rPr>
              <w:t>Mise en œuvre</w:t>
            </w:r>
          </w:p>
        </w:tc>
      </w:tr>
    </w:tbl>
    <w:p w:rsidR="0082771F" w:rsidRDefault="0082771F"/>
    <w:p w:rsidR="0082771F" w:rsidRDefault="0082771F"/>
    <w:p w:rsidR="007E4593" w:rsidRDefault="007E4593">
      <w:r>
        <w:br w:type="page"/>
      </w:r>
    </w:p>
    <w:tbl>
      <w:tblPr>
        <w:tblStyle w:val="TableGrid"/>
        <w:tblW w:w="14567" w:type="dxa"/>
        <w:tblLook w:val="04A0" w:firstRow="1" w:lastRow="0" w:firstColumn="1" w:lastColumn="0" w:noHBand="0" w:noVBand="1"/>
      </w:tblPr>
      <w:tblGrid>
        <w:gridCol w:w="1217"/>
        <w:gridCol w:w="3375"/>
        <w:gridCol w:w="3596"/>
        <w:gridCol w:w="3119"/>
        <w:gridCol w:w="3260"/>
      </w:tblGrid>
      <w:tr w:rsidR="0082771F" w:rsidRPr="000C6ABF" w:rsidTr="0082771F">
        <w:trPr>
          <w:tblHeader/>
        </w:trPr>
        <w:tc>
          <w:tcPr>
            <w:tcW w:w="1217" w:type="dxa"/>
          </w:tcPr>
          <w:p w:rsidR="0082771F" w:rsidRPr="000C6ABF" w:rsidRDefault="0082771F" w:rsidP="0082771F">
            <w:pPr>
              <w:pStyle w:val="Tablehead"/>
              <w:rPr>
                <w:sz w:val="20"/>
                <w:lang w:val="fr-CH"/>
              </w:rPr>
            </w:pPr>
          </w:p>
          <w:p w:rsidR="0082771F" w:rsidRPr="000C6ABF" w:rsidRDefault="0082771F" w:rsidP="0082771F">
            <w:pPr>
              <w:pStyle w:val="Tablehead"/>
              <w:rPr>
                <w:sz w:val="20"/>
                <w:lang w:val="fr-CH"/>
              </w:rPr>
            </w:pPr>
          </w:p>
        </w:tc>
        <w:tc>
          <w:tcPr>
            <w:tcW w:w="3375" w:type="dxa"/>
          </w:tcPr>
          <w:p w:rsidR="0082771F" w:rsidRPr="000C6ABF" w:rsidRDefault="0082771F" w:rsidP="0082771F">
            <w:pPr>
              <w:pStyle w:val="Tablehead"/>
              <w:rPr>
                <w:lang w:val="fr-CH"/>
              </w:rPr>
            </w:pPr>
            <w:r w:rsidRPr="000C6ABF">
              <w:rPr>
                <w:lang w:val="fr-CH"/>
              </w:rPr>
              <w:t>Suggestion faite par la Cour des comptes italienne</w:t>
            </w:r>
          </w:p>
        </w:tc>
        <w:tc>
          <w:tcPr>
            <w:tcW w:w="3596" w:type="dxa"/>
          </w:tcPr>
          <w:p w:rsidR="0082771F" w:rsidRPr="000C6ABF" w:rsidRDefault="0082771F" w:rsidP="0082771F">
            <w:pPr>
              <w:pStyle w:val="Tablehead"/>
              <w:rPr>
                <w:lang w:val="fr-CH"/>
              </w:rPr>
            </w:pPr>
            <w:r w:rsidRPr="000C6ABF">
              <w:rPr>
                <w:lang w:val="fr-CH"/>
              </w:rPr>
              <w:t>Commentaires formulés par le Secrétaire général lors de la publication du rapport</w:t>
            </w:r>
          </w:p>
        </w:tc>
        <w:tc>
          <w:tcPr>
            <w:tcW w:w="3119" w:type="dxa"/>
          </w:tcPr>
          <w:p w:rsidR="0082771F" w:rsidRPr="000C6ABF" w:rsidRDefault="0082771F" w:rsidP="0082771F">
            <w:pPr>
              <w:pStyle w:val="Tablehead"/>
              <w:rPr>
                <w:lang w:val="fr-CH"/>
              </w:rPr>
            </w:pPr>
            <w:r w:rsidRPr="000C6ABF">
              <w:rPr>
                <w:lang w:val="fr-CH"/>
              </w:rPr>
              <w:t xml:space="preserve">Etat de la situation indiqué </w:t>
            </w:r>
            <w:r w:rsidRPr="000C6ABF">
              <w:rPr>
                <w:lang w:val="fr-CH"/>
              </w:rPr>
              <w:br/>
              <w:t xml:space="preserve">par la direction de l'UIT </w:t>
            </w:r>
          </w:p>
        </w:tc>
        <w:tc>
          <w:tcPr>
            <w:tcW w:w="3260" w:type="dxa"/>
          </w:tcPr>
          <w:p w:rsidR="0082771F" w:rsidRPr="000C6ABF" w:rsidRDefault="0082771F" w:rsidP="0082771F">
            <w:pPr>
              <w:pStyle w:val="Tablehead"/>
              <w:rPr>
                <w:lang w:val="fr-CH"/>
              </w:rPr>
            </w:pPr>
            <w:r w:rsidRPr="000C6ABF">
              <w:rPr>
                <w:lang w:val="fr-CH"/>
              </w:rPr>
              <w:t>Etat des mesures prises par la direction selon l'évaluation de la Cour des comptes italienne</w:t>
            </w:r>
          </w:p>
        </w:tc>
      </w:tr>
      <w:tr w:rsidR="0082771F" w:rsidRPr="000C6ABF" w:rsidTr="0082771F">
        <w:tc>
          <w:tcPr>
            <w:tcW w:w="1217" w:type="dxa"/>
          </w:tcPr>
          <w:p w:rsidR="0082771F" w:rsidRPr="000C6ABF" w:rsidRDefault="0082771F" w:rsidP="0082771F">
            <w:pPr>
              <w:pStyle w:val="Tabletext"/>
              <w:rPr>
                <w:b/>
                <w:bCs/>
                <w:lang w:val="fr-CH"/>
              </w:rPr>
            </w:pPr>
            <w:proofErr w:type="spellStart"/>
            <w:r w:rsidRPr="000C6ABF">
              <w:rPr>
                <w:b/>
                <w:bCs/>
                <w:lang w:val="fr-CH"/>
              </w:rPr>
              <w:t>Sugg</w:t>
            </w:r>
            <w:proofErr w:type="spellEnd"/>
            <w:r w:rsidRPr="000C6ABF">
              <w:rPr>
                <w:b/>
                <w:bCs/>
                <w:lang w:val="fr-CH"/>
              </w:rPr>
              <w:t>. 3</w:t>
            </w:r>
          </w:p>
          <w:p w:rsidR="0082771F" w:rsidRPr="000C6ABF" w:rsidRDefault="0082771F" w:rsidP="0082771F">
            <w:pPr>
              <w:pStyle w:val="Tabletext"/>
              <w:rPr>
                <w:lang w:val="fr-CH"/>
              </w:rPr>
            </w:pPr>
            <w:r w:rsidRPr="000C6ABF">
              <w:rPr>
                <w:b/>
                <w:bCs/>
                <w:lang w:val="fr-CH"/>
              </w:rPr>
              <w:t>2012</w:t>
            </w:r>
          </w:p>
        </w:tc>
        <w:tc>
          <w:tcPr>
            <w:tcW w:w="3375" w:type="dxa"/>
          </w:tcPr>
          <w:p w:rsidR="0082771F" w:rsidRPr="000C6ABF" w:rsidRDefault="0082771F" w:rsidP="0082771F">
            <w:pPr>
              <w:pStyle w:val="Tabletext"/>
              <w:rPr>
                <w:b/>
                <w:bCs/>
                <w:i/>
                <w:iCs/>
                <w:lang w:val="fr-CH"/>
              </w:rPr>
            </w:pPr>
            <w:r w:rsidRPr="000C6ABF">
              <w:rPr>
                <w:b/>
                <w:bCs/>
                <w:i/>
                <w:iCs/>
                <w:lang w:val="fr-CH"/>
              </w:rPr>
              <w:t>Provisions</w:t>
            </w:r>
          </w:p>
          <w:p w:rsidR="0082771F" w:rsidRPr="000C6ABF" w:rsidRDefault="0082771F" w:rsidP="0082771F">
            <w:pPr>
              <w:pStyle w:val="Tabletext"/>
              <w:rPr>
                <w:lang w:val="fr-CH"/>
              </w:rPr>
            </w:pPr>
            <w:r w:rsidRPr="000C6ABF">
              <w:rPr>
                <w:lang w:val="fr-CH"/>
              </w:rPr>
              <w:t xml:space="preserve">Après avoir examiné les rapports du Conseiller juridique de l'UIT, nous considérons que le montant provisionné pour couvrir d'éventuelles pertes liées à des recours est pour l'essentiel correct. Par ailleurs, le Conseiller juridique nous a indiqué qu'il s'écoulait en moyenne deux ans et demi avant qu'un recours ne soit tranché par le Tribunal de l'OIT. Par conséquent, compte tenu de la durée de règlement d'un recours </w:t>
            </w:r>
            <w:r w:rsidRPr="00F65956">
              <w:rPr>
                <w:lang w:val="fr-CH"/>
              </w:rPr>
              <w:t>nous suggérons</w:t>
            </w:r>
            <w:r w:rsidRPr="000C6ABF">
              <w:rPr>
                <w:lang w:val="fr-CH"/>
              </w:rPr>
              <w:t>, pour les années à venir, de reclasser le montant provisionné pour les recours sous "Actifs non courants".</w:t>
            </w:r>
          </w:p>
        </w:tc>
        <w:tc>
          <w:tcPr>
            <w:tcW w:w="3596" w:type="dxa"/>
          </w:tcPr>
          <w:p w:rsidR="0082771F" w:rsidRPr="000C6ABF" w:rsidRDefault="0082771F" w:rsidP="0082771F">
            <w:pPr>
              <w:pStyle w:val="Tabletext"/>
              <w:rPr>
                <w:lang w:val="fr-CH"/>
              </w:rPr>
            </w:pPr>
            <w:r w:rsidRPr="000C6ABF">
              <w:rPr>
                <w:lang w:val="fr-CH"/>
              </w:rPr>
              <w:t>Je prends note de cette suggestion et confirme qu'elle sera prise en compte en 2013</w:t>
            </w:r>
            <w:r w:rsidR="00F65956">
              <w:rPr>
                <w:lang w:val="fr-CH"/>
              </w:rPr>
              <w:t>.</w:t>
            </w:r>
          </w:p>
        </w:tc>
        <w:tc>
          <w:tcPr>
            <w:tcW w:w="3119" w:type="dxa"/>
          </w:tcPr>
          <w:p w:rsidR="0082771F" w:rsidRPr="000C6ABF" w:rsidRDefault="0082771F" w:rsidP="0082771F">
            <w:pPr>
              <w:pStyle w:val="Tabletext"/>
              <w:rPr>
                <w:lang w:val="fr-CH"/>
              </w:rPr>
            </w:pPr>
            <w:r w:rsidRPr="000C6ABF">
              <w:rPr>
                <w:lang w:val="fr-CH"/>
              </w:rPr>
              <w:t>Nous avons examiné cette suggestion et</w:t>
            </w:r>
            <w:r w:rsidR="00F65956">
              <w:rPr>
                <w:lang w:val="fr-CH"/>
              </w:rPr>
              <w:t xml:space="preserve"> </w:t>
            </w:r>
            <w:r w:rsidRPr="000C6ABF">
              <w:rPr>
                <w:lang w:val="fr-CH"/>
              </w:rPr>
              <w:t xml:space="preserve">nous sommes favorables à la possibilité de conserver l'actuelle méthode de publication des informations financières étant donné que le fait de classer cette provision comme une provision à long terme se traduirait par la publication d'informations très sensibles, au début de l'état de la situation financière, sur une ligne distincte. Par ailleurs, l'incertitude concernant la durée peut être un argument en faveur du maintien de cette provision comme provision à court terme. </w:t>
            </w:r>
          </w:p>
        </w:tc>
        <w:tc>
          <w:tcPr>
            <w:tcW w:w="3260" w:type="dxa"/>
          </w:tcPr>
          <w:p w:rsidR="0082771F" w:rsidRPr="000C6ABF" w:rsidRDefault="0082771F" w:rsidP="0082771F">
            <w:pPr>
              <w:pStyle w:val="Tabletext"/>
              <w:rPr>
                <w:lang w:val="fr-CH"/>
              </w:rPr>
            </w:pPr>
            <w:r w:rsidRPr="000C6ABF">
              <w:rPr>
                <w:lang w:val="fr-CH"/>
              </w:rPr>
              <w:t>En cours</w:t>
            </w:r>
          </w:p>
        </w:tc>
      </w:tr>
    </w:tbl>
    <w:p w:rsidR="0082771F" w:rsidRDefault="0082771F"/>
    <w:p w:rsidR="0082771F" w:rsidRDefault="0082771F">
      <w:r>
        <w:br w:type="page"/>
      </w:r>
    </w:p>
    <w:tbl>
      <w:tblPr>
        <w:tblStyle w:val="TableGrid"/>
        <w:tblW w:w="14567" w:type="dxa"/>
        <w:tblLook w:val="04A0" w:firstRow="1" w:lastRow="0" w:firstColumn="1" w:lastColumn="0" w:noHBand="0" w:noVBand="1"/>
      </w:tblPr>
      <w:tblGrid>
        <w:gridCol w:w="1217"/>
        <w:gridCol w:w="3375"/>
        <w:gridCol w:w="3596"/>
        <w:gridCol w:w="3119"/>
        <w:gridCol w:w="3260"/>
      </w:tblGrid>
      <w:tr w:rsidR="0082771F" w:rsidRPr="000C6ABF" w:rsidTr="0082771F">
        <w:trPr>
          <w:tblHeader/>
        </w:trPr>
        <w:tc>
          <w:tcPr>
            <w:tcW w:w="1217" w:type="dxa"/>
          </w:tcPr>
          <w:p w:rsidR="0082771F" w:rsidRPr="000C6ABF" w:rsidRDefault="0082771F" w:rsidP="0082771F">
            <w:pPr>
              <w:pStyle w:val="Tablehead"/>
              <w:rPr>
                <w:sz w:val="20"/>
                <w:lang w:val="fr-CH"/>
              </w:rPr>
            </w:pPr>
          </w:p>
          <w:p w:rsidR="0082771F" w:rsidRPr="000C6ABF" w:rsidRDefault="0082771F" w:rsidP="0082771F">
            <w:pPr>
              <w:pStyle w:val="Tablehead"/>
              <w:rPr>
                <w:sz w:val="20"/>
                <w:lang w:val="fr-CH"/>
              </w:rPr>
            </w:pPr>
          </w:p>
        </w:tc>
        <w:tc>
          <w:tcPr>
            <w:tcW w:w="3375" w:type="dxa"/>
          </w:tcPr>
          <w:p w:rsidR="0082771F" w:rsidRPr="000C6ABF" w:rsidRDefault="0082771F" w:rsidP="0082771F">
            <w:pPr>
              <w:pStyle w:val="Tablehead"/>
              <w:rPr>
                <w:lang w:val="fr-CH"/>
              </w:rPr>
            </w:pPr>
            <w:r w:rsidRPr="000C6ABF">
              <w:rPr>
                <w:lang w:val="fr-CH"/>
              </w:rPr>
              <w:t>Suggestion faite par la Cour des comptes italienne</w:t>
            </w:r>
          </w:p>
        </w:tc>
        <w:tc>
          <w:tcPr>
            <w:tcW w:w="3596" w:type="dxa"/>
          </w:tcPr>
          <w:p w:rsidR="0082771F" w:rsidRPr="000C6ABF" w:rsidRDefault="0082771F" w:rsidP="0082771F">
            <w:pPr>
              <w:pStyle w:val="Tablehead"/>
              <w:rPr>
                <w:lang w:val="fr-CH"/>
              </w:rPr>
            </w:pPr>
            <w:r w:rsidRPr="000C6ABF">
              <w:rPr>
                <w:lang w:val="fr-CH"/>
              </w:rPr>
              <w:t>Commentaires formulés par le Secrétaire général lors de la publication du rapport</w:t>
            </w:r>
          </w:p>
        </w:tc>
        <w:tc>
          <w:tcPr>
            <w:tcW w:w="3119" w:type="dxa"/>
          </w:tcPr>
          <w:p w:rsidR="0082771F" w:rsidRPr="000C6ABF" w:rsidRDefault="0082771F" w:rsidP="0082771F">
            <w:pPr>
              <w:pStyle w:val="Tablehead"/>
              <w:rPr>
                <w:lang w:val="fr-CH"/>
              </w:rPr>
            </w:pPr>
            <w:r w:rsidRPr="000C6ABF">
              <w:rPr>
                <w:lang w:val="fr-CH"/>
              </w:rPr>
              <w:t xml:space="preserve">Etat de la situation indiqué </w:t>
            </w:r>
            <w:r w:rsidRPr="000C6ABF">
              <w:rPr>
                <w:lang w:val="fr-CH"/>
              </w:rPr>
              <w:br/>
              <w:t xml:space="preserve">par la direction de l'UIT </w:t>
            </w:r>
          </w:p>
        </w:tc>
        <w:tc>
          <w:tcPr>
            <w:tcW w:w="3260" w:type="dxa"/>
          </w:tcPr>
          <w:p w:rsidR="0082771F" w:rsidRPr="000C6ABF" w:rsidRDefault="0082771F" w:rsidP="0082771F">
            <w:pPr>
              <w:pStyle w:val="Tablehead"/>
              <w:rPr>
                <w:lang w:val="fr-CH"/>
              </w:rPr>
            </w:pPr>
            <w:r w:rsidRPr="000C6ABF">
              <w:rPr>
                <w:lang w:val="fr-CH"/>
              </w:rPr>
              <w:t>Etat des mesures prises par la direction selon l'évaluation de la Cour des comptes italienne</w:t>
            </w:r>
          </w:p>
        </w:tc>
      </w:tr>
      <w:tr w:rsidR="0082771F" w:rsidRPr="000C6ABF" w:rsidTr="0082771F">
        <w:tc>
          <w:tcPr>
            <w:tcW w:w="1217" w:type="dxa"/>
          </w:tcPr>
          <w:p w:rsidR="0082771F" w:rsidRPr="000C6ABF" w:rsidRDefault="0082771F" w:rsidP="0082771F">
            <w:pPr>
              <w:pStyle w:val="Tabletext"/>
              <w:rPr>
                <w:b/>
                <w:bCs/>
                <w:lang w:val="fr-CH"/>
              </w:rPr>
            </w:pPr>
            <w:proofErr w:type="spellStart"/>
            <w:r w:rsidRPr="000C6ABF">
              <w:rPr>
                <w:b/>
                <w:bCs/>
                <w:lang w:val="fr-CH"/>
              </w:rPr>
              <w:t>Sugg</w:t>
            </w:r>
            <w:proofErr w:type="spellEnd"/>
            <w:r w:rsidRPr="000C6ABF">
              <w:rPr>
                <w:b/>
                <w:bCs/>
                <w:lang w:val="fr-CH"/>
              </w:rPr>
              <w:t>. 4</w:t>
            </w:r>
          </w:p>
          <w:p w:rsidR="0082771F" w:rsidRPr="000C6ABF" w:rsidRDefault="0082771F" w:rsidP="0082771F">
            <w:pPr>
              <w:pStyle w:val="Tabletext"/>
              <w:rPr>
                <w:lang w:val="fr-CH"/>
              </w:rPr>
            </w:pPr>
            <w:r w:rsidRPr="000C6ABF">
              <w:rPr>
                <w:b/>
                <w:bCs/>
                <w:lang w:val="fr-CH"/>
              </w:rPr>
              <w:t>2012</w:t>
            </w:r>
          </w:p>
        </w:tc>
        <w:tc>
          <w:tcPr>
            <w:tcW w:w="3375" w:type="dxa"/>
          </w:tcPr>
          <w:p w:rsidR="0082771F" w:rsidRPr="000C6ABF" w:rsidRDefault="0082771F" w:rsidP="0082771F">
            <w:pPr>
              <w:pStyle w:val="Tabletext"/>
              <w:rPr>
                <w:b/>
                <w:bCs/>
                <w:i/>
                <w:iCs/>
                <w:lang w:val="fr-CH"/>
              </w:rPr>
            </w:pPr>
            <w:r w:rsidRPr="000C6ABF">
              <w:rPr>
                <w:b/>
                <w:bCs/>
                <w:i/>
                <w:iCs/>
                <w:lang w:val="fr-CH"/>
              </w:rPr>
              <w:t>Possibilités de compenser l'actif net négatif</w:t>
            </w:r>
          </w:p>
          <w:p w:rsidR="0082771F" w:rsidRPr="000C6ABF" w:rsidRDefault="0082771F" w:rsidP="0082771F">
            <w:pPr>
              <w:pStyle w:val="Tabletext"/>
              <w:rPr>
                <w:lang w:val="fr-CH"/>
              </w:rPr>
            </w:pPr>
            <w:r w:rsidRPr="000C6ABF">
              <w:rPr>
                <w:lang w:val="fr-CH"/>
              </w:rPr>
              <w:t xml:space="preserve">Etant donné qu'il est nécessaire d'appliquer des correctifs, [comme indiqué au point 92] ces mesures doivent être examinées par le Conseil: alors que la première n'entre pas dans les attributions de la Direction, </w:t>
            </w:r>
            <w:r w:rsidRPr="00F65956">
              <w:rPr>
                <w:lang w:val="fr-CH"/>
              </w:rPr>
              <w:t>nous suggérons</w:t>
            </w:r>
            <w:r w:rsidRPr="000C6ABF">
              <w:rPr>
                <w:lang w:val="fr-CH"/>
              </w:rPr>
              <w:t xml:space="preserve"> à la Direction de réfléchir aux autres mesures.</w:t>
            </w:r>
          </w:p>
        </w:tc>
        <w:tc>
          <w:tcPr>
            <w:tcW w:w="3596" w:type="dxa"/>
          </w:tcPr>
          <w:p w:rsidR="0082771F" w:rsidRPr="000C6ABF" w:rsidRDefault="0082771F" w:rsidP="0082771F">
            <w:pPr>
              <w:pStyle w:val="Tabletext"/>
              <w:rPr>
                <w:lang w:val="fr-CH"/>
              </w:rPr>
            </w:pPr>
            <w:r w:rsidRPr="000C6ABF">
              <w:rPr>
                <w:lang w:val="fr-CH"/>
              </w:rPr>
              <w:t>Je prends note de cette suggestion, qui sera prise en compte, en faisant observer que certaines des mesures suggérées soulèvent des questions épineuses et devront être abordées au niveau des Nations Unies pour assurer une approche commune du sujet.</w:t>
            </w:r>
          </w:p>
        </w:tc>
        <w:tc>
          <w:tcPr>
            <w:tcW w:w="3119" w:type="dxa"/>
          </w:tcPr>
          <w:p w:rsidR="0082771F" w:rsidRPr="000C6ABF" w:rsidRDefault="0082771F" w:rsidP="0082771F">
            <w:pPr>
              <w:pStyle w:val="Tabletext"/>
              <w:rPr>
                <w:lang w:val="fr-CH"/>
              </w:rPr>
            </w:pPr>
            <w:r w:rsidRPr="000C6ABF">
              <w:rPr>
                <w:lang w:val="fr-CH"/>
              </w:rPr>
              <w:t xml:space="preserve">Se reporter aux mises à jour </w:t>
            </w:r>
            <w:r>
              <w:rPr>
                <w:lang w:val="fr-CH"/>
              </w:rPr>
              <w:t>d</w:t>
            </w:r>
            <w:r w:rsidRPr="000C6ABF">
              <w:rPr>
                <w:lang w:val="fr-CH"/>
              </w:rPr>
              <w:t xml:space="preserve">es </w:t>
            </w:r>
            <w:r w:rsidR="00F65956" w:rsidRPr="000C6ABF">
              <w:rPr>
                <w:lang w:val="fr-CH"/>
              </w:rPr>
              <w:t>R</w:t>
            </w:r>
            <w:r w:rsidRPr="000C6ABF">
              <w:rPr>
                <w:lang w:val="fr-CH"/>
              </w:rPr>
              <w:t>ecommandations 6 et 7</w:t>
            </w:r>
          </w:p>
        </w:tc>
        <w:tc>
          <w:tcPr>
            <w:tcW w:w="3260" w:type="dxa"/>
          </w:tcPr>
          <w:p w:rsidR="0082771F" w:rsidRPr="000C6ABF" w:rsidRDefault="0082771F" w:rsidP="0082771F">
            <w:pPr>
              <w:pStyle w:val="Tabletext"/>
              <w:rPr>
                <w:lang w:val="fr-CH"/>
              </w:rPr>
            </w:pPr>
            <w:r w:rsidRPr="000C6ABF">
              <w:rPr>
                <w:lang w:val="fr-CH"/>
              </w:rPr>
              <w:t>En cours</w:t>
            </w:r>
          </w:p>
        </w:tc>
      </w:tr>
    </w:tbl>
    <w:p w:rsidR="0082771F" w:rsidRDefault="0082771F">
      <w:r>
        <w:br w:type="page"/>
      </w:r>
    </w:p>
    <w:tbl>
      <w:tblPr>
        <w:tblStyle w:val="TableGrid"/>
        <w:tblW w:w="14567" w:type="dxa"/>
        <w:tblLook w:val="04A0" w:firstRow="1" w:lastRow="0" w:firstColumn="1" w:lastColumn="0" w:noHBand="0" w:noVBand="1"/>
      </w:tblPr>
      <w:tblGrid>
        <w:gridCol w:w="1217"/>
        <w:gridCol w:w="3375"/>
        <w:gridCol w:w="3596"/>
        <w:gridCol w:w="3119"/>
        <w:gridCol w:w="3260"/>
      </w:tblGrid>
      <w:tr w:rsidR="0082771F" w:rsidRPr="000C6ABF" w:rsidTr="0082771F">
        <w:trPr>
          <w:tblHeader/>
        </w:trPr>
        <w:tc>
          <w:tcPr>
            <w:tcW w:w="1217" w:type="dxa"/>
          </w:tcPr>
          <w:p w:rsidR="0082771F" w:rsidRPr="000C6ABF" w:rsidRDefault="0082771F" w:rsidP="0082771F">
            <w:pPr>
              <w:pStyle w:val="Tablehead"/>
              <w:rPr>
                <w:sz w:val="20"/>
                <w:lang w:val="fr-CH"/>
              </w:rPr>
            </w:pPr>
          </w:p>
          <w:p w:rsidR="0082771F" w:rsidRPr="000C6ABF" w:rsidRDefault="0082771F" w:rsidP="0082771F">
            <w:pPr>
              <w:pStyle w:val="Tablehead"/>
              <w:rPr>
                <w:sz w:val="20"/>
                <w:lang w:val="fr-CH"/>
              </w:rPr>
            </w:pPr>
          </w:p>
        </w:tc>
        <w:tc>
          <w:tcPr>
            <w:tcW w:w="3375" w:type="dxa"/>
          </w:tcPr>
          <w:p w:rsidR="0082771F" w:rsidRPr="000C6ABF" w:rsidRDefault="0082771F" w:rsidP="0082771F">
            <w:pPr>
              <w:pStyle w:val="Tablehead"/>
              <w:rPr>
                <w:lang w:val="fr-CH"/>
              </w:rPr>
            </w:pPr>
            <w:r w:rsidRPr="000C6ABF">
              <w:rPr>
                <w:lang w:val="fr-CH"/>
              </w:rPr>
              <w:t>Suggestion faite par la Cour des comptes italienne</w:t>
            </w:r>
          </w:p>
        </w:tc>
        <w:tc>
          <w:tcPr>
            <w:tcW w:w="3596" w:type="dxa"/>
          </w:tcPr>
          <w:p w:rsidR="0082771F" w:rsidRPr="000C6ABF" w:rsidRDefault="0082771F" w:rsidP="0082771F">
            <w:pPr>
              <w:pStyle w:val="Tablehead"/>
              <w:rPr>
                <w:lang w:val="fr-CH"/>
              </w:rPr>
            </w:pPr>
            <w:r w:rsidRPr="000C6ABF">
              <w:rPr>
                <w:lang w:val="fr-CH"/>
              </w:rPr>
              <w:t>Commentaires formulés par le Secrétaire général lors de la publication du rapport</w:t>
            </w:r>
          </w:p>
        </w:tc>
        <w:tc>
          <w:tcPr>
            <w:tcW w:w="3119" w:type="dxa"/>
          </w:tcPr>
          <w:p w:rsidR="0082771F" w:rsidRPr="000C6ABF" w:rsidRDefault="0082771F" w:rsidP="0082771F">
            <w:pPr>
              <w:pStyle w:val="Tablehead"/>
              <w:rPr>
                <w:lang w:val="fr-CH"/>
              </w:rPr>
            </w:pPr>
            <w:r w:rsidRPr="000C6ABF">
              <w:rPr>
                <w:lang w:val="fr-CH"/>
              </w:rPr>
              <w:t xml:space="preserve">Etat de la situation indiqué </w:t>
            </w:r>
            <w:r w:rsidRPr="000C6ABF">
              <w:rPr>
                <w:lang w:val="fr-CH"/>
              </w:rPr>
              <w:br/>
              <w:t xml:space="preserve">par la direction de l'UIT </w:t>
            </w:r>
          </w:p>
        </w:tc>
        <w:tc>
          <w:tcPr>
            <w:tcW w:w="3260" w:type="dxa"/>
          </w:tcPr>
          <w:p w:rsidR="0082771F" w:rsidRPr="000C6ABF" w:rsidRDefault="0082771F" w:rsidP="0082771F">
            <w:pPr>
              <w:pStyle w:val="Tablehead"/>
              <w:rPr>
                <w:lang w:val="fr-CH"/>
              </w:rPr>
            </w:pPr>
            <w:r w:rsidRPr="000C6ABF">
              <w:rPr>
                <w:lang w:val="fr-CH"/>
              </w:rPr>
              <w:t>Etat des mesures prises par la direction selon l'évaluation de la Cour des comptes italienne</w:t>
            </w:r>
          </w:p>
        </w:tc>
      </w:tr>
      <w:tr w:rsidR="0082771F" w:rsidRPr="000C6ABF" w:rsidTr="0082771F">
        <w:tc>
          <w:tcPr>
            <w:tcW w:w="1217" w:type="dxa"/>
          </w:tcPr>
          <w:p w:rsidR="0082771F" w:rsidRPr="000C6ABF" w:rsidRDefault="0082771F" w:rsidP="0082771F">
            <w:pPr>
              <w:pStyle w:val="Tabletext"/>
              <w:rPr>
                <w:b/>
                <w:bCs/>
                <w:lang w:val="fr-CH"/>
              </w:rPr>
            </w:pPr>
            <w:proofErr w:type="spellStart"/>
            <w:r w:rsidRPr="000C6ABF">
              <w:rPr>
                <w:b/>
                <w:bCs/>
                <w:lang w:val="fr-CH"/>
              </w:rPr>
              <w:t>Sugg</w:t>
            </w:r>
            <w:proofErr w:type="spellEnd"/>
            <w:r w:rsidRPr="000C6ABF">
              <w:rPr>
                <w:b/>
                <w:bCs/>
                <w:lang w:val="fr-CH"/>
              </w:rPr>
              <w:t>. 5</w:t>
            </w:r>
          </w:p>
          <w:p w:rsidR="0082771F" w:rsidRPr="000C6ABF" w:rsidRDefault="0082771F" w:rsidP="0082771F">
            <w:pPr>
              <w:pStyle w:val="Tabletext"/>
              <w:rPr>
                <w:lang w:val="fr-CH"/>
              </w:rPr>
            </w:pPr>
            <w:r w:rsidRPr="000C6ABF">
              <w:rPr>
                <w:b/>
                <w:bCs/>
                <w:lang w:val="fr-CH"/>
              </w:rPr>
              <w:t>2012</w:t>
            </w:r>
          </w:p>
        </w:tc>
        <w:tc>
          <w:tcPr>
            <w:tcW w:w="3375" w:type="dxa"/>
          </w:tcPr>
          <w:p w:rsidR="0082771F" w:rsidRPr="000C6ABF" w:rsidRDefault="0082771F" w:rsidP="0082771F">
            <w:pPr>
              <w:pStyle w:val="Tabletext"/>
              <w:rPr>
                <w:lang w:val="fr-CH"/>
              </w:rPr>
            </w:pPr>
            <w:r w:rsidRPr="000C6ABF">
              <w:rPr>
                <w:lang w:val="fr-CH"/>
              </w:rPr>
              <w:t>Cette différence dans les hypothèses de base n'a toutefois pas une grosse incidence sur le calcul final. En particulier, l'utilisation d'un taux d'actualisation plus faible par CPA aboutit à une valeur finale plus prudente. Toutefois, nous recommandons à la direction d'utiliser des hypothèses de base similaires dans toutes les études actuarielles qui seront réalisées, lorsque les circonstances sont comparables, en particulier pour ce qui est du taux d'actualisation.</w:t>
            </w:r>
          </w:p>
        </w:tc>
        <w:tc>
          <w:tcPr>
            <w:tcW w:w="3596" w:type="dxa"/>
          </w:tcPr>
          <w:p w:rsidR="0082771F" w:rsidRPr="000C6ABF" w:rsidRDefault="0082771F" w:rsidP="0082771F">
            <w:pPr>
              <w:pStyle w:val="Tabletext"/>
              <w:rPr>
                <w:lang w:val="fr-CH"/>
              </w:rPr>
            </w:pPr>
            <w:r w:rsidRPr="000C6ABF">
              <w:rPr>
                <w:lang w:val="fr-CH"/>
              </w:rPr>
              <w:t>Je prends note de cette recommandation et je vais donner pour instruction au Département de la gestion des ressources financières d'harmoniser les hypothèses de base retenues dans les études actuarielles, lorsque que cela se justifie pour 2013.</w:t>
            </w:r>
          </w:p>
        </w:tc>
        <w:tc>
          <w:tcPr>
            <w:tcW w:w="3119" w:type="dxa"/>
          </w:tcPr>
          <w:p w:rsidR="0082771F" w:rsidRPr="000C6ABF" w:rsidRDefault="0082771F" w:rsidP="0082771F">
            <w:pPr>
              <w:pStyle w:val="Tabletext"/>
              <w:rPr>
                <w:lang w:val="fr-CH"/>
              </w:rPr>
            </w:pPr>
            <w:r w:rsidRPr="000C6ABF">
              <w:rPr>
                <w:lang w:val="fr-CH"/>
              </w:rPr>
              <w:t xml:space="preserve">Se reporter aux mises à jour </w:t>
            </w:r>
            <w:r>
              <w:rPr>
                <w:lang w:val="fr-CH"/>
              </w:rPr>
              <w:t>de</w:t>
            </w:r>
            <w:r w:rsidRPr="000C6ABF">
              <w:rPr>
                <w:lang w:val="fr-CH"/>
              </w:rPr>
              <w:t xml:space="preserve"> la recommandation </w:t>
            </w:r>
            <w:r>
              <w:rPr>
                <w:lang w:val="fr-CH"/>
              </w:rPr>
              <w:t xml:space="preserve">N° </w:t>
            </w:r>
            <w:r w:rsidRPr="000C6ABF">
              <w:rPr>
                <w:lang w:val="fr-CH"/>
              </w:rPr>
              <w:t>5</w:t>
            </w:r>
          </w:p>
        </w:tc>
        <w:tc>
          <w:tcPr>
            <w:tcW w:w="3260" w:type="dxa"/>
          </w:tcPr>
          <w:p w:rsidR="0082771F" w:rsidRPr="000C6ABF" w:rsidRDefault="0082771F" w:rsidP="0082771F">
            <w:pPr>
              <w:pStyle w:val="Tabletext"/>
              <w:rPr>
                <w:lang w:val="fr-CH"/>
              </w:rPr>
            </w:pPr>
            <w:r w:rsidRPr="000C6ABF">
              <w:rPr>
                <w:lang w:val="fr-CH"/>
              </w:rPr>
              <w:t>Clos</w:t>
            </w:r>
          </w:p>
        </w:tc>
      </w:tr>
    </w:tbl>
    <w:p w:rsidR="0082771F" w:rsidRDefault="0082771F"/>
    <w:p w:rsidR="0082771F" w:rsidRDefault="0082771F"/>
    <w:p w:rsidR="0086339A" w:rsidRPr="000C6ABF" w:rsidRDefault="0086339A" w:rsidP="00AB0C69">
      <w:pPr>
        <w:rPr>
          <w:lang w:val="fr-CH" w:eastAsia="it-IT"/>
        </w:rPr>
      </w:pPr>
    </w:p>
    <w:p w:rsidR="005F739A" w:rsidRPr="000C6ABF" w:rsidRDefault="005F739A" w:rsidP="00AB0C69">
      <w:pPr>
        <w:rPr>
          <w:lang w:val="fr-CH" w:eastAsia="it-IT"/>
        </w:rPr>
        <w:sectPr w:rsidR="005F739A" w:rsidRPr="000C6ABF" w:rsidSect="005D38FB">
          <w:headerReference w:type="first" r:id="rId18"/>
          <w:footerReference w:type="first" r:id="rId19"/>
          <w:pgSz w:w="16840" w:h="11907" w:orient="landscape" w:code="9"/>
          <w:pgMar w:top="1134" w:right="1418" w:bottom="1134" w:left="1418" w:header="720" w:footer="720" w:gutter="0"/>
          <w:paperSrc w:first="261" w:other="261"/>
          <w:cols w:space="720"/>
          <w:titlePg/>
          <w:docGrid w:linePitch="326"/>
        </w:sectPr>
      </w:pPr>
    </w:p>
    <w:p w:rsidR="0086339A" w:rsidRPr="000C6ABF" w:rsidRDefault="005F739A" w:rsidP="00AB0C69">
      <w:pPr>
        <w:pStyle w:val="AnnexNo"/>
        <w:spacing w:before="0"/>
        <w:rPr>
          <w:lang w:val="fr-CH" w:eastAsia="it-IT"/>
        </w:rPr>
      </w:pPr>
      <w:bookmarkStart w:id="347" w:name="_Toc396386998"/>
      <w:bookmarkStart w:id="348" w:name="_Toc396387871"/>
      <w:bookmarkStart w:id="349" w:name="_Toc396387985"/>
      <w:bookmarkStart w:id="350" w:name="_Toc398277667"/>
      <w:r w:rsidRPr="000C6ABF">
        <w:rPr>
          <w:lang w:val="fr-CH" w:eastAsia="it-IT"/>
        </w:rPr>
        <w:lastRenderedPageBreak/>
        <w:t>annexe 2</w:t>
      </w:r>
      <w:bookmarkEnd w:id="347"/>
      <w:bookmarkEnd w:id="348"/>
      <w:bookmarkEnd w:id="349"/>
      <w:bookmarkEnd w:id="350"/>
    </w:p>
    <w:p w:rsidR="005F739A" w:rsidRPr="000C6ABF" w:rsidRDefault="005F739A" w:rsidP="00AB0C69">
      <w:pPr>
        <w:pStyle w:val="Annextitle"/>
        <w:rPr>
          <w:lang w:val="fr-CH" w:eastAsia="zh-CN"/>
        </w:rPr>
      </w:pPr>
      <w:bookmarkStart w:id="351" w:name="_Toc396386999"/>
      <w:bookmarkStart w:id="352" w:name="_Toc396387872"/>
      <w:bookmarkStart w:id="353" w:name="_Toc396387986"/>
      <w:r w:rsidRPr="000C6ABF">
        <w:rPr>
          <w:lang w:val="fr-CH" w:eastAsia="zh-CN"/>
        </w:rPr>
        <w:t>Histogram</w:t>
      </w:r>
      <w:r w:rsidR="00BB268A" w:rsidRPr="000C6ABF">
        <w:rPr>
          <w:lang w:val="fr-CH" w:eastAsia="zh-CN"/>
        </w:rPr>
        <w:t>mes des remboursements de la Caisse</w:t>
      </w:r>
      <w:bookmarkEnd w:id="351"/>
      <w:bookmarkEnd w:id="352"/>
      <w:bookmarkEnd w:id="353"/>
    </w:p>
    <w:p w:rsidR="00BF1013" w:rsidRPr="000C6ABF" w:rsidRDefault="005F739A" w:rsidP="00847A1D">
      <w:pPr>
        <w:adjustRightInd/>
        <w:spacing w:before="0"/>
        <w:jc w:val="center"/>
        <w:rPr>
          <w:rFonts w:ascii="Times New Roman" w:eastAsia="SimSun" w:hAnsi="Times New Roman"/>
          <w:b/>
          <w:bCs/>
          <w:szCs w:val="22"/>
          <w:lang w:val="fr-CH" w:eastAsia="zh-CN"/>
        </w:rPr>
      </w:pPr>
      <w:r w:rsidRPr="000C6ABF">
        <w:rPr>
          <w:rFonts w:ascii="Times New Roman" w:eastAsia="SimSun" w:hAnsi="Times New Roman"/>
          <w:b/>
          <w:bCs/>
          <w:szCs w:val="22"/>
          <w:lang w:val="fr-CH" w:eastAsia="zh-CN"/>
        </w:rPr>
        <w:t>2012 (</w:t>
      </w:r>
      <w:r w:rsidR="00BB268A" w:rsidRPr="000C6ABF">
        <w:rPr>
          <w:rFonts w:ascii="Times New Roman" w:eastAsia="SimSun" w:hAnsi="Times New Roman"/>
          <w:b/>
          <w:bCs/>
          <w:szCs w:val="22"/>
          <w:lang w:val="fr-CH" w:eastAsia="zh-CN"/>
        </w:rPr>
        <w:t>second trimestre</w:t>
      </w:r>
      <w:r w:rsidRPr="000C6ABF">
        <w:rPr>
          <w:rFonts w:ascii="Times New Roman" w:eastAsia="SimSun" w:hAnsi="Times New Roman"/>
          <w:b/>
          <w:bCs/>
          <w:szCs w:val="22"/>
          <w:lang w:val="fr-CH" w:eastAsia="zh-CN"/>
        </w:rPr>
        <w:t>)</w:t>
      </w: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74"/>
      </w:tblGrid>
      <w:tr w:rsidR="00BF1013" w:rsidRPr="000C6ABF" w:rsidTr="00560617">
        <w:trPr>
          <w:jc w:val="center"/>
        </w:trPr>
        <w:tc>
          <w:tcPr>
            <w:tcW w:w="8721" w:type="dxa"/>
            <w:gridSpan w:val="2"/>
          </w:tcPr>
          <w:p w:rsidR="00BF1013" w:rsidRPr="000C6ABF" w:rsidRDefault="00BF1013" w:rsidP="00AB0C69">
            <w:pPr>
              <w:adjustRightInd/>
              <w:jc w:val="center"/>
              <w:rPr>
                <w:rFonts w:ascii="Times New Roman" w:hAnsi="Times New Roman" w:cs="Times New Roman"/>
                <w:b/>
                <w:bCs/>
                <w:lang w:val="fr-CH"/>
              </w:rPr>
            </w:pPr>
            <w:r w:rsidRPr="000C6ABF">
              <w:rPr>
                <w:rFonts w:ascii="Times New Roman" w:hAnsi="Times New Roman"/>
                <w:b/>
                <w:bCs/>
                <w:noProof/>
                <w:lang w:val="en-US" w:eastAsia="zh-CN"/>
              </w:rPr>
              <w:drawing>
                <wp:inline distT="0" distB="0" distL="0" distR="0" wp14:anchorId="25707370" wp14:editId="660955BE">
                  <wp:extent cx="4320000" cy="242640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320000" cy="2426400"/>
                          </a:xfrm>
                          <a:prstGeom prst="rect">
                            <a:avLst/>
                          </a:prstGeom>
                        </pic:spPr>
                      </pic:pic>
                    </a:graphicData>
                  </a:graphic>
                </wp:inline>
              </w:drawing>
            </w:r>
          </w:p>
        </w:tc>
      </w:tr>
      <w:tr w:rsidR="00BF1013" w:rsidRPr="000C6ABF" w:rsidTr="00560617">
        <w:trPr>
          <w:jc w:val="center"/>
        </w:trPr>
        <w:tc>
          <w:tcPr>
            <w:tcW w:w="8721" w:type="dxa"/>
            <w:gridSpan w:val="2"/>
          </w:tcPr>
          <w:p w:rsidR="00BF1013" w:rsidRPr="000C6ABF" w:rsidRDefault="00BF1013" w:rsidP="00AB0C69">
            <w:pPr>
              <w:adjustRightInd/>
              <w:jc w:val="center"/>
              <w:rPr>
                <w:rFonts w:ascii="Times New Roman" w:hAnsi="Times New Roman" w:cs="Times New Roman"/>
                <w:b/>
                <w:bCs/>
                <w:sz w:val="10"/>
                <w:szCs w:val="10"/>
                <w:lang w:val="fr-CH"/>
              </w:rPr>
            </w:pPr>
          </w:p>
        </w:tc>
      </w:tr>
      <w:tr w:rsidR="00BF1013" w:rsidRPr="000C6ABF" w:rsidTr="00560617">
        <w:trPr>
          <w:jc w:val="center"/>
        </w:trPr>
        <w:tc>
          <w:tcPr>
            <w:tcW w:w="8721" w:type="dxa"/>
            <w:gridSpan w:val="2"/>
          </w:tcPr>
          <w:p w:rsidR="00BF1013" w:rsidRPr="000C6ABF" w:rsidRDefault="00BF1013" w:rsidP="0082771F">
            <w:pPr>
              <w:adjustRightInd/>
              <w:spacing w:before="0"/>
              <w:jc w:val="center"/>
              <w:rPr>
                <w:rFonts w:ascii="Times New Roman" w:hAnsi="Times New Roman" w:cs="Times New Roman"/>
                <w:b/>
                <w:bCs/>
                <w:lang w:val="fr-CH"/>
              </w:rPr>
            </w:pPr>
            <w:r w:rsidRPr="000C6ABF">
              <w:rPr>
                <w:rFonts w:ascii="Times New Roman" w:hAnsi="Times New Roman"/>
                <w:b/>
                <w:bCs/>
                <w:noProof/>
                <w:lang w:val="en-US" w:eastAsia="zh-CN"/>
              </w:rPr>
              <w:drawing>
                <wp:inline distT="0" distB="0" distL="0" distR="0" wp14:anchorId="0F2B53DC" wp14:editId="0C3CDFBD">
                  <wp:extent cx="4320000" cy="242640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320000" cy="2426400"/>
                          </a:xfrm>
                          <a:prstGeom prst="rect">
                            <a:avLst/>
                          </a:prstGeom>
                        </pic:spPr>
                      </pic:pic>
                    </a:graphicData>
                  </a:graphic>
                </wp:inline>
              </w:drawing>
            </w:r>
          </w:p>
        </w:tc>
      </w:tr>
      <w:tr w:rsidR="00BF1013" w:rsidRPr="000C6ABF" w:rsidTr="00560617">
        <w:trPr>
          <w:jc w:val="center"/>
        </w:trPr>
        <w:tc>
          <w:tcPr>
            <w:tcW w:w="8721" w:type="dxa"/>
            <w:gridSpan w:val="2"/>
          </w:tcPr>
          <w:p w:rsidR="00BF1013" w:rsidRPr="000C6ABF" w:rsidRDefault="00BF1013" w:rsidP="00AB0C69">
            <w:pPr>
              <w:adjustRightInd/>
              <w:jc w:val="center"/>
              <w:rPr>
                <w:rFonts w:ascii="Times New Roman" w:hAnsi="Times New Roman" w:cs="Times New Roman"/>
                <w:b/>
                <w:bCs/>
                <w:sz w:val="10"/>
                <w:szCs w:val="10"/>
                <w:lang w:val="fr-CH"/>
              </w:rPr>
            </w:pPr>
          </w:p>
        </w:tc>
      </w:tr>
      <w:tr w:rsidR="00BF1013" w:rsidRPr="000C6ABF" w:rsidTr="00847A1D">
        <w:trPr>
          <w:gridAfter w:val="1"/>
          <w:wAfter w:w="74" w:type="dxa"/>
          <w:jc w:val="center"/>
        </w:trPr>
        <w:tc>
          <w:tcPr>
            <w:tcW w:w="8647" w:type="dxa"/>
          </w:tcPr>
          <w:p w:rsidR="00BF1013" w:rsidRDefault="00BF1013" w:rsidP="00847A1D">
            <w:pPr>
              <w:adjustRightInd/>
              <w:spacing w:before="0"/>
              <w:jc w:val="center"/>
              <w:rPr>
                <w:rFonts w:ascii="Times New Roman" w:hAnsi="Times New Roman" w:cs="Times New Roman"/>
                <w:b/>
                <w:bCs/>
                <w:lang w:val="fr-CH"/>
              </w:rPr>
            </w:pPr>
            <w:r w:rsidRPr="000C6ABF">
              <w:rPr>
                <w:rFonts w:ascii="Times New Roman" w:hAnsi="Times New Roman"/>
                <w:b/>
                <w:bCs/>
                <w:noProof/>
                <w:lang w:val="en-US" w:eastAsia="zh-CN"/>
              </w:rPr>
              <w:drawing>
                <wp:inline distT="0" distB="0" distL="0" distR="0" wp14:anchorId="6059C67D" wp14:editId="6F209D52">
                  <wp:extent cx="4320000" cy="2426400"/>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320000" cy="2426400"/>
                          </a:xfrm>
                          <a:prstGeom prst="rect">
                            <a:avLst/>
                          </a:prstGeom>
                        </pic:spPr>
                      </pic:pic>
                    </a:graphicData>
                  </a:graphic>
                </wp:inline>
              </w:drawing>
            </w:r>
          </w:p>
          <w:p w:rsidR="0082771F" w:rsidRPr="00847A1D" w:rsidRDefault="00847A1D" w:rsidP="00F65956">
            <w:pPr>
              <w:spacing w:before="0"/>
              <w:rPr>
                <w:sz w:val="20"/>
                <w:szCs w:val="20"/>
                <w:lang w:val="fr-CH"/>
              </w:rPr>
            </w:pPr>
            <w:r w:rsidRPr="00847A1D">
              <w:rPr>
                <w:sz w:val="20"/>
                <w:szCs w:val="20"/>
                <w:lang w:val="fr-CH"/>
              </w:rPr>
              <w:t>Légende: 1) Fonctionnaires; 2) Retraités; 3) Conjoints survivants</w:t>
            </w:r>
          </w:p>
          <w:p w:rsidR="0082771F" w:rsidRPr="000C6ABF" w:rsidRDefault="0082771F" w:rsidP="00847A1D">
            <w:pPr>
              <w:adjustRightInd/>
              <w:spacing w:before="0"/>
              <w:jc w:val="center"/>
              <w:rPr>
                <w:rFonts w:ascii="Times New Roman" w:hAnsi="Times New Roman" w:cs="Times New Roman"/>
                <w:b/>
                <w:bCs/>
                <w:lang w:val="fr-CH"/>
              </w:rPr>
            </w:pPr>
          </w:p>
        </w:tc>
      </w:tr>
    </w:tbl>
    <w:p w:rsidR="00BF1013" w:rsidRPr="000C6ABF" w:rsidRDefault="00BF1013" w:rsidP="00847A1D">
      <w:pPr>
        <w:adjustRightInd/>
        <w:spacing w:before="0" w:after="120"/>
        <w:jc w:val="center"/>
        <w:rPr>
          <w:rFonts w:ascii="Times New Roman" w:eastAsia="SimSun" w:hAnsi="Times New Roman"/>
          <w:b/>
          <w:bCs/>
          <w:szCs w:val="22"/>
          <w:lang w:val="fr-CH" w:eastAsia="zh-CN"/>
        </w:rPr>
      </w:pPr>
      <w:r w:rsidRPr="000C6ABF">
        <w:rPr>
          <w:rFonts w:ascii="Times New Roman" w:eastAsia="SimSun" w:hAnsi="Times New Roman"/>
          <w:b/>
          <w:bCs/>
          <w:szCs w:val="22"/>
          <w:lang w:val="fr-CH" w:eastAsia="zh-CN"/>
        </w:rPr>
        <w:lastRenderedPageBreak/>
        <w:t>2013</w:t>
      </w: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1"/>
      </w:tblGrid>
      <w:tr w:rsidR="00BF1013" w:rsidRPr="000C6ABF" w:rsidTr="00560617">
        <w:trPr>
          <w:jc w:val="center"/>
        </w:trPr>
        <w:tc>
          <w:tcPr>
            <w:tcW w:w="8721" w:type="dxa"/>
          </w:tcPr>
          <w:p w:rsidR="00BF1013" w:rsidRPr="000C6ABF" w:rsidRDefault="00BF1013" w:rsidP="00847A1D">
            <w:pPr>
              <w:adjustRightInd/>
              <w:spacing w:before="0"/>
              <w:jc w:val="center"/>
              <w:rPr>
                <w:rFonts w:ascii="Times New Roman" w:hAnsi="Times New Roman" w:cs="Times New Roman"/>
                <w:b/>
                <w:bCs/>
                <w:lang w:val="fr-CH"/>
              </w:rPr>
            </w:pPr>
            <w:r w:rsidRPr="000C6ABF">
              <w:rPr>
                <w:rFonts w:ascii="Times New Roman" w:hAnsi="Times New Roman"/>
                <w:b/>
                <w:bCs/>
                <w:noProof/>
                <w:lang w:val="en-US" w:eastAsia="zh-CN"/>
              </w:rPr>
              <w:drawing>
                <wp:inline distT="0" distB="0" distL="0" distR="0" wp14:anchorId="5BB1A082" wp14:editId="486772AB">
                  <wp:extent cx="4320000" cy="242640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320000" cy="2426400"/>
                          </a:xfrm>
                          <a:prstGeom prst="rect">
                            <a:avLst/>
                          </a:prstGeom>
                        </pic:spPr>
                      </pic:pic>
                    </a:graphicData>
                  </a:graphic>
                </wp:inline>
              </w:drawing>
            </w:r>
          </w:p>
        </w:tc>
      </w:tr>
      <w:tr w:rsidR="00BF1013" w:rsidRPr="000C6ABF" w:rsidTr="00560617">
        <w:trPr>
          <w:jc w:val="center"/>
        </w:trPr>
        <w:tc>
          <w:tcPr>
            <w:tcW w:w="8721" w:type="dxa"/>
          </w:tcPr>
          <w:p w:rsidR="00BF1013" w:rsidRPr="000C6ABF" w:rsidRDefault="00BF1013" w:rsidP="00AB0C69">
            <w:pPr>
              <w:adjustRightInd/>
              <w:jc w:val="center"/>
              <w:rPr>
                <w:rFonts w:ascii="Times New Roman" w:hAnsi="Times New Roman" w:cs="Times New Roman"/>
                <w:b/>
                <w:bCs/>
                <w:sz w:val="10"/>
                <w:szCs w:val="10"/>
                <w:lang w:val="fr-CH"/>
              </w:rPr>
            </w:pPr>
          </w:p>
        </w:tc>
      </w:tr>
      <w:tr w:rsidR="00BF1013" w:rsidRPr="000C6ABF" w:rsidTr="00560617">
        <w:trPr>
          <w:jc w:val="center"/>
        </w:trPr>
        <w:tc>
          <w:tcPr>
            <w:tcW w:w="8721" w:type="dxa"/>
          </w:tcPr>
          <w:p w:rsidR="00BF1013" w:rsidRPr="000C6ABF" w:rsidRDefault="00BF1013" w:rsidP="00847A1D">
            <w:pPr>
              <w:adjustRightInd/>
              <w:spacing w:before="0"/>
              <w:jc w:val="center"/>
              <w:rPr>
                <w:rFonts w:ascii="Times New Roman" w:hAnsi="Times New Roman" w:cs="Times New Roman"/>
                <w:b/>
                <w:bCs/>
                <w:lang w:val="fr-CH"/>
              </w:rPr>
            </w:pPr>
            <w:r w:rsidRPr="000C6ABF">
              <w:rPr>
                <w:rFonts w:ascii="Times New Roman" w:hAnsi="Times New Roman"/>
                <w:b/>
                <w:bCs/>
                <w:noProof/>
                <w:lang w:val="en-US" w:eastAsia="zh-CN"/>
              </w:rPr>
              <w:drawing>
                <wp:inline distT="0" distB="0" distL="0" distR="0" wp14:anchorId="43A6E2FC" wp14:editId="745EC7B8">
                  <wp:extent cx="4320000" cy="2430000"/>
                  <wp:effectExtent l="0" t="0" r="4445"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4320000" cy="2430000"/>
                          </a:xfrm>
                          <a:prstGeom prst="rect">
                            <a:avLst/>
                          </a:prstGeom>
                        </pic:spPr>
                      </pic:pic>
                    </a:graphicData>
                  </a:graphic>
                </wp:inline>
              </w:drawing>
            </w:r>
          </w:p>
        </w:tc>
      </w:tr>
      <w:tr w:rsidR="00BF1013" w:rsidRPr="000C6ABF" w:rsidTr="00560617">
        <w:trPr>
          <w:jc w:val="center"/>
        </w:trPr>
        <w:tc>
          <w:tcPr>
            <w:tcW w:w="8721" w:type="dxa"/>
          </w:tcPr>
          <w:p w:rsidR="00BF1013" w:rsidRPr="000C6ABF" w:rsidRDefault="00BF1013" w:rsidP="00AB0C69">
            <w:pPr>
              <w:adjustRightInd/>
              <w:jc w:val="center"/>
              <w:rPr>
                <w:rFonts w:ascii="Times New Roman" w:hAnsi="Times New Roman" w:cs="Times New Roman"/>
                <w:b/>
                <w:bCs/>
                <w:sz w:val="10"/>
                <w:szCs w:val="10"/>
                <w:lang w:val="fr-CH"/>
              </w:rPr>
            </w:pPr>
          </w:p>
        </w:tc>
      </w:tr>
      <w:tr w:rsidR="00BF1013" w:rsidRPr="000C6ABF" w:rsidTr="00560617">
        <w:trPr>
          <w:jc w:val="center"/>
        </w:trPr>
        <w:tc>
          <w:tcPr>
            <w:tcW w:w="8721" w:type="dxa"/>
          </w:tcPr>
          <w:p w:rsidR="00BF1013" w:rsidRPr="000C6ABF" w:rsidRDefault="00BF1013" w:rsidP="00847A1D">
            <w:pPr>
              <w:adjustRightInd/>
              <w:spacing w:before="0"/>
              <w:jc w:val="center"/>
              <w:rPr>
                <w:rFonts w:ascii="Times New Roman" w:hAnsi="Times New Roman" w:cs="Times New Roman"/>
                <w:b/>
                <w:bCs/>
                <w:lang w:val="fr-CH"/>
              </w:rPr>
            </w:pPr>
            <w:r w:rsidRPr="000C6ABF">
              <w:rPr>
                <w:rFonts w:ascii="Times New Roman" w:hAnsi="Times New Roman"/>
                <w:b/>
                <w:bCs/>
                <w:noProof/>
                <w:lang w:val="en-US" w:eastAsia="zh-CN"/>
              </w:rPr>
              <w:drawing>
                <wp:inline distT="0" distB="0" distL="0" distR="0" wp14:anchorId="7320C671" wp14:editId="4B69CCC5">
                  <wp:extent cx="4320000" cy="2426400"/>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4320000" cy="2426400"/>
                          </a:xfrm>
                          <a:prstGeom prst="rect">
                            <a:avLst/>
                          </a:prstGeom>
                        </pic:spPr>
                      </pic:pic>
                    </a:graphicData>
                  </a:graphic>
                </wp:inline>
              </w:drawing>
            </w:r>
          </w:p>
        </w:tc>
      </w:tr>
    </w:tbl>
    <w:p w:rsidR="00BF1013" w:rsidRPr="000C6ABF" w:rsidRDefault="00847A1D" w:rsidP="00F65956">
      <w:pPr>
        <w:pStyle w:val="Reasons"/>
        <w:rPr>
          <w:lang w:val="fr-CH"/>
        </w:rPr>
      </w:pPr>
      <w:r w:rsidRPr="00847A1D">
        <w:rPr>
          <w:sz w:val="20"/>
          <w:lang w:val="fr-CH"/>
        </w:rPr>
        <w:t>Légende: 1) Fonctionnaires; 2) Retraités; 3) Conjoints survivants</w:t>
      </w:r>
    </w:p>
    <w:p w:rsidR="00B57908" w:rsidRDefault="00B57908" w:rsidP="008F7439">
      <w:pPr>
        <w:pStyle w:val="Reasons"/>
      </w:pPr>
    </w:p>
    <w:p w:rsidR="00B57908" w:rsidRDefault="00B57908">
      <w:pPr>
        <w:jc w:val="center"/>
      </w:pPr>
      <w:r>
        <w:t>______________</w:t>
      </w:r>
    </w:p>
    <w:sectPr w:rsidR="00B57908" w:rsidSect="005F739A">
      <w:pgSz w:w="11907" w:h="16840" w:code="9"/>
      <w:pgMar w:top="1418" w:right="1134" w:bottom="1418" w:left="1134" w:header="720" w:footer="720" w:gutter="0"/>
      <w:paperSrc w:first="261" w:other="26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F7F" w:rsidRDefault="00621F7F">
      <w:r>
        <w:separator/>
      </w:r>
    </w:p>
  </w:endnote>
  <w:endnote w:type="continuationSeparator" w:id="0">
    <w:p w:rsidR="00621F7F" w:rsidRDefault="00621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notTrueType/>
    <w:pitch w:val="variable"/>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44C" w:rsidRPr="00834B79" w:rsidRDefault="005B044C">
    <w:pPr>
      <w:pStyle w:val="Footer"/>
      <w:rPr>
        <w:lang w:val="fr-CH"/>
      </w:rPr>
    </w:pPr>
    <w:r>
      <w:fldChar w:fldCharType="begin"/>
    </w:r>
    <w:r w:rsidRPr="00834B79">
      <w:rPr>
        <w:lang w:val="fr-CH"/>
      </w:rPr>
      <w:instrText xml:space="preserve"> FILENAME \p \* MERGEFORMAT </w:instrText>
    </w:r>
    <w:r>
      <w:fldChar w:fldCharType="separate"/>
    </w:r>
    <w:r>
      <w:rPr>
        <w:lang w:val="fr-CH"/>
      </w:rPr>
      <w:t>P:\FRA\SG\CONSEIL\C14\100\105F.docx</w:t>
    </w:r>
    <w:r>
      <w:fldChar w:fldCharType="end"/>
    </w:r>
    <w:r w:rsidRPr="00834B79">
      <w:rPr>
        <w:lang w:val="fr-CH"/>
      </w:rPr>
      <w:tab/>
    </w:r>
    <w:r>
      <w:fldChar w:fldCharType="begin"/>
    </w:r>
    <w:r>
      <w:instrText xml:space="preserve"> savedate \@ dd.MM.yy </w:instrText>
    </w:r>
    <w:r>
      <w:fldChar w:fldCharType="separate"/>
    </w:r>
    <w:r>
      <w:t>16.09.14</w:t>
    </w:r>
    <w:r>
      <w:fldChar w:fldCharType="end"/>
    </w:r>
    <w:r w:rsidRPr="00834B79">
      <w:rPr>
        <w:lang w:val="fr-CH"/>
      </w:rPr>
      <w:tab/>
    </w:r>
    <w:r>
      <w:fldChar w:fldCharType="begin"/>
    </w:r>
    <w:r>
      <w:instrText xml:space="preserve"> printdate \@ dd.MM.yy </w:instrText>
    </w:r>
    <w:r>
      <w:fldChar w:fldCharType="separate"/>
    </w:r>
    <w:r>
      <w:t>15.09.14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44C" w:rsidRPr="005B044C" w:rsidRDefault="005B044C">
    <w:pPr>
      <w:pStyle w:val="Footer"/>
      <w:rPr>
        <w:color w:val="FFFFFF" w:themeColor="background1"/>
        <w:lang w:val="fr-CH"/>
      </w:rPr>
    </w:pPr>
    <w:r w:rsidRPr="005B044C">
      <w:rPr>
        <w:color w:val="FFFFFF" w:themeColor="background1"/>
      </w:rPr>
      <w:fldChar w:fldCharType="begin"/>
    </w:r>
    <w:r w:rsidRPr="005B044C">
      <w:rPr>
        <w:color w:val="FFFFFF" w:themeColor="background1"/>
        <w:lang w:val="fr-CH"/>
      </w:rPr>
      <w:instrText xml:space="preserve"> FILENAME \p \* MERGEFORMAT </w:instrText>
    </w:r>
    <w:r w:rsidRPr="005B044C">
      <w:rPr>
        <w:color w:val="FFFFFF" w:themeColor="background1"/>
      </w:rPr>
      <w:fldChar w:fldCharType="separate"/>
    </w:r>
    <w:r w:rsidRPr="005B044C">
      <w:rPr>
        <w:color w:val="FFFFFF" w:themeColor="background1"/>
        <w:lang w:val="fr-CH"/>
      </w:rPr>
      <w:t>P:\FRA\SG\CONSEIL\C14\100\105F.docx</w:t>
    </w:r>
    <w:r w:rsidRPr="005B044C">
      <w:rPr>
        <w:color w:val="FFFFFF" w:themeColor="background1"/>
      </w:rPr>
      <w:fldChar w:fldCharType="end"/>
    </w:r>
    <w:r w:rsidRPr="005B044C">
      <w:rPr>
        <w:color w:val="FFFFFF" w:themeColor="background1"/>
        <w:lang w:val="fr-CH"/>
      </w:rPr>
      <w:t xml:space="preserve"> (364390)</w:t>
    </w:r>
    <w:r w:rsidRPr="005B044C">
      <w:rPr>
        <w:color w:val="FFFFFF" w:themeColor="background1"/>
        <w:lang w:val="fr-CH"/>
      </w:rPr>
      <w:tab/>
    </w:r>
    <w:r w:rsidRPr="005B044C">
      <w:rPr>
        <w:color w:val="FFFFFF" w:themeColor="background1"/>
      </w:rPr>
      <w:fldChar w:fldCharType="begin"/>
    </w:r>
    <w:r w:rsidRPr="005B044C">
      <w:rPr>
        <w:color w:val="FFFFFF" w:themeColor="background1"/>
      </w:rPr>
      <w:instrText xml:space="preserve"> savedate \@ dd.MM.yy </w:instrText>
    </w:r>
    <w:r w:rsidRPr="005B044C">
      <w:rPr>
        <w:color w:val="FFFFFF" w:themeColor="background1"/>
      </w:rPr>
      <w:fldChar w:fldCharType="separate"/>
    </w:r>
    <w:r w:rsidRPr="005B044C">
      <w:rPr>
        <w:color w:val="FFFFFF" w:themeColor="background1"/>
      </w:rPr>
      <w:t>16.09.14</w:t>
    </w:r>
    <w:r w:rsidRPr="005B044C">
      <w:rPr>
        <w:color w:val="FFFFFF" w:themeColor="background1"/>
      </w:rPr>
      <w:fldChar w:fldCharType="end"/>
    </w:r>
    <w:r w:rsidRPr="005B044C">
      <w:rPr>
        <w:color w:val="FFFFFF" w:themeColor="background1"/>
        <w:lang w:val="fr-CH"/>
      </w:rPr>
      <w:tab/>
    </w:r>
    <w:r w:rsidRPr="005B044C">
      <w:rPr>
        <w:color w:val="FFFFFF" w:themeColor="background1"/>
      </w:rPr>
      <w:fldChar w:fldCharType="begin"/>
    </w:r>
    <w:r w:rsidRPr="005B044C">
      <w:rPr>
        <w:color w:val="FFFFFF" w:themeColor="background1"/>
      </w:rPr>
      <w:instrText xml:space="preserve"> printdate \@ dd.MM.yy </w:instrText>
    </w:r>
    <w:r w:rsidRPr="005B044C">
      <w:rPr>
        <w:color w:val="FFFFFF" w:themeColor="background1"/>
      </w:rPr>
      <w:fldChar w:fldCharType="separate"/>
    </w:r>
    <w:r w:rsidRPr="005B044C">
      <w:rPr>
        <w:color w:val="FFFFFF" w:themeColor="background1"/>
      </w:rPr>
      <w:t>15.09.14</w:t>
    </w:r>
    <w:r w:rsidRPr="005B044C">
      <w:rPr>
        <w:color w:val="FFFFFF" w:themeColor="background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44C" w:rsidRDefault="005B044C">
    <w:pPr>
      <w:spacing w:after="120"/>
      <w:jc w:val="center"/>
    </w:pPr>
    <w:r>
      <w:t xml:space="preserve">• </w:t>
    </w:r>
    <w:hyperlink r:id="rId1" w:history="1">
      <w:r>
        <w:rPr>
          <w:rStyle w:val="Hyperlink"/>
        </w:rPr>
        <w:t>http://www.itu.int/council</w:t>
      </w:r>
    </w:hyperlink>
    <w:r>
      <w:t xml:space="preserve"> •</w:t>
    </w:r>
  </w:p>
  <w:p w:rsidR="005B044C" w:rsidRPr="005B044C" w:rsidRDefault="005B044C" w:rsidP="004B2314">
    <w:pPr>
      <w:pStyle w:val="Footer"/>
      <w:rPr>
        <w:color w:val="FFFFFF" w:themeColor="background1"/>
        <w:lang w:val="fr-CH"/>
      </w:rPr>
    </w:pPr>
    <w:r w:rsidRPr="005B044C">
      <w:rPr>
        <w:color w:val="FFFFFF" w:themeColor="background1"/>
      </w:rPr>
      <w:fldChar w:fldCharType="begin"/>
    </w:r>
    <w:r w:rsidRPr="005B044C">
      <w:rPr>
        <w:color w:val="FFFFFF" w:themeColor="background1"/>
        <w:lang w:val="fr-CH"/>
      </w:rPr>
      <w:instrText xml:space="preserve"> FILENAME \p \* MERGEFORMAT </w:instrText>
    </w:r>
    <w:r w:rsidRPr="005B044C">
      <w:rPr>
        <w:color w:val="FFFFFF" w:themeColor="background1"/>
      </w:rPr>
      <w:fldChar w:fldCharType="separate"/>
    </w:r>
    <w:r w:rsidRPr="005B044C">
      <w:rPr>
        <w:color w:val="FFFFFF" w:themeColor="background1"/>
        <w:lang w:val="fr-CH"/>
      </w:rPr>
      <w:t>P:\FRA\SG\CONSEIL\C14\100\105F.docx</w:t>
    </w:r>
    <w:r w:rsidRPr="005B044C">
      <w:rPr>
        <w:color w:val="FFFFFF" w:themeColor="background1"/>
      </w:rPr>
      <w:fldChar w:fldCharType="end"/>
    </w:r>
    <w:r w:rsidRPr="005B044C">
      <w:rPr>
        <w:color w:val="FFFFFF" w:themeColor="background1"/>
        <w:lang w:val="fr-CH"/>
      </w:rPr>
      <w:t xml:space="preserve"> (364390)</w:t>
    </w:r>
    <w:r w:rsidRPr="005B044C">
      <w:rPr>
        <w:color w:val="FFFFFF" w:themeColor="background1"/>
        <w:lang w:val="fr-CH"/>
      </w:rPr>
      <w:tab/>
    </w:r>
    <w:r w:rsidRPr="005B044C">
      <w:rPr>
        <w:color w:val="FFFFFF" w:themeColor="background1"/>
      </w:rPr>
      <w:fldChar w:fldCharType="begin"/>
    </w:r>
    <w:r w:rsidRPr="005B044C">
      <w:rPr>
        <w:color w:val="FFFFFF" w:themeColor="background1"/>
      </w:rPr>
      <w:instrText xml:space="preserve"> savedate \@ dd.MM.yy </w:instrText>
    </w:r>
    <w:r w:rsidRPr="005B044C">
      <w:rPr>
        <w:color w:val="FFFFFF" w:themeColor="background1"/>
      </w:rPr>
      <w:fldChar w:fldCharType="separate"/>
    </w:r>
    <w:r w:rsidRPr="005B044C">
      <w:rPr>
        <w:color w:val="FFFFFF" w:themeColor="background1"/>
      </w:rPr>
      <w:t>16.09.14</w:t>
    </w:r>
    <w:r w:rsidRPr="005B044C">
      <w:rPr>
        <w:color w:val="FFFFFF" w:themeColor="background1"/>
      </w:rPr>
      <w:fldChar w:fldCharType="end"/>
    </w:r>
    <w:r w:rsidRPr="005B044C">
      <w:rPr>
        <w:color w:val="FFFFFF" w:themeColor="background1"/>
        <w:lang w:val="fr-CH"/>
      </w:rPr>
      <w:tab/>
    </w:r>
    <w:r w:rsidRPr="005B044C">
      <w:rPr>
        <w:color w:val="FFFFFF" w:themeColor="background1"/>
      </w:rPr>
      <w:fldChar w:fldCharType="begin"/>
    </w:r>
    <w:r w:rsidRPr="005B044C">
      <w:rPr>
        <w:color w:val="FFFFFF" w:themeColor="background1"/>
      </w:rPr>
      <w:instrText xml:space="preserve"> printdate \@ dd.MM.yy </w:instrText>
    </w:r>
    <w:r w:rsidRPr="005B044C">
      <w:rPr>
        <w:color w:val="FFFFFF" w:themeColor="background1"/>
      </w:rPr>
      <w:fldChar w:fldCharType="separate"/>
    </w:r>
    <w:r w:rsidRPr="005B044C">
      <w:rPr>
        <w:color w:val="FFFFFF" w:themeColor="background1"/>
      </w:rPr>
      <w:t>15.09.14</w:t>
    </w:r>
    <w:r w:rsidRPr="005B044C">
      <w:rPr>
        <w:color w:val="FFFFFF" w:themeColor="background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44C" w:rsidRPr="005B044C" w:rsidRDefault="005B044C" w:rsidP="004B2314">
    <w:pPr>
      <w:pStyle w:val="Footer"/>
      <w:rPr>
        <w:color w:val="FFFFFF" w:themeColor="background1"/>
        <w:lang w:val="fr-CH"/>
      </w:rPr>
    </w:pPr>
    <w:r w:rsidRPr="005B044C">
      <w:rPr>
        <w:color w:val="FFFFFF" w:themeColor="background1"/>
      </w:rPr>
      <w:fldChar w:fldCharType="begin"/>
    </w:r>
    <w:r w:rsidRPr="005B044C">
      <w:rPr>
        <w:color w:val="FFFFFF" w:themeColor="background1"/>
        <w:lang w:val="fr-CH"/>
      </w:rPr>
      <w:instrText xml:space="preserve"> FILENAME \p \* MERGEFORMAT </w:instrText>
    </w:r>
    <w:r w:rsidRPr="005B044C">
      <w:rPr>
        <w:color w:val="FFFFFF" w:themeColor="background1"/>
      </w:rPr>
      <w:fldChar w:fldCharType="separate"/>
    </w:r>
    <w:r w:rsidRPr="005B044C">
      <w:rPr>
        <w:color w:val="FFFFFF" w:themeColor="background1"/>
        <w:lang w:val="fr-CH"/>
      </w:rPr>
      <w:t>P:\FRA\SG\CONSEIL\C14\100\105F.docx</w:t>
    </w:r>
    <w:r w:rsidRPr="005B044C">
      <w:rPr>
        <w:color w:val="FFFFFF" w:themeColor="background1"/>
      </w:rPr>
      <w:fldChar w:fldCharType="end"/>
    </w:r>
    <w:r w:rsidRPr="005B044C">
      <w:rPr>
        <w:color w:val="FFFFFF" w:themeColor="background1"/>
        <w:lang w:val="fr-CH"/>
      </w:rPr>
      <w:t xml:space="preserve"> (364390)</w:t>
    </w:r>
    <w:r w:rsidRPr="005B044C">
      <w:rPr>
        <w:color w:val="FFFFFF" w:themeColor="background1"/>
        <w:lang w:val="fr-CH"/>
      </w:rPr>
      <w:tab/>
    </w:r>
    <w:r w:rsidRPr="005B044C">
      <w:rPr>
        <w:color w:val="FFFFFF" w:themeColor="background1"/>
      </w:rPr>
      <w:fldChar w:fldCharType="begin"/>
    </w:r>
    <w:r w:rsidRPr="005B044C">
      <w:rPr>
        <w:color w:val="FFFFFF" w:themeColor="background1"/>
      </w:rPr>
      <w:instrText xml:space="preserve"> savedate \@ dd.MM.yy </w:instrText>
    </w:r>
    <w:r w:rsidRPr="005B044C">
      <w:rPr>
        <w:color w:val="FFFFFF" w:themeColor="background1"/>
      </w:rPr>
      <w:fldChar w:fldCharType="separate"/>
    </w:r>
    <w:r w:rsidRPr="005B044C">
      <w:rPr>
        <w:color w:val="FFFFFF" w:themeColor="background1"/>
      </w:rPr>
      <w:t>16.09.14</w:t>
    </w:r>
    <w:r w:rsidRPr="005B044C">
      <w:rPr>
        <w:color w:val="FFFFFF" w:themeColor="background1"/>
      </w:rPr>
      <w:fldChar w:fldCharType="end"/>
    </w:r>
    <w:r w:rsidRPr="005B044C">
      <w:rPr>
        <w:color w:val="FFFFFF" w:themeColor="background1"/>
        <w:lang w:val="fr-CH"/>
      </w:rPr>
      <w:tab/>
    </w:r>
    <w:r w:rsidRPr="005B044C">
      <w:rPr>
        <w:color w:val="FFFFFF" w:themeColor="background1"/>
      </w:rPr>
      <w:fldChar w:fldCharType="begin"/>
    </w:r>
    <w:r w:rsidRPr="005B044C">
      <w:rPr>
        <w:color w:val="FFFFFF" w:themeColor="background1"/>
      </w:rPr>
      <w:instrText xml:space="preserve"> printdate \@ dd.MM.yy </w:instrText>
    </w:r>
    <w:r w:rsidRPr="005B044C">
      <w:rPr>
        <w:color w:val="FFFFFF" w:themeColor="background1"/>
      </w:rPr>
      <w:fldChar w:fldCharType="separate"/>
    </w:r>
    <w:r w:rsidRPr="005B044C">
      <w:rPr>
        <w:color w:val="FFFFFF" w:themeColor="background1"/>
      </w:rPr>
      <w:t>15.09.14</w:t>
    </w:r>
    <w:r w:rsidRPr="005B044C">
      <w:rPr>
        <w:color w:val="FFFFFF" w:themeColor="background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F7F" w:rsidRDefault="00621F7F">
      <w:r>
        <w:t>____________________</w:t>
      </w:r>
    </w:p>
  </w:footnote>
  <w:footnote w:type="continuationSeparator" w:id="0">
    <w:p w:rsidR="00621F7F" w:rsidRDefault="00621F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44C" w:rsidRDefault="005B044C">
    <w:pPr>
      <w:pStyle w:val="Header"/>
    </w:pPr>
    <w:r>
      <w:t xml:space="preserve">- </w:t>
    </w:r>
    <w:r>
      <w:fldChar w:fldCharType="begin"/>
    </w:r>
    <w:r>
      <w:instrText>PAGE</w:instrText>
    </w:r>
    <w:r>
      <w:fldChar w:fldCharType="separate"/>
    </w:r>
    <w:r>
      <w:rPr>
        <w:noProof/>
      </w:rPr>
      <w:t>2</w:t>
    </w:r>
    <w:r>
      <w:rPr>
        <w:noProof/>
      </w:rPr>
      <w:fldChar w:fldCharType="end"/>
    </w:r>
    <w:r>
      <w:t xml:space="preserve"> -</w:t>
    </w:r>
  </w:p>
  <w:p w:rsidR="005B044C" w:rsidRDefault="005B044C">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44C" w:rsidRDefault="005B044C" w:rsidP="00475FB3">
    <w:pPr>
      <w:pStyle w:val="Header"/>
    </w:pPr>
    <w:r>
      <w:fldChar w:fldCharType="begin"/>
    </w:r>
    <w:r>
      <w:instrText>PAGE</w:instrText>
    </w:r>
    <w:r>
      <w:fldChar w:fldCharType="separate"/>
    </w:r>
    <w:r w:rsidR="00D67395">
      <w:rPr>
        <w:noProof/>
      </w:rPr>
      <w:t>57</w:t>
    </w:r>
    <w:r>
      <w:rPr>
        <w:noProof/>
      </w:rPr>
      <w:fldChar w:fldCharType="end"/>
    </w:r>
    <w:r>
      <w:rPr>
        <w:noProof/>
      </w:rPr>
      <w:t>/</w:t>
    </w:r>
    <w:r>
      <w:rPr>
        <w:noProof/>
      </w:rPr>
      <w:fldChar w:fldCharType="begin"/>
    </w:r>
    <w:r>
      <w:rPr>
        <w:noProof/>
      </w:rPr>
      <w:instrText xml:space="preserve"> NUMPAGES   \* MERGEFORMAT </w:instrText>
    </w:r>
    <w:r>
      <w:rPr>
        <w:noProof/>
      </w:rPr>
      <w:fldChar w:fldCharType="separate"/>
    </w:r>
    <w:r w:rsidR="00D67395">
      <w:rPr>
        <w:noProof/>
      </w:rPr>
      <w:t>57</w:t>
    </w:r>
    <w:r>
      <w:rPr>
        <w:noProof/>
      </w:rPr>
      <w:fldChar w:fldCharType="end"/>
    </w:r>
  </w:p>
  <w:p w:rsidR="005B044C" w:rsidRDefault="005B044C" w:rsidP="00514625">
    <w:pPr>
      <w:pStyle w:val="Header"/>
      <w:spacing w:after="120"/>
    </w:pPr>
    <w:r>
      <w:t>C14/105-F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44C" w:rsidRDefault="005B044C" w:rsidP="00533EA0">
    <w:pPr>
      <w:pStyle w:val="Header"/>
    </w:pPr>
    <w:r>
      <w:fldChar w:fldCharType="begin"/>
    </w:r>
    <w:r>
      <w:instrText>PAGE</w:instrText>
    </w:r>
    <w:r>
      <w:fldChar w:fldCharType="separate"/>
    </w:r>
    <w:r w:rsidR="00D67395">
      <w:rPr>
        <w:noProof/>
      </w:rPr>
      <w:t>56</w:t>
    </w:r>
    <w:r>
      <w:rPr>
        <w:noProof/>
      </w:rPr>
      <w:fldChar w:fldCharType="end"/>
    </w:r>
    <w:r>
      <w:rPr>
        <w:noProof/>
      </w:rPr>
      <w:t>/</w:t>
    </w:r>
    <w:r>
      <w:rPr>
        <w:noProof/>
      </w:rPr>
      <w:fldChar w:fldCharType="begin"/>
    </w:r>
    <w:r>
      <w:rPr>
        <w:noProof/>
      </w:rPr>
      <w:instrText xml:space="preserve"> NUMPAGES   \* MERGEFORMAT </w:instrText>
    </w:r>
    <w:r>
      <w:rPr>
        <w:noProof/>
      </w:rPr>
      <w:fldChar w:fldCharType="separate"/>
    </w:r>
    <w:r w:rsidR="00D67395">
      <w:rPr>
        <w:noProof/>
      </w:rPr>
      <w:t>57</w:t>
    </w:r>
    <w:r>
      <w:rPr>
        <w:noProof/>
      </w:rPr>
      <w:fldChar w:fldCharType="end"/>
    </w:r>
  </w:p>
  <w:p w:rsidR="005B044C" w:rsidRDefault="005B044C" w:rsidP="00533EA0">
    <w:pPr>
      <w:pStyle w:val="Header"/>
    </w:pPr>
    <w:r>
      <w:t>C14/105-F</w:t>
    </w:r>
  </w:p>
  <w:p w:rsidR="005B044C" w:rsidRDefault="005B04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B3023"/>
    <w:multiLevelType w:val="hybridMultilevel"/>
    <w:tmpl w:val="CB5C29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3C1D67"/>
    <w:multiLevelType w:val="hybridMultilevel"/>
    <w:tmpl w:val="64E29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9B0D76"/>
    <w:multiLevelType w:val="hybridMultilevel"/>
    <w:tmpl w:val="1884FC40"/>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nsid w:val="674634EA"/>
    <w:multiLevelType w:val="hybridMultilevel"/>
    <w:tmpl w:val="5D726230"/>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
    <w:nsid w:val="69B34264"/>
    <w:multiLevelType w:val="hybridMultilevel"/>
    <w:tmpl w:val="301CE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816DFEDE-F19C-4AD4-BE71-7CDDBEED7F05}"/>
    <w:docVar w:name="dgnword-eventsink" w:val="360594248"/>
  </w:docVars>
  <w:rsids>
    <w:rsidRoot w:val="00D03AEC"/>
    <w:rsid w:val="00000485"/>
    <w:rsid w:val="00006F79"/>
    <w:rsid w:val="00020C3A"/>
    <w:rsid w:val="00021DCF"/>
    <w:rsid w:val="000266E7"/>
    <w:rsid w:val="00030C29"/>
    <w:rsid w:val="00034008"/>
    <w:rsid w:val="000404FB"/>
    <w:rsid w:val="00043CC6"/>
    <w:rsid w:val="000469FA"/>
    <w:rsid w:val="00054975"/>
    <w:rsid w:val="00071D71"/>
    <w:rsid w:val="00072139"/>
    <w:rsid w:val="0007459B"/>
    <w:rsid w:val="000767BE"/>
    <w:rsid w:val="0008241E"/>
    <w:rsid w:val="00082A91"/>
    <w:rsid w:val="0008555D"/>
    <w:rsid w:val="000A38BA"/>
    <w:rsid w:val="000B1BBC"/>
    <w:rsid w:val="000B6D3C"/>
    <w:rsid w:val="000C5F72"/>
    <w:rsid w:val="000C6ABF"/>
    <w:rsid w:val="000C6D98"/>
    <w:rsid w:val="000C76C4"/>
    <w:rsid w:val="000D0D0A"/>
    <w:rsid w:val="000E2826"/>
    <w:rsid w:val="000F2C0C"/>
    <w:rsid w:val="000F6DBD"/>
    <w:rsid w:val="00103163"/>
    <w:rsid w:val="00115D93"/>
    <w:rsid w:val="00123776"/>
    <w:rsid w:val="001238BB"/>
    <w:rsid w:val="001247A8"/>
    <w:rsid w:val="001256F2"/>
    <w:rsid w:val="00130573"/>
    <w:rsid w:val="001378C0"/>
    <w:rsid w:val="00144614"/>
    <w:rsid w:val="001469EE"/>
    <w:rsid w:val="001551E2"/>
    <w:rsid w:val="0015581C"/>
    <w:rsid w:val="00156E4E"/>
    <w:rsid w:val="0018432D"/>
    <w:rsid w:val="001937C1"/>
    <w:rsid w:val="00197ECC"/>
    <w:rsid w:val="001A3287"/>
    <w:rsid w:val="001A56A0"/>
    <w:rsid w:val="001A7E5B"/>
    <w:rsid w:val="001B7011"/>
    <w:rsid w:val="001C46DA"/>
    <w:rsid w:val="001C4A87"/>
    <w:rsid w:val="001C4DB5"/>
    <w:rsid w:val="001D4C31"/>
    <w:rsid w:val="001E4D21"/>
    <w:rsid w:val="001F2AE0"/>
    <w:rsid w:val="0020457B"/>
    <w:rsid w:val="00207CD1"/>
    <w:rsid w:val="0021716F"/>
    <w:rsid w:val="002173B9"/>
    <w:rsid w:val="0022036D"/>
    <w:rsid w:val="002326A7"/>
    <w:rsid w:val="00232BF6"/>
    <w:rsid w:val="002344E9"/>
    <w:rsid w:val="0023491B"/>
    <w:rsid w:val="00234C2E"/>
    <w:rsid w:val="002477A2"/>
    <w:rsid w:val="00253043"/>
    <w:rsid w:val="0025352D"/>
    <w:rsid w:val="00253ACD"/>
    <w:rsid w:val="00253D9D"/>
    <w:rsid w:val="00260D9A"/>
    <w:rsid w:val="00263A51"/>
    <w:rsid w:val="00264991"/>
    <w:rsid w:val="002665A6"/>
    <w:rsid w:val="00267CBB"/>
    <w:rsid w:val="002702AF"/>
    <w:rsid w:val="002723DB"/>
    <w:rsid w:val="00274708"/>
    <w:rsid w:val="00275F34"/>
    <w:rsid w:val="00277967"/>
    <w:rsid w:val="00283AB9"/>
    <w:rsid w:val="002852C5"/>
    <w:rsid w:val="0028581C"/>
    <w:rsid w:val="002A4550"/>
    <w:rsid w:val="002A5D44"/>
    <w:rsid w:val="002B4FBF"/>
    <w:rsid w:val="002B553C"/>
    <w:rsid w:val="002B6F5C"/>
    <w:rsid w:val="002D4F81"/>
    <w:rsid w:val="002D7104"/>
    <w:rsid w:val="002D7875"/>
    <w:rsid w:val="002E00EB"/>
    <w:rsid w:val="002E7127"/>
    <w:rsid w:val="002F1B76"/>
    <w:rsid w:val="002F2140"/>
    <w:rsid w:val="002F5CA2"/>
    <w:rsid w:val="00301141"/>
    <w:rsid w:val="00303397"/>
    <w:rsid w:val="00304E88"/>
    <w:rsid w:val="003072F2"/>
    <w:rsid w:val="0031685C"/>
    <w:rsid w:val="00322DCA"/>
    <w:rsid w:val="00333336"/>
    <w:rsid w:val="00336D02"/>
    <w:rsid w:val="00341969"/>
    <w:rsid w:val="0034369A"/>
    <w:rsid w:val="00353E8C"/>
    <w:rsid w:val="00355FF5"/>
    <w:rsid w:val="00356047"/>
    <w:rsid w:val="00357A2C"/>
    <w:rsid w:val="00366BBF"/>
    <w:rsid w:val="00384B73"/>
    <w:rsid w:val="00393BA5"/>
    <w:rsid w:val="003A036E"/>
    <w:rsid w:val="003A281A"/>
    <w:rsid w:val="003A5AA8"/>
    <w:rsid w:val="003A7E0B"/>
    <w:rsid w:val="003B2BB4"/>
    <w:rsid w:val="003B4003"/>
    <w:rsid w:val="003B50C2"/>
    <w:rsid w:val="003C00BB"/>
    <w:rsid w:val="003C139F"/>
    <w:rsid w:val="003C1E55"/>
    <w:rsid w:val="003C23FC"/>
    <w:rsid w:val="003C7DA4"/>
    <w:rsid w:val="003D765B"/>
    <w:rsid w:val="003E00E8"/>
    <w:rsid w:val="003E6076"/>
    <w:rsid w:val="003F5B86"/>
    <w:rsid w:val="00401DAD"/>
    <w:rsid w:val="004038CB"/>
    <w:rsid w:val="0040546F"/>
    <w:rsid w:val="004058C6"/>
    <w:rsid w:val="00423277"/>
    <w:rsid w:val="0042404A"/>
    <w:rsid w:val="00430489"/>
    <w:rsid w:val="004402E1"/>
    <w:rsid w:val="004408C7"/>
    <w:rsid w:val="004424B9"/>
    <w:rsid w:val="0044618F"/>
    <w:rsid w:val="00446512"/>
    <w:rsid w:val="00454DFD"/>
    <w:rsid w:val="00460D01"/>
    <w:rsid w:val="00461671"/>
    <w:rsid w:val="0046271A"/>
    <w:rsid w:val="004629EB"/>
    <w:rsid w:val="0046769A"/>
    <w:rsid w:val="00472CEB"/>
    <w:rsid w:val="00475FB3"/>
    <w:rsid w:val="004805A7"/>
    <w:rsid w:val="00481126"/>
    <w:rsid w:val="00486B95"/>
    <w:rsid w:val="004A1C1F"/>
    <w:rsid w:val="004A2DDF"/>
    <w:rsid w:val="004B2314"/>
    <w:rsid w:val="004C44C7"/>
    <w:rsid w:val="004D0390"/>
    <w:rsid w:val="004D7A7E"/>
    <w:rsid w:val="004E5F7D"/>
    <w:rsid w:val="004E66E4"/>
    <w:rsid w:val="004F259E"/>
    <w:rsid w:val="004F5453"/>
    <w:rsid w:val="004F610F"/>
    <w:rsid w:val="004F7D4C"/>
    <w:rsid w:val="00511A1C"/>
    <w:rsid w:val="00514625"/>
    <w:rsid w:val="005235B5"/>
    <w:rsid w:val="00523C2E"/>
    <w:rsid w:val="0052792B"/>
    <w:rsid w:val="00533EA0"/>
    <w:rsid w:val="00535A55"/>
    <w:rsid w:val="00536AA9"/>
    <w:rsid w:val="00540615"/>
    <w:rsid w:val="00540A6D"/>
    <w:rsid w:val="0054428D"/>
    <w:rsid w:val="005450E8"/>
    <w:rsid w:val="00560617"/>
    <w:rsid w:val="0056455B"/>
    <w:rsid w:val="00575417"/>
    <w:rsid w:val="005768E1"/>
    <w:rsid w:val="00577ACC"/>
    <w:rsid w:val="00580508"/>
    <w:rsid w:val="00586EF4"/>
    <w:rsid w:val="00591D24"/>
    <w:rsid w:val="00592028"/>
    <w:rsid w:val="00596AB8"/>
    <w:rsid w:val="005A26E3"/>
    <w:rsid w:val="005A4F08"/>
    <w:rsid w:val="005B044C"/>
    <w:rsid w:val="005B28A7"/>
    <w:rsid w:val="005B783E"/>
    <w:rsid w:val="005C1CC8"/>
    <w:rsid w:val="005C2CA1"/>
    <w:rsid w:val="005C3890"/>
    <w:rsid w:val="005C5642"/>
    <w:rsid w:val="005D2D96"/>
    <w:rsid w:val="005D38FB"/>
    <w:rsid w:val="005D5CC2"/>
    <w:rsid w:val="005D6DA8"/>
    <w:rsid w:val="005D7B79"/>
    <w:rsid w:val="005E2BD0"/>
    <w:rsid w:val="005E4B81"/>
    <w:rsid w:val="005E58DA"/>
    <w:rsid w:val="005F739A"/>
    <w:rsid w:val="005F7BFE"/>
    <w:rsid w:val="00600017"/>
    <w:rsid w:val="00605BF0"/>
    <w:rsid w:val="00614AA6"/>
    <w:rsid w:val="00615BCE"/>
    <w:rsid w:val="00617C31"/>
    <w:rsid w:val="00621F7F"/>
    <w:rsid w:val="00625ADD"/>
    <w:rsid w:val="00626E4E"/>
    <w:rsid w:val="00637CDB"/>
    <w:rsid w:val="00640FE3"/>
    <w:rsid w:val="00647A9A"/>
    <w:rsid w:val="00661532"/>
    <w:rsid w:val="006643AB"/>
    <w:rsid w:val="00665BA9"/>
    <w:rsid w:val="006703B9"/>
    <w:rsid w:val="00670DDC"/>
    <w:rsid w:val="00671BBF"/>
    <w:rsid w:val="00672E71"/>
    <w:rsid w:val="0067634A"/>
    <w:rsid w:val="0068289F"/>
    <w:rsid w:val="006847DD"/>
    <w:rsid w:val="0069316B"/>
    <w:rsid w:val="00694F3A"/>
    <w:rsid w:val="006A3C3F"/>
    <w:rsid w:val="006B5B96"/>
    <w:rsid w:val="006C1452"/>
    <w:rsid w:val="006C4E7D"/>
    <w:rsid w:val="006D0637"/>
    <w:rsid w:val="006E0BEA"/>
    <w:rsid w:val="006E3DDC"/>
    <w:rsid w:val="006E66B3"/>
    <w:rsid w:val="006F7888"/>
    <w:rsid w:val="00704899"/>
    <w:rsid w:val="007210CD"/>
    <w:rsid w:val="00723D4F"/>
    <w:rsid w:val="00732045"/>
    <w:rsid w:val="00733537"/>
    <w:rsid w:val="007369DB"/>
    <w:rsid w:val="00742733"/>
    <w:rsid w:val="00746B8C"/>
    <w:rsid w:val="00767DE8"/>
    <w:rsid w:val="0077129D"/>
    <w:rsid w:val="00775718"/>
    <w:rsid w:val="00781DB1"/>
    <w:rsid w:val="00782C12"/>
    <w:rsid w:val="00786E16"/>
    <w:rsid w:val="007956C2"/>
    <w:rsid w:val="007A16C0"/>
    <w:rsid w:val="007A187E"/>
    <w:rsid w:val="007A7DF3"/>
    <w:rsid w:val="007A7E7F"/>
    <w:rsid w:val="007B5613"/>
    <w:rsid w:val="007B761A"/>
    <w:rsid w:val="007C0345"/>
    <w:rsid w:val="007C3420"/>
    <w:rsid w:val="007C72C2"/>
    <w:rsid w:val="007D4436"/>
    <w:rsid w:val="007D5F93"/>
    <w:rsid w:val="007E1807"/>
    <w:rsid w:val="007E4593"/>
    <w:rsid w:val="007E59F9"/>
    <w:rsid w:val="007E5C83"/>
    <w:rsid w:val="007F0309"/>
    <w:rsid w:val="007F1CB9"/>
    <w:rsid w:val="007F257A"/>
    <w:rsid w:val="007F30DC"/>
    <w:rsid w:val="007F3665"/>
    <w:rsid w:val="007F74AF"/>
    <w:rsid w:val="00800037"/>
    <w:rsid w:val="008025C2"/>
    <w:rsid w:val="008031CA"/>
    <w:rsid w:val="008135C0"/>
    <w:rsid w:val="008228EF"/>
    <w:rsid w:val="00824721"/>
    <w:rsid w:val="00824866"/>
    <w:rsid w:val="0082771F"/>
    <w:rsid w:val="00833A71"/>
    <w:rsid w:val="00834B79"/>
    <w:rsid w:val="008358B6"/>
    <w:rsid w:val="00842B7E"/>
    <w:rsid w:val="00847A1D"/>
    <w:rsid w:val="008550EC"/>
    <w:rsid w:val="00856A6D"/>
    <w:rsid w:val="008573AA"/>
    <w:rsid w:val="0086339A"/>
    <w:rsid w:val="0086358D"/>
    <w:rsid w:val="00873BDC"/>
    <w:rsid w:val="00874463"/>
    <w:rsid w:val="00874E93"/>
    <w:rsid w:val="008860BD"/>
    <w:rsid w:val="0089267E"/>
    <w:rsid w:val="00895111"/>
    <w:rsid w:val="008A1042"/>
    <w:rsid w:val="008A3FA2"/>
    <w:rsid w:val="008A58A7"/>
    <w:rsid w:val="008A67C3"/>
    <w:rsid w:val="008B1434"/>
    <w:rsid w:val="008C2A3F"/>
    <w:rsid w:val="008D027D"/>
    <w:rsid w:val="008D76E6"/>
    <w:rsid w:val="008E11FD"/>
    <w:rsid w:val="008E3222"/>
    <w:rsid w:val="008E5AF0"/>
    <w:rsid w:val="008E750F"/>
    <w:rsid w:val="008F1909"/>
    <w:rsid w:val="008F6D08"/>
    <w:rsid w:val="008F7439"/>
    <w:rsid w:val="008F7DE3"/>
    <w:rsid w:val="00900CE3"/>
    <w:rsid w:val="00901D9A"/>
    <w:rsid w:val="00901E81"/>
    <w:rsid w:val="00915762"/>
    <w:rsid w:val="0092392D"/>
    <w:rsid w:val="009249D0"/>
    <w:rsid w:val="00943F41"/>
    <w:rsid w:val="00956681"/>
    <w:rsid w:val="00962C41"/>
    <w:rsid w:val="009802A0"/>
    <w:rsid w:val="00980469"/>
    <w:rsid w:val="0098594D"/>
    <w:rsid w:val="00987B6C"/>
    <w:rsid w:val="009928EE"/>
    <w:rsid w:val="00994F27"/>
    <w:rsid w:val="009A6656"/>
    <w:rsid w:val="009C0B6F"/>
    <w:rsid w:val="009C1D98"/>
    <w:rsid w:val="009C307F"/>
    <w:rsid w:val="009D0B14"/>
    <w:rsid w:val="009D2EE7"/>
    <w:rsid w:val="009E3573"/>
    <w:rsid w:val="009E393B"/>
    <w:rsid w:val="009E4B2B"/>
    <w:rsid w:val="00A03740"/>
    <w:rsid w:val="00A04132"/>
    <w:rsid w:val="00A063B3"/>
    <w:rsid w:val="00A12C55"/>
    <w:rsid w:val="00A14AC6"/>
    <w:rsid w:val="00A15D46"/>
    <w:rsid w:val="00A214EB"/>
    <w:rsid w:val="00A227BF"/>
    <w:rsid w:val="00A2310C"/>
    <w:rsid w:val="00A23A51"/>
    <w:rsid w:val="00A25CD3"/>
    <w:rsid w:val="00A37AC8"/>
    <w:rsid w:val="00A401D6"/>
    <w:rsid w:val="00A44170"/>
    <w:rsid w:val="00A47698"/>
    <w:rsid w:val="00A50CAA"/>
    <w:rsid w:val="00A5193E"/>
    <w:rsid w:val="00A71268"/>
    <w:rsid w:val="00A731BC"/>
    <w:rsid w:val="00A733FE"/>
    <w:rsid w:val="00A92242"/>
    <w:rsid w:val="00A9236B"/>
    <w:rsid w:val="00A9562D"/>
    <w:rsid w:val="00AA1588"/>
    <w:rsid w:val="00AA332F"/>
    <w:rsid w:val="00AA7BBB"/>
    <w:rsid w:val="00AB0C69"/>
    <w:rsid w:val="00AB0CB6"/>
    <w:rsid w:val="00AB64A8"/>
    <w:rsid w:val="00AC0266"/>
    <w:rsid w:val="00AC5F92"/>
    <w:rsid w:val="00AD24EC"/>
    <w:rsid w:val="00AE59F3"/>
    <w:rsid w:val="00AE5CEA"/>
    <w:rsid w:val="00AE7813"/>
    <w:rsid w:val="00AF180E"/>
    <w:rsid w:val="00AF1B58"/>
    <w:rsid w:val="00B1461A"/>
    <w:rsid w:val="00B167ED"/>
    <w:rsid w:val="00B226C8"/>
    <w:rsid w:val="00B309F9"/>
    <w:rsid w:val="00B32B60"/>
    <w:rsid w:val="00B3329A"/>
    <w:rsid w:val="00B40654"/>
    <w:rsid w:val="00B51113"/>
    <w:rsid w:val="00B532D6"/>
    <w:rsid w:val="00B538DA"/>
    <w:rsid w:val="00B5683A"/>
    <w:rsid w:val="00B57908"/>
    <w:rsid w:val="00B61619"/>
    <w:rsid w:val="00B77A59"/>
    <w:rsid w:val="00B77C3B"/>
    <w:rsid w:val="00B81324"/>
    <w:rsid w:val="00B83928"/>
    <w:rsid w:val="00B83AB0"/>
    <w:rsid w:val="00B95E84"/>
    <w:rsid w:val="00BA0A9E"/>
    <w:rsid w:val="00BA7452"/>
    <w:rsid w:val="00BB268A"/>
    <w:rsid w:val="00BB4545"/>
    <w:rsid w:val="00BB46A4"/>
    <w:rsid w:val="00BC3190"/>
    <w:rsid w:val="00BC54B8"/>
    <w:rsid w:val="00BD0A6B"/>
    <w:rsid w:val="00BD5873"/>
    <w:rsid w:val="00BF1013"/>
    <w:rsid w:val="00C04BE3"/>
    <w:rsid w:val="00C159A9"/>
    <w:rsid w:val="00C233C8"/>
    <w:rsid w:val="00C25D29"/>
    <w:rsid w:val="00C26C58"/>
    <w:rsid w:val="00C271CC"/>
    <w:rsid w:val="00C27A7C"/>
    <w:rsid w:val="00C325DE"/>
    <w:rsid w:val="00C37F17"/>
    <w:rsid w:val="00C40D19"/>
    <w:rsid w:val="00C41651"/>
    <w:rsid w:val="00C433BC"/>
    <w:rsid w:val="00C43F85"/>
    <w:rsid w:val="00C44936"/>
    <w:rsid w:val="00C45547"/>
    <w:rsid w:val="00C458BE"/>
    <w:rsid w:val="00C52237"/>
    <w:rsid w:val="00C539E2"/>
    <w:rsid w:val="00C54674"/>
    <w:rsid w:val="00C60D52"/>
    <w:rsid w:val="00C6549C"/>
    <w:rsid w:val="00C7626D"/>
    <w:rsid w:val="00C81935"/>
    <w:rsid w:val="00CB37B7"/>
    <w:rsid w:val="00CC145C"/>
    <w:rsid w:val="00CC291F"/>
    <w:rsid w:val="00CC3EDB"/>
    <w:rsid w:val="00CD2E00"/>
    <w:rsid w:val="00CD4BF0"/>
    <w:rsid w:val="00CE21E9"/>
    <w:rsid w:val="00CE7E99"/>
    <w:rsid w:val="00CF07C6"/>
    <w:rsid w:val="00CF0D16"/>
    <w:rsid w:val="00CF183B"/>
    <w:rsid w:val="00CF6239"/>
    <w:rsid w:val="00CF7A0D"/>
    <w:rsid w:val="00D03AEC"/>
    <w:rsid w:val="00D07101"/>
    <w:rsid w:val="00D124E9"/>
    <w:rsid w:val="00D146A9"/>
    <w:rsid w:val="00D22E67"/>
    <w:rsid w:val="00D25DCB"/>
    <w:rsid w:val="00D31103"/>
    <w:rsid w:val="00D375CD"/>
    <w:rsid w:val="00D4181D"/>
    <w:rsid w:val="00D50543"/>
    <w:rsid w:val="00D51895"/>
    <w:rsid w:val="00D52AA9"/>
    <w:rsid w:val="00D540FA"/>
    <w:rsid w:val="00D556A1"/>
    <w:rsid w:val="00D65C11"/>
    <w:rsid w:val="00D67395"/>
    <w:rsid w:val="00D67D41"/>
    <w:rsid w:val="00D72951"/>
    <w:rsid w:val="00D774D3"/>
    <w:rsid w:val="00D904E8"/>
    <w:rsid w:val="00D94683"/>
    <w:rsid w:val="00DA08C3"/>
    <w:rsid w:val="00DA1E28"/>
    <w:rsid w:val="00DA54B5"/>
    <w:rsid w:val="00DB12C8"/>
    <w:rsid w:val="00DC2CB1"/>
    <w:rsid w:val="00DC7B2B"/>
    <w:rsid w:val="00DE5F8B"/>
    <w:rsid w:val="00DE7554"/>
    <w:rsid w:val="00DF0B3C"/>
    <w:rsid w:val="00DF491A"/>
    <w:rsid w:val="00DF59CA"/>
    <w:rsid w:val="00DF725D"/>
    <w:rsid w:val="00E02183"/>
    <w:rsid w:val="00E07297"/>
    <w:rsid w:val="00E12F57"/>
    <w:rsid w:val="00E2628A"/>
    <w:rsid w:val="00E278D7"/>
    <w:rsid w:val="00E33193"/>
    <w:rsid w:val="00E512A7"/>
    <w:rsid w:val="00E523CA"/>
    <w:rsid w:val="00E739E0"/>
    <w:rsid w:val="00E80FF7"/>
    <w:rsid w:val="00E830F1"/>
    <w:rsid w:val="00E8707D"/>
    <w:rsid w:val="00E91AF6"/>
    <w:rsid w:val="00E943F7"/>
    <w:rsid w:val="00E9788F"/>
    <w:rsid w:val="00E97AF4"/>
    <w:rsid w:val="00EA27FC"/>
    <w:rsid w:val="00EB15DA"/>
    <w:rsid w:val="00EB3666"/>
    <w:rsid w:val="00EB6350"/>
    <w:rsid w:val="00EC0EDD"/>
    <w:rsid w:val="00EC1579"/>
    <w:rsid w:val="00EC22AF"/>
    <w:rsid w:val="00EC49B6"/>
    <w:rsid w:val="00ED1DAB"/>
    <w:rsid w:val="00EE52CD"/>
    <w:rsid w:val="00EF5F39"/>
    <w:rsid w:val="00EF794D"/>
    <w:rsid w:val="00F02427"/>
    <w:rsid w:val="00F171CC"/>
    <w:rsid w:val="00F24D00"/>
    <w:rsid w:val="00F26380"/>
    <w:rsid w:val="00F34D22"/>
    <w:rsid w:val="00F427DB"/>
    <w:rsid w:val="00F449A7"/>
    <w:rsid w:val="00F54918"/>
    <w:rsid w:val="00F622F1"/>
    <w:rsid w:val="00F646DB"/>
    <w:rsid w:val="00F650EA"/>
    <w:rsid w:val="00F65956"/>
    <w:rsid w:val="00F93671"/>
    <w:rsid w:val="00F959C2"/>
    <w:rsid w:val="00FA5DD7"/>
    <w:rsid w:val="00FA7439"/>
    <w:rsid w:val="00FB5933"/>
    <w:rsid w:val="00FC4EC0"/>
    <w:rsid w:val="00FD0D52"/>
    <w:rsid w:val="00FD6DAD"/>
    <w:rsid w:val="00FE1E85"/>
    <w:rsid w:val="00FF0181"/>
    <w:rsid w:val="00FF202D"/>
    <w:rsid w:val="00FF64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Batang"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732045"/>
    <w:pPr>
      <w:keepNext/>
      <w:keepLines/>
      <w:spacing w:before="480"/>
      <w:ind w:left="567" w:hanging="567"/>
      <w:outlineLvl w:val="0"/>
    </w:pPr>
    <w:rPr>
      <w:b/>
      <w:sz w:val="28"/>
    </w:rPr>
  </w:style>
  <w:style w:type="paragraph" w:styleId="Heading2">
    <w:name w:val="heading 2"/>
    <w:basedOn w:val="Heading1"/>
    <w:next w:val="Normal"/>
    <w:link w:val="Heading2Char"/>
    <w:uiPriority w:val="9"/>
    <w:qFormat/>
    <w:rsid w:val="00732045"/>
    <w:pPr>
      <w:spacing w:before="320"/>
      <w:outlineLvl w:val="1"/>
    </w:pPr>
    <w:rPr>
      <w:sz w:val="24"/>
    </w:rPr>
  </w:style>
  <w:style w:type="paragraph" w:styleId="Heading3">
    <w:name w:val="heading 3"/>
    <w:basedOn w:val="Heading1"/>
    <w:next w:val="Normal"/>
    <w:link w:val="Heading3Char"/>
    <w:uiPriority w:val="9"/>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uiPriority w:val="39"/>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uiPriority w:val="39"/>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link w:val="FooterChar"/>
    <w:uiPriority w:val="99"/>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docnoted">
    <w:name w:val="docnoted"/>
    <w:basedOn w:val="Normal"/>
    <w:rsid w:val="005C3890"/>
    <w:pPr>
      <w:pBdr>
        <w:top w:val="single" w:sz="6" w:space="0" w:color="auto"/>
        <w:left w:val="single" w:sz="6" w:space="0" w:color="auto"/>
        <w:bottom w:val="single" w:sz="6" w:space="0" w:color="auto"/>
        <w:right w:val="single" w:sz="6" w:space="0" w:color="auto"/>
      </w:pBdr>
      <w:shd w:val="pct10" w:color="auto" w:fill="auto"/>
    </w:pPr>
    <w:rPr>
      <w:sz w:val="20"/>
    </w:r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uiPriority w:val="99"/>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character" w:styleId="EndnoteReference">
    <w:name w:val="endnote reference"/>
    <w:basedOn w:val="DefaultParagraphFont"/>
    <w:rsid w:val="005C3890"/>
    <w:rPr>
      <w:vertAlign w:val="superscript"/>
    </w:rPr>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BB4545"/>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styleId="TOCHeading">
    <w:name w:val="TOC Heading"/>
    <w:basedOn w:val="Heading1"/>
    <w:next w:val="Normal"/>
    <w:uiPriority w:val="39"/>
    <w:unhideWhenUsed/>
    <w:qFormat/>
    <w:rsid w:val="00AB0CB6"/>
    <w:pPr>
      <w:keepLines w:val="0"/>
      <w:tabs>
        <w:tab w:val="clear" w:pos="567"/>
        <w:tab w:val="clear" w:pos="1134"/>
        <w:tab w:val="clear" w:pos="1701"/>
        <w:tab w:val="clear" w:pos="2268"/>
        <w:tab w:val="clear" w:pos="2835"/>
      </w:tabs>
      <w:overflowPunct/>
      <w:autoSpaceDE/>
      <w:autoSpaceDN/>
      <w:spacing w:before="0" w:after="360" w:line="319" w:lineRule="auto"/>
      <w:ind w:right="567" w:firstLine="0"/>
      <w:contextualSpacing/>
      <w:jc w:val="both"/>
      <w:textAlignment w:val="auto"/>
      <w:outlineLvl w:val="9"/>
    </w:pPr>
    <w:rPr>
      <w:rFonts w:asciiTheme="majorBidi" w:eastAsiaTheme="minorHAnsi" w:hAnsiTheme="majorBidi" w:cstheme="majorBidi"/>
      <w:bCs/>
      <w:sz w:val="24"/>
      <w:szCs w:val="24"/>
      <w:lang w:val="en-US" w:eastAsia="ja-JP"/>
    </w:rPr>
  </w:style>
  <w:style w:type="character" w:customStyle="1" w:styleId="FooterChar">
    <w:name w:val="Footer Char"/>
    <w:basedOn w:val="DefaultParagraphFont"/>
    <w:link w:val="Footer"/>
    <w:uiPriority w:val="99"/>
    <w:rsid w:val="00AB0CB6"/>
    <w:rPr>
      <w:rFonts w:ascii="Calibri" w:hAnsi="Calibri"/>
      <w:caps/>
      <w:noProof/>
      <w:sz w:val="16"/>
      <w:lang w:val="fr-FR" w:eastAsia="en-US"/>
    </w:rPr>
  </w:style>
  <w:style w:type="table" w:styleId="TableGrid">
    <w:name w:val="Table Grid"/>
    <w:basedOn w:val="TableNormal"/>
    <w:rsid w:val="00ED1DA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D1DAB"/>
    <w:rPr>
      <w:rFonts w:ascii="Calibri" w:hAnsi="Calibri"/>
      <w:b/>
      <w:sz w:val="28"/>
      <w:lang w:val="fr-FR" w:eastAsia="en-US"/>
    </w:rPr>
  </w:style>
  <w:style w:type="paragraph" w:styleId="ListParagraph">
    <w:name w:val="List Paragraph"/>
    <w:basedOn w:val="Normal"/>
    <w:uiPriority w:val="99"/>
    <w:qFormat/>
    <w:rsid w:val="00BC3190"/>
    <w:pPr>
      <w:tabs>
        <w:tab w:val="clear" w:pos="567"/>
        <w:tab w:val="clear" w:pos="1134"/>
        <w:tab w:val="clear" w:pos="1701"/>
        <w:tab w:val="clear" w:pos="2268"/>
        <w:tab w:val="clear" w:pos="2835"/>
      </w:tabs>
      <w:overflowPunct/>
      <w:autoSpaceDE/>
      <w:autoSpaceDN/>
      <w:spacing w:before="0"/>
      <w:ind w:left="567" w:right="567"/>
      <w:jc w:val="both"/>
      <w:textAlignment w:val="auto"/>
    </w:pPr>
    <w:rPr>
      <w:rFonts w:ascii="Times New Roman" w:eastAsiaTheme="minorHAnsi" w:hAnsi="Times New Roman"/>
      <w:szCs w:val="24"/>
      <w:lang w:val="en-US" w:eastAsia="it-IT"/>
    </w:rPr>
  </w:style>
  <w:style w:type="character" w:customStyle="1" w:styleId="Heading3Char">
    <w:name w:val="Heading 3 Char"/>
    <w:basedOn w:val="DefaultParagraphFont"/>
    <w:link w:val="Heading3"/>
    <w:uiPriority w:val="9"/>
    <w:rsid w:val="00BC3190"/>
    <w:rPr>
      <w:rFonts w:ascii="Calibri" w:hAnsi="Calibri"/>
      <w:b/>
      <w:sz w:val="24"/>
      <w:lang w:val="fr-FR" w:eastAsia="en-US"/>
    </w:rPr>
  </w:style>
  <w:style w:type="character" w:customStyle="1" w:styleId="Heading2Char">
    <w:name w:val="Heading 2 Char"/>
    <w:basedOn w:val="DefaultParagraphFont"/>
    <w:link w:val="Heading2"/>
    <w:uiPriority w:val="99"/>
    <w:rsid w:val="00BC3190"/>
    <w:rPr>
      <w:rFonts w:ascii="Calibri" w:hAnsi="Calibri"/>
      <w:b/>
      <w:sz w:val="24"/>
      <w:lang w:val="fr-FR" w:eastAsia="en-US"/>
    </w:rPr>
  </w:style>
  <w:style w:type="character" w:customStyle="1" w:styleId="hps">
    <w:name w:val="hps"/>
    <w:basedOn w:val="DefaultParagraphFont"/>
    <w:rsid w:val="00C26C58"/>
  </w:style>
  <w:style w:type="paragraph" w:customStyle="1" w:styleId="Style16">
    <w:name w:val="Style 16"/>
    <w:basedOn w:val="Normal"/>
    <w:uiPriority w:val="99"/>
    <w:rsid w:val="002702AF"/>
    <w:pPr>
      <w:widowControl w:val="0"/>
      <w:tabs>
        <w:tab w:val="clear" w:pos="567"/>
        <w:tab w:val="clear" w:pos="1134"/>
        <w:tab w:val="clear" w:pos="1701"/>
        <w:tab w:val="clear" w:pos="2268"/>
        <w:tab w:val="clear" w:pos="2835"/>
      </w:tabs>
      <w:overflowPunct/>
      <w:spacing w:before="0"/>
      <w:textAlignment w:val="auto"/>
    </w:pPr>
    <w:rPr>
      <w:rFonts w:ascii="Times New Roman" w:hAnsi="Times New Roman"/>
      <w:sz w:val="20"/>
      <w:lang w:val="it-IT" w:eastAsia="it-IT"/>
    </w:rPr>
  </w:style>
  <w:style w:type="character" w:customStyle="1" w:styleId="CharacterStyle17">
    <w:name w:val="Character Style 17"/>
    <w:uiPriority w:val="99"/>
    <w:rsid w:val="002702AF"/>
    <w:rPr>
      <w:sz w:val="20"/>
    </w:rPr>
  </w:style>
  <w:style w:type="table" w:customStyle="1" w:styleId="TableGrid1">
    <w:name w:val="Table Grid1"/>
    <w:basedOn w:val="TableNormal"/>
    <w:next w:val="TableGrid"/>
    <w:uiPriority w:val="59"/>
    <w:rsid w:val="00BF1013"/>
    <w:rPr>
      <w:rFonts w:ascii="Arial" w:eastAsia="SimSun" w:hAnsi="Arial"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Batang"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732045"/>
    <w:pPr>
      <w:keepNext/>
      <w:keepLines/>
      <w:spacing w:before="480"/>
      <w:ind w:left="567" w:hanging="567"/>
      <w:outlineLvl w:val="0"/>
    </w:pPr>
    <w:rPr>
      <w:b/>
      <w:sz w:val="28"/>
    </w:rPr>
  </w:style>
  <w:style w:type="paragraph" w:styleId="Heading2">
    <w:name w:val="heading 2"/>
    <w:basedOn w:val="Heading1"/>
    <w:next w:val="Normal"/>
    <w:link w:val="Heading2Char"/>
    <w:uiPriority w:val="9"/>
    <w:qFormat/>
    <w:rsid w:val="00732045"/>
    <w:pPr>
      <w:spacing w:before="320"/>
      <w:outlineLvl w:val="1"/>
    </w:pPr>
    <w:rPr>
      <w:sz w:val="24"/>
    </w:rPr>
  </w:style>
  <w:style w:type="paragraph" w:styleId="Heading3">
    <w:name w:val="heading 3"/>
    <w:basedOn w:val="Heading1"/>
    <w:next w:val="Normal"/>
    <w:link w:val="Heading3Char"/>
    <w:uiPriority w:val="9"/>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uiPriority w:val="39"/>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uiPriority w:val="39"/>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link w:val="FooterChar"/>
    <w:uiPriority w:val="99"/>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docnoted">
    <w:name w:val="docnoted"/>
    <w:basedOn w:val="Normal"/>
    <w:rsid w:val="005C3890"/>
    <w:pPr>
      <w:pBdr>
        <w:top w:val="single" w:sz="6" w:space="0" w:color="auto"/>
        <w:left w:val="single" w:sz="6" w:space="0" w:color="auto"/>
        <w:bottom w:val="single" w:sz="6" w:space="0" w:color="auto"/>
        <w:right w:val="single" w:sz="6" w:space="0" w:color="auto"/>
      </w:pBdr>
      <w:shd w:val="pct10" w:color="auto" w:fill="auto"/>
    </w:pPr>
    <w:rPr>
      <w:sz w:val="20"/>
    </w:r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uiPriority w:val="99"/>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character" w:styleId="EndnoteReference">
    <w:name w:val="endnote reference"/>
    <w:basedOn w:val="DefaultParagraphFont"/>
    <w:rsid w:val="005C3890"/>
    <w:rPr>
      <w:vertAlign w:val="superscript"/>
    </w:rPr>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BB4545"/>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styleId="TOCHeading">
    <w:name w:val="TOC Heading"/>
    <w:basedOn w:val="Heading1"/>
    <w:next w:val="Normal"/>
    <w:uiPriority w:val="39"/>
    <w:unhideWhenUsed/>
    <w:qFormat/>
    <w:rsid w:val="00AB0CB6"/>
    <w:pPr>
      <w:keepLines w:val="0"/>
      <w:tabs>
        <w:tab w:val="clear" w:pos="567"/>
        <w:tab w:val="clear" w:pos="1134"/>
        <w:tab w:val="clear" w:pos="1701"/>
        <w:tab w:val="clear" w:pos="2268"/>
        <w:tab w:val="clear" w:pos="2835"/>
      </w:tabs>
      <w:overflowPunct/>
      <w:autoSpaceDE/>
      <w:autoSpaceDN/>
      <w:spacing w:before="0" w:after="360" w:line="319" w:lineRule="auto"/>
      <w:ind w:right="567" w:firstLine="0"/>
      <w:contextualSpacing/>
      <w:jc w:val="both"/>
      <w:textAlignment w:val="auto"/>
      <w:outlineLvl w:val="9"/>
    </w:pPr>
    <w:rPr>
      <w:rFonts w:asciiTheme="majorBidi" w:eastAsiaTheme="minorHAnsi" w:hAnsiTheme="majorBidi" w:cstheme="majorBidi"/>
      <w:bCs/>
      <w:sz w:val="24"/>
      <w:szCs w:val="24"/>
      <w:lang w:val="en-US" w:eastAsia="ja-JP"/>
    </w:rPr>
  </w:style>
  <w:style w:type="character" w:customStyle="1" w:styleId="FooterChar">
    <w:name w:val="Footer Char"/>
    <w:basedOn w:val="DefaultParagraphFont"/>
    <w:link w:val="Footer"/>
    <w:uiPriority w:val="99"/>
    <w:rsid w:val="00AB0CB6"/>
    <w:rPr>
      <w:rFonts w:ascii="Calibri" w:hAnsi="Calibri"/>
      <w:caps/>
      <w:noProof/>
      <w:sz w:val="16"/>
      <w:lang w:val="fr-FR" w:eastAsia="en-US"/>
    </w:rPr>
  </w:style>
  <w:style w:type="table" w:styleId="TableGrid">
    <w:name w:val="Table Grid"/>
    <w:basedOn w:val="TableNormal"/>
    <w:rsid w:val="00ED1DA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D1DAB"/>
    <w:rPr>
      <w:rFonts w:ascii="Calibri" w:hAnsi="Calibri"/>
      <w:b/>
      <w:sz w:val="28"/>
      <w:lang w:val="fr-FR" w:eastAsia="en-US"/>
    </w:rPr>
  </w:style>
  <w:style w:type="paragraph" w:styleId="ListParagraph">
    <w:name w:val="List Paragraph"/>
    <w:basedOn w:val="Normal"/>
    <w:uiPriority w:val="99"/>
    <w:qFormat/>
    <w:rsid w:val="00BC3190"/>
    <w:pPr>
      <w:tabs>
        <w:tab w:val="clear" w:pos="567"/>
        <w:tab w:val="clear" w:pos="1134"/>
        <w:tab w:val="clear" w:pos="1701"/>
        <w:tab w:val="clear" w:pos="2268"/>
        <w:tab w:val="clear" w:pos="2835"/>
      </w:tabs>
      <w:overflowPunct/>
      <w:autoSpaceDE/>
      <w:autoSpaceDN/>
      <w:spacing w:before="0"/>
      <w:ind w:left="567" w:right="567"/>
      <w:jc w:val="both"/>
      <w:textAlignment w:val="auto"/>
    </w:pPr>
    <w:rPr>
      <w:rFonts w:ascii="Times New Roman" w:eastAsiaTheme="minorHAnsi" w:hAnsi="Times New Roman"/>
      <w:szCs w:val="24"/>
      <w:lang w:val="en-US" w:eastAsia="it-IT"/>
    </w:rPr>
  </w:style>
  <w:style w:type="character" w:customStyle="1" w:styleId="Heading3Char">
    <w:name w:val="Heading 3 Char"/>
    <w:basedOn w:val="DefaultParagraphFont"/>
    <w:link w:val="Heading3"/>
    <w:uiPriority w:val="9"/>
    <w:rsid w:val="00BC3190"/>
    <w:rPr>
      <w:rFonts w:ascii="Calibri" w:hAnsi="Calibri"/>
      <w:b/>
      <w:sz w:val="24"/>
      <w:lang w:val="fr-FR" w:eastAsia="en-US"/>
    </w:rPr>
  </w:style>
  <w:style w:type="character" w:customStyle="1" w:styleId="Heading2Char">
    <w:name w:val="Heading 2 Char"/>
    <w:basedOn w:val="DefaultParagraphFont"/>
    <w:link w:val="Heading2"/>
    <w:uiPriority w:val="99"/>
    <w:rsid w:val="00BC3190"/>
    <w:rPr>
      <w:rFonts w:ascii="Calibri" w:hAnsi="Calibri"/>
      <w:b/>
      <w:sz w:val="24"/>
      <w:lang w:val="fr-FR" w:eastAsia="en-US"/>
    </w:rPr>
  </w:style>
  <w:style w:type="character" w:customStyle="1" w:styleId="hps">
    <w:name w:val="hps"/>
    <w:basedOn w:val="DefaultParagraphFont"/>
    <w:rsid w:val="00C26C58"/>
  </w:style>
  <w:style w:type="paragraph" w:customStyle="1" w:styleId="Style16">
    <w:name w:val="Style 16"/>
    <w:basedOn w:val="Normal"/>
    <w:uiPriority w:val="99"/>
    <w:rsid w:val="002702AF"/>
    <w:pPr>
      <w:widowControl w:val="0"/>
      <w:tabs>
        <w:tab w:val="clear" w:pos="567"/>
        <w:tab w:val="clear" w:pos="1134"/>
        <w:tab w:val="clear" w:pos="1701"/>
        <w:tab w:val="clear" w:pos="2268"/>
        <w:tab w:val="clear" w:pos="2835"/>
      </w:tabs>
      <w:overflowPunct/>
      <w:spacing w:before="0"/>
      <w:textAlignment w:val="auto"/>
    </w:pPr>
    <w:rPr>
      <w:rFonts w:ascii="Times New Roman" w:hAnsi="Times New Roman"/>
      <w:sz w:val="20"/>
      <w:lang w:val="it-IT" w:eastAsia="it-IT"/>
    </w:rPr>
  </w:style>
  <w:style w:type="character" w:customStyle="1" w:styleId="CharacterStyle17">
    <w:name w:val="Character Style 17"/>
    <w:uiPriority w:val="99"/>
    <w:rsid w:val="002702AF"/>
    <w:rPr>
      <w:sz w:val="20"/>
    </w:rPr>
  </w:style>
  <w:style w:type="table" w:customStyle="1" w:styleId="TableGrid1">
    <w:name w:val="Table Grid1"/>
    <w:basedOn w:val="TableNormal"/>
    <w:next w:val="TableGrid"/>
    <w:uiPriority w:val="59"/>
    <w:rsid w:val="00BF1013"/>
    <w:rPr>
      <w:rFonts w:ascii="Arial" w:eastAsia="SimSun" w:hAnsi="Arial"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oter" Target="footer3.xml"/><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8.png"/><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image" Target="media/image7.png"/><Relationship Id="rId10" Type="http://schemas.openxmlformats.org/officeDocument/2006/relationships/hyperlink" Target="http://www.itu.int/council/finregs/Regl_Fin_10e.pdf"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image" Target="media/image6.png"/><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C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D1836-9263-40D0-B1E1-74B1D42E0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PF_C14.dotm</Template>
  <TotalTime>0</TotalTime>
  <Pages>57</Pages>
  <Words>18881</Words>
  <Characters>107626</Characters>
  <Application>Microsoft Office Word</Application>
  <DocSecurity>0</DocSecurity>
  <Lines>896</Lines>
  <Paragraphs>252</Paragraphs>
  <ScaleCrop>false</ScaleCrop>
  <HeadingPairs>
    <vt:vector size="2" baseType="variant">
      <vt:variant>
        <vt:lpstr>Title</vt:lpstr>
      </vt:variant>
      <vt:variant>
        <vt:i4>1</vt:i4>
      </vt:variant>
    </vt:vector>
  </HeadingPairs>
  <TitlesOfParts>
    <vt:vector size="1" baseType="lpstr">
      <vt:lpstr>VÉRIFICATION EXTÉRIEURE DES COMPTES DE L'UNION</vt:lpstr>
    </vt:vector>
  </TitlesOfParts>
  <Manager>Secrétariat général - Pool</Manager>
  <Company>Union internationale des télécommunications (UIT)</Company>
  <LinksUpToDate>false</LinksUpToDate>
  <CharactersWithSpaces>126255</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VÉRIFICATION EXTÉRIEURE DES COMPTES DE L'UNION</dc:title>
  <dc:subject>Conseil 2010</dc:subject>
  <dc:creator>Rapport du Secrétaire général</dc:creator>
  <cp:keywords>C2010, C10</cp:keywords>
  <dc:description>Document C14/105-F  Pour: _x000d_Date du document: 29 juillet 2014_x000d_Enregistré par ITU51009313 à 12:42:57 le 21.08.2014</dc:description>
  <cp:lastModifiedBy>Brouard, Ricarda</cp:lastModifiedBy>
  <cp:revision>3</cp:revision>
  <cp:lastPrinted>2014-09-15T14:25:00Z</cp:lastPrinted>
  <dcterms:created xsi:type="dcterms:W3CDTF">2014-09-17T10:26:00Z</dcterms:created>
  <dcterms:modified xsi:type="dcterms:W3CDTF">2014-09-17T10:26:00Z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C14/105-F</vt:lpwstr>
  </property>
  <property fmtid="{D5CDD505-2E9C-101B-9397-08002B2CF9AE}" pid="3" name="Docdate">
    <vt:lpwstr>29 juillet 2014</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Rapport du Secrétaire général</vt:lpwstr>
  </property>
</Properties>
</file>