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223233" w:rsidTr="00515BDB">
        <w:trPr>
          <w:cantSplit/>
          <w:trHeight w:val="20"/>
        </w:trPr>
        <w:tc>
          <w:tcPr>
            <w:tcW w:w="6770" w:type="dxa"/>
          </w:tcPr>
          <w:p w:rsidR="009F279B" w:rsidRPr="00223233"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223233">
              <w:rPr>
                <w:rFonts w:hint="cs"/>
                <w:b/>
                <w:bCs/>
                <w:w w:val="125"/>
                <w:position w:val="6"/>
                <w:sz w:val="32"/>
                <w:szCs w:val="44"/>
                <w:rtl/>
                <w:lang w:val="en-US"/>
              </w:rPr>
              <w:t>مؤت</w:t>
            </w:r>
            <w:r w:rsidR="002062FB" w:rsidRPr="00223233">
              <w:rPr>
                <w:rFonts w:hint="cs"/>
                <w:b/>
                <w:bCs/>
                <w:w w:val="125"/>
                <w:position w:val="6"/>
                <w:sz w:val="32"/>
                <w:szCs w:val="44"/>
                <w:rtl/>
                <w:lang w:val="en-US"/>
              </w:rPr>
              <w:t>‍</w:t>
            </w:r>
            <w:r w:rsidRPr="00223233">
              <w:rPr>
                <w:rFonts w:hint="cs"/>
                <w:b/>
                <w:bCs/>
                <w:w w:val="125"/>
                <w:position w:val="6"/>
                <w:sz w:val="32"/>
                <w:szCs w:val="44"/>
                <w:rtl/>
                <w:lang w:val="en-US"/>
              </w:rPr>
              <w:t>مر ال</w:t>
            </w:r>
            <w:r w:rsidR="002062FB" w:rsidRPr="00223233">
              <w:rPr>
                <w:rFonts w:hint="cs"/>
                <w:b/>
                <w:bCs/>
                <w:w w:val="125"/>
                <w:position w:val="6"/>
                <w:sz w:val="32"/>
                <w:szCs w:val="44"/>
                <w:rtl/>
                <w:lang w:val="en-US"/>
              </w:rPr>
              <w:t>‍</w:t>
            </w:r>
            <w:r w:rsidRPr="00223233">
              <w:rPr>
                <w:rFonts w:hint="cs"/>
                <w:b/>
                <w:bCs/>
                <w:w w:val="125"/>
                <w:position w:val="6"/>
                <w:sz w:val="32"/>
                <w:szCs w:val="44"/>
                <w:rtl/>
                <w:lang w:val="en-US"/>
              </w:rPr>
              <w:t>مندوبين ال</w:t>
            </w:r>
            <w:r w:rsidR="002062FB" w:rsidRPr="00223233">
              <w:rPr>
                <w:rFonts w:hint="cs"/>
                <w:b/>
                <w:bCs/>
                <w:w w:val="125"/>
                <w:position w:val="6"/>
                <w:sz w:val="32"/>
                <w:szCs w:val="44"/>
                <w:rtl/>
                <w:lang w:val="en-US"/>
              </w:rPr>
              <w:t>‍</w:t>
            </w:r>
            <w:r w:rsidRPr="00223233">
              <w:rPr>
                <w:rFonts w:hint="cs"/>
                <w:b/>
                <w:bCs/>
                <w:w w:val="125"/>
                <w:position w:val="6"/>
                <w:sz w:val="32"/>
                <w:szCs w:val="44"/>
                <w:rtl/>
                <w:lang w:val="en-US"/>
              </w:rPr>
              <w:t>مفوضين</w:t>
            </w:r>
            <w:r w:rsidRPr="00223233">
              <w:rPr>
                <w:rFonts w:hint="cs"/>
                <w:b/>
                <w:bCs/>
                <w:position w:val="6"/>
                <w:sz w:val="32"/>
                <w:szCs w:val="44"/>
                <w:rtl/>
                <w:lang w:val="en-US"/>
              </w:rPr>
              <w:t xml:space="preserve"> </w:t>
            </w:r>
            <w:r w:rsidRPr="00223233">
              <w:rPr>
                <w:b/>
                <w:bCs/>
                <w:position w:val="6"/>
                <w:sz w:val="32"/>
                <w:szCs w:val="44"/>
                <w:lang w:val="en-US"/>
              </w:rPr>
              <w:t>(</w:t>
            </w:r>
            <w:r w:rsidRPr="00223233">
              <w:rPr>
                <w:rFonts w:asciiTheme="minorHAnsi" w:hAnsiTheme="minorHAnsi"/>
                <w:b/>
                <w:bCs/>
                <w:position w:val="6"/>
                <w:sz w:val="32"/>
                <w:szCs w:val="44"/>
                <w:lang w:val="en-US"/>
              </w:rPr>
              <w:t>PP-14</w:t>
            </w:r>
            <w:r w:rsidRPr="00223233">
              <w:rPr>
                <w:b/>
                <w:bCs/>
                <w:position w:val="6"/>
                <w:sz w:val="32"/>
                <w:szCs w:val="44"/>
                <w:lang w:val="en-US"/>
              </w:rPr>
              <w:t>)</w:t>
            </w:r>
            <w:r w:rsidRPr="00223233">
              <w:rPr>
                <w:b/>
                <w:bCs/>
                <w:position w:val="6"/>
                <w:sz w:val="26"/>
                <w:szCs w:val="26"/>
                <w:lang w:val="en-US"/>
              </w:rPr>
              <w:br/>
            </w:r>
            <w:r w:rsidRPr="00223233">
              <w:rPr>
                <w:rFonts w:ascii="Traditional Arabic" w:hAnsi="Traditional Arabic"/>
                <w:b/>
                <w:bCs/>
                <w:sz w:val="34"/>
                <w:szCs w:val="34"/>
                <w:rtl/>
                <w:lang w:val="en-US"/>
              </w:rPr>
              <w:t>بوسان،</w:t>
            </w:r>
            <w:r w:rsidRPr="00223233">
              <w:rPr>
                <w:rFonts w:ascii="Traditional Arabic" w:hAnsi="Traditional Arabic"/>
                <w:b/>
                <w:bCs/>
                <w:sz w:val="30"/>
                <w:rtl/>
                <w:lang w:val="en-US"/>
              </w:rPr>
              <w:t xml:space="preserve"> </w:t>
            </w:r>
            <w:r w:rsidRPr="00223233">
              <w:rPr>
                <w:rFonts w:asciiTheme="minorHAnsi" w:hAnsiTheme="minorHAnsi"/>
                <w:b/>
                <w:bCs/>
                <w:sz w:val="24"/>
                <w:szCs w:val="32"/>
                <w:lang w:val="en-US"/>
              </w:rPr>
              <w:t>20</w:t>
            </w:r>
            <w:r w:rsidRPr="00223233">
              <w:rPr>
                <w:rFonts w:ascii="Traditional Arabic" w:hAnsi="Traditional Arabic"/>
                <w:b/>
                <w:bCs/>
                <w:sz w:val="30"/>
                <w:rtl/>
                <w:lang w:val="en-US"/>
              </w:rPr>
              <w:t xml:space="preserve"> </w:t>
            </w:r>
            <w:r w:rsidRPr="00223233">
              <w:rPr>
                <w:rFonts w:ascii="Traditional Arabic" w:hAnsi="Traditional Arabic"/>
                <w:b/>
                <w:bCs/>
                <w:sz w:val="34"/>
                <w:szCs w:val="34"/>
                <w:rtl/>
                <w:lang w:val="en-US"/>
              </w:rPr>
              <w:t>أكتوبر</w:t>
            </w:r>
            <w:r w:rsidRPr="00223233">
              <w:rPr>
                <w:rFonts w:ascii="Traditional Arabic" w:hAnsi="Traditional Arabic"/>
                <w:b/>
                <w:bCs/>
                <w:sz w:val="30"/>
                <w:rtl/>
                <w:lang w:val="en-US"/>
              </w:rPr>
              <w:t> - </w:t>
            </w:r>
            <w:r w:rsidRPr="00223233">
              <w:rPr>
                <w:rFonts w:asciiTheme="minorHAnsi" w:hAnsiTheme="minorHAnsi"/>
                <w:b/>
                <w:bCs/>
                <w:sz w:val="24"/>
                <w:szCs w:val="32"/>
                <w:lang w:val="en-US"/>
              </w:rPr>
              <w:t>7</w:t>
            </w:r>
            <w:r w:rsidRPr="00223233">
              <w:rPr>
                <w:rFonts w:ascii="Traditional Arabic" w:hAnsi="Traditional Arabic"/>
                <w:b/>
                <w:bCs/>
                <w:sz w:val="30"/>
                <w:rtl/>
                <w:lang w:val="en-US"/>
              </w:rPr>
              <w:t xml:space="preserve"> </w:t>
            </w:r>
            <w:r w:rsidRPr="00223233">
              <w:rPr>
                <w:rFonts w:ascii="Traditional Arabic" w:hAnsi="Traditional Arabic"/>
                <w:b/>
                <w:bCs/>
                <w:sz w:val="34"/>
                <w:szCs w:val="34"/>
                <w:rtl/>
                <w:lang w:val="en-US"/>
              </w:rPr>
              <w:t>نوفمبر</w:t>
            </w:r>
            <w:r w:rsidRPr="00223233">
              <w:rPr>
                <w:rFonts w:asciiTheme="minorHAnsi" w:hAnsiTheme="minorHAnsi"/>
                <w:b/>
                <w:bCs/>
                <w:sz w:val="30"/>
                <w:rtl/>
                <w:lang w:val="en-US"/>
              </w:rPr>
              <w:t> </w:t>
            </w:r>
            <w:r w:rsidRPr="00223233">
              <w:rPr>
                <w:rFonts w:asciiTheme="minorHAnsi" w:hAnsiTheme="minorHAnsi"/>
                <w:b/>
                <w:bCs/>
                <w:sz w:val="24"/>
                <w:szCs w:val="32"/>
                <w:lang w:val="en-US"/>
              </w:rPr>
              <w:t>2014</w:t>
            </w:r>
          </w:p>
        </w:tc>
        <w:tc>
          <w:tcPr>
            <w:tcW w:w="3119" w:type="dxa"/>
          </w:tcPr>
          <w:p w:rsidR="009F279B" w:rsidRPr="00223233"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223233">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223233" w:rsidTr="00515BDB">
        <w:trPr>
          <w:cantSplit/>
          <w:trHeight w:val="20"/>
        </w:trPr>
        <w:tc>
          <w:tcPr>
            <w:tcW w:w="6770" w:type="dxa"/>
            <w:tcBorders>
              <w:bottom w:val="single" w:sz="12" w:space="0" w:color="auto"/>
            </w:tcBorders>
          </w:tcPr>
          <w:p w:rsidR="009F279B" w:rsidRPr="00223233"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223233"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223233" w:rsidTr="00515BDB">
        <w:trPr>
          <w:cantSplit/>
          <w:trHeight w:val="20"/>
        </w:trPr>
        <w:tc>
          <w:tcPr>
            <w:tcW w:w="6770" w:type="dxa"/>
            <w:tcBorders>
              <w:top w:val="single" w:sz="12" w:space="0" w:color="auto"/>
            </w:tcBorders>
          </w:tcPr>
          <w:p w:rsidR="009F279B" w:rsidRPr="00223233"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223233"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23233" w:rsidTr="00515BDB">
        <w:trPr>
          <w:cantSplit/>
        </w:trPr>
        <w:tc>
          <w:tcPr>
            <w:tcW w:w="6770" w:type="dxa"/>
          </w:tcPr>
          <w:p w:rsidR="009F279B" w:rsidRPr="00223233"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23233">
              <w:rPr>
                <w:rFonts w:eastAsia="SimSun"/>
                <w:b/>
                <w:bCs/>
                <w:rtl/>
                <w:lang w:val="en-US"/>
              </w:rPr>
              <w:t>ال</w:t>
            </w:r>
            <w:r w:rsidR="002062FB" w:rsidRPr="00223233">
              <w:rPr>
                <w:rFonts w:eastAsia="SimSun" w:hint="cs"/>
                <w:b/>
                <w:bCs/>
                <w:rtl/>
                <w:lang w:val="en-US"/>
              </w:rPr>
              <w:t>‍</w:t>
            </w:r>
            <w:r w:rsidRPr="00223233">
              <w:rPr>
                <w:rFonts w:eastAsia="SimSun"/>
                <w:b/>
                <w:bCs/>
                <w:rtl/>
                <w:lang w:val="en-US"/>
              </w:rPr>
              <w:t>جلسة العامة</w:t>
            </w:r>
          </w:p>
        </w:tc>
        <w:tc>
          <w:tcPr>
            <w:tcW w:w="3119" w:type="dxa"/>
            <w:vAlign w:val="center"/>
          </w:tcPr>
          <w:p w:rsidR="009F279B" w:rsidRPr="00223233" w:rsidRDefault="006A7C71" w:rsidP="001C0EC0">
            <w:pPr>
              <w:pStyle w:val="Adress"/>
              <w:framePr w:hSpace="0" w:wrap="auto" w:xAlign="left" w:yAlign="inline"/>
              <w:spacing w:before="20" w:after="20" w:line="300" w:lineRule="exact"/>
              <w:rPr>
                <w:rFonts w:ascii="Calibri" w:hAnsi="Calibri"/>
                <w:sz w:val="22"/>
                <w:rtl/>
              </w:rPr>
            </w:pPr>
            <w:r w:rsidRPr="00223233">
              <w:rPr>
                <w:rFonts w:ascii="Calibri" w:hAnsi="Calibri" w:hint="cs"/>
                <w:sz w:val="22"/>
                <w:rtl/>
              </w:rPr>
              <w:t xml:space="preserve">الوثيقة </w:t>
            </w:r>
            <w:r w:rsidR="001C0EC0" w:rsidRPr="00223233">
              <w:rPr>
                <w:rFonts w:ascii="Calibri" w:hAnsi="Calibri"/>
                <w:sz w:val="22"/>
                <w:lang w:val="en-GB"/>
              </w:rPr>
              <w:t>54-A</w:t>
            </w:r>
          </w:p>
        </w:tc>
      </w:tr>
      <w:tr w:rsidR="009F279B" w:rsidRPr="00223233" w:rsidTr="00515BDB">
        <w:trPr>
          <w:cantSplit/>
        </w:trPr>
        <w:tc>
          <w:tcPr>
            <w:tcW w:w="6770" w:type="dxa"/>
          </w:tcPr>
          <w:p w:rsidR="009F279B" w:rsidRPr="00223233"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23233" w:rsidRDefault="001C0EC0" w:rsidP="001C0EC0">
            <w:pPr>
              <w:pStyle w:val="Adress"/>
              <w:framePr w:hSpace="0" w:wrap="auto" w:xAlign="left" w:yAlign="inline"/>
              <w:spacing w:before="20" w:after="20" w:line="300" w:lineRule="exact"/>
              <w:rPr>
                <w:rFonts w:ascii="Calibri" w:hAnsi="Calibri" w:cstheme="minorHAnsi"/>
                <w:sz w:val="22"/>
                <w:rtl/>
              </w:rPr>
            </w:pPr>
            <w:r w:rsidRPr="00223233">
              <w:rPr>
                <w:rFonts w:ascii="Calibri" w:hAnsi="Calibri"/>
                <w:sz w:val="22"/>
                <w:lang w:val="en-GB"/>
              </w:rPr>
              <w:t>26</w:t>
            </w:r>
            <w:r w:rsidRPr="00223233">
              <w:rPr>
                <w:rFonts w:ascii="Calibri" w:hAnsi="Calibri" w:hint="cs"/>
                <w:sz w:val="22"/>
                <w:rtl/>
              </w:rPr>
              <w:t xml:space="preserve"> يونيو </w:t>
            </w:r>
            <w:r w:rsidRPr="00223233">
              <w:rPr>
                <w:rFonts w:ascii="Calibri" w:hAnsi="Calibri"/>
                <w:sz w:val="22"/>
                <w:lang w:val="en-GB"/>
              </w:rPr>
              <w:t>2014</w:t>
            </w:r>
          </w:p>
        </w:tc>
      </w:tr>
      <w:tr w:rsidR="009F279B" w:rsidRPr="00223233" w:rsidTr="00515BDB">
        <w:trPr>
          <w:cantSplit/>
        </w:trPr>
        <w:tc>
          <w:tcPr>
            <w:tcW w:w="6770" w:type="dxa"/>
          </w:tcPr>
          <w:p w:rsidR="009F279B" w:rsidRPr="00223233"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23233" w:rsidRDefault="006A7C71" w:rsidP="0071692A">
            <w:pPr>
              <w:pStyle w:val="Adress"/>
              <w:framePr w:hSpace="0" w:wrap="auto" w:xAlign="left" w:yAlign="inline"/>
              <w:spacing w:before="20" w:after="20" w:line="300" w:lineRule="exact"/>
              <w:rPr>
                <w:rFonts w:ascii="Calibri" w:eastAsia="SimSun" w:hAnsi="Calibri"/>
                <w:sz w:val="22"/>
              </w:rPr>
            </w:pPr>
            <w:r w:rsidRPr="00223233">
              <w:rPr>
                <w:rFonts w:ascii="Calibri" w:eastAsia="SimSun" w:hAnsi="Calibri"/>
                <w:sz w:val="22"/>
                <w:rtl/>
              </w:rPr>
              <w:t xml:space="preserve">الأصل: </w:t>
            </w:r>
            <w:r w:rsidRPr="00223233">
              <w:rPr>
                <w:rFonts w:ascii="Calibri" w:eastAsia="SimSun" w:hAnsi="Calibri" w:hint="cs"/>
                <w:sz w:val="22"/>
                <w:rtl/>
              </w:rPr>
              <w:t>بالإنكليزية</w:t>
            </w:r>
          </w:p>
        </w:tc>
      </w:tr>
      <w:tr w:rsidR="00200A20" w:rsidRPr="00223233" w:rsidTr="00515BDB">
        <w:trPr>
          <w:cantSplit/>
        </w:trPr>
        <w:tc>
          <w:tcPr>
            <w:tcW w:w="6770" w:type="dxa"/>
          </w:tcPr>
          <w:p w:rsidR="00200A20" w:rsidRPr="00223233"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23233"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223233" w:rsidTr="00515BDB">
        <w:trPr>
          <w:cantSplit/>
        </w:trPr>
        <w:tc>
          <w:tcPr>
            <w:tcW w:w="9889" w:type="dxa"/>
            <w:gridSpan w:val="2"/>
          </w:tcPr>
          <w:p w:rsidR="009F279B" w:rsidRPr="00223233" w:rsidRDefault="001C0EC0" w:rsidP="001C0EC0">
            <w:pPr>
              <w:pStyle w:val="Source"/>
              <w:framePr w:hSpace="0" w:wrap="auto" w:yAlign="inline"/>
              <w:rPr>
                <w:szCs w:val="28"/>
                <w:rtl/>
              </w:rPr>
            </w:pPr>
            <w:r w:rsidRPr="00223233">
              <w:rPr>
                <w:rFonts w:hint="cs"/>
                <w:rtl/>
                <w:lang w:bidi="ar-EG"/>
              </w:rPr>
              <w:t>مذكرة من الأمين العام</w:t>
            </w:r>
          </w:p>
        </w:tc>
      </w:tr>
      <w:tr w:rsidR="009F279B" w:rsidRPr="00223233" w:rsidTr="00515BDB">
        <w:trPr>
          <w:cantSplit/>
        </w:trPr>
        <w:tc>
          <w:tcPr>
            <w:tcW w:w="9889" w:type="dxa"/>
            <w:gridSpan w:val="2"/>
          </w:tcPr>
          <w:p w:rsidR="009F279B" w:rsidRPr="00223233" w:rsidRDefault="001C0EC0" w:rsidP="00F97273">
            <w:pPr>
              <w:pStyle w:val="Title1"/>
              <w:framePr w:hSpace="0" w:wrap="auto" w:yAlign="inline"/>
              <w:rPr>
                <w:szCs w:val="28"/>
                <w:rtl/>
              </w:rPr>
            </w:pPr>
            <w:r w:rsidRPr="00223233">
              <w:rPr>
                <w:rFonts w:hint="cs"/>
                <w:rtl/>
              </w:rPr>
              <w:t>تقرير مدير مكتب تقييس الاتصالات بشأن خطة العمل الواردة</w:t>
            </w:r>
            <w:r w:rsidRPr="00223233">
              <w:rPr>
                <w:rFonts w:hint="cs"/>
                <w:rtl/>
              </w:rPr>
              <w:br/>
              <w:t xml:space="preserve">في القرار </w:t>
            </w:r>
            <w:r w:rsidRPr="00223233">
              <w:rPr>
                <w:lang w:val="en-GB"/>
              </w:rPr>
              <w:t>44</w:t>
            </w:r>
            <w:r w:rsidRPr="00223233">
              <w:rPr>
                <w:rFonts w:hint="cs"/>
                <w:rtl/>
              </w:rPr>
              <w:t xml:space="preserve"> للجمعية العالمية لتقييس الاتصالات لعام </w:t>
            </w:r>
            <w:r w:rsidRPr="00223233">
              <w:t>(WT</w:t>
            </w:r>
            <w:r w:rsidR="00F97273" w:rsidRPr="00223233">
              <w:t>SA</w:t>
            </w:r>
            <w:r w:rsidRPr="00223233">
              <w:noBreakHyphen/>
              <w:t>12) 2012</w:t>
            </w:r>
            <w:r w:rsidRPr="00223233">
              <w:br/>
            </w:r>
            <w:r w:rsidRPr="00223233">
              <w:rPr>
                <w:rtl/>
              </w:rPr>
              <w:t>بشأن سد الفجوة التقييسية</w:t>
            </w:r>
          </w:p>
        </w:tc>
      </w:tr>
      <w:tr w:rsidR="009F279B" w:rsidRPr="00223233" w:rsidTr="00515BDB">
        <w:trPr>
          <w:cantSplit/>
        </w:trPr>
        <w:tc>
          <w:tcPr>
            <w:tcW w:w="9889" w:type="dxa"/>
            <w:gridSpan w:val="2"/>
          </w:tcPr>
          <w:p w:rsidR="009F279B" w:rsidRPr="00223233" w:rsidRDefault="009F279B" w:rsidP="007161E9">
            <w:pPr>
              <w:pStyle w:val="Title2"/>
              <w:framePr w:hSpace="0" w:wrap="auto" w:yAlign="inline"/>
              <w:rPr>
                <w:szCs w:val="28"/>
                <w:rtl/>
              </w:rPr>
            </w:pPr>
          </w:p>
        </w:tc>
      </w:tr>
      <w:tr w:rsidR="009F279B" w:rsidRPr="00223233" w:rsidTr="00515BDB">
        <w:trPr>
          <w:cantSplit/>
        </w:trPr>
        <w:tc>
          <w:tcPr>
            <w:tcW w:w="9889" w:type="dxa"/>
            <w:gridSpan w:val="2"/>
          </w:tcPr>
          <w:p w:rsidR="009F279B" w:rsidRPr="00223233"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Pr="00223233" w:rsidRDefault="00C15D70" w:rsidP="00A60E97">
      <w:pPr>
        <w:rPr>
          <w:spacing w:val="6"/>
          <w:rtl/>
          <w:lang w:val="en-US"/>
        </w:rPr>
      </w:pPr>
      <w:r w:rsidRPr="00223233">
        <w:rPr>
          <w:rFonts w:hint="cs"/>
          <w:spacing w:val="6"/>
          <w:rtl/>
        </w:rPr>
        <w:t>أرفع إلى مؤتمر المندوبين المفوضين تقر</w:t>
      </w:r>
      <w:r w:rsidR="002944B8" w:rsidRPr="00223233">
        <w:rPr>
          <w:rFonts w:hint="cs"/>
          <w:spacing w:val="6"/>
          <w:rtl/>
        </w:rPr>
        <w:t>ير مدير مكتب تقييس الاتصالات بشأ</w:t>
      </w:r>
      <w:r w:rsidRPr="00223233">
        <w:rPr>
          <w:rFonts w:hint="cs"/>
          <w:spacing w:val="6"/>
          <w:rtl/>
        </w:rPr>
        <w:t>ن حالة تنفيذ خطة العمل الواردة في القرار</w:t>
      </w:r>
      <w:r w:rsidR="00BD538E" w:rsidRPr="00223233">
        <w:rPr>
          <w:rFonts w:hint="eastAsia"/>
          <w:spacing w:val="6"/>
          <w:rtl/>
        </w:rPr>
        <w:t> </w:t>
      </w:r>
      <w:r w:rsidRPr="00223233">
        <w:rPr>
          <w:spacing w:val="6"/>
        </w:rPr>
        <w:t>44</w:t>
      </w:r>
      <w:r w:rsidRPr="00223233">
        <w:rPr>
          <w:rFonts w:hint="cs"/>
          <w:spacing w:val="6"/>
          <w:rtl/>
        </w:rPr>
        <w:t xml:space="preserve"> للجمعية العالمية لتقييس الاتصالات لعام </w:t>
      </w:r>
      <w:r w:rsidRPr="00223233">
        <w:rPr>
          <w:spacing w:val="6"/>
        </w:rPr>
        <w:t>(WT</w:t>
      </w:r>
      <w:r w:rsidR="00F97273" w:rsidRPr="00223233">
        <w:rPr>
          <w:spacing w:val="6"/>
        </w:rPr>
        <w:t>SA</w:t>
      </w:r>
      <w:r w:rsidRPr="00223233">
        <w:rPr>
          <w:spacing w:val="6"/>
        </w:rPr>
        <w:noBreakHyphen/>
        <w:t>12) 2012</w:t>
      </w:r>
      <w:r w:rsidR="002944B8" w:rsidRPr="00223233">
        <w:rPr>
          <w:rFonts w:hint="cs"/>
          <w:spacing w:val="6"/>
          <w:rtl/>
        </w:rPr>
        <w:t xml:space="preserve"> </w:t>
      </w:r>
      <w:r w:rsidR="00F97273" w:rsidRPr="00223233">
        <w:rPr>
          <w:rFonts w:hint="cs"/>
          <w:spacing w:val="6"/>
          <w:rtl/>
        </w:rPr>
        <w:t>بشأن</w:t>
      </w:r>
      <w:r w:rsidR="00A26EFE">
        <w:rPr>
          <w:rFonts w:hint="cs"/>
          <w:spacing w:val="6"/>
          <w:rtl/>
        </w:rPr>
        <w:t xml:space="preserve"> سد</w:t>
      </w:r>
      <w:r w:rsidR="00F97273" w:rsidRPr="00223233">
        <w:rPr>
          <w:rFonts w:hint="cs"/>
          <w:spacing w:val="6"/>
          <w:rtl/>
        </w:rPr>
        <w:t xml:space="preserve"> الفجوة التقييسية </w:t>
      </w:r>
      <w:r w:rsidR="002944B8" w:rsidRPr="00223233">
        <w:rPr>
          <w:rFonts w:hint="cs"/>
          <w:spacing w:val="6"/>
          <w:rtl/>
        </w:rPr>
        <w:t>بين البلدان المتقدمة والنامية، طبقاً للقرار</w:t>
      </w:r>
      <w:r w:rsidR="00A60E97">
        <w:rPr>
          <w:rFonts w:hint="eastAsia"/>
          <w:spacing w:val="6"/>
          <w:rtl/>
        </w:rPr>
        <w:t> </w:t>
      </w:r>
      <w:r w:rsidR="002944B8" w:rsidRPr="00223233">
        <w:rPr>
          <w:spacing w:val="6"/>
          <w:lang w:val="en-US"/>
        </w:rPr>
        <w:t>123</w:t>
      </w:r>
      <w:r w:rsidR="002944B8" w:rsidRPr="00223233">
        <w:rPr>
          <w:rFonts w:hint="cs"/>
          <w:spacing w:val="6"/>
          <w:rtl/>
          <w:lang w:val="en-US"/>
        </w:rPr>
        <w:t xml:space="preserve"> لمؤتمر المندوبين المفوضين لعام </w:t>
      </w:r>
      <w:r w:rsidR="002944B8" w:rsidRPr="00223233">
        <w:rPr>
          <w:spacing w:val="6"/>
          <w:lang w:val="en-US"/>
        </w:rPr>
        <w:t>201</w:t>
      </w:r>
      <w:r w:rsidR="00F97273" w:rsidRPr="00223233">
        <w:rPr>
          <w:spacing w:val="6"/>
          <w:lang w:val="en-US"/>
        </w:rPr>
        <w:t>0</w:t>
      </w:r>
      <w:r w:rsidR="002944B8" w:rsidRPr="00223233">
        <w:rPr>
          <w:rFonts w:hint="cs"/>
          <w:spacing w:val="6"/>
          <w:rtl/>
          <w:lang w:val="en-US"/>
        </w:rPr>
        <w:t>.</w:t>
      </w:r>
    </w:p>
    <w:p w:rsidR="00E67692" w:rsidRPr="00223233" w:rsidRDefault="00E67692" w:rsidP="00E67692">
      <w:pPr>
        <w:spacing w:before="1440"/>
        <w:ind w:left="5103"/>
        <w:jc w:val="center"/>
        <w:rPr>
          <w:rtl/>
        </w:rPr>
      </w:pPr>
      <w:r w:rsidRPr="00223233">
        <w:rPr>
          <w:rFonts w:hint="cs"/>
          <w:rtl/>
          <w:lang w:bidi="ar-SY"/>
        </w:rPr>
        <w:t>الدكتور ح‍مدون إ. توريه</w:t>
      </w:r>
      <w:r w:rsidRPr="00223233">
        <w:rPr>
          <w:rFonts w:hint="cs"/>
          <w:rtl/>
          <w:lang w:bidi="ar-SY"/>
        </w:rPr>
        <w:br/>
        <w:t>الأمين العام</w:t>
      </w:r>
    </w:p>
    <w:p w:rsidR="00324C72" w:rsidRPr="00223233" w:rsidRDefault="00324C72" w:rsidP="00324C72">
      <w:pPr>
        <w:spacing w:before="1440"/>
        <w:jc w:val="left"/>
        <w:rPr>
          <w:rtl/>
        </w:rPr>
      </w:pPr>
      <w:r w:rsidRPr="00223233">
        <w:rPr>
          <w:rtl/>
        </w:rPr>
        <w:br w:type="page"/>
      </w:r>
    </w:p>
    <w:p w:rsidR="0022094C" w:rsidRPr="00223233" w:rsidRDefault="0022094C" w:rsidP="0022094C">
      <w:pPr>
        <w:pStyle w:val="Heading1"/>
        <w:rPr>
          <w:rtl/>
          <w:lang w:val="en-US" w:bidi="ar-SA"/>
        </w:rPr>
      </w:pPr>
      <w:r w:rsidRPr="00223233">
        <w:rPr>
          <w:lang w:val="en-US" w:bidi="ar-SA"/>
        </w:rPr>
        <w:lastRenderedPageBreak/>
        <w:t>1</w:t>
      </w:r>
      <w:r w:rsidRPr="00223233">
        <w:rPr>
          <w:rtl/>
          <w:lang w:val="en-US" w:bidi="ar-SA"/>
        </w:rPr>
        <w:tab/>
      </w:r>
      <w:r w:rsidRPr="00223233">
        <w:rPr>
          <w:rFonts w:hint="cs"/>
          <w:rtl/>
          <w:lang w:val="en-US" w:bidi="ar-SA"/>
        </w:rPr>
        <w:t>مقدمة</w:t>
      </w:r>
    </w:p>
    <w:p w:rsidR="0022094C" w:rsidRPr="00223233" w:rsidRDefault="0022094C" w:rsidP="003E78C6">
      <w:pPr>
        <w:rPr>
          <w:rtl/>
          <w:lang w:val="en-US"/>
        </w:rPr>
      </w:pPr>
      <w:r w:rsidRPr="00223233">
        <w:rPr>
          <w:rtl/>
          <w:lang w:val="en-US"/>
        </w:rPr>
        <w:t>قرار</w:t>
      </w:r>
      <w:r w:rsidRPr="00223233">
        <w:rPr>
          <w:rFonts w:hint="cs"/>
          <w:rtl/>
          <w:lang w:val="en-US"/>
        </w:rPr>
        <w:t xml:space="preserve"> </w:t>
      </w:r>
      <w:r w:rsidRPr="00223233">
        <w:rPr>
          <w:rtl/>
          <w:lang w:val="en-US"/>
        </w:rPr>
        <w:t xml:space="preserve">الجمعية العالمية لتقييس الاتصالات </w:t>
      </w:r>
      <w:r w:rsidRPr="00223233">
        <w:rPr>
          <w:lang w:val="en-US"/>
        </w:rPr>
        <w:t>44</w:t>
      </w:r>
      <w:r w:rsidRPr="00223233">
        <w:rPr>
          <w:rtl/>
          <w:lang w:val="en-US"/>
        </w:rPr>
        <w:t xml:space="preserve"> (المراجَع في دبي، </w:t>
      </w:r>
      <w:r w:rsidRPr="00223233">
        <w:rPr>
          <w:lang w:val="en-US"/>
        </w:rPr>
        <w:t>2012</w:t>
      </w:r>
      <w:r w:rsidRPr="00223233">
        <w:rPr>
          <w:rtl/>
          <w:lang w:val="en-US"/>
        </w:rPr>
        <w:t>) بشأن "سد الفجوة التقييسية</w:t>
      </w:r>
      <w:r w:rsidR="00F97273" w:rsidRPr="00223233">
        <w:rPr>
          <w:rFonts w:hint="cs"/>
          <w:rtl/>
          <w:lang w:val="en-US"/>
        </w:rPr>
        <w:t xml:space="preserve"> بين البلدان المتقدمة والنامية</w:t>
      </w:r>
      <w:r w:rsidR="003E78C6" w:rsidRPr="00223233">
        <w:rPr>
          <w:rtl/>
          <w:lang w:val="en-US"/>
        </w:rPr>
        <w:t>"</w:t>
      </w:r>
    </w:p>
    <w:p w:rsidR="0022094C" w:rsidRPr="00223233" w:rsidRDefault="0022094C" w:rsidP="00F97273">
      <w:pPr>
        <w:pStyle w:val="Call"/>
        <w:rPr>
          <w:rtl/>
          <w:lang w:val="en-US" w:bidi="ar-SA"/>
        </w:rPr>
      </w:pPr>
      <w:r w:rsidRPr="00223233">
        <w:rPr>
          <w:rFonts w:hint="cs"/>
          <w:rtl/>
        </w:rPr>
        <w:t xml:space="preserve">"تكلف مدير مكتب تقييس الاتصالات، بالتعاون مع مديري مكتب تنمية الاتصالات ومكتب الاتصالات الراديوية، في حدود الموارد المتاحة </w:t>
      </w:r>
      <w:r w:rsidRPr="00223233">
        <w:rPr>
          <w:lang w:val="en-US"/>
        </w:rPr>
        <w:t>[…]</w:t>
      </w:r>
    </w:p>
    <w:p w:rsidR="0022094C" w:rsidRPr="00223233" w:rsidRDefault="0022094C" w:rsidP="0022094C">
      <w:pPr>
        <w:rPr>
          <w:b/>
          <w:bCs/>
          <w:lang w:val="en-US"/>
        </w:rPr>
      </w:pPr>
      <w:r w:rsidRPr="00223233">
        <w:rPr>
          <w:rFonts w:hint="cs"/>
          <w:rtl/>
        </w:rPr>
        <w:t xml:space="preserve">بتقديم تقرير بشأن تنفيذ هذه الخطة </w:t>
      </w:r>
      <w:r w:rsidR="00101C83" w:rsidRPr="00223233">
        <w:rPr>
          <w:rFonts w:hint="cs"/>
          <w:rtl/>
        </w:rPr>
        <w:t xml:space="preserve">[أي خطة العمل لتنفيذ القرار </w:t>
      </w:r>
      <w:r w:rsidR="00101C83" w:rsidRPr="00223233">
        <w:rPr>
          <w:lang w:val="en-US"/>
        </w:rPr>
        <w:t>123</w:t>
      </w:r>
      <w:r w:rsidR="00101C83" w:rsidRPr="00223233">
        <w:rPr>
          <w:rFonts w:hint="cs"/>
          <w:rtl/>
          <w:lang w:val="en-US"/>
        </w:rPr>
        <w:t xml:space="preserve"> (المراجَع في غوادالاخارا، </w:t>
      </w:r>
      <w:r w:rsidR="00101C83" w:rsidRPr="00223233">
        <w:rPr>
          <w:lang w:val="en-US"/>
        </w:rPr>
        <w:t>2010</w:t>
      </w:r>
      <w:r w:rsidR="00101C83" w:rsidRPr="00223233">
        <w:rPr>
          <w:rFonts w:hint="cs"/>
          <w:rtl/>
          <w:lang w:val="en-US"/>
        </w:rPr>
        <w:t xml:space="preserve">) لمؤتمر المندوبين المفوضين؛ انظر الملحق بالقرار </w:t>
      </w:r>
      <w:r w:rsidR="00101C83" w:rsidRPr="00223233">
        <w:rPr>
          <w:lang w:val="en-US"/>
        </w:rPr>
        <w:t>44</w:t>
      </w:r>
      <w:r w:rsidR="00101C83" w:rsidRPr="00223233">
        <w:rPr>
          <w:rFonts w:hint="cs"/>
          <w:rtl/>
          <w:lang w:val="en-US"/>
        </w:rPr>
        <w:t xml:space="preserve"> للجمعية العالمية لتقييس الاتصالات]</w:t>
      </w:r>
      <w:r w:rsidRPr="00223233">
        <w:rPr>
          <w:rFonts w:hint="cs"/>
          <w:rtl/>
        </w:rPr>
        <w:t xml:space="preserve"> إلى الدورات المقبلة للجمعية العالمية لتقييس الاتصالات ومؤتمرات المندوبين المفوضين بغية استعراض هذا القرار وإدخال التعديلات الملائمة في ضوء نتائج التنفيذ، فضلاً عن التعديلات المطلوبة على الميزانية لتنفيذ هذا القرار</w:t>
      </w:r>
      <w:r w:rsidR="00101C83" w:rsidRPr="00223233">
        <w:rPr>
          <w:rFonts w:hint="cs"/>
          <w:rtl/>
        </w:rPr>
        <w:t xml:space="preserve"> [...]</w:t>
      </w:r>
      <w:r w:rsidR="006446AA" w:rsidRPr="00223233">
        <w:rPr>
          <w:rFonts w:hint="eastAsia"/>
          <w:rtl/>
        </w:rPr>
        <w:t> </w:t>
      </w:r>
      <w:r w:rsidR="00101C83" w:rsidRPr="00223233">
        <w:rPr>
          <w:rFonts w:hint="cs"/>
          <w:i/>
          <w:iCs/>
          <w:rtl/>
        </w:rPr>
        <w:t>"</w:t>
      </w:r>
      <w:r w:rsidR="00101C83" w:rsidRPr="00223233">
        <w:rPr>
          <w:rFonts w:hint="cs"/>
          <w:rtl/>
        </w:rPr>
        <w:t>.</w:t>
      </w:r>
    </w:p>
    <w:p w:rsidR="0022094C" w:rsidRPr="00223233" w:rsidRDefault="0022094C" w:rsidP="00A60E97">
      <w:pPr>
        <w:rPr>
          <w:b/>
          <w:bCs/>
          <w:lang w:val="en-US"/>
        </w:rPr>
      </w:pPr>
      <w:r w:rsidRPr="00223233">
        <w:rPr>
          <w:rtl/>
        </w:rPr>
        <w:t xml:space="preserve">وعلاوةً على ذلك، </w:t>
      </w:r>
      <w:r w:rsidRPr="00223233">
        <w:rPr>
          <w:rFonts w:hint="cs"/>
          <w:rtl/>
        </w:rPr>
        <w:t xml:space="preserve">فإن </w:t>
      </w:r>
      <w:r w:rsidRPr="00223233">
        <w:rPr>
          <w:rtl/>
        </w:rPr>
        <w:t xml:space="preserve">الخطة الاستراتيجية التي </w:t>
      </w:r>
      <w:r w:rsidRPr="00223233">
        <w:rPr>
          <w:rFonts w:hint="cs"/>
          <w:rtl/>
        </w:rPr>
        <w:t xml:space="preserve">اعتمدها </w:t>
      </w:r>
      <w:r w:rsidRPr="00223233">
        <w:rPr>
          <w:rtl/>
        </w:rPr>
        <w:t>مؤتمر المندوبين المفوضين لعام</w:t>
      </w:r>
      <w:r w:rsidRPr="00223233">
        <w:rPr>
          <w:rFonts w:hint="cs"/>
          <w:rtl/>
        </w:rPr>
        <w:t> </w:t>
      </w:r>
      <w:r w:rsidRPr="00223233">
        <w:t>2010</w:t>
      </w:r>
      <w:r w:rsidRPr="00223233">
        <w:rPr>
          <w:rtl/>
        </w:rPr>
        <w:t xml:space="preserve"> </w:t>
      </w:r>
      <w:r w:rsidRPr="00223233">
        <w:rPr>
          <w:rFonts w:hint="cs"/>
          <w:rtl/>
        </w:rPr>
        <w:t>حدد</w:t>
      </w:r>
      <w:r w:rsidR="0049457B" w:rsidRPr="00223233">
        <w:rPr>
          <w:rFonts w:hint="cs"/>
          <w:rtl/>
        </w:rPr>
        <w:t>ت</w:t>
      </w:r>
      <w:r w:rsidRPr="00223233">
        <w:rPr>
          <w:rFonts w:hint="cs"/>
          <w:rtl/>
        </w:rPr>
        <w:t xml:space="preserve"> </w:t>
      </w:r>
      <w:r w:rsidRPr="00223233">
        <w:rPr>
          <w:rtl/>
        </w:rPr>
        <w:t>سد الفجوة التقييسية</w:t>
      </w:r>
      <w:r w:rsidR="00A60E97">
        <w:rPr>
          <w:rFonts w:hint="eastAsia"/>
          <w:rtl/>
        </w:rPr>
        <w:t> </w:t>
      </w:r>
      <w:r w:rsidR="00F97273" w:rsidRPr="00223233">
        <w:rPr>
          <w:lang w:val="en-US"/>
        </w:rPr>
        <w:t>(BSG)</w:t>
      </w:r>
      <w:r w:rsidRPr="00223233">
        <w:rPr>
          <w:rtl/>
        </w:rPr>
        <w:t xml:space="preserve"> بين البلدان المتقدمة والنامية بين أهداف قطاع تقييس الاتصالات الاستراتيجية الثلاثة.</w:t>
      </w:r>
    </w:p>
    <w:p w:rsidR="0022094C" w:rsidRPr="00223233" w:rsidRDefault="0022094C" w:rsidP="0049457B">
      <w:pPr>
        <w:rPr>
          <w:rtl/>
        </w:rPr>
      </w:pPr>
      <w:r w:rsidRPr="00223233">
        <w:rPr>
          <w:rtl/>
        </w:rPr>
        <w:t xml:space="preserve">والبرامج </w:t>
      </w:r>
      <w:r w:rsidRPr="00223233">
        <w:rPr>
          <w:rFonts w:hint="cs"/>
          <w:rtl/>
        </w:rPr>
        <w:t>الأربعة</w:t>
      </w:r>
      <w:r w:rsidRPr="00223233">
        <w:rPr>
          <w:rtl/>
        </w:rPr>
        <w:t xml:space="preserve"> الرئيسية المحددة في خطة عمل القرار</w:t>
      </w:r>
      <w:r w:rsidRPr="00223233">
        <w:rPr>
          <w:rFonts w:hint="cs"/>
          <w:rtl/>
        </w:rPr>
        <w:t> </w:t>
      </w:r>
      <w:r w:rsidRPr="00223233">
        <w:t>44</w:t>
      </w:r>
      <w:r w:rsidR="0049457B" w:rsidRPr="00223233">
        <w:rPr>
          <w:rFonts w:hint="cs"/>
          <w:rtl/>
        </w:rPr>
        <w:t xml:space="preserve"> للجمعية </w:t>
      </w:r>
      <w:r w:rsidR="0049457B" w:rsidRPr="00223233">
        <w:rPr>
          <w:lang w:val="en-US"/>
        </w:rPr>
        <w:t>WTSA</w:t>
      </w:r>
      <w:r w:rsidR="0049457B" w:rsidRPr="00223233">
        <w:rPr>
          <w:lang w:val="en-US"/>
        </w:rPr>
        <w:noBreakHyphen/>
        <w:t>12</w:t>
      </w:r>
      <w:r w:rsidRPr="00223233">
        <w:rPr>
          <w:rtl/>
        </w:rPr>
        <w:t xml:space="preserve"> هي:</w:t>
      </w:r>
    </w:p>
    <w:p w:rsidR="0022094C" w:rsidRPr="00223233" w:rsidRDefault="0022094C" w:rsidP="0049457B">
      <w:pPr>
        <w:pStyle w:val="enumlev1"/>
        <w:ind w:left="850" w:hanging="850"/>
        <w:rPr>
          <w:rtl/>
        </w:rPr>
      </w:pPr>
      <w:r w:rsidRPr="00223233">
        <w:t>1</w:t>
      </w:r>
      <w:r w:rsidRPr="00223233">
        <w:rPr>
          <w:rtl/>
        </w:rPr>
        <w:tab/>
        <w:t>تعزيز قدرات وضع المعايير</w:t>
      </w:r>
      <w:r w:rsidR="00C75670" w:rsidRPr="00223233">
        <w:rPr>
          <w:rFonts w:hint="cs"/>
          <w:rtl/>
        </w:rPr>
        <w:t>؛</w:t>
      </w:r>
    </w:p>
    <w:p w:rsidR="0022094C" w:rsidRPr="00223233" w:rsidRDefault="0022094C" w:rsidP="0049457B">
      <w:pPr>
        <w:pStyle w:val="enumlev1"/>
        <w:ind w:left="850" w:hanging="850"/>
        <w:rPr>
          <w:rtl/>
        </w:rPr>
      </w:pPr>
      <w:r w:rsidRPr="00223233">
        <w:t>2</w:t>
      </w:r>
      <w:r w:rsidRPr="00223233">
        <w:rPr>
          <w:rtl/>
        </w:rPr>
        <w:tab/>
        <w:t>مساعدة البلدان النامية</w:t>
      </w:r>
      <w:r w:rsidR="0049457B" w:rsidRPr="00223233">
        <w:rPr>
          <w:rFonts w:hint="cs"/>
          <w:rtl/>
        </w:rPr>
        <w:t xml:space="preserve"> ب</w:t>
      </w:r>
      <w:r w:rsidRPr="00223233">
        <w:rPr>
          <w:rtl/>
        </w:rPr>
        <w:t>صدد تطبيق المعايير</w:t>
      </w:r>
      <w:r w:rsidR="00C75670" w:rsidRPr="00223233">
        <w:rPr>
          <w:rFonts w:hint="cs"/>
          <w:rtl/>
        </w:rPr>
        <w:t>؛</w:t>
      </w:r>
    </w:p>
    <w:p w:rsidR="0022094C" w:rsidRPr="00223233" w:rsidRDefault="0022094C" w:rsidP="0022094C">
      <w:pPr>
        <w:pStyle w:val="enumlev1"/>
        <w:ind w:left="850" w:hanging="850"/>
        <w:rPr>
          <w:rtl/>
        </w:rPr>
      </w:pPr>
      <w:r w:rsidRPr="00223233">
        <w:t>3</w:t>
      </w:r>
      <w:r w:rsidRPr="00223233">
        <w:rPr>
          <w:rtl/>
        </w:rPr>
        <w:tab/>
        <w:t>بناء</w:t>
      </w:r>
      <w:r w:rsidR="0049457B" w:rsidRPr="00223233">
        <w:rPr>
          <w:rFonts w:hint="cs"/>
          <w:rtl/>
        </w:rPr>
        <w:t xml:space="preserve"> القدرات من</w:t>
      </w:r>
      <w:r w:rsidRPr="00223233">
        <w:rPr>
          <w:rtl/>
        </w:rPr>
        <w:t xml:space="preserve"> الموارد البشرية</w:t>
      </w:r>
      <w:r w:rsidR="00C75670" w:rsidRPr="00223233">
        <w:rPr>
          <w:rFonts w:hint="cs"/>
          <w:rtl/>
        </w:rPr>
        <w:t>؛</w:t>
      </w:r>
    </w:p>
    <w:p w:rsidR="0022094C" w:rsidRPr="00223233" w:rsidRDefault="0022094C" w:rsidP="006F3BBE">
      <w:pPr>
        <w:pStyle w:val="enumlev1"/>
        <w:ind w:left="850" w:hanging="850"/>
        <w:rPr>
          <w:rtl/>
        </w:rPr>
      </w:pPr>
      <w:proofErr w:type="gramStart"/>
      <w:r w:rsidRPr="00223233">
        <w:t>4</w:t>
      </w:r>
      <w:r w:rsidRPr="00223233">
        <w:rPr>
          <w:rtl/>
        </w:rPr>
        <w:tab/>
        <w:t>إنشاء صندوق تمويل لسد الفجوة التقييسية</w:t>
      </w:r>
      <w:r w:rsidR="006F3BBE" w:rsidRPr="00223233">
        <w:rPr>
          <w:rFonts w:hint="cs"/>
          <w:rtl/>
        </w:rPr>
        <w:t>.</w:t>
      </w:r>
      <w:proofErr w:type="gramEnd"/>
    </w:p>
    <w:p w:rsidR="0022094C" w:rsidRPr="003E78C6" w:rsidRDefault="0022094C" w:rsidP="00A60E97">
      <w:pPr>
        <w:rPr>
          <w:rFonts w:eastAsia="SimSun"/>
          <w:rtl/>
          <w:lang w:val="en-US"/>
        </w:rPr>
      </w:pPr>
      <w:r w:rsidRPr="003E78C6">
        <w:rPr>
          <w:rFonts w:eastAsia="SimSun" w:hint="cs"/>
          <w:rtl/>
          <w:lang w:val="en-US"/>
        </w:rPr>
        <w:t>و</w:t>
      </w:r>
      <w:r w:rsidRPr="003E78C6">
        <w:rPr>
          <w:rFonts w:eastAsia="SimSun"/>
          <w:rtl/>
          <w:lang w:val="en-US"/>
        </w:rPr>
        <w:t xml:space="preserve">منذ عام </w:t>
      </w:r>
      <w:r w:rsidRPr="003E78C6">
        <w:rPr>
          <w:rFonts w:eastAsia="SimSun"/>
          <w:lang w:val="en-US"/>
        </w:rPr>
        <w:t>2007</w:t>
      </w:r>
      <w:r w:rsidRPr="003E78C6">
        <w:rPr>
          <w:rFonts w:eastAsia="SimSun" w:hint="cs"/>
          <w:rtl/>
          <w:lang w:val="en-US"/>
        </w:rPr>
        <w:t xml:space="preserve"> بلغ مجموع البلدان الجديدة المشاركة التي لم تكن تشارك قبل ذلك في أعمال قطاع تقييس الاتصالات </w:t>
      </w:r>
      <w:r w:rsidRPr="003E78C6">
        <w:rPr>
          <w:rFonts w:eastAsia="SimSun"/>
          <w:lang w:val="en-US"/>
        </w:rPr>
        <w:t>41</w:t>
      </w:r>
      <w:r w:rsidR="00A60E97">
        <w:rPr>
          <w:rFonts w:eastAsia="SimSun" w:hint="cs"/>
          <w:rtl/>
          <w:lang w:val="en-US"/>
        </w:rPr>
        <w:t> </w:t>
      </w:r>
      <w:r w:rsidRPr="003E78C6">
        <w:rPr>
          <w:rFonts w:eastAsia="SimSun"/>
          <w:rtl/>
          <w:lang w:val="en-US"/>
        </w:rPr>
        <w:t>بلدا</w:t>
      </w:r>
      <w:r w:rsidRPr="003E78C6">
        <w:rPr>
          <w:rFonts w:eastAsia="SimSun" w:hint="cs"/>
          <w:rtl/>
          <w:lang w:val="en-US"/>
        </w:rPr>
        <w:t>ً</w:t>
      </w:r>
      <w:r w:rsidR="003E78C6" w:rsidRPr="003E78C6">
        <w:rPr>
          <w:rFonts w:eastAsia="SimSun" w:hint="cs"/>
          <w:rtl/>
          <w:lang w:val="en-US"/>
        </w:rPr>
        <w:t>.</w:t>
      </w:r>
      <w:r w:rsidRPr="003E78C6">
        <w:rPr>
          <w:rFonts w:eastAsia="SimSun"/>
          <w:rtl/>
          <w:lang w:val="en-US"/>
        </w:rPr>
        <w:t xml:space="preserve"> وقد شهدت معظم لجان دراسات القطاع زيادة قوية في المشاركة خلال فترة </w:t>
      </w:r>
      <w:r w:rsidR="00312C54" w:rsidRPr="003E78C6">
        <w:rPr>
          <w:rFonts w:eastAsia="SimSun" w:hint="cs"/>
          <w:rtl/>
          <w:lang w:val="en-US"/>
        </w:rPr>
        <w:t>الدراسة</w:t>
      </w:r>
      <w:r w:rsidRPr="003E78C6">
        <w:rPr>
          <w:rFonts w:eastAsia="SimSun"/>
          <w:rtl/>
          <w:lang w:val="en-US"/>
        </w:rPr>
        <w:t xml:space="preserve"> الحالية. وارتفعت بشكل خاص </w:t>
      </w:r>
      <w:r w:rsidRPr="003E78C6">
        <w:rPr>
          <w:rFonts w:eastAsia="SimSun" w:hint="cs"/>
          <w:rtl/>
          <w:lang w:val="en-US"/>
        </w:rPr>
        <w:t>ال</w:t>
      </w:r>
      <w:r w:rsidRPr="003E78C6">
        <w:rPr>
          <w:rFonts w:eastAsia="SimSun"/>
          <w:rtl/>
          <w:lang w:val="en-US"/>
        </w:rPr>
        <w:t>مشاركة</w:t>
      </w:r>
      <w:r w:rsidRPr="003E78C6">
        <w:rPr>
          <w:rFonts w:eastAsia="SimSun" w:hint="cs"/>
          <w:rtl/>
          <w:lang w:val="en-US"/>
        </w:rPr>
        <w:t xml:space="preserve"> من</w:t>
      </w:r>
      <w:r w:rsidRPr="003E78C6">
        <w:rPr>
          <w:rFonts w:eastAsia="SimSun"/>
          <w:rtl/>
          <w:lang w:val="en-US"/>
        </w:rPr>
        <w:t xml:space="preserve"> منطقة إفريقيا</w:t>
      </w:r>
      <w:r w:rsidRPr="003E78C6">
        <w:rPr>
          <w:rFonts w:eastAsia="SimSun" w:hint="cs"/>
          <w:rtl/>
          <w:lang w:val="en-US"/>
        </w:rPr>
        <w:t xml:space="preserve">. </w:t>
      </w:r>
      <w:r w:rsidR="00312C54" w:rsidRPr="003E78C6">
        <w:rPr>
          <w:rFonts w:eastAsia="SimSun" w:hint="cs"/>
          <w:rtl/>
          <w:lang w:val="en-US"/>
        </w:rPr>
        <w:t>وعقد أكثر من نصف ورش العمل المتعلقة بالتقييس خارج جنيف. كما تنظم اجتماعات لجان دراسات قطاع تقييس الاتصالات خارج جنيف لجذب مشاركين من البلدان النامية.</w:t>
      </w:r>
    </w:p>
    <w:p w:rsidR="0022094C" w:rsidRPr="00223233" w:rsidRDefault="0022094C" w:rsidP="00A60E97">
      <w:pPr>
        <w:rPr>
          <w:rtl/>
        </w:rPr>
      </w:pPr>
      <w:r w:rsidRPr="00223233">
        <w:rPr>
          <w:spacing w:val="6"/>
          <w:rtl/>
        </w:rPr>
        <w:t xml:space="preserve">وقد أسس عام </w:t>
      </w:r>
      <w:r w:rsidRPr="00223233">
        <w:rPr>
          <w:spacing w:val="6"/>
        </w:rPr>
        <w:t>2009</w:t>
      </w:r>
      <w:r w:rsidRPr="00223233">
        <w:rPr>
          <w:spacing w:val="6"/>
          <w:rtl/>
        </w:rPr>
        <w:t xml:space="preserve"> فريق مهام داخلي برئاسة مدير </w:t>
      </w:r>
      <w:r w:rsidR="00312C54" w:rsidRPr="00223233">
        <w:rPr>
          <w:spacing w:val="6"/>
          <w:rtl/>
        </w:rPr>
        <w:t>مكتب تقييس الاتصالات</w:t>
      </w:r>
      <w:r w:rsidR="006F3BBE" w:rsidRPr="00223233">
        <w:rPr>
          <w:rFonts w:hint="cs"/>
          <w:spacing w:val="6"/>
          <w:rtl/>
        </w:rPr>
        <w:t xml:space="preserve"> </w:t>
      </w:r>
      <w:r w:rsidR="006F3BBE" w:rsidRPr="00223233">
        <w:rPr>
          <w:spacing w:val="6"/>
          <w:lang w:val="en-US"/>
        </w:rPr>
        <w:t>(TSB)</w:t>
      </w:r>
      <w:r w:rsidR="00312C54" w:rsidRPr="00223233">
        <w:rPr>
          <w:spacing w:val="6"/>
          <w:rtl/>
        </w:rPr>
        <w:t>، وضم ممثل</w:t>
      </w:r>
      <w:r w:rsidR="00312C54" w:rsidRPr="00223233">
        <w:rPr>
          <w:rFonts w:hint="cs"/>
          <w:spacing w:val="6"/>
          <w:rtl/>
        </w:rPr>
        <w:t xml:space="preserve">ين </w:t>
      </w:r>
      <w:r w:rsidRPr="00223233">
        <w:rPr>
          <w:spacing w:val="6"/>
          <w:rtl/>
        </w:rPr>
        <w:t>عن مكتب تنمية الاتصالات</w:t>
      </w:r>
      <w:r w:rsidR="00A60E97">
        <w:rPr>
          <w:rFonts w:hint="eastAsia"/>
          <w:spacing w:val="6"/>
          <w:rtl/>
        </w:rPr>
        <w:t> </w:t>
      </w:r>
      <w:r w:rsidR="006F3BBE" w:rsidRPr="00223233">
        <w:rPr>
          <w:spacing w:val="6"/>
          <w:lang w:val="en-US"/>
        </w:rPr>
        <w:t>(</w:t>
      </w:r>
      <w:r w:rsidR="005A10AB" w:rsidRPr="00223233">
        <w:rPr>
          <w:spacing w:val="6"/>
          <w:lang w:val="en-US"/>
        </w:rPr>
        <w:t>BDT</w:t>
      </w:r>
      <w:r w:rsidR="006F3BBE" w:rsidRPr="00223233">
        <w:rPr>
          <w:spacing w:val="6"/>
          <w:lang w:val="en-US"/>
        </w:rPr>
        <w:t>)</w:t>
      </w:r>
      <w:r w:rsidRPr="00223233">
        <w:rPr>
          <w:rFonts w:hint="cs"/>
          <w:rtl/>
        </w:rPr>
        <w:t xml:space="preserve"> و</w:t>
      </w:r>
      <w:r w:rsidR="00312C54" w:rsidRPr="00223233">
        <w:rPr>
          <w:rFonts w:hint="cs"/>
          <w:rtl/>
        </w:rPr>
        <w:t>المكاتب الإقليمية للاتحاد</w:t>
      </w:r>
      <w:r w:rsidRPr="00223233">
        <w:rPr>
          <w:rtl/>
        </w:rPr>
        <w:t xml:space="preserve">، </w:t>
      </w:r>
      <w:r w:rsidR="00312C54" w:rsidRPr="00223233">
        <w:rPr>
          <w:rFonts w:hint="cs"/>
          <w:rtl/>
        </w:rPr>
        <w:t xml:space="preserve">لمراقبة </w:t>
      </w:r>
      <w:r w:rsidRPr="00223233">
        <w:rPr>
          <w:rtl/>
        </w:rPr>
        <w:t>تنفيذ خطة العمل الواردة في القرار</w:t>
      </w:r>
      <w:r w:rsidRPr="00223233">
        <w:rPr>
          <w:rFonts w:hint="cs"/>
          <w:rtl/>
        </w:rPr>
        <w:t> </w:t>
      </w:r>
      <w:r w:rsidRPr="00223233">
        <w:t>44</w:t>
      </w:r>
      <w:r w:rsidRPr="00223233">
        <w:rPr>
          <w:rtl/>
        </w:rPr>
        <w:t>.</w:t>
      </w:r>
    </w:p>
    <w:p w:rsidR="0022094C" w:rsidRPr="00223233" w:rsidRDefault="0022094C" w:rsidP="00312C54">
      <w:pPr>
        <w:rPr>
          <w:rtl/>
        </w:rPr>
      </w:pPr>
      <w:r w:rsidRPr="00223233">
        <w:rPr>
          <w:rtl/>
        </w:rPr>
        <w:t>و</w:t>
      </w:r>
      <w:r w:rsidR="00312C54" w:rsidRPr="00223233">
        <w:rPr>
          <w:rFonts w:hint="cs"/>
          <w:rtl/>
        </w:rPr>
        <w:t>يرد في الملحق حالة</w:t>
      </w:r>
      <w:r w:rsidRPr="00223233">
        <w:rPr>
          <w:rtl/>
        </w:rPr>
        <w:t xml:space="preserve"> تنفيذ البرامج </w:t>
      </w:r>
      <w:r w:rsidRPr="00223233">
        <w:rPr>
          <w:rFonts w:hint="cs"/>
          <w:rtl/>
        </w:rPr>
        <w:t>الأربعة</w:t>
      </w:r>
      <w:r w:rsidR="00312C54" w:rsidRPr="00223233">
        <w:rPr>
          <w:rFonts w:hint="cs"/>
          <w:rtl/>
        </w:rPr>
        <w:t xml:space="preserve"> الواردة في القرار </w:t>
      </w:r>
      <w:r w:rsidR="00312C54" w:rsidRPr="00223233">
        <w:rPr>
          <w:lang w:val="en-US"/>
        </w:rPr>
        <w:t>44</w:t>
      </w:r>
      <w:r w:rsidR="00312C54" w:rsidRPr="00223233">
        <w:rPr>
          <w:rFonts w:hint="cs"/>
          <w:rtl/>
          <w:lang w:val="en-US"/>
        </w:rPr>
        <w:t xml:space="preserve"> للجمعية العالمية لتقييس الاتصالات</w:t>
      </w:r>
      <w:r w:rsidRPr="00223233">
        <w:rPr>
          <w:rtl/>
        </w:rPr>
        <w:t xml:space="preserve"> للفترة </w:t>
      </w:r>
      <w:r w:rsidRPr="00223233">
        <w:t>2014</w:t>
      </w:r>
      <w:r w:rsidRPr="00223233">
        <w:noBreakHyphen/>
        <w:t>2010</w:t>
      </w:r>
      <w:r w:rsidRPr="00223233">
        <w:rPr>
          <w:rtl/>
        </w:rPr>
        <w:t>.</w:t>
      </w:r>
    </w:p>
    <w:p w:rsidR="0022094C" w:rsidRPr="00223233" w:rsidRDefault="0022094C" w:rsidP="00CE039B">
      <w:pPr>
        <w:pStyle w:val="Heading1"/>
        <w:rPr>
          <w:rtl/>
          <w:lang w:val="en-US" w:bidi="ar-SA"/>
        </w:rPr>
      </w:pPr>
      <w:r w:rsidRPr="00223233">
        <w:rPr>
          <w:lang w:val="en-US" w:bidi="ar-SA"/>
        </w:rPr>
        <w:t>2</w:t>
      </w:r>
      <w:r w:rsidRPr="00223233">
        <w:rPr>
          <w:rtl/>
          <w:lang w:val="en-US" w:bidi="ar-SA"/>
        </w:rPr>
        <w:tab/>
      </w:r>
      <w:r w:rsidRPr="00223233">
        <w:rPr>
          <w:rFonts w:hint="cs"/>
          <w:rtl/>
          <w:lang w:val="en-US" w:bidi="ar-SA"/>
        </w:rPr>
        <w:t xml:space="preserve">البرنامج </w:t>
      </w:r>
      <w:r w:rsidRPr="00223233">
        <w:rPr>
          <w:lang w:val="en-US" w:bidi="ar-SA"/>
        </w:rPr>
        <w:t>1</w:t>
      </w:r>
      <w:r w:rsidRPr="00223233">
        <w:rPr>
          <w:rFonts w:hint="cs"/>
          <w:rtl/>
          <w:lang w:val="en-US" w:bidi="ar-SA"/>
        </w:rPr>
        <w:t xml:space="preserve">: </w:t>
      </w:r>
      <w:r w:rsidR="00CE039B" w:rsidRPr="00223233">
        <w:rPr>
          <w:rtl/>
          <w:lang w:bidi="ar-SA"/>
        </w:rPr>
        <w:t>تعزيز قدرات وضع المعايير</w:t>
      </w:r>
    </w:p>
    <w:p w:rsidR="0022094C" w:rsidRPr="00223233" w:rsidRDefault="0022094C" w:rsidP="0022094C">
      <w:pPr>
        <w:pStyle w:val="Heading2"/>
        <w:tabs>
          <w:tab w:val="clear" w:pos="1134"/>
        </w:tabs>
        <w:ind w:left="850" w:hanging="850"/>
        <w:rPr>
          <w:position w:val="0"/>
          <w:rtl/>
          <w:lang w:bidi="ar-SA"/>
        </w:rPr>
      </w:pPr>
      <w:r w:rsidRPr="00223233">
        <w:rPr>
          <w:position w:val="0"/>
          <w:lang w:bidi="ar-SA"/>
        </w:rPr>
        <w:t>1.2</w:t>
      </w:r>
      <w:r w:rsidRPr="00223233">
        <w:rPr>
          <w:rFonts w:hint="cs"/>
          <w:position w:val="0"/>
          <w:rtl/>
          <w:lang w:bidi="ar-SA"/>
        </w:rPr>
        <w:tab/>
      </w:r>
      <w:r w:rsidRPr="00223233">
        <w:rPr>
          <w:position w:val="0"/>
          <w:rtl/>
          <w:lang w:bidi="ar-SA"/>
        </w:rPr>
        <w:t>مؤشر القدرة على وضع المعايير</w:t>
      </w:r>
    </w:p>
    <w:p w:rsidR="0022094C" w:rsidRPr="00223233" w:rsidRDefault="00BE2730" w:rsidP="005A10AB">
      <w:pPr>
        <w:rPr>
          <w:rFonts w:eastAsia="SimSun"/>
          <w:spacing w:val="4"/>
          <w:rtl/>
          <w:lang w:val="en-US" w:bidi="ar-SA"/>
        </w:rPr>
      </w:pPr>
      <w:r w:rsidRPr="00223233">
        <w:rPr>
          <w:rFonts w:hint="cs"/>
          <w:spacing w:val="6"/>
          <w:rtl/>
          <w:lang w:val="en-US"/>
        </w:rPr>
        <w:t xml:space="preserve">أجرى مكتب تقييس الاتصالات دراسة في عام </w:t>
      </w:r>
      <w:r w:rsidRPr="00223233">
        <w:rPr>
          <w:spacing w:val="6"/>
          <w:lang w:val="en-US"/>
        </w:rPr>
        <w:t>2011</w:t>
      </w:r>
      <w:r w:rsidRPr="00223233">
        <w:rPr>
          <w:rFonts w:hint="cs"/>
          <w:spacing w:val="6"/>
          <w:rtl/>
          <w:lang w:val="en-US"/>
        </w:rPr>
        <w:t xml:space="preserve"> لتقييم قدرات التقييس لدى البلدان النامية. وأجريت هذه الدراسة </w:t>
      </w:r>
      <w:r w:rsidR="0022094C" w:rsidRPr="00223233">
        <w:rPr>
          <w:rFonts w:eastAsia="SimSun" w:hint="cs"/>
          <w:spacing w:val="6"/>
          <w:rtl/>
        </w:rPr>
        <w:t>بالدعم السخي لوزارة العلوم وتكنولوجيا المعلومات والاتصالات والتخطيط المستقبلي، جمهورية كوريا.</w:t>
      </w:r>
      <w:r w:rsidRPr="00223233">
        <w:rPr>
          <w:rFonts w:eastAsia="SimSun" w:hint="cs"/>
          <w:spacing w:val="6"/>
          <w:rtl/>
        </w:rPr>
        <w:t xml:space="preserve"> ورابطة</w:t>
      </w:r>
      <w:r w:rsidRPr="00223233">
        <w:rPr>
          <w:rFonts w:eastAsia="SimSun" w:hint="cs"/>
          <w:spacing w:val="4"/>
          <w:rtl/>
        </w:rPr>
        <w:t xml:space="preserve"> </w:t>
      </w:r>
      <w:r w:rsidR="007F414F" w:rsidRPr="00223233">
        <w:rPr>
          <w:rFonts w:eastAsia="SimSun" w:hint="cs"/>
          <w:spacing w:val="4"/>
          <w:rtl/>
        </w:rPr>
        <w:t>تكنولوجيا الاتصالات </w:t>
      </w:r>
      <w:r w:rsidR="007F414F" w:rsidRPr="00223233">
        <w:rPr>
          <w:rFonts w:eastAsia="SimSun"/>
          <w:spacing w:val="4"/>
          <w:lang w:val="en-US"/>
        </w:rPr>
        <w:t>(TTA)</w:t>
      </w:r>
      <w:r w:rsidR="0022094C" w:rsidRPr="00223233">
        <w:rPr>
          <w:rFonts w:eastAsia="SimSun" w:hint="cs"/>
          <w:spacing w:val="4"/>
          <w:rtl/>
          <w:lang w:val="en-US" w:bidi="ar-SA"/>
        </w:rPr>
        <w:t>.</w:t>
      </w:r>
    </w:p>
    <w:p w:rsidR="0022094C" w:rsidRPr="00223233" w:rsidRDefault="007F414F" w:rsidP="007F414F">
      <w:pPr>
        <w:rPr>
          <w:rtl/>
        </w:rPr>
      </w:pPr>
      <w:r w:rsidRPr="00223233">
        <w:rPr>
          <w:rFonts w:hint="cs"/>
          <w:rtl/>
        </w:rPr>
        <w:t>ومن بين النتائج الرئيسية للدراسة أن الافتقار إلى فهم أهم معايير تكنولوجيا المعلومات والاتصالات تمثل عائقاً أمام مشاركة البلدان النامية في تقييس تكنولوجيا المعلومات والاتصالات وهو ما أدى إلى عدم كفاية التمويل المخصص لأعمال التنسيق على المستوى الوطني للمشاركة في منديات المعايير الدولية. وعدم التكافؤ هذا في قدرات التقييس يواصل الإسهام في استمرار الفجوة الرقمية بين العالمين المتقدم والنامي. ومن بين توصيات الدراسات من أجل تحسين قدرات التقييس لدى البلدان النامية إنشاء أمانة وطنية للتقييس بتنسيق أنشطة تقييس تكنولوجيا المعلومات والاتصالات والمشاركة في لجان دراسات قطاع تقييس الاتصالات.</w:t>
      </w:r>
    </w:p>
    <w:p w:rsidR="0022094C" w:rsidRPr="00223233" w:rsidRDefault="0022094C" w:rsidP="0022094C">
      <w:pPr>
        <w:pStyle w:val="Heading2"/>
        <w:tabs>
          <w:tab w:val="clear" w:pos="1134"/>
        </w:tabs>
        <w:ind w:left="850" w:hanging="850"/>
        <w:rPr>
          <w:position w:val="0"/>
          <w:rtl/>
          <w:lang w:bidi="ar-SA"/>
        </w:rPr>
      </w:pPr>
      <w:r w:rsidRPr="00223233">
        <w:rPr>
          <w:position w:val="0"/>
          <w:lang w:bidi="ar-SA"/>
        </w:rPr>
        <w:lastRenderedPageBreak/>
        <w:t>2.2</w:t>
      </w:r>
      <w:r w:rsidRPr="00223233">
        <w:rPr>
          <w:position w:val="0"/>
          <w:rtl/>
          <w:lang w:bidi="ar-SA"/>
        </w:rPr>
        <w:tab/>
      </w:r>
      <w:r w:rsidRPr="00223233">
        <w:rPr>
          <w:rFonts w:hint="cs"/>
          <w:position w:val="0"/>
          <w:rtl/>
          <w:lang w:bidi="ar-SA"/>
        </w:rPr>
        <w:t>التقارير والكتيبات</w:t>
      </w:r>
      <w:r w:rsidRPr="00223233">
        <w:rPr>
          <w:position w:val="0"/>
          <w:rtl/>
          <w:lang w:bidi="ar-SA"/>
        </w:rPr>
        <w:t xml:space="preserve"> التقنية</w:t>
      </w:r>
    </w:p>
    <w:p w:rsidR="0022094C" w:rsidRPr="00223233" w:rsidRDefault="0022094C" w:rsidP="0022094C">
      <w:pPr>
        <w:rPr>
          <w:rtl/>
          <w:lang w:bidi="ar-SA"/>
        </w:rPr>
      </w:pPr>
      <w:r w:rsidRPr="00223233">
        <w:rPr>
          <w:rtl/>
          <w:lang w:bidi="ar-SY"/>
        </w:rPr>
        <w:t xml:space="preserve">أعدت </w:t>
      </w:r>
      <w:r w:rsidRPr="00223233">
        <w:rPr>
          <w:rFonts w:hint="cs"/>
          <w:rtl/>
          <w:lang w:bidi="ar-SY"/>
        </w:rPr>
        <w:t xml:space="preserve">الكتيبات </w:t>
      </w:r>
      <w:r w:rsidRPr="00223233">
        <w:rPr>
          <w:rtl/>
          <w:lang w:bidi="ar-SY"/>
        </w:rPr>
        <w:t xml:space="preserve">التقنية المذكورة أدناه خلال الفترة </w:t>
      </w:r>
      <w:r w:rsidRPr="00223233">
        <w:rPr>
          <w:lang w:bidi="ar-SY"/>
        </w:rPr>
        <w:t>2014</w:t>
      </w:r>
      <w:r w:rsidRPr="00223233">
        <w:rPr>
          <w:lang w:bidi="ar-SY"/>
        </w:rPr>
        <w:noBreakHyphen/>
        <w:t>2010</w:t>
      </w:r>
      <w:r w:rsidRPr="00223233">
        <w:rPr>
          <w:rtl/>
          <w:lang w:bidi="ar-SY"/>
        </w:rPr>
        <w:t xml:space="preserve"> لتزويد البلدان النامية بمزيدٍ من المعلومات عن أفضل الممارسات لتنفيذ توصيات قطاع تقييس الاتصالات:</w:t>
      </w:r>
    </w:p>
    <w:p w:rsidR="0022094C" w:rsidRPr="00223233" w:rsidRDefault="0022094C" w:rsidP="0022094C">
      <w:pPr>
        <w:pStyle w:val="enumlev1"/>
        <w:ind w:left="850" w:hanging="850"/>
        <w:rPr>
          <w:rtl/>
          <w:lang w:bidi="ar-SA"/>
        </w:rPr>
      </w:pPr>
      <w:r w:rsidRPr="00223233">
        <w:rPr>
          <w:lang w:bidi="ar-SY"/>
        </w:rPr>
        <w:sym w:font="Symbol" w:char="F0B7"/>
      </w:r>
      <w:r w:rsidRPr="00223233">
        <w:rPr>
          <w:rtl/>
          <w:lang w:bidi="ar-SY"/>
        </w:rPr>
        <w:tab/>
      </w:r>
      <w:hyperlink r:id="rId10" w:history="1">
        <w:r w:rsidRPr="00223233">
          <w:rPr>
            <w:rStyle w:val="Hyperlink"/>
            <w:rtl/>
            <w:lang w:bidi="ar-SY"/>
          </w:rPr>
          <w:t xml:space="preserve">كتيب بشأن كبلات وأنظمة الألياف البصرية </w:t>
        </w:r>
        <w:r w:rsidRPr="00223233">
          <w:rPr>
            <w:rStyle w:val="Hyperlink"/>
            <w:lang w:bidi="ar-SY"/>
          </w:rPr>
          <w:t>(2009)</w:t>
        </w:r>
      </w:hyperlink>
    </w:p>
    <w:p w:rsidR="0022094C" w:rsidRPr="00223233" w:rsidRDefault="0022094C" w:rsidP="0022094C">
      <w:pPr>
        <w:pStyle w:val="enumlev1"/>
        <w:ind w:left="850" w:hanging="850"/>
        <w:rPr>
          <w:rtl/>
          <w:lang w:bidi="ar-SY"/>
        </w:rPr>
      </w:pPr>
      <w:r w:rsidRPr="00223233">
        <w:rPr>
          <w:lang w:bidi="ar-SY"/>
        </w:rPr>
        <w:sym w:font="Symbol" w:char="F0B7"/>
      </w:r>
      <w:r w:rsidRPr="00223233">
        <w:rPr>
          <w:rtl/>
          <w:lang w:bidi="ar-SY"/>
        </w:rPr>
        <w:tab/>
      </w:r>
      <w:hyperlink r:id="rId11" w:history="1">
        <w:r w:rsidRPr="00223233">
          <w:rPr>
            <w:rStyle w:val="Hyperlink"/>
            <w:rtl/>
            <w:lang w:bidi="ar-SY"/>
          </w:rPr>
          <w:t>نشر الشبكات القائمة على الرزم</w:t>
        </w:r>
        <w:r w:rsidRPr="00223233">
          <w:rPr>
            <w:rStyle w:val="Hyperlink"/>
            <w:rFonts w:hint="cs"/>
            <w:rtl/>
            <w:lang w:bidi="ar-SY"/>
          </w:rPr>
          <w:t xml:space="preserve"> </w:t>
        </w:r>
        <w:r w:rsidRPr="00223233">
          <w:rPr>
            <w:rStyle w:val="Hyperlink"/>
            <w:lang w:bidi="ar-SY"/>
          </w:rPr>
          <w:t>(2010)</w:t>
        </w:r>
      </w:hyperlink>
    </w:p>
    <w:p w:rsidR="0022094C" w:rsidRPr="00223233" w:rsidRDefault="0022094C" w:rsidP="0022094C">
      <w:pPr>
        <w:pStyle w:val="enumlev1"/>
        <w:ind w:left="850" w:hanging="850"/>
        <w:rPr>
          <w:rtl/>
          <w:lang w:bidi="ar-SA"/>
        </w:rPr>
      </w:pPr>
      <w:r w:rsidRPr="00223233">
        <w:rPr>
          <w:lang w:bidi="ar-SY"/>
        </w:rPr>
        <w:sym w:font="Symbol" w:char="F0B7"/>
      </w:r>
      <w:r w:rsidRPr="00223233">
        <w:rPr>
          <w:rtl/>
          <w:lang w:bidi="ar-SY"/>
        </w:rPr>
        <w:tab/>
      </w:r>
      <w:hyperlink r:id="rId12" w:history="1">
        <w:r w:rsidRPr="00223233">
          <w:rPr>
            <w:rStyle w:val="Hyperlink"/>
            <w:rtl/>
            <w:lang w:bidi="ar-SY"/>
          </w:rPr>
          <w:t xml:space="preserve">قصة الخط الرقمي للمشترك </w:t>
        </w:r>
        <w:r w:rsidRPr="00223233">
          <w:rPr>
            <w:rStyle w:val="Hyperlink"/>
            <w:lang w:bidi="ar-SY"/>
          </w:rPr>
          <w:t>(DSL)</w:t>
        </w:r>
        <w:r w:rsidRPr="00223233">
          <w:rPr>
            <w:rStyle w:val="Hyperlink"/>
            <w:rFonts w:hint="cs"/>
            <w:rtl/>
            <w:lang w:bidi="ar-SA"/>
          </w:rPr>
          <w:t xml:space="preserve"> </w:t>
        </w:r>
        <w:r w:rsidRPr="00223233">
          <w:rPr>
            <w:rStyle w:val="Hyperlink"/>
            <w:lang w:bidi="ar-SY"/>
          </w:rPr>
          <w:t>(2010)</w:t>
        </w:r>
      </w:hyperlink>
    </w:p>
    <w:p w:rsidR="0022094C" w:rsidRPr="00223233" w:rsidRDefault="0022094C" w:rsidP="0022094C">
      <w:pPr>
        <w:pStyle w:val="enumlev1"/>
        <w:ind w:left="850" w:hanging="850"/>
        <w:rPr>
          <w:rtl/>
          <w:lang w:bidi="ar-SA"/>
        </w:rPr>
      </w:pPr>
      <w:r w:rsidRPr="00223233">
        <w:rPr>
          <w:lang w:bidi="ar-SY"/>
        </w:rPr>
        <w:sym w:font="Symbol" w:char="F0B7"/>
      </w:r>
      <w:r w:rsidRPr="00223233">
        <w:rPr>
          <w:rtl/>
          <w:lang w:bidi="ar-SY"/>
        </w:rPr>
        <w:tab/>
      </w:r>
      <w:hyperlink r:id="rId13" w:history="1">
        <w:r w:rsidRPr="00223233">
          <w:rPr>
            <w:rStyle w:val="Hyperlink"/>
            <w:rtl/>
            <w:lang w:bidi="ar-SY"/>
          </w:rPr>
          <w:t>الشبكات المتقاربة</w:t>
        </w:r>
        <w:r w:rsidRPr="00223233">
          <w:rPr>
            <w:rStyle w:val="Hyperlink"/>
            <w:rFonts w:hint="cs"/>
            <w:rtl/>
            <w:lang w:bidi="ar-SA"/>
          </w:rPr>
          <w:t xml:space="preserve"> </w:t>
        </w:r>
        <w:r w:rsidRPr="00223233">
          <w:rPr>
            <w:rStyle w:val="Hyperlink"/>
            <w:lang w:bidi="ar-SY"/>
          </w:rPr>
          <w:t>(2010)</w:t>
        </w:r>
      </w:hyperlink>
    </w:p>
    <w:p w:rsidR="0022094C" w:rsidRPr="00223233" w:rsidRDefault="0022094C" w:rsidP="0022094C">
      <w:pPr>
        <w:pStyle w:val="enumlev1"/>
        <w:ind w:left="554" w:hanging="532"/>
        <w:rPr>
          <w:rtl/>
          <w:lang w:bidi="ar-SY"/>
        </w:rPr>
      </w:pPr>
      <w:r w:rsidRPr="00223233">
        <w:rPr>
          <w:lang w:bidi="ar-SY"/>
        </w:rPr>
        <w:sym w:font="Symbol" w:char="F0B7"/>
      </w:r>
      <w:r w:rsidRPr="00223233">
        <w:rPr>
          <w:rtl/>
          <w:lang w:bidi="ar-SY"/>
        </w:rPr>
        <w:tab/>
      </w:r>
      <w:hyperlink r:id="rId14" w:history="1">
        <w:r w:rsidRPr="00223233">
          <w:rPr>
            <w:rStyle w:val="Hyperlink"/>
            <w:rFonts w:hint="cs"/>
            <w:spacing w:val="-6"/>
            <w:rtl/>
            <w:lang w:bidi="ar-SY"/>
          </w:rPr>
          <w:t xml:space="preserve">كتيب </w:t>
        </w:r>
        <w:r w:rsidRPr="00223233">
          <w:rPr>
            <w:rStyle w:val="Hyperlink"/>
            <w:spacing w:val="-6"/>
            <w:rtl/>
            <w:lang w:bidi="ar-SY"/>
          </w:rPr>
          <w:t xml:space="preserve">قطاع تقييس الاتصالات </w:t>
        </w:r>
        <w:r w:rsidRPr="00223233">
          <w:rPr>
            <w:rStyle w:val="Hyperlink"/>
            <w:rFonts w:hint="cs"/>
            <w:spacing w:val="-6"/>
            <w:rtl/>
            <w:lang w:bidi="ar-SY"/>
          </w:rPr>
          <w:t xml:space="preserve">بشأن </w:t>
        </w:r>
        <w:r w:rsidRPr="00223233">
          <w:rPr>
            <w:rStyle w:val="Hyperlink"/>
            <w:spacing w:val="-6"/>
            <w:rtl/>
            <w:lang w:bidi="ar-SY"/>
          </w:rPr>
          <w:t>شبكات النقل البصرية</w:t>
        </w:r>
        <w:r w:rsidRPr="00223233">
          <w:rPr>
            <w:rStyle w:val="Hyperlink"/>
            <w:rFonts w:hint="cs"/>
            <w:spacing w:val="-6"/>
            <w:rtl/>
            <w:lang w:bidi="ar-SY"/>
          </w:rPr>
          <w:t>:</w:t>
        </w:r>
        <w:r w:rsidRPr="00223233">
          <w:rPr>
            <w:rStyle w:val="Hyperlink"/>
            <w:spacing w:val="-6"/>
            <w:rtl/>
            <w:lang w:bidi="ar-SY"/>
          </w:rPr>
          <w:t xml:space="preserve"> من الإرسال المتعدد بتقسيم زمني إلى الإرسال بأسلوب الرزم </w:t>
        </w:r>
        <w:r w:rsidRPr="00223233">
          <w:rPr>
            <w:rStyle w:val="Hyperlink"/>
            <w:spacing w:val="-6"/>
            <w:lang w:bidi="ar-SY"/>
          </w:rPr>
          <w:t>(2010)</w:t>
        </w:r>
      </w:hyperlink>
    </w:p>
    <w:p w:rsidR="0022094C" w:rsidRPr="00223233" w:rsidRDefault="0022094C" w:rsidP="0022094C">
      <w:pPr>
        <w:pStyle w:val="enumlev1"/>
        <w:ind w:left="850" w:hanging="850"/>
        <w:rPr>
          <w:rtl/>
          <w:lang w:bidi="ar-SA"/>
        </w:rPr>
      </w:pPr>
      <w:r w:rsidRPr="00223233">
        <w:rPr>
          <w:lang w:bidi="ar-SY"/>
        </w:rPr>
        <w:sym w:font="Symbol" w:char="F0B7"/>
      </w:r>
      <w:r w:rsidRPr="00223233">
        <w:rPr>
          <w:rtl/>
          <w:lang w:bidi="ar-SY"/>
        </w:rPr>
        <w:tab/>
      </w:r>
      <w:hyperlink r:id="rId15" w:history="1">
        <w:r w:rsidRPr="00223233">
          <w:rPr>
            <w:rStyle w:val="Hyperlink"/>
            <w:rtl/>
            <w:lang w:bidi="ar-SY"/>
          </w:rPr>
          <w:t xml:space="preserve">معرّفات الأشياء </w:t>
        </w:r>
        <w:r w:rsidRPr="00223233">
          <w:rPr>
            <w:rStyle w:val="Hyperlink"/>
            <w:lang w:bidi="ar-SY"/>
          </w:rPr>
          <w:t>(OID)</w:t>
        </w:r>
        <w:r w:rsidRPr="00223233">
          <w:rPr>
            <w:rStyle w:val="Hyperlink"/>
            <w:rtl/>
            <w:lang w:bidi="ar-SY"/>
          </w:rPr>
          <w:t xml:space="preserve"> وسلطات التسجيل الخاصة بها </w:t>
        </w:r>
        <w:r w:rsidRPr="00223233">
          <w:rPr>
            <w:rStyle w:val="Hyperlink"/>
            <w:lang w:bidi="ar-SY"/>
          </w:rPr>
          <w:t>(2010)</w:t>
        </w:r>
      </w:hyperlink>
    </w:p>
    <w:p w:rsidR="0022094C" w:rsidRPr="00223233" w:rsidRDefault="0022094C" w:rsidP="0022094C">
      <w:pPr>
        <w:pStyle w:val="enumlev1"/>
        <w:ind w:left="850" w:hanging="850"/>
        <w:rPr>
          <w:rtl/>
          <w:lang w:bidi="ar-SA"/>
        </w:rPr>
      </w:pPr>
      <w:r w:rsidRPr="00223233">
        <w:rPr>
          <w:lang w:bidi="ar-SY"/>
        </w:rPr>
        <w:sym w:font="Symbol" w:char="F0B7"/>
      </w:r>
      <w:r w:rsidRPr="00223233">
        <w:rPr>
          <w:rtl/>
          <w:lang w:bidi="ar-SY"/>
        </w:rPr>
        <w:tab/>
      </w:r>
      <w:hyperlink r:id="rId16" w:history="1">
        <w:r w:rsidRPr="00223233">
          <w:rPr>
            <w:rStyle w:val="Hyperlink"/>
            <w:rtl/>
            <w:lang w:bidi="ar-SY"/>
          </w:rPr>
          <w:t xml:space="preserve">الإجراءات العملية للاختبار الشخصي </w:t>
        </w:r>
        <w:r w:rsidRPr="00223233">
          <w:rPr>
            <w:rStyle w:val="Hyperlink"/>
            <w:lang w:bidi="ar-SY"/>
          </w:rPr>
          <w:t>(2011)</w:t>
        </w:r>
      </w:hyperlink>
    </w:p>
    <w:p w:rsidR="0022094C" w:rsidRPr="00223233" w:rsidRDefault="0022094C" w:rsidP="0022094C">
      <w:pPr>
        <w:pStyle w:val="enumlev1"/>
        <w:ind w:left="850" w:hanging="850"/>
        <w:rPr>
          <w:rtl/>
          <w:lang w:bidi="ar-SY"/>
        </w:rPr>
      </w:pPr>
      <w:r w:rsidRPr="00223233">
        <w:rPr>
          <w:lang w:bidi="ar-SY"/>
        </w:rPr>
        <w:sym w:font="Symbol" w:char="F0B7"/>
      </w:r>
      <w:r w:rsidRPr="00223233">
        <w:rPr>
          <w:rtl/>
          <w:lang w:bidi="ar-SY"/>
        </w:rPr>
        <w:tab/>
      </w:r>
      <w:hyperlink r:id="rId17" w:history="1">
        <w:r w:rsidRPr="00223233">
          <w:rPr>
            <w:rStyle w:val="Hyperlink"/>
            <w:rtl/>
            <w:lang w:bidi="ar-SY"/>
          </w:rPr>
          <w:t xml:space="preserve">الأمن في الاتصالات وتكنولوجيا المعلومات </w:t>
        </w:r>
        <w:r w:rsidRPr="00223233">
          <w:rPr>
            <w:rStyle w:val="Hyperlink"/>
            <w:lang w:bidi="ar-SY"/>
          </w:rPr>
          <w:t>(2011)</w:t>
        </w:r>
      </w:hyperlink>
    </w:p>
    <w:p w:rsidR="0022094C" w:rsidRPr="00223233" w:rsidRDefault="0022094C" w:rsidP="0022094C">
      <w:pPr>
        <w:pStyle w:val="enumlev1"/>
        <w:ind w:left="850" w:hanging="850"/>
        <w:rPr>
          <w:rtl/>
          <w:lang w:bidi="ar-SA"/>
        </w:rPr>
      </w:pPr>
      <w:r w:rsidRPr="00223233">
        <w:rPr>
          <w:lang w:bidi="ar-SY"/>
        </w:rPr>
        <w:sym w:font="Symbol" w:char="F0B7"/>
      </w:r>
      <w:r w:rsidRPr="00223233">
        <w:rPr>
          <w:rtl/>
          <w:lang w:bidi="ar-SY"/>
        </w:rPr>
        <w:tab/>
      </w:r>
      <w:hyperlink r:id="rId18" w:history="1">
        <w:r w:rsidRPr="00223233">
          <w:rPr>
            <w:rStyle w:val="Hyperlink"/>
            <w:rtl/>
            <w:lang w:bidi="ar-SY"/>
          </w:rPr>
          <w:t>شبكات النفاذ عريض النطاق السلكي وللربط الشبكي المنزلي</w:t>
        </w:r>
        <w:r w:rsidRPr="00223233">
          <w:rPr>
            <w:rStyle w:val="Hyperlink"/>
            <w:rFonts w:hint="cs"/>
            <w:rtl/>
            <w:lang w:bidi="ar-SY"/>
          </w:rPr>
          <w:t xml:space="preserve"> </w:t>
        </w:r>
        <w:r w:rsidRPr="00223233">
          <w:rPr>
            <w:rStyle w:val="Hyperlink"/>
            <w:lang w:bidi="ar-SY"/>
          </w:rPr>
          <w:t>(2011)</w:t>
        </w:r>
      </w:hyperlink>
    </w:p>
    <w:p w:rsidR="0022094C" w:rsidRPr="00223233" w:rsidRDefault="0022094C" w:rsidP="0022094C">
      <w:pPr>
        <w:pStyle w:val="enumlev1"/>
        <w:ind w:left="850" w:hanging="850"/>
        <w:rPr>
          <w:rtl/>
          <w:lang w:bidi="ar-SA"/>
        </w:rPr>
      </w:pPr>
      <w:r w:rsidRPr="00223233">
        <w:rPr>
          <w:rFonts w:hint="cs"/>
          <w:lang w:bidi="ar-SA"/>
        </w:rPr>
        <w:sym w:font="Symbol" w:char="F0B7"/>
      </w:r>
      <w:r w:rsidRPr="00223233">
        <w:rPr>
          <w:rtl/>
          <w:lang w:bidi="ar-SA"/>
        </w:rPr>
        <w:tab/>
      </w:r>
      <w:hyperlink r:id="rId19" w:history="1">
        <w:r w:rsidRPr="00223233">
          <w:rPr>
            <w:rStyle w:val="Hyperlink"/>
            <w:rFonts w:hint="cs"/>
            <w:rtl/>
            <w:lang w:bidi="ar-SA"/>
          </w:rPr>
          <w:t xml:space="preserve">شبكات المستقبل </w:t>
        </w:r>
        <w:r w:rsidRPr="00223233">
          <w:rPr>
            <w:rStyle w:val="Hyperlink"/>
            <w:lang w:bidi="ar-SY"/>
          </w:rPr>
          <w:t>(2012)</w:t>
        </w:r>
      </w:hyperlink>
    </w:p>
    <w:p w:rsidR="0022094C" w:rsidRPr="00223233" w:rsidRDefault="0022094C" w:rsidP="00CE039B">
      <w:pPr>
        <w:pStyle w:val="enumlev1"/>
        <w:ind w:left="850" w:hanging="850"/>
        <w:rPr>
          <w:rtl/>
          <w:lang w:val="en-US" w:bidi="ar-SA"/>
        </w:rPr>
      </w:pPr>
      <w:r w:rsidRPr="00223233">
        <w:rPr>
          <w:rFonts w:hint="cs"/>
          <w:lang w:bidi="ar-SA"/>
        </w:rPr>
        <w:sym w:font="Symbol" w:char="F0B7"/>
      </w:r>
      <w:r w:rsidRPr="00223233">
        <w:rPr>
          <w:rtl/>
          <w:lang w:bidi="ar-SA"/>
        </w:rPr>
        <w:tab/>
      </w:r>
      <w:hyperlink r:id="rId20" w:history="1">
        <w:r w:rsidR="00CE039B" w:rsidRPr="00223233">
          <w:rPr>
            <w:rStyle w:val="Hyperlink"/>
            <w:rFonts w:hint="cs"/>
            <w:rtl/>
            <w:lang w:bidi="ar-SA"/>
          </w:rPr>
          <w:t>تكنولوجيات النفاذ الراديوي المتعددة</w:t>
        </w:r>
        <w:r w:rsidRPr="00223233">
          <w:rPr>
            <w:rStyle w:val="Hyperlink"/>
            <w:rFonts w:hint="cs"/>
            <w:rtl/>
            <w:lang w:bidi="ar-SA"/>
          </w:rPr>
          <w:t xml:space="preserve"> </w:t>
        </w:r>
        <w:r w:rsidRPr="00223233">
          <w:rPr>
            <w:rStyle w:val="Hyperlink"/>
            <w:lang w:val="en-US" w:bidi="ar-SA"/>
          </w:rPr>
          <w:t>(2012)</w:t>
        </w:r>
      </w:hyperlink>
    </w:p>
    <w:p w:rsidR="0022094C" w:rsidRPr="00223233" w:rsidRDefault="0022094C" w:rsidP="005855D4">
      <w:pPr>
        <w:pStyle w:val="enumlev1"/>
        <w:ind w:left="554" w:hanging="532"/>
        <w:rPr>
          <w:rtl/>
          <w:lang w:bidi="ar-SA"/>
        </w:rPr>
      </w:pPr>
      <w:r w:rsidRPr="00223233">
        <w:rPr>
          <w:rFonts w:hint="cs"/>
          <w:lang w:bidi="ar-SA"/>
        </w:rPr>
        <w:sym w:font="Symbol" w:char="F0B7"/>
      </w:r>
      <w:r w:rsidRPr="00223233">
        <w:rPr>
          <w:rFonts w:hint="cs"/>
          <w:rtl/>
          <w:lang w:bidi="ar-SA"/>
        </w:rPr>
        <w:tab/>
      </w:r>
      <w:hyperlink r:id="rId21" w:history="1">
        <w:r w:rsidRPr="00223233">
          <w:rPr>
            <w:rStyle w:val="Hyperlink"/>
            <w:rtl/>
            <w:lang w:bidi="ar-SY"/>
          </w:rPr>
          <w:t>تأثيرات</w:t>
        </w:r>
        <w:r w:rsidRPr="00223233">
          <w:rPr>
            <w:rStyle w:val="Hyperlink"/>
            <w:rtl/>
            <w:lang w:bidi="ar-SA"/>
          </w:rPr>
          <w:t xml:space="preserve"> الاتصالات من آلة إلى آلة </w:t>
        </w:r>
        <w:r w:rsidR="005855D4" w:rsidRPr="00223233">
          <w:rPr>
            <w:rStyle w:val="Hyperlink"/>
            <w:lang w:bidi="ar-SA"/>
          </w:rPr>
          <w:t>(</w:t>
        </w:r>
        <w:r w:rsidRPr="00223233">
          <w:rPr>
            <w:rStyle w:val="Hyperlink"/>
            <w:lang w:bidi="ar-SA"/>
          </w:rPr>
          <w:t>M2M</w:t>
        </w:r>
        <w:r w:rsidR="005855D4" w:rsidRPr="00223233">
          <w:rPr>
            <w:rStyle w:val="Hyperlink"/>
            <w:lang w:bidi="ar-SA"/>
          </w:rPr>
          <w:t>)</w:t>
        </w:r>
        <w:r w:rsidRPr="00223233">
          <w:rPr>
            <w:rStyle w:val="Hyperlink"/>
            <w:rtl/>
            <w:lang w:bidi="ar-SA"/>
          </w:rPr>
          <w:t xml:space="preserve"> وتطبيقات البيانات المتنقلة من غير</w:t>
        </w:r>
        <w:r w:rsidR="00CE039B" w:rsidRPr="00223233">
          <w:rPr>
            <w:rStyle w:val="Hyperlink"/>
            <w:rFonts w:hint="cs"/>
            <w:rtl/>
            <w:lang w:bidi="ar-SA"/>
          </w:rPr>
          <w:t xml:space="preserve"> الاتصالات</w:t>
        </w:r>
        <w:r w:rsidRPr="00223233">
          <w:rPr>
            <w:rStyle w:val="Hyperlink"/>
            <w:rtl/>
            <w:lang w:bidi="ar-SA"/>
          </w:rPr>
          <w:t xml:space="preserve"> </w:t>
        </w:r>
        <w:r w:rsidRPr="00223233">
          <w:rPr>
            <w:rStyle w:val="Hyperlink"/>
            <w:lang w:bidi="ar-SA"/>
          </w:rPr>
          <w:t>M2M</w:t>
        </w:r>
        <w:r w:rsidRPr="00223233">
          <w:rPr>
            <w:rStyle w:val="Hyperlink"/>
            <w:rtl/>
            <w:lang w:bidi="ar-SA"/>
          </w:rPr>
          <w:t xml:space="preserve"> على شبكات الاتصالات المتنقلة</w:t>
        </w:r>
        <w:r w:rsidR="00CE039B" w:rsidRPr="00223233">
          <w:rPr>
            <w:rStyle w:val="Hyperlink"/>
            <w:rFonts w:hint="eastAsia"/>
            <w:rtl/>
            <w:lang w:bidi="ar-SA"/>
          </w:rPr>
          <w:t> </w:t>
        </w:r>
        <w:r w:rsidRPr="00223233">
          <w:rPr>
            <w:rStyle w:val="Hyperlink"/>
            <w:lang w:val="en-US" w:bidi="ar-SA"/>
          </w:rPr>
          <w:t>(2012)</w:t>
        </w:r>
      </w:hyperlink>
    </w:p>
    <w:p w:rsidR="0022094C" w:rsidRPr="00223233" w:rsidRDefault="0022094C" w:rsidP="0022094C">
      <w:pPr>
        <w:pStyle w:val="enumlev1"/>
        <w:ind w:left="850" w:hanging="850"/>
        <w:rPr>
          <w:lang w:bidi="ar-SA"/>
        </w:rPr>
      </w:pPr>
      <w:r w:rsidRPr="00223233">
        <w:rPr>
          <w:rFonts w:hint="cs"/>
          <w:lang w:bidi="ar-SA"/>
        </w:rPr>
        <w:sym w:font="Symbol" w:char="F0B7"/>
      </w:r>
      <w:r w:rsidRPr="00223233">
        <w:rPr>
          <w:rFonts w:hint="cs"/>
          <w:rtl/>
          <w:lang w:bidi="ar-SA"/>
        </w:rPr>
        <w:tab/>
      </w:r>
      <w:hyperlink r:id="rId22" w:history="1">
        <w:r w:rsidRPr="00223233">
          <w:rPr>
            <w:rStyle w:val="Hyperlink"/>
            <w:rtl/>
            <w:lang w:bidi="ar-SA"/>
          </w:rPr>
          <w:t xml:space="preserve">سيناريوهات الانتقال من الشبكات التقليدية إلى شبكات الجيل التالي في البلدان النامية </w:t>
        </w:r>
        <w:r w:rsidRPr="00223233">
          <w:rPr>
            <w:rStyle w:val="Hyperlink"/>
            <w:lang w:bidi="ar-SA"/>
          </w:rPr>
          <w:t>(2013)</w:t>
        </w:r>
      </w:hyperlink>
    </w:p>
    <w:p w:rsidR="0022094C" w:rsidRPr="00223233" w:rsidRDefault="0022094C" w:rsidP="005855D4">
      <w:pPr>
        <w:pStyle w:val="enumlev1"/>
        <w:ind w:left="554" w:hanging="532"/>
        <w:rPr>
          <w:rtl/>
          <w:lang w:bidi="ar-SA"/>
        </w:rPr>
      </w:pPr>
      <w:r w:rsidRPr="00223233">
        <w:rPr>
          <w:rFonts w:hint="cs"/>
          <w:lang w:bidi="ar-SA"/>
        </w:rPr>
        <w:sym w:font="Symbol" w:char="F0B7"/>
      </w:r>
      <w:r w:rsidRPr="00223233">
        <w:rPr>
          <w:rFonts w:hint="cs"/>
          <w:rtl/>
          <w:lang w:bidi="ar-SA"/>
        </w:rPr>
        <w:tab/>
      </w:r>
      <w:hyperlink r:id="rId23" w:history="1">
        <w:r w:rsidR="00CE039B" w:rsidRPr="00223233">
          <w:rPr>
            <w:rStyle w:val="Hyperlink"/>
            <w:rFonts w:hint="cs"/>
            <w:rtl/>
            <w:lang w:bidi="ar-SA"/>
          </w:rPr>
          <w:t>كيفية زيادة</w:t>
        </w:r>
        <w:r w:rsidRPr="00223233">
          <w:rPr>
            <w:rStyle w:val="Hyperlink"/>
            <w:rFonts w:hint="cs"/>
            <w:rtl/>
            <w:lang w:bidi="ar-SA"/>
          </w:rPr>
          <w:t xml:space="preserve"> </w:t>
        </w:r>
        <w:r w:rsidRPr="00223233">
          <w:rPr>
            <w:rStyle w:val="Hyperlink"/>
            <w:rtl/>
            <w:lang w:bidi="ar-SA"/>
          </w:rPr>
          <w:t xml:space="preserve">نوعية الخدمة </w:t>
        </w:r>
        <w:r w:rsidR="005855D4" w:rsidRPr="00223233">
          <w:rPr>
            <w:rStyle w:val="Hyperlink"/>
            <w:lang w:bidi="ar-SA"/>
          </w:rPr>
          <w:t>(</w:t>
        </w:r>
        <w:proofErr w:type="spellStart"/>
        <w:r w:rsidRPr="00223233">
          <w:rPr>
            <w:rStyle w:val="Hyperlink"/>
            <w:lang w:bidi="ar-SA"/>
          </w:rPr>
          <w:t>QoS</w:t>
        </w:r>
        <w:proofErr w:type="spellEnd"/>
        <w:r w:rsidR="005855D4" w:rsidRPr="00223233">
          <w:rPr>
            <w:rStyle w:val="Hyperlink"/>
            <w:lang w:bidi="ar-SA"/>
          </w:rPr>
          <w:t>)</w:t>
        </w:r>
        <w:r w:rsidRPr="00223233">
          <w:rPr>
            <w:rStyle w:val="Hyperlink"/>
            <w:rtl/>
            <w:lang w:bidi="ar-SA"/>
          </w:rPr>
          <w:t xml:space="preserve"> ونوعية التجربة </w:t>
        </w:r>
        <w:r w:rsidR="005855D4" w:rsidRPr="00223233">
          <w:rPr>
            <w:rStyle w:val="Hyperlink"/>
            <w:lang w:bidi="ar-SA"/>
          </w:rPr>
          <w:t>(</w:t>
        </w:r>
        <w:proofErr w:type="spellStart"/>
        <w:r w:rsidRPr="00223233">
          <w:rPr>
            <w:rStyle w:val="Hyperlink"/>
            <w:lang w:bidi="ar-SA"/>
          </w:rPr>
          <w:t>QoE</w:t>
        </w:r>
        <w:proofErr w:type="spellEnd"/>
        <w:r w:rsidR="005855D4" w:rsidRPr="00223233">
          <w:rPr>
            <w:rStyle w:val="Hyperlink"/>
            <w:lang w:bidi="ar-SA"/>
          </w:rPr>
          <w:t>)</w:t>
        </w:r>
        <w:r w:rsidRPr="00223233">
          <w:rPr>
            <w:rStyle w:val="Hyperlink"/>
            <w:rFonts w:hint="cs"/>
            <w:rtl/>
            <w:lang w:bidi="ar-SA"/>
          </w:rPr>
          <w:t xml:space="preserve"> </w:t>
        </w:r>
        <w:r w:rsidR="00CE039B" w:rsidRPr="00223233">
          <w:rPr>
            <w:rStyle w:val="Hyperlink"/>
            <w:rFonts w:hint="cs"/>
            <w:rtl/>
            <w:lang w:bidi="ar-SA"/>
          </w:rPr>
          <w:t>للمنصات القائمة على بروتوكول الإنترنت</w:t>
        </w:r>
        <w:r w:rsidRPr="00223233">
          <w:rPr>
            <w:rStyle w:val="Hyperlink"/>
            <w:rFonts w:hint="cs"/>
            <w:rtl/>
            <w:lang w:bidi="ar-SA"/>
          </w:rPr>
          <w:t xml:space="preserve"> </w:t>
        </w:r>
        <w:r w:rsidRPr="00223233">
          <w:rPr>
            <w:rStyle w:val="Hyperlink"/>
            <w:lang w:bidi="ar-SA"/>
          </w:rPr>
          <w:t>(2013)</w:t>
        </w:r>
      </w:hyperlink>
    </w:p>
    <w:p w:rsidR="0022094C" w:rsidRPr="00223233" w:rsidRDefault="0022094C" w:rsidP="0022094C">
      <w:pPr>
        <w:pStyle w:val="enumlev1"/>
        <w:ind w:left="554" w:hanging="532"/>
        <w:rPr>
          <w:rtl/>
          <w:lang w:bidi="ar-SA"/>
        </w:rPr>
      </w:pPr>
      <w:r w:rsidRPr="00223233">
        <w:rPr>
          <w:rFonts w:hint="cs"/>
          <w:lang w:bidi="ar-SA"/>
        </w:rPr>
        <w:sym w:font="Symbol" w:char="F0B7"/>
      </w:r>
      <w:r w:rsidRPr="00223233">
        <w:rPr>
          <w:rFonts w:hint="cs"/>
          <w:rtl/>
          <w:lang w:bidi="ar-SA"/>
        </w:rPr>
        <w:tab/>
      </w:r>
      <w:hyperlink r:id="rId24" w:history="1">
        <w:r w:rsidRPr="00223233">
          <w:rPr>
            <w:rStyle w:val="Hyperlink"/>
            <w:rtl/>
            <w:lang w:bidi="ar-SA"/>
          </w:rPr>
          <w:t>الاتصالات والتخفيف من آثار الكوارث</w:t>
        </w:r>
        <w:r w:rsidRPr="00223233">
          <w:rPr>
            <w:rStyle w:val="Hyperlink"/>
            <w:rFonts w:hint="cs"/>
            <w:rtl/>
            <w:lang w:bidi="ar-SA"/>
          </w:rPr>
          <w:t xml:space="preserve"> </w:t>
        </w:r>
        <w:r w:rsidRPr="00223233">
          <w:rPr>
            <w:rStyle w:val="Hyperlink"/>
            <w:lang w:bidi="ar-SA"/>
          </w:rPr>
          <w:t>(2013)</w:t>
        </w:r>
      </w:hyperlink>
    </w:p>
    <w:p w:rsidR="0022094C" w:rsidRPr="00223233" w:rsidRDefault="0022094C" w:rsidP="0022094C">
      <w:pPr>
        <w:pStyle w:val="enumlev1"/>
        <w:ind w:left="554" w:hanging="532"/>
        <w:rPr>
          <w:rtl/>
          <w:lang w:bidi="ar-SA"/>
        </w:rPr>
      </w:pPr>
      <w:r w:rsidRPr="00223233">
        <w:rPr>
          <w:rFonts w:hint="cs"/>
          <w:lang w:bidi="ar-SA"/>
        </w:rPr>
        <w:sym w:font="Symbol" w:char="F0B7"/>
      </w:r>
      <w:r w:rsidRPr="00223233">
        <w:rPr>
          <w:rtl/>
          <w:lang w:bidi="ar-SA"/>
        </w:rPr>
        <w:tab/>
      </w:r>
      <w:hyperlink r:id="rId25" w:history="1">
        <w:r w:rsidRPr="00223233">
          <w:rPr>
            <w:rStyle w:val="Hyperlink"/>
            <w:rFonts w:hint="cs"/>
            <w:rtl/>
          </w:rPr>
          <w:t xml:space="preserve">تطبيقات شبكات ال‍محاسيس اللاسلكية في شبكات ال‍جيل التالي </w:t>
        </w:r>
        <w:r w:rsidRPr="00223233">
          <w:rPr>
            <w:rStyle w:val="Hyperlink"/>
            <w:lang w:bidi="ar-SA"/>
          </w:rPr>
          <w:t>(2014)</w:t>
        </w:r>
      </w:hyperlink>
    </w:p>
    <w:p w:rsidR="0022094C" w:rsidRPr="00223233" w:rsidRDefault="00AD1166" w:rsidP="0022094C">
      <w:pPr>
        <w:pStyle w:val="enumlev1"/>
        <w:ind w:left="554" w:hanging="532"/>
        <w:rPr>
          <w:rtl/>
          <w:lang w:val="en-US"/>
        </w:rPr>
      </w:pPr>
      <w:r w:rsidRPr="00223233">
        <w:rPr>
          <w:rFonts w:hint="cs"/>
          <w:rtl/>
          <w:lang w:bidi="ar-SA"/>
        </w:rPr>
        <w:t>والتقارير التالية في طريقها للصدور في عام </w:t>
      </w:r>
      <w:r w:rsidRPr="00223233">
        <w:rPr>
          <w:lang w:val="en-US" w:bidi="ar-SA"/>
        </w:rPr>
        <w:t>2014</w:t>
      </w:r>
      <w:r w:rsidRPr="00223233">
        <w:rPr>
          <w:rFonts w:hint="cs"/>
          <w:rtl/>
          <w:lang w:val="en-US"/>
        </w:rPr>
        <w:t>:</w:t>
      </w:r>
    </w:p>
    <w:p w:rsidR="0022094C" w:rsidRPr="00223233" w:rsidRDefault="0022094C" w:rsidP="00AD1166">
      <w:pPr>
        <w:pStyle w:val="enumlev1"/>
        <w:ind w:left="554" w:hanging="532"/>
        <w:rPr>
          <w:rtl/>
          <w:lang w:bidi="ar-SA"/>
        </w:rPr>
      </w:pPr>
      <w:r w:rsidRPr="00223233">
        <w:rPr>
          <w:rFonts w:hint="cs"/>
          <w:lang w:bidi="ar-SA"/>
        </w:rPr>
        <w:sym w:font="Symbol" w:char="F0B7"/>
      </w:r>
      <w:r w:rsidRPr="00223233">
        <w:rPr>
          <w:rtl/>
          <w:lang w:bidi="ar-SA"/>
        </w:rPr>
        <w:tab/>
      </w:r>
      <w:r w:rsidR="00AD1166" w:rsidRPr="00223233">
        <w:rPr>
          <w:rFonts w:hint="cs"/>
          <w:rtl/>
          <w:lang w:bidi="ar-SA"/>
        </w:rPr>
        <w:t>خارطة طريق لمعايير تكنولوجيا المعلومات والاتصالات المراعية للبيئة</w:t>
      </w:r>
    </w:p>
    <w:p w:rsidR="0022094C" w:rsidRPr="00223233" w:rsidRDefault="0022094C" w:rsidP="00604CAC">
      <w:pPr>
        <w:pStyle w:val="enumlev1"/>
        <w:ind w:left="554" w:hanging="532"/>
        <w:rPr>
          <w:rtl/>
          <w:lang w:bidi="ar-SA"/>
        </w:rPr>
      </w:pPr>
      <w:r w:rsidRPr="00223233">
        <w:rPr>
          <w:rFonts w:hint="cs"/>
          <w:lang w:bidi="ar-SA"/>
        </w:rPr>
        <w:sym w:font="Symbol" w:char="F0B7"/>
      </w:r>
      <w:r w:rsidRPr="00223233">
        <w:rPr>
          <w:rFonts w:hint="cs"/>
          <w:rtl/>
          <w:lang w:bidi="ar-SA"/>
        </w:rPr>
        <w:tab/>
      </w:r>
      <w:r w:rsidRPr="00223233">
        <w:rPr>
          <w:rtl/>
          <w:lang w:bidi="ar-SA"/>
        </w:rPr>
        <w:t xml:space="preserve">دليل عن </w:t>
      </w:r>
      <w:r w:rsidR="00604CAC" w:rsidRPr="00223233">
        <w:rPr>
          <w:rFonts w:hint="cs"/>
          <w:rtl/>
          <w:lang w:bidi="ar-SA"/>
        </w:rPr>
        <w:t>ا</w:t>
      </w:r>
      <w:r w:rsidRPr="00223233">
        <w:rPr>
          <w:rtl/>
          <w:lang w:bidi="ar-SA"/>
        </w:rPr>
        <w:t>لمجالات الكهرمغنطيسية</w:t>
      </w:r>
    </w:p>
    <w:p w:rsidR="0022094C" w:rsidRPr="00223233" w:rsidRDefault="0022094C" w:rsidP="00604CAC">
      <w:pPr>
        <w:pStyle w:val="enumlev1"/>
        <w:ind w:left="554" w:hanging="532"/>
        <w:rPr>
          <w:rtl/>
          <w:lang w:bidi="ar-SA"/>
        </w:rPr>
      </w:pPr>
      <w:r w:rsidRPr="00223233">
        <w:rPr>
          <w:rFonts w:hint="cs"/>
          <w:lang w:bidi="ar-SA"/>
        </w:rPr>
        <w:sym w:font="Symbol" w:char="F0B7"/>
      </w:r>
      <w:r w:rsidRPr="00223233">
        <w:rPr>
          <w:rtl/>
          <w:lang w:bidi="ar-SA"/>
        </w:rPr>
        <w:tab/>
      </w:r>
      <w:r w:rsidR="00604CAC" w:rsidRPr="00223233">
        <w:rPr>
          <w:rFonts w:hint="cs"/>
          <w:rtl/>
          <w:lang w:bidi="ar-SA"/>
        </w:rPr>
        <w:t>الكتاب الأخضر ل</w:t>
      </w:r>
      <w:r w:rsidRPr="00223233">
        <w:rPr>
          <w:rtl/>
          <w:lang w:bidi="ar-SA"/>
        </w:rPr>
        <w:t>تلفزيون بروتوكول الإنترنت</w:t>
      </w:r>
    </w:p>
    <w:p w:rsidR="0022094C" w:rsidRPr="00223233" w:rsidRDefault="0022094C" w:rsidP="005E343E">
      <w:pPr>
        <w:pStyle w:val="enumlev1"/>
        <w:ind w:left="554" w:hanging="532"/>
        <w:rPr>
          <w:rtl/>
          <w:lang w:bidi="ar-SA"/>
        </w:rPr>
      </w:pPr>
      <w:r w:rsidRPr="00223233">
        <w:rPr>
          <w:rFonts w:hint="cs"/>
          <w:lang w:bidi="ar-SA"/>
        </w:rPr>
        <w:sym w:font="Symbol" w:char="F0B7"/>
      </w:r>
      <w:r w:rsidRPr="00223233">
        <w:rPr>
          <w:rtl/>
          <w:lang w:bidi="ar-SA"/>
        </w:rPr>
        <w:tab/>
      </w:r>
      <w:r w:rsidR="005E343E" w:rsidRPr="00223233">
        <w:rPr>
          <w:rFonts w:hint="cs"/>
          <w:rtl/>
          <w:lang w:bidi="ar-SA"/>
        </w:rPr>
        <w:t>التحديات الجديدة أمام تقييس البنية التحتية للمفاتيح العمومية في الشبكات المتنقلة والاتصالات من آلة إلى آلة والحوسبة السحابية وال</w:t>
      </w:r>
      <w:r w:rsidR="00906D5C" w:rsidRPr="00223233">
        <w:rPr>
          <w:rFonts w:hint="cs"/>
          <w:rtl/>
          <w:lang w:bidi="ar-SA"/>
        </w:rPr>
        <w:t>شبكات الذكية</w:t>
      </w:r>
    </w:p>
    <w:p w:rsidR="0022094C" w:rsidRPr="00223233" w:rsidRDefault="0022094C" w:rsidP="0022094C">
      <w:pPr>
        <w:pStyle w:val="enumlev1"/>
        <w:ind w:left="554" w:hanging="532"/>
        <w:rPr>
          <w:rtl/>
          <w:lang w:bidi="ar-SA"/>
        </w:rPr>
      </w:pPr>
      <w:r w:rsidRPr="00223233">
        <w:rPr>
          <w:rFonts w:hint="cs"/>
          <w:lang w:bidi="ar-SA"/>
        </w:rPr>
        <w:sym w:font="Symbol" w:char="F0B7"/>
      </w:r>
      <w:r w:rsidRPr="00223233">
        <w:rPr>
          <w:rFonts w:hint="cs"/>
          <w:rtl/>
          <w:lang w:bidi="ar-SA"/>
        </w:rPr>
        <w:tab/>
      </w:r>
      <w:r w:rsidRPr="00223233">
        <w:rPr>
          <w:rtl/>
          <w:lang w:bidi="ar-SA"/>
        </w:rPr>
        <w:t>إصدار دليل للحماية من فرط الفولطية</w:t>
      </w:r>
    </w:p>
    <w:p w:rsidR="0022094C" w:rsidRPr="00223233" w:rsidRDefault="0022094C" w:rsidP="0022094C">
      <w:pPr>
        <w:pStyle w:val="enumlev1"/>
        <w:ind w:left="554" w:hanging="532"/>
        <w:rPr>
          <w:rtl/>
          <w:lang w:bidi="ar-SA"/>
        </w:rPr>
      </w:pPr>
      <w:r w:rsidRPr="00223233">
        <w:rPr>
          <w:rFonts w:hint="cs"/>
          <w:lang w:bidi="ar-SA"/>
        </w:rPr>
        <w:sym w:font="Symbol" w:char="F0B7"/>
      </w:r>
      <w:r w:rsidRPr="00223233">
        <w:rPr>
          <w:rFonts w:hint="cs"/>
          <w:rtl/>
          <w:lang w:bidi="ar-SA"/>
        </w:rPr>
        <w:tab/>
      </w:r>
      <w:r w:rsidRPr="00223233">
        <w:rPr>
          <w:rtl/>
          <w:lang w:bidi="ar-SA"/>
        </w:rPr>
        <w:t>إدارة التنقلية في قطاع تقييس الاتصالات: تطورها الحالي والخطوات القادمة نحو شبكات المستقبل</w:t>
      </w:r>
    </w:p>
    <w:p w:rsidR="0022094C" w:rsidRPr="00223233" w:rsidRDefault="0022094C" w:rsidP="00EE6D73">
      <w:pPr>
        <w:pStyle w:val="enumlev1"/>
        <w:ind w:left="554" w:hanging="532"/>
        <w:rPr>
          <w:rtl/>
          <w:lang w:bidi="ar-SA"/>
        </w:rPr>
      </w:pPr>
      <w:r w:rsidRPr="00223233">
        <w:rPr>
          <w:rFonts w:hint="cs"/>
          <w:lang w:bidi="ar-SA"/>
        </w:rPr>
        <w:sym w:font="Symbol" w:char="F0B7"/>
      </w:r>
      <w:r w:rsidRPr="00223233">
        <w:rPr>
          <w:rtl/>
          <w:lang w:bidi="ar-SA"/>
        </w:rPr>
        <w:tab/>
      </w:r>
      <w:r w:rsidR="00EE6D73" w:rsidRPr="00223233">
        <w:rPr>
          <w:rFonts w:hint="cs"/>
          <w:rtl/>
          <w:lang w:bidi="ar-SA"/>
        </w:rPr>
        <w:t>من أجل نموذج تكلفة للتجوال للهيئات التنظيمية</w:t>
      </w:r>
    </w:p>
    <w:p w:rsidR="0022094C" w:rsidRPr="00223233" w:rsidRDefault="0022094C" w:rsidP="00DC7C81">
      <w:pPr>
        <w:pStyle w:val="Heading2"/>
        <w:tabs>
          <w:tab w:val="clear" w:pos="1134"/>
        </w:tabs>
        <w:ind w:left="850" w:hanging="850"/>
        <w:rPr>
          <w:position w:val="0"/>
          <w:rtl/>
          <w:lang w:bidi="ar-SA"/>
        </w:rPr>
      </w:pPr>
      <w:r w:rsidRPr="00223233">
        <w:rPr>
          <w:position w:val="0"/>
          <w:lang w:bidi="ar-SA"/>
        </w:rPr>
        <w:lastRenderedPageBreak/>
        <w:t>3.2</w:t>
      </w:r>
      <w:r w:rsidRPr="00223233">
        <w:rPr>
          <w:position w:val="0"/>
          <w:rtl/>
          <w:lang w:bidi="ar-SA"/>
        </w:rPr>
        <w:tab/>
      </w:r>
      <w:r w:rsidR="00DC7C81" w:rsidRPr="00223233">
        <w:rPr>
          <w:rFonts w:hint="cs"/>
          <w:position w:val="0"/>
          <w:rtl/>
          <w:lang w:bidi="ar-SA"/>
        </w:rPr>
        <w:t>توجيه المندوبين الجدد في لجان دراسات قطاع تقييس الاتصالات</w:t>
      </w:r>
    </w:p>
    <w:p w:rsidR="0022094C" w:rsidRPr="00223233" w:rsidRDefault="0022094C" w:rsidP="008154A0">
      <w:pPr>
        <w:keepNext/>
        <w:keepLines/>
        <w:rPr>
          <w:spacing w:val="-2"/>
          <w:rtl/>
        </w:rPr>
      </w:pPr>
      <w:r w:rsidRPr="00223233">
        <w:rPr>
          <w:spacing w:val="-2"/>
          <w:rtl/>
        </w:rPr>
        <w:t xml:space="preserve">استحدث لأول مرة في أغسطس </w:t>
      </w:r>
      <w:r w:rsidRPr="00223233">
        <w:rPr>
          <w:spacing w:val="-2"/>
        </w:rPr>
        <w:t>2011</w:t>
      </w:r>
      <w:r w:rsidRPr="00223233">
        <w:rPr>
          <w:spacing w:val="-2"/>
          <w:rtl/>
        </w:rPr>
        <w:t xml:space="preserve"> برنامج توجيه لأعضاء لجان دراسات قطاع تقييس الاتصالات من البلدان النامية بغرض توفير مزيدٍ من المعلومات للمندوبين الجدد عن الإجراءات المتبعة في اجتماعات قطاع تقييس الاتصالات ولتحسين مساهمة البلدان النامية. وأصبح البرنامج منذئذٍ حلقة منتظمة في أي اجتماع للجان دراسات قطاع تقييس الاتصالات والف</w:t>
      </w:r>
      <w:r w:rsidR="0050046D" w:rsidRPr="00223233">
        <w:rPr>
          <w:spacing w:val="-2"/>
          <w:rtl/>
        </w:rPr>
        <w:t>ريق الاستشاري لتقييس الاتصالات.</w:t>
      </w:r>
    </w:p>
    <w:p w:rsidR="0022094C" w:rsidRPr="00223233" w:rsidRDefault="0022094C" w:rsidP="0022094C">
      <w:pPr>
        <w:rPr>
          <w:rtl/>
        </w:rPr>
      </w:pPr>
      <w:r w:rsidRPr="00223233">
        <w:rPr>
          <w:rtl/>
        </w:rPr>
        <w:t>كما استحدث خلال اجتماع الفريق الاستشاري لتقييس الاتصالات الذي عقد في يناير</w:t>
      </w:r>
      <w:r w:rsidRPr="00223233">
        <w:rPr>
          <w:rFonts w:hint="cs"/>
          <w:rtl/>
        </w:rPr>
        <w:t> </w:t>
      </w:r>
      <w:r w:rsidRPr="00223233">
        <w:t>2012</w:t>
      </w:r>
      <w:r w:rsidRPr="00223233">
        <w:rPr>
          <w:rtl/>
        </w:rPr>
        <w:t xml:space="preserve"> منصباً جديداً للتوجيه في لجان الدراسات، حيث يكون الدور الرئيسي المناط بالموجه هو التنسيق مع الممثلين من البلدان النامية في لجنة الدراسات بهدف تقاسم المعلومات وأفضل الممارسات فيما يتعلق بتطبيق توصيات قطاع تقييس الاتصالات لتعزيز أنشطة التقييس في البلدان النامية والمجموعات الإقليمية. كما يستطيع الموجه من خلال التفاعل مع الأعضاء من البلدان النامية تحديد برامج بناء قدرات</w:t>
      </w:r>
      <w:r w:rsidRPr="00223233">
        <w:rPr>
          <w:rFonts w:hint="cs"/>
          <w:rtl/>
        </w:rPr>
        <w:t xml:space="preserve"> بشأن</w:t>
      </w:r>
      <w:r w:rsidRPr="00223233">
        <w:rPr>
          <w:rtl/>
        </w:rPr>
        <w:t xml:space="preserve"> توصيات قطاع تقييس الاتصالات يمكن لمكتب تقييس الاتصالات تنفيذها بعد ذلك في إطار سد الفجوة التقييسية.</w:t>
      </w:r>
    </w:p>
    <w:p w:rsidR="0022094C" w:rsidRPr="00223233" w:rsidRDefault="0022094C" w:rsidP="00C33B18">
      <w:pPr>
        <w:pStyle w:val="Heading2"/>
        <w:tabs>
          <w:tab w:val="clear" w:pos="1134"/>
        </w:tabs>
        <w:ind w:left="850" w:hanging="850"/>
        <w:rPr>
          <w:position w:val="0"/>
          <w:rtl/>
          <w:lang w:bidi="ar-SA"/>
        </w:rPr>
      </w:pPr>
      <w:r w:rsidRPr="00223233">
        <w:rPr>
          <w:position w:val="0"/>
          <w:lang w:bidi="ar-SA"/>
        </w:rPr>
        <w:t>4.2</w:t>
      </w:r>
      <w:r w:rsidRPr="00223233">
        <w:rPr>
          <w:position w:val="0"/>
          <w:rtl/>
          <w:lang w:bidi="ar-SA"/>
        </w:rPr>
        <w:tab/>
      </w:r>
      <w:r w:rsidR="00C33B18" w:rsidRPr="00223233">
        <w:rPr>
          <w:rFonts w:hint="cs"/>
          <w:position w:val="0"/>
          <w:rtl/>
          <w:lang w:bidi="ar-SA"/>
        </w:rPr>
        <w:t>المشاركة عن بُعد والترجمة الشفهية</w:t>
      </w:r>
    </w:p>
    <w:p w:rsidR="0022094C" w:rsidRPr="00223233" w:rsidRDefault="0022094C" w:rsidP="0022094C">
      <w:pPr>
        <w:rPr>
          <w:spacing w:val="-2"/>
          <w:rtl/>
        </w:rPr>
      </w:pPr>
      <w:r w:rsidRPr="00223233">
        <w:rPr>
          <w:rFonts w:eastAsia="SimSun"/>
          <w:spacing w:val="-2"/>
          <w:rtl/>
          <w:lang w:val="en-US"/>
        </w:rPr>
        <w:t xml:space="preserve">تتاح المشاركة عن بُعد خلال </w:t>
      </w:r>
      <w:r w:rsidRPr="00223233">
        <w:rPr>
          <w:rFonts w:eastAsia="SimSun" w:hint="cs"/>
          <w:spacing w:val="-2"/>
          <w:rtl/>
          <w:lang w:val="en-US"/>
        </w:rPr>
        <w:t xml:space="preserve">جميع </w:t>
      </w:r>
      <w:r w:rsidRPr="00223233">
        <w:rPr>
          <w:rFonts w:eastAsia="SimSun"/>
          <w:spacing w:val="-2"/>
          <w:rtl/>
          <w:lang w:val="en-US"/>
        </w:rPr>
        <w:t xml:space="preserve">اجتماعات لجان الدراسات دون تحميل المشاركين عن بُعد أي تكاليف (باستعمال خيار </w:t>
      </w:r>
      <w:r w:rsidRPr="00223233">
        <w:rPr>
          <w:rFonts w:eastAsia="SimSun" w:hint="cs"/>
          <w:spacing w:val="-2"/>
          <w:rtl/>
          <w:lang w:val="en-US"/>
        </w:rPr>
        <w:t>"معاودة</w:t>
      </w:r>
      <w:r w:rsidRPr="00223233">
        <w:rPr>
          <w:rFonts w:eastAsia="SimSun"/>
          <w:spacing w:val="-2"/>
          <w:rtl/>
          <w:lang w:val="en-US"/>
        </w:rPr>
        <w:t xml:space="preserve"> الاتصال</w:t>
      </w:r>
      <w:r w:rsidRPr="00223233">
        <w:rPr>
          <w:rFonts w:eastAsia="SimSun" w:hint="cs"/>
          <w:spacing w:val="-2"/>
          <w:rtl/>
          <w:lang w:val="en-US"/>
        </w:rPr>
        <w:t>"</w:t>
      </w:r>
      <w:r w:rsidRPr="00223233">
        <w:rPr>
          <w:rFonts w:eastAsia="SimSun"/>
          <w:spacing w:val="-2"/>
          <w:rtl/>
          <w:lang w:val="en-US"/>
        </w:rPr>
        <w:t>).</w:t>
      </w:r>
      <w:r w:rsidRPr="00223233">
        <w:rPr>
          <w:rFonts w:eastAsia="SimSun" w:hint="cs"/>
          <w:spacing w:val="-2"/>
          <w:rtl/>
          <w:lang w:val="en-US"/>
        </w:rPr>
        <w:t xml:space="preserve"> وت</w:t>
      </w:r>
      <w:r w:rsidRPr="00223233">
        <w:rPr>
          <w:rFonts w:eastAsia="SimSun"/>
          <w:spacing w:val="-2"/>
          <w:rtl/>
          <w:lang w:val="en-US"/>
        </w:rPr>
        <w:t>توفر في الجلسات العامة الافتتاحية والختامية خدمات ترجمة شفهية بشكل كامل. و</w:t>
      </w:r>
      <w:r w:rsidRPr="00223233">
        <w:rPr>
          <w:rFonts w:eastAsia="SimSun" w:hint="cs"/>
          <w:spacing w:val="-2"/>
          <w:rtl/>
          <w:lang w:val="en-US"/>
        </w:rPr>
        <w:t>يمكن</w:t>
      </w:r>
      <w:r w:rsidRPr="00223233">
        <w:rPr>
          <w:rFonts w:eastAsia="SimSun"/>
          <w:spacing w:val="-2"/>
          <w:rtl/>
          <w:lang w:val="en-US"/>
        </w:rPr>
        <w:t xml:space="preserve"> ترجمة المساهمات المقدمة إلى لجان الدراسات إلى ست لغات إذا وصلت قبل أي اجتماع بشهرين.</w:t>
      </w:r>
      <w:r w:rsidRPr="00223233">
        <w:rPr>
          <w:rFonts w:eastAsia="SimSun" w:hint="cs"/>
          <w:spacing w:val="-2"/>
          <w:rtl/>
          <w:lang w:val="en-US"/>
        </w:rPr>
        <w:t xml:space="preserve"> كما تمت ترجمة بعض التوصيات الجديدة التي تمت الموافقة عليها </w:t>
      </w:r>
      <w:r w:rsidRPr="00223233">
        <w:rPr>
          <w:rFonts w:eastAsia="SimSun"/>
          <w:color w:val="000000"/>
          <w:spacing w:val="-2"/>
          <w:rtl/>
        </w:rPr>
        <w:t xml:space="preserve">في إطار عملية ال‍موافقة البديلة </w:t>
      </w:r>
      <w:r w:rsidRPr="00223233">
        <w:rPr>
          <w:rFonts w:eastAsia="SimSun"/>
          <w:color w:val="000000"/>
          <w:spacing w:val="-2"/>
        </w:rPr>
        <w:t>(AAP)</w:t>
      </w:r>
      <w:r w:rsidRPr="00223233">
        <w:rPr>
          <w:rFonts w:eastAsia="SimSun"/>
          <w:spacing w:val="-2"/>
          <w:rtl/>
          <w:lang w:val="en-US"/>
        </w:rPr>
        <w:t>.</w:t>
      </w:r>
      <w:r w:rsidRPr="00223233">
        <w:rPr>
          <w:rFonts w:eastAsia="SimSun"/>
          <w:color w:val="000000"/>
          <w:spacing w:val="-2"/>
          <w:rtl/>
        </w:rPr>
        <w:t xml:space="preserve"> وقد قوبلت خدمة النشر المباشر </w:t>
      </w:r>
      <w:r w:rsidRPr="00223233">
        <w:rPr>
          <w:rFonts w:eastAsia="SimSun" w:hint="cs"/>
          <w:color w:val="000000"/>
          <w:spacing w:val="-2"/>
          <w:rtl/>
        </w:rPr>
        <w:t xml:space="preserve">الجديدة </w:t>
      </w:r>
      <w:r w:rsidRPr="00223233">
        <w:rPr>
          <w:rFonts w:eastAsia="SimSun"/>
          <w:color w:val="000000"/>
          <w:spacing w:val="-2"/>
          <w:rtl/>
        </w:rPr>
        <w:t>للوثائق المقدمة حديثاً للأعضاء بكثير من التقدير</w:t>
      </w:r>
      <w:r w:rsidRPr="00223233">
        <w:rPr>
          <w:rFonts w:eastAsia="SimSun" w:hint="cs"/>
          <w:color w:val="000000"/>
          <w:spacing w:val="-2"/>
          <w:rtl/>
        </w:rPr>
        <w:t>.</w:t>
      </w:r>
    </w:p>
    <w:p w:rsidR="0022094C" w:rsidRPr="00223233" w:rsidRDefault="0022094C" w:rsidP="0022094C">
      <w:pPr>
        <w:pStyle w:val="Heading1"/>
        <w:rPr>
          <w:rtl/>
          <w:lang w:bidi="ar-SA"/>
        </w:rPr>
      </w:pPr>
      <w:r w:rsidRPr="00223233">
        <w:rPr>
          <w:lang w:val="en-US"/>
        </w:rPr>
        <w:t>3</w:t>
      </w:r>
      <w:r w:rsidRPr="00223233">
        <w:rPr>
          <w:rtl/>
          <w:lang w:val="en-US" w:bidi="ar-SA"/>
        </w:rPr>
        <w:tab/>
      </w:r>
      <w:r w:rsidRPr="00223233">
        <w:rPr>
          <w:rtl/>
        </w:rPr>
        <w:t xml:space="preserve">البرنامج </w:t>
      </w:r>
      <w:r w:rsidRPr="00223233">
        <w:t>2</w:t>
      </w:r>
      <w:r w:rsidRPr="00223233">
        <w:rPr>
          <w:rtl/>
        </w:rPr>
        <w:t>: مساعدة البلدان النامية بصدد تطبيق المعايير</w:t>
      </w:r>
    </w:p>
    <w:p w:rsidR="0022094C" w:rsidRPr="00223233" w:rsidRDefault="0022094C" w:rsidP="006F3BBE">
      <w:pPr>
        <w:pStyle w:val="Heading2"/>
        <w:tabs>
          <w:tab w:val="clear" w:pos="1134"/>
        </w:tabs>
        <w:spacing w:before="180"/>
        <w:ind w:left="851" w:hanging="851"/>
        <w:rPr>
          <w:position w:val="0"/>
          <w:rtl/>
          <w:lang w:val="en-US"/>
        </w:rPr>
      </w:pPr>
      <w:r w:rsidRPr="00223233">
        <w:rPr>
          <w:position w:val="0"/>
          <w:lang w:bidi="ar-SA"/>
        </w:rPr>
        <w:t>1.3</w:t>
      </w:r>
      <w:r w:rsidRPr="00223233">
        <w:rPr>
          <w:position w:val="0"/>
          <w:rtl/>
          <w:lang w:bidi="ar-SA"/>
        </w:rPr>
        <w:tab/>
      </w:r>
      <w:r w:rsidR="002A0508" w:rsidRPr="00223233">
        <w:rPr>
          <w:rFonts w:hint="cs"/>
          <w:position w:val="0"/>
          <w:rtl/>
          <w:lang w:bidi="ar-SA"/>
        </w:rPr>
        <w:t xml:space="preserve">المساعدة التقنية لإنشاء أمانة وطنية للتقييس </w:t>
      </w:r>
      <w:r w:rsidR="002A0508" w:rsidRPr="00223233">
        <w:rPr>
          <w:position w:val="0"/>
          <w:lang w:val="en-US" w:bidi="ar-SA"/>
        </w:rPr>
        <w:t>(NSS)</w:t>
      </w:r>
    </w:p>
    <w:p w:rsidR="0022094C" w:rsidRPr="00223233" w:rsidRDefault="002A0508" w:rsidP="00E00644">
      <w:pPr>
        <w:rPr>
          <w:rtl/>
          <w:lang w:val="en-US"/>
        </w:rPr>
      </w:pPr>
      <w:r w:rsidRPr="00223233">
        <w:rPr>
          <w:rFonts w:hint="cs"/>
          <w:rtl/>
          <w:lang w:bidi="ar-SA"/>
        </w:rPr>
        <w:t xml:space="preserve">نشرت في عام </w:t>
      </w:r>
      <w:r w:rsidRPr="00223233">
        <w:rPr>
          <w:lang w:val="en-US" w:bidi="ar-SA"/>
        </w:rPr>
        <w:t>2014</w:t>
      </w:r>
      <w:r w:rsidRPr="00223233">
        <w:rPr>
          <w:rFonts w:hint="cs"/>
          <w:rtl/>
          <w:lang w:val="en-US"/>
        </w:rPr>
        <w:t xml:space="preserve"> مجموعة من المبادئ التوجيهية من أجل البلدان النامية لإنشاء "أمانة وطنية للتقييس" تتولى مسؤولية تنظيم أعمال تقييس تكنولوجيا المعلومات والاتصالات محلياً وتمثيل مصالح البلدان في أعمال </w:t>
      </w:r>
      <w:r w:rsidR="00CC7BE6" w:rsidRPr="00223233">
        <w:rPr>
          <w:rFonts w:hint="cs"/>
          <w:rtl/>
          <w:lang w:val="en-US"/>
        </w:rPr>
        <w:t>التقييس الدولية بقطاع تقييس</w:t>
      </w:r>
      <w:r w:rsidR="00E00644">
        <w:rPr>
          <w:rFonts w:hint="eastAsia"/>
          <w:rtl/>
          <w:lang w:val="en-US"/>
        </w:rPr>
        <w:t> </w:t>
      </w:r>
      <w:r w:rsidR="00CC7BE6" w:rsidRPr="00223233">
        <w:rPr>
          <w:rFonts w:hint="cs"/>
          <w:rtl/>
          <w:lang w:val="en-US"/>
        </w:rPr>
        <w:t>الاتصالات.</w:t>
      </w:r>
    </w:p>
    <w:p w:rsidR="0022094C" w:rsidRPr="00223233" w:rsidRDefault="00F91C52" w:rsidP="0022094C">
      <w:pPr>
        <w:rPr>
          <w:rtl/>
          <w:lang w:val="en-US"/>
        </w:rPr>
      </w:pPr>
      <w:r w:rsidRPr="00223233">
        <w:rPr>
          <w:rFonts w:hint="cs"/>
          <w:rtl/>
          <w:lang w:bidi="ar-SA"/>
        </w:rPr>
        <w:t>"</w:t>
      </w:r>
      <w:hyperlink r:id="rId26" w:history="1">
        <w:r w:rsidR="00CC7BE6" w:rsidRPr="00223233">
          <w:rPr>
            <w:rStyle w:val="Hyperlink"/>
            <w:rFonts w:hint="cs"/>
            <w:rtl/>
            <w:lang w:bidi="ar-SA"/>
          </w:rPr>
          <w:t xml:space="preserve">المبادئ التوجيهية بشأن إنشاء أمانة وطنية للتقييس </w:t>
        </w:r>
        <w:r w:rsidR="00CC7BE6" w:rsidRPr="00223233">
          <w:rPr>
            <w:rStyle w:val="Hyperlink"/>
            <w:lang w:val="en-US" w:bidi="ar-SA"/>
          </w:rPr>
          <w:t>(NSS)</w:t>
        </w:r>
        <w:r w:rsidR="00CC7BE6" w:rsidRPr="00223233">
          <w:rPr>
            <w:rStyle w:val="Hyperlink"/>
            <w:rFonts w:hint="cs"/>
            <w:rtl/>
            <w:lang w:val="en-US"/>
          </w:rPr>
          <w:t xml:space="preserve"> من أجل قطاع تقييس الاتصالات</w:t>
        </w:r>
      </w:hyperlink>
      <w:r w:rsidR="00CC7BE6" w:rsidRPr="00223233">
        <w:rPr>
          <w:rFonts w:hint="cs"/>
          <w:rtl/>
          <w:lang w:val="en-US"/>
        </w:rPr>
        <w:t>" والتي تجري ترجمتها حالياً إلى اللغات الرسمية الست للاتحاد، تأتي استجابة للولاية الممتدة الممنوحة بموجب القرار </w:t>
      </w:r>
      <w:r w:rsidR="00CC7BE6" w:rsidRPr="00223233">
        <w:rPr>
          <w:lang w:val="en-US"/>
        </w:rPr>
        <w:t>44</w:t>
      </w:r>
      <w:r w:rsidR="00CC7BE6" w:rsidRPr="00223233">
        <w:rPr>
          <w:rFonts w:hint="cs"/>
          <w:rtl/>
          <w:lang w:val="en-US"/>
        </w:rPr>
        <w:t xml:space="preserve"> المراجَع</w:t>
      </w:r>
      <w:r w:rsidRPr="00223233">
        <w:rPr>
          <w:rFonts w:hint="cs"/>
          <w:rtl/>
          <w:lang w:val="en-US"/>
        </w:rPr>
        <w:t>.</w:t>
      </w:r>
    </w:p>
    <w:p w:rsidR="0022094C" w:rsidRPr="00223233" w:rsidRDefault="00567906" w:rsidP="009268CD">
      <w:pPr>
        <w:rPr>
          <w:rtl/>
          <w:lang w:bidi="ar-SA"/>
        </w:rPr>
      </w:pPr>
      <w:r w:rsidRPr="00223233">
        <w:rPr>
          <w:rFonts w:hint="cs"/>
          <w:rtl/>
          <w:lang w:bidi="ar-SA"/>
        </w:rPr>
        <w:t xml:space="preserve">وتقدم المبادئ التوجيهية خارطة طريق بالأسلوب خطوة خطوة لإنشاء أمانة وطنية للتقييس، تمتد من تحديد الأساس القانوني للكيان المسؤول عن إدارة الأمانة إلى أفضل الممارسات في تحليل الاحتياجات من الموارد وتشكيل أفرقة خبراء للتقييس على الصعيد الوطني. كما يقدم توجيه بخصوص المسؤوليات والقيادة والعضوية وطرائق العمل للجان وأفرقة الخبراء التي تتألف منها أمانة وطنية فعّالة للتقييس. ويمكن للبلدان التي ترغب في إنشاء أمانة </w:t>
      </w:r>
      <w:r w:rsidR="009268CD" w:rsidRPr="00223233">
        <w:rPr>
          <w:rFonts w:hint="cs"/>
          <w:rtl/>
          <w:lang w:bidi="ar-SA"/>
        </w:rPr>
        <w:t>وطنية لتقييس الاتصال بمكتب تقييس الاتصالات لالتماس المساعدة التقنية. وقد توصلت غامبيا بالفعل بمكتب تقييس الاتصالات للحصول على المساعدة التقنية لإنشاء أمانة وطنية للتقييس.</w:t>
      </w:r>
    </w:p>
    <w:p w:rsidR="0022094C" w:rsidRPr="00223233" w:rsidRDefault="0022094C" w:rsidP="0022094C">
      <w:pPr>
        <w:pStyle w:val="Heading2"/>
        <w:tabs>
          <w:tab w:val="clear" w:pos="1134"/>
        </w:tabs>
        <w:ind w:left="850" w:hanging="850"/>
        <w:rPr>
          <w:position w:val="0"/>
          <w:rtl/>
          <w:lang w:bidi="ar-SA"/>
        </w:rPr>
      </w:pPr>
      <w:r w:rsidRPr="00223233">
        <w:rPr>
          <w:position w:val="0"/>
          <w:lang w:bidi="ar-SA"/>
        </w:rPr>
        <w:lastRenderedPageBreak/>
        <w:t>2.3</w:t>
      </w:r>
      <w:r w:rsidRPr="00223233">
        <w:rPr>
          <w:rFonts w:hint="cs"/>
          <w:position w:val="0"/>
          <w:rtl/>
          <w:lang w:bidi="ar-SA"/>
        </w:rPr>
        <w:tab/>
      </w:r>
      <w:r w:rsidRPr="00223233">
        <w:rPr>
          <w:position w:val="0"/>
          <w:rtl/>
          <w:lang w:bidi="ar-SA"/>
        </w:rPr>
        <w:t xml:space="preserve">منتدى </w:t>
      </w:r>
      <w:r w:rsidRPr="00223233">
        <w:rPr>
          <w:rFonts w:hint="cs"/>
          <w:position w:val="0"/>
          <w:rtl/>
          <w:lang w:bidi="ar-SA"/>
        </w:rPr>
        <w:t xml:space="preserve">المعايير </w:t>
      </w:r>
      <w:r w:rsidRPr="00223233">
        <w:rPr>
          <w:position w:val="0"/>
          <w:rtl/>
          <w:lang w:bidi="ar-SA"/>
        </w:rPr>
        <w:t>سؤال وجواب</w:t>
      </w:r>
    </w:p>
    <w:p w:rsidR="0022094C" w:rsidRPr="00223233" w:rsidRDefault="0022094C" w:rsidP="00165405">
      <w:pPr>
        <w:keepLines/>
        <w:rPr>
          <w:rtl/>
          <w:lang w:bidi="ar-SY"/>
        </w:rPr>
      </w:pPr>
      <w:r w:rsidRPr="00223233">
        <w:rPr>
          <w:rtl/>
        </w:rPr>
        <w:t xml:space="preserve">أطلق مكتب تقييس الاتصالات في سبتمبر </w:t>
      </w:r>
      <w:r w:rsidRPr="00223233">
        <w:t>2011</w:t>
      </w:r>
      <w:r w:rsidRPr="00223233">
        <w:rPr>
          <w:rtl/>
        </w:rPr>
        <w:t xml:space="preserve"> منتدى </w:t>
      </w:r>
      <w:r w:rsidRPr="00223233">
        <w:rPr>
          <w:rFonts w:hint="cs"/>
          <w:rtl/>
        </w:rPr>
        <w:t xml:space="preserve">المعايير </w:t>
      </w:r>
      <w:r w:rsidRPr="00223233">
        <w:rPr>
          <w:rtl/>
        </w:rPr>
        <w:t>سؤال وجواب</w:t>
      </w:r>
      <w:r w:rsidRPr="00223233">
        <w:rPr>
          <w:rStyle w:val="FootnoteReference"/>
          <w:rFonts w:ascii="Calibri" w:eastAsia="SimSun" w:hAnsi="Calibri"/>
        </w:rPr>
        <w:footnoteReference w:id="1"/>
      </w:r>
      <w:r w:rsidRPr="00223233">
        <w:rPr>
          <w:rtl/>
        </w:rPr>
        <w:t xml:space="preserve"> الذي يتيح لأي شخص إرسال استفساراته المتعلقة بتنفيذ توصيات قطاع تقييس الاتصالات مباشرة إلى خبراء لجان الدراسات. وهذا منتدى مفتوح يتيح لأي شخص أن يطرح أسئلة تتعلق بأعمال التقييس، ويديره مستشارو لجان دراسات مكتب تقييس الاتصالات. و</w:t>
      </w:r>
      <w:r w:rsidRPr="00223233">
        <w:rPr>
          <w:rFonts w:hint="cs"/>
          <w:rtl/>
        </w:rPr>
        <w:t>ي</w:t>
      </w:r>
      <w:r w:rsidRPr="00223233">
        <w:rPr>
          <w:rtl/>
        </w:rPr>
        <w:t>وفر المنتدى فرصة فريدة للتفاعل مع الخبراء القائمين على تطوير المعايير التي تقوم عليها تكنولوجيات المعلومات والاتصالات. كما يتيح منصة لتيسير تبادل المعلومات بين البلدان المتقدمة والنامية فيما يتعلق بتطبيق توصيات قطاع تقييس الاتصالات.</w:t>
      </w:r>
    </w:p>
    <w:p w:rsidR="0022094C" w:rsidRPr="00223233" w:rsidRDefault="0022094C" w:rsidP="0022094C">
      <w:pPr>
        <w:pStyle w:val="Heading1"/>
        <w:rPr>
          <w:rtl/>
        </w:rPr>
      </w:pPr>
      <w:r w:rsidRPr="00223233">
        <w:t>4</w:t>
      </w:r>
      <w:r w:rsidRPr="00223233">
        <w:rPr>
          <w:rtl/>
        </w:rPr>
        <w:tab/>
        <w:t xml:space="preserve">البرنامج </w:t>
      </w:r>
      <w:r w:rsidRPr="00223233">
        <w:t>3</w:t>
      </w:r>
      <w:r w:rsidRPr="00223233">
        <w:rPr>
          <w:rtl/>
        </w:rPr>
        <w:t>: بناء قدرات الموارد البشرية</w:t>
      </w:r>
    </w:p>
    <w:p w:rsidR="0022094C" w:rsidRPr="00223233" w:rsidRDefault="0022094C" w:rsidP="0050046D">
      <w:pPr>
        <w:pStyle w:val="Heading2"/>
        <w:tabs>
          <w:tab w:val="clear" w:pos="1134"/>
        </w:tabs>
        <w:spacing w:before="180"/>
        <w:ind w:left="851" w:hanging="851"/>
        <w:rPr>
          <w:position w:val="0"/>
          <w:rtl/>
          <w:lang w:bidi="ar-SA"/>
        </w:rPr>
      </w:pPr>
      <w:r w:rsidRPr="00223233">
        <w:rPr>
          <w:position w:val="0"/>
          <w:lang w:bidi="ar-SA"/>
        </w:rPr>
        <w:t>1.4</w:t>
      </w:r>
      <w:r w:rsidRPr="00223233">
        <w:rPr>
          <w:position w:val="0"/>
          <w:rtl/>
          <w:lang w:bidi="ar-SA"/>
        </w:rPr>
        <w:tab/>
      </w:r>
      <w:r w:rsidRPr="00223233">
        <w:rPr>
          <w:rFonts w:hint="cs"/>
          <w:position w:val="0"/>
          <w:rtl/>
          <w:lang w:bidi="ar-SA"/>
        </w:rPr>
        <w:t xml:space="preserve">دورة للتعلم </w:t>
      </w:r>
      <w:r w:rsidR="00B7566A" w:rsidRPr="00223233">
        <w:rPr>
          <w:rFonts w:hint="cs"/>
          <w:position w:val="0"/>
          <w:rtl/>
          <w:lang w:bidi="ar-SA"/>
        </w:rPr>
        <w:t>الإلكتروني</w:t>
      </w:r>
      <w:r w:rsidRPr="00223233">
        <w:rPr>
          <w:rFonts w:hint="cs"/>
          <w:position w:val="0"/>
          <w:rtl/>
          <w:lang w:bidi="ar-SA"/>
        </w:rPr>
        <w:t xml:space="preserve"> فيما يخص </w:t>
      </w:r>
      <w:r w:rsidRPr="00223233">
        <w:rPr>
          <w:position w:val="0"/>
          <w:rtl/>
          <w:lang w:bidi="ar-SA"/>
        </w:rPr>
        <w:t>أساليب عمل لجان دراسات قطاع تقييس الاتصالات</w:t>
      </w:r>
    </w:p>
    <w:p w:rsidR="0022094C" w:rsidRPr="00223233" w:rsidRDefault="00B7566A" w:rsidP="00AB5689">
      <w:pPr>
        <w:rPr>
          <w:rtl/>
        </w:rPr>
      </w:pPr>
      <w:r w:rsidRPr="00223233">
        <w:rPr>
          <w:rFonts w:hint="cs"/>
          <w:rtl/>
        </w:rPr>
        <w:t>يطلب القرار </w:t>
      </w:r>
      <w:r w:rsidRPr="00223233">
        <w:t>44</w:t>
      </w:r>
      <w:r w:rsidRPr="00223233">
        <w:rPr>
          <w:rFonts w:hint="cs"/>
          <w:rtl/>
        </w:rPr>
        <w:t xml:space="preserve"> </w:t>
      </w:r>
      <w:r w:rsidR="00AB5689" w:rsidRPr="00223233">
        <w:rPr>
          <w:rFonts w:hint="cs"/>
          <w:rtl/>
        </w:rPr>
        <w:t xml:space="preserve">المراجَع في الجمعية </w:t>
      </w:r>
      <w:r w:rsidR="00AB5689" w:rsidRPr="00223233">
        <w:rPr>
          <w:lang w:val="en-US"/>
        </w:rPr>
        <w:t>WTSA</w:t>
      </w:r>
      <w:r w:rsidR="00AB5689" w:rsidRPr="00223233">
        <w:rPr>
          <w:lang w:val="en-US"/>
        </w:rPr>
        <w:noBreakHyphen/>
        <w:t>12</w:t>
      </w:r>
      <w:r w:rsidR="00AB5689" w:rsidRPr="00223233">
        <w:rPr>
          <w:rFonts w:hint="cs"/>
          <w:rtl/>
          <w:lang w:val="en-US"/>
        </w:rPr>
        <w:t xml:space="preserve"> </w:t>
      </w:r>
      <w:r w:rsidR="00D918F3">
        <w:rPr>
          <w:rFonts w:hint="cs"/>
          <w:rtl/>
          <w:lang w:val="en-US"/>
        </w:rPr>
        <w:t xml:space="preserve">في دبي </w:t>
      </w:r>
      <w:r w:rsidR="00904FD3" w:rsidRPr="00223233">
        <w:rPr>
          <w:rFonts w:hint="cs"/>
          <w:rtl/>
          <w:lang w:val="en-US"/>
        </w:rPr>
        <w:t>من مدير مكتب تقييس الاتصالات أن ينظر كذلك في استعمال قنوات التعلم الإلكتروني لنشر المعلومات والمعارف عن توصيات قطاع تقييس الاتصالات.</w:t>
      </w:r>
    </w:p>
    <w:p w:rsidR="00D96349" w:rsidRPr="00223233" w:rsidRDefault="00904FD3" w:rsidP="00D96349">
      <w:pPr>
        <w:rPr>
          <w:spacing w:val="6"/>
          <w:rtl/>
        </w:rPr>
      </w:pPr>
      <w:r w:rsidRPr="00223233">
        <w:rPr>
          <w:rFonts w:hint="cs"/>
          <w:spacing w:val="6"/>
          <w:rtl/>
        </w:rPr>
        <w:t xml:space="preserve">ويتوفر حالياً على منصة </w:t>
      </w:r>
      <w:hyperlink r:id="rId27" w:history="1">
        <w:r w:rsidRPr="00223233">
          <w:rPr>
            <w:rStyle w:val="Hyperlink"/>
            <w:rFonts w:hint="cs"/>
            <w:spacing w:val="6"/>
            <w:rtl/>
          </w:rPr>
          <w:t>أكاديمية الاتحاد</w:t>
        </w:r>
      </w:hyperlink>
      <w:r w:rsidRPr="00223233">
        <w:rPr>
          <w:rFonts w:hint="cs"/>
          <w:spacing w:val="6"/>
          <w:rtl/>
        </w:rPr>
        <w:t xml:space="preserve"> </w:t>
      </w:r>
      <w:hyperlink r:id="rId28" w:history="1">
        <w:r w:rsidRPr="00223233">
          <w:rPr>
            <w:rStyle w:val="Hyperlink"/>
            <w:rFonts w:hint="cs"/>
            <w:spacing w:val="6"/>
            <w:rtl/>
          </w:rPr>
          <w:t>باكورة سلسلة</w:t>
        </w:r>
      </w:hyperlink>
      <w:r w:rsidRPr="00223233">
        <w:rPr>
          <w:rFonts w:hint="cs"/>
          <w:spacing w:val="6"/>
          <w:rtl/>
        </w:rPr>
        <w:t xml:space="preserve"> مناهج </w:t>
      </w:r>
      <w:r w:rsidR="00D96349" w:rsidRPr="00223233">
        <w:rPr>
          <w:rFonts w:hint="cs"/>
          <w:spacing w:val="6"/>
          <w:rtl/>
        </w:rPr>
        <w:t>التعلم الإلكتروني الجديد</w:t>
      </w:r>
      <w:r w:rsidR="002234F8" w:rsidRPr="00223233">
        <w:rPr>
          <w:rFonts w:hint="cs"/>
          <w:spacing w:val="6"/>
          <w:rtl/>
        </w:rPr>
        <w:t>ة</w:t>
      </w:r>
      <w:r w:rsidR="00D96349" w:rsidRPr="00223233">
        <w:rPr>
          <w:rFonts w:hint="cs"/>
          <w:spacing w:val="6"/>
          <w:rtl/>
        </w:rPr>
        <w:t xml:space="preserve"> لقطاع تقييس الاتصالات استناداً إلى </w:t>
      </w:r>
      <w:hyperlink r:id="rId29" w:history="1">
        <w:r w:rsidR="00D96349" w:rsidRPr="00223233">
          <w:rPr>
            <w:rStyle w:val="Hyperlink"/>
            <w:rFonts w:hint="cs"/>
            <w:rtl/>
          </w:rPr>
          <w:t>التوصية </w:t>
        </w:r>
        <w:r w:rsidR="00D96349" w:rsidRPr="00223233">
          <w:rPr>
            <w:rStyle w:val="Hyperlink"/>
          </w:rPr>
          <w:t>ITU-T A.1</w:t>
        </w:r>
      </w:hyperlink>
      <w:r w:rsidR="00D96349" w:rsidRPr="00223233">
        <w:rPr>
          <w:rFonts w:hint="cs"/>
          <w:rtl/>
        </w:rPr>
        <w:t xml:space="preserve"> "طرائق عمل لجان دراسات قطاع تقييس الاتصالات"، حيث يقدم هذا المنهج مقدمة للهياكل الإدارية </w:t>
      </w:r>
      <w:r w:rsidR="00D96349" w:rsidRPr="00223233">
        <w:rPr>
          <w:rFonts w:hint="cs"/>
          <w:spacing w:val="6"/>
          <w:rtl/>
        </w:rPr>
        <w:t>وآليات التنسيق وإجراءات العمل الخاصة بلجان دراسات قطاع تقييس الاتصالات.</w:t>
      </w:r>
    </w:p>
    <w:p w:rsidR="0022094C" w:rsidRPr="00223233" w:rsidRDefault="0022094C" w:rsidP="00D96349">
      <w:pPr>
        <w:rPr>
          <w:rtl/>
          <w:lang w:val="en-US"/>
        </w:rPr>
      </w:pPr>
      <w:r w:rsidRPr="00223233">
        <w:rPr>
          <w:rFonts w:hint="cs"/>
          <w:spacing w:val="6"/>
          <w:rtl/>
        </w:rPr>
        <w:t xml:space="preserve">والغرض الرئيسي </w:t>
      </w:r>
      <w:r w:rsidR="00D96349" w:rsidRPr="00223233">
        <w:rPr>
          <w:rFonts w:hint="cs"/>
          <w:spacing w:val="6"/>
          <w:rtl/>
        </w:rPr>
        <w:t>لمنهج ا</w:t>
      </w:r>
      <w:r w:rsidRPr="00223233">
        <w:rPr>
          <w:rFonts w:hint="cs"/>
          <w:spacing w:val="6"/>
          <w:rtl/>
        </w:rPr>
        <w:t xml:space="preserve">لتعلم الإلكتروني هو عرض هياكل ل‍جان دراسات قطاع تقييس الاتصالات وإدارتها وآليات تنسيقها وإجراءات عملها على النحو ال‍محدد </w:t>
      </w:r>
      <w:r w:rsidRPr="00223233">
        <w:rPr>
          <w:rFonts w:hint="cs"/>
          <w:rtl/>
        </w:rPr>
        <w:t>في</w:t>
      </w:r>
      <w:r w:rsidR="00D96349" w:rsidRPr="00223233">
        <w:rPr>
          <w:rFonts w:hint="eastAsia"/>
          <w:rtl/>
        </w:rPr>
        <w:t> </w:t>
      </w:r>
      <w:r w:rsidRPr="00223233">
        <w:rPr>
          <w:rFonts w:hint="cs"/>
          <w:rtl/>
        </w:rPr>
        <w:t>التوصية</w:t>
      </w:r>
      <w:r w:rsidR="00D96349" w:rsidRPr="00223233">
        <w:rPr>
          <w:rFonts w:hint="eastAsia"/>
          <w:rtl/>
        </w:rPr>
        <w:t> </w:t>
      </w:r>
      <w:r w:rsidRPr="00223233">
        <w:t>ITU</w:t>
      </w:r>
      <w:r w:rsidRPr="00223233">
        <w:noBreakHyphen/>
        <w:t>T </w:t>
      </w:r>
      <w:r w:rsidR="00D96349" w:rsidRPr="00223233">
        <w:rPr>
          <w:lang w:val="en-US"/>
        </w:rPr>
        <w:t>A.1</w:t>
      </w:r>
      <w:r w:rsidRPr="00223233">
        <w:rPr>
          <w:rFonts w:hint="cs"/>
          <w:rtl/>
        </w:rPr>
        <w:t xml:space="preserve">. </w:t>
      </w:r>
      <w:r w:rsidR="00D96349" w:rsidRPr="00223233">
        <w:rPr>
          <w:rFonts w:hint="cs"/>
          <w:rtl/>
        </w:rPr>
        <w:t xml:space="preserve">وتصف </w:t>
      </w:r>
      <w:r w:rsidR="002234F8" w:rsidRPr="00223233">
        <w:rPr>
          <w:rFonts w:hint="cs"/>
          <w:rtl/>
        </w:rPr>
        <w:t>ا</w:t>
      </w:r>
      <w:r w:rsidR="00D96349" w:rsidRPr="00223233">
        <w:rPr>
          <w:rFonts w:hint="cs"/>
          <w:rtl/>
        </w:rPr>
        <w:t>لتوصية</w:t>
      </w:r>
      <w:r w:rsidR="00D96349" w:rsidRPr="00223233">
        <w:rPr>
          <w:rFonts w:hint="eastAsia"/>
          <w:rtl/>
        </w:rPr>
        <w:t> </w:t>
      </w:r>
      <w:r w:rsidR="00D96349" w:rsidRPr="00223233">
        <w:t>ITU</w:t>
      </w:r>
      <w:r w:rsidR="00D96349" w:rsidRPr="00223233">
        <w:noBreakHyphen/>
        <w:t>T </w:t>
      </w:r>
      <w:r w:rsidR="00D96349" w:rsidRPr="00223233">
        <w:rPr>
          <w:lang w:val="en-US"/>
        </w:rPr>
        <w:t>A.1</w:t>
      </w:r>
      <w:r w:rsidR="00D96349" w:rsidRPr="00223233">
        <w:rPr>
          <w:rFonts w:hint="cs"/>
          <w:rtl/>
        </w:rPr>
        <w:t xml:space="preserve"> </w:t>
      </w:r>
      <w:r w:rsidR="00C57960" w:rsidRPr="00223233">
        <w:rPr>
          <w:rFonts w:hint="cs"/>
          <w:rtl/>
        </w:rPr>
        <w:t xml:space="preserve">طرائق العمل العامة للجان دراسات قطاع تقييس الاتصالات. والمنهج مصمم من أجل المندوبين المشاركين في اجتماعات لجان دراسات قطاع تقييس الاتصالات، خاصة الجدد منهم. وكل </w:t>
      </w:r>
      <w:r w:rsidR="00D918F3">
        <w:rPr>
          <w:rFonts w:hint="cs"/>
          <w:rtl/>
        </w:rPr>
        <w:t xml:space="preserve">وحدة قائمة بذاتها تتضمن المحتوى واختبارات قصيرة. وبعد استكمال </w:t>
      </w:r>
      <w:r w:rsidR="00C57960" w:rsidRPr="00223233">
        <w:rPr>
          <w:rFonts w:hint="cs"/>
          <w:rtl/>
        </w:rPr>
        <w:t>المنهج يتعين على المشاركين الخضوع لتقييم نهائي على الخط يمكن في حالة اجتيازه بدرجات </w:t>
      </w:r>
      <w:r w:rsidR="00C57960" w:rsidRPr="00223233">
        <w:rPr>
          <w:lang w:val="en-US"/>
        </w:rPr>
        <w:t>%80</w:t>
      </w:r>
      <w:r w:rsidR="00C57960" w:rsidRPr="00223233">
        <w:rPr>
          <w:rFonts w:hint="cs"/>
          <w:rtl/>
          <w:lang w:val="en-US"/>
        </w:rPr>
        <w:t xml:space="preserve"> على الأقل الحصول على شهادة بالنجاح.</w:t>
      </w:r>
    </w:p>
    <w:p w:rsidR="00C57960" w:rsidRPr="00223233" w:rsidRDefault="00C57960" w:rsidP="00A60E97">
      <w:pPr>
        <w:rPr>
          <w:spacing w:val="6"/>
          <w:rtl/>
          <w:lang w:val="en-US"/>
        </w:rPr>
      </w:pPr>
      <w:r w:rsidRPr="00223233">
        <w:rPr>
          <w:rFonts w:hint="cs"/>
          <w:spacing w:val="6"/>
          <w:rtl/>
          <w:lang w:val="en-US"/>
        </w:rPr>
        <w:t xml:space="preserve">وجاري خلال عام </w:t>
      </w:r>
      <w:r w:rsidRPr="00223233">
        <w:rPr>
          <w:spacing w:val="6"/>
          <w:lang w:val="en-US"/>
        </w:rPr>
        <w:t>2014</w:t>
      </w:r>
      <w:r w:rsidRPr="00223233">
        <w:rPr>
          <w:rFonts w:hint="cs"/>
          <w:spacing w:val="6"/>
          <w:rtl/>
          <w:lang w:val="en-US"/>
        </w:rPr>
        <w:t xml:space="preserve"> تطوير منهج للتعلم الإلكتروني بشأن جودة الخدمة بالنسبة للشبكات المتنقلة بالتعاون مع مكتب تنمية</w:t>
      </w:r>
      <w:r w:rsidR="00A60E97">
        <w:rPr>
          <w:rFonts w:hint="eastAsia"/>
          <w:spacing w:val="6"/>
          <w:rtl/>
          <w:lang w:val="en-US"/>
        </w:rPr>
        <w:t> </w:t>
      </w:r>
      <w:r w:rsidRPr="00223233">
        <w:rPr>
          <w:rFonts w:hint="cs"/>
          <w:spacing w:val="6"/>
          <w:rtl/>
          <w:lang w:val="en-US"/>
        </w:rPr>
        <w:t>الاتصالات.</w:t>
      </w:r>
    </w:p>
    <w:p w:rsidR="0022094C" w:rsidRPr="00223233" w:rsidRDefault="0022094C" w:rsidP="009D6416">
      <w:pPr>
        <w:pStyle w:val="Heading2"/>
        <w:tabs>
          <w:tab w:val="clear" w:pos="1134"/>
        </w:tabs>
        <w:ind w:left="850" w:hanging="850"/>
        <w:rPr>
          <w:position w:val="0"/>
          <w:rtl/>
          <w:lang w:bidi="ar-SA"/>
        </w:rPr>
      </w:pPr>
      <w:r w:rsidRPr="00223233">
        <w:rPr>
          <w:position w:val="0"/>
          <w:lang w:bidi="ar-SA"/>
        </w:rPr>
        <w:t>2.4</w:t>
      </w:r>
      <w:r w:rsidRPr="00223233">
        <w:rPr>
          <w:position w:val="0"/>
          <w:rtl/>
          <w:lang w:bidi="ar-SA"/>
        </w:rPr>
        <w:tab/>
      </w:r>
      <w:r w:rsidR="009D6416" w:rsidRPr="00223233">
        <w:rPr>
          <w:rFonts w:hint="cs"/>
          <w:position w:val="0"/>
          <w:rtl/>
          <w:lang w:bidi="ar-SA"/>
        </w:rPr>
        <w:t>تنظيم الحلقات الدراسية وورش العمل بشأن تقييس تكنولوجيا المعلومات والاتصالات</w:t>
      </w:r>
    </w:p>
    <w:p w:rsidR="0050046D" w:rsidRPr="00223233" w:rsidRDefault="0022094C" w:rsidP="00A60E97">
      <w:pPr>
        <w:rPr>
          <w:rFonts w:eastAsia="SimSun"/>
          <w:spacing w:val="4"/>
          <w:rtl/>
          <w:lang w:val="en-US"/>
        </w:rPr>
      </w:pPr>
      <w:r w:rsidRPr="00223233">
        <w:rPr>
          <w:rFonts w:eastAsia="SimSun"/>
          <w:spacing w:val="-2"/>
          <w:rtl/>
          <w:lang w:val="en-US"/>
        </w:rPr>
        <w:t>عقدت ورش عمل</w:t>
      </w:r>
      <w:r w:rsidRPr="00223233">
        <w:rPr>
          <w:rFonts w:eastAsia="SimSun" w:hint="cs"/>
          <w:spacing w:val="-2"/>
          <w:rtl/>
          <w:lang w:val="en-US"/>
        </w:rPr>
        <w:t xml:space="preserve"> إقليمية </w:t>
      </w:r>
      <w:r w:rsidRPr="00223233">
        <w:rPr>
          <w:rFonts w:eastAsia="SimSun"/>
          <w:spacing w:val="-2"/>
          <w:rtl/>
          <w:lang w:val="ar-SA" w:bidi="ar-SA"/>
        </w:rPr>
        <w:t>لسد الفجوة التقييسية</w:t>
      </w:r>
      <w:r w:rsidRPr="00223233">
        <w:rPr>
          <w:rFonts w:eastAsia="SimSun" w:hint="cs"/>
          <w:spacing w:val="-2"/>
          <w:rtl/>
          <w:lang w:val="ar-SA" w:bidi="ar-SA"/>
        </w:rPr>
        <w:t xml:space="preserve"> </w:t>
      </w:r>
      <w:r w:rsidRPr="00223233">
        <w:rPr>
          <w:rFonts w:eastAsia="SimSun"/>
          <w:spacing w:val="-2"/>
          <w:lang w:val="en-US" w:bidi="ar-SA"/>
        </w:rPr>
        <w:t>(BSG)</w:t>
      </w:r>
      <w:r w:rsidRPr="00223233">
        <w:rPr>
          <w:rFonts w:eastAsia="SimSun"/>
          <w:spacing w:val="-2"/>
          <w:rtl/>
          <w:lang w:val="ar-SA"/>
        </w:rPr>
        <w:t xml:space="preserve">: </w:t>
      </w:r>
      <w:r w:rsidRPr="00223233">
        <w:rPr>
          <w:rFonts w:eastAsia="SimSun" w:hint="cs"/>
          <w:spacing w:val="-2"/>
          <w:rtl/>
          <w:lang w:val="ar-SA" w:bidi="ar-SA"/>
        </w:rPr>
        <w:t xml:space="preserve">في </w:t>
      </w:r>
      <w:r w:rsidRPr="00223233">
        <w:rPr>
          <w:rFonts w:eastAsia="SimSun"/>
          <w:spacing w:val="-2"/>
          <w:lang w:val="en-US"/>
        </w:rPr>
        <w:t>2011</w:t>
      </w:r>
      <w:r w:rsidRPr="00223233">
        <w:rPr>
          <w:rFonts w:eastAsia="SimSun" w:hint="cs"/>
          <w:spacing w:val="-2"/>
          <w:rtl/>
          <w:lang w:val="ru-RU"/>
        </w:rPr>
        <w:t xml:space="preserve">، </w:t>
      </w:r>
      <w:r w:rsidRPr="00223233">
        <w:rPr>
          <w:rFonts w:eastAsia="SimSun"/>
          <w:spacing w:val="-2"/>
          <w:rtl/>
          <w:lang w:val="en-US"/>
        </w:rPr>
        <w:t>في فيجي والجزائر ومولدوفا</w:t>
      </w:r>
      <w:r w:rsidRPr="00223233">
        <w:rPr>
          <w:rFonts w:eastAsia="SimSun" w:hint="cs"/>
          <w:spacing w:val="-2"/>
          <w:rtl/>
          <w:lang w:val="en-US"/>
        </w:rPr>
        <w:t xml:space="preserve">؛ وفي </w:t>
      </w:r>
      <w:r w:rsidRPr="00223233">
        <w:rPr>
          <w:rFonts w:eastAsia="SimSun"/>
          <w:spacing w:val="-2"/>
          <w:lang w:val="en-US"/>
        </w:rPr>
        <w:t>2012</w:t>
      </w:r>
      <w:r w:rsidRPr="00223233">
        <w:rPr>
          <w:rFonts w:eastAsia="SimSun" w:hint="cs"/>
          <w:spacing w:val="-2"/>
          <w:rtl/>
          <w:lang w:val="ru-RU"/>
        </w:rPr>
        <w:t xml:space="preserve">، في </w:t>
      </w:r>
      <w:r w:rsidR="009D6416" w:rsidRPr="00223233">
        <w:rPr>
          <w:rFonts w:eastAsia="SimSun" w:hint="cs"/>
          <w:spacing w:val="-2"/>
          <w:rtl/>
          <w:lang w:val="ru-RU"/>
        </w:rPr>
        <w:t xml:space="preserve">جمهورية </w:t>
      </w:r>
      <w:r w:rsidRPr="00223233">
        <w:rPr>
          <w:rFonts w:eastAsia="SimSun" w:hint="cs"/>
          <w:spacing w:val="-2"/>
          <w:rtl/>
          <w:lang w:val="ru-RU"/>
        </w:rPr>
        <w:t>لاو</w:t>
      </w:r>
      <w:r w:rsidR="009D6416" w:rsidRPr="00223233">
        <w:rPr>
          <w:rFonts w:eastAsia="SimSun" w:hint="cs"/>
          <w:spacing w:val="-2"/>
          <w:rtl/>
          <w:lang w:val="ru-RU"/>
        </w:rPr>
        <w:t xml:space="preserve"> </w:t>
      </w:r>
      <w:r w:rsidR="009D6416" w:rsidRPr="00467A18">
        <w:rPr>
          <w:rFonts w:eastAsia="SimSun" w:hint="cs"/>
          <w:spacing w:val="2"/>
          <w:rtl/>
          <w:lang w:val="ru-RU"/>
        </w:rPr>
        <w:t>الديمقراطية الشعبية</w:t>
      </w:r>
      <w:r w:rsidR="00C30FAA" w:rsidRPr="00467A18">
        <w:rPr>
          <w:rFonts w:eastAsia="SimSun" w:hint="cs"/>
          <w:spacing w:val="2"/>
          <w:rtl/>
          <w:lang w:val="ru-RU"/>
        </w:rPr>
        <w:t xml:space="preserve"> </w:t>
      </w:r>
      <w:r w:rsidR="00C30FAA" w:rsidRPr="00467A18">
        <w:rPr>
          <w:rFonts w:eastAsia="SimSun"/>
          <w:spacing w:val="2"/>
          <w:lang w:val="en-US"/>
        </w:rPr>
        <w:t>(P.D.R.)</w:t>
      </w:r>
      <w:r w:rsidRPr="00467A18">
        <w:rPr>
          <w:rFonts w:eastAsia="SimSun" w:hint="cs"/>
          <w:spacing w:val="2"/>
          <w:rtl/>
          <w:lang w:val="ru-RU"/>
        </w:rPr>
        <w:t xml:space="preserve"> والهند، إلى جانب منتد</w:t>
      </w:r>
      <w:r w:rsidR="009D6416" w:rsidRPr="00467A18">
        <w:rPr>
          <w:rFonts w:eastAsia="SimSun" w:hint="cs"/>
          <w:spacing w:val="2"/>
          <w:rtl/>
          <w:lang w:val="ru-RU"/>
        </w:rPr>
        <w:t>ى إقليمي</w:t>
      </w:r>
      <w:r w:rsidRPr="00467A18">
        <w:rPr>
          <w:rFonts w:eastAsia="SimSun" w:hint="cs"/>
          <w:spacing w:val="2"/>
          <w:rtl/>
          <w:lang w:val="ru-RU"/>
        </w:rPr>
        <w:t xml:space="preserve"> </w:t>
      </w:r>
      <w:r w:rsidR="009D6416" w:rsidRPr="00467A18">
        <w:rPr>
          <w:rFonts w:eastAsia="SimSun" w:hint="cs"/>
          <w:spacing w:val="2"/>
          <w:rtl/>
          <w:lang w:val="ru-RU"/>
        </w:rPr>
        <w:t xml:space="preserve">لتقييس تكنولوجيا المعلومات والاتصالات </w:t>
      </w:r>
      <w:r w:rsidRPr="00467A18">
        <w:rPr>
          <w:rFonts w:eastAsia="SimSun" w:hint="cs"/>
          <w:spacing w:val="2"/>
          <w:rtl/>
          <w:lang w:val="ru-RU"/>
        </w:rPr>
        <w:t>في</w:t>
      </w:r>
      <w:r w:rsidR="00A60E97">
        <w:rPr>
          <w:rFonts w:eastAsia="SimSun" w:hint="eastAsia"/>
          <w:spacing w:val="2"/>
          <w:rtl/>
          <w:lang w:val="ru-RU"/>
        </w:rPr>
        <w:t> </w:t>
      </w:r>
      <w:r w:rsidRPr="00467A18">
        <w:rPr>
          <w:rFonts w:eastAsia="SimSun"/>
          <w:spacing w:val="2"/>
          <w:lang w:val="en-US"/>
        </w:rPr>
        <w:t>2013</w:t>
      </w:r>
      <w:r w:rsidRPr="00467A18">
        <w:rPr>
          <w:rFonts w:eastAsia="SimSun" w:hint="cs"/>
          <w:spacing w:val="2"/>
          <w:rtl/>
          <w:lang w:val="ru-RU"/>
        </w:rPr>
        <w:t>، في</w:t>
      </w:r>
      <w:r w:rsidR="00A60E97">
        <w:rPr>
          <w:rFonts w:eastAsia="SimSun" w:hint="eastAsia"/>
          <w:spacing w:val="2"/>
          <w:rtl/>
          <w:lang w:val="ru-RU"/>
        </w:rPr>
        <w:t> </w:t>
      </w:r>
      <w:r w:rsidRPr="00467A18">
        <w:rPr>
          <w:rFonts w:eastAsia="SimSun" w:hint="cs"/>
          <w:spacing w:val="2"/>
          <w:rtl/>
          <w:lang w:val="ru-RU"/>
        </w:rPr>
        <w:t>ميانمار.</w:t>
      </w:r>
      <w:r w:rsidRPr="00223233">
        <w:rPr>
          <w:rFonts w:eastAsia="SimSun" w:hint="cs"/>
          <w:spacing w:val="-2"/>
          <w:rtl/>
          <w:lang w:val="ru-RU"/>
        </w:rPr>
        <w:t xml:space="preserve"> </w:t>
      </w:r>
      <w:r w:rsidRPr="00223233">
        <w:rPr>
          <w:rFonts w:eastAsia="SimSun"/>
          <w:spacing w:val="-2"/>
          <w:rtl/>
          <w:lang w:val="en-US"/>
        </w:rPr>
        <w:t>كما</w:t>
      </w:r>
      <w:r w:rsidR="00467A18">
        <w:rPr>
          <w:rFonts w:eastAsia="SimSun" w:hint="cs"/>
          <w:spacing w:val="-2"/>
          <w:rtl/>
          <w:lang w:val="en-US"/>
        </w:rPr>
        <w:t> </w:t>
      </w:r>
      <w:r w:rsidRPr="00223233">
        <w:rPr>
          <w:rFonts w:eastAsia="SimSun"/>
          <w:spacing w:val="-2"/>
          <w:rtl/>
          <w:lang w:val="en-US"/>
        </w:rPr>
        <w:t>عقدت في</w:t>
      </w:r>
      <w:r w:rsidR="009D6416" w:rsidRPr="00223233">
        <w:rPr>
          <w:rFonts w:eastAsia="SimSun" w:hint="cs"/>
          <w:spacing w:val="-2"/>
          <w:rtl/>
          <w:lang w:val="en-US"/>
        </w:rPr>
        <w:t> </w:t>
      </w:r>
      <w:r w:rsidRPr="00223233">
        <w:rPr>
          <w:rFonts w:eastAsia="SimSun"/>
          <w:spacing w:val="-2"/>
          <w:rtl/>
          <w:lang w:val="en-US"/>
        </w:rPr>
        <w:t>سبتمبر</w:t>
      </w:r>
      <w:r w:rsidRPr="00223233">
        <w:rPr>
          <w:rFonts w:eastAsia="SimSun" w:hint="cs"/>
          <w:spacing w:val="-2"/>
          <w:rtl/>
          <w:lang w:val="en-US"/>
        </w:rPr>
        <w:t xml:space="preserve"> </w:t>
      </w:r>
      <w:r w:rsidRPr="00223233">
        <w:rPr>
          <w:rFonts w:eastAsia="SimSun"/>
          <w:spacing w:val="-2"/>
          <w:lang w:val="en-US"/>
        </w:rPr>
        <w:t>2011</w:t>
      </w:r>
      <w:r w:rsidRPr="00223233">
        <w:rPr>
          <w:rFonts w:eastAsia="SimSun" w:hint="cs"/>
          <w:spacing w:val="-2"/>
          <w:rtl/>
          <w:lang w:val="en-US"/>
        </w:rPr>
        <w:t xml:space="preserve"> </w:t>
      </w:r>
      <w:r w:rsidRPr="00223233">
        <w:rPr>
          <w:rFonts w:eastAsia="SimSun"/>
          <w:spacing w:val="-2"/>
          <w:rtl/>
          <w:lang w:val="en-US"/>
        </w:rPr>
        <w:t xml:space="preserve">دورة تدريبية لمدة أسبوعين تمحورت حول توصيات قطاع تقييس الاتصالات المتعلقة بالكبلات والألياف والأنظمة البصرية في المكسيك، وكان </w:t>
      </w:r>
      <w:r w:rsidRPr="00223233">
        <w:rPr>
          <w:rFonts w:eastAsia="SimSun"/>
          <w:spacing w:val="4"/>
          <w:rtl/>
          <w:lang w:val="en-US"/>
        </w:rPr>
        <w:t xml:space="preserve">أساسها النظري </w:t>
      </w:r>
      <w:r w:rsidRPr="00223233">
        <w:rPr>
          <w:rFonts w:eastAsia="SimSun"/>
          <w:spacing w:val="4"/>
          <w:rtl/>
          <w:lang w:val="ar-SA" w:bidi="ar-SA"/>
        </w:rPr>
        <w:t>كتيب كبلات الألياف البصرية</w:t>
      </w:r>
      <w:r w:rsidRPr="00223233">
        <w:rPr>
          <w:rFonts w:eastAsia="SimSun"/>
          <w:spacing w:val="4"/>
          <w:rtl/>
          <w:lang w:val="ar-SA"/>
        </w:rPr>
        <w:t xml:space="preserve"> </w:t>
      </w:r>
      <w:r w:rsidRPr="00223233">
        <w:rPr>
          <w:rFonts w:eastAsia="SimSun"/>
          <w:spacing w:val="4"/>
          <w:rtl/>
          <w:lang w:val="en-US"/>
        </w:rPr>
        <w:t>الصادر عن قطاع تقييس الاتصالات</w:t>
      </w:r>
      <w:r w:rsidR="0050046D" w:rsidRPr="00223233">
        <w:rPr>
          <w:rFonts w:eastAsia="SimSun" w:hint="cs"/>
          <w:spacing w:val="4"/>
          <w:rtl/>
          <w:lang w:val="en-US"/>
        </w:rPr>
        <w:t>.</w:t>
      </w:r>
    </w:p>
    <w:p w:rsidR="0050046D" w:rsidRPr="00223233" w:rsidRDefault="0022094C" w:rsidP="00A60E97">
      <w:pPr>
        <w:rPr>
          <w:rFonts w:eastAsia="SimSun"/>
          <w:color w:val="000000"/>
          <w:rtl/>
        </w:rPr>
      </w:pPr>
      <w:r w:rsidRPr="00223233">
        <w:rPr>
          <w:rFonts w:eastAsia="SimSun" w:hint="cs"/>
          <w:spacing w:val="4"/>
          <w:rtl/>
          <w:lang w:val="en-US"/>
        </w:rPr>
        <w:t>وعقد منتدى إقليمي متعلق بالتقييس في</w:t>
      </w:r>
      <w:r w:rsidRPr="00223233">
        <w:rPr>
          <w:rFonts w:eastAsia="SimSun" w:hint="cs"/>
          <w:rtl/>
          <w:lang w:val="en-US"/>
        </w:rPr>
        <w:t xml:space="preserve"> المنطقة</w:t>
      </w:r>
      <w:r w:rsidRPr="00223233">
        <w:rPr>
          <w:rFonts w:eastAsia="SimSun" w:hint="cs"/>
          <w:spacing w:val="-2"/>
          <w:rtl/>
          <w:lang w:val="en-US"/>
        </w:rPr>
        <w:t xml:space="preserve"> العربية في </w:t>
      </w:r>
      <w:r w:rsidRPr="00223233">
        <w:rPr>
          <w:rFonts w:eastAsia="SimSun"/>
          <w:spacing w:val="-2"/>
          <w:lang w:val="en-US"/>
        </w:rPr>
        <w:t>27</w:t>
      </w:r>
      <w:r w:rsidRPr="00223233">
        <w:rPr>
          <w:rFonts w:eastAsia="SimSun" w:hint="cs"/>
          <w:spacing w:val="-2"/>
          <w:rtl/>
          <w:lang w:val="ru-RU"/>
        </w:rPr>
        <w:t xml:space="preserve"> يناير </w:t>
      </w:r>
      <w:r w:rsidRPr="00223233">
        <w:rPr>
          <w:rFonts w:eastAsia="SimSun"/>
          <w:spacing w:val="-2"/>
          <w:lang w:val="en-US"/>
        </w:rPr>
        <w:t>2014</w:t>
      </w:r>
      <w:r w:rsidRPr="00223233">
        <w:rPr>
          <w:rFonts w:eastAsia="SimSun" w:hint="cs"/>
          <w:spacing w:val="-2"/>
          <w:rtl/>
          <w:lang w:val="ru-RU"/>
        </w:rPr>
        <w:t xml:space="preserve"> في تونس. </w:t>
      </w:r>
      <w:r w:rsidRPr="00223233">
        <w:rPr>
          <w:rFonts w:eastAsia="SimSun" w:hint="cs"/>
          <w:spacing w:val="-2"/>
          <w:rtl/>
          <w:lang w:val="en-US"/>
        </w:rPr>
        <w:t>ومن المخطط أن تعقد في</w:t>
      </w:r>
      <w:r w:rsidR="00A60E97">
        <w:rPr>
          <w:rFonts w:eastAsia="SimSun" w:hint="eastAsia"/>
          <w:spacing w:val="-2"/>
          <w:rtl/>
          <w:lang w:val="en-US"/>
        </w:rPr>
        <w:t> </w:t>
      </w:r>
      <w:r w:rsidRPr="00223233">
        <w:rPr>
          <w:rFonts w:eastAsia="SimSun" w:hint="cs"/>
          <w:spacing w:val="-2"/>
          <w:rtl/>
          <w:lang w:val="en-US"/>
        </w:rPr>
        <w:t>عام</w:t>
      </w:r>
      <w:r w:rsidR="00A60E97">
        <w:rPr>
          <w:rFonts w:eastAsia="SimSun" w:hint="eastAsia"/>
          <w:spacing w:val="-2"/>
          <w:rtl/>
          <w:lang w:val="en-US"/>
        </w:rPr>
        <w:t> </w:t>
      </w:r>
      <w:r w:rsidRPr="00223233">
        <w:rPr>
          <w:rFonts w:eastAsia="SimSun"/>
          <w:spacing w:val="-2"/>
          <w:lang w:val="en-US"/>
        </w:rPr>
        <w:t>2014</w:t>
      </w:r>
      <w:r w:rsidRPr="00223233">
        <w:rPr>
          <w:rFonts w:eastAsia="SimSun" w:hint="cs"/>
          <w:spacing w:val="-2"/>
          <w:rtl/>
          <w:lang w:val="ru-RU"/>
        </w:rPr>
        <w:t xml:space="preserve"> </w:t>
      </w:r>
      <w:r w:rsidRPr="00223233">
        <w:rPr>
          <w:rFonts w:eastAsia="SimSun" w:hint="cs"/>
          <w:spacing w:val="-2"/>
          <w:rtl/>
          <w:lang w:val="en-US"/>
        </w:rPr>
        <w:t>ثلاثة</w:t>
      </w:r>
      <w:r w:rsidR="00A60E97">
        <w:rPr>
          <w:rFonts w:eastAsia="SimSun" w:hint="eastAsia"/>
          <w:spacing w:val="-2"/>
          <w:rtl/>
          <w:lang w:val="en-US"/>
        </w:rPr>
        <w:t> </w:t>
      </w:r>
      <w:r w:rsidRPr="00223233">
        <w:rPr>
          <w:rFonts w:eastAsia="SimSun" w:hint="cs"/>
          <w:spacing w:val="-2"/>
          <w:rtl/>
          <w:lang w:val="en-US"/>
        </w:rPr>
        <w:t>منتديات إقليمية أخرى للمناطق الأخرى.</w:t>
      </w:r>
    </w:p>
    <w:p w:rsidR="0022094C" w:rsidRPr="00223233" w:rsidRDefault="0022094C" w:rsidP="00A60E97">
      <w:pPr>
        <w:rPr>
          <w:rtl/>
        </w:rPr>
      </w:pPr>
      <w:r w:rsidRPr="00223233">
        <w:rPr>
          <w:rFonts w:eastAsia="SimSun"/>
          <w:color w:val="000000"/>
          <w:rtl/>
        </w:rPr>
        <w:t>وعُقدت حلقات تعليمية من أجل المندوبين وشاغلي المناصب القيادية</w:t>
      </w:r>
      <w:r w:rsidR="0041183B" w:rsidRPr="00223233">
        <w:rPr>
          <w:rFonts w:eastAsia="SimSun" w:hint="cs"/>
          <w:color w:val="000000"/>
          <w:rtl/>
        </w:rPr>
        <w:t xml:space="preserve"> بلجان دراسات قطاع تقييس الاتصالات</w:t>
      </w:r>
      <w:r w:rsidRPr="00223233">
        <w:rPr>
          <w:rFonts w:eastAsia="SimSun"/>
          <w:color w:val="000000"/>
          <w:rtl/>
        </w:rPr>
        <w:t xml:space="preserve"> في عام</w:t>
      </w:r>
      <w:r w:rsidR="00E00644">
        <w:rPr>
          <w:rFonts w:eastAsia="SimSun" w:hint="cs"/>
          <w:color w:val="000000"/>
          <w:rtl/>
        </w:rPr>
        <w:t> </w:t>
      </w:r>
      <w:r w:rsidRPr="00223233">
        <w:rPr>
          <w:rFonts w:eastAsia="SimSun"/>
          <w:color w:val="000000"/>
        </w:rPr>
        <w:t>2012</w:t>
      </w:r>
      <w:r w:rsidRPr="00223233">
        <w:rPr>
          <w:rFonts w:eastAsia="SimSun"/>
          <w:color w:val="000000"/>
          <w:rtl/>
        </w:rPr>
        <w:t xml:space="preserve"> في</w:t>
      </w:r>
      <w:r w:rsidR="0050046D" w:rsidRPr="00223233">
        <w:rPr>
          <w:rFonts w:eastAsia="SimSun" w:hint="cs"/>
          <w:color w:val="000000"/>
          <w:rtl/>
        </w:rPr>
        <w:t> </w:t>
      </w:r>
      <w:r w:rsidRPr="00223233">
        <w:rPr>
          <w:rFonts w:eastAsia="SimSun"/>
          <w:color w:val="000000"/>
          <w:rtl/>
        </w:rPr>
        <w:t>جنيف</w:t>
      </w:r>
      <w:r w:rsidRPr="00223233">
        <w:rPr>
          <w:rFonts w:eastAsia="SimSun" w:hint="cs"/>
          <w:color w:val="000000"/>
          <w:rtl/>
        </w:rPr>
        <w:t xml:space="preserve"> وكوريا وتايلاند</w:t>
      </w:r>
      <w:r w:rsidRPr="00223233">
        <w:rPr>
          <w:rFonts w:eastAsia="SimSun"/>
          <w:color w:val="000000"/>
          <w:rtl/>
        </w:rPr>
        <w:t xml:space="preserve"> إضافةً إلى حلقة تعليمية من أجل أفرقة القيادة الجديدة للجان الدراسات والفريق الاستشاري لتقييس </w:t>
      </w:r>
      <w:r w:rsidRPr="00223233">
        <w:rPr>
          <w:rFonts w:eastAsia="SimSun"/>
          <w:color w:val="000000"/>
          <w:rtl/>
        </w:rPr>
        <w:lastRenderedPageBreak/>
        <w:t xml:space="preserve">الاتصالات في يناير </w:t>
      </w:r>
      <w:r w:rsidRPr="00223233">
        <w:rPr>
          <w:rFonts w:eastAsia="SimSun"/>
          <w:color w:val="000000"/>
        </w:rPr>
        <w:t>2013</w:t>
      </w:r>
      <w:r w:rsidRPr="00223233">
        <w:rPr>
          <w:rFonts w:eastAsia="SimSun"/>
          <w:color w:val="000000"/>
          <w:rtl/>
        </w:rPr>
        <w:t>.</w:t>
      </w:r>
      <w:r w:rsidRPr="00223233">
        <w:rPr>
          <w:rFonts w:eastAsia="SimSun" w:hint="cs"/>
          <w:color w:val="000000"/>
          <w:rtl/>
        </w:rPr>
        <w:t xml:space="preserve"> </w:t>
      </w:r>
      <w:r w:rsidRPr="00223233">
        <w:rPr>
          <w:rFonts w:eastAsia="SimSun" w:hint="cs"/>
          <w:color w:val="000000"/>
          <w:rtl/>
          <w:lang w:val="ru-RU"/>
        </w:rPr>
        <w:t>وأطلق في</w:t>
      </w:r>
      <w:r w:rsidRPr="00223233">
        <w:rPr>
          <w:rFonts w:eastAsia="SimSun" w:hint="eastAsia"/>
          <w:color w:val="000000"/>
          <w:rtl/>
          <w:lang w:val="ru-RU"/>
        </w:rPr>
        <w:t> </w:t>
      </w:r>
      <w:r w:rsidRPr="00223233">
        <w:rPr>
          <w:rFonts w:eastAsia="SimSun" w:hint="cs"/>
          <w:color w:val="000000"/>
          <w:rtl/>
          <w:lang w:val="ru-RU"/>
        </w:rPr>
        <w:t xml:space="preserve">يناير </w:t>
      </w:r>
      <w:r w:rsidRPr="00223233">
        <w:rPr>
          <w:rFonts w:eastAsia="SimSun"/>
          <w:color w:val="000000"/>
          <w:lang w:val="en-US"/>
        </w:rPr>
        <w:t>2014</w:t>
      </w:r>
      <w:r w:rsidRPr="00223233">
        <w:rPr>
          <w:rFonts w:eastAsia="SimSun" w:hint="cs"/>
          <w:color w:val="000000"/>
          <w:rtl/>
          <w:lang w:val="ru-RU"/>
        </w:rPr>
        <w:t xml:space="preserve"> </w:t>
      </w:r>
      <w:r w:rsidRPr="00223233">
        <w:rPr>
          <w:rFonts w:eastAsia="SimSun" w:hint="cs"/>
          <w:color w:val="000000"/>
          <w:spacing w:val="-2"/>
          <w:rtl/>
          <w:lang w:val="ru-RU"/>
        </w:rPr>
        <w:t xml:space="preserve">أول </w:t>
      </w:r>
      <w:r w:rsidR="00E05623" w:rsidRPr="00223233">
        <w:rPr>
          <w:rFonts w:eastAsia="SimSun" w:hint="cs"/>
          <w:color w:val="000000"/>
          <w:spacing w:val="-2"/>
          <w:rtl/>
          <w:lang w:val="ru-RU"/>
        </w:rPr>
        <w:t>منهج ل</w:t>
      </w:r>
      <w:r w:rsidRPr="00223233">
        <w:rPr>
          <w:rFonts w:eastAsia="SimSun" w:hint="cs"/>
          <w:color w:val="000000"/>
          <w:spacing w:val="-2"/>
          <w:rtl/>
          <w:lang w:val="ru-RU"/>
        </w:rPr>
        <w:t>لتعلم الإلكتروني لقطاع تقييس الاتصالات، وه</w:t>
      </w:r>
      <w:r w:rsidR="00E05623" w:rsidRPr="00223233">
        <w:rPr>
          <w:rFonts w:eastAsia="SimSun" w:hint="cs"/>
          <w:color w:val="000000"/>
          <w:spacing w:val="-2"/>
          <w:rtl/>
          <w:lang w:val="ru-RU"/>
        </w:rPr>
        <w:t>و</w:t>
      </w:r>
      <w:r w:rsidRPr="00223233">
        <w:rPr>
          <w:rFonts w:eastAsia="SimSun" w:hint="cs"/>
          <w:color w:val="000000"/>
          <w:spacing w:val="-2"/>
          <w:rtl/>
          <w:lang w:val="ru-RU"/>
        </w:rPr>
        <w:t xml:space="preserve"> </w:t>
      </w:r>
      <w:r w:rsidR="00E05623" w:rsidRPr="00223233">
        <w:rPr>
          <w:rFonts w:eastAsia="SimSun" w:hint="cs"/>
          <w:color w:val="000000"/>
          <w:spacing w:val="-2"/>
          <w:rtl/>
          <w:lang w:val="ru-RU"/>
        </w:rPr>
        <w:t>منهج</w:t>
      </w:r>
      <w:r w:rsidRPr="00223233">
        <w:rPr>
          <w:rFonts w:eastAsia="SimSun" w:hint="cs"/>
          <w:color w:val="000000"/>
          <w:spacing w:val="-2"/>
          <w:rtl/>
          <w:lang w:val="ru-RU"/>
        </w:rPr>
        <w:t xml:space="preserve"> مدته ساعتان عن التوصية</w:t>
      </w:r>
      <w:r w:rsidR="00A60E97">
        <w:rPr>
          <w:rFonts w:eastAsia="SimSun" w:hint="eastAsia"/>
          <w:color w:val="000000"/>
          <w:spacing w:val="-2"/>
          <w:rtl/>
          <w:lang w:val="ru-RU"/>
        </w:rPr>
        <w:t> </w:t>
      </w:r>
      <w:r w:rsidRPr="00223233">
        <w:rPr>
          <w:rFonts w:eastAsia="SimSun"/>
          <w:color w:val="000000"/>
          <w:spacing w:val="-2"/>
          <w:lang w:val="en-US"/>
        </w:rPr>
        <w:t>ITU-T A.1</w:t>
      </w:r>
      <w:r w:rsidRPr="00223233">
        <w:rPr>
          <w:rFonts w:eastAsia="SimSun" w:hint="cs"/>
          <w:color w:val="000000"/>
          <w:rtl/>
          <w:lang w:val="ru-RU"/>
        </w:rPr>
        <w:t xml:space="preserve"> </w:t>
      </w:r>
      <w:r w:rsidRPr="00223233">
        <w:rPr>
          <w:rFonts w:eastAsia="SimSun" w:hint="cs"/>
          <w:color w:val="000000"/>
          <w:spacing w:val="-6"/>
          <w:rtl/>
          <w:lang w:val="ru-RU"/>
        </w:rPr>
        <w:t>(</w:t>
      </w:r>
      <w:r w:rsidR="003A6273" w:rsidRPr="00223233">
        <w:rPr>
          <w:rFonts w:eastAsia="SimSun" w:hint="cs"/>
          <w:color w:val="000000"/>
          <w:spacing w:val="-6"/>
          <w:rtl/>
          <w:lang w:val="ru-RU"/>
        </w:rPr>
        <w:t>طرائق</w:t>
      </w:r>
      <w:r w:rsidRPr="00223233">
        <w:rPr>
          <w:rFonts w:eastAsia="SimSun" w:hint="cs"/>
          <w:color w:val="000000"/>
          <w:spacing w:val="-6"/>
          <w:rtl/>
          <w:lang w:val="ru-RU"/>
        </w:rPr>
        <w:t xml:space="preserve"> العمل في قطاع تقييس الاتصالات).</w:t>
      </w:r>
    </w:p>
    <w:p w:rsidR="0022094C" w:rsidRPr="00223233" w:rsidRDefault="0022094C" w:rsidP="0022094C">
      <w:pPr>
        <w:rPr>
          <w:rtl/>
          <w:lang w:bidi="ar-SY"/>
        </w:rPr>
      </w:pPr>
      <w:r w:rsidRPr="00223233">
        <w:rPr>
          <w:rtl/>
          <w:lang w:bidi="ar-SY"/>
        </w:rPr>
        <w:t>وعقدت أربع دورات تدريبية عن التقييس في ماليزيا والهند وفيجي والجزائر. وأتاحت دورات التقييس التدريبية تجربة تعلم تفاعلية من خلال محاكاة لاجتماع لجنة دراسات. وغطت الدورة التدريبية معلومات أساسية عن كيفية إجراء أعمال التقييس وكيف يمكن للمشاركين زيادة فعاليتهم في اجتماعات</w:t>
      </w:r>
      <w:r w:rsidRPr="00223233">
        <w:rPr>
          <w:rFonts w:hint="cs"/>
          <w:rtl/>
          <w:lang w:bidi="ar-SY"/>
        </w:rPr>
        <w:t xml:space="preserve"> قطاع</w:t>
      </w:r>
      <w:r w:rsidRPr="00223233">
        <w:rPr>
          <w:rtl/>
          <w:lang w:bidi="ar-SY"/>
        </w:rPr>
        <w:t xml:space="preserve"> تقييس الاتصالات.</w:t>
      </w:r>
    </w:p>
    <w:p w:rsidR="0022094C" w:rsidRPr="00223233" w:rsidRDefault="00CC3391" w:rsidP="0022094C">
      <w:pPr>
        <w:rPr>
          <w:rtl/>
          <w:lang w:bidi="ar-SA"/>
        </w:rPr>
      </w:pPr>
      <w:r w:rsidRPr="00223233">
        <w:rPr>
          <w:rFonts w:hint="cs"/>
          <w:rtl/>
          <w:lang w:bidi="ar-SY"/>
        </w:rPr>
        <w:t>وتم تنظيم ورش عمل وأحداث لبناء القدرات بالتعاون الوثيق مع مكتب</w:t>
      </w:r>
      <w:r w:rsidR="00CB7D99" w:rsidRPr="00223233">
        <w:rPr>
          <w:rFonts w:hint="cs"/>
          <w:rtl/>
          <w:lang w:bidi="ar-SY"/>
        </w:rPr>
        <w:t>‍</w:t>
      </w:r>
      <w:r w:rsidRPr="00223233">
        <w:rPr>
          <w:rFonts w:hint="cs"/>
          <w:rtl/>
          <w:lang w:bidi="ar-SY"/>
        </w:rPr>
        <w:t>ي تنمية الاتصالات والاتصالات الراديوية، والمكاتب الإقليمية ومكاتب المناطق التابعة للاتحاد.</w:t>
      </w:r>
    </w:p>
    <w:p w:rsidR="0022094C" w:rsidRPr="00223233" w:rsidRDefault="0022094C" w:rsidP="0022094C">
      <w:pPr>
        <w:pStyle w:val="Heading2"/>
        <w:tabs>
          <w:tab w:val="clear" w:pos="1134"/>
        </w:tabs>
        <w:ind w:left="850" w:hanging="850"/>
        <w:rPr>
          <w:position w:val="0"/>
          <w:rtl/>
          <w:lang w:bidi="ar-SA"/>
        </w:rPr>
      </w:pPr>
      <w:r w:rsidRPr="00223233">
        <w:rPr>
          <w:position w:val="0"/>
          <w:lang w:bidi="ar-SA"/>
        </w:rPr>
        <w:t>3.4</w:t>
      </w:r>
      <w:r w:rsidRPr="00223233">
        <w:rPr>
          <w:position w:val="0"/>
          <w:rtl/>
          <w:lang w:bidi="ar-SA"/>
        </w:rPr>
        <w:tab/>
      </w:r>
      <w:r w:rsidR="00CC3391" w:rsidRPr="00223233">
        <w:rPr>
          <w:rFonts w:hint="cs"/>
          <w:position w:val="0"/>
          <w:rtl/>
          <w:lang w:bidi="ar-SA"/>
        </w:rPr>
        <w:t>تقديم ال</w:t>
      </w:r>
      <w:r w:rsidRPr="00223233">
        <w:rPr>
          <w:rFonts w:hint="cs"/>
          <w:position w:val="0"/>
          <w:rtl/>
          <w:lang w:bidi="ar-SA"/>
        </w:rPr>
        <w:t>منح للبلدان النامية</w:t>
      </w:r>
    </w:p>
    <w:p w:rsidR="0022094C" w:rsidRPr="00223233" w:rsidRDefault="0022094C" w:rsidP="008154A0">
      <w:pPr>
        <w:keepNext/>
        <w:rPr>
          <w:rtl/>
          <w:lang w:val="en-US"/>
        </w:rPr>
      </w:pPr>
      <w:r w:rsidRPr="00223233">
        <w:rPr>
          <w:rFonts w:hint="cs"/>
          <w:rtl/>
          <w:lang w:val="en-US"/>
        </w:rPr>
        <w:t>برنامج المنح المتاح للبلدان المستحقة لحضور اجتماعات لجان دراسات قطاع تقييس الاتصالات العشر يلقى صدى واسعاً. ويتزايد باستمرار عدد الاجتماعات في المناطق كما تتوفر خدمة المشاركة عن بُعد في اجتماعات جميع لجان الدراسات.</w:t>
      </w:r>
    </w:p>
    <w:p w:rsidR="0022094C" w:rsidRPr="00223233" w:rsidRDefault="0022094C" w:rsidP="00A60E97">
      <w:pPr>
        <w:rPr>
          <w:rtl/>
          <w:lang w:val="en-US" w:bidi="ar-SY"/>
        </w:rPr>
      </w:pPr>
      <w:r w:rsidRPr="00223233">
        <w:rPr>
          <w:rtl/>
          <w:lang w:bidi="ar-SY"/>
        </w:rPr>
        <w:t>لقد سهل</w:t>
      </w:r>
      <w:r w:rsidRPr="00223233">
        <w:rPr>
          <w:rFonts w:hint="cs"/>
          <w:rtl/>
          <w:lang w:bidi="ar-SY"/>
        </w:rPr>
        <w:t xml:space="preserve"> الاتحاد</w:t>
      </w:r>
      <w:r w:rsidRPr="00223233">
        <w:rPr>
          <w:rtl/>
          <w:lang w:bidi="ar-SY"/>
        </w:rPr>
        <w:t xml:space="preserve"> المشاركة في اجتماعات</w:t>
      </w:r>
      <w:r w:rsidRPr="00223233">
        <w:rPr>
          <w:rFonts w:hint="cs"/>
          <w:rtl/>
          <w:lang w:bidi="ar-SY"/>
        </w:rPr>
        <w:t>ه</w:t>
      </w:r>
      <w:r w:rsidRPr="00223233">
        <w:rPr>
          <w:rtl/>
          <w:lang w:bidi="ar-SY"/>
        </w:rPr>
        <w:t xml:space="preserve"> بسبل عدة. ففي السابق، لم تكن المنح الجزئية متاحة إلا للجنة الدراسات</w:t>
      </w:r>
      <w:r w:rsidR="00A60E97">
        <w:rPr>
          <w:rFonts w:hint="cs"/>
          <w:rtl/>
          <w:lang w:bidi="ar-SY"/>
        </w:rPr>
        <w:t> </w:t>
      </w:r>
      <w:r w:rsidRPr="00223233">
        <w:rPr>
          <w:lang w:bidi="ar-SY"/>
        </w:rPr>
        <w:t>3</w:t>
      </w:r>
      <w:r w:rsidRPr="00223233">
        <w:rPr>
          <w:rtl/>
          <w:lang w:bidi="ar-SY"/>
        </w:rPr>
        <w:t xml:space="preserve"> لقطاع تقييس الاتصالات، أما الآن فتتاح منحة كاملة أو منتحتان جزئيتان لاجتماعات لجان </w:t>
      </w:r>
      <w:r w:rsidR="005A10AB" w:rsidRPr="00223233">
        <w:rPr>
          <w:rFonts w:hint="cs"/>
          <w:rtl/>
        </w:rPr>
        <w:t>الدراسات</w:t>
      </w:r>
      <w:r w:rsidRPr="00223233">
        <w:rPr>
          <w:rtl/>
          <w:lang w:bidi="ar-SY"/>
        </w:rPr>
        <w:t xml:space="preserve"> العشر جميعاً. وتقتصر منح الاتحاد على البلدان التي لا</w:t>
      </w:r>
      <w:r w:rsidR="00A60E97">
        <w:rPr>
          <w:rFonts w:hint="cs"/>
          <w:rtl/>
          <w:lang w:bidi="ar-SY"/>
        </w:rPr>
        <w:t> </w:t>
      </w:r>
      <w:r w:rsidRPr="00223233">
        <w:rPr>
          <w:rtl/>
          <w:lang w:bidi="ar-SY"/>
        </w:rPr>
        <w:t xml:space="preserve">يتجاوز الناتج الإجمالي المحلي للفرد فيها ألفي دولار </w:t>
      </w:r>
      <w:r w:rsidRPr="00223233">
        <w:rPr>
          <w:rFonts w:hint="cs"/>
          <w:rtl/>
          <w:lang w:bidi="ar-SY"/>
        </w:rPr>
        <w:t xml:space="preserve">أمريكي </w:t>
      </w:r>
      <w:r w:rsidRPr="00223233">
        <w:rPr>
          <w:rtl/>
          <w:lang w:bidi="ar-SY"/>
        </w:rPr>
        <w:t>على قياس البنك الدولي</w:t>
      </w:r>
      <w:r w:rsidRPr="00223233">
        <w:rPr>
          <w:rFonts w:hint="cs"/>
          <w:rtl/>
          <w:lang w:val="en-US" w:bidi="ar-SY"/>
        </w:rPr>
        <w:t>.</w:t>
      </w:r>
    </w:p>
    <w:p w:rsidR="0022094C" w:rsidRPr="00223233" w:rsidRDefault="0022094C" w:rsidP="00A065D5">
      <w:pPr>
        <w:pStyle w:val="Heading1"/>
        <w:rPr>
          <w:rtl/>
          <w:lang w:val="en-US" w:bidi="ar-SA"/>
        </w:rPr>
      </w:pPr>
      <w:r w:rsidRPr="00223233">
        <w:rPr>
          <w:lang w:val="en-US" w:bidi="ar-SY"/>
        </w:rPr>
        <w:t>5</w:t>
      </w:r>
      <w:r w:rsidRPr="00223233">
        <w:rPr>
          <w:rtl/>
          <w:lang w:val="en-US" w:bidi="ar-SA"/>
        </w:rPr>
        <w:tab/>
      </w:r>
      <w:r w:rsidR="002234F8" w:rsidRPr="00223233">
        <w:rPr>
          <w:rFonts w:hint="cs"/>
          <w:rtl/>
          <w:lang w:val="en-US" w:bidi="ar-SA"/>
        </w:rPr>
        <w:t>إنشاء صندوق لتمويل س</w:t>
      </w:r>
      <w:r w:rsidR="00A065D5" w:rsidRPr="00223233">
        <w:rPr>
          <w:rFonts w:hint="cs"/>
          <w:rtl/>
          <w:lang w:val="en-US" w:bidi="ar-SA"/>
        </w:rPr>
        <w:t>د الفجوة التقييسية</w:t>
      </w:r>
    </w:p>
    <w:p w:rsidR="0022094C" w:rsidRPr="00223233" w:rsidRDefault="0022094C" w:rsidP="00E34569">
      <w:pPr>
        <w:rPr>
          <w:rtl/>
          <w:lang w:bidi="ar-SY"/>
        </w:rPr>
      </w:pPr>
      <w:r w:rsidRPr="00223233">
        <w:rPr>
          <w:rtl/>
          <w:lang w:bidi="ar-SY"/>
        </w:rPr>
        <w:t xml:space="preserve">أنشئ الصندوق الطوعي للإعانة على سد الفجوة التقييسية في أغسطس </w:t>
      </w:r>
      <w:r w:rsidRPr="00223233">
        <w:rPr>
          <w:lang w:bidi="ar-SY"/>
        </w:rPr>
        <w:t>2007</w:t>
      </w:r>
      <w:r w:rsidRPr="00223233">
        <w:rPr>
          <w:rtl/>
          <w:lang w:bidi="ar-SY"/>
        </w:rPr>
        <w:t xml:space="preserve"> عملاً بالقرار</w:t>
      </w:r>
      <w:r w:rsidRPr="00223233">
        <w:rPr>
          <w:rFonts w:hint="cs"/>
          <w:rtl/>
          <w:lang w:bidi="ar-SY"/>
        </w:rPr>
        <w:t> </w:t>
      </w:r>
      <w:r w:rsidRPr="00223233">
        <w:rPr>
          <w:lang w:bidi="ar-SY"/>
        </w:rPr>
        <w:t>44</w:t>
      </w:r>
      <w:r w:rsidRPr="00223233">
        <w:rPr>
          <w:rtl/>
          <w:lang w:bidi="ar-SY"/>
        </w:rPr>
        <w:t xml:space="preserve"> الصادر عن الجمعية العالمية لتقييس الاتصالات لعام</w:t>
      </w:r>
      <w:r w:rsidRPr="00223233">
        <w:rPr>
          <w:rFonts w:hint="cs"/>
          <w:rtl/>
          <w:lang w:bidi="ar-SY"/>
        </w:rPr>
        <w:t> </w:t>
      </w:r>
      <w:r w:rsidRPr="00223233">
        <w:rPr>
          <w:lang w:bidi="ar-SY"/>
        </w:rPr>
        <w:t>2004</w:t>
      </w:r>
      <w:r w:rsidRPr="00223233">
        <w:rPr>
          <w:rtl/>
          <w:lang w:bidi="ar-SY"/>
        </w:rPr>
        <w:t>. وكان من الجهات المساهمة فيه شبكات نوكيا سيمن‍ز ومايكروسوفت</w:t>
      </w:r>
      <w:r w:rsidRPr="00223233">
        <w:rPr>
          <w:rFonts w:hint="cs"/>
          <w:rtl/>
          <w:lang w:bidi="ar-SY"/>
        </w:rPr>
        <w:t xml:space="preserve"> </w:t>
      </w:r>
      <w:r w:rsidRPr="00223233">
        <w:rPr>
          <w:rtl/>
          <w:lang w:bidi="ar-SY"/>
        </w:rPr>
        <w:t xml:space="preserve">وسيسكو </w:t>
      </w:r>
      <w:r w:rsidRPr="00223233">
        <w:rPr>
          <w:rFonts w:hint="cs"/>
          <w:rtl/>
          <w:lang w:bidi="ar-SY"/>
        </w:rPr>
        <w:t>وكوريا</w:t>
      </w:r>
      <w:r w:rsidRPr="00223233">
        <w:rPr>
          <w:rtl/>
          <w:lang w:bidi="ar-SY"/>
        </w:rPr>
        <w:t xml:space="preserve">. وقد استخدم الصندوق </w:t>
      </w:r>
      <w:r w:rsidRPr="00223233">
        <w:rPr>
          <w:i/>
          <w:iCs/>
          <w:rtl/>
          <w:lang w:bidi="ar-SY"/>
        </w:rPr>
        <w:t>لعدة أمور من بينها</w:t>
      </w:r>
      <w:r w:rsidRPr="00223233">
        <w:rPr>
          <w:rtl/>
          <w:lang w:bidi="ar-SY"/>
        </w:rPr>
        <w:t xml:space="preserve"> دعم عقد المزيد من الفعاليات في البلدان النامية، بما في ذلك الدورة التدريبية على </w:t>
      </w:r>
      <w:r w:rsidR="00E34569" w:rsidRPr="00223233">
        <w:rPr>
          <w:rtl/>
          <w:lang w:bidi="ar-SY"/>
        </w:rPr>
        <w:t xml:space="preserve">كبلات </w:t>
      </w:r>
      <w:r w:rsidRPr="00223233">
        <w:rPr>
          <w:rtl/>
          <w:lang w:bidi="ar-SY"/>
        </w:rPr>
        <w:t>الألياف</w:t>
      </w:r>
      <w:r w:rsidR="00E34569" w:rsidRPr="00223233">
        <w:rPr>
          <w:rFonts w:hint="cs"/>
          <w:rtl/>
          <w:lang w:bidi="ar-SY"/>
        </w:rPr>
        <w:t xml:space="preserve"> </w:t>
      </w:r>
      <w:r w:rsidRPr="00223233">
        <w:rPr>
          <w:rtl/>
          <w:lang w:bidi="ar-SY"/>
        </w:rPr>
        <w:t>البصرية</w:t>
      </w:r>
      <w:r w:rsidR="00E34569" w:rsidRPr="00223233">
        <w:rPr>
          <w:rFonts w:hint="cs"/>
          <w:rtl/>
          <w:lang w:bidi="ar-SY"/>
        </w:rPr>
        <w:t xml:space="preserve"> وأنظمتها</w:t>
      </w:r>
      <w:r w:rsidRPr="00223233">
        <w:rPr>
          <w:rtl/>
          <w:lang w:bidi="ar-SY"/>
        </w:rPr>
        <w:t xml:space="preserve"> في رواندا والمكسيك. كما استخدم جانب من أموال الصندوق لتوفير منح للمشاركين من بلدان نامية لحضور ورش عمل سد الفجوة التقييسية</w:t>
      </w:r>
      <w:r w:rsidR="00E34569" w:rsidRPr="00223233">
        <w:rPr>
          <w:rFonts w:hint="cs"/>
          <w:rtl/>
          <w:lang w:bidi="ar-SY"/>
        </w:rPr>
        <w:t xml:space="preserve"> ولوضع كتيبات وتقارير تقنية.</w:t>
      </w:r>
    </w:p>
    <w:p w:rsidR="0022094C" w:rsidRPr="00223233" w:rsidRDefault="0022094C" w:rsidP="00AB58EF">
      <w:pPr>
        <w:rPr>
          <w:rtl/>
          <w:lang w:val="en-US"/>
        </w:rPr>
      </w:pPr>
      <w:r w:rsidRPr="00223233">
        <w:rPr>
          <w:rtl/>
          <w:lang w:bidi="ar-SY"/>
        </w:rPr>
        <w:t>وقد بلغ إجمالي المبالغ الواردة</w:t>
      </w:r>
      <w:r w:rsidR="00AB58EF" w:rsidRPr="00223233">
        <w:rPr>
          <w:rFonts w:hint="cs"/>
          <w:rtl/>
          <w:lang w:bidi="ar-SY"/>
        </w:rPr>
        <w:t xml:space="preserve"> في عام </w:t>
      </w:r>
      <w:r w:rsidR="00AB58EF" w:rsidRPr="00223233">
        <w:rPr>
          <w:lang w:val="en-US" w:bidi="ar-SY"/>
        </w:rPr>
        <w:t>2010</w:t>
      </w:r>
      <w:r w:rsidRPr="00223233">
        <w:rPr>
          <w:rtl/>
          <w:lang w:bidi="ar-SY"/>
        </w:rPr>
        <w:t xml:space="preserve"> إلى صندوق سد الفجوة التقييسية </w:t>
      </w:r>
      <w:r w:rsidRPr="00223233">
        <w:rPr>
          <w:lang w:bidi="ar-SY"/>
        </w:rPr>
        <w:t>289 070</w:t>
      </w:r>
      <w:r w:rsidRPr="00223233">
        <w:rPr>
          <w:rFonts w:hint="cs"/>
          <w:rtl/>
          <w:lang w:bidi="ar-SY"/>
        </w:rPr>
        <w:t xml:space="preserve"> </w:t>
      </w:r>
      <w:r w:rsidRPr="00223233">
        <w:rPr>
          <w:rtl/>
          <w:lang w:bidi="ar-SY"/>
        </w:rPr>
        <w:t>فرنكاً سويسرياً</w:t>
      </w:r>
      <w:r w:rsidR="00AB58EF" w:rsidRPr="00223233">
        <w:rPr>
          <w:rFonts w:hint="cs"/>
          <w:rtl/>
          <w:lang w:bidi="ar-SY"/>
        </w:rPr>
        <w:t>.</w:t>
      </w:r>
      <w:r w:rsidRPr="00223233">
        <w:rPr>
          <w:rFonts w:hint="cs"/>
          <w:rtl/>
          <w:lang w:bidi="ar-SY"/>
        </w:rPr>
        <w:t xml:space="preserve"> </w:t>
      </w:r>
      <w:r w:rsidR="00AB58EF" w:rsidRPr="00223233">
        <w:rPr>
          <w:rFonts w:hint="cs"/>
          <w:rtl/>
          <w:lang w:bidi="ar-SY"/>
        </w:rPr>
        <w:t xml:space="preserve">وتم تلقي مساهمات إضافية من كندا وميكروسوفت في عام </w:t>
      </w:r>
      <w:r w:rsidR="00AB58EF" w:rsidRPr="00223233">
        <w:rPr>
          <w:lang w:val="en-US" w:bidi="ar-SY"/>
        </w:rPr>
        <w:t>2012</w:t>
      </w:r>
      <w:r w:rsidR="00AB58EF" w:rsidRPr="00223233">
        <w:rPr>
          <w:rFonts w:hint="cs"/>
          <w:rtl/>
          <w:lang w:val="en-US"/>
        </w:rPr>
        <w:t xml:space="preserve"> و</w:t>
      </w:r>
      <w:r w:rsidR="00AB58EF" w:rsidRPr="00223233">
        <w:rPr>
          <w:lang w:val="en-US"/>
        </w:rPr>
        <w:t>2013</w:t>
      </w:r>
      <w:r w:rsidR="00AB58EF" w:rsidRPr="00223233">
        <w:rPr>
          <w:rFonts w:hint="cs"/>
          <w:rtl/>
          <w:lang w:val="en-US"/>
        </w:rPr>
        <w:t xml:space="preserve"> على التوالي. والرصيد المتاح في صندوق سد الفجوة التقييسية في نهاية مايو </w:t>
      </w:r>
      <w:r w:rsidR="00AB58EF" w:rsidRPr="00223233">
        <w:rPr>
          <w:lang w:val="en-US"/>
        </w:rPr>
        <w:t>2014</w:t>
      </w:r>
      <w:r w:rsidR="00AB58EF" w:rsidRPr="00223233">
        <w:rPr>
          <w:rFonts w:hint="cs"/>
          <w:rtl/>
          <w:lang w:val="en-US"/>
        </w:rPr>
        <w:t xml:space="preserve"> يبلغ </w:t>
      </w:r>
      <w:r w:rsidR="00AB58EF" w:rsidRPr="00223233">
        <w:rPr>
          <w:lang w:val="en-US"/>
        </w:rPr>
        <w:t>158 679</w:t>
      </w:r>
      <w:r w:rsidR="00AB58EF" w:rsidRPr="00223233">
        <w:rPr>
          <w:rFonts w:hint="cs"/>
          <w:rtl/>
          <w:lang w:val="en-US"/>
        </w:rPr>
        <w:t xml:space="preserve"> فرنكاً سويسرياً.</w:t>
      </w:r>
    </w:p>
    <w:p w:rsidR="0022094C" w:rsidRPr="00223233" w:rsidRDefault="0022094C" w:rsidP="0022094C">
      <w:pPr>
        <w:pStyle w:val="Heading1"/>
        <w:rPr>
          <w:rtl/>
          <w:lang w:val="en-US" w:bidi="ar-SA"/>
        </w:rPr>
      </w:pPr>
      <w:r w:rsidRPr="00223233">
        <w:rPr>
          <w:lang w:val="en-US" w:bidi="ar-SY"/>
        </w:rPr>
        <w:t>6</w:t>
      </w:r>
      <w:r w:rsidRPr="00223233">
        <w:rPr>
          <w:rtl/>
          <w:lang w:val="en-US" w:bidi="ar-SA"/>
        </w:rPr>
        <w:tab/>
        <w:t>نتائج المؤتمر العالمي لتنمية الاتصالات</w:t>
      </w:r>
      <w:r w:rsidRPr="00223233">
        <w:rPr>
          <w:rFonts w:hint="cs"/>
          <w:rtl/>
          <w:lang w:val="en-US" w:bidi="ar-SA"/>
        </w:rPr>
        <w:t xml:space="preserve"> - دبي</w:t>
      </w:r>
      <w:r w:rsidRPr="00223233">
        <w:rPr>
          <w:rtl/>
          <w:lang w:val="en-US" w:bidi="ar-SA"/>
        </w:rPr>
        <w:t xml:space="preserve"> </w:t>
      </w:r>
      <w:r w:rsidRPr="00223233">
        <w:rPr>
          <w:lang w:val="en-US" w:bidi="ar-SA"/>
        </w:rPr>
        <w:t>2014</w:t>
      </w:r>
      <w:r w:rsidRPr="00223233">
        <w:rPr>
          <w:rtl/>
          <w:lang w:val="en-US" w:bidi="ar-SA"/>
        </w:rPr>
        <w:t xml:space="preserve"> </w:t>
      </w:r>
      <w:r w:rsidRPr="00223233">
        <w:rPr>
          <w:lang w:val="en-US" w:bidi="ar-SA"/>
        </w:rPr>
        <w:t>(WTDC-14)</w:t>
      </w:r>
    </w:p>
    <w:p w:rsidR="0022094C" w:rsidRPr="00223233" w:rsidRDefault="0022094C" w:rsidP="00A13317">
      <w:pPr>
        <w:rPr>
          <w:rtl/>
          <w:lang w:bidi="ar-SY"/>
        </w:rPr>
      </w:pPr>
      <w:r w:rsidRPr="00223233">
        <w:rPr>
          <w:rFonts w:hint="cs"/>
          <w:snapToGrid w:val="0"/>
          <w:spacing w:val="6"/>
          <w:rtl/>
          <w:lang w:bidi="ar-SY"/>
        </w:rPr>
        <w:t xml:space="preserve">عُقد </w:t>
      </w:r>
      <w:hyperlink r:id="rId30" w:history="1">
        <w:r w:rsidRPr="00223233">
          <w:rPr>
            <w:rStyle w:val="Hyperlink"/>
            <w:rFonts w:hint="cs"/>
            <w:snapToGrid w:val="0"/>
            <w:spacing w:val="6"/>
            <w:rtl/>
            <w:lang w:bidi="ar-SY"/>
          </w:rPr>
          <w:t xml:space="preserve">ال‍مؤت‍مر العال‍مي السادس لتنمية الاتصالات لعام </w:t>
        </w:r>
        <w:r w:rsidRPr="00223233">
          <w:rPr>
            <w:rStyle w:val="Hyperlink"/>
            <w:snapToGrid w:val="0"/>
            <w:spacing w:val="6"/>
            <w:lang w:bidi="ar-SY"/>
          </w:rPr>
          <w:t>2014</w:t>
        </w:r>
        <w:r w:rsidRPr="00223233">
          <w:rPr>
            <w:rStyle w:val="Hyperlink"/>
            <w:rFonts w:hint="cs"/>
            <w:snapToGrid w:val="0"/>
            <w:spacing w:val="6"/>
            <w:rtl/>
            <w:lang w:bidi="ar-SY"/>
          </w:rPr>
          <w:t xml:space="preserve"> </w:t>
        </w:r>
        <w:r w:rsidR="00BC0EC1" w:rsidRPr="00223233">
          <w:rPr>
            <w:rStyle w:val="Hyperlink"/>
            <w:snapToGrid w:val="0"/>
            <w:spacing w:val="6"/>
            <w:lang w:bidi="ar-SY"/>
          </w:rPr>
          <w:t>(WTDC)</w:t>
        </w:r>
      </w:hyperlink>
      <w:r w:rsidR="00BC0EC1" w:rsidRPr="00223233">
        <w:rPr>
          <w:rFonts w:hint="cs"/>
          <w:snapToGrid w:val="0"/>
          <w:spacing w:val="6"/>
          <w:rtl/>
          <w:lang w:bidi="ar-SY"/>
        </w:rPr>
        <w:t xml:space="preserve"> </w:t>
      </w:r>
      <w:r w:rsidRPr="00223233">
        <w:rPr>
          <w:rFonts w:hint="cs"/>
          <w:snapToGrid w:val="0"/>
          <w:spacing w:val="6"/>
          <w:rtl/>
          <w:lang w:bidi="ar-SY"/>
        </w:rPr>
        <w:t xml:space="preserve">في دبي بالإمارات العربية المتحدة من </w:t>
      </w:r>
      <w:r w:rsidRPr="00223233">
        <w:rPr>
          <w:snapToGrid w:val="0"/>
          <w:spacing w:val="6"/>
          <w:lang w:bidi="ar-SY"/>
        </w:rPr>
        <w:t>30</w:t>
      </w:r>
      <w:r w:rsidRPr="00223233">
        <w:rPr>
          <w:rFonts w:hint="eastAsia"/>
          <w:snapToGrid w:val="0"/>
          <w:spacing w:val="6"/>
          <w:rtl/>
          <w:lang w:bidi="ar-SY"/>
        </w:rPr>
        <w:t> </w:t>
      </w:r>
      <w:r w:rsidRPr="00223233">
        <w:rPr>
          <w:rFonts w:hint="cs"/>
          <w:snapToGrid w:val="0"/>
          <w:spacing w:val="6"/>
          <w:rtl/>
          <w:lang w:bidi="ar-SY"/>
        </w:rPr>
        <w:t>مارس إلى</w:t>
      </w:r>
      <w:r w:rsidR="00A13317" w:rsidRPr="00223233">
        <w:rPr>
          <w:rFonts w:hint="eastAsia"/>
          <w:snapToGrid w:val="0"/>
          <w:spacing w:val="6"/>
          <w:rtl/>
          <w:lang w:bidi="ar-SY"/>
        </w:rPr>
        <w:t> </w:t>
      </w:r>
      <w:r w:rsidRPr="00223233">
        <w:rPr>
          <w:snapToGrid w:val="0"/>
          <w:spacing w:val="6"/>
          <w:lang w:bidi="ar-SY"/>
        </w:rPr>
        <w:t>10</w:t>
      </w:r>
      <w:r w:rsidR="00A13317" w:rsidRPr="00223233">
        <w:rPr>
          <w:rFonts w:hint="eastAsia"/>
          <w:snapToGrid w:val="0"/>
          <w:rtl/>
          <w:lang w:bidi="ar-SY"/>
        </w:rPr>
        <w:t> </w:t>
      </w:r>
      <w:r w:rsidRPr="00223233">
        <w:rPr>
          <w:rFonts w:hint="cs"/>
          <w:rtl/>
          <w:lang w:bidi="ar-SY"/>
        </w:rPr>
        <w:t xml:space="preserve">أبريل </w:t>
      </w:r>
      <w:r w:rsidRPr="00223233">
        <w:rPr>
          <w:lang w:bidi="ar-SY"/>
        </w:rPr>
        <w:t>2014</w:t>
      </w:r>
      <w:r w:rsidRPr="00223233">
        <w:rPr>
          <w:rFonts w:hint="cs"/>
          <w:rtl/>
          <w:lang w:bidi="ar-SY"/>
        </w:rPr>
        <w:t xml:space="preserve"> ت‍حت عنوان "النطاق العريض من أجل التنمية ال‍مستدامة".</w:t>
      </w:r>
    </w:p>
    <w:p w:rsidR="0022094C" w:rsidRPr="00223233" w:rsidRDefault="00122E06" w:rsidP="0022094C">
      <w:pPr>
        <w:rPr>
          <w:rtl/>
          <w:lang w:bidi="ar-SY"/>
        </w:rPr>
      </w:pPr>
      <w:r w:rsidRPr="00223233">
        <w:rPr>
          <w:rFonts w:hint="cs"/>
          <w:rtl/>
          <w:lang w:bidi="ar-SY"/>
        </w:rPr>
        <w:t xml:space="preserve">وقد أقر </w:t>
      </w:r>
      <w:hyperlink r:id="rId31" w:history="1">
        <w:r w:rsidRPr="00223233">
          <w:rPr>
            <w:rStyle w:val="Hyperlink"/>
            <w:rFonts w:hint="cs"/>
            <w:rtl/>
            <w:lang w:bidi="ar-SY"/>
          </w:rPr>
          <w:t>المؤتمر</w:t>
        </w:r>
      </w:hyperlink>
      <w:r w:rsidRPr="00223233">
        <w:rPr>
          <w:rFonts w:hint="cs"/>
          <w:rtl/>
          <w:lang w:bidi="ar-SY"/>
        </w:rPr>
        <w:t xml:space="preserve"> الأنشطة الإقليمية ذات الصلة بسد الفجوة التقييسية بين البلدان النامية والمتقدمة. وفيما يلي قائمة بالنتائج الرئيسية للمؤتمر والمتعلقة بسد الفجوة التقييسية.</w:t>
      </w:r>
    </w:p>
    <w:p w:rsidR="0022094C" w:rsidRPr="00223233" w:rsidRDefault="0022094C" w:rsidP="005A10AB">
      <w:pPr>
        <w:pStyle w:val="enumlev1"/>
        <w:rPr>
          <w:rFonts w:eastAsia="SimSun"/>
          <w:lang w:val="en-US"/>
        </w:rPr>
      </w:pPr>
      <w:r w:rsidRPr="00223233">
        <w:rPr>
          <w:rFonts w:eastAsia="SimSun" w:hint="cs"/>
        </w:rPr>
        <w:sym w:font="Symbol" w:char="F0B7"/>
      </w:r>
      <w:r w:rsidRPr="00223233">
        <w:rPr>
          <w:rFonts w:eastAsia="SimSun"/>
          <w:rtl/>
        </w:rPr>
        <w:tab/>
      </w:r>
      <w:r w:rsidR="00BC0EC1" w:rsidRPr="00223233">
        <w:rPr>
          <w:rFonts w:eastAsia="SimSun" w:hint="cs"/>
          <w:rtl/>
        </w:rPr>
        <w:t xml:space="preserve">أكد </w:t>
      </w:r>
      <w:hyperlink r:id="rId32" w:history="1">
        <w:r w:rsidRPr="00223233">
          <w:rPr>
            <w:rStyle w:val="Hyperlink"/>
            <w:rFonts w:eastAsia="SimSun" w:hint="cs"/>
            <w:rtl/>
          </w:rPr>
          <w:t>مشروع إعلان دبي</w:t>
        </w:r>
      </w:hyperlink>
      <w:r w:rsidRPr="00223233">
        <w:rPr>
          <w:rFonts w:eastAsia="SimSun" w:hint="cs"/>
          <w:rtl/>
        </w:rPr>
        <w:t xml:space="preserve"> </w:t>
      </w:r>
      <w:r w:rsidR="00BC0EC1" w:rsidRPr="00223233">
        <w:rPr>
          <w:rFonts w:eastAsia="SimSun" w:hint="cs"/>
          <w:rtl/>
        </w:rPr>
        <w:t>تحديداً على</w:t>
      </w:r>
      <w:r w:rsidRPr="00223233">
        <w:rPr>
          <w:rFonts w:eastAsia="SimSun" w:hint="cs"/>
          <w:rtl/>
        </w:rPr>
        <w:t xml:space="preserve"> "أن هناك حاجة إلى </w:t>
      </w:r>
      <w:r w:rsidRPr="00223233">
        <w:rPr>
          <w:rFonts w:eastAsia="SimSun" w:hint="eastAsia"/>
          <w:rtl/>
        </w:rPr>
        <w:t>زيادة</w:t>
      </w:r>
      <w:r w:rsidRPr="00223233">
        <w:rPr>
          <w:rFonts w:eastAsia="SimSun"/>
          <w:rtl/>
        </w:rPr>
        <w:t xml:space="preserve"> </w:t>
      </w:r>
      <w:r w:rsidRPr="00223233">
        <w:rPr>
          <w:rFonts w:eastAsia="SimSun" w:hint="eastAsia"/>
          <w:rtl/>
        </w:rPr>
        <w:t>مشاركة</w:t>
      </w:r>
      <w:r w:rsidRPr="00223233">
        <w:rPr>
          <w:rFonts w:eastAsia="SimSun"/>
          <w:rtl/>
        </w:rPr>
        <w:t xml:space="preserve"> </w:t>
      </w:r>
      <w:r w:rsidRPr="00223233">
        <w:rPr>
          <w:rFonts w:eastAsia="SimSun" w:hint="eastAsia"/>
          <w:rtl/>
        </w:rPr>
        <w:t>البلدان</w:t>
      </w:r>
      <w:r w:rsidRPr="00223233">
        <w:rPr>
          <w:rFonts w:eastAsia="SimSun"/>
          <w:rtl/>
        </w:rPr>
        <w:t xml:space="preserve"> </w:t>
      </w:r>
      <w:r w:rsidRPr="00223233">
        <w:rPr>
          <w:rFonts w:eastAsia="SimSun" w:hint="eastAsia"/>
          <w:rtl/>
        </w:rPr>
        <w:t>النامية</w:t>
      </w:r>
      <w:r w:rsidRPr="00223233">
        <w:rPr>
          <w:rFonts w:eastAsia="SimSun"/>
          <w:rtl/>
        </w:rPr>
        <w:t xml:space="preserve"> في </w:t>
      </w:r>
      <w:r w:rsidRPr="00223233">
        <w:rPr>
          <w:rFonts w:eastAsia="SimSun" w:hint="cs"/>
          <w:rtl/>
        </w:rPr>
        <w:t>أنشطة الات‍حاد المتعلقة بسد الفجوة التقييسية ل</w:t>
      </w:r>
      <w:r w:rsidRPr="00223233">
        <w:rPr>
          <w:rFonts w:eastAsia="SimSun" w:hint="eastAsia"/>
          <w:rtl/>
        </w:rPr>
        <w:t>ضمان</w:t>
      </w:r>
      <w:r w:rsidRPr="00223233">
        <w:rPr>
          <w:rFonts w:eastAsia="SimSun"/>
          <w:rtl/>
        </w:rPr>
        <w:t xml:space="preserve"> </w:t>
      </w:r>
      <w:r w:rsidRPr="00223233">
        <w:rPr>
          <w:rFonts w:eastAsia="SimSun" w:hint="eastAsia"/>
          <w:rtl/>
        </w:rPr>
        <w:t>استفاد</w:t>
      </w:r>
      <w:r w:rsidRPr="00223233">
        <w:rPr>
          <w:rFonts w:eastAsia="SimSun" w:hint="cs"/>
          <w:rtl/>
        </w:rPr>
        <w:t>تها</w:t>
      </w:r>
      <w:r w:rsidRPr="00223233">
        <w:rPr>
          <w:rFonts w:eastAsia="SimSun"/>
          <w:rtl/>
        </w:rPr>
        <w:t xml:space="preserve"> </w:t>
      </w:r>
      <w:r w:rsidRPr="00223233">
        <w:rPr>
          <w:rFonts w:eastAsia="SimSun" w:hint="eastAsia"/>
          <w:rtl/>
        </w:rPr>
        <w:t>من</w:t>
      </w:r>
      <w:r w:rsidRPr="00223233">
        <w:rPr>
          <w:rFonts w:eastAsia="SimSun"/>
          <w:rtl/>
        </w:rPr>
        <w:t xml:space="preserve"> </w:t>
      </w:r>
      <w:r w:rsidRPr="00223233">
        <w:rPr>
          <w:rFonts w:eastAsia="SimSun" w:hint="eastAsia"/>
          <w:rtl/>
        </w:rPr>
        <w:t>الفوائد</w:t>
      </w:r>
      <w:r w:rsidRPr="00223233">
        <w:rPr>
          <w:rFonts w:eastAsia="SimSun"/>
          <w:rtl/>
        </w:rPr>
        <w:t xml:space="preserve"> </w:t>
      </w:r>
      <w:r w:rsidRPr="00223233">
        <w:rPr>
          <w:rFonts w:eastAsia="SimSun" w:hint="eastAsia"/>
          <w:rtl/>
        </w:rPr>
        <w:t>الاقتصادية</w:t>
      </w:r>
      <w:r w:rsidRPr="00223233">
        <w:rPr>
          <w:rFonts w:eastAsia="SimSun"/>
          <w:rtl/>
        </w:rPr>
        <w:t xml:space="preserve"> </w:t>
      </w:r>
      <w:r w:rsidRPr="00223233">
        <w:rPr>
          <w:rFonts w:eastAsia="SimSun" w:hint="eastAsia"/>
          <w:rtl/>
        </w:rPr>
        <w:t>المرتبطة</w:t>
      </w:r>
      <w:r w:rsidRPr="00223233">
        <w:rPr>
          <w:rFonts w:eastAsia="SimSun"/>
          <w:rtl/>
        </w:rPr>
        <w:t xml:space="preserve"> </w:t>
      </w:r>
      <w:r w:rsidRPr="00223233">
        <w:rPr>
          <w:rFonts w:eastAsia="SimSun" w:hint="eastAsia"/>
          <w:rtl/>
        </w:rPr>
        <w:t>بالتطور</w:t>
      </w:r>
      <w:r w:rsidRPr="00223233">
        <w:rPr>
          <w:rFonts w:eastAsia="SimSun"/>
          <w:rtl/>
        </w:rPr>
        <w:t xml:space="preserve"> </w:t>
      </w:r>
      <w:r w:rsidRPr="00223233">
        <w:rPr>
          <w:rFonts w:eastAsia="SimSun" w:hint="eastAsia"/>
          <w:rtl/>
        </w:rPr>
        <w:t>التكنولوجي</w:t>
      </w:r>
      <w:r w:rsidRPr="00223233">
        <w:rPr>
          <w:rFonts w:eastAsia="SimSun"/>
          <w:rtl/>
        </w:rPr>
        <w:t xml:space="preserve"> </w:t>
      </w:r>
      <w:r w:rsidRPr="00223233">
        <w:rPr>
          <w:rFonts w:eastAsia="SimSun" w:hint="eastAsia"/>
          <w:rtl/>
        </w:rPr>
        <w:t>وإبراز</w:t>
      </w:r>
      <w:r w:rsidRPr="00223233">
        <w:rPr>
          <w:rFonts w:eastAsia="SimSun"/>
          <w:rtl/>
        </w:rPr>
        <w:t xml:space="preserve"> </w:t>
      </w:r>
      <w:r w:rsidRPr="00223233">
        <w:rPr>
          <w:rFonts w:eastAsia="SimSun" w:hint="eastAsia"/>
          <w:rtl/>
        </w:rPr>
        <w:t>متطلبات</w:t>
      </w:r>
      <w:r w:rsidRPr="00223233">
        <w:rPr>
          <w:rFonts w:eastAsia="SimSun"/>
          <w:rtl/>
        </w:rPr>
        <w:t xml:space="preserve"> </w:t>
      </w:r>
      <w:r w:rsidRPr="00223233">
        <w:rPr>
          <w:rFonts w:eastAsia="SimSun" w:hint="eastAsia"/>
          <w:rtl/>
        </w:rPr>
        <w:t>ومصال</w:t>
      </w:r>
      <w:r w:rsidRPr="00223233">
        <w:rPr>
          <w:rFonts w:eastAsia="SimSun" w:hint="cs"/>
          <w:rtl/>
        </w:rPr>
        <w:t>‍</w:t>
      </w:r>
      <w:r w:rsidRPr="00223233">
        <w:rPr>
          <w:rFonts w:eastAsia="SimSun" w:hint="eastAsia"/>
          <w:rtl/>
        </w:rPr>
        <w:t>ح</w:t>
      </w:r>
      <w:r w:rsidRPr="00223233">
        <w:rPr>
          <w:rFonts w:eastAsia="SimSun"/>
          <w:rtl/>
        </w:rPr>
        <w:t xml:space="preserve"> </w:t>
      </w:r>
      <w:r w:rsidRPr="00223233">
        <w:rPr>
          <w:rFonts w:eastAsia="SimSun" w:hint="eastAsia"/>
          <w:rtl/>
        </w:rPr>
        <w:t>البلدان</w:t>
      </w:r>
      <w:r w:rsidRPr="00223233">
        <w:rPr>
          <w:rFonts w:eastAsia="SimSun"/>
          <w:rtl/>
        </w:rPr>
        <w:t xml:space="preserve"> </w:t>
      </w:r>
      <w:r w:rsidRPr="00223233">
        <w:rPr>
          <w:rFonts w:eastAsia="SimSun" w:hint="eastAsia"/>
          <w:rtl/>
        </w:rPr>
        <w:t>النامية</w:t>
      </w:r>
      <w:r w:rsidRPr="00223233">
        <w:rPr>
          <w:rFonts w:eastAsia="SimSun"/>
          <w:rtl/>
        </w:rPr>
        <w:t xml:space="preserve"> </w:t>
      </w:r>
      <w:r w:rsidRPr="00223233">
        <w:rPr>
          <w:rFonts w:eastAsia="SimSun" w:hint="eastAsia"/>
          <w:rtl/>
        </w:rPr>
        <w:t>على</w:t>
      </w:r>
      <w:r w:rsidRPr="00223233">
        <w:rPr>
          <w:rFonts w:eastAsia="SimSun"/>
          <w:rtl/>
        </w:rPr>
        <w:t xml:space="preserve"> </w:t>
      </w:r>
      <w:r w:rsidRPr="00223233">
        <w:rPr>
          <w:rFonts w:eastAsia="SimSun" w:hint="eastAsia"/>
          <w:rtl/>
        </w:rPr>
        <w:t>ن</w:t>
      </w:r>
      <w:r w:rsidRPr="00223233">
        <w:rPr>
          <w:rFonts w:eastAsia="SimSun" w:hint="cs"/>
          <w:rtl/>
        </w:rPr>
        <w:t>‍</w:t>
      </w:r>
      <w:r w:rsidRPr="00223233">
        <w:rPr>
          <w:rFonts w:eastAsia="SimSun" w:hint="eastAsia"/>
          <w:rtl/>
        </w:rPr>
        <w:t>حو</w:t>
      </w:r>
      <w:r w:rsidRPr="00223233">
        <w:rPr>
          <w:rFonts w:eastAsia="SimSun"/>
          <w:rtl/>
        </w:rPr>
        <w:t xml:space="preserve"> </w:t>
      </w:r>
      <w:r w:rsidRPr="00223233">
        <w:rPr>
          <w:rFonts w:eastAsia="SimSun" w:hint="eastAsia"/>
          <w:rtl/>
        </w:rPr>
        <w:t>أفضل</w:t>
      </w:r>
      <w:r w:rsidRPr="00223233">
        <w:rPr>
          <w:rFonts w:eastAsia="SimSun"/>
          <w:rtl/>
        </w:rPr>
        <w:t xml:space="preserve"> في </w:t>
      </w:r>
      <w:r w:rsidRPr="00223233">
        <w:rPr>
          <w:rFonts w:eastAsia="SimSun" w:hint="cs"/>
          <w:rtl/>
        </w:rPr>
        <w:t>هذا ال‍مجال".</w:t>
      </w:r>
    </w:p>
    <w:p w:rsidR="0022094C" w:rsidRPr="00223233" w:rsidRDefault="0022094C" w:rsidP="005A10AB">
      <w:pPr>
        <w:pStyle w:val="enumlev1"/>
        <w:rPr>
          <w:rFonts w:eastAsia="SimSun"/>
          <w:rtl/>
          <w:lang w:val="en-US"/>
        </w:rPr>
      </w:pPr>
      <w:r w:rsidRPr="00223233">
        <w:rPr>
          <w:rFonts w:eastAsia="SimSun" w:hint="cs"/>
        </w:rPr>
        <w:sym w:font="Symbol" w:char="F0B7"/>
      </w:r>
      <w:r w:rsidRPr="00223233">
        <w:rPr>
          <w:rFonts w:eastAsia="SimSun"/>
          <w:rtl/>
        </w:rPr>
        <w:tab/>
      </w:r>
      <w:r w:rsidR="00BF42CE" w:rsidRPr="00223233">
        <w:rPr>
          <w:rFonts w:eastAsia="SimSun" w:hint="cs"/>
          <w:rtl/>
        </w:rPr>
        <w:t>وتم تحديد تعزيز</w:t>
      </w:r>
      <w:r w:rsidRPr="00223233">
        <w:rPr>
          <w:spacing w:val="6"/>
          <w:rtl/>
        </w:rPr>
        <w:t xml:space="preserve"> </w:t>
      </w:r>
      <w:r w:rsidR="00BF42CE" w:rsidRPr="00223233">
        <w:rPr>
          <w:rFonts w:hint="cs"/>
          <w:spacing w:val="6"/>
          <w:rtl/>
        </w:rPr>
        <w:t>"</w:t>
      </w:r>
      <w:r w:rsidRPr="00223233">
        <w:rPr>
          <w:spacing w:val="6"/>
          <w:rtl/>
        </w:rPr>
        <w:t>تنمية شبكات</w:t>
      </w:r>
      <w:r w:rsidRPr="00223233">
        <w:rPr>
          <w:rtl/>
        </w:rPr>
        <w:t xml:space="preserve"> الاتصالات/تكنولوجيا المعلومات والاتصالات والتطبيقات والخدمات </w:t>
      </w:r>
      <w:r w:rsidR="00BF42CE" w:rsidRPr="00223233">
        <w:rPr>
          <w:rFonts w:hint="cs"/>
          <w:rtl/>
        </w:rPr>
        <w:t>ذات الصلة</w:t>
      </w:r>
      <w:r w:rsidRPr="00223233">
        <w:rPr>
          <w:rtl/>
        </w:rPr>
        <w:t>، بما</w:t>
      </w:r>
      <w:r w:rsidR="00BF42CE" w:rsidRPr="00223233">
        <w:rPr>
          <w:rFonts w:hint="cs"/>
          <w:rtl/>
        </w:rPr>
        <w:t> </w:t>
      </w:r>
      <w:r w:rsidRPr="00223233">
        <w:rPr>
          <w:rtl/>
        </w:rPr>
        <w:t>في</w:t>
      </w:r>
      <w:r w:rsidR="00BF42CE" w:rsidRPr="00223233">
        <w:rPr>
          <w:rFonts w:hint="cs"/>
          <w:rtl/>
        </w:rPr>
        <w:t> </w:t>
      </w:r>
      <w:r w:rsidRPr="00223233">
        <w:rPr>
          <w:rtl/>
        </w:rPr>
        <w:t>ذلك سد الفجوة التقييسية</w:t>
      </w:r>
      <w:r w:rsidRPr="00223233">
        <w:rPr>
          <w:rFonts w:eastAsia="SimSun" w:hint="cs"/>
          <w:rtl/>
        </w:rPr>
        <w:t>"</w:t>
      </w:r>
      <w:r w:rsidR="00BF42CE" w:rsidRPr="00223233">
        <w:rPr>
          <w:rFonts w:eastAsia="SimSun" w:hint="cs"/>
          <w:rtl/>
        </w:rPr>
        <w:t xml:space="preserve"> كأحد الأهداف المحددة في خطة عمل قطاع تنمية الاتصالات (الهدف </w:t>
      </w:r>
      <w:r w:rsidR="00BF42CE" w:rsidRPr="00223233">
        <w:rPr>
          <w:rFonts w:eastAsia="SimSun"/>
          <w:lang w:val="en-US"/>
        </w:rPr>
        <w:t>2</w:t>
      </w:r>
      <w:r w:rsidR="00BF42CE" w:rsidRPr="00223233">
        <w:rPr>
          <w:rFonts w:eastAsia="SimSun" w:hint="cs"/>
          <w:rtl/>
          <w:lang w:val="en-US"/>
        </w:rPr>
        <w:t>)</w:t>
      </w:r>
      <w:r w:rsidR="00E00644">
        <w:rPr>
          <w:rFonts w:eastAsia="SimSun" w:hint="cs"/>
          <w:rtl/>
          <w:lang w:val="en-US"/>
        </w:rPr>
        <w:t>.</w:t>
      </w:r>
    </w:p>
    <w:p w:rsidR="0022094C" w:rsidRPr="00223233" w:rsidRDefault="0022094C" w:rsidP="005A10AB">
      <w:pPr>
        <w:pStyle w:val="enumlev1"/>
        <w:rPr>
          <w:rtl/>
        </w:rPr>
      </w:pPr>
      <w:r w:rsidRPr="00223233">
        <w:rPr>
          <w:rFonts w:eastAsia="SimSun" w:hint="cs"/>
        </w:rPr>
        <w:lastRenderedPageBreak/>
        <w:sym w:font="Symbol" w:char="F0B7"/>
      </w:r>
      <w:r w:rsidRPr="00223233">
        <w:rPr>
          <w:rFonts w:hint="cs"/>
          <w:rtl/>
        </w:rPr>
        <w:tab/>
        <w:t xml:space="preserve">القرار </w:t>
      </w:r>
      <w:r w:rsidRPr="00223233">
        <w:rPr>
          <w:lang w:val="en-US"/>
        </w:rPr>
        <w:t>47</w:t>
      </w:r>
      <w:r w:rsidRPr="00223233">
        <w:rPr>
          <w:rFonts w:hint="cs"/>
          <w:rtl/>
          <w:lang w:val="en-US" w:bidi="ar-SA"/>
        </w:rPr>
        <w:t xml:space="preserve"> </w:t>
      </w:r>
      <w:r w:rsidR="00BF42CE" w:rsidRPr="00223233">
        <w:rPr>
          <w:rFonts w:hint="cs"/>
          <w:rtl/>
          <w:lang w:val="en-US" w:bidi="ar-SA"/>
        </w:rPr>
        <w:t>بشأن</w:t>
      </w:r>
      <w:r w:rsidRPr="00223233">
        <w:rPr>
          <w:rFonts w:hint="cs"/>
          <w:rtl/>
          <w:lang w:val="en-US" w:bidi="ar-SA"/>
        </w:rPr>
        <w:t xml:space="preserve"> </w:t>
      </w:r>
      <w:r w:rsidRPr="00223233">
        <w:rPr>
          <w:rtl/>
        </w:rPr>
        <w:t>تحسين المعرفة بتوصيات الاتحاد الدولي للاتصالات</w:t>
      </w:r>
      <w:r w:rsidRPr="00223233">
        <w:rPr>
          <w:rFonts w:hint="cs"/>
          <w:rtl/>
        </w:rPr>
        <w:t xml:space="preserve"> </w:t>
      </w:r>
      <w:r w:rsidRPr="00223233">
        <w:rPr>
          <w:rtl/>
        </w:rPr>
        <w:t>وتطبيقها الفع</w:t>
      </w:r>
      <w:r w:rsidR="005855D4" w:rsidRPr="00223233">
        <w:rPr>
          <w:rFonts w:hint="cs"/>
          <w:rtl/>
        </w:rPr>
        <w:t>ّ</w:t>
      </w:r>
      <w:r w:rsidRPr="00223233">
        <w:rPr>
          <w:rtl/>
        </w:rPr>
        <w:t>ال في البلدان النامية</w:t>
      </w:r>
      <w:r w:rsidRPr="00223233">
        <w:rPr>
          <w:rFonts w:hint="cs"/>
          <w:rtl/>
        </w:rPr>
        <w:t xml:space="preserve">، </w:t>
      </w:r>
      <w:r w:rsidR="005B5EA3" w:rsidRPr="00223233">
        <w:rPr>
          <w:rFonts w:hint="cs"/>
          <w:rtl/>
        </w:rPr>
        <w:t>تمت مراجعته للتشديد على فائدة المبادئ التوجيهية الصادرة عن الاتحاد بشأن تنفيذ توصيات الاتحاد.</w:t>
      </w:r>
    </w:p>
    <w:p w:rsidR="00324C72" w:rsidRPr="00223233" w:rsidRDefault="0022094C" w:rsidP="005A10AB">
      <w:pPr>
        <w:pStyle w:val="enumlev1"/>
        <w:rPr>
          <w:rtl/>
        </w:rPr>
      </w:pPr>
      <w:r w:rsidRPr="00223233">
        <w:rPr>
          <w:rFonts w:hint="cs"/>
        </w:rPr>
        <w:sym w:font="Symbol" w:char="F0B7"/>
      </w:r>
      <w:r w:rsidRPr="00223233">
        <w:rPr>
          <w:rFonts w:hint="cs"/>
          <w:rtl/>
        </w:rPr>
        <w:tab/>
      </w:r>
      <w:r w:rsidR="00B91489" w:rsidRPr="00223233">
        <w:rPr>
          <w:rFonts w:hint="cs"/>
          <w:rtl/>
        </w:rPr>
        <w:t xml:space="preserve">تمت الموافقة على توصية </w:t>
      </w:r>
      <w:r w:rsidR="00B91489" w:rsidRPr="00223233">
        <w:t>ITU</w:t>
      </w:r>
      <w:r w:rsidR="00B91489" w:rsidRPr="00223233">
        <w:noBreakHyphen/>
        <w:t>D</w:t>
      </w:r>
      <w:r w:rsidR="00B91489" w:rsidRPr="00223233">
        <w:rPr>
          <w:rFonts w:hint="cs"/>
          <w:rtl/>
        </w:rPr>
        <w:t xml:space="preserve"> جديدة بشأن</w:t>
      </w:r>
      <w:r w:rsidRPr="00223233">
        <w:rPr>
          <w:rFonts w:hint="cs"/>
          <w:rtl/>
        </w:rPr>
        <w:t xml:space="preserve"> </w:t>
      </w:r>
      <w:r w:rsidRPr="00223233">
        <w:rPr>
          <w:rtl/>
        </w:rPr>
        <w:t xml:space="preserve">سد الفجوة التقييسية بالتعاون مع </w:t>
      </w:r>
      <w:r w:rsidR="00B91489" w:rsidRPr="00223233">
        <w:rPr>
          <w:rFonts w:hint="cs"/>
          <w:rtl/>
        </w:rPr>
        <w:t>الأفرقة الإقليمية التابعة ل</w:t>
      </w:r>
      <w:r w:rsidRPr="00223233">
        <w:rPr>
          <w:rtl/>
        </w:rPr>
        <w:t>لجان الدراسات</w:t>
      </w:r>
      <w:r w:rsidRPr="00223233">
        <w:rPr>
          <w:rFonts w:hint="cs"/>
          <w:rtl/>
        </w:rPr>
        <w:t>.</w:t>
      </w:r>
    </w:p>
    <w:p w:rsidR="00A13317" w:rsidRPr="002234F8" w:rsidRDefault="00A13317" w:rsidP="00A13317">
      <w:pPr>
        <w:pStyle w:val="ReasonsS2"/>
        <w:spacing w:before="600"/>
        <w:jc w:val="center"/>
        <w:rPr>
          <w:position w:val="0"/>
          <w:rtl/>
        </w:rPr>
      </w:pPr>
      <w:r w:rsidRPr="00223233">
        <w:rPr>
          <w:rFonts w:hint="cs"/>
          <w:position w:val="0"/>
          <w:rtl/>
        </w:rPr>
        <w:t>___________</w:t>
      </w:r>
    </w:p>
    <w:sectPr w:rsidR="00A13317" w:rsidRPr="002234F8" w:rsidSect="00B541A1">
      <w:headerReference w:type="even" r:id="rId33"/>
      <w:headerReference w:type="default" r:id="rId34"/>
      <w:headerReference w:type="first" r:id="rId35"/>
      <w:footerReference w:type="first" r:id="rId36"/>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C0" w:rsidRDefault="001C0EC0" w:rsidP="00FE7FCA">
      <w:r>
        <w:separator/>
      </w:r>
    </w:p>
  </w:endnote>
  <w:endnote w:type="continuationSeparator" w:id="0">
    <w:p w:rsidR="001C0EC0" w:rsidRDefault="001C0EC0"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D6" w:rsidRPr="008C4983" w:rsidRDefault="00255055" w:rsidP="008C4983">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C0" w:rsidRDefault="001C0EC0">
      <w:r>
        <w:t>_______________</w:t>
      </w:r>
    </w:p>
  </w:footnote>
  <w:footnote w:type="continuationSeparator" w:id="0">
    <w:p w:rsidR="001C0EC0" w:rsidRDefault="001C0EC0" w:rsidP="00FE7FCA">
      <w:r>
        <w:continuationSeparator/>
      </w:r>
    </w:p>
  </w:footnote>
  <w:footnote w:id="1">
    <w:p w:rsidR="0022094C" w:rsidRPr="0038577E" w:rsidRDefault="0022094C" w:rsidP="003712B7">
      <w:pPr>
        <w:pStyle w:val="FootnoteText"/>
        <w:tabs>
          <w:tab w:val="left" w:pos="567"/>
        </w:tabs>
        <w:spacing w:before="120"/>
      </w:pPr>
      <w:r>
        <w:rPr>
          <w:rtl/>
          <w:cs/>
          <w:lang w:val="ar-SA"/>
        </w:rPr>
        <w:t>‎‎‎‎‎‎‎‎</w:t>
      </w:r>
      <w:r>
        <w:rPr>
          <w:rStyle w:val="FootnoteReference"/>
        </w:rPr>
        <w:footnoteRef/>
      </w:r>
      <w:r>
        <w:rPr>
          <w:rFonts w:cs="Arial" w:hint="cs"/>
          <w:rtl/>
          <w:lang w:val="ar-SA"/>
        </w:rPr>
        <w:tab/>
      </w:r>
      <w:r>
        <w:rPr>
          <w:rFonts w:cs="Arial"/>
          <w:rtl/>
          <w:cs/>
          <w:lang w:val="ar-SA"/>
        </w:rPr>
        <w:t>‎‎‎‎‎‎‎‎</w:t>
      </w:r>
      <w:hyperlink r:id="rId1" w:history="1">
        <w:r w:rsidRPr="00251083">
          <w:rPr>
            <w:rStyle w:val="Hyperlink"/>
          </w:rPr>
          <w:t>http://groups.itu.int/itu-t/StandardsQA.aspx</w:t>
        </w:r>
      </w:hyperlink>
      <w:r w:rsidR="003712B7" w:rsidRPr="003712B7">
        <w:rPr>
          <w:rStyle w:val="Hyperlink"/>
          <w:rFonts w:hint="cs"/>
          <w:u w:val="none"/>
          <w:rtl/>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0C24E2">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22094C">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8C4983">
      <w:rPr>
        <w:rStyle w:val="PageNumber"/>
        <w:rFonts w:ascii="Calibri" w:hAnsi="Calibri"/>
        <w:noProof/>
      </w:rPr>
      <w:t>2</w:t>
    </w:r>
    <w:r w:rsidRPr="006A7C71">
      <w:rPr>
        <w:rStyle w:val="PageNumber"/>
        <w:rFonts w:ascii="Calibri" w:hAnsi="Calibri"/>
      </w:rPr>
      <w:fldChar w:fldCharType="end"/>
    </w:r>
    <w:r w:rsidR="008C4983">
      <w:rPr>
        <w:rStyle w:val="PageNumber"/>
        <w:rFonts w:ascii="Calibri" w:hAnsi="Calibri"/>
      </w:rPr>
      <w:t>/</w:t>
    </w:r>
    <w:r w:rsidR="008C4983">
      <w:rPr>
        <w:rStyle w:val="PageNumber"/>
        <w:rFonts w:ascii="Calibri" w:hAnsi="Calibri"/>
      </w:rPr>
      <w:fldChar w:fldCharType="begin"/>
    </w:r>
    <w:r w:rsidR="008C4983">
      <w:rPr>
        <w:rStyle w:val="PageNumber"/>
        <w:rFonts w:ascii="Calibri" w:hAnsi="Calibri"/>
      </w:rPr>
      <w:instrText xml:space="preserve"> NUMPAGES   \* MERGEFORMAT </w:instrText>
    </w:r>
    <w:r w:rsidR="008C4983">
      <w:rPr>
        <w:rStyle w:val="PageNumber"/>
        <w:rFonts w:ascii="Calibri" w:hAnsi="Calibri"/>
      </w:rPr>
      <w:fldChar w:fldCharType="separate"/>
    </w:r>
    <w:r w:rsidR="008C4983">
      <w:rPr>
        <w:rStyle w:val="PageNumber"/>
        <w:rFonts w:ascii="Calibri" w:hAnsi="Calibri"/>
        <w:noProof/>
      </w:rPr>
      <w:t>7</w:t>
    </w:r>
    <w:r w:rsidR="008C4983">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22094C">
      <w:rPr>
        <w:rStyle w:val="PageNumber"/>
        <w:rFonts w:ascii="Calibri" w:hAnsi="Calibri" w:hint="cs"/>
        <w:rtl/>
      </w:rPr>
      <w:t>54</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C0"/>
    <w:rsid w:val="00004A19"/>
    <w:rsid w:val="00004C7A"/>
    <w:rsid w:val="00005A03"/>
    <w:rsid w:val="00006678"/>
    <w:rsid w:val="000075F1"/>
    <w:rsid w:val="0001331F"/>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4E2"/>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1C83"/>
    <w:rsid w:val="00112FD0"/>
    <w:rsid w:val="00115591"/>
    <w:rsid w:val="0011763A"/>
    <w:rsid w:val="001177C4"/>
    <w:rsid w:val="00117D4E"/>
    <w:rsid w:val="00122E06"/>
    <w:rsid w:val="00124807"/>
    <w:rsid w:val="00126205"/>
    <w:rsid w:val="00127D4A"/>
    <w:rsid w:val="00130211"/>
    <w:rsid w:val="0013130B"/>
    <w:rsid w:val="001409D8"/>
    <w:rsid w:val="0014473E"/>
    <w:rsid w:val="001447E0"/>
    <w:rsid w:val="001463D3"/>
    <w:rsid w:val="00147307"/>
    <w:rsid w:val="001507E4"/>
    <w:rsid w:val="0015245B"/>
    <w:rsid w:val="00162B4F"/>
    <w:rsid w:val="00165405"/>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0EC0"/>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1C58"/>
    <w:rsid w:val="00214525"/>
    <w:rsid w:val="00217C9F"/>
    <w:rsid w:val="0022094C"/>
    <w:rsid w:val="00220D98"/>
    <w:rsid w:val="00223233"/>
    <w:rsid w:val="002234F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944B8"/>
    <w:rsid w:val="002A0508"/>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2C54"/>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0C7"/>
    <w:rsid w:val="00367C61"/>
    <w:rsid w:val="003701A8"/>
    <w:rsid w:val="003712B7"/>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6273"/>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E78C6"/>
    <w:rsid w:val="003F428F"/>
    <w:rsid w:val="003F4292"/>
    <w:rsid w:val="003F77A8"/>
    <w:rsid w:val="004014B0"/>
    <w:rsid w:val="00401F0D"/>
    <w:rsid w:val="00405596"/>
    <w:rsid w:val="00406179"/>
    <w:rsid w:val="00406227"/>
    <w:rsid w:val="0040663B"/>
    <w:rsid w:val="004118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0E86"/>
    <w:rsid w:val="00461A8F"/>
    <w:rsid w:val="00461F92"/>
    <w:rsid w:val="00462902"/>
    <w:rsid w:val="004648AF"/>
    <w:rsid w:val="004649F8"/>
    <w:rsid w:val="004676C0"/>
    <w:rsid w:val="00467A18"/>
    <w:rsid w:val="00471899"/>
    <w:rsid w:val="00472BA1"/>
    <w:rsid w:val="00473962"/>
    <w:rsid w:val="0047406F"/>
    <w:rsid w:val="00481B25"/>
    <w:rsid w:val="0048341F"/>
    <w:rsid w:val="004869DA"/>
    <w:rsid w:val="0049457B"/>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1A00"/>
    <w:rsid w:val="004F3073"/>
    <w:rsid w:val="004F40C7"/>
    <w:rsid w:val="004F4986"/>
    <w:rsid w:val="004F5F61"/>
    <w:rsid w:val="004F66E1"/>
    <w:rsid w:val="004F79C1"/>
    <w:rsid w:val="004F7CE1"/>
    <w:rsid w:val="0050046D"/>
    <w:rsid w:val="005014FA"/>
    <w:rsid w:val="00502527"/>
    <w:rsid w:val="005045E6"/>
    <w:rsid w:val="00507073"/>
    <w:rsid w:val="005071F2"/>
    <w:rsid w:val="00510227"/>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432"/>
    <w:rsid w:val="00565E64"/>
    <w:rsid w:val="00567130"/>
    <w:rsid w:val="00567906"/>
    <w:rsid w:val="00573BC2"/>
    <w:rsid w:val="005741E5"/>
    <w:rsid w:val="00575907"/>
    <w:rsid w:val="00577207"/>
    <w:rsid w:val="00577F3A"/>
    <w:rsid w:val="005805E4"/>
    <w:rsid w:val="00582912"/>
    <w:rsid w:val="00583B3B"/>
    <w:rsid w:val="005855D4"/>
    <w:rsid w:val="00585E02"/>
    <w:rsid w:val="00586488"/>
    <w:rsid w:val="00587AA8"/>
    <w:rsid w:val="00587D48"/>
    <w:rsid w:val="00591767"/>
    <w:rsid w:val="00593E0A"/>
    <w:rsid w:val="00596322"/>
    <w:rsid w:val="00597756"/>
    <w:rsid w:val="005979F8"/>
    <w:rsid w:val="005A10AB"/>
    <w:rsid w:val="005A224E"/>
    <w:rsid w:val="005A26CF"/>
    <w:rsid w:val="005A29CA"/>
    <w:rsid w:val="005A2AD2"/>
    <w:rsid w:val="005A35D1"/>
    <w:rsid w:val="005A3D1D"/>
    <w:rsid w:val="005B2B67"/>
    <w:rsid w:val="005B32D6"/>
    <w:rsid w:val="005B38DC"/>
    <w:rsid w:val="005B5EA3"/>
    <w:rsid w:val="005C4053"/>
    <w:rsid w:val="005C4FB8"/>
    <w:rsid w:val="005D1D95"/>
    <w:rsid w:val="005D20FB"/>
    <w:rsid w:val="005E1350"/>
    <w:rsid w:val="005E2751"/>
    <w:rsid w:val="005E343E"/>
    <w:rsid w:val="005E4059"/>
    <w:rsid w:val="005E4B45"/>
    <w:rsid w:val="005E4B7D"/>
    <w:rsid w:val="005E6673"/>
    <w:rsid w:val="005F0D0D"/>
    <w:rsid w:val="005F1778"/>
    <w:rsid w:val="005F7DC9"/>
    <w:rsid w:val="0060333E"/>
    <w:rsid w:val="00603B49"/>
    <w:rsid w:val="006042F4"/>
    <w:rsid w:val="00604CAC"/>
    <w:rsid w:val="00604DAF"/>
    <w:rsid w:val="00611488"/>
    <w:rsid w:val="00611B15"/>
    <w:rsid w:val="00617145"/>
    <w:rsid w:val="0061732C"/>
    <w:rsid w:val="00617AE4"/>
    <w:rsid w:val="00617BE4"/>
    <w:rsid w:val="00620258"/>
    <w:rsid w:val="00620660"/>
    <w:rsid w:val="0062228A"/>
    <w:rsid w:val="006422DC"/>
    <w:rsid w:val="006438BD"/>
    <w:rsid w:val="006446AA"/>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592C"/>
    <w:rsid w:val="006E79C9"/>
    <w:rsid w:val="006E7D9F"/>
    <w:rsid w:val="006F3BBE"/>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1CC"/>
    <w:rsid w:val="007C43A3"/>
    <w:rsid w:val="007D06DC"/>
    <w:rsid w:val="007D40C4"/>
    <w:rsid w:val="007E13E6"/>
    <w:rsid w:val="007E383B"/>
    <w:rsid w:val="007E3B62"/>
    <w:rsid w:val="007E4520"/>
    <w:rsid w:val="007E4BC7"/>
    <w:rsid w:val="007E6D15"/>
    <w:rsid w:val="007E7230"/>
    <w:rsid w:val="007F23A3"/>
    <w:rsid w:val="007F2ECE"/>
    <w:rsid w:val="007F414F"/>
    <w:rsid w:val="007F7D80"/>
    <w:rsid w:val="008075D5"/>
    <w:rsid w:val="00811230"/>
    <w:rsid w:val="008154A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3D1B"/>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4983"/>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250"/>
    <w:rsid w:val="008F75D7"/>
    <w:rsid w:val="00901E88"/>
    <w:rsid w:val="00901F82"/>
    <w:rsid w:val="00904FD3"/>
    <w:rsid w:val="00906137"/>
    <w:rsid w:val="00906D5C"/>
    <w:rsid w:val="00906DD5"/>
    <w:rsid w:val="00911089"/>
    <w:rsid w:val="00917FB3"/>
    <w:rsid w:val="00926774"/>
    <w:rsid w:val="009268CD"/>
    <w:rsid w:val="0092719A"/>
    <w:rsid w:val="00932B9F"/>
    <w:rsid w:val="009334B3"/>
    <w:rsid w:val="009339AF"/>
    <w:rsid w:val="0093608E"/>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93CFB"/>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D6416"/>
    <w:rsid w:val="009E0255"/>
    <w:rsid w:val="009E369F"/>
    <w:rsid w:val="009F279B"/>
    <w:rsid w:val="009F79BB"/>
    <w:rsid w:val="00A00B7A"/>
    <w:rsid w:val="00A01D3A"/>
    <w:rsid w:val="00A035A3"/>
    <w:rsid w:val="00A065D5"/>
    <w:rsid w:val="00A06CB2"/>
    <w:rsid w:val="00A07160"/>
    <w:rsid w:val="00A11C33"/>
    <w:rsid w:val="00A13317"/>
    <w:rsid w:val="00A16046"/>
    <w:rsid w:val="00A225DB"/>
    <w:rsid w:val="00A2287A"/>
    <w:rsid w:val="00A26EFE"/>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0E97"/>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B5689"/>
    <w:rsid w:val="00AB58EF"/>
    <w:rsid w:val="00AC1E7A"/>
    <w:rsid w:val="00AC2DD5"/>
    <w:rsid w:val="00AC3A4C"/>
    <w:rsid w:val="00AC4D7C"/>
    <w:rsid w:val="00AC628F"/>
    <w:rsid w:val="00AD1166"/>
    <w:rsid w:val="00AD5D22"/>
    <w:rsid w:val="00AD6074"/>
    <w:rsid w:val="00AD615F"/>
    <w:rsid w:val="00AD7BF9"/>
    <w:rsid w:val="00AD7D7F"/>
    <w:rsid w:val="00AE0AC5"/>
    <w:rsid w:val="00AE43BE"/>
    <w:rsid w:val="00AE667F"/>
    <w:rsid w:val="00AF25E1"/>
    <w:rsid w:val="00AF4255"/>
    <w:rsid w:val="00AF5A03"/>
    <w:rsid w:val="00AF7A24"/>
    <w:rsid w:val="00B00286"/>
    <w:rsid w:val="00B0039C"/>
    <w:rsid w:val="00B02398"/>
    <w:rsid w:val="00B034F7"/>
    <w:rsid w:val="00B0416F"/>
    <w:rsid w:val="00B05C8A"/>
    <w:rsid w:val="00B05D9E"/>
    <w:rsid w:val="00B06C02"/>
    <w:rsid w:val="00B10B0D"/>
    <w:rsid w:val="00B12422"/>
    <w:rsid w:val="00B12DBE"/>
    <w:rsid w:val="00B1377C"/>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566A"/>
    <w:rsid w:val="00B767BB"/>
    <w:rsid w:val="00B82F1B"/>
    <w:rsid w:val="00B83C27"/>
    <w:rsid w:val="00B84384"/>
    <w:rsid w:val="00B84465"/>
    <w:rsid w:val="00B875AF"/>
    <w:rsid w:val="00B87FF2"/>
    <w:rsid w:val="00B9072C"/>
    <w:rsid w:val="00B91489"/>
    <w:rsid w:val="00B93F32"/>
    <w:rsid w:val="00BA0BE6"/>
    <w:rsid w:val="00BA154E"/>
    <w:rsid w:val="00BA4DD3"/>
    <w:rsid w:val="00BA4F4B"/>
    <w:rsid w:val="00BA53E8"/>
    <w:rsid w:val="00BA765D"/>
    <w:rsid w:val="00BA7883"/>
    <w:rsid w:val="00BB0DC4"/>
    <w:rsid w:val="00BB5544"/>
    <w:rsid w:val="00BC0EC1"/>
    <w:rsid w:val="00BC2098"/>
    <w:rsid w:val="00BC7A5D"/>
    <w:rsid w:val="00BD01D9"/>
    <w:rsid w:val="00BD0C75"/>
    <w:rsid w:val="00BD0EBB"/>
    <w:rsid w:val="00BD18B1"/>
    <w:rsid w:val="00BD2884"/>
    <w:rsid w:val="00BD3AA2"/>
    <w:rsid w:val="00BD538E"/>
    <w:rsid w:val="00BD59D7"/>
    <w:rsid w:val="00BE2730"/>
    <w:rsid w:val="00BE55C6"/>
    <w:rsid w:val="00BF06B3"/>
    <w:rsid w:val="00BF374F"/>
    <w:rsid w:val="00BF42CE"/>
    <w:rsid w:val="00BF610D"/>
    <w:rsid w:val="00BF720B"/>
    <w:rsid w:val="00C04511"/>
    <w:rsid w:val="00C07CF1"/>
    <w:rsid w:val="00C120B3"/>
    <w:rsid w:val="00C12F1B"/>
    <w:rsid w:val="00C159BA"/>
    <w:rsid w:val="00C15D70"/>
    <w:rsid w:val="00C16846"/>
    <w:rsid w:val="00C20731"/>
    <w:rsid w:val="00C2311B"/>
    <w:rsid w:val="00C238F5"/>
    <w:rsid w:val="00C25616"/>
    <w:rsid w:val="00C25737"/>
    <w:rsid w:val="00C30A67"/>
    <w:rsid w:val="00C30FAA"/>
    <w:rsid w:val="00C33B18"/>
    <w:rsid w:val="00C341F3"/>
    <w:rsid w:val="00C430C6"/>
    <w:rsid w:val="00C43888"/>
    <w:rsid w:val="00C439BE"/>
    <w:rsid w:val="00C470D6"/>
    <w:rsid w:val="00C47580"/>
    <w:rsid w:val="00C52D1E"/>
    <w:rsid w:val="00C548BF"/>
    <w:rsid w:val="00C54CFB"/>
    <w:rsid w:val="00C5780B"/>
    <w:rsid w:val="00C57960"/>
    <w:rsid w:val="00C6627E"/>
    <w:rsid w:val="00C71396"/>
    <w:rsid w:val="00C7395D"/>
    <w:rsid w:val="00C75670"/>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B7D99"/>
    <w:rsid w:val="00CC1C62"/>
    <w:rsid w:val="00CC3391"/>
    <w:rsid w:val="00CC6C27"/>
    <w:rsid w:val="00CC719B"/>
    <w:rsid w:val="00CC7BE6"/>
    <w:rsid w:val="00CC7DDA"/>
    <w:rsid w:val="00CC7E0B"/>
    <w:rsid w:val="00CD1170"/>
    <w:rsid w:val="00CD7B99"/>
    <w:rsid w:val="00CD7C7E"/>
    <w:rsid w:val="00CE039B"/>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15FA5"/>
    <w:rsid w:val="00D22C9A"/>
    <w:rsid w:val="00D2304D"/>
    <w:rsid w:val="00D24865"/>
    <w:rsid w:val="00D24DFA"/>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18F3"/>
    <w:rsid w:val="00D92E12"/>
    <w:rsid w:val="00D9476C"/>
    <w:rsid w:val="00D95974"/>
    <w:rsid w:val="00D96349"/>
    <w:rsid w:val="00D9683B"/>
    <w:rsid w:val="00DA0273"/>
    <w:rsid w:val="00DA3015"/>
    <w:rsid w:val="00DA41BB"/>
    <w:rsid w:val="00DA686F"/>
    <w:rsid w:val="00DB7A0C"/>
    <w:rsid w:val="00DC1485"/>
    <w:rsid w:val="00DC27E7"/>
    <w:rsid w:val="00DC32A3"/>
    <w:rsid w:val="00DC5942"/>
    <w:rsid w:val="00DC5B26"/>
    <w:rsid w:val="00DC7C81"/>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0644"/>
    <w:rsid w:val="00E024EA"/>
    <w:rsid w:val="00E032F4"/>
    <w:rsid w:val="00E033F6"/>
    <w:rsid w:val="00E04477"/>
    <w:rsid w:val="00E05623"/>
    <w:rsid w:val="00E07D45"/>
    <w:rsid w:val="00E07FB8"/>
    <w:rsid w:val="00E11BFC"/>
    <w:rsid w:val="00E12128"/>
    <w:rsid w:val="00E140E4"/>
    <w:rsid w:val="00E14413"/>
    <w:rsid w:val="00E20102"/>
    <w:rsid w:val="00E224C4"/>
    <w:rsid w:val="00E24590"/>
    <w:rsid w:val="00E33424"/>
    <w:rsid w:val="00E34569"/>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85D24"/>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E6D73"/>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C52"/>
    <w:rsid w:val="00F91F22"/>
    <w:rsid w:val="00F946E0"/>
    <w:rsid w:val="00F94814"/>
    <w:rsid w:val="00F97163"/>
    <w:rsid w:val="00F97273"/>
    <w:rsid w:val="00FB1C68"/>
    <w:rsid w:val="00FB26C7"/>
    <w:rsid w:val="00FB341B"/>
    <w:rsid w:val="00FB4823"/>
    <w:rsid w:val="00FB4EC6"/>
    <w:rsid w:val="00FB56C5"/>
    <w:rsid w:val="00FB604C"/>
    <w:rsid w:val="00FB6A46"/>
    <w:rsid w:val="00FC394F"/>
    <w:rsid w:val="00FC48AA"/>
    <w:rsid w:val="00FC525F"/>
    <w:rsid w:val="00FC57F6"/>
    <w:rsid w:val="00FC6C56"/>
    <w:rsid w:val="00FD2529"/>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Hyperlink"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10227"/>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uiPriority w:val="99"/>
    <w:qFormat/>
    <w:rsid w:val="00510227"/>
    <w:rPr>
      <w:rFonts w:asciiTheme="minorHAnsi" w:hAnsiTheme="minorHAnsi" w:cs="Calibri"/>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101C83"/>
    <w:pPr>
      <w:keepNext/>
      <w:keepLines/>
      <w:tabs>
        <w:tab w:val="clear" w:pos="1134"/>
        <w:tab w:val="clear" w:pos="1701"/>
        <w:tab w:val="clear" w:pos="2268"/>
        <w:tab w:val="clear" w:pos="2835"/>
      </w:tabs>
      <w:spacing w:before="160"/>
      <w:ind w:left="1134"/>
    </w:pPr>
    <w:rPr>
      <w:i/>
      <w:iCs/>
    </w:rPr>
  </w:style>
  <w:style w:type="character" w:customStyle="1" w:styleId="CallChar">
    <w:name w:val="Call Char"/>
    <w:basedOn w:val="DefaultParagraphFont"/>
    <w:link w:val="Call"/>
    <w:locked/>
    <w:rsid w:val="00101C83"/>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footnote text,ACMA Footnote Text,ALTS FOOTNOTE,DNV-,Footnote Text Char Char1,Footnote Text Char Char1 Char1 Char Char,Footnote Text Char1,Footnote Text Char1 Char1 Char1 Char,Footnote Text Char4 Char Char,Footnote Text Char Char Char"/>
    <w:basedOn w:val="Normal"/>
    <w:link w:val="FootnoteTextChar"/>
    <w:uiPriority w:val="99"/>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footnote text Char,ACMA Footnote Text Char,ALTS FOOTNOTE Char,DNV- Char,Footnote Text Char Char1 Char,Footnote Text Char Char1 Char1 Char Char Char,Footnote Text Char1 Char,Footnote Text Char1 Char1 Char1 Char Char"/>
    <w:basedOn w:val="DefaultParagraphFont"/>
    <w:link w:val="FootnoteText"/>
    <w:uiPriority w:val="99"/>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Hyperlink"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10227"/>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uiPriority w:val="99"/>
    <w:qFormat/>
    <w:rsid w:val="00510227"/>
    <w:rPr>
      <w:rFonts w:asciiTheme="minorHAnsi" w:hAnsiTheme="minorHAnsi" w:cs="Calibri"/>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101C83"/>
    <w:pPr>
      <w:keepNext/>
      <w:keepLines/>
      <w:tabs>
        <w:tab w:val="clear" w:pos="1134"/>
        <w:tab w:val="clear" w:pos="1701"/>
        <w:tab w:val="clear" w:pos="2268"/>
        <w:tab w:val="clear" w:pos="2835"/>
      </w:tabs>
      <w:spacing w:before="160"/>
      <w:ind w:left="1134"/>
    </w:pPr>
    <w:rPr>
      <w:i/>
      <w:iCs/>
    </w:rPr>
  </w:style>
  <w:style w:type="character" w:customStyle="1" w:styleId="CallChar">
    <w:name w:val="Call Char"/>
    <w:basedOn w:val="DefaultParagraphFont"/>
    <w:link w:val="Call"/>
    <w:locked/>
    <w:rsid w:val="00101C83"/>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footnote text,ACMA Footnote Text,ALTS FOOTNOTE,DNV-,Footnote Text Char Char1,Footnote Text Char Char1 Char1 Char Char,Footnote Text Char1,Footnote Text Char1 Char1 Char1 Char,Footnote Text Char4 Char Char,Footnote Text Char Char Char"/>
    <w:basedOn w:val="Normal"/>
    <w:link w:val="FootnoteTextChar"/>
    <w:uiPriority w:val="99"/>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footnote text Char,ACMA Footnote Text Char,ALTS FOOTNOTE Char,DNV- Char,Footnote Text Char Char1 Char,Footnote Text Char Char1 Char1 Char Char Char,Footnote Text Char1 Char,Footnote Text Char1 Char1 Char1 Char Char"/>
    <w:basedOn w:val="DefaultParagraphFont"/>
    <w:link w:val="FootnoteText"/>
    <w:uiPriority w:val="99"/>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l/T-HDB-IMPL.07-2010/en" TargetMode="External"/><Relationship Id="rId18" Type="http://schemas.openxmlformats.org/officeDocument/2006/relationships/hyperlink" Target="http://www.itu.int/pub/publications.aspx?lang=en&amp;parent=T-TUT-HOME-2011" TargetMode="External"/><Relationship Id="rId26" Type="http://schemas.openxmlformats.org/officeDocument/2006/relationships/hyperlink" Target="http://www.itu.int/en/ITU-T/gap/Documents/NSSGuidelines.pdf" TargetMode="External"/><Relationship Id="rId3" Type="http://schemas.openxmlformats.org/officeDocument/2006/relationships/styles" Target="styles.xml"/><Relationship Id="rId21" Type="http://schemas.openxmlformats.org/officeDocument/2006/relationships/hyperlink" Target="http://www.itu.int/pub/T-TUT-IOT-2012-M2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publ/T-HDB-IMPL.06-2010/en" TargetMode="External"/><Relationship Id="rId17" Type="http://schemas.openxmlformats.org/officeDocument/2006/relationships/hyperlink" Target="http://www.itu.int/pub/publications.aspx?lang=en&amp;parent=T-HDB-SEC.05-2011" TargetMode="External"/><Relationship Id="rId25" Type="http://schemas.openxmlformats.org/officeDocument/2006/relationships/hyperlink" Target="http://www.itu.int/pub/publications.aspx?lang=en&amp;parent=T-TUT-NGN-2014"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pub/T-HDB-QOS.02-2011" TargetMode="External"/><Relationship Id="rId20" Type="http://schemas.openxmlformats.org/officeDocument/2006/relationships/hyperlink" Target="http://www.itu.int/pub/publications.aspx?lang=en&amp;parent=T-TUT-MRA-2012" TargetMode="External"/><Relationship Id="rId29" Type="http://schemas.openxmlformats.org/officeDocument/2006/relationships/hyperlink" Target="http://www.itu.int/ITU-T/recommendations/rec.aspx?rec=11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l/T-HDB-IMPL.05-2009/en" TargetMode="External"/><Relationship Id="rId24" Type="http://schemas.openxmlformats.org/officeDocument/2006/relationships/hyperlink" Target="http://www.itu.int/en/ITU-T/focusgroups/drnrr/Documents/Technical_report-2013-06.pdf" TargetMode="External"/><Relationship Id="rId32" Type="http://schemas.openxmlformats.org/officeDocument/2006/relationships/hyperlink" Target="http://www.itu.int/en/newsroom/wtdc-14/Pages/dubai-declaration.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pub/T-HDB-LNG.4-2010" TargetMode="External"/><Relationship Id="rId23" Type="http://schemas.openxmlformats.org/officeDocument/2006/relationships/hyperlink" Target="http://www.itu.int/pub/T-TUT-QOS-2013" TargetMode="External"/><Relationship Id="rId28" Type="http://schemas.openxmlformats.org/officeDocument/2006/relationships/hyperlink" Target="http://academy.itu.int/index.php/component/k2/item/1115" TargetMode="External"/><Relationship Id="rId36" Type="http://schemas.openxmlformats.org/officeDocument/2006/relationships/footer" Target="footer1.xml"/><Relationship Id="rId10" Type="http://schemas.openxmlformats.org/officeDocument/2006/relationships/hyperlink" Target="http://www.itu.int/publ/T-HDB-IMPL.05-2009/en" TargetMode="External"/><Relationship Id="rId19" Type="http://schemas.openxmlformats.org/officeDocument/2006/relationships/hyperlink" Target="http://www.itu.int/pub/publications.aspx?lang=en&amp;parent=T-HDB-PLN.03-2012" TargetMode="External"/><Relationship Id="rId31" Type="http://schemas.openxmlformats.org/officeDocument/2006/relationships/hyperlink" Target="http://www.itu.int/en/ITU-D/Conferences/WTDC/WTDC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pub/T-HDB-LNG.4-2010" TargetMode="External"/><Relationship Id="rId22" Type="http://schemas.openxmlformats.org/officeDocument/2006/relationships/hyperlink" Target="http://www.itu.int/pub/T-TUT-NGN-2013" TargetMode="External"/><Relationship Id="rId27" Type="http://schemas.openxmlformats.org/officeDocument/2006/relationships/hyperlink" Target="http://academy.itu.int/" TargetMode="External"/><Relationship Id="rId30" Type="http://schemas.openxmlformats.org/officeDocument/2006/relationships/hyperlink" Target="http://www.itu.int/en/ITU-D/Conferences/WTDC/WTDC14"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groups.itu.int/itu-t/StandardsQ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954E-9DA2-4324-B166-659AF302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2069</Words>
  <Characters>13096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15135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(PP-14)</dc:subject>
  <dc:creator>Brouard, Ricarda</dc:creator>
  <cp:keywords>PP-14</cp:keywords>
  <cp:lastModifiedBy>Brouard, Ricarda</cp:lastModifiedBy>
  <cp:revision>2</cp:revision>
  <cp:lastPrinted>2014-07-23T16:02:00Z</cp:lastPrinted>
  <dcterms:created xsi:type="dcterms:W3CDTF">2014-07-29T14:32:00Z</dcterms:created>
  <dcterms:modified xsi:type="dcterms:W3CDTF">2014-07-29T14:32:00Z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