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2" w:name="ditulogo"/>
            <w:bookmarkEnd w:id="2"/>
            <w:r w:rsidRPr="00D96B4B">
              <w:rPr>
                <w:rFonts w:cstheme="minorHAnsi"/>
                <w:noProof/>
                <w:lang w:val="en-US" w:eastAsia="zh-CN"/>
              </w:rPr>
              <w:drawing>
                <wp:inline distT="0" distB="0" distL="0" distR="0" wp14:anchorId="5B52FE29" wp14:editId="19ED62A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3"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92731E" w:rsidRDefault="008263C6" w:rsidP="008263C6">
            <w:pPr>
              <w:pStyle w:val="Committee"/>
              <w:framePr w:hSpace="0" w:wrap="auto" w:hAnchor="text" w:yAlign="inline"/>
              <w:spacing w:after="0"/>
              <w:rPr>
                <w:sz w:val="24"/>
                <w:szCs w:val="28"/>
              </w:rPr>
            </w:pPr>
            <w:bookmarkStart w:id="4" w:name="dnum" w:colFirst="1" w:colLast="1"/>
            <w:bookmarkStart w:id="5" w:name="dmeeting" w:colFirst="0" w:colLast="0"/>
            <w:bookmarkEnd w:id="3"/>
            <w:r w:rsidRPr="0092731E">
              <w:rPr>
                <w:sz w:val="24"/>
                <w:szCs w:val="28"/>
              </w:rPr>
              <w:t>PLENARY MEETING</w:t>
            </w:r>
          </w:p>
        </w:tc>
        <w:tc>
          <w:tcPr>
            <w:tcW w:w="3120" w:type="dxa"/>
          </w:tcPr>
          <w:p w:rsidR="008263C6" w:rsidRPr="00D96B4B" w:rsidRDefault="008263C6" w:rsidP="004450EC">
            <w:pPr>
              <w:tabs>
                <w:tab w:val="left" w:pos="851"/>
              </w:tabs>
              <w:spacing w:before="0" w:line="240" w:lineRule="atLeast"/>
              <w:rPr>
                <w:rFonts w:cstheme="minorHAnsi"/>
                <w:szCs w:val="24"/>
              </w:rPr>
            </w:pPr>
            <w:r>
              <w:rPr>
                <w:rFonts w:cstheme="minorHAnsi"/>
                <w:b/>
                <w:szCs w:val="24"/>
              </w:rPr>
              <w:t xml:space="preserve">Document </w:t>
            </w:r>
            <w:r w:rsidR="004450EC">
              <w:rPr>
                <w:rFonts w:cstheme="minorHAnsi"/>
                <w:b/>
                <w:szCs w:val="24"/>
              </w:rPr>
              <w:t>55</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6" w:name="ddate" w:colFirst="1" w:colLast="1"/>
            <w:bookmarkStart w:id="7" w:name="dblank" w:colFirst="0" w:colLast="0"/>
            <w:bookmarkEnd w:id="4"/>
            <w:bookmarkEnd w:id="5"/>
          </w:p>
        </w:tc>
        <w:tc>
          <w:tcPr>
            <w:tcW w:w="3120" w:type="dxa"/>
          </w:tcPr>
          <w:p w:rsidR="008263C6" w:rsidRPr="00D96B4B" w:rsidRDefault="004450EC" w:rsidP="008263C6">
            <w:pPr>
              <w:spacing w:before="0" w:line="240" w:lineRule="atLeast"/>
              <w:rPr>
                <w:rFonts w:cstheme="minorHAnsi"/>
                <w:szCs w:val="24"/>
              </w:rPr>
            </w:pPr>
            <w:r>
              <w:rPr>
                <w:rFonts w:cstheme="minorHAnsi"/>
                <w:b/>
                <w:szCs w:val="24"/>
              </w:rPr>
              <w:t>30 June</w:t>
            </w:r>
            <w:r w:rsidR="008263C6" w:rsidRPr="00D96B4B">
              <w:rPr>
                <w:rFonts w:cstheme="minorHAnsi"/>
                <w:b/>
                <w:szCs w:val="24"/>
              </w:rPr>
              <w:t xml:space="preserve"> 201</w:t>
            </w:r>
            <w:r w:rsidR="008D65A4">
              <w:rPr>
                <w:rFonts w:cstheme="minorHAnsi"/>
                <w:b/>
                <w:szCs w:val="24"/>
              </w:rPr>
              <w:t>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6154F5" w:rsidRPr="00C324A8" w:rsidTr="006A046E">
        <w:trPr>
          <w:cantSplit/>
          <w:trHeight w:val="23"/>
        </w:trPr>
        <w:tc>
          <w:tcPr>
            <w:tcW w:w="10031" w:type="dxa"/>
            <w:gridSpan w:val="2"/>
            <w:shd w:val="clear" w:color="auto" w:fill="auto"/>
          </w:tcPr>
          <w:p w:rsidR="006154F5" w:rsidRDefault="006154F5" w:rsidP="0092731E">
            <w:pPr>
              <w:pStyle w:val="Source"/>
              <w:spacing w:before="480"/>
            </w:pPr>
            <w:r>
              <w:t>Report by the Secretary-General</w:t>
            </w:r>
          </w:p>
        </w:tc>
      </w:tr>
      <w:tr w:rsidR="006154F5" w:rsidRPr="00C324A8" w:rsidTr="006A046E">
        <w:trPr>
          <w:cantSplit/>
          <w:trHeight w:val="23"/>
        </w:trPr>
        <w:tc>
          <w:tcPr>
            <w:tcW w:w="10031" w:type="dxa"/>
            <w:gridSpan w:val="2"/>
            <w:shd w:val="clear" w:color="auto" w:fill="auto"/>
          </w:tcPr>
          <w:p w:rsidR="006154F5" w:rsidRDefault="006154F5" w:rsidP="006154F5">
            <w:pPr>
              <w:pStyle w:val="Title1"/>
            </w:pPr>
            <w:bookmarkStart w:id="10" w:name="OLE_LINK1"/>
            <w:bookmarkStart w:id="11" w:name="OLE_LINK2"/>
            <w:r>
              <w:rPr>
                <w:lang w:eastAsia="zh-CN"/>
              </w:rPr>
              <w:t>ITU experience with remote participation and proposed action plan - Resolution 167 (Guadalajara, 2010)</w:t>
            </w:r>
            <w:bookmarkEnd w:id="10"/>
            <w:bookmarkEnd w:id="11"/>
          </w:p>
        </w:tc>
      </w:tr>
      <w:tr w:rsidR="008263C6" w:rsidRPr="00C324A8" w:rsidTr="006A046E">
        <w:trPr>
          <w:cantSplit/>
          <w:trHeight w:val="23"/>
        </w:trPr>
        <w:tc>
          <w:tcPr>
            <w:tcW w:w="10031" w:type="dxa"/>
            <w:gridSpan w:val="2"/>
            <w:shd w:val="clear" w:color="auto" w:fill="auto"/>
          </w:tcPr>
          <w:p w:rsidR="008263C6" w:rsidRPr="009238C4" w:rsidRDefault="008263C6" w:rsidP="0092731E">
            <w:pPr>
              <w:pStyle w:val="Agendaitem"/>
              <w:spacing w:before="0" w:after="0" w:line="240" w:lineRule="auto"/>
              <w:rPr>
                <w:lang w:val="en-US"/>
              </w:rPr>
            </w:pPr>
          </w:p>
        </w:tc>
      </w:tr>
      <w:bookmarkEnd w:id="8"/>
      <w:bookmarkEnd w:id="9"/>
    </w:tbl>
    <w:p w:rsidR="0092731E" w:rsidRDefault="0092731E" w:rsidP="00D222CE">
      <w:pPr>
        <w:pStyle w:val="Headingb"/>
      </w:pPr>
    </w:p>
    <w:tbl>
      <w:tblPr>
        <w:tblStyle w:val="TableGrid"/>
        <w:tblW w:w="10065" w:type="dxa"/>
        <w:tblInd w:w="-34" w:type="dxa"/>
        <w:tblLook w:val="04A0" w:firstRow="1" w:lastRow="0" w:firstColumn="1" w:lastColumn="0" w:noHBand="0" w:noVBand="1"/>
      </w:tblPr>
      <w:tblGrid>
        <w:gridCol w:w="10065"/>
      </w:tblGrid>
      <w:tr w:rsidR="0092731E" w:rsidTr="0092731E">
        <w:tc>
          <w:tcPr>
            <w:tcW w:w="10065" w:type="dxa"/>
          </w:tcPr>
          <w:p w:rsidR="0092731E" w:rsidRDefault="0092731E" w:rsidP="0092731E">
            <w:pPr>
              <w:pStyle w:val="Headingb"/>
            </w:pPr>
            <w:r w:rsidRPr="00A62D21">
              <w:t>Summary</w:t>
            </w:r>
          </w:p>
          <w:p w:rsidR="0092731E" w:rsidRPr="00DD0D80" w:rsidRDefault="0092731E" w:rsidP="0092731E">
            <w:r w:rsidRPr="00A62D21">
              <w:rPr>
                <w:lang w:val="en-US"/>
              </w:rPr>
              <w:t>The Plenipotentiary Conference of the International Telecommunication Union, in Resolution</w:t>
            </w:r>
            <w:r>
              <w:rPr>
                <w:lang w:val="en-US"/>
              </w:rPr>
              <w:t> </w:t>
            </w:r>
            <w:r w:rsidRPr="00A62D21">
              <w:rPr>
                <w:lang w:val="en-US"/>
              </w:rPr>
              <w:t>167 (Guadalajara, 2010), “instructs the Secretary-General, in consultatio</w:t>
            </w:r>
            <w:r>
              <w:rPr>
                <w:lang w:val="en-US"/>
              </w:rPr>
              <w:t>n and collaboration with the </w:t>
            </w:r>
            <w:r w:rsidRPr="00A62D21">
              <w:rPr>
                <w:lang w:val="en-US"/>
              </w:rPr>
              <w:t xml:space="preserve">Directors of the </w:t>
            </w:r>
            <w:proofErr w:type="spellStart"/>
            <w:r w:rsidRPr="00A62D21">
              <w:rPr>
                <w:lang w:val="en-US"/>
              </w:rPr>
              <w:t>Bureaux</w:t>
            </w:r>
            <w:proofErr w:type="spellEnd"/>
            <w:r w:rsidRPr="00A62D21">
              <w:rPr>
                <w:lang w:val="en-US"/>
              </w:rPr>
              <w:t xml:space="preserve"> to develop an action plan, to be considered by the Council at its 2011</w:t>
            </w:r>
            <w:r>
              <w:rPr>
                <w:lang w:val="en-US"/>
              </w:rPr>
              <w:t> </w:t>
            </w:r>
            <w:r w:rsidRPr="00A62D21">
              <w:rPr>
                <w:lang w:val="en-US"/>
              </w:rPr>
              <w:t xml:space="preserve">session, for electronic participation in its working groups and </w:t>
            </w:r>
            <w:r>
              <w:rPr>
                <w:lang w:val="en-US"/>
              </w:rPr>
              <w:t>related meetings that report to </w:t>
            </w:r>
            <w:r w:rsidRPr="00A62D21">
              <w:rPr>
                <w:lang w:val="en-US"/>
              </w:rPr>
              <w:t xml:space="preserve">the Council, including the use of tools such as videoconferencing; to build upon trials for electronic meetings, in collaboration with the Directors of the </w:t>
            </w:r>
            <w:proofErr w:type="spellStart"/>
            <w:r w:rsidRPr="00A62D21">
              <w:rPr>
                <w:lang w:val="en-US"/>
              </w:rPr>
              <w:t>Bureaux</w:t>
            </w:r>
            <w:proofErr w:type="spellEnd"/>
            <w:r w:rsidRPr="00A62D21">
              <w:rPr>
                <w:lang w:val="en-US"/>
              </w:rPr>
              <w:t>, such that their subsequent implementation is technologically neutral, to the greatest extent possible, and cost effective, in order to allow broad participation satisfying the necessary security requirements ...”.</w:t>
            </w:r>
          </w:p>
          <w:p w:rsidR="0092731E" w:rsidRPr="00A62D21" w:rsidRDefault="0092731E" w:rsidP="0092731E">
            <w:r w:rsidRPr="00A62D21">
              <w:t>Coun</w:t>
            </w:r>
            <w:r>
              <w:t>cil 2014</w:t>
            </w:r>
            <w:r w:rsidRPr="00A62D21">
              <w:t xml:space="preserve"> agreed that, with respect to “Strengthening ITU capabilities for electronic meetings and means to advance the work of the Union”: </w:t>
            </w:r>
          </w:p>
          <w:p w:rsidR="0092731E" w:rsidRPr="006F1BB4" w:rsidRDefault="0092731E" w:rsidP="0092731E">
            <w:pPr>
              <w:pStyle w:val="enumlev1"/>
            </w:pPr>
            <w:r>
              <w:t>1</w:t>
            </w:r>
            <w:r>
              <w:tab/>
            </w:r>
            <w:r w:rsidRPr="006F1BB4">
              <w:t xml:space="preserve">The remote participation pilot phase should continue by improving and increasing the remote participation services; and </w:t>
            </w:r>
          </w:p>
          <w:p w:rsidR="0092731E" w:rsidRPr="006F1BB4" w:rsidRDefault="0092731E" w:rsidP="0092731E">
            <w:pPr>
              <w:pStyle w:val="enumlev1"/>
              <w:rPr>
                <w:b/>
                <w:bCs/>
              </w:rPr>
            </w:pPr>
            <w:r>
              <w:t>2</w:t>
            </w:r>
            <w:r>
              <w:tab/>
            </w:r>
            <w:r w:rsidRPr="006F1BB4">
              <w:t xml:space="preserve">A </w:t>
            </w:r>
            <w:r w:rsidRPr="002B3AE3">
              <w:t xml:space="preserve">detailed report on </w:t>
            </w:r>
            <w:r>
              <w:t xml:space="preserve">the </w:t>
            </w:r>
            <w:r w:rsidRPr="002B3AE3">
              <w:t xml:space="preserve">legal, technical and financial challenges be prepared and presented to PP-14, including how to address the concerns of people with special needs or disabilities, and the issues related to the equal use of languages. </w:t>
            </w:r>
          </w:p>
          <w:p w:rsidR="0092731E" w:rsidRPr="006F1BB4" w:rsidRDefault="0092731E" w:rsidP="0092731E">
            <w:pPr>
              <w:pStyle w:val="Headingb"/>
            </w:pPr>
            <w:r w:rsidRPr="006F1BB4">
              <w:t>Action required</w:t>
            </w:r>
          </w:p>
          <w:p w:rsidR="0092731E" w:rsidRDefault="0092731E" w:rsidP="0092731E">
            <w:r w:rsidRPr="00A62D21">
              <w:t xml:space="preserve">The </w:t>
            </w:r>
            <w:r>
              <w:t>Plenipotentiary</w:t>
            </w:r>
            <w:r w:rsidRPr="00A62D21">
              <w:t xml:space="preserve"> is </w:t>
            </w:r>
            <w:r>
              <w:t>invited</w:t>
            </w:r>
            <w:r w:rsidRPr="00A62D21">
              <w:t xml:space="preserve"> to </w:t>
            </w:r>
            <w:r>
              <w:t xml:space="preserve">consider this report and </w:t>
            </w:r>
            <w:r w:rsidRPr="00F75DC6">
              <w:t xml:space="preserve">decide on the direction for the future, considering the procedural changes that would be required for remote participation to be institutionalized. </w:t>
            </w:r>
          </w:p>
          <w:p w:rsidR="0092731E" w:rsidRPr="006F1BB4" w:rsidRDefault="0092731E" w:rsidP="0092731E">
            <w:pPr>
              <w:pStyle w:val="Headingb"/>
            </w:pPr>
            <w:r>
              <w:t>References</w:t>
            </w:r>
          </w:p>
          <w:p w:rsidR="0092731E" w:rsidRDefault="000D2E0A" w:rsidP="0092731E">
            <w:pPr>
              <w:spacing w:after="120"/>
            </w:pPr>
            <w:hyperlink r:id="rId10" w:anchor="res167" w:history="1">
              <w:r w:rsidR="0092731E" w:rsidRPr="006F1BB4">
                <w:rPr>
                  <w:rStyle w:val="Hyperlink"/>
                  <w:rFonts w:asciiTheme="minorHAnsi" w:hAnsiTheme="minorHAnsi" w:cstheme="minorHAnsi"/>
                  <w:bCs/>
                  <w:iCs/>
                  <w:szCs w:val="24"/>
                </w:rPr>
                <w:t>Resolution 167 (Guadalajara, 2010)</w:t>
              </w:r>
            </w:hyperlink>
            <w:r w:rsidR="0092731E" w:rsidRPr="006F1BB4">
              <w:rPr>
                <w:rStyle w:val="Hyperlink"/>
                <w:rFonts w:asciiTheme="minorHAnsi" w:hAnsiTheme="minorHAnsi" w:cstheme="minorHAnsi"/>
                <w:bCs/>
                <w:iCs/>
                <w:szCs w:val="24"/>
              </w:rPr>
              <w:t xml:space="preserve">; </w:t>
            </w:r>
            <w:r w:rsidR="0092731E" w:rsidRPr="006F1BB4">
              <w:rPr>
                <w:rFonts w:asciiTheme="minorHAnsi" w:hAnsiTheme="minorHAnsi" w:cstheme="minorHAnsi"/>
                <w:bCs/>
                <w:szCs w:val="24"/>
              </w:rPr>
              <w:t xml:space="preserve">Council Documents </w:t>
            </w:r>
            <w:hyperlink r:id="rId11" w:history="1">
              <w:r w:rsidR="0092731E" w:rsidRPr="006F1BB4">
                <w:rPr>
                  <w:rStyle w:val="Hyperlink"/>
                  <w:rFonts w:asciiTheme="minorHAnsi" w:hAnsiTheme="minorHAnsi" w:cstheme="minorHAnsi"/>
                  <w:bCs/>
                  <w:szCs w:val="24"/>
                </w:rPr>
                <w:t>C11/37(Rev.1)</w:t>
              </w:r>
            </w:hyperlink>
            <w:r w:rsidR="0092731E" w:rsidRPr="006F1BB4">
              <w:rPr>
                <w:rFonts w:asciiTheme="minorHAnsi" w:hAnsiTheme="minorHAnsi" w:cstheme="minorHAnsi"/>
                <w:bCs/>
                <w:szCs w:val="24"/>
              </w:rPr>
              <w:t>,</w:t>
            </w:r>
            <w:r w:rsidR="0092731E" w:rsidRPr="006F1BB4">
              <w:rPr>
                <w:rStyle w:val="Hyperlink"/>
                <w:rFonts w:asciiTheme="minorHAnsi" w:hAnsiTheme="minorHAnsi" w:cstheme="minorHAnsi"/>
                <w:bCs/>
                <w:szCs w:val="24"/>
              </w:rPr>
              <w:t xml:space="preserve"> </w:t>
            </w:r>
            <w:hyperlink r:id="rId12" w:history="1">
              <w:r w:rsidR="0092731E" w:rsidRPr="006F1BB4">
                <w:rPr>
                  <w:rStyle w:val="Hyperlink"/>
                  <w:rFonts w:asciiTheme="minorHAnsi" w:hAnsiTheme="minorHAnsi" w:cstheme="minorHAnsi"/>
                  <w:bCs/>
                  <w:szCs w:val="24"/>
                </w:rPr>
                <w:t>C12/21(Rev.1)</w:t>
              </w:r>
            </w:hyperlink>
            <w:r w:rsidR="0092731E" w:rsidRPr="0092731E">
              <w:rPr>
                <w:rStyle w:val="Hyperlink"/>
                <w:rFonts w:asciiTheme="minorHAnsi" w:hAnsiTheme="minorHAnsi" w:cstheme="minorHAnsi"/>
                <w:bCs/>
                <w:szCs w:val="24"/>
                <w:u w:val="none"/>
              </w:rPr>
              <w:t xml:space="preserve">, </w:t>
            </w:r>
            <w:hyperlink r:id="rId13" w:history="1">
              <w:r w:rsidR="0092731E" w:rsidRPr="006F1BB4">
                <w:rPr>
                  <w:rStyle w:val="Hyperlink"/>
                  <w:rFonts w:asciiTheme="minorHAnsi" w:hAnsiTheme="minorHAnsi" w:cstheme="minorHAnsi"/>
                  <w:bCs/>
                  <w:szCs w:val="24"/>
                </w:rPr>
                <w:t>C13/INF/8</w:t>
              </w:r>
            </w:hyperlink>
            <w:r w:rsidR="0092731E" w:rsidRPr="006F1BB4">
              <w:rPr>
                <w:rStyle w:val="Hyperlink"/>
                <w:rFonts w:asciiTheme="minorHAnsi" w:hAnsiTheme="minorHAnsi" w:cstheme="minorHAnsi"/>
                <w:bCs/>
                <w:color w:val="auto"/>
                <w:szCs w:val="24"/>
                <w:u w:val="none"/>
              </w:rPr>
              <w:t xml:space="preserve">, </w:t>
            </w:r>
            <w:hyperlink r:id="rId14" w:history="1">
              <w:r w:rsidR="0092731E" w:rsidRPr="006F1BB4">
                <w:rPr>
                  <w:rStyle w:val="Hyperlink"/>
                  <w:rFonts w:asciiTheme="minorHAnsi" w:hAnsiTheme="minorHAnsi" w:cstheme="minorHAnsi"/>
                  <w:bCs/>
                  <w:szCs w:val="24"/>
                </w:rPr>
                <w:t>C13/20(Rev.1)</w:t>
              </w:r>
            </w:hyperlink>
            <w:r w:rsidR="0092731E">
              <w:rPr>
                <w:rStyle w:val="Hyperlink"/>
                <w:rFonts w:asciiTheme="minorHAnsi" w:hAnsiTheme="minorHAnsi" w:cstheme="minorHAnsi"/>
                <w:bCs/>
                <w:szCs w:val="24"/>
              </w:rPr>
              <w:t>,</w:t>
            </w:r>
            <w:r w:rsidR="0092731E" w:rsidRPr="006F1BB4">
              <w:rPr>
                <w:rStyle w:val="Hyperlink"/>
                <w:rFonts w:asciiTheme="minorHAnsi" w:hAnsiTheme="minorHAnsi" w:cstheme="minorHAnsi"/>
                <w:bCs/>
                <w:color w:val="auto"/>
                <w:szCs w:val="24"/>
                <w:u w:val="none"/>
              </w:rPr>
              <w:t xml:space="preserve"> and </w:t>
            </w:r>
            <w:hyperlink r:id="rId15" w:history="1">
              <w:r w:rsidR="0092731E" w:rsidRPr="006F1BB4">
                <w:rPr>
                  <w:rStyle w:val="Hyperlink"/>
                  <w:rFonts w:asciiTheme="minorHAnsi" w:hAnsiTheme="minorHAnsi" w:cstheme="minorHAnsi"/>
                  <w:bCs/>
                  <w:szCs w:val="24"/>
                </w:rPr>
                <w:t>C14/</w:t>
              </w:r>
            </w:hyperlink>
            <w:r w:rsidR="0092731E" w:rsidRPr="006F1BB4">
              <w:rPr>
                <w:rStyle w:val="Hyperlink"/>
                <w:rFonts w:asciiTheme="minorHAnsi" w:hAnsiTheme="minorHAnsi" w:cstheme="minorHAnsi"/>
                <w:bCs/>
                <w:szCs w:val="24"/>
              </w:rPr>
              <w:t>20</w:t>
            </w:r>
            <w:r w:rsidR="0092731E">
              <w:rPr>
                <w:rStyle w:val="Hyperlink"/>
                <w:rFonts w:asciiTheme="minorHAnsi" w:hAnsiTheme="minorHAnsi" w:cstheme="minorHAnsi"/>
                <w:bCs/>
                <w:szCs w:val="24"/>
              </w:rPr>
              <w:t>.</w:t>
            </w:r>
          </w:p>
        </w:tc>
      </w:tr>
    </w:tbl>
    <w:p w:rsidR="006154F5" w:rsidRDefault="006154F5" w:rsidP="006154F5">
      <w:pPr>
        <w:tabs>
          <w:tab w:val="clear" w:pos="567"/>
          <w:tab w:val="clear" w:pos="1134"/>
          <w:tab w:val="clear" w:pos="1701"/>
          <w:tab w:val="clear" w:pos="2268"/>
          <w:tab w:val="clear" w:pos="2835"/>
        </w:tabs>
        <w:overflowPunct/>
        <w:autoSpaceDE/>
        <w:autoSpaceDN/>
        <w:adjustRightInd/>
        <w:spacing w:before="0"/>
        <w:textAlignment w:val="auto"/>
      </w:pPr>
      <w:r>
        <w:br w:type="page"/>
      </w:r>
    </w:p>
    <w:p w:rsidR="006154F5" w:rsidRPr="00E96A74" w:rsidRDefault="006154F5" w:rsidP="00D222CE">
      <w:pPr>
        <w:pStyle w:val="Headingb"/>
      </w:pPr>
      <w:r w:rsidRPr="00E96A74">
        <w:lastRenderedPageBreak/>
        <w:t>Background</w:t>
      </w:r>
    </w:p>
    <w:p w:rsidR="006154F5" w:rsidRPr="00E96A74" w:rsidRDefault="006154F5" w:rsidP="006154F5">
      <w:pPr>
        <w:pStyle w:val="ListParagraph"/>
        <w:numPr>
          <w:ilvl w:val="0"/>
          <w:numId w:val="1"/>
        </w:numPr>
        <w:tabs>
          <w:tab w:val="clear" w:pos="567"/>
          <w:tab w:val="clear" w:pos="1134"/>
          <w:tab w:val="clear" w:pos="1701"/>
          <w:tab w:val="clear" w:pos="2268"/>
          <w:tab w:val="clear" w:pos="2835"/>
        </w:tabs>
        <w:snapToGrid w:val="0"/>
        <w:ind w:left="0" w:firstLine="0"/>
        <w:contextualSpacing w:val="0"/>
        <w:rPr>
          <w:rFonts w:asciiTheme="minorHAnsi" w:hAnsiTheme="minorHAnsi" w:cstheme="minorHAnsi"/>
          <w:szCs w:val="24"/>
          <w:lang w:eastAsia="zh-CN"/>
        </w:rPr>
      </w:pPr>
      <w:r w:rsidRPr="00E96A74">
        <w:rPr>
          <w:rFonts w:asciiTheme="minorHAnsi" w:hAnsiTheme="minorHAnsi" w:cstheme="minorHAnsi"/>
          <w:szCs w:val="24"/>
          <w:lang w:eastAsia="zh-CN"/>
        </w:rPr>
        <w:t>Resolution 167 (Guadalajara, 2010) instructs the Secretary-General, with the involvement of the advisory groups of the three Sectors, to further expand the electronic working methods to include remote/electronic participation. Electronic participation should be extended to ITU working groups as well as the meetings that report to the Council.</w:t>
      </w:r>
    </w:p>
    <w:p w:rsidR="006154F5" w:rsidRPr="007B3AD1" w:rsidRDefault="006154F5" w:rsidP="006154F5">
      <w:pPr>
        <w:pStyle w:val="ListParagraph"/>
        <w:numPr>
          <w:ilvl w:val="0"/>
          <w:numId w:val="1"/>
        </w:numPr>
        <w:tabs>
          <w:tab w:val="clear" w:pos="567"/>
          <w:tab w:val="clear" w:pos="1134"/>
          <w:tab w:val="clear" w:pos="1701"/>
          <w:tab w:val="clear" w:pos="2268"/>
          <w:tab w:val="clear" w:pos="2835"/>
        </w:tabs>
        <w:snapToGrid w:val="0"/>
        <w:ind w:left="0" w:firstLine="0"/>
        <w:contextualSpacing w:val="0"/>
        <w:rPr>
          <w:rFonts w:asciiTheme="minorHAnsi" w:hAnsiTheme="minorHAnsi" w:cstheme="minorHAnsi"/>
          <w:szCs w:val="24"/>
          <w:lang w:eastAsia="zh-CN"/>
        </w:rPr>
      </w:pPr>
      <w:r w:rsidRPr="00E96A74">
        <w:rPr>
          <w:rFonts w:asciiTheme="minorHAnsi" w:hAnsiTheme="minorHAnsi" w:cstheme="minorHAnsi"/>
          <w:szCs w:val="24"/>
          <w:lang w:eastAsia="zh-CN"/>
        </w:rPr>
        <w:t xml:space="preserve">The piloting of remote participation as a service in ITU is now </w:t>
      </w:r>
      <w:r>
        <w:rPr>
          <w:rFonts w:asciiTheme="minorHAnsi" w:hAnsiTheme="minorHAnsi" w:cstheme="minorHAnsi"/>
          <w:szCs w:val="24"/>
          <w:lang w:eastAsia="zh-CN"/>
        </w:rPr>
        <w:t>in</w:t>
      </w:r>
      <w:r w:rsidRPr="00E96A74">
        <w:rPr>
          <w:rFonts w:asciiTheme="minorHAnsi" w:hAnsiTheme="minorHAnsi" w:cstheme="minorHAnsi"/>
          <w:szCs w:val="24"/>
          <w:lang w:eastAsia="zh-CN"/>
        </w:rPr>
        <w:t xml:space="preserve"> its fourth year</w:t>
      </w:r>
      <w:r>
        <w:rPr>
          <w:rFonts w:asciiTheme="minorHAnsi" w:hAnsiTheme="minorHAnsi" w:cstheme="minorHAnsi"/>
          <w:szCs w:val="24"/>
          <w:lang w:eastAsia="zh-CN"/>
        </w:rPr>
        <w:t>.</w:t>
      </w:r>
      <w:r w:rsidR="008D65A4">
        <w:rPr>
          <w:rFonts w:asciiTheme="minorHAnsi" w:hAnsiTheme="minorHAnsi" w:cstheme="minorHAnsi"/>
          <w:szCs w:val="24"/>
          <w:lang w:eastAsia="zh-CN"/>
        </w:rPr>
        <w:t xml:space="preserve"> </w:t>
      </w:r>
      <w:r>
        <w:rPr>
          <w:rFonts w:asciiTheme="minorHAnsi" w:hAnsiTheme="minorHAnsi" w:cstheme="minorHAnsi"/>
          <w:szCs w:val="24"/>
          <w:lang w:eastAsia="zh-CN"/>
        </w:rPr>
        <w:t>F</w:t>
      </w:r>
      <w:r>
        <w:rPr>
          <w:szCs w:val="24"/>
        </w:rPr>
        <w:t xml:space="preserve">our reports have been provided to </w:t>
      </w:r>
      <w:r w:rsidR="0092731E">
        <w:rPr>
          <w:szCs w:val="24"/>
        </w:rPr>
        <w:t xml:space="preserve">the </w:t>
      </w:r>
      <w:r>
        <w:rPr>
          <w:szCs w:val="24"/>
        </w:rPr>
        <w:t xml:space="preserve">Council showing the evolution and the challenges encountered in the implementation. </w:t>
      </w:r>
    </w:p>
    <w:p w:rsidR="006154F5" w:rsidRPr="001F0CB5" w:rsidRDefault="006154F5" w:rsidP="0092731E">
      <w:pPr>
        <w:pStyle w:val="ListParagraph"/>
        <w:numPr>
          <w:ilvl w:val="0"/>
          <w:numId w:val="1"/>
        </w:numPr>
        <w:tabs>
          <w:tab w:val="clear" w:pos="567"/>
          <w:tab w:val="clear" w:pos="1134"/>
          <w:tab w:val="clear" w:pos="1701"/>
          <w:tab w:val="clear" w:pos="2268"/>
          <w:tab w:val="clear" w:pos="2835"/>
        </w:tabs>
        <w:snapToGrid w:val="0"/>
        <w:ind w:left="0" w:firstLine="0"/>
        <w:contextualSpacing w:val="0"/>
        <w:rPr>
          <w:rFonts w:asciiTheme="minorHAnsi" w:hAnsiTheme="minorHAnsi" w:cstheme="minorHAnsi"/>
          <w:szCs w:val="24"/>
          <w:lang w:eastAsia="zh-CN"/>
        </w:rPr>
      </w:pPr>
      <w:r>
        <w:rPr>
          <w:szCs w:val="24"/>
        </w:rPr>
        <w:t>Remote participation has been provided in over 1</w:t>
      </w:r>
      <w:r w:rsidR="0092731E">
        <w:rPr>
          <w:szCs w:val="24"/>
        </w:rPr>
        <w:t>,</w:t>
      </w:r>
      <w:r>
        <w:rPr>
          <w:szCs w:val="24"/>
        </w:rPr>
        <w:t>300 meeting sessions, with more than 10</w:t>
      </w:r>
      <w:r w:rsidR="00D222CE">
        <w:rPr>
          <w:szCs w:val="24"/>
        </w:rPr>
        <w:t> </w:t>
      </w:r>
      <w:r>
        <w:rPr>
          <w:szCs w:val="24"/>
        </w:rPr>
        <w:t xml:space="preserve">000 remote participants, over the last </w:t>
      </w:r>
      <w:r w:rsidR="008D65A4">
        <w:rPr>
          <w:szCs w:val="24"/>
        </w:rPr>
        <w:t>four</w:t>
      </w:r>
      <w:r>
        <w:rPr>
          <w:szCs w:val="24"/>
        </w:rPr>
        <w:t xml:space="preserve"> years.</w:t>
      </w:r>
    </w:p>
    <w:p w:rsidR="006154F5" w:rsidRPr="00DE4F0C" w:rsidRDefault="006154F5" w:rsidP="006154F5">
      <w:pPr>
        <w:pStyle w:val="ListParagraph"/>
        <w:numPr>
          <w:ilvl w:val="0"/>
          <w:numId w:val="1"/>
        </w:numPr>
        <w:tabs>
          <w:tab w:val="clear" w:pos="567"/>
          <w:tab w:val="clear" w:pos="1134"/>
          <w:tab w:val="clear" w:pos="1701"/>
          <w:tab w:val="clear" w:pos="2268"/>
          <w:tab w:val="clear" w:pos="2835"/>
        </w:tabs>
        <w:snapToGrid w:val="0"/>
        <w:ind w:left="0" w:firstLine="0"/>
        <w:contextualSpacing w:val="0"/>
        <w:rPr>
          <w:rFonts w:asciiTheme="minorHAnsi" w:hAnsiTheme="minorHAnsi" w:cstheme="minorHAnsi"/>
          <w:szCs w:val="24"/>
          <w:lang w:eastAsia="zh-CN"/>
        </w:rPr>
      </w:pPr>
      <w:r>
        <w:rPr>
          <w:szCs w:val="24"/>
        </w:rPr>
        <w:t xml:space="preserve">Details on usage by the various Bureaux and by developed/developing countries were published in the last report to </w:t>
      </w:r>
      <w:r w:rsidR="0092731E">
        <w:rPr>
          <w:szCs w:val="24"/>
        </w:rPr>
        <w:t xml:space="preserve">the </w:t>
      </w:r>
      <w:r>
        <w:rPr>
          <w:szCs w:val="24"/>
        </w:rPr>
        <w:t>Council</w:t>
      </w:r>
      <w:r>
        <w:rPr>
          <w:rStyle w:val="FootnoteReference"/>
          <w:szCs w:val="24"/>
        </w:rPr>
        <w:footnoteReference w:id="1"/>
      </w:r>
      <w:r>
        <w:rPr>
          <w:szCs w:val="24"/>
        </w:rPr>
        <w:t>.</w:t>
      </w:r>
    </w:p>
    <w:p w:rsidR="006154F5" w:rsidRPr="00693E23" w:rsidRDefault="006154F5" w:rsidP="006154F5">
      <w:pPr>
        <w:pStyle w:val="ListParagraph"/>
        <w:numPr>
          <w:ilvl w:val="0"/>
          <w:numId w:val="1"/>
        </w:numPr>
        <w:tabs>
          <w:tab w:val="clear" w:pos="567"/>
          <w:tab w:val="clear" w:pos="1134"/>
          <w:tab w:val="clear" w:pos="1701"/>
          <w:tab w:val="clear" w:pos="2268"/>
          <w:tab w:val="clear" w:pos="2835"/>
        </w:tabs>
        <w:snapToGrid w:val="0"/>
        <w:ind w:left="0" w:firstLine="0"/>
        <w:contextualSpacing w:val="0"/>
        <w:rPr>
          <w:szCs w:val="24"/>
        </w:rPr>
      </w:pPr>
      <w:r>
        <w:rPr>
          <w:szCs w:val="24"/>
        </w:rPr>
        <w:t xml:space="preserve">The </w:t>
      </w:r>
      <w:r w:rsidRPr="00693E23">
        <w:rPr>
          <w:szCs w:val="24"/>
        </w:rPr>
        <w:t xml:space="preserve">WTDC-14 Draft Final Report requested </w:t>
      </w:r>
      <w:r>
        <w:rPr>
          <w:szCs w:val="24"/>
        </w:rPr>
        <w:t>“T</w:t>
      </w:r>
      <w:r w:rsidRPr="007B3AD1">
        <w:rPr>
          <w:szCs w:val="24"/>
        </w:rPr>
        <w: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special</w:t>
      </w:r>
      <w:r w:rsidRPr="002D492B">
        <w:t xml:space="preserve"> needs, such as persons with disabilities</w:t>
      </w:r>
      <w:r>
        <w:t>”.</w:t>
      </w:r>
    </w:p>
    <w:p w:rsidR="006154F5" w:rsidRDefault="006154F5" w:rsidP="00D222CE">
      <w:pPr>
        <w:pStyle w:val="Headingb"/>
      </w:pPr>
      <w:r>
        <w:t xml:space="preserve">Technical and </w:t>
      </w:r>
      <w:r w:rsidR="008D65A4">
        <w:t xml:space="preserve">legal challenges </w:t>
      </w:r>
    </w:p>
    <w:p w:rsidR="006154F5" w:rsidRDefault="006154F5" w:rsidP="006154F5">
      <w:pPr>
        <w:pStyle w:val="ListParagraph"/>
        <w:numPr>
          <w:ilvl w:val="0"/>
          <w:numId w:val="1"/>
        </w:numPr>
        <w:tabs>
          <w:tab w:val="clear" w:pos="567"/>
          <w:tab w:val="clear" w:pos="1134"/>
          <w:tab w:val="clear" w:pos="1701"/>
          <w:tab w:val="clear" w:pos="2268"/>
          <w:tab w:val="clear" w:pos="2835"/>
        </w:tabs>
        <w:snapToGrid w:val="0"/>
        <w:ind w:left="0" w:firstLine="0"/>
        <w:contextualSpacing w:val="0"/>
        <w:rPr>
          <w:szCs w:val="24"/>
        </w:rPr>
      </w:pPr>
      <w:r w:rsidRPr="007B3AD1">
        <w:rPr>
          <w:szCs w:val="24"/>
        </w:rPr>
        <w:t xml:space="preserve">The following table gives the two major technical issues, the potential consequences and the related legal issues. </w:t>
      </w:r>
    </w:p>
    <w:p w:rsidR="006154F5" w:rsidRPr="007B3AD1" w:rsidRDefault="006154F5" w:rsidP="006154F5">
      <w:pPr>
        <w:pStyle w:val="ListParagraph"/>
        <w:tabs>
          <w:tab w:val="clear" w:pos="567"/>
          <w:tab w:val="clear" w:pos="1134"/>
          <w:tab w:val="clear" w:pos="1701"/>
          <w:tab w:val="clear" w:pos="2268"/>
          <w:tab w:val="clear" w:pos="2835"/>
        </w:tabs>
        <w:snapToGrid w:val="0"/>
        <w:ind w:left="0"/>
        <w:contextualSpacing w:val="0"/>
        <w:jc w:val="center"/>
        <w:rPr>
          <w:b/>
          <w:bCs/>
          <w:szCs w:val="24"/>
        </w:rPr>
      </w:pPr>
      <w:r>
        <w:rPr>
          <w:b/>
          <w:bCs/>
          <w:szCs w:val="24"/>
        </w:rPr>
        <w:t xml:space="preserve">Table 1: </w:t>
      </w:r>
      <w:r w:rsidRPr="007B3AD1">
        <w:rPr>
          <w:b/>
          <w:bCs/>
          <w:szCs w:val="24"/>
        </w:rPr>
        <w:t xml:space="preserve">Technical </w:t>
      </w:r>
      <w:r>
        <w:rPr>
          <w:b/>
          <w:bCs/>
          <w:szCs w:val="24"/>
        </w:rPr>
        <w:t xml:space="preserve">Issues and </w:t>
      </w:r>
      <w:r w:rsidR="00D222CE">
        <w:rPr>
          <w:b/>
          <w:bCs/>
          <w:szCs w:val="24"/>
        </w:rPr>
        <w:t>subsequent</w:t>
      </w:r>
      <w:r w:rsidR="00D222CE" w:rsidRPr="007B3AD1">
        <w:rPr>
          <w:b/>
          <w:bCs/>
          <w:szCs w:val="24"/>
        </w:rPr>
        <w:t xml:space="preserve"> </w:t>
      </w:r>
      <w:r w:rsidR="00D222CE">
        <w:rPr>
          <w:b/>
          <w:bCs/>
          <w:szCs w:val="24"/>
        </w:rPr>
        <w:t>l</w:t>
      </w:r>
      <w:r w:rsidR="00D222CE" w:rsidRPr="007B3AD1">
        <w:rPr>
          <w:b/>
          <w:bCs/>
          <w:szCs w:val="24"/>
        </w:rPr>
        <w:t>egal challenges</w:t>
      </w:r>
    </w:p>
    <w:tbl>
      <w:tblPr>
        <w:tblStyle w:val="TableGrid"/>
        <w:tblW w:w="9781" w:type="dxa"/>
        <w:tblInd w:w="-147" w:type="dxa"/>
        <w:tblLook w:val="04A0" w:firstRow="1" w:lastRow="0" w:firstColumn="1" w:lastColumn="0" w:noHBand="0" w:noVBand="1"/>
      </w:tblPr>
      <w:tblGrid>
        <w:gridCol w:w="9781"/>
      </w:tblGrid>
      <w:tr w:rsidR="006154F5" w:rsidRPr="00C72A9E" w:rsidTr="00E2275D">
        <w:tc>
          <w:tcPr>
            <w:tcW w:w="9781" w:type="dxa"/>
          </w:tcPr>
          <w:p w:rsidR="006154F5" w:rsidRPr="00C72A9E" w:rsidRDefault="006154F5" w:rsidP="00E2275D">
            <w:pPr>
              <w:rPr>
                <w:b/>
                <w:szCs w:val="24"/>
              </w:rPr>
            </w:pPr>
            <w:r w:rsidRPr="00FB1296">
              <w:rPr>
                <w:b/>
                <w:szCs w:val="24"/>
                <w:u w:val="single"/>
              </w:rPr>
              <w:t>Technical Issue 1</w:t>
            </w:r>
            <w:r>
              <w:rPr>
                <w:b/>
                <w:szCs w:val="24"/>
              </w:rPr>
              <w:t>:</w:t>
            </w:r>
            <w:r w:rsidR="008D65A4">
              <w:rPr>
                <w:b/>
                <w:szCs w:val="24"/>
              </w:rPr>
              <w:t xml:space="preserve"> </w:t>
            </w:r>
            <w:r w:rsidRPr="00C72A9E">
              <w:rPr>
                <w:szCs w:val="24"/>
              </w:rPr>
              <w:t>Quality of voice/sound using public infrastructure to connect remote participants (not under ITU control)</w:t>
            </w:r>
            <w:r>
              <w:rPr>
                <w:szCs w:val="24"/>
              </w:rPr>
              <w:t>.</w:t>
            </w:r>
          </w:p>
        </w:tc>
      </w:tr>
      <w:tr w:rsidR="006154F5" w:rsidRPr="00C72A9E" w:rsidTr="00E2275D">
        <w:tc>
          <w:tcPr>
            <w:tcW w:w="9781" w:type="dxa"/>
          </w:tcPr>
          <w:p w:rsidR="006154F5" w:rsidRPr="00C72A9E" w:rsidRDefault="006154F5" w:rsidP="00E2275D">
            <w:pPr>
              <w:rPr>
                <w:b/>
                <w:szCs w:val="24"/>
              </w:rPr>
            </w:pPr>
            <w:r w:rsidRPr="00C72A9E">
              <w:rPr>
                <w:b/>
                <w:szCs w:val="24"/>
              </w:rPr>
              <w:t>Consequences</w:t>
            </w:r>
            <w:r>
              <w:rPr>
                <w:b/>
                <w:szCs w:val="24"/>
              </w:rPr>
              <w:t>:</w:t>
            </w:r>
            <w:r w:rsidR="008D65A4">
              <w:rPr>
                <w:b/>
                <w:szCs w:val="24"/>
              </w:rPr>
              <w:t xml:space="preserve"> </w:t>
            </w:r>
            <w:r w:rsidRPr="00C72A9E">
              <w:rPr>
                <w:szCs w:val="24"/>
              </w:rPr>
              <w:t>No interpretation possible by interpreters of remote interventions</w:t>
            </w:r>
            <w:r>
              <w:rPr>
                <w:szCs w:val="24"/>
              </w:rPr>
              <w:t>.</w:t>
            </w:r>
          </w:p>
        </w:tc>
      </w:tr>
      <w:tr w:rsidR="006154F5" w:rsidRPr="00C72A9E" w:rsidTr="00E2275D">
        <w:tc>
          <w:tcPr>
            <w:tcW w:w="9781" w:type="dxa"/>
          </w:tcPr>
          <w:p w:rsidR="006154F5" w:rsidRPr="00C72A9E" w:rsidRDefault="006154F5" w:rsidP="00E2275D">
            <w:pPr>
              <w:rPr>
                <w:b/>
                <w:szCs w:val="24"/>
              </w:rPr>
            </w:pPr>
            <w:r w:rsidRPr="00C72A9E">
              <w:rPr>
                <w:b/>
                <w:szCs w:val="24"/>
              </w:rPr>
              <w:t>Mitigation options</w:t>
            </w:r>
            <w:r>
              <w:rPr>
                <w:b/>
                <w:szCs w:val="24"/>
              </w:rPr>
              <w:t>:</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C72A9E">
              <w:rPr>
                <w:szCs w:val="24"/>
              </w:rPr>
              <w:t>No interpretation (Floor channel only)</w:t>
            </w:r>
            <w:r>
              <w:rPr>
                <w:szCs w:val="24"/>
              </w:rPr>
              <w:t>.</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C72A9E">
              <w:rPr>
                <w:szCs w:val="24"/>
              </w:rPr>
              <w:t>Postpone the remote intervention (try to improve quality – not under ITU control)</w:t>
            </w:r>
            <w:r>
              <w:rPr>
                <w:szCs w:val="24"/>
              </w:rPr>
              <w:t>.</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C72A9E">
              <w:rPr>
                <w:szCs w:val="24"/>
              </w:rPr>
              <w:t>Cancel the remote intervention</w:t>
            </w:r>
            <w:r>
              <w:rPr>
                <w:szCs w:val="24"/>
              </w:rPr>
              <w:t>.</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b/>
                <w:szCs w:val="24"/>
              </w:rPr>
            </w:pPr>
            <w:r w:rsidRPr="00C72A9E">
              <w:rPr>
                <w:szCs w:val="24"/>
              </w:rPr>
              <w:t>Intervention by Proxy</w:t>
            </w:r>
            <w:r>
              <w:rPr>
                <w:szCs w:val="24"/>
              </w:rPr>
              <w:t>.</w:t>
            </w:r>
            <w:r w:rsidRPr="00C72A9E">
              <w:rPr>
                <w:szCs w:val="24"/>
              </w:rPr>
              <w:t xml:space="preserve"> </w:t>
            </w:r>
          </w:p>
        </w:tc>
      </w:tr>
      <w:tr w:rsidR="006154F5" w:rsidRPr="00C72A9E" w:rsidTr="00E2275D">
        <w:tc>
          <w:tcPr>
            <w:tcW w:w="9781" w:type="dxa"/>
          </w:tcPr>
          <w:p w:rsidR="006154F5" w:rsidRPr="008E0F82" w:rsidRDefault="006154F5" w:rsidP="00E2275D">
            <w:pPr>
              <w:rPr>
                <w:b/>
                <w:szCs w:val="24"/>
              </w:rPr>
            </w:pPr>
            <w:r w:rsidRPr="008E0F82">
              <w:rPr>
                <w:b/>
                <w:szCs w:val="24"/>
              </w:rPr>
              <w:t>Legal issues</w:t>
            </w:r>
            <w:r>
              <w:rPr>
                <w:b/>
                <w:szCs w:val="24"/>
              </w:rPr>
              <w:t>:</w:t>
            </w:r>
          </w:p>
          <w:p w:rsidR="006154F5" w:rsidRPr="008E0F82"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8E0F82">
              <w:rPr>
                <w:szCs w:val="24"/>
              </w:rPr>
              <w:t>Cannot guarantee language requirements for meetings</w:t>
            </w:r>
            <w:r>
              <w:rPr>
                <w:szCs w:val="24"/>
              </w:rPr>
              <w:t>.</w:t>
            </w:r>
          </w:p>
          <w:p w:rsidR="006154F5" w:rsidRPr="008E0F82"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8E0F82">
              <w:rPr>
                <w:szCs w:val="24"/>
              </w:rPr>
              <w:t>Cannot guarantee equal rights of remote and on</w:t>
            </w:r>
            <w:r>
              <w:rPr>
                <w:szCs w:val="24"/>
              </w:rPr>
              <w:t>-</w:t>
            </w:r>
            <w:r w:rsidRPr="008E0F82">
              <w:rPr>
                <w:szCs w:val="24"/>
              </w:rPr>
              <w:t>site participants</w:t>
            </w:r>
            <w:r>
              <w:rPr>
                <w:szCs w:val="24"/>
              </w:rPr>
              <w:t>.</w:t>
            </w:r>
          </w:p>
        </w:tc>
      </w:tr>
      <w:tr w:rsidR="006154F5" w:rsidRPr="00A677CC" w:rsidTr="00E2275D">
        <w:tc>
          <w:tcPr>
            <w:tcW w:w="9781" w:type="dxa"/>
          </w:tcPr>
          <w:p w:rsidR="006154F5" w:rsidRPr="008E0F82" w:rsidRDefault="006154F5" w:rsidP="00E2275D">
            <w:pPr>
              <w:rPr>
                <w:b/>
                <w:szCs w:val="24"/>
              </w:rPr>
            </w:pPr>
            <w:r w:rsidRPr="008E0F82">
              <w:rPr>
                <w:b/>
                <w:szCs w:val="24"/>
              </w:rPr>
              <w:t xml:space="preserve">Modifications to </w:t>
            </w:r>
            <w:r>
              <w:rPr>
                <w:b/>
                <w:szCs w:val="24"/>
              </w:rPr>
              <w:t xml:space="preserve">the </w:t>
            </w:r>
            <w:r w:rsidRPr="008E0F82">
              <w:rPr>
                <w:b/>
                <w:szCs w:val="24"/>
              </w:rPr>
              <w:t>legal framework</w:t>
            </w:r>
            <w:r>
              <w:rPr>
                <w:b/>
                <w:szCs w:val="24"/>
              </w:rPr>
              <w:t>:</w:t>
            </w:r>
          </w:p>
          <w:p w:rsidR="006154F5" w:rsidRPr="007052B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Modify, </w:t>
            </w:r>
            <w:r>
              <w:rPr>
                <w:szCs w:val="24"/>
                <w:lang w:val="en-US"/>
              </w:rPr>
              <w:t>if necessary</w:t>
            </w:r>
            <w:r w:rsidRPr="007052BE">
              <w:rPr>
                <w:szCs w:val="24"/>
                <w:lang w:val="en-US"/>
              </w:rPr>
              <w:t xml:space="preserve">, Article 31 of the Convention (Credentials for </w:t>
            </w:r>
            <w:r>
              <w:rPr>
                <w:szCs w:val="24"/>
                <w:lang w:val="en-US"/>
              </w:rPr>
              <w:t>C</w:t>
            </w:r>
            <w:r w:rsidRPr="007052BE">
              <w:rPr>
                <w:szCs w:val="24"/>
                <w:lang w:val="en-US"/>
              </w:rPr>
              <w:t>onferences) to cover the eventuality of a last-minute technical impediment to remote</w:t>
            </w:r>
            <w:r>
              <w:rPr>
                <w:szCs w:val="24"/>
                <w:lang w:val="en-US"/>
              </w:rPr>
              <w:t xml:space="preserve"> </w:t>
            </w:r>
            <w:r w:rsidRPr="007052BE">
              <w:rPr>
                <w:szCs w:val="24"/>
                <w:lang w:val="en-US"/>
              </w:rPr>
              <w:t xml:space="preserve">participation that </w:t>
            </w:r>
            <w:r>
              <w:rPr>
                <w:szCs w:val="24"/>
                <w:lang w:val="en-US"/>
              </w:rPr>
              <w:t>might</w:t>
            </w:r>
            <w:r w:rsidRPr="007052BE">
              <w:rPr>
                <w:szCs w:val="24"/>
                <w:lang w:val="en-US"/>
              </w:rPr>
              <w:t xml:space="preserve"> require a transfer of</w:t>
            </w:r>
            <w:r>
              <w:rPr>
                <w:szCs w:val="24"/>
                <w:lang w:val="en-US"/>
              </w:rPr>
              <w:t xml:space="preserve"> powers at the very last minute</w:t>
            </w:r>
            <w:r w:rsidRPr="007052BE">
              <w:rPr>
                <w:szCs w:val="24"/>
                <w:lang w:val="en-US"/>
              </w:rPr>
              <w:t>.</w:t>
            </w:r>
          </w:p>
          <w:p w:rsidR="006154F5" w:rsidRPr="007052B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Potential impact on Article 29 of the Constitution</w:t>
            </w:r>
            <w:r>
              <w:rPr>
                <w:szCs w:val="24"/>
                <w:lang w:val="en-US"/>
              </w:rPr>
              <w:t xml:space="preserve"> </w:t>
            </w:r>
            <w:r w:rsidRPr="006011B4">
              <w:rPr>
                <w:szCs w:val="24"/>
                <w:lang w:val="en-US"/>
              </w:rPr>
              <w:t>(Languages)</w:t>
            </w:r>
            <w:r w:rsidRPr="007052BE">
              <w:rPr>
                <w:szCs w:val="24"/>
                <w:lang w:val="en-US"/>
              </w:rPr>
              <w:t>.</w:t>
            </w:r>
          </w:p>
        </w:tc>
      </w:tr>
      <w:tr w:rsidR="006154F5" w:rsidRPr="00C72A9E" w:rsidTr="00E2275D">
        <w:trPr>
          <w:trHeight w:val="1171"/>
        </w:trPr>
        <w:tc>
          <w:tcPr>
            <w:tcW w:w="9781" w:type="dxa"/>
          </w:tcPr>
          <w:p w:rsidR="006154F5" w:rsidRPr="00C72A9E" w:rsidRDefault="006154F5" w:rsidP="00E2275D">
            <w:pPr>
              <w:rPr>
                <w:b/>
                <w:szCs w:val="24"/>
              </w:rPr>
            </w:pPr>
            <w:r w:rsidRPr="00FB1296">
              <w:rPr>
                <w:b/>
                <w:szCs w:val="24"/>
                <w:u w:val="single"/>
              </w:rPr>
              <w:lastRenderedPageBreak/>
              <w:t>Technical Issue 2</w:t>
            </w:r>
            <w:r w:rsidRPr="002D1B83">
              <w:rPr>
                <w:b/>
                <w:szCs w:val="24"/>
              </w:rPr>
              <w:t>:</w:t>
            </w:r>
            <w:r w:rsidR="008D65A4">
              <w:rPr>
                <w:b/>
                <w:szCs w:val="24"/>
              </w:rPr>
              <w:t xml:space="preserve"> </w:t>
            </w:r>
            <w:r w:rsidRPr="00C72A9E">
              <w:rPr>
                <w:szCs w:val="24"/>
              </w:rPr>
              <w:t>Failure of communications</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textAlignment w:val="auto"/>
              <w:rPr>
                <w:szCs w:val="24"/>
              </w:rPr>
            </w:pPr>
            <w:r w:rsidRPr="00C72A9E">
              <w:rPr>
                <w:szCs w:val="24"/>
              </w:rPr>
              <w:t>Technical failure between meeting location and remote participant</w:t>
            </w:r>
            <w:r>
              <w:rPr>
                <w:szCs w:val="24"/>
              </w:rPr>
              <w:t>.</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textAlignment w:val="auto"/>
              <w:rPr>
                <w:szCs w:val="24"/>
              </w:rPr>
            </w:pPr>
            <w:r w:rsidRPr="00C72A9E">
              <w:rPr>
                <w:szCs w:val="24"/>
              </w:rPr>
              <w:t>Deliberate interruption in communication to disturb the proceedings</w:t>
            </w:r>
            <w:r>
              <w:rPr>
                <w:szCs w:val="24"/>
              </w:rPr>
              <w:t>.</w:t>
            </w:r>
            <w:r w:rsidRPr="00C72A9E">
              <w:rPr>
                <w:b/>
                <w:szCs w:val="24"/>
              </w:rPr>
              <w:t xml:space="preserve"> </w:t>
            </w:r>
          </w:p>
        </w:tc>
      </w:tr>
      <w:tr w:rsidR="006154F5" w:rsidRPr="00C72A9E" w:rsidTr="00E2275D">
        <w:tc>
          <w:tcPr>
            <w:tcW w:w="9781" w:type="dxa"/>
          </w:tcPr>
          <w:p w:rsidR="006154F5" w:rsidRPr="00C72A9E" w:rsidRDefault="006154F5" w:rsidP="00E2275D">
            <w:pPr>
              <w:rPr>
                <w:b/>
                <w:szCs w:val="24"/>
              </w:rPr>
            </w:pPr>
            <w:r w:rsidRPr="00C72A9E">
              <w:rPr>
                <w:b/>
                <w:szCs w:val="24"/>
              </w:rPr>
              <w:t>Consequences</w:t>
            </w:r>
            <w:r>
              <w:rPr>
                <w:b/>
                <w:szCs w:val="24"/>
              </w:rPr>
              <w:t>:</w:t>
            </w:r>
            <w:r w:rsidR="008D65A4">
              <w:rPr>
                <w:b/>
                <w:szCs w:val="24"/>
              </w:rPr>
              <w:t xml:space="preserve"> </w:t>
            </w:r>
            <w:r w:rsidRPr="00C72A9E">
              <w:rPr>
                <w:szCs w:val="24"/>
              </w:rPr>
              <w:t xml:space="preserve">No intervention possible by the remote </w:t>
            </w:r>
            <w:r>
              <w:rPr>
                <w:szCs w:val="24"/>
              </w:rPr>
              <w:t>delegate(s).</w:t>
            </w:r>
          </w:p>
        </w:tc>
      </w:tr>
      <w:tr w:rsidR="006154F5" w:rsidRPr="00C72A9E" w:rsidTr="00E2275D">
        <w:tc>
          <w:tcPr>
            <w:tcW w:w="9781" w:type="dxa"/>
          </w:tcPr>
          <w:p w:rsidR="006154F5" w:rsidRPr="00C72A9E" w:rsidRDefault="006154F5" w:rsidP="00E2275D">
            <w:pPr>
              <w:rPr>
                <w:b/>
                <w:szCs w:val="24"/>
              </w:rPr>
            </w:pPr>
            <w:r w:rsidRPr="00C72A9E">
              <w:rPr>
                <w:b/>
                <w:szCs w:val="24"/>
              </w:rPr>
              <w:t>Mitigation options</w:t>
            </w:r>
            <w:r>
              <w:rPr>
                <w:b/>
                <w:szCs w:val="24"/>
              </w:rPr>
              <w:t>:</w:t>
            </w:r>
            <w:r w:rsidR="008D65A4">
              <w:rPr>
                <w:b/>
                <w:szCs w:val="24"/>
              </w:rPr>
              <w:t xml:space="preserve"> </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C72A9E">
              <w:rPr>
                <w:szCs w:val="24"/>
              </w:rPr>
              <w:t>Stop the meeting or wait until connection become</w:t>
            </w:r>
            <w:r>
              <w:rPr>
                <w:szCs w:val="24"/>
              </w:rPr>
              <w:t>s</w:t>
            </w:r>
            <w:r w:rsidRPr="00C72A9E">
              <w:rPr>
                <w:szCs w:val="24"/>
              </w:rPr>
              <w:t xml:space="preserve"> available</w:t>
            </w:r>
            <w:r>
              <w:rPr>
                <w:szCs w:val="24"/>
              </w:rPr>
              <w:t>.</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P</w:t>
            </w:r>
            <w:r w:rsidRPr="00C72A9E">
              <w:rPr>
                <w:szCs w:val="24"/>
              </w:rPr>
              <w:t>roceed without the remote delegate(s)</w:t>
            </w:r>
            <w:r>
              <w:rPr>
                <w:szCs w:val="24"/>
              </w:rPr>
              <w:t>.</w:t>
            </w:r>
          </w:p>
          <w:p w:rsidR="006154F5" w:rsidRPr="00C72A9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C72A9E">
              <w:rPr>
                <w:szCs w:val="24"/>
              </w:rPr>
              <w:t>Intervention by Prox</w:t>
            </w:r>
            <w:r>
              <w:rPr>
                <w:szCs w:val="24"/>
              </w:rPr>
              <w:t>y.</w:t>
            </w:r>
          </w:p>
        </w:tc>
      </w:tr>
      <w:tr w:rsidR="006154F5" w:rsidRPr="00541D54" w:rsidTr="00E2275D">
        <w:tc>
          <w:tcPr>
            <w:tcW w:w="9781" w:type="dxa"/>
          </w:tcPr>
          <w:p w:rsidR="006154F5" w:rsidRPr="008E0F82" w:rsidRDefault="006154F5" w:rsidP="00E2275D">
            <w:pPr>
              <w:rPr>
                <w:b/>
                <w:szCs w:val="24"/>
              </w:rPr>
            </w:pPr>
            <w:r w:rsidRPr="008E0F82">
              <w:rPr>
                <w:b/>
                <w:szCs w:val="24"/>
              </w:rPr>
              <w:t>Legal issues</w:t>
            </w:r>
            <w:r>
              <w:rPr>
                <w:b/>
                <w:szCs w:val="24"/>
              </w:rPr>
              <w:t>:</w:t>
            </w:r>
          </w:p>
          <w:p w:rsidR="006154F5" w:rsidRPr="008E0F82"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8E0F82">
              <w:rPr>
                <w:szCs w:val="24"/>
              </w:rPr>
              <w:t>Cannot guarantee availability and confidentiality of communication using public infrastructure which is not under ITU control.</w:t>
            </w:r>
          </w:p>
          <w:p w:rsidR="006154F5" w:rsidRPr="008E0F82"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8E0F82">
              <w:rPr>
                <w:szCs w:val="24"/>
              </w:rPr>
              <w:t>Cannot guarantee equal rights between remote and on</w:t>
            </w:r>
            <w:r>
              <w:rPr>
                <w:szCs w:val="24"/>
              </w:rPr>
              <w:t>-</w:t>
            </w:r>
            <w:r w:rsidRPr="008E0F82">
              <w:rPr>
                <w:szCs w:val="24"/>
              </w:rPr>
              <w:t>site participants.</w:t>
            </w:r>
          </w:p>
          <w:p w:rsidR="006154F5" w:rsidRPr="007052B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1B13A6">
              <w:rPr>
                <w:szCs w:val="24"/>
                <w:lang w:val="en-US"/>
              </w:rPr>
              <w:t>Impossibility</w:t>
            </w:r>
            <w:r w:rsidRPr="007052BE">
              <w:rPr>
                <w:szCs w:val="24"/>
                <w:lang w:val="en-US"/>
              </w:rPr>
              <w:t xml:space="preserve"> for remote participants of exercising certain intrinsic rights of plenary partic</w:t>
            </w:r>
            <w:r>
              <w:rPr>
                <w:szCs w:val="24"/>
                <w:lang w:val="en-US"/>
              </w:rPr>
              <w:t>i</w:t>
            </w:r>
            <w:r w:rsidRPr="007052BE">
              <w:rPr>
                <w:szCs w:val="24"/>
                <w:lang w:val="en-US"/>
              </w:rPr>
              <w:t>pant</w:t>
            </w:r>
            <w:r>
              <w:rPr>
                <w:szCs w:val="24"/>
                <w:lang w:val="en-US"/>
              </w:rPr>
              <w:t>s</w:t>
            </w:r>
            <w:r w:rsidRPr="007052BE">
              <w:rPr>
                <w:szCs w:val="24"/>
                <w:lang w:val="en-US"/>
              </w:rPr>
              <w:t xml:space="preserve"> such as:</w:t>
            </w:r>
          </w:p>
          <w:p w:rsidR="006154F5" w:rsidRPr="007052BE" w:rsidRDefault="006154F5" w:rsidP="006154F5">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   </w:t>
            </w:r>
            <w:r>
              <w:rPr>
                <w:szCs w:val="24"/>
                <w:lang w:val="en-US"/>
              </w:rPr>
              <w:t>The right to express an opinion fully and freely on the subject under discussion</w:t>
            </w:r>
            <w:r w:rsidRPr="007052BE">
              <w:rPr>
                <w:szCs w:val="24"/>
                <w:lang w:val="en-US"/>
              </w:rPr>
              <w:t>;</w:t>
            </w:r>
          </w:p>
          <w:p w:rsidR="006154F5" w:rsidRPr="007052BE" w:rsidRDefault="006154F5" w:rsidP="006154F5">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   </w:t>
            </w:r>
            <w:r w:rsidRPr="001B13A6">
              <w:rPr>
                <w:szCs w:val="24"/>
                <w:lang w:val="en-US"/>
              </w:rPr>
              <w:t>The right to submit orally any proposal or amendment</w:t>
            </w:r>
            <w:r w:rsidRPr="007052BE">
              <w:rPr>
                <w:szCs w:val="24"/>
                <w:lang w:val="en-US"/>
              </w:rPr>
              <w:t>;</w:t>
            </w:r>
          </w:p>
          <w:p w:rsidR="006154F5" w:rsidRPr="007052BE" w:rsidRDefault="006154F5" w:rsidP="006154F5">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   </w:t>
            </w:r>
            <w:r w:rsidRPr="001B13A6">
              <w:rPr>
                <w:szCs w:val="24"/>
                <w:lang w:val="en-US"/>
              </w:rPr>
              <w:t>The right to raise a point of order</w:t>
            </w:r>
            <w:r>
              <w:rPr>
                <w:szCs w:val="24"/>
                <w:lang w:val="en-US"/>
              </w:rPr>
              <w:t xml:space="preserve"> or submit a motion of order</w:t>
            </w:r>
            <w:r w:rsidRPr="007052BE">
              <w:rPr>
                <w:szCs w:val="24"/>
                <w:lang w:val="en-US"/>
              </w:rPr>
              <w:t>;</w:t>
            </w:r>
          </w:p>
          <w:p w:rsidR="006154F5" w:rsidRPr="007052BE" w:rsidRDefault="006154F5" w:rsidP="006154F5">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   </w:t>
            </w:r>
            <w:r>
              <w:rPr>
                <w:szCs w:val="24"/>
                <w:lang w:val="en-US"/>
              </w:rPr>
              <w:t>The right to participate in a vote</w:t>
            </w:r>
            <w:r w:rsidRPr="007052BE">
              <w:rPr>
                <w:szCs w:val="24"/>
                <w:lang w:val="en-US"/>
              </w:rPr>
              <w:t>;</w:t>
            </w:r>
          </w:p>
          <w:p w:rsidR="006154F5" w:rsidRPr="007052BE" w:rsidRDefault="006154F5" w:rsidP="006154F5">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lang w:val="en-US" w:eastAsia="zh-CN"/>
              </w:rPr>
            </w:pPr>
            <w:r w:rsidRPr="007052BE">
              <w:rPr>
                <w:szCs w:val="24"/>
                <w:lang w:val="en-US"/>
              </w:rPr>
              <w:t xml:space="preserve">   The right to oppose the formation of a consensus.</w:t>
            </w:r>
          </w:p>
        </w:tc>
      </w:tr>
      <w:tr w:rsidR="006154F5" w:rsidRPr="005F4F94" w:rsidTr="00E2275D">
        <w:tc>
          <w:tcPr>
            <w:tcW w:w="9781" w:type="dxa"/>
          </w:tcPr>
          <w:p w:rsidR="006154F5" w:rsidRPr="008E0F82" w:rsidRDefault="006154F5" w:rsidP="00E2275D">
            <w:pPr>
              <w:rPr>
                <w:b/>
                <w:szCs w:val="24"/>
              </w:rPr>
            </w:pPr>
            <w:r>
              <w:rPr>
                <w:b/>
                <w:szCs w:val="24"/>
              </w:rPr>
              <w:t>Modifications to the legal framework:</w:t>
            </w:r>
          </w:p>
          <w:p w:rsidR="006154F5" w:rsidRPr="007052B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t>N</w:t>
            </w:r>
            <w:r w:rsidRPr="007052BE">
              <w:rPr>
                <w:szCs w:val="24"/>
              </w:rPr>
              <w:t xml:space="preserve">eed to amend </w:t>
            </w:r>
            <w:r w:rsidRPr="00EC2124">
              <w:rPr>
                <w:szCs w:val="24"/>
              </w:rPr>
              <w:t>provisions</w:t>
            </w:r>
            <w:r w:rsidRPr="007052BE">
              <w:rPr>
                <w:szCs w:val="24"/>
              </w:rPr>
              <w:t xml:space="preserve"> </w:t>
            </w:r>
            <w:r>
              <w:rPr>
                <w:szCs w:val="24"/>
              </w:rPr>
              <w:t>of</w:t>
            </w:r>
            <w:r w:rsidRPr="007052BE">
              <w:rPr>
                <w:szCs w:val="24"/>
              </w:rPr>
              <w:t xml:space="preserve"> the Union’s </w:t>
            </w:r>
            <w:r>
              <w:rPr>
                <w:szCs w:val="24"/>
              </w:rPr>
              <w:t>legal</w:t>
            </w:r>
            <w:r w:rsidRPr="007052BE">
              <w:rPr>
                <w:szCs w:val="24"/>
              </w:rPr>
              <w:t xml:space="preserve"> texts relating to the quorum.</w:t>
            </w:r>
          </w:p>
          <w:p w:rsidR="006154F5" w:rsidRPr="00541D54"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Modification of procedures for </w:t>
            </w:r>
            <w:r>
              <w:rPr>
                <w:szCs w:val="24"/>
                <w:lang w:val="en-US"/>
              </w:rPr>
              <w:t xml:space="preserve">submitting motions of order and </w:t>
            </w:r>
            <w:r w:rsidRPr="00EC2124">
              <w:rPr>
                <w:szCs w:val="24"/>
                <w:lang w:val="en-US"/>
              </w:rPr>
              <w:t>raising</w:t>
            </w:r>
            <w:r w:rsidRPr="007052BE">
              <w:rPr>
                <w:szCs w:val="24"/>
                <w:lang w:val="en-US"/>
              </w:rPr>
              <w:t xml:space="preserve"> points of order.</w:t>
            </w:r>
          </w:p>
          <w:p w:rsidR="006154F5" w:rsidRPr="00541D54"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Modification of rules on voting owing to the fact that voting by </w:t>
            </w:r>
            <w:r>
              <w:rPr>
                <w:szCs w:val="24"/>
                <w:lang w:val="en-US"/>
              </w:rPr>
              <w:t>show of hands and</w:t>
            </w:r>
            <w:r w:rsidRPr="007052BE">
              <w:rPr>
                <w:szCs w:val="24"/>
                <w:lang w:val="en-US"/>
              </w:rPr>
              <w:t xml:space="preserve"> secret ballots are physi</w:t>
            </w:r>
            <w:r>
              <w:rPr>
                <w:szCs w:val="24"/>
                <w:lang w:val="en-US"/>
              </w:rPr>
              <w:t xml:space="preserve">cally </w:t>
            </w:r>
            <w:r w:rsidRPr="007052BE">
              <w:rPr>
                <w:szCs w:val="24"/>
                <w:lang w:val="en-US"/>
              </w:rPr>
              <w:t>impossible in the case of remote participation.</w:t>
            </w:r>
          </w:p>
          <w:p w:rsidR="006154F5" w:rsidRPr="007052B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Repercussions with regard to the rules governing </w:t>
            </w:r>
            <w:r>
              <w:rPr>
                <w:szCs w:val="24"/>
                <w:lang w:val="en-US"/>
              </w:rPr>
              <w:t xml:space="preserve">the interruption of votes </w:t>
            </w:r>
            <w:r w:rsidRPr="007052BE">
              <w:rPr>
                <w:szCs w:val="24"/>
                <w:lang w:val="en-US"/>
              </w:rPr>
              <w:t xml:space="preserve">in the </w:t>
            </w:r>
            <w:r w:rsidRPr="00EC2124">
              <w:rPr>
                <w:szCs w:val="24"/>
                <w:lang w:val="en-US"/>
              </w:rPr>
              <w:t>event</w:t>
            </w:r>
            <w:r w:rsidRPr="007052BE">
              <w:rPr>
                <w:szCs w:val="24"/>
                <w:lang w:val="en-US"/>
              </w:rPr>
              <w:t xml:space="preserve"> of </w:t>
            </w:r>
            <w:r>
              <w:rPr>
                <w:szCs w:val="24"/>
                <w:lang w:val="en-US"/>
              </w:rPr>
              <w:t xml:space="preserve">a </w:t>
            </w:r>
            <w:r w:rsidRPr="007052BE">
              <w:rPr>
                <w:szCs w:val="24"/>
                <w:lang w:val="en-US"/>
              </w:rPr>
              <w:t>lost connection.</w:t>
            </w:r>
          </w:p>
          <w:p w:rsidR="006154F5" w:rsidRPr="00541D54"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Pr>
                <w:szCs w:val="24"/>
                <w:lang w:val="en-US"/>
              </w:rPr>
              <w:t>N</w:t>
            </w:r>
            <w:r w:rsidRPr="007052BE">
              <w:rPr>
                <w:szCs w:val="24"/>
                <w:lang w:val="en-US"/>
              </w:rPr>
              <w:t>eed to ensure that, in the case of treaty-making conferences</w:t>
            </w:r>
            <w:r>
              <w:rPr>
                <w:szCs w:val="24"/>
                <w:lang w:val="en-US"/>
              </w:rPr>
              <w:t>, delegations part</w:t>
            </w:r>
            <w:r w:rsidRPr="007052BE">
              <w:rPr>
                <w:szCs w:val="24"/>
                <w:lang w:val="en-US"/>
              </w:rPr>
              <w:t>ic</w:t>
            </w:r>
            <w:r>
              <w:rPr>
                <w:szCs w:val="24"/>
                <w:lang w:val="en-US"/>
              </w:rPr>
              <w:t>i</w:t>
            </w:r>
            <w:r w:rsidRPr="007052BE">
              <w:rPr>
                <w:szCs w:val="24"/>
                <w:lang w:val="en-US"/>
              </w:rPr>
              <w:t xml:space="preserve">pating remotely are </w:t>
            </w:r>
            <w:r>
              <w:rPr>
                <w:szCs w:val="24"/>
                <w:lang w:val="en-US"/>
              </w:rPr>
              <w:t>nevertheless</w:t>
            </w:r>
            <w:r w:rsidRPr="007052BE">
              <w:rPr>
                <w:szCs w:val="24"/>
                <w:lang w:val="en-US"/>
              </w:rPr>
              <w:t xml:space="preserve"> in possession of </w:t>
            </w:r>
            <w:r>
              <w:rPr>
                <w:szCs w:val="24"/>
                <w:lang w:val="en-US"/>
              </w:rPr>
              <w:t>valid</w:t>
            </w:r>
            <w:r w:rsidRPr="007052BE">
              <w:rPr>
                <w:szCs w:val="24"/>
                <w:lang w:val="en-US"/>
              </w:rPr>
              <w:t xml:space="preserve"> credentials</w:t>
            </w:r>
            <w:r>
              <w:rPr>
                <w:szCs w:val="24"/>
                <w:lang w:val="en-US"/>
              </w:rPr>
              <w:t xml:space="preserve">. </w:t>
            </w:r>
            <w:r w:rsidRPr="005F4F94">
              <w:rPr>
                <w:szCs w:val="24"/>
                <w:lang w:val="en-US"/>
              </w:rPr>
              <w:t xml:space="preserve">Modification of Article 31 of the Convention </w:t>
            </w:r>
            <w:r>
              <w:rPr>
                <w:szCs w:val="24"/>
                <w:lang w:val="en-US"/>
              </w:rPr>
              <w:t xml:space="preserve">should </w:t>
            </w:r>
            <w:r w:rsidRPr="005F4F94">
              <w:rPr>
                <w:szCs w:val="24"/>
                <w:lang w:val="en-US"/>
              </w:rPr>
              <w:t>not</w:t>
            </w:r>
            <w:r>
              <w:rPr>
                <w:szCs w:val="24"/>
                <w:lang w:val="en-US"/>
              </w:rPr>
              <w:t xml:space="preserve"> be ruled</w:t>
            </w:r>
            <w:r w:rsidRPr="005F4F94">
              <w:rPr>
                <w:szCs w:val="24"/>
                <w:lang w:val="en-US"/>
              </w:rPr>
              <w:t xml:space="preserve"> out</w:t>
            </w:r>
            <w:r>
              <w:rPr>
                <w:szCs w:val="24"/>
                <w:lang w:val="en-US"/>
              </w:rPr>
              <w:t xml:space="preserve"> in this regard</w:t>
            </w:r>
            <w:r w:rsidRPr="005F4F94">
              <w:rPr>
                <w:szCs w:val="24"/>
                <w:lang w:val="en-US"/>
              </w:rPr>
              <w:t>.</w:t>
            </w:r>
          </w:p>
          <w:p w:rsidR="006154F5" w:rsidRPr="007052B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Impossibility in practice of carrying out the functions of chairman</w:t>
            </w:r>
            <w:r>
              <w:rPr>
                <w:szCs w:val="24"/>
                <w:lang w:val="en-US"/>
              </w:rPr>
              <w:t>,</w:t>
            </w:r>
            <w:r w:rsidRPr="007052BE">
              <w:rPr>
                <w:szCs w:val="24"/>
                <w:lang w:val="en-US"/>
              </w:rPr>
              <w:t xml:space="preserve"> since a remote participant is unable, for practical reasons, </w:t>
            </w:r>
            <w:r>
              <w:rPr>
                <w:szCs w:val="24"/>
                <w:lang w:val="en-US"/>
              </w:rPr>
              <w:t xml:space="preserve">to </w:t>
            </w:r>
            <w:r w:rsidRPr="007052BE">
              <w:rPr>
                <w:szCs w:val="24"/>
                <w:lang w:val="en-US"/>
              </w:rPr>
              <w:t>perform all the duties of the chairman.</w:t>
            </w:r>
          </w:p>
          <w:p w:rsidR="006154F5" w:rsidRPr="007052BE" w:rsidRDefault="006154F5" w:rsidP="006154F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7052BE">
              <w:rPr>
                <w:szCs w:val="24"/>
                <w:lang w:val="en-US"/>
              </w:rPr>
              <w:t xml:space="preserve">Impossibility in practice of participating in certain statutory committees such as </w:t>
            </w:r>
            <w:r>
              <w:rPr>
                <w:szCs w:val="24"/>
                <w:lang w:val="en-US"/>
              </w:rPr>
              <w:t>credentials c</w:t>
            </w:r>
            <w:r w:rsidRPr="007052BE">
              <w:rPr>
                <w:szCs w:val="24"/>
                <w:lang w:val="en-US"/>
              </w:rPr>
              <w:t>ommittee</w:t>
            </w:r>
            <w:r>
              <w:rPr>
                <w:szCs w:val="24"/>
                <w:lang w:val="en-US"/>
              </w:rPr>
              <w:t>s</w:t>
            </w:r>
            <w:r w:rsidRPr="007052BE">
              <w:rPr>
                <w:szCs w:val="24"/>
                <w:lang w:val="en-US"/>
              </w:rPr>
              <w:t xml:space="preserve"> or </w:t>
            </w:r>
            <w:r>
              <w:rPr>
                <w:szCs w:val="24"/>
                <w:lang w:val="en-US"/>
              </w:rPr>
              <w:t>e</w:t>
            </w:r>
            <w:r w:rsidRPr="007052BE">
              <w:rPr>
                <w:szCs w:val="24"/>
                <w:lang w:val="en-US"/>
              </w:rPr>
              <w:t>di</w:t>
            </w:r>
            <w:r>
              <w:rPr>
                <w:szCs w:val="24"/>
                <w:lang w:val="en-US"/>
              </w:rPr>
              <w:t>torial c</w:t>
            </w:r>
            <w:r w:rsidRPr="007052BE">
              <w:rPr>
                <w:szCs w:val="24"/>
                <w:lang w:val="en-US"/>
              </w:rPr>
              <w:t>ommittee</w:t>
            </w:r>
            <w:r>
              <w:rPr>
                <w:szCs w:val="24"/>
                <w:lang w:val="en-US"/>
              </w:rPr>
              <w:t>s</w:t>
            </w:r>
            <w:r w:rsidRPr="007052BE">
              <w:rPr>
                <w:szCs w:val="24"/>
                <w:lang w:val="en-US"/>
              </w:rPr>
              <w:t>.</w:t>
            </w:r>
          </w:p>
        </w:tc>
      </w:tr>
    </w:tbl>
    <w:p w:rsidR="006154F5" w:rsidRDefault="006154F5" w:rsidP="00D222CE">
      <w:pPr>
        <w:pStyle w:val="Headingb"/>
      </w:pPr>
      <w:r w:rsidRPr="00C00927">
        <w:t>Accessibility</w:t>
      </w:r>
    </w:p>
    <w:p w:rsidR="006154F5" w:rsidRPr="007B3AD1" w:rsidRDefault="006154F5" w:rsidP="006154F5">
      <w:pPr>
        <w:pStyle w:val="ListParagraph"/>
        <w:numPr>
          <w:ilvl w:val="0"/>
          <w:numId w:val="1"/>
        </w:numPr>
        <w:tabs>
          <w:tab w:val="clear" w:pos="567"/>
          <w:tab w:val="clear" w:pos="1134"/>
          <w:tab w:val="clear" w:pos="1701"/>
          <w:tab w:val="clear" w:pos="2268"/>
          <w:tab w:val="clear" w:pos="2835"/>
        </w:tabs>
        <w:snapToGrid w:val="0"/>
        <w:ind w:left="0" w:firstLine="0"/>
        <w:contextualSpacing w:val="0"/>
        <w:rPr>
          <w:szCs w:val="24"/>
        </w:rPr>
      </w:pPr>
      <w:r w:rsidRPr="007B3AD1">
        <w:rPr>
          <w:szCs w:val="24"/>
        </w:rPr>
        <w:t>The remote participation and improved audio-visual infrastructure in the meeting rooms have facilitated inclusion of people with special needs in line with the ITU policy on accessibility adopted in 2013 by providing:</w:t>
      </w:r>
    </w:p>
    <w:p w:rsidR="006154F5" w:rsidRPr="007B3AD1" w:rsidRDefault="006154F5" w:rsidP="006154F5">
      <w:pPr>
        <w:pStyle w:val="ListParagraph"/>
        <w:numPr>
          <w:ilvl w:val="0"/>
          <w:numId w:val="3"/>
        </w:numPr>
        <w:rPr>
          <w:szCs w:val="24"/>
        </w:rPr>
      </w:pPr>
      <w:r w:rsidRPr="00426D8A">
        <w:rPr>
          <w:szCs w:val="24"/>
        </w:rPr>
        <w:t>Captioning for those with hearing impairments</w:t>
      </w:r>
    </w:p>
    <w:p w:rsidR="006154F5" w:rsidRPr="006814EA" w:rsidRDefault="006154F5" w:rsidP="006154F5">
      <w:pPr>
        <w:pStyle w:val="ListParagraph"/>
        <w:numPr>
          <w:ilvl w:val="0"/>
          <w:numId w:val="3"/>
        </w:numPr>
        <w:rPr>
          <w:szCs w:val="24"/>
        </w:rPr>
      </w:pPr>
      <w:r w:rsidRPr="00426D8A">
        <w:rPr>
          <w:szCs w:val="24"/>
        </w:rPr>
        <w:t>Audio conferencing for the visually impaired</w:t>
      </w:r>
    </w:p>
    <w:p w:rsidR="006154F5" w:rsidRPr="007B3AD1" w:rsidRDefault="006154F5" w:rsidP="006154F5">
      <w:pPr>
        <w:pStyle w:val="ListParagraph"/>
        <w:numPr>
          <w:ilvl w:val="0"/>
          <w:numId w:val="3"/>
        </w:numPr>
        <w:rPr>
          <w:szCs w:val="24"/>
        </w:rPr>
      </w:pPr>
      <w:r>
        <w:rPr>
          <w:szCs w:val="24"/>
        </w:rPr>
        <w:t>Multiple audio channels for supporting the six UN official languages plus floor</w:t>
      </w:r>
    </w:p>
    <w:p w:rsidR="006154F5" w:rsidRPr="007B3AD1" w:rsidRDefault="006154F5" w:rsidP="006154F5">
      <w:pPr>
        <w:pStyle w:val="ListParagraph"/>
        <w:numPr>
          <w:ilvl w:val="0"/>
          <w:numId w:val="3"/>
        </w:numPr>
        <w:rPr>
          <w:szCs w:val="24"/>
        </w:rPr>
      </w:pPr>
      <w:r w:rsidRPr="00426D8A">
        <w:rPr>
          <w:szCs w:val="24"/>
        </w:rPr>
        <w:t>Web conferencing for those with mobility challenges</w:t>
      </w:r>
    </w:p>
    <w:p w:rsidR="006154F5" w:rsidRPr="007B3AD1" w:rsidRDefault="006154F5" w:rsidP="00AB79B4">
      <w:pPr>
        <w:pStyle w:val="ListParagraph"/>
        <w:numPr>
          <w:ilvl w:val="0"/>
          <w:numId w:val="1"/>
        </w:numPr>
        <w:tabs>
          <w:tab w:val="clear" w:pos="567"/>
          <w:tab w:val="clear" w:pos="1134"/>
          <w:tab w:val="clear" w:pos="1701"/>
          <w:tab w:val="clear" w:pos="2268"/>
          <w:tab w:val="clear" w:pos="2835"/>
        </w:tabs>
        <w:snapToGrid w:val="0"/>
        <w:ind w:left="0" w:firstLine="0"/>
        <w:contextualSpacing w:val="0"/>
        <w:rPr>
          <w:szCs w:val="24"/>
        </w:rPr>
      </w:pPr>
      <w:r w:rsidRPr="007B3AD1">
        <w:rPr>
          <w:szCs w:val="24"/>
        </w:rPr>
        <w:t>ITU continues to keep abreast of technological innovations that can improve accessibility (e.g. speech</w:t>
      </w:r>
      <w:r>
        <w:rPr>
          <w:szCs w:val="24"/>
        </w:rPr>
        <w:t xml:space="preserve"> </w:t>
      </w:r>
      <w:r w:rsidRPr="007B3AD1">
        <w:rPr>
          <w:szCs w:val="24"/>
        </w:rPr>
        <w:t>recognition, screen readers, machine interpretation)</w:t>
      </w:r>
      <w:r w:rsidR="00AB79B4" w:rsidRPr="007B3AD1">
        <w:rPr>
          <w:szCs w:val="24"/>
        </w:rPr>
        <w:t>.</w:t>
      </w:r>
      <w:r w:rsidRPr="007B3AD1">
        <w:rPr>
          <w:szCs w:val="24"/>
        </w:rPr>
        <w:t xml:space="preserve"> </w:t>
      </w:r>
    </w:p>
    <w:p w:rsidR="006154F5" w:rsidRDefault="006154F5" w:rsidP="00D222CE">
      <w:pPr>
        <w:pStyle w:val="Headingb"/>
      </w:pPr>
      <w:r>
        <w:lastRenderedPageBreak/>
        <w:t>Cost</w:t>
      </w:r>
    </w:p>
    <w:p w:rsidR="006154F5" w:rsidRDefault="006154F5" w:rsidP="0092731E">
      <w:pPr>
        <w:pStyle w:val="ListParagraph"/>
        <w:numPr>
          <w:ilvl w:val="0"/>
          <w:numId w:val="1"/>
        </w:numPr>
        <w:tabs>
          <w:tab w:val="clear" w:pos="567"/>
          <w:tab w:val="clear" w:pos="1134"/>
          <w:tab w:val="clear" w:pos="1701"/>
          <w:tab w:val="clear" w:pos="2268"/>
          <w:tab w:val="clear" w:pos="2835"/>
        </w:tabs>
        <w:snapToGrid w:val="0"/>
        <w:ind w:left="0" w:firstLine="0"/>
        <w:contextualSpacing w:val="0"/>
        <w:rPr>
          <w:szCs w:val="24"/>
        </w:rPr>
      </w:pPr>
      <w:r w:rsidRPr="007B3AD1">
        <w:rPr>
          <w:szCs w:val="24"/>
        </w:rPr>
        <w:t xml:space="preserve">In 2011, </w:t>
      </w:r>
      <w:r w:rsidR="0092731E">
        <w:rPr>
          <w:szCs w:val="24"/>
        </w:rPr>
        <w:t xml:space="preserve">the </w:t>
      </w:r>
      <w:r>
        <w:rPr>
          <w:szCs w:val="24"/>
        </w:rPr>
        <w:t xml:space="preserve">Council was requested to approve </w:t>
      </w:r>
      <w:r w:rsidRPr="007B3AD1">
        <w:rPr>
          <w:szCs w:val="24"/>
        </w:rPr>
        <w:t>a one</w:t>
      </w:r>
      <w:r>
        <w:rPr>
          <w:szCs w:val="24"/>
        </w:rPr>
        <w:t>-</w:t>
      </w:r>
      <w:r w:rsidRPr="007B3AD1">
        <w:rPr>
          <w:szCs w:val="24"/>
        </w:rPr>
        <w:t xml:space="preserve">time capital investment of </w:t>
      </w:r>
      <w:r>
        <w:rPr>
          <w:szCs w:val="24"/>
        </w:rPr>
        <w:t>CHF </w:t>
      </w:r>
      <w:r w:rsidRPr="007B3AD1">
        <w:rPr>
          <w:szCs w:val="24"/>
        </w:rPr>
        <w:t>1</w:t>
      </w:r>
      <w:r w:rsidR="0092731E">
        <w:rPr>
          <w:szCs w:val="24"/>
        </w:rPr>
        <w:t>,</w:t>
      </w:r>
      <w:r w:rsidRPr="007B3AD1">
        <w:rPr>
          <w:szCs w:val="24"/>
        </w:rPr>
        <w:t>7</w:t>
      </w:r>
      <w:r>
        <w:rPr>
          <w:szCs w:val="24"/>
        </w:rPr>
        <w:t>21</w:t>
      </w:r>
      <w:r w:rsidR="0092731E">
        <w:rPr>
          <w:szCs w:val="24"/>
        </w:rPr>
        <w:t>,</w:t>
      </w:r>
      <w:r>
        <w:rPr>
          <w:szCs w:val="24"/>
        </w:rPr>
        <w:t xml:space="preserve">000 </w:t>
      </w:r>
      <w:r w:rsidRPr="007B3AD1">
        <w:rPr>
          <w:szCs w:val="24"/>
        </w:rPr>
        <w:t>for upgrading ITU meeting rooms and integrating interpretation</w:t>
      </w:r>
      <w:r>
        <w:rPr>
          <w:szCs w:val="24"/>
        </w:rPr>
        <w:t>,</w:t>
      </w:r>
      <w:r w:rsidRPr="007B3AD1">
        <w:rPr>
          <w:szCs w:val="24"/>
        </w:rPr>
        <w:t xml:space="preserve"> </w:t>
      </w:r>
      <w:r>
        <w:rPr>
          <w:szCs w:val="24"/>
        </w:rPr>
        <w:t>and a further CHF 875</w:t>
      </w:r>
      <w:r w:rsidR="0092731E">
        <w:rPr>
          <w:szCs w:val="24"/>
        </w:rPr>
        <w:t>,</w:t>
      </w:r>
      <w:r>
        <w:rPr>
          <w:szCs w:val="24"/>
        </w:rPr>
        <w:t>000 per annum for operational expenses</w:t>
      </w:r>
      <w:r>
        <w:rPr>
          <w:rStyle w:val="FootnoteReference"/>
          <w:szCs w:val="24"/>
        </w:rPr>
        <w:footnoteReference w:id="2"/>
      </w:r>
      <w:r>
        <w:rPr>
          <w:szCs w:val="24"/>
        </w:rPr>
        <w:t>.</w:t>
      </w:r>
      <w:r w:rsidR="008D65A4">
        <w:rPr>
          <w:szCs w:val="24"/>
        </w:rPr>
        <w:t xml:space="preserve"> </w:t>
      </w:r>
      <w:r>
        <w:rPr>
          <w:szCs w:val="24"/>
        </w:rPr>
        <w:t>Of those amounts, Council approved, in the budget for 2012-2013, CHF 675</w:t>
      </w:r>
      <w:r w:rsidR="0092731E">
        <w:rPr>
          <w:szCs w:val="24"/>
        </w:rPr>
        <w:t>,</w:t>
      </w:r>
      <w:r>
        <w:rPr>
          <w:szCs w:val="24"/>
        </w:rPr>
        <w:t>000</w:t>
      </w:r>
      <w:r w:rsidRPr="007B3AD1">
        <w:rPr>
          <w:szCs w:val="24"/>
        </w:rPr>
        <w:t xml:space="preserve"> </w:t>
      </w:r>
      <w:r>
        <w:rPr>
          <w:szCs w:val="24"/>
        </w:rPr>
        <w:t>for the one-time investment and CHF 690</w:t>
      </w:r>
      <w:r w:rsidR="0092731E">
        <w:rPr>
          <w:szCs w:val="24"/>
        </w:rPr>
        <w:t>,</w:t>
      </w:r>
      <w:r>
        <w:rPr>
          <w:szCs w:val="24"/>
        </w:rPr>
        <w:t>000 for biennial operational expenses</w:t>
      </w:r>
      <w:r>
        <w:rPr>
          <w:rStyle w:val="FootnoteReference"/>
          <w:szCs w:val="24"/>
        </w:rPr>
        <w:footnoteReference w:id="3"/>
      </w:r>
      <w:r>
        <w:rPr>
          <w:szCs w:val="24"/>
        </w:rPr>
        <w:t>.</w:t>
      </w:r>
      <w:r w:rsidR="008D65A4">
        <w:rPr>
          <w:szCs w:val="24"/>
        </w:rPr>
        <w:t xml:space="preserve"> </w:t>
      </w:r>
      <w:r>
        <w:rPr>
          <w:szCs w:val="24"/>
        </w:rPr>
        <w:t>The amount approved for the one-time investment allowed for the upgrading of some meeting rooms and the amount approved for operational expenses covered two junior staff positions.</w:t>
      </w:r>
      <w:r w:rsidR="008D65A4">
        <w:rPr>
          <w:szCs w:val="24"/>
        </w:rPr>
        <w:t xml:space="preserve"> </w:t>
      </w:r>
      <w:r>
        <w:rPr>
          <w:szCs w:val="24"/>
        </w:rPr>
        <w:t xml:space="preserve">As a result of the shortfall between the amounts requested and the amounts approved, it was not possible to upgrade all </w:t>
      </w:r>
      <w:r w:rsidRPr="007B3AD1">
        <w:rPr>
          <w:szCs w:val="24"/>
        </w:rPr>
        <w:t>meeting rooms and interpretation facilities</w:t>
      </w:r>
      <w:r>
        <w:rPr>
          <w:szCs w:val="24"/>
        </w:rPr>
        <w:t>.</w:t>
      </w:r>
      <w:r w:rsidRPr="007B3AD1">
        <w:rPr>
          <w:szCs w:val="24"/>
        </w:rPr>
        <w:t xml:space="preserve"> Th</w:t>
      </w:r>
      <w:r>
        <w:rPr>
          <w:szCs w:val="24"/>
        </w:rPr>
        <w:t xml:space="preserve">ose rooms that have not yet been upgraded cannot </w:t>
      </w:r>
      <w:r w:rsidRPr="007B3AD1">
        <w:rPr>
          <w:szCs w:val="24"/>
        </w:rPr>
        <w:t>fully support remote participation.</w:t>
      </w:r>
    </w:p>
    <w:p w:rsidR="006154F5" w:rsidRPr="001A14E4" w:rsidRDefault="00EC1837" w:rsidP="009238C4">
      <w:pPr>
        <w:pStyle w:val="ListParagraph"/>
        <w:numPr>
          <w:ilvl w:val="0"/>
          <w:numId w:val="1"/>
        </w:numPr>
        <w:tabs>
          <w:tab w:val="clear" w:pos="567"/>
          <w:tab w:val="clear" w:pos="1134"/>
          <w:tab w:val="clear" w:pos="1701"/>
          <w:tab w:val="clear" w:pos="2268"/>
          <w:tab w:val="clear" w:pos="2835"/>
        </w:tabs>
        <w:snapToGrid w:val="0"/>
        <w:ind w:left="0" w:firstLine="0"/>
        <w:contextualSpacing w:val="0"/>
        <w:rPr>
          <w:szCs w:val="24"/>
        </w:rPr>
      </w:pPr>
      <w:r w:rsidRPr="00EC1837">
        <w:rPr>
          <w:szCs w:val="24"/>
        </w:rPr>
        <w:t>With remote participation services now being offered in an increasing number of ITU meetings, there is a need for additional meeting rooms to be upgraded</w:t>
      </w:r>
      <w:r w:rsidR="006154F5">
        <w:rPr>
          <w:szCs w:val="24"/>
        </w:rPr>
        <w:t>.</w:t>
      </w:r>
      <w:r w:rsidR="008D65A4">
        <w:rPr>
          <w:szCs w:val="24"/>
        </w:rPr>
        <w:t xml:space="preserve"> </w:t>
      </w:r>
      <w:r w:rsidR="006154F5">
        <w:rPr>
          <w:szCs w:val="24"/>
        </w:rPr>
        <w:t>T</w:t>
      </w:r>
      <w:r w:rsidR="006154F5" w:rsidRPr="007B3AD1">
        <w:rPr>
          <w:szCs w:val="24"/>
        </w:rPr>
        <w:t xml:space="preserve">he previously requested </w:t>
      </w:r>
      <w:r w:rsidR="006154F5">
        <w:rPr>
          <w:szCs w:val="24"/>
        </w:rPr>
        <w:t xml:space="preserve">amounts </w:t>
      </w:r>
      <w:r w:rsidR="006154F5" w:rsidRPr="007B3AD1">
        <w:rPr>
          <w:szCs w:val="24"/>
        </w:rPr>
        <w:t>of CHF</w:t>
      </w:r>
      <w:r w:rsidR="006154F5">
        <w:rPr>
          <w:szCs w:val="24"/>
        </w:rPr>
        <w:t> </w:t>
      </w:r>
      <w:r w:rsidR="006154F5" w:rsidRPr="007B3AD1">
        <w:rPr>
          <w:szCs w:val="24"/>
        </w:rPr>
        <w:t>875</w:t>
      </w:r>
      <w:r w:rsidR="0092731E">
        <w:rPr>
          <w:szCs w:val="24"/>
        </w:rPr>
        <w:t>,</w:t>
      </w:r>
      <w:r w:rsidR="006154F5" w:rsidRPr="007B3AD1">
        <w:rPr>
          <w:szCs w:val="24"/>
        </w:rPr>
        <w:t xml:space="preserve">000 for annual operational expenditure and </w:t>
      </w:r>
      <w:r w:rsidR="006154F5">
        <w:rPr>
          <w:szCs w:val="24"/>
        </w:rPr>
        <w:t>the original CHF </w:t>
      </w:r>
      <w:r w:rsidR="006154F5" w:rsidRPr="007B3AD1">
        <w:rPr>
          <w:szCs w:val="24"/>
        </w:rPr>
        <w:t>1</w:t>
      </w:r>
      <w:r w:rsidR="0092731E">
        <w:rPr>
          <w:szCs w:val="24"/>
        </w:rPr>
        <w:t>,</w:t>
      </w:r>
      <w:r w:rsidR="006154F5" w:rsidRPr="007B3AD1">
        <w:rPr>
          <w:szCs w:val="24"/>
        </w:rPr>
        <w:t>7</w:t>
      </w:r>
      <w:r w:rsidR="006154F5">
        <w:rPr>
          <w:szCs w:val="24"/>
        </w:rPr>
        <w:t>21</w:t>
      </w:r>
      <w:r w:rsidR="0092731E">
        <w:rPr>
          <w:szCs w:val="24"/>
        </w:rPr>
        <w:t>,</w:t>
      </w:r>
      <w:r w:rsidR="006154F5">
        <w:rPr>
          <w:szCs w:val="24"/>
        </w:rPr>
        <w:t>000</w:t>
      </w:r>
      <w:r w:rsidR="006154F5" w:rsidRPr="007B3AD1">
        <w:rPr>
          <w:szCs w:val="24"/>
        </w:rPr>
        <w:t xml:space="preserve"> for </w:t>
      </w:r>
      <w:r w:rsidR="006154F5">
        <w:rPr>
          <w:szCs w:val="24"/>
        </w:rPr>
        <w:t>c</w:t>
      </w:r>
      <w:r w:rsidR="006154F5" w:rsidRPr="007B3AD1">
        <w:rPr>
          <w:szCs w:val="24"/>
        </w:rPr>
        <w:t xml:space="preserve">apital </w:t>
      </w:r>
      <w:r w:rsidR="006154F5">
        <w:rPr>
          <w:szCs w:val="24"/>
        </w:rPr>
        <w:t>i</w:t>
      </w:r>
      <w:r w:rsidR="006154F5" w:rsidRPr="007B3AD1">
        <w:rPr>
          <w:szCs w:val="24"/>
        </w:rPr>
        <w:t xml:space="preserve">nvestment remain </w:t>
      </w:r>
      <w:r w:rsidR="006154F5">
        <w:rPr>
          <w:szCs w:val="24"/>
        </w:rPr>
        <w:t>valid.</w:t>
      </w:r>
      <w:r w:rsidR="006154F5" w:rsidRPr="007B3AD1">
        <w:rPr>
          <w:szCs w:val="24"/>
        </w:rPr>
        <w:t xml:space="preserve"> Therefore, an increase of CHF</w:t>
      </w:r>
      <w:r w:rsidR="006154F5">
        <w:rPr>
          <w:szCs w:val="24"/>
        </w:rPr>
        <w:t> 1</w:t>
      </w:r>
      <w:r w:rsidR="0092731E">
        <w:rPr>
          <w:szCs w:val="24"/>
        </w:rPr>
        <w:t>,</w:t>
      </w:r>
      <w:r w:rsidR="006154F5">
        <w:rPr>
          <w:szCs w:val="24"/>
        </w:rPr>
        <w:t>060</w:t>
      </w:r>
      <w:r w:rsidR="0092731E">
        <w:rPr>
          <w:szCs w:val="24"/>
        </w:rPr>
        <w:t>,</w:t>
      </w:r>
      <w:r w:rsidR="006154F5">
        <w:rPr>
          <w:szCs w:val="24"/>
        </w:rPr>
        <w:t>000 for operational expenses</w:t>
      </w:r>
      <w:r w:rsidR="006154F5" w:rsidRPr="007B3AD1">
        <w:rPr>
          <w:szCs w:val="24"/>
        </w:rPr>
        <w:t xml:space="preserve"> should be included in the 2016-2017 </w:t>
      </w:r>
      <w:r w:rsidR="006154F5">
        <w:rPr>
          <w:szCs w:val="24"/>
        </w:rPr>
        <w:t xml:space="preserve">and 2018-2019 </w:t>
      </w:r>
      <w:r w:rsidR="006154F5" w:rsidRPr="007B3AD1">
        <w:rPr>
          <w:szCs w:val="24"/>
        </w:rPr>
        <w:t>biennial budget</w:t>
      </w:r>
      <w:r w:rsidR="006154F5">
        <w:rPr>
          <w:szCs w:val="24"/>
        </w:rPr>
        <w:t xml:space="preserve">s </w:t>
      </w:r>
      <w:r w:rsidR="006154F5" w:rsidRPr="007B3AD1">
        <w:rPr>
          <w:szCs w:val="24"/>
        </w:rPr>
        <w:t>and the remain</w:t>
      </w:r>
      <w:r w:rsidR="006154F5">
        <w:rPr>
          <w:szCs w:val="24"/>
        </w:rPr>
        <w:t xml:space="preserve">der of the </w:t>
      </w:r>
      <w:r w:rsidR="006154F5" w:rsidRPr="007B3AD1">
        <w:rPr>
          <w:szCs w:val="24"/>
        </w:rPr>
        <w:t>one</w:t>
      </w:r>
      <w:r w:rsidR="006154F5">
        <w:rPr>
          <w:szCs w:val="24"/>
        </w:rPr>
        <w:t>-</w:t>
      </w:r>
      <w:r w:rsidR="006154F5" w:rsidRPr="007B3AD1">
        <w:rPr>
          <w:szCs w:val="24"/>
        </w:rPr>
        <w:t>time capital investment of CHF</w:t>
      </w:r>
      <w:r w:rsidR="006154F5">
        <w:rPr>
          <w:szCs w:val="24"/>
        </w:rPr>
        <w:t> 1</w:t>
      </w:r>
      <w:r w:rsidR="0092731E">
        <w:rPr>
          <w:szCs w:val="24"/>
        </w:rPr>
        <w:t>,</w:t>
      </w:r>
      <w:r w:rsidR="006154F5">
        <w:rPr>
          <w:szCs w:val="24"/>
        </w:rPr>
        <w:t>046</w:t>
      </w:r>
      <w:r w:rsidR="0092731E">
        <w:rPr>
          <w:szCs w:val="24"/>
        </w:rPr>
        <w:t>,</w:t>
      </w:r>
      <w:r w:rsidR="006154F5">
        <w:rPr>
          <w:szCs w:val="24"/>
        </w:rPr>
        <w:t>000</w:t>
      </w:r>
      <w:r w:rsidR="006154F5" w:rsidRPr="007B3AD1">
        <w:rPr>
          <w:szCs w:val="24"/>
        </w:rPr>
        <w:t xml:space="preserve"> </w:t>
      </w:r>
      <w:r w:rsidR="006154F5">
        <w:rPr>
          <w:szCs w:val="24"/>
        </w:rPr>
        <w:t>should be included in the 2016-2017 budget (see Table 2 below)</w:t>
      </w:r>
      <w:r w:rsidR="006154F5" w:rsidRPr="007B3AD1">
        <w:rPr>
          <w:szCs w:val="24"/>
        </w:rPr>
        <w:t>.</w:t>
      </w:r>
    </w:p>
    <w:p w:rsidR="006154F5" w:rsidRPr="007B3AD1" w:rsidRDefault="006154F5" w:rsidP="006154F5">
      <w:pPr>
        <w:tabs>
          <w:tab w:val="clear" w:pos="567"/>
          <w:tab w:val="clear" w:pos="1134"/>
          <w:tab w:val="clear" w:pos="1701"/>
          <w:tab w:val="clear" w:pos="2268"/>
          <w:tab w:val="clear" w:pos="2835"/>
        </w:tabs>
        <w:snapToGrid w:val="0"/>
        <w:jc w:val="center"/>
        <w:rPr>
          <w:b/>
          <w:bCs/>
          <w:szCs w:val="24"/>
        </w:rPr>
      </w:pPr>
      <w:r w:rsidRPr="007B3AD1">
        <w:rPr>
          <w:b/>
          <w:bCs/>
        </w:rPr>
        <w:t>Table 2: Additional budgetary implications for remote participation services</w:t>
      </w:r>
    </w:p>
    <w:tbl>
      <w:tblPr>
        <w:tblStyle w:val="TableGrid"/>
        <w:tblW w:w="0" w:type="auto"/>
        <w:jc w:val="center"/>
        <w:tblLayout w:type="fixed"/>
        <w:tblLook w:val="04A0" w:firstRow="1" w:lastRow="0" w:firstColumn="1" w:lastColumn="0" w:noHBand="0" w:noVBand="1"/>
      </w:tblPr>
      <w:tblGrid>
        <w:gridCol w:w="2552"/>
        <w:gridCol w:w="2830"/>
        <w:gridCol w:w="2835"/>
      </w:tblGrid>
      <w:tr w:rsidR="006154F5" w:rsidTr="00E2275D">
        <w:trPr>
          <w:jc w:val="center"/>
        </w:trPr>
        <w:tc>
          <w:tcPr>
            <w:tcW w:w="2552" w:type="dxa"/>
          </w:tcPr>
          <w:p w:rsidR="006154F5" w:rsidRDefault="006154F5" w:rsidP="00E2275D"/>
        </w:tc>
        <w:tc>
          <w:tcPr>
            <w:tcW w:w="2830" w:type="dxa"/>
          </w:tcPr>
          <w:p w:rsidR="006154F5" w:rsidRPr="007B3AD1" w:rsidRDefault="006154F5" w:rsidP="00D222CE">
            <w:pPr>
              <w:jc w:val="center"/>
              <w:rPr>
                <w:b/>
                <w:bCs/>
              </w:rPr>
            </w:pPr>
            <w:r w:rsidRPr="007B3AD1">
              <w:rPr>
                <w:b/>
                <w:bCs/>
              </w:rPr>
              <w:t>201</w:t>
            </w:r>
            <w:r>
              <w:rPr>
                <w:b/>
                <w:bCs/>
              </w:rPr>
              <w:t>6</w:t>
            </w:r>
            <w:r w:rsidRPr="007B3AD1">
              <w:rPr>
                <w:b/>
                <w:bCs/>
              </w:rPr>
              <w:t>-201</w:t>
            </w:r>
            <w:r>
              <w:rPr>
                <w:b/>
                <w:bCs/>
              </w:rPr>
              <w:t>7</w:t>
            </w:r>
          </w:p>
        </w:tc>
        <w:tc>
          <w:tcPr>
            <w:tcW w:w="2835" w:type="dxa"/>
          </w:tcPr>
          <w:p w:rsidR="006154F5" w:rsidRPr="007B3AD1" w:rsidRDefault="006154F5" w:rsidP="00D222CE">
            <w:pPr>
              <w:jc w:val="center"/>
              <w:rPr>
                <w:b/>
                <w:bCs/>
              </w:rPr>
            </w:pPr>
            <w:r w:rsidRPr="007B3AD1">
              <w:rPr>
                <w:b/>
                <w:bCs/>
              </w:rPr>
              <w:t>201</w:t>
            </w:r>
            <w:r>
              <w:rPr>
                <w:b/>
                <w:bCs/>
              </w:rPr>
              <w:t>8</w:t>
            </w:r>
            <w:r w:rsidRPr="007B3AD1">
              <w:rPr>
                <w:b/>
                <w:bCs/>
              </w:rPr>
              <w:t>-201</w:t>
            </w:r>
            <w:r>
              <w:rPr>
                <w:b/>
                <w:bCs/>
              </w:rPr>
              <w:t>9</w:t>
            </w:r>
          </w:p>
        </w:tc>
      </w:tr>
      <w:tr w:rsidR="006154F5" w:rsidTr="00E2275D">
        <w:trPr>
          <w:jc w:val="center"/>
        </w:trPr>
        <w:tc>
          <w:tcPr>
            <w:tcW w:w="2552" w:type="dxa"/>
          </w:tcPr>
          <w:p w:rsidR="006154F5" w:rsidRPr="007B3AD1" w:rsidRDefault="006154F5" w:rsidP="00D222CE">
            <w:pPr>
              <w:rPr>
                <w:b/>
                <w:bCs/>
              </w:rPr>
            </w:pPr>
            <w:r w:rsidRPr="007B3AD1">
              <w:rPr>
                <w:b/>
                <w:bCs/>
              </w:rPr>
              <w:t xml:space="preserve">Operational </w:t>
            </w:r>
            <w:r w:rsidR="00D222CE">
              <w:rPr>
                <w:b/>
                <w:bCs/>
              </w:rPr>
              <w:t>e</w:t>
            </w:r>
            <w:r w:rsidRPr="007B3AD1">
              <w:rPr>
                <w:b/>
                <w:bCs/>
              </w:rPr>
              <w:t>xpenses</w:t>
            </w:r>
          </w:p>
        </w:tc>
        <w:tc>
          <w:tcPr>
            <w:tcW w:w="2830" w:type="dxa"/>
          </w:tcPr>
          <w:p w:rsidR="006154F5" w:rsidRDefault="006154F5" w:rsidP="00D222CE">
            <w:pPr>
              <w:jc w:val="center"/>
            </w:pPr>
            <w:r>
              <w:t>CHF 1</w:t>
            </w:r>
            <w:r w:rsidR="00D222CE">
              <w:t> </w:t>
            </w:r>
            <w:r>
              <w:t>060</w:t>
            </w:r>
            <w:r w:rsidR="00D222CE">
              <w:t> </w:t>
            </w:r>
            <w:r>
              <w:t>000</w:t>
            </w:r>
          </w:p>
        </w:tc>
        <w:tc>
          <w:tcPr>
            <w:tcW w:w="2835" w:type="dxa"/>
          </w:tcPr>
          <w:p w:rsidR="006154F5" w:rsidRDefault="006154F5" w:rsidP="00D222CE">
            <w:pPr>
              <w:jc w:val="center"/>
            </w:pPr>
            <w:r>
              <w:t>CHF 1</w:t>
            </w:r>
            <w:r w:rsidR="00D222CE">
              <w:t> </w:t>
            </w:r>
            <w:r>
              <w:t>060</w:t>
            </w:r>
            <w:r w:rsidR="00D222CE">
              <w:t> </w:t>
            </w:r>
            <w:r>
              <w:t>000</w:t>
            </w:r>
          </w:p>
        </w:tc>
      </w:tr>
      <w:tr w:rsidR="006154F5" w:rsidTr="00E2275D">
        <w:trPr>
          <w:jc w:val="center"/>
        </w:trPr>
        <w:tc>
          <w:tcPr>
            <w:tcW w:w="2552" w:type="dxa"/>
          </w:tcPr>
          <w:p w:rsidR="006154F5" w:rsidRPr="007B3AD1" w:rsidRDefault="006154F5" w:rsidP="00E2275D">
            <w:pPr>
              <w:rPr>
                <w:b/>
                <w:bCs/>
              </w:rPr>
            </w:pPr>
            <w:r w:rsidRPr="007B3AD1">
              <w:rPr>
                <w:b/>
                <w:bCs/>
              </w:rPr>
              <w:t>Capital investment</w:t>
            </w:r>
          </w:p>
        </w:tc>
        <w:tc>
          <w:tcPr>
            <w:tcW w:w="2830" w:type="dxa"/>
          </w:tcPr>
          <w:p w:rsidR="006154F5" w:rsidRDefault="006154F5" w:rsidP="00D222CE">
            <w:pPr>
              <w:jc w:val="center"/>
            </w:pPr>
            <w:r>
              <w:t>CHF 1</w:t>
            </w:r>
            <w:r w:rsidR="00D222CE">
              <w:t> </w:t>
            </w:r>
            <w:r>
              <w:t>046</w:t>
            </w:r>
            <w:r w:rsidR="00D222CE">
              <w:t> </w:t>
            </w:r>
            <w:r>
              <w:t>000</w:t>
            </w:r>
          </w:p>
        </w:tc>
        <w:tc>
          <w:tcPr>
            <w:tcW w:w="2835" w:type="dxa"/>
          </w:tcPr>
          <w:p w:rsidR="006154F5" w:rsidRDefault="006154F5" w:rsidP="00D222CE">
            <w:pPr>
              <w:jc w:val="center"/>
            </w:pPr>
          </w:p>
        </w:tc>
      </w:tr>
    </w:tbl>
    <w:p w:rsidR="006154F5" w:rsidRDefault="006154F5" w:rsidP="00D222CE">
      <w:pPr>
        <w:pStyle w:val="Headingb"/>
      </w:pPr>
      <w:r>
        <w:t>The way forward</w:t>
      </w:r>
    </w:p>
    <w:p w:rsidR="006154F5" w:rsidRDefault="00C359E6" w:rsidP="006154F5">
      <w:pPr>
        <w:rPr>
          <w:szCs w:val="24"/>
        </w:rPr>
      </w:pPr>
      <w:r>
        <w:t>11</w:t>
      </w:r>
      <w:r w:rsidR="006154F5">
        <w:t>.</w:t>
      </w:r>
      <w:r w:rsidR="006154F5">
        <w:tab/>
        <w:t xml:space="preserve">The Plenipotentiary </w:t>
      </w:r>
      <w:r w:rsidR="0092731E">
        <w:t xml:space="preserve">Conference </w:t>
      </w:r>
      <w:r w:rsidR="006154F5">
        <w:t>is invited to</w:t>
      </w:r>
      <w:r w:rsidR="006154F5">
        <w:rPr>
          <w:szCs w:val="24"/>
        </w:rPr>
        <w:t xml:space="preserve">: </w:t>
      </w:r>
    </w:p>
    <w:p w:rsidR="006154F5" w:rsidRPr="001A14E4" w:rsidRDefault="006154F5" w:rsidP="006154F5">
      <w:pPr>
        <w:pStyle w:val="ListParagraph"/>
        <w:numPr>
          <w:ilvl w:val="0"/>
          <w:numId w:val="3"/>
        </w:numPr>
        <w:rPr>
          <w:szCs w:val="24"/>
        </w:rPr>
      </w:pPr>
      <w:r w:rsidRPr="001A14E4">
        <w:rPr>
          <w:szCs w:val="24"/>
        </w:rPr>
        <w:t>Recognize the significant benefits that this service has offered to delegates (reduced travel cost and time), improved inclusiveness in ITU meetings, conferences and events</w:t>
      </w:r>
      <w:r w:rsidR="0092731E">
        <w:rPr>
          <w:szCs w:val="24"/>
        </w:rPr>
        <w:t>,</w:t>
      </w:r>
      <w:r w:rsidRPr="001A14E4">
        <w:rPr>
          <w:szCs w:val="24"/>
        </w:rPr>
        <w:t xml:space="preserve"> and substantial reductions in carbon emissions.</w:t>
      </w:r>
    </w:p>
    <w:p w:rsidR="006154F5" w:rsidRPr="001A14E4" w:rsidRDefault="006154F5" w:rsidP="006154F5">
      <w:pPr>
        <w:pStyle w:val="ListParagraph"/>
        <w:numPr>
          <w:ilvl w:val="0"/>
          <w:numId w:val="3"/>
        </w:numPr>
        <w:rPr>
          <w:szCs w:val="24"/>
        </w:rPr>
      </w:pPr>
      <w:r w:rsidRPr="001A14E4">
        <w:rPr>
          <w:szCs w:val="24"/>
        </w:rPr>
        <w:t>Note the current technical, financial and legal challenges for adopting remote participation on an equal footing with on-site participation in meeting</w:t>
      </w:r>
      <w:r>
        <w:rPr>
          <w:szCs w:val="24"/>
        </w:rPr>
        <w:t>s</w:t>
      </w:r>
      <w:r w:rsidRPr="001A14E4">
        <w:rPr>
          <w:szCs w:val="24"/>
        </w:rPr>
        <w:t xml:space="preserve"> and events.</w:t>
      </w:r>
    </w:p>
    <w:p w:rsidR="006154F5" w:rsidRPr="001A14E4" w:rsidRDefault="006154F5" w:rsidP="0092731E">
      <w:pPr>
        <w:pStyle w:val="ListParagraph"/>
        <w:numPr>
          <w:ilvl w:val="0"/>
          <w:numId w:val="3"/>
        </w:numPr>
        <w:rPr>
          <w:szCs w:val="24"/>
        </w:rPr>
      </w:pPr>
      <w:r w:rsidRPr="001A14E4">
        <w:rPr>
          <w:szCs w:val="24"/>
        </w:rPr>
        <w:t xml:space="preserve">Instruct the </w:t>
      </w:r>
      <w:r w:rsidR="0092731E">
        <w:rPr>
          <w:szCs w:val="24"/>
        </w:rPr>
        <w:t>s</w:t>
      </w:r>
      <w:r w:rsidRPr="001A14E4">
        <w:rPr>
          <w:szCs w:val="24"/>
        </w:rPr>
        <w:t>ecretariat to continue piloting remote participation taking into consideration the rapid evolution in communications and technological tools to improve quality, availability and accessibility.</w:t>
      </w:r>
    </w:p>
    <w:p w:rsidR="006154F5" w:rsidRDefault="006154F5" w:rsidP="006154F5">
      <w:pPr>
        <w:pStyle w:val="ListParagraph"/>
        <w:numPr>
          <w:ilvl w:val="0"/>
          <w:numId w:val="3"/>
        </w:numPr>
        <w:rPr>
          <w:szCs w:val="24"/>
        </w:rPr>
      </w:pPr>
      <w:r w:rsidRPr="001A14E4">
        <w:rPr>
          <w:szCs w:val="24"/>
        </w:rPr>
        <w:t xml:space="preserve">Request the Council to review at its next session in 2015 the remote participation pilot which will be in its fifth year. </w:t>
      </w:r>
    </w:p>
    <w:p w:rsidR="00E73E55" w:rsidRDefault="00E73E55" w:rsidP="0032202E">
      <w:pPr>
        <w:pStyle w:val="Reasons"/>
      </w:pPr>
    </w:p>
    <w:p w:rsidR="006154F5" w:rsidRPr="0008540E" w:rsidRDefault="00E73E55" w:rsidP="00E73E55">
      <w:pPr>
        <w:jc w:val="center"/>
      </w:pPr>
      <w:r>
        <w:t>______________</w:t>
      </w:r>
    </w:p>
    <w:sectPr w:rsidR="006154F5" w:rsidRPr="0008540E" w:rsidSect="00361097">
      <w:head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EC" w:rsidRDefault="004450EC">
      <w:r>
        <w:separator/>
      </w:r>
    </w:p>
  </w:endnote>
  <w:endnote w:type="continuationSeparator" w:id="0">
    <w:p w:rsidR="004450EC" w:rsidRDefault="0044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EC" w:rsidRDefault="004450EC">
      <w:r>
        <w:t>____________________</w:t>
      </w:r>
    </w:p>
  </w:footnote>
  <w:footnote w:type="continuationSeparator" w:id="0">
    <w:p w:rsidR="004450EC" w:rsidRDefault="004450EC">
      <w:r>
        <w:continuationSeparator/>
      </w:r>
    </w:p>
  </w:footnote>
  <w:footnote w:id="1">
    <w:p w:rsidR="006154F5" w:rsidRPr="0092731E" w:rsidRDefault="006154F5" w:rsidP="006154F5">
      <w:pPr>
        <w:pStyle w:val="FootnoteText"/>
        <w:rPr>
          <w:sz w:val="22"/>
          <w:szCs w:val="18"/>
          <w:lang w:val="en-US"/>
        </w:rPr>
      </w:pPr>
      <w:r w:rsidRPr="0092731E">
        <w:rPr>
          <w:rStyle w:val="FootnoteReference"/>
          <w:sz w:val="14"/>
          <w:szCs w:val="18"/>
        </w:rPr>
        <w:footnoteRef/>
      </w:r>
      <w:r w:rsidRPr="0092731E">
        <w:rPr>
          <w:sz w:val="22"/>
          <w:szCs w:val="18"/>
        </w:rPr>
        <w:tab/>
        <w:t xml:space="preserve">See </w:t>
      </w:r>
      <w:hyperlink r:id="rId1" w:history="1">
        <w:r w:rsidRPr="0092731E">
          <w:rPr>
            <w:sz w:val="22"/>
            <w:szCs w:val="18"/>
          </w:rPr>
          <w:t>Document C14/</w:t>
        </w:r>
      </w:hyperlink>
      <w:r w:rsidRPr="0092731E">
        <w:rPr>
          <w:sz w:val="22"/>
          <w:szCs w:val="18"/>
        </w:rPr>
        <w:t>20 - Appendices 1 and 2</w:t>
      </w:r>
      <w:r w:rsidR="00AE10FA" w:rsidRPr="0092731E">
        <w:rPr>
          <w:sz w:val="22"/>
          <w:szCs w:val="18"/>
        </w:rPr>
        <w:t>.</w:t>
      </w:r>
    </w:p>
  </w:footnote>
  <w:footnote w:id="2">
    <w:p w:rsidR="006154F5" w:rsidRPr="0092731E" w:rsidRDefault="006154F5" w:rsidP="00D222CE">
      <w:pPr>
        <w:pStyle w:val="FootnoteText"/>
        <w:rPr>
          <w:sz w:val="18"/>
          <w:szCs w:val="18"/>
          <w:lang w:val="en-US"/>
        </w:rPr>
      </w:pPr>
      <w:r w:rsidRPr="008D65A4">
        <w:rPr>
          <w:rStyle w:val="FootnoteReference"/>
        </w:rPr>
        <w:footnoteRef/>
      </w:r>
      <w:r w:rsidR="00D222CE">
        <w:tab/>
      </w:r>
      <w:r w:rsidRPr="0092731E">
        <w:rPr>
          <w:sz w:val="22"/>
          <w:szCs w:val="18"/>
        </w:rPr>
        <w:t>See Draft Budget of the Union for 2012-2013 - Document C11/10(Add.1) (Section D, UMACs) and ITU experience with remote participation and proposed action plan - Resolution 167 (Guadalajara, 2010) – (Document C11/37(Rev.1))</w:t>
      </w:r>
      <w:r w:rsidR="00D222CE" w:rsidRPr="0092731E">
        <w:rPr>
          <w:sz w:val="22"/>
          <w:szCs w:val="18"/>
        </w:rPr>
        <w:t>.</w:t>
      </w:r>
    </w:p>
  </w:footnote>
  <w:footnote w:id="3">
    <w:p w:rsidR="006154F5" w:rsidRPr="008D65A4" w:rsidRDefault="006154F5" w:rsidP="00D222CE">
      <w:pPr>
        <w:pStyle w:val="FootnoteText"/>
      </w:pPr>
      <w:r w:rsidRPr="0009141C">
        <w:rPr>
          <w:rStyle w:val="FootnoteReference"/>
          <w:sz w:val="20"/>
        </w:rPr>
        <w:footnoteRef/>
      </w:r>
      <w:r w:rsidR="00D222CE">
        <w:rPr>
          <w:sz w:val="20"/>
        </w:rPr>
        <w:tab/>
      </w:r>
      <w:r w:rsidRPr="0092731E">
        <w:rPr>
          <w:sz w:val="22"/>
          <w:szCs w:val="18"/>
        </w:rPr>
        <w:t>See Resolution 1337 – Bienni</w:t>
      </w:r>
      <w:r w:rsidR="00D222CE" w:rsidRPr="0092731E">
        <w:rPr>
          <w:sz w:val="22"/>
          <w:szCs w:val="18"/>
        </w:rPr>
        <w:t>al Budget of the ITU for 2012-</w:t>
      </w:r>
      <w:r w:rsidRPr="0092731E">
        <w:rPr>
          <w:sz w:val="22"/>
          <w:szCs w:val="18"/>
        </w:rPr>
        <w:t>2013 (Document C11/105)</w:t>
      </w:r>
      <w:r w:rsidR="00D222CE" w:rsidRPr="0092731E">
        <w:rPr>
          <w:sz w:val="22"/>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0D2E0A">
      <w:rPr>
        <w:noProof/>
      </w:rPr>
      <w:t>2</w:t>
    </w:r>
    <w:r>
      <w:fldChar w:fldCharType="end"/>
    </w:r>
  </w:p>
  <w:p w:rsidR="002F5FA2" w:rsidRPr="008263C6" w:rsidRDefault="008263C6" w:rsidP="00BA0E7D">
    <w:pPr>
      <w:pStyle w:val="Header"/>
      <w:ind w:left="567" w:hanging="567"/>
    </w:pPr>
    <w:r>
      <w:t>PP14/</w:t>
    </w:r>
    <w:r w:rsidR="00D708C6">
      <w:t>55</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A2B"/>
    <w:multiLevelType w:val="hybridMultilevel"/>
    <w:tmpl w:val="1A20C13C"/>
    <w:lvl w:ilvl="0" w:tplc="7DA6C048">
      <w:start w:val="1"/>
      <w:numFmt w:val="bullet"/>
      <w:lvlText w:val="-"/>
      <w:lvlJc w:val="left"/>
      <w:pPr>
        <w:ind w:left="360" w:hanging="360"/>
      </w:pPr>
      <w:rPr>
        <w:rFonts w:ascii="Calibri" w:eastAsiaTheme="minorEastAsia" w:hAnsi="Calibri" w:cstheme="minorBidi"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9D79C3"/>
    <w:multiLevelType w:val="hybridMultilevel"/>
    <w:tmpl w:val="1526A8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BC61F86"/>
    <w:multiLevelType w:val="hybridMultilevel"/>
    <w:tmpl w:val="64DCE3E8"/>
    <w:lvl w:ilvl="0" w:tplc="3A52C0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82D4B"/>
    <w:multiLevelType w:val="hybridMultilevel"/>
    <w:tmpl w:val="45F2D326"/>
    <w:lvl w:ilvl="0" w:tplc="7DA6C048">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33A1"/>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D2E0A"/>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450EC"/>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54F5"/>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D65A4"/>
    <w:rsid w:val="008E2A7B"/>
    <w:rsid w:val="008E6E9B"/>
    <w:rsid w:val="008F2C56"/>
    <w:rsid w:val="008F3C99"/>
    <w:rsid w:val="00900D5B"/>
    <w:rsid w:val="009236FE"/>
    <w:rsid w:val="009238C4"/>
    <w:rsid w:val="0092731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B79B4"/>
    <w:rsid w:val="00AD1C5C"/>
    <w:rsid w:val="00AD566F"/>
    <w:rsid w:val="00AE10FA"/>
    <w:rsid w:val="00B1733E"/>
    <w:rsid w:val="00B25A86"/>
    <w:rsid w:val="00B304B9"/>
    <w:rsid w:val="00B55E1A"/>
    <w:rsid w:val="00B57988"/>
    <w:rsid w:val="00B62032"/>
    <w:rsid w:val="00B65F8C"/>
    <w:rsid w:val="00B7263B"/>
    <w:rsid w:val="00B73F47"/>
    <w:rsid w:val="00B7638A"/>
    <w:rsid w:val="00B80DF9"/>
    <w:rsid w:val="00B840D8"/>
    <w:rsid w:val="00B96467"/>
    <w:rsid w:val="00BA0E7D"/>
    <w:rsid w:val="00BA154E"/>
    <w:rsid w:val="00BA37CE"/>
    <w:rsid w:val="00BA4692"/>
    <w:rsid w:val="00BC6FDB"/>
    <w:rsid w:val="00BC7DE8"/>
    <w:rsid w:val="00BE0966"/>
    <w:rsid w:val="00BF43BA"/>
    <w:rsid w:val="00BF5722"/>
    <w:rsid w:val="00BF6268"/>
    <w:rsid w:val="00BF720B"/>
    <w:rsid w:val="00C04511"/>
    <w:rsid w:val="00C16846"/>
    <w:rsid w:val="00C34851"/>
    <w:rsid w:val="00C359E6"/>
    <w:rsid w:val="00C42A5B"/>
    <w:rsid w:val="00C56038"/>
    <w:rsid w:val="00C72664"/>
    <w:rsid w:val="00C86F24"/>
    <w:rsid w:val="00CA38C9"/>
    <w:rsid w:val="00CB0254"/>
    <w:rsid w:val="00CB4984"/>
    <w:rsid w:val="00CB5DD7"/>
    <w:rsid w:val="00CB77D5"/>
    <w:rsid w:val="00CC14F0"/>
    <w:rsid w:val="00CE3B0F"/>
    <w:rsid w:val="00CE40BB"/>
    <w:rsid w:val="00CF1C71"/>
    <w:rsid w:val="00D07696"/>
    <w:rsid w:val="00D11956"/>
    <w:rsid w:val="00D15A98"/>
    <w:rsid w:val="00D222CE"/>
    <w:rsid w:val="00D500DC"/>
    <w:rsid w:val="00D54B39"/>
    <w:rsid w:val="00D64FF3"/>
    <w:rsid w:val="00D657A2"/>
    <w:rsid w:val="00D708C6"/>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73E55"/>
    <w:rsid w:val="00E871C2"/>
    <w:rsid w:val="00EA1BAA"/>
    <w:rsid w:val="00EC1837"/>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ListParagraph">
    <w:name w:val="List Paragraph"/>
    <w:basedOn w:val="Normal"/>
    <w:uiPriority w:val="34"/>
    <w:qFormat/>
    <w:rsid w:val="006154F5"/>
    <w:pPr>
      <w:ind w:left="720"/>
      <w:contextualSpacing/>
    </w:pPr>
  </w:style>
  <w:style w:type="paragraph" w:styleId="NormalWeb">
    <w:name w:val="Normal (Web)"/>
    <w:basedOn w:val="Normal"/>
    <w:uiPriority w:val="99"/>
    <w:unhideWhenUsed/>
    <w:rsid w:val="006154F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uiPriority w:val="59"/>
    <w:rsid w:val="00615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ListParagraph">
    <w:name w:val="List Paragraph"/>
    <w:basedOn w:val="Normal"/>
    <w:uiPriority w:val="34"/>
    <w:qFormat/>
    <w:rsid w:val="006154F5"/>
    <w:pPr>
      <w:ind w:left="720"/>
      <w:contextualSpacing/>
    </w:pPr>
  </w:style>
  <w:style w:type="paragraph" w:styleId="NormalWeb">
    <w:name w:val="Normal (Web)"/>
    <w:basedOn w:val="Normal"/>
    <w:uiPriority w:val="99"/>
    <w:unhideWhenUsed/>
    <w:rsid w:val="006154F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uiPriority w:val="59"/>
    <w:rsid w:val="00615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INF-000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S12-CL-C-002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meetingdoc.asp?lang=en&amp;parent=S11-CL-C-0037" TargetMode="External"/><Relationship Id="rId5" Type="http://schemas.openxmlformats.org/officeDocument/2006/relationships/settings" Target="settings.xml"/><Relationship Id="rId15" Type="http://schemas.openxmlformats.org/officeDocument/2006/relationships/hyperlink" Target="http://www.itu.int/md/S14-CL-C-0020/en" TargetMode="External"/><Relationship Id="rId10" Type="http://schemas.openxmlformats.org/officeDocument/2006/relationships/hyperlink" Target="http://www.itu.int/council/Basic-Texts/ResDecRec-PP10-e.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3-CL-C-0020/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4-CL-C-00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4155-40A9-40E9-9751-425C79F4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8310</Characters>
  <Application>Microsoft Office Word</Application>
  <DocSecurity>0</DocSecurity>
  <Lines>69</Lines>
  <Paragraphs>19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9657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PP-10</cp:keywords>
  <cp:lastModifiedBy>Brouard, Ricarda</cp:lastModifiedBy>
  <cp:revision>2</cp:revision>
  <cp:lastPrinted>2014-07-02T14:21:00Z</cp:lastPrinted>
  <dcterms:created xsi:type="dcterms:W3CDTF">2014-08-15T08:21:00Z</dcterms:created>
  <dcterms:modified xsi:type="dcterms:W3CDTF">2014-08-15T08:21:00Z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