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BD1614" w:rsidRPr="002A6F8F" w:rsidTr="00DB1787">
        <w:trPr>
          <w:cantSplit/>
        </w:trPr>
        <w:tc>
          <w:tcPr>
            <w:tcW w:w="6911" w:type="dxa"/>
          </w:tcPr>
          <w:p w:rsidR="00BD1614" w:rsidRPr="00960D89" w:rsidRDefault="00BD1614" w:rsidP="006A046E">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proofErr w:type="gramStart"/>
            <w:r w:rsidRPr="000F6395">
              <w:rPr>
                <w:b/>
                <w:smallCaps/>
                <w:sz w:val="30"/>
                <w:szCs w:val="30"/>
                <w:lang w:val="fr-CH"/>
              </w:rPr>
              <w:t>)</w:t>
            </w:r>
            <w:proofErr w:type="gramEnd"/>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01E68DCD" wp14:editId="04DAAC2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DB1787">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DB1787">
        <w:trPr>
          <w:cantSplit/>
        </w:trPr>
        <w:tc>
          <w:tcPr>
            <w:tcW w:w="6911" w:type="dxa"/>
            <w:tcBorders>
              <w:top w:val="single" w:sz="12" w:space="0" w:color="auto"/>
            </w:tcBorders>
          </w:tcPr>
          <w:p w:rsidR="00BD1614" w:rsidRPr="008C10D9" w:rsidRDefault="00BD1614" w:rsidP="006A046E">
            <w:pPr>
              <w:spacing w:before="0" w:after="48" w:line="240" w:lineRule="atLeast"/>
              <w:rPr>
                <w:rFonts w:cstheme="minorHAnsi"/>
                <w:b/>
                <w:smallCaps/>
                <w:szCs w:val="24"/>
                <w:lang w:val="en-US"/>
              </w:rPr>
            </w:pPr>
          </w:p>
        </w:tc>
        <w:tc>
          <w:tcPr>
            <w:tcW w:w="3120" w:type="dxa"/>
            <w:tcBorders>
              <w:top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DB1787">
        <w:trPr>
          <w:cantSplit/>
        </w:trPr>
        <w:tc>
          <w:tcPr>
            <w:tcW w:w="6911" w:type="dxa"/>
          </w:tcPr>
          <w:p w:rsidR="00BD1614" w:rsidRPr="008C10D9" w:rsidRDefault="00407795" w:rsidP="006A046E">
            <w:pPr>
              <w:pStyle w:val="Committee"/>
              <w:framePr w:hSpace="0" w:wrap="auto" w:hAnchor="text" w:yAlign="inline"/>
            </w:pPr>
            <w:r w:rsidRPr="008C10D9">
              <w:t>SÉANCE PLÉNIÈRE</w:t>
            </w:r>
          </w:p>
        </w:tc>
        <w:tc>
          <w:tcPr>
            <w:tcW w:w="3120" w:type="dxa"/>
          </w:tcPr>
          <w:p w:rsidR="00BD1614" w:rsidRPr="008C10D9" w:rsidRDefault="00407795" w:rsidP="00DB1787">
            <w:pPr>
              <w:spacing w:before="0" w:line="240" w:lineRule="atLeast"/>
              <w:rPr>
                <w:rFonts w:cstheme="minorHAnsi"/>
                <w:szCs w:val="24"/>
                <w:lang w:val="en-US"/>
              </w:rPr>
            </w:pPr>
            <w:r>
              <w:rPr>
                <w:rFonts w:cstheme="minorHAnsi"/>
                <w:b/>
                <w:szCs w:val="24"/>
                <w:lang w:val="en-US"/>
              </w:rPr>
              <w:t xml:space="preserve">Document </w:t>
            </w:r>
            <w:r w:rsidR="00DB1787">
              <w:rPr>
                <w:rFonts w:cstheme="minorHAnsi"/>
                <w:b/>
                <w:szCs w:val="24"/>
                <w:lang w:val="en-US"/>
              </w:rPr>
              <w:t>55</w:t>
            </w:r>
            <w:r>
              <w:rPr>
                <w:rFonts w:cstheme="minorHAnsi"/>
                <w:b/>
                <w:szCs w:val="24"/>
                <w:lang w:val="en-US"/>
              </w:rPr>
              <w:t>-F</w:t>
            </w:r>
          </w:p>
        </w:tc>
      </w:tr>
      <w:tr w:rsidR="00BD1614" w:rsidRPr="002A6F8F" w:rsidTr="00DB1787">
        <w:trPr>
          <w:cantSplit/>
        </w:trPr>
        <w:tc>
          <w:tcPr>
            <w:tcW w:w="6911" w:type="dxa"/>
          </w:tcPr>
          <w:p w:rsidR="00BD1614" w:rsidRPr="008C10D9" w:rsidRDefault="00BD1614" w:rsidP="006A046E">
            <w:pPr>
              <w:spacing w:before="0" w:after="48" w:line="240" w:lineRule="atLeast"/>
              <w:rPr>
                <w:rFonts w:cstheme="minorHAnsi"/>
                <w:b/>
                <w:smallCaps/>
                <w:szCs w:val="24"/>
                <w:lang w:val="en-US"/>
              </w:rPr>
            </w:pPr>
          </w:p>
        </w:tc>
        <w:tc>
          <w:tcPr>
            <w:tcW w:w="3120" w:type="dxa"/>
          </w:tcPr>
          <w:p w:rsidR="00BD1614" w:rsidRPr="008C10D9" w:rsidRDefault="00DB1787" w:rsidP="006A046E">
            <w:pPr>
              <w:spacing w:before="0" w:line="240" w:lineRule="atLeast"/>
              <w:rPr>
                <w:rFonts w:cstheme="minorHAnsi"/>
                <w:b/>
                <w:szCs w:val="24"/>
                <w:lang w:val="en-US"/>
              </w:rPr>
            </w:pPr>
            <w:r>
              <w:rPr>
                <w:rFonts w:cstheme="minorHAnsi"/>
                <w:b/>
                <w:szCs w:val="24"/>
                <w:lang w:val="en-US"/>
              </w:rPr>
              <w:t xml:space="preserve">30 </w:t>
            </w:r>
            <w:proofErr w:type="spellStart"/>
            <w:r>
              <w:rPr>
                <w:rFonts w:cstheme="minorHAnsi"/>
                <w:b/>
                <w:szCs w:val="24"/>
                <w:lang w:val="en-US"/>
              </w:rPr>
              <w:t>juin</w:t>
            </w:r>
            <w:proofErr w:type="spellEnd"/>
            <w:r w:rsidR="00407795" w:rsidRPr="008C10D9">
              <w:rPr>
                <w:rFonts w:cstheme="minorHAnsi"/>
                <w:b/>
                <w:szCs w:val="24"/>
                <w:lang w:val="en-US"/>
              </w:rPr>
              <w:t xml:space="preserve"> 201</w:t>
            </w:r>
            <w:r>
              <w:rPr>
                <w:rFonts w:cstheme="minorHAnsi"/>
                <w:b/>
                <w:szCs w:val="24"/>
                <w:lang w:val="en-US"/>
              </w:rPr>
              <w:t>4</w:t>
            </w:r>
          </w:p>
        </w:tc>
      </w:tr>
      <w:tr w:rsidR="00BD1614" w:rsidRPr="002A6F8F" w:rsidTr="00DB1787">
        <w:trPr>
          <w:cantSplit/>
        </w:trPr>
        <w:tc>
          <w:tcPr>
            <w:tcW w:w="6911" w:type="dxa"/>
          </w:tcPr>
          <w:p w:rsidR="00BD1614" w:rsidRPr="008C10D9" w:rsidRDefault="00BD1614" w:rsidP="006A046E">
            <w:pPr>
              <w:spacing w:before="0" w:after="48" w:line="240" w:lineRule="atLeast"/>
              <w:rPr>
                <w:rFonts w:cstheme="minorHAnsi"/>
                <w:b/>
                <w:smallCaps/>
                <w:szCs w:val="24"/>
                <w:lang w:val="en-US"/>
              </w:rPr>
            </w:pPr>
          </w:p>
        </w:tc>
        <w:tc>
          <w:tcPr>
            <w:tcW w:w="3120" w:type="dxa"/>
          </w:tcPr>
          <w:p w:rsidR="00BD1614" w:rsidRPr="008C10D9" w:rsidRDefault="00407795" w:rsidP="006A046E">
            <w:pPr>
              <w:spacing w:before="0" w:line="240" w:lineRule="atLeast"/>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rsidTr="00DB1787">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DB1787">
        <w:trPr>
          <w:cantSplit/>
        </w:trPr>
        <w:tc>
          <w:tcPr>
            <w:tcW w:w="10031" w:type="dxa"/>
            <w:gridSpan w:val="2"/>
          </w:tcPr>
          <w:p w:rsidR="00BD1614" w:rsidRPr="002A6F8F" w:rsidRDefault="00DB1787" w:rsidP="00730A3F">
            <w:pPr>
              <w:pStyle w:val="Source"/>
              <w:spacing w:before="360"/>
              <w:rPr>
                <w:lang w:val="en-US"/>
              </w:rPr>
            </w:pPr>
            <w:bookmarkStart w:id="4" w:name="dsource" w:colFirst="0" w:colLast="0"/>
            <w:bookmarkEnd w:id="3"/>
            <w:r>
              <w:rPr>
                <w:lang w:val="en-US"/>
              </w:rPr>
              <w:t xml:space="preserve">Rapport du </w:t>
            </w:r>
            <w:r w:rsidRPr="004F5363">
              <w:t>Secrétaire</w:t>
            </w:r>
            <w:r>
              <w:rPr>
                <w:lang w:val="en-US"/>
              </w:rPr>
              <w:t xml:space="preserve"> </w:t>
            </w:r>
            <w:r w:rsidRPr="004F5363">
              <w:t>général</w:t>
            </w:r>
          </w:p>
        </w:tc>
      </w:tr>
      <w:tr w:rsidR="00BD1614" w:rsidRPr="002A6F8F" w:rsidTr="00DB1787">
        <w:trPr>
          <w:cantSplit/>
        </w:trPr>
        <w:tc>
          <w:tcPr>
            <w:tcW w:w="10031" w:type="dxa"/>
            <w:gridSpan w:val="2"/>
          </w:tcPr>
          <w:p w:rsidR="00BD1614" w:rsidRPr="00DB1787" w:rsidRDefault="00DB1787" w:rsidP="006A046E">
            <w:pPr>
              <w:pStyle w:val="Title1"/>
              <w:rPr>
                <w:lang w:val="fr-CH"/>
              </w:rPr>
            </w:pPr>
            <w:bookmarkStart w:id="5" w:name="OLE_LINK1"/>
            <w:bookmarkStart w:id="6" w:name="OLE_LINK2"/>
            <w:bookmarkStart w:id="7" w:name="dtitle1" w:colFirst="0" w:colLast="0"/>
            <w:bookmarkEnd w:id="4"/>
            <w:r w:rsidRPr="005409F3">
              <w:t>expérience DE L</w:t>
            </w:r>
            <w:r>
              <w:t>'</w:t>
            </w:r>
            <w:r w:rsidRPr="005409F3">
              <w:t>UIT en</w:t>
            </w:r>
            <w:r>
              <w:t xml:space="preserve"> </w:t>
            </w:r>
            <w:r w:rsidRPr="005409F3">
              <w:t>matière de participation à distance et proposition</w:t>
            </w:r>
            <w:r w:rsidRPr="005409F3">
              <w:br/>
              <w:t>de plan d</w:t>
            </w:r>
            <w:r>
              <w:t>'</w:t>
            </w:r>
            <w:r w:rsidRPr="005409F3">
              <w:t>action – Résolution 167 (Guadalajara, 2010)</w:t>
            </w:r>
            <w:bookmarkEnd w:id="5"/>
            <w:bookmarkEnd w:id="6"/>
          </w:p>
        </w:tc>
      </w:tr>
      <w:tr w:rsidR="00BD1614" w:rsidRPr="002A6F8F" w:rsidTr="00DB1787">
        <w:trPr>
          <w:cantSplit/>
          <w:trHeight w:val="430"/>
        </w:trPr>
        <w:tc>
          <w:tcPr>
            <w:tcW w:w="10031" w:type="dxa"/>
            <w:gridSpan w:val="2"/>
          </w:tcPr>
          <w:p w:rsidR="00BD1614" w:rsidRPr="00DB1787" w:rsidRDefault="00BD1614" w:rsidP="00DB1787">
            <w:pPr>
              <w:rPr>
                <w:lang w:val="fr-CH"/>
              </w:rPr>
            </w:pPr>
            <w:bookmarkStart w:id="8" w:name="dtitle2" w:colFirst="0" w:colLast="0"/>
            <w:bookmarkEnd w:id="7"/>
          </w:p>
        </w:tc>
      </w:tr>
      <w:bookmarkEnd w:id="8"/>
    </w:tbl>
    <w:p w:rsidR="00DB1787" w:rsidRPr="00DB1787" w:rsidRDefault="00DB1787" w:rsidP="00DB1787">
      <w:pPr>
        <w:rPr>
          <w:sz w:val="2"/>
          <w:szCs w:val="2"/>
          <w:lang w:val="fr-CH"/>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4"/>
      </w:tblGrid>
      <w:tr w:rsidR="00DB1787" w:rsidRPr="0092392D" w:rsidTr="00730A3F">
        <w:trPr>
          <w:trHeight w:val="3372"/>
          <w:jc w:val="center"/>
        </w:trPr>
        <w:tc>
          <w:tcPr>
            <w:tcW w:w="9624" w:type="dxa"/>
            <w:tcBorders>
              <w:top w:val="single" w:sz="12" w:space="0" w:color="auto"/>
              <w:left w:val="single" w:sz="12" w:space="0" w:color="auto"/>
              <w:bottom w:val="single" w:sz="12" w:space="0" w:color="auto"/>
              <w:right w:val="single" w:sz="12" w:space="0" w:color="auto"/>
            </w:tcBorders>
          </w:tcPr>
          <w:p w:rsidR="00DB1787" w:rsidRPr="0092392D" w:rsidRDefault="00DB1787" w:rsidP="00DB1787">
            <w:pPr>
              <w:pStyle w:val="Headingb"/>
              <w:keepNext w:val="0"/>
              <w:keepLines w:val="0"/>
              <w:rPr>
                <w:lang w:val="fr-CH"/>
              </w:rPr>
            </w:pPr>
            <w:r w:rsidRPr="0092392D">
              <w:rPr>
                <w:lang w:val="fr-CH"/>
              </w:rPr>
              <w:t>Résumé</w:t>
            </w:r>
          </w:p>
          <w:p w:rsidR="00DB1787" w:rsidRPr="002214D4" w:rsidRDefault="00DB1787" w:rsidP="00DB1787">
            <w:pPr>
              <w:rPr>
                <w:i/>
                <w:iCs/>
                <w:szCs w:val="24"/>
              </w:rPr>
            </w:pPr>
            <w:r w:rsidRPr="002214D4">
              <w:rPr>
                <w:szCs w:val="24"/>
              </w:rPr>
              <w:t>La Conférence de plénipotentiaires de l</w:t>
            </w:r>
            <w:r>
              <w:rPr>
                <w:szCs w:val="24"/>
              </w:rPr>
              <w:t>'</w:t>
            </w:r>
            <w:r w:rsidRPr="002214D4">
              <w:rPr>
                <w:szCs w:val="24"/>
              </w:rPr>
              <w:t xml:space="preserve">Union internationale des télécommunications, dans </w:t>
            </w:r>
            <w:r>
              <w:rPr>
                <w:szCs w:val="24"/>
              </w:rPr>
              <w:t>s</w:t>
            </w:r>
            <w:r w:rsidRPr="002214D4">
              <w:rPr>
                <w:szCs w:val="24"/>
              </w:rPr>
              <w:t>a Résolution 167 (Guadalajara, 2010), "charge le Secrétaire général, après consultation et en collaboration avec les directeurs des Bureaux, d</w:t>
            </w:r>
            <w:r>
              <w:rPr>
                <w:szCs w:val="24"/>
              </w:rPr>
              <w:t>'</w:t>
            </w:r>
            <w:r w:rsidRPr="002214D4">
              <w:rPr>
                <w:szCs w:val="24"/>
              </w:rPr>
              <w:t>élaborer un plan d</w:t>
            </w:r>
            <w:r>
              <w:rPr>
                <w:szCs w:val="24"/>
              </w:rPr>
              <w:t>'</w:t>
            </w:r>
            <w:r w:rsidRPr="002214D4">
              <w:rPr>
                <w:szCs w:val="24"/>
              </w:rPr>
              <w:t>action, qui sera examiné par le Conseil à sa session de 2011, prévoyant la participation par voie électronique aux travaux des groupes de travail et aux réunions connexes qui font rapport au Conseil, et notamment l</w:t>
            </w:r>
            <w:r>
              <w:rPr>
                <w:szCs w:val="24"/>
              </w:rPr>
              <w:t>'</w:t>
            </w:r>
            <w:r w:rsidRPr="002214D4">
              <w:rPr>
                <w:szCs w:val="24"/>
              </w:rPr>
              <w:t>utilisation d</w:t>
            </w:r>
            <w:r>
              <w:rPr>
                <w:szCs w:val="24"/>
              </w:rPr>
              <w:t>'</w:t>
            </w:r>
            <w:r w:rsidRPr="002214D4">
              <w:rPr>
                <w:szCs w:val="24"/>
              </w:rPr>
              <w:t xml:space="preserve">outils tels que la visioconférence, de tirer parti des essais concernant les réunions électroniques, en collaboration avec les directeurs des Bureaux, afin que leur mise en </w:t>
            </w:r>
            <w:proofErr w:type="spellStart"/>
            <w:r>
              <w:rPr>
                <w:szCs w:val="24"/>
              </w:rPr>
              <w:t>oeu</w:t>
            </w:r>
            <w:r w:rsidRPr="002214D4">
              <w:rPr>
                <w:szCs w:val="24"/>
              </w:rPr>
              <w:t>vre</w:t>
            </w:r>
            <w:proofErr w:type="spellEnd"/>
            <w:r w:rsidRPr="002214D4">
              <w:rPr>
                <w:szCs w:val="24"/>
              </w:rPr>
              <w:t xml:space="preserve"> ultérieure soit neutre sur le plan technologique, dans toute la mesure possible, et rentable, pour permettre une large participation, tout en répondant aux exigences requises en matière de sécurité …".</w:t>
            </w:r>
          </w:p>
          <w:p w:rsidR="00DB1787" w:rsidRPr="002214D4" w:rsidRDefault="00DB1787" w:rsidP="00DB1787">
            <w:pPr>
              <w:rPr>
                <w:szCs w:val="24"/>
              </w:rPr>
            </w:pPr>
            <w:r w:rsidRPr="002214D4">
              <w:rPr>
                <w:szCs w:val="24"/>
              </w:rPr>
              <w:t>A sa session de 201</w:t>
            </w:r>
            <w:r>
              <w:rPr>
                <w:szCs w:val="24"/>
              </w:rPr>
              <w:t>4</w:t>
            </w:r>
            <w:r w:rsidRPr="002214D4">
              <w:rPr>
                <w:szCs w:val="24"/>
              </w:rPr>
              <w:t>, le Conseil a décidé que, s</w:t>
            </w:r>
            <w:r>
              <w:rPr>
                <w:szCs w:val="24"/>
              </w:rPr>
              <w:t>'</w:t>
            </w:r>
            <w:r w:rsidRPr="002214D4">
              <w:rPr>
                <w:szCs w:val="24"/>
              </w:rPr>
              <w:t>agissant du "</w:t>
            </w:r>
            <w:r w:rsidRPr="002214D4">
              <w:rPr>
                <w:rFonts w:asciiTheme="minorHAnsi" w:hAnsiTheme="minorHAnsi"/>
                <w:szCs w:val="24"/>
              </w:rPr>
              <w:t>Renforcement des capacités de l</w:t>
            </w:r>
            <w:r>
              <w:rPr>
                <w:rFonts w:asciiTheme="minorHAnsi" w:hAnsiTheme="minorHAnsi"/>
                <w:szCs w:val="24"/>
              </w:rPr>
              <w:t>'</w:t>
            </w:r>
            <w:r w:rsidRPr="002214D4">
              <w:rPr>
                <w:rFonts w:asciiTheme="minorHAnsi" w:hAnsiTheme="minorHAnsi"/>
                <w:szCs w:val="24"/>
              </w:rPr>
              <w:t>UIT pour les réunions électroniques et des moyens permettant de faire avan</w:t>
            </w:r>
            <w:r>
              <w:rPr>
                <w:rFonts w:asciiTheme="minorHAnsi" w:hAnsiTheme="minorHAnsi"/>
                <w:szCs w:val="24"/>
              </w:rPr>
              <w:t>cer les travaux de l'Union", il </w:t>
            </w:r>
            <w:r w:rsidRPr="002214D4">
              <w:rPr>
                <w:rFonts w:asciiTheme="minorHAnsi" w:hAnsiTheme="minorHAnsi"/>
                <w:szCs w:val="24"/>
              </w:rPr>
              <w:t>convenait:</w:t>
            </w:r>
            <w:r w:rsidRPr="002214D4">
              <w:rPr>
                <w:szCs w:val="24"/>
              </w:rPr>
              <w:t xml:space="preserve"> </w:t>
            </w:r>
          </w:p>
          <w:p w:rsidR="00DB1787" w:rsidRPr="002214D4" w:rsidRDefault="00DB1787" w:rsidP="00DB1787">
            <w:pPr>
              <w:pStyle w:val="enumlev1"/>
              <w:spacing w:before="80"/>
              <w:rPr>
                <w:szCs w:val="24"/>
              </w:rPr>
            </w:pPr>
            <w:r w:rsidRPr="002214D4">
              <w:rPr>
                <w:szCs w:val="24"/>
              </w:rPr>
              <w:t>1)</w:t>
            </w:r>
            <w:r w:rsidRPr="002214D4">
              <w:rPr>
                <w:szCs w:val="24"/>
              </w:rPr>
              <w:tab/>
              <w:t xml:space="preserve">de poursuivre la phase pilote de mise en </w:t>
            </w:r>
            <w:proofErr w:type="spellStart"/>
            <w:r>
              <w:rPr>
                <w:szCs w:val="24"/>
              </w:rPr>
              <w:t>oeu</w:t>
            </w:r>
            <w:r w:rsidRPr="002214D4">
              <w:rPr>
                <w:szCs w:val="24"/>
              </w:rPr>
              <w:t>vre</w:t>
            </w:r>
            <w:proofErr w:type="spellEnd"/>
            <w:r w:rsidRPr="002214D4">
              <w:rPr>
                <w:szCs w:val="24"/>
              </w:rPr>
              <w:t xml:space="preserve"> de la participation à distance</w:t>
            </w:r>
            <w:r>
              <w:rPr>
                <w:szCs w:val="24"/>
              </w:rPr>
              <w:t xml:space="preserve"> en améliorant et renforçant les services de participation à distance</w:t>
            </w:r>
            <w:r w:rsidRPr="002214D4">
              <w:rPr>
                <w:szCs w:val="24"/>
              </w:rPr>
              <w:t xml:space="preserve">; et </w:t>
            </w:r>
          </w:p>
          <w:p w:rsidR="00DB1787" w:rsidRPr="0092392D" w:rsidRDefault="00DB1787" w:rsidP="00DB1787">
            <w:pPr>
              <w:spacing w:before="80"/>
              <w:ind w:left="567" w:hanging="567"/>
              <w:rPr>
                <w:lang w:val="fr-CH"/>
              </w:rPr>
            </w:pPr>
            <w:r w:rsidRPr="002214D4">
              <w:rPr>
                <w:szCs w:val="24"/>
              </w:rPr>
              <w:t>2)</w:t>
            </w:r>
            <w:r w:rsidRPr="002214D4">
              <w:rPr>
                <w:szCs w:val="24"/>
              </w:rPr>
              <w:tab/>
              <w:t xml:space="preserve">de soumettre </w:t>
            </w:r>
            <w:r>
              <w:rPr>
                <w:szCs w:val="24"/>
              </w:rPr>
              <w:t>à la PP-14</w:t>
            </w:r>
            <w:r w:rsidRPr="002214D4">
              <w:rPr>
                <w:szCs w:val="24"/>
              </w:rPr>
              <w:t xml:space="preserve"> un rapport</w:t>
            </w:r>
            <w:r>
              <w:rPr>
                <w:szCs w:val="24"/>
              </w:rPr>
              <w:t xml:space="preserve"> détaillé</w:t>
            </w:r>
            <w:r w:rsidRPr="002214D4">
              <w:rPr>
                <w:szCs w:val="24"/>
              </w:rPr>
              <w:t xml:space="preserve"> sur les aspects </w:t>
            </w:r>
            <w:r>
              <w:rPr>
                <w:szCs w:val="24"/>
              </w:rPr>
              <w:t>juridiques, techniques et financiers de la participation à distance, en indiquant comment répondre aux préoccupations des personnes handicapées ou ayant des besoins particuliers, et en tenant compte des questions liées à l'utilisation des langues sur un pied d'égalité.</w:t>
            </w:r>
          </w:p>
          <w:p w:rsidR="00DB1787" w:rsidRPr="0092392D" w:rsidRDefault="00DB1787" w:rsidP="00DB1787">
            <w:pPr>
              <w:pStyle w:val="Headingb"/>
              <w:keepNext w:val="0"/>
              <w:keepLines w:val="0"/>
              <w:spacing w:before="120"/>
              <w:rPr>
                <w:lang w:val="fr-CH"/>
              </w:rPr>
            </w:pPr>
            <w:r w:rsidRPr="0092392D">
              <w:rPr>
                <w:lang w:val="fr-CH"/>
              </w:rPr>
              <w:t>Suite à donner</w:t>
            </w:r>
          </w:p>
          <w:p w:rsidR="00DB1787" w:rsidRPr="0092392D" w:rsidRDefault="00DB1787" w:rsidP="00DB1787">
            <w:pPr>
              <w:rPr>
                <w:lang w:val="fr-CH"/>
              </w:rPr>
            </w:pPr>
            <w:r>
              <w:rPr>
                <w:szCs w:val="24"/>
              </w:rPr>
              <w:t>La Conférence de plénipotentiaires</w:t>
            </w:r>
            <w:r w:rsidRPr="002214D4">
              <w:rPr>
                <w:szCs w:val="24"/>
              </w:rPr>
              <w:t xml:space="preserve"> est invité</w:t>
            </w:r>
            <w:r>
              <w:rPr>
                <w:szCs w:val="24"/>
              </w:rPr>
              <w:t>e</w:t>
            </w:r>
            <w:r w:rsidRPr="002214D4">
              <w:rPr>
                <w:szCs w:val="24"/>
              </w:rPr>
              <w:t xml:space="preserve"> à </w:t>
            </w:r>
            <w:r w:rsidRPr="002C068C">
              <w:rPr>
                <w:szCs w:val="24"/>
              </w:rPr>
              <w:t>examiner le</w:t>
            </w:r>
            <w:r w:rsidRPr="002214D4">
              <w:rPr>
                <w:szCs w:val="24"/>
              </w:rPr>
              <w:t xml:space="preserve"> présent rapport</w:t>
            </w:r>
            <w:r>
              <w:rPr>
                <w:szCs w:val="24"/>
              </w:rPr>
              <w:t xml:space="preserve"> et à décider des orientations futures, compte tenu des modifications de procédure qui deviendraient nécessaires si la participation à distance était officialisée</w:t>
            </w:r>
            <w:r w:rsidRPr="002214D4">
              <w:rPr>
                <w:szCs w:val="24"/>
              </w:rPr>
              <w:t>.</w:t>
            </w:r>
          </w:p>
          <w:p w:rsidR="00DB1787" w:rsidRPr="0092392D" w:rsidRDefault="00DB1787" w:rsidP="00DB1787">
            <w:pPr>
              <w:pStyle w:val="Headingb"/>
              <w:keepNext w:val="0"/>
              <w:keepLines w:val="0"/>
              <w:spacing w:before="120"/>
              <w:rPr>
                <w:lang w:val="fr-CH"/>
              </w:rPr>
            </w:pPr>
            <w:r w:rsidRPr="0092392D">
              <w:rPr>
                <w:lang w:val="fr-CH"/>
              </w:rPr>
              <w:t>Références</w:t>
            </w:r>
          </w:p>
          <w:p w:rsidR="00DB1787" w:rsidRPr="0092392D" w:rsidRDefault="00F265C7" w:rsidP="00DB1787">
            <w:pPr>
              <w:spacing w:after="120"/>
              <w:rPr>
                <w:i/>
                <w:iCs/>
                <w:lang w:val="fr-CH"/>
              </w:rPr>
            </w:pPr>
            <w:hyperlink r:id="rId10" w:anchor="res167" w:history="1">
              <w:r w:rsidR="00DB1787" w:rsidRPr="002214D4">
                <w:rPr>
                  <w:rStyle w:val="Hyperlink"/>
                  <w:i/>
                  <w:iCs/>
                  <w:szCs w:val="24"/>
                </w:rPr>
                <w:t>Résolution 167 (Guadalajara, 2010)</w:t>
              </w:r>
            </w:hyperlink>
            <w:r w:rsidR="00DB1787" w:rsidRPr="002214D4">
              <w:rPr>
                <w:rStyle w:val="Hyperlink"/>
                <w:i/>
                <w:iCs/>
                <w:szCs w:val="24"/>
              </w:rPr>
              <w:t> de la Conférence de plénipotentiaires</w:t>
            </w:r>
            <w:r w:rsidR="00DB1787" w:rsidRPr="002214D4">
              <w:rPr>
                <w:szCs w:val="24"/>
              </w:rPr>
              <w:t xml:space="preserve">; </w:t>
            </w:r>
            <w:hyperlink r:id="rId11" w:history="1">
              <w:r w:rsidR="00DB1787">
                <w:rPr>
                  <w:rStyle w:val="Hyperlink"/>
                  <w:i/>
                  <w:iCs/>
                  <w:szCs w:val="24"/>
                </w:rPr>
                <w:t>Documents du Conseil </w:t>
              </w:r>
              <w:r w:rsidR="00DB1787" w:rsidRPr="002214D4">
                <w:rPr>
                  <w:rStyle w:val="Hyperlink"/>
                  <w:i/>
                  <w:iCs/>
                  <w:szCs w:val="24"/>
                </w:rPr>
                <w:t>C11/37(Rév.1)</w:t>
              </w:r>
            </w:hyperlink>
            <w:r w:rsidR="00DB1787" w:rsidRPr="00730A3F">
              <w:rPr>
                <w:rStyle w:val="Hyperlink"/>
                <w:bCs/>
                <w:i/>
                <w:iCs/>
                <w:color w:val="auto"/>
                <w:szCs w:val="24"/>
                <w:u w:val="none"/>
              </w:rPr>
              <w:t xml:space="preserve">; </w:t>
            </w:r>
            <w:hyperlink r:id="rId12" w:history="1">
              <w:r w:rsidR="00DB1787" w:rsidRPr="002214D4">
                <w:rPr>
                  <w:rStyle w:val="Hyperlink"/>
                  <w:i/>
                  <w:iCs/>
                  <w:szCs w:val="24"/>
                </w:rPr>
                <w:t>C12/21(Rév.1)</w:t>
              </w:r>
            </w:hyperlink>
            <w:r w:rsidR="00DB1787" w:rsidRPr="00730A3F">
              <w:rPr>
                <w:rStyle w:val="Hyperlink"/>
                <w:bCs/>
                <w:i/>
                <w:iCs/>
                <w:color w:val="auto"/>
                <w:szCs w:val="24"/>
                <w:u w:val="none"/>
              </w:rPr>
              <w:t xml:space="preserve">; </w:t>
            </w:r>
            <w:hyperlink r:id="rId13" w:history="1">
              <w:r w:rsidR="00DB1787" w:rsidRPr="002214D4">
                <w:rPr>
                  <w:rStyle w:val="Hyperlink"/>
                  <w:i/>
                  <w:iCs/>
                  <w:szCs w:val="24"/>
                </w:rPr>
                <w:t>C13/INF/8</w:t>
              </w:r>
            </w:hyperlink>
            <w:r w:rsidR="00DB1787" w:rsidRPr="00730A3F">
              <w:rPr>
                <w:rStyle w:val="Hyperlink"/>
                <w:bCs/>
                <w:i/>
                <w:iCs/>
                <w:color w:val="auto"/>
                <w:szCs w:val="24"/>
                <w:u w:val="none"/>
              </w:rPr>
              <w:t xml:space="preserve">; </w:t>
            </w:r>
            <w:hyperlink r:id="rId14" w:history="1">
              <w:r w:rsidR="00DB1787" w:rsidRPr="004F5363">
                <w:rPr>
                  <w:rStyle w:val="Hyperlink"/>
                  <w:bCs/>
                  <w:i/>
                  <w:iCs/>
                  <w:szCs w:val="24"/>
                </w:rPr>
                <w:t>C13/20(Rév.1)</w:t>
              </w:r>
            </w:hyperlink>
            <w:r w:rsidR="004F5363">
              <w:rPr>
                <w:bCs/>
                <w:i/>
                <w:iCs/>
                <w:szCs w:val="24"/>
              </w:rPr>
              <w:t xml:space="preserve"> et </w:t>
            </w:r>
            <w:hyperlink r:id="rId15" w:history="1">
              <w:r w:rsidR="00DB1787" w:rsidRPr="004F5363">
                <w:rPr>
                  <w:rStyle w:val="Hyperlink"/>
                  <w:bCs/>
                  <w:i/>
                  <w:iCs/>
                  <w:szCs w:val="24"/>
                </w:rPr>
                <w:t>C14/20)</w:t>
              </w:r>
            </w:hyperlink>
          </w:p>
        </w:tc>
      </w:tr>
    </w:tbl>
    <w:p w:rsidR="00DB1787" w:rsidRPr="005409F3" w:rsidRDefault="00DB1787" w:rsidP="00DB1787">
      <w:pPr>
        <w:pStyle w:val="Headingb"/>
      </w:pPr>
      <w:r>
        <w:lastRenderedPageBreak/>
        <w:t>Ra</w:t>
      </w:r>
      <w:bookmarkStart w:id="9" w:name="_GoBack"/>
      <w:bookmarkEnd w:id="9"/>
      <w:r>
        <w:t>ppel</w:t>
      </w:r>
    </w:p>
    <w:p w:rsidR="00DB1787" w:rsidRPr="005409F3" w:rsidRDefault="00DB1787" w:rsidP="00DB1787">
      <w:pPr>
        <w:tabs>
          <w:tab w:val="clear" w:pos="567"/>
          <w:tab w:val="clear" w:pos="1134"/>
          <w:tab w:val="clear" w:pos="1701"/>
          <w:tab w:val="clear" w:pos="2268"/>
          <w:tab w:val="clear" w:pos="2835"/>
        </w:tabs>
        <w:snapToGrid w:val="0"/>
        <w:spacing w:after="120"/>
      </w:pPr>
      <w:r w:rsidRPr="005409F3">
        <w:t>1</w:t>
      </w:r>
      <w:r w:rsidRPr="005409F3">
        <w:tab/>
      </w:r>
      <w:r>
        <w:t>Dans</w:t>
      </w:r>
      <w:r w:rsidRPr="005409F3">
        <w:t xml:space="preserve"> sa Résolution 167 (Guadalajara, 2010), la Conférence de plénipotentiaires charg</w:t>
      </w:r>
      <w:r>
        <w:t xml:space="preserve">e </w:t>
      </w:r>
      <w:r w:rsidRPr="005409F3">
        <w:t>le Secrétaire général, en association avec les groupes consultatifs des trois Secteurs, de perfectionner les méthodes de travail électroniques en vue de les appliquer pour la participation à distance/par voie électronique. La participation par voie électronique devrait être étendue aux groupes de travail de l</w:t>
      </w:r>
      <w:r>
        <w:t>'</w:t>
      </w:r>
      <w:r w:rsidRPr="005409F3">
        <w:t>UIT ainsi qu</w:t>
      </w:r>
      <w:r>
        <w:t>'</w:t>
      </w:r>
      <w:r w:rsidRPr="005409F3">
        <w:t xml:space="preserve">aux réunions qui soumettent des rapports au Conseil. </w:t>
      </w:r>
    </w:p>
    <w:p w:rsidR="00DB1787" w:rsidRDefault="00DB1787" w:rsidP="00DB1787">
      <w:pPr>
        <w:tabs>
          <w:tab w:val="clear" w:pos="567"/>
          <w:tab w:val="clear" w:pos="1134"/>
          <w:tab w:val="clear" w:pos="1701"/>
          <w:tab w:val="clear" w:pos="2268"/>
          <w:tab w:val="clear" w:pos="2835"/>
        </w:tabs>
        <w:snapToGrid w:val="0"/>
        <w:spacing w:after="120"/>
      </w:pPr>
      <w:r>
        <w:t>2</w:t>
      </w:r>
      <w:r w:rsidRPr="005409F3">
        <w:tab/>
        <w:t xml:space="preserve">La phase pilote de mise en </w:t>
      </w:r>
      <w:proofErr w:type="spellStart"/>
      <w:r>
        <w:t>oeu</w:t>
      </w:r>
      <w:r w:rsidRPr="005409F3">
        <w:t>vre</w:t>
      </w:r>
      <w:proofErr w:type="spellEnd"/>
      <w:r w:rsidRPr="005409F3">
        <w:t xml:space="preserve"> de </w:t>
      </w:r>
      <w:r>
        <w:t xml:space="preserve">la </w:t>
      </w:r>
      <w:r w:rsidRPr="005409F3">
        <w:t xml:space="preserve">participation à distance </w:t>
      </w:r>
      <w:r>
        <w:t xml:space="preserve">en tant que service </w:t>
      </w:r>
      <w:r w:rsidRPr="005409F3">
        <w:t>à l</w:t>
      </w:r>
      <w:r>
        <w:t>'</w:t>
      </w:r>
      <w:r w:rsidRPr="005409F3">
        <w:t>UIT est entrée dans sa quatrième année.</w:t>
      </w:r>
      <w:r>
        <w:t xml:space="preserve"> Quatre rapports ont été présentés au Conseil, indiquant l'évolution de la situation et les difficultés rencontrées au cours de la mise en </w:t>
      </w:r>
      <w:proofErr w:type="spellStart"/>
      <w:r>
        <w:t>oeuvre</w:t>
      </w:r>
      <w:proofErr w:type="spellEnd"/>
      <w:r>
        <w:t>.</w:t>
      </w:r>
    </w:p>
    <w:p w:rsidR="00DB1787" w:rsidRDefault="00DB1787" w:rsidP="00DB1787">
      <w:pPr>
        <w:tabs>
          <w:tab w:val="clear" w:pos="567"/>
          <w:tab w:val="clear" w:pos="1134"/>
          <w:tab w:val="clear" w:pos="1701"/>
          <w:tab w:val="clear" w:pos="2268"/>
          <w:tab w:val="clear" w:pos="2835"/>
        </w:tabs>
        <w:snapToGrid w:val="0"/>
        <w:spacing w:after="120"/>
      </w:pPr>
      <w:r>
        <w:t>3</w:t>
      </w:r>
      <w:r>
        <w:tab/>
        <w:t>La participation à distance a été assurée dans plus de 1 300 séances et a concerné plus de 10 000 personnes au cours des quatre dernières années.</w:t>
      </w:r>
    </w:p>
    <w:p w:rsidR="00DB1787" w:rsidRDefault="00DB1787" w:rsidP="00DB1787">
      <w:pPr>
        <w:tabs>
          <w:tab w:val="clear" w:pos="567"/>
          <w:tab w:val="clear" w:pos="1134"/>
          <w:tab w:val="clear" w:pos="1701"/>
          <w:tab w:val="clear" w:pos="2268"/>
          <w:tab w:val="clear" w:pos="2835"/>
        </w:tabs>
        <w:snapToGrid w:val="0"/>
        <w:spacing w:after="120"/>
      </w:pPr>
      <w:r>
        <w:t>4</w:t>
      </w:r>
      <w:r>
        <w:tab/>
        <w:t>Des informations détaillées sur son utilisation par les trois Bureaux et par les pays développés/pays en développement ont été publiées dans le dernier rapport présenté au Conseil</w:t>
      </w:r>
      <w:r>
        <w:rPr>
          <w:rStyle w:val="FootnoteReference"/>
        </w:rPr>
        <w:footnoteReference w:id="1"/>
      </w:r>
      <w:r>
        <w:t>.</w:t>
      </w:r>
    </w:p>
    <w:p w:rsidR="00DB1787" w:rsidRDefault="00DB1787" w:rsidP="00DB1787">
      <w:pPr>
        <w:tabs>
          <w:tab w:val="clear" w:pos="567"/>
          <w:tab w:val="clear" w:pos="1134"/>
          <w:tab w:val="clear" w:pos="1701"/>
          <w:tab w:val="clear" w:pos="2268"/>
          <w:tab w:val="clear" w:pos="2835"/>
        </w:tabs>
        <w:snapToGrid w:val="0"/>
        <w:spacing w:after="120"/>
        <w:rPr>
          <w:rFonts w:cs="Calibri"/>
          <w:color w:val="000000"/>
          <w:szCs w:val="24"/>
          <w:lang w:val="fr-CH"/>
        </w:rPr>
      </w:pPr>
      <w:r>
        <w:t>5</w:t>
      </w:r>
      <w:r>
        <w:tab/>
        <w:t>Dans le projet final de rapport de la CMDT-14, il est demandé que "</w:t>
      </w:r>
      <w:r w:rsidRPr="004A7C11">
        <w:rPr>
          <w:lang w:val="fr-CH"/>
        </w:rPr>
        <w:t>D</w:t>
      </w:r>
      <w:r w:rsidRPr="004A7C11">
        <w:rPr>
          <w:rFonts w:cs="Calibri"/>
          <w:color w:val="000000"/>
          <w:szCs w:val="24"/>
          <w:lang w:val="fr-CH"/>
        </w:rPr>
        <w:t>ans la mesure pratiquement possible et autant que faire se peut, les commissions d</w:t>
      </w:r>
      <w:r>
        <w:rPr>
          <w:rFonts w:cs="Calibri"/>
          <w:color w:val="000000"/>
          <w:szCs w:val="24"/>
          <w:lang w:val="fr-CH"/>
        </w:rPr>
        <w:t>'</w:t>
      </w:r>
      <w:r w:rsidRPr="004A7C11">
        <w:rPr>
          <w:rFonts w:cs="Calibri"/>
          <w:color w:val="000000"/>
          <w:szCs w:val="24"/>
          <w:lang w:val="fr-CH"/>
        </w:rPr>
        <w:t>études et les groupes qui en relèvent s</w:t>
      </w:r>
      <w:r>
        <w:rPr>
          <w:rFonts w:cs="Calibri"/>
          <w:color w:val="000000"/>
          <w:szCs w:val="24"/>
          <w:lang w:val="fr-CH"/>
        </w:rPr>
        <w:t>'</w:t>
      </w:r>
      <w:r w:rsidRPr="004A7C11">
        <w:rPr>
          <w:rFonts w:cs="Calibri"/>
          <w:color w:val="000000"/>
          <w:szCs w:val="24"/>
          <w:lang w:val="fr-CH"/>
        </w:rPr>
        <w:t>efforcent d</w:t>
      </w:r>
      <w:r>
        <w:rPr>
          <w:rFonts w:cs="Calibri"/>
          <w:color w:val="000000"/>
          <w:szCs w:val="24"/>
          <w:lang w:val="fr-CH"/>
        </w:rPr>
        <w:t>'</w:t>
      </w:r>
      <w:r w:rsidRPr="004A7C11">
        <w:rPr>
          <w:rFonts w:cs="Calibri"/>
          <w:color w:val="000000"/>
          <w:szCs w:val="24"/>
          <w:lang w:val="fr-CH"/>
        </w:rPr>
        <w:t>utiliser les techniques de participation à distance dans le cadre des efforts visant à encourager et à permettre une plus large participation aux travaux des commissions d</w:t>
      </w:r>
      <w:r>
        <w:rPr>
          <w:rFonts w:cs="Calibri"/>
          <w:color w:val="000000"/>
          <w:szCs w:val="24"/>
          <w:lang w:val="fr-CH"/>
        </w:rPr>
        <w:t>'</w:t>
      </w:r>
      <w:r w:rsidRPr="004A7C11">
        <w:rPr>
          <w:rFonts w:cs="Calibri"/>
          <w:color w:val="000000"/>
          <w:szCs w:val="24"/>
          <w:lang w:val="fr-CH"/>
        </w:rPr>
        <w:t>études de tous les Etats Membres, Membres du Secteur, Associés et établissements universitaires, en particulier pour les personnes ayant des besoins particuliers, telles que les personnes handicapées</w:t>
      </w:r>
      <w:r>
        <w:rPr>
          <w:rFonts w:cs="Calibri"/>
          <w:color w:val="000000"/>
          <w:szCs w:val="24"/>
          <w:lang w:val="fr-CH"/>
        </w:rPr>
        <w:t>".</w:t>
      </w:r>
    </w:p>
    <w:p w:rsidR="00DB1787" w:rsidRPr="00AC2E90" w:rsidRDefault="00DB1787" w:rsidP="00DB1787">
      <w:pPr>
        <w:pStyle w:val="Headingb"/>
      </w:pPr>
      <w:r>
        <w:t>Problèmes</w:t>
      </w:r>
      <w:r w:rsidRPr="00AC2E90">
        <w:t xml:space="preserve"> d</w:t>
      </w:r>
      <w:r>
        <w:t>'</w:t>
      </w:r>
      <w:r w:rsidRPr="00AC2E90">
        <w:t>ordre technique et juridique</w:t>
      </w:r>
    </w:p>
    <w:p w:rsidR="00DB1787" w:rsidRDefault="00DB1787" w:rsidP="00DB1787">
      <w:r>
        <w:t>6</w:t>
      </w:r>
      <w:r>
        <w:tab/>
        <w:t>Le tableau ci-après présente les deux grands problèmes d'ordre technique, leurs conséquences éventuelles et les problèmes juridiques connexes.</w:t>
      </w:r>
    </w:p>
    <w:p w:rsidR="008B594C" w:rsidRDefault="00DB1787" w:rsidP="00730A3F">
      <w:pPr>
        <w:pStyle w:val="TableNo"/>
        <w:spacing w:before="500"/>
        <w:rPr>
          <w:lang w:val="fr-CH"/>
        </w:rPr>
      </w:pPr>
      <w:r w:rsidRPr="004C140A">
        <w:rPr>
          <w:lang w:val="fr-CH"/>
        </w:rPr>
        <w:t>Tableau 1</w:t>
      </w:r>
    </w:p>
    <w:p w:rsidR="00DB1787" w:rsidRPr="004C140A" w:rsidRDefault="00DB1787" w:rsidP="008B594C">
      <w:pPr>
        <w:pStyle w:val="Tabletitle"/>
        <w:rPr>
          <w:lang w:val="fr-CH"/>
        </w:rPr>
      </w:pPr>
      <w:r w:rsidRPr="004C140A">
        <w:rPr>
          <w:lang w:val="fr-CH"/>
        </w:rPr>
        <w:t xml:space="preserve">Problèmes techniques et </w:t>
      </w:r>
      <w:r w:rsidRPr="008B594C">
        <w:t>problèmes</w:t>
      </w:r>
      <w:r w:rsidRPr="004C140A">
        <w:rPr>
          <w:lang w:val="fr-CH"/>
        </w:rPr>
        <w:t xml:space="preserve"> juridiques connexes</w:t>
      </w:r>
    </w:p>
    <w:tbl>
      <w:tblPr>
        <w:tblStyle w:val="TableGrid"/>
        <w:tblW w:w="9923" w:type="dxa"/>
        <w:tblInd w:w="-147" w:type="dxa"/>
        <w:tblLook w:val="04A0" w:firstRow="1" w:lastRow="0" w:firstColumn="1" w:lastColumn="0" w:noHBand="0" w:noVBand="1"/>
      </w:tblPr>
      <w:tblGrid>
        <w:gridCol w:w="9923"/>
      </w:tblGrid>
      <w:tr w:rsidR="00DB1787" w:rsidRPr="00E8185F" w:rsidTr="00E8185F">
        <w:tc>
          <w:tcPr>
            <w:tcW w:w="9923" w:type="dxa"/>
          </w:tcPr>
          <w:p w:rsidR="00DB1787" w:rsidRPr="00E8185F" w:rsidRDefault="00DB1787" w:rsidP="008B594C">
            <w:pPr>
              <w:pStyle w:val="Tabletext"/>
              <w:rPr>
                <w:b/>
                <w:szCs w:val="22"/>
                <w:lang w:val="fr-CH"/>
              </w:rPr>
            </w:pPr>
            <w:r w:rsidRPr="00E8185F">
              <w:rPr>
                <w:b/>
                <w:szCs w:val="22"/>
                <w:u w:val="single"/>
                <w:lang w:val="fr-CH"/>
              </w:rPr>
              <w:t>Problème technique 1</w:t>
            </w:r>
            <w:r w:rsidRPr="00E8185F">
              <w:rPr>
                <w:b/>
                <w:szCs w:val="22"/>
                <w:lang w:val="fr-CH"/>
              </w:rPr>
              <w:t xml:space="preserve">: </w:t>
            </w:r>
            <w:r w:rsidRPr="00E8185F">
              <w:rPr>
                <w:szCs w:val="22"/>
                <w:lang w:val="fr-CH"/>
              </w:rPr>
              <w:t>Qualité de la voix/du son sur les infrastructures publiques utilisées pour connecter les participants à distance (ne dépend pas de l'UIT)</w:t>
            </w:r>
            <w:r w:rsidR="00883B55">
              <w:rPr>
                <w:szCs w:val="22"/>
                <w:lang w:val="fr-CH"/>
              </w:rPr>
              <w:t>.</w:t>
            </w:r>
          </w:p>
        </w:tc>
      </w:tr>
      <w:tr w:rsidR="00DB1787" w:rsidRPr="00E8185F" w:rsidTr="00E8185F">
        <w:tc>
          <w:tcPr>
            <w:tcW w:w="9923" w:type="dxa"/>
          </w:tcPr>
          <w:p w:rsidR="00DB1787" w:rsidRPr="00E8185F" w:rsidRDefault="00DB1787" w:rsidP="008B594C">
            <w:pPr>
              <w:pStyle w:val="Tabletext"/>
              <w:rPr>
                <w:b/>
                <w:szCs w:val="22"/>
                <w:lang w:val="fr-CH"/>
              </w:rPr>
            </w:pPr>
            <w:r w:rsidRPr="00E8185F">
              <w:rPr>
                <w:b/>
                <w:szCs w:val="22"/>
                <w:lang w:val="fr-CH"/>
              </w:rPr>
              <w:t xml:space="preserve">Conséquences: </w:t>
            </w:r>
            <w:r w:rsidRPr="00E8185F">
              <w:rPr>
                <w:szCs w:val="22"/>
                <w:lang w:val="fr-CH"/>
              </w:rPr>
              <w:t>Pas d'interprétation possible pour les interventions à distance.</w:t>
            </w:r>
          </w:p>
        </w:tc>
      </w:tr>
      <w:tr w:rsidR="00DB1787" w:rsidRPr="00E8185F" w:rsidTr="00E8185F">
        <w:tc>
          <w:tcPr>
            <w:tcW w:w="9923" w:type="dxa"/>
          </w:tcPr>
          <w:p w:rsidR="00DB1787" w:rsidRPr="00E8185F" w:rsidRDefault="00DB1787" w:rsidP="008B594C">
            <w:pPr>
              <w:pStyle w:val="Tabletext"/>
              <w:rPr>
                <w:b/>
                <w:szCs w:val="22"/>
              </w:rPr>
            </w:pPr>
            <w:r w:rsidRPr="00E8185F">
              <w:rPr>
                <w:b/>
                <w:szCs w:val="22"/>
              </w:rPr>
              <w:t>Solutions possibles:</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Pas d'interprétation (Canal orateur seulement).</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 xml:space="preserve">Différer l'intervention à distance (tentatives pour améliorer la qualité – ne dépendent pas </w:t>
            </w:r>
            <w:r w:rsidR="00E8185F" w:rsidRPr="00E8185F">
              <w:rPr>
                <w:sz w:val="22"/>
                <w:szCs w:val="22"/>
                <w:lang w:val="fr-CH"/>
              </w:rPr>
              <w:t>de </w:t>
            </w:r>
            <w:r w:rsidR="00DB1787" w:rsidRPr="00E8185F">
              <w:rPr>
                <w:sz w:val="22"/>
                <w:szCs w:val="22"/>
                <w:lang w:val="fr-CH"/>
              </w:rPr>
              <w:t>l'UIT)</w:t>
            </w:r>
            <w:r w:rsidRPr="00E8185F">
              <w:rPr>
                <w:sz w:val="22"/>
                <w:szCs w:val="22"/>
                <w:lang w:val="fr-CH"/>
              </w:rPr>
              <w:t>.</w:t>
            </w:r>
          </w:p>
          <w:p w:rsidR="00DB1787" w:rsidRPr="00E8185F" w:rsidRDefault="008B594C" w:rsidP="00E8185F">
            <w:pPr>
              <w:pStyle w:val="enumlev1"/>
              <w:rPr>
                <w:sz w:val="22"/>
                <w:szCs w:val="22"/>
              </w:rPr>
            </w:pPr>
            <w:r w:rsidRPr="00E8185F">
              <w:rPr>
                <w:sz w:val="22"/>
                <w:szCs w:val="22"/>
                <w:lang w:val="fr-CH"/>
              </w:rPr>
              <w:t>–</w:t>
            </w:r>
            <w:r w:rsidRPr="00E8185F">
              <w:rPr>
                <w:sz w:val="22"/>
                <w:szCs w:val="22"/>
                <w:lang w:val="fr-CH"/>
              </w:rPr>
              <w:tab/>
            </w:r>
            <w:r w:rsidR="00DB1787" w:rsidRPr="00E8185F">
              <w:rPr>
                <w:sz w:val="22"/>
                <w:szCs w:val="22"/>
              </w:rPr>
              <w:t>Annuler l'intervention à distance.</w:t>
            </w:r>
          </w:p>
          <w:p w:rsidR="00DB1787" w:rsidRPr="00E8185F" w:rsidRDefault="008B594C" w:rsidP="00730A3F">
            <w:pPr>
              <w:pStyle w:val="enumlev1"/>
              <w:spacing w:after="60"/>
              <w:rPr>
                <w:b/>
                <w:sz w:val="22"/>
                <w:szCs w:val="22"/>
              </w:rPr>
            </w:pPr>
            <w:r w:rsidRPr="00E8185F">
              <w:rPr>
                <w:sz w:val="22"/>
                <w:szCs w:val="22"/>
                <w:lang w:val="fr-CH"/>
              </w:rPr>
              <w:t>–</w:t>
            </w:r>
            <w:r w:rsidRPr="00E8185F">
              <w:rPr>
                <w:sz w:val="22"/>
                <w:szCs w:val="22"/>
                <w:lang w:val="fr-CH"/>
              </w:rPr>
              <w:tab/>
            </w:r>
            <w:r w:rsidR="00DB1787" w:rsidRPr="00E8185F">
              <w:rPr>
                <w:sz w:val="22"/>
                <w:szCs w:val="22"/>
              </w:rPr>
              <w:t xml:space="preserve">Intervention par proxy. </w:t>
            </w:r>
          </w:p>
        </w:tc>
      </w:tr>
      <w:tr w:rsidR="00DB1787" w:rsidRPr="00E8185F" w:rsidTr="00E8185F">
        <w:tc>
          <w:tcPr>
            <w:tcW w:w="9923" w:type="dxa"/>
          </w:tcPr>
          <w:p w:rsidR="00DB1787" w:rsidRPr="00E8185F" w:rsidRDefault="00DB1787" w:rsidP="008B594C">
            <w:pPr>
              <w:pStyle w:val="Tabletext"/>
              <w:rPr>
                <w:b/>
                <w:szCs w:val="22"/>
              </w:rPr>
            </w:pPr>
            <w:r w:rsidRPr="00E8185F">
              <w:rPr>
                <w:b/>
                <w:szCs w:val="22"/>
              </w:rPr>
              <w:t>Problèmes juridiques:</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Impossibilité de garantir que les besoins linguistiques sont satisfaits pour les réunions.</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Impossibilité de garantir l'égalité des droits entre les participants à d</w:t>
            </w:r>
            <w:r w:rsidR="00E8185F" w:rsidRPr="00E8185F">
              <w:rPr>
                <w:sz w:val="22"/>
                <w:szCs w:val="22"/>
                <w:lang w:val="fr-CH"/>
              </w:rPr>
              <w:t>istance et les participants sur </w:t>
            </w:r>
            <w:r w:rsidR="00DB1787" w:rsidRPr="00E8185F">
              <w:rPr>
                <w:sz w:val="22"/>
                <w:szCs w:val="22"/>
                <w:lang w:val="fr-CH"/>
              </w:rPr>
              <w:t>place.</w:t>
            </w:r>
          </w:p>
        </w:tc>
      </w:tr>
      <w:tr w:rsidR="00DB1787" w:rsidRPr="00E8185F" w:rsidTr="00E8185F">
        <w:tc>
          <w:tcPr>
            <w:tcW w:w="9923" w:type="dxa"/>
          </w:tcPr>
          <w:p w:rsidR="00DB1787" w:rsidRPr="00E8185F" w:rsidRDefault="00DB1787" w:rsidP="008B594C">
            <w:pPr>
              <w:pStyle w:val="Tabletext"/>
              <w:rPr>
                <w:b/>
                <w:szCs w:val="22"/>
              </w:rPr>
            </w:pPr>
            <w:r w:rsidRPr="00E8185F">
              <w:rPr>
                <w:b/>
                <w:szCs w:val="22"/>
              </w:rPr>
              <w:lastRenderedPageBreak/>
              <w:t>Modifications du cadre juridique:</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Modifier, le cas échéant, l'</w:t>
            </w:r>
            <w:r w:rsidR="00E8185F">
              <w:rPr>
                <w:sz w:val="22"/>
                <w:szCs w:val="22"/>
                <w:lang w:val="fr-CH"/>
              </w:rPr>
              <w:t>a</w:t>
            </w:r>
            <w:r w:rsidR="00DB1787" w:rsidRPr="00E8185F">
              <w:rPr>
                <w:sz w:val="22"/>
                <w:szCs w:val="22"/>
                <w:lang w:val="fr-CH"/>
              </w:rPr>
              <w:t>rticle 31 de la Convention (pouvoirs), pour y couvrir le cas d'une impossibilité technique de dernière minute de participer pour un participant à distance susceptible de générer un transfert de pouvoirs de toute dernière minute.</w:t>
            </w:r>
          </w:p>
          <w:p w:rsidR="00DB1787" w:rsidRPr="00E8185F" w:rsidRDefault="008B594C" w:rsidP="00730A3F">
            <w:pPr>
              <w:pStyle w:val="enumlev1"/>
              <w:spacing w:after="60"/>
              <w:rPr>
                <w:sz w:val="22"/>
                <w:szCs w:val="22"/>
              </w:rPr>
            </w:pPr>
            <w:r w:rsidRPr="00E8185F">
              <w:rPr>
                <w:sz w:val="22"/>
                <w:szCs w:val="22"/>
                <w:lang w:val="fr-CH"/>
              </w:rPr>
              <w:t>–</w:t>
            </w:r>
            <w:r w:rsidRPr="00E8185F">
              <w:rPr>
                <w:sz w:val="22"/>
                <w:szCs w:val="22"/>
                <w:lang w:val="fr-CH"/>
              </w:rPr>
              <w:tab/>
            </w:r>
            <w:r w:rsidR="00DB1787" w:rsidRPr="00E8185F">
              <w:rPr>
                <w:sz w:val="22"/>
                <w:szCs w:val="22"/>
                <w:lang w:val="fr-CH"/>
              </w:rPr>
              <w:t>Impact potentiel sur l'</w:t>
            </w:r>
            <w:r w:rsidR="00E8185F">
              <w:rPr>
                <w:sz w:val="22"/>
                <w:szCs w:val="22"/>
                <w:lang w:val="fr-CH"/>
              </w:rPr>
              <w:t>a</w:t>
            </w:r>
            <w:r w:rsidR="00DB1787" w:rsidRPr="00E8185F">
              <w:rPr>
                <w:sz w:val="22"/>
                <w:szCs w:val="22"/>
                <w:lang w:val="fr-CH"/>
              </w:rPr>
              <w:t>rticle 29 (langues) de la Constitution.</w:t>
            </w:r>
          </w:p>
        </w:tc>
      </w:tr>
      <w:tr w:rsidR="00DB1787" w:rsidRPr="00E8185F" w:rsidTr="00E8185F">
        <w:trPr>
          <w:trHeight w:val="1171"/>
        </w:trPr>
        <w:tc>
          <w:tcPr>
            <w:tcW w:w="9923" w:type="dxa"/>
          </w:tcPr>
          <w:p w:rsidR="00DB1787" w:rsidRPr="00E8185F" w:rsidRDefault="00DB1787" w:rsidP="008B594C">
            <w:pPr>
              <w:pStyle w:val="Tabletext"/>
              <w:rPr>
                <w:b/>
                <w:szCs w:val="22"/>
              </w:rPr>
            </w:pPr>
            <w:r w:rsidRPr="00E8185F">
              <w:rPr>
                <w:b/>
                <w:szCs w:val="22"/>
                <w:u w:val="single"/>
              </w:rPr>
              <w:t>Problème technique 2</w:t>
            </w:r>
            <w:r w:rsidRPr="00E8185F">
              <w:rPr>
                <w:b/>
                <w:szCs w:val="22"/>
              </w:rPr>
              <w:t xml:space="preserve">: </w:t>
            </w:r>
            <w:r w:rsidRPr="00E8185F">
              <w:rPr>
                <w:szCs w:val="22"/>
              </w:rPr>
              <w:t>Panne de communications</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Panne technique entre le lieu de la réunion et le lieu où se trouve le participant à distance.</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Interruption délibérée des communications pour perturber le déroulement de la réunion.</w:t>
            </w:r>
            <w:r w:rsidR="00DB1787" w:rsidRPr="00E8185F">
              <w:rPr>
                <w:b/>
                <w:sz w:val="22"/>
                <w:szCs w:val="22"/>
                <w:lang w:val="fr-CH"/>
              </w:rPr>
              <w:t xml:space="preserve"> </w:t>
            </w:r>
          </w:p>
        </w:tc>
      </w:tr>
      <w:tr w:rsidR="00DB1787" w:rsidRPr="00E8185F" w:rsidTr="00E8185F">
        <w:tc>
          <w:tcPr>
            <w:tcW w:w="9923" w:type="dxa"/>
          </w:tcPr>
          <w:p w:rsidR="00DB1787" w:rsidRPr="00E8185F" w:rsidRDefault="00DB1787" w:rsidP="008B594C">
            <w:pPr>
              <w:pStyle w:val="Tabletext"/>
              <w:rPr>
                <w:b/>
                <w:szCs w:val="22"/>
                <w:lang w:val="fr-CH"/>
              </w:rPr>
            </w:pPr>
            <w:r w:rsidRPr="00E8185F">
              <w:rPr>
                <w:b/>
                <w:szCs w:val="22"/>
                <w:lang w:val="fr-CH"/>
              </w:rPr>
              <w:t xml:space="preserve">Conséquences: </w:t>
            </w:r>
            <w:r w:rsidRPr="00E8185F">
              <w:rPr>
                <w:szCs w:val="22"/>
                <w:lang w:val="fr-CH"/>
              </w:rPr>
              <w:t>Impossibilité d'intervenir pour le ou les délégués(s) à distance.</w:t>
            </w:r>
          </w:p>
        </w:tc>
      </w:tr>
      <w:tr w:rsidR="00DB1787" w:rsidRPr="00E8185F" w:rsidTr="00E8185F">
        <w:tc>
          <w:tcPr>
            <w:tcW w:w="9923" w:type="dxa"/>
          </w:tcPr>
          <w:p w:rsidR="00DB1787" w:rsidRPr="00E8185F" w:rsidRDefault="00DB1787" w:rsidP="008B594C">
            <w:pPr>
              <w:pStyle w:val="Tabletext"/>
              <w:rPr>
                <w:b/>
                <w:szCs w:val="22"/>
              </w:rPr>
            </w:pPr>
            <w:r w:rsidRPr="00E8185F">
              <w:rPr>
                <w:b/>
                <w:szCs w:val="22"/>
              </w:rPr>
              <w:t xml:space="preserve">Solutions possibles: </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Mettre fin à la réunion ou attendre que la connexion soit rétablie.</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Continuer sans intervention du ou des délégués(s) à distance.</w:t>
            </w:r>
          </w:p>
          <w:p w:rsidR="00DB1787" w:rsidRPr="00E8185F" w:rsidRDefault="008B594C" w:rsidP="00730A3F">
            <w:pPr>
              <w:pStyle w:val="enumlev1"/>
              <w:spacing w:after="60"/>
              <w:rPr>
                <w:sz w:val="22"/>
                <w:szCs w:val="22"/>
              </w:rPr>
            </w:pPr>
            <w:r w:rsidRPr="00E8185F">
              <w:rPr>
                <w:sz w:val="22"/>
                <w:szCs w:val="22"/>
                <w:lang w:val="fr-CH"/>
              </w:rPr>
              <w:t>–</w:t>
            </w:r>
            <w:r w:rsidRPr="00E8185F">
              <w:rPr>
                <w:sz w:val="22"/>
                <w:szCs w:val="22"/>
                <w:lang w:val="fr-CH"/>
              </w:rPr>
              <w:tab/>
            </w:r>
            <w:r w:rsidR="00DB1787" w:rsidRPr="00E8185F">
              <w:rPr>
                <w:sz w:val="22"/>
                <w:szCs w:val="22"/>
                <w:lang w:val="fr-CH"/>
              </w:rPr>
              <w:t>Intervention par proxy.</w:t>
            </w:r>
          </w:p>
        </w:tc>
      </w:tr>
      <w:tr w:rsidR="00DB1787" w:rsidRPr="00E8185F" w:rsidTr="00E8185F">
        <w:tc>
          <w:tcPr>
            <w:tcW w:w="9923" w:type="dxa"/>
          </w:tcPr>
          <w:p w:rsidR="00DB1787" w:rsidRPr="00E8185F" w:rsidRDefault="00DB1787" w:rsidP="008B594C">
            <w:pPr>
              <w:pStyle w:val="Tabletext"/>
              <w:rPr>
                <w:b/>
                <w:szCs w:val="22"/>
              </w:rPr>
            </w:pPr>
            <w:r w:rsidRPr="00E8185F">
              <w:rPr>
                <w:b/>
                <w:szCs w:val="22"/>
              </w:rPr>
              <w:t>Problèmes juridiques:</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Impossible de garantir l'existence et la confidentialité des communications sur des infrastructures publiques qui ne dépendent pas de l'UIT.</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Impossible de garantir l'égalité des droits entre les participants à d</w:t>
            </w:r>
            <w:r w:rsidR="00E8185F" w:rsidRPr="00E8185F">
              <w:rPr>
                <w:sz w:val="22"/>
                <w:szCs w:val="22"/>
                <w:lang w:val="fr-CH"/>
              </w:rPr>
              <w:t>istance et les participants sur </w:t>
            </w:r>
            <w:r w:rsidR="00DB1787" w:rsidRPr="00E8185F">
              <w:rPr>
                <w:sz w:val="22"/>
                <w:szCs w:val="22"/>
                <w:lang w:val="fr-CH"/>
              </w:rPr>
              <w:t>place.</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Impossibilité pour les participants à distance d'exercer certains droits inhérents à la qualité de participant plénier tels que</w:t>
            </w:r>
            <w:r w:rsidRPr="00E8185F">
              <w:rPr>
                <w:sz w:val="22"/>
                <w:szCs w:val="22"/>
                <w:lang w:val="fr-CH"/>
              </w:rPr>
              <w:t>:</w:t>
            </w:r>
          </w:p>
          <w:p w:rsidR="00DB1787" w:rsidRPr="00E8185F" w:rsidRDefault="008B594C" w:rsidP="00E8185F">
            <w:pPr>
              <w:pStyle w:val="enumlev2"/>
              <w:rPr>
                <w:sz w:val="22"/>
                <w:szCs w:val="22"/>
              </w:rPr>
            </w:pPr>
            <w:r w:rsidRPr="00E8185F">
              <w:rPr>
                <w:sz w:val="22"/>
                <w:szCs w:val="22"/>
              </w:rPr>
              <w:t>•</w:t>
            </w:r>
            <w:r w:rsidRPr="00E8185F">
              <w:rPr>
                <w:sz w:val="22"/>
                <w:szCs w:val="22"/>
              </w:rPr>
              <w:tab/>
              <w:t>l</w:t>
            </w:r>
            <w:r w:rsidR="00DB1787" w:rsidRPr="00E8185F">
              <w:rPr>
                <w:sz w:val="22"/>
                <w:szCs w:val="22"/>
              </w:rPr>
              <w:t>e droit d'exprimer pleinement et librement son avis sur le sujet traité</w:t>
            </w:r>
            <w:r w:rsidRPr="00E8185F">
              <w:rPr>
                <w:sz w:val="22"/>
                <w:szCs w:val="22"/>
              </w:rPr>
              <w:t>;</w:t>
            </w:r>
          </w:p>
          <w:p w:rsidR="00DB1787" w:rsidRPr="00E8185F" w:rsidRDefault="008B594C" w:rsidP="00E8185F">
            <w:pPr>
              <w:pStyle w:val="enumlev2"/>
              <w:rPr>
                <w:sz w:val="22"/>
                <w:szCs w:val="22"/>
              </w:rPr>
            </w:pPr>
            <w:r w:rsidRPr="00E8185F">
              <w:rPr>
                <w:sz w:val="22"/>
                <w:szCs w:val="22"/>
              </w:rPr>
              <w:t>•</w:t>
            </w:r>
            <w:r w:rsidRPr="00E8185F">
              <w:rPr>
                <w:sz w:val="22"/>
                <w:szCs w:val="22"/>
              </w:rPr>
              <w:tab/>
              <w:t>l</w:t>
            </w:r>
            <w:r w:rsidR="00DB1787" w:rsidRPr="00E8185F">
              <w:rPr>
                <w:sz w:val="22"/>
                <w:szCs w:val="22"/>
              </w:rPr>
              <w:t>e droit de soumettre oralement toute proposition ou tout amendement</w:t>
            </w:r>
            <w:r w:rsidRPr="00E8185F">
              <w:rPr>
                <w:sz w:val="22"/>
                <w:szCs w:val="22"/>
              </w:rPr>
              <w:t>;</w:t>
            </w:r>
          </w:p>
          <w:p w:rsidR="00DB1787" w:rsidRPr="00E8185F" w:rsidRDefault="008B594C" w:rsidP="00E8185F">
            <w:pPr>
              <w:pStyle w:val="enumlev2"/>
              <w:rPr>
                <w:sz w:val="22"/>
                <w:szCs w:val="22"/>
              </w:rPr>
            </w:pPr>
            <w:r w:rsidRPr="00E8185F">
              <w:rPr>
                <w:sz w:val="22"/>
                <w:szCs w:val="22"/>
              </w:rPr>
              <w:t>•</w:t>
            </w:r>
            <w:r w:rsidRPr="00E8185F">
              <w:rPr>
                <w:sz w:val="22"/>
                <w:szCs w:val="22"/>
              </w:rPr>
              <w:tab/>
              <w:t>l</w:t>
            </w:r>
            <w:r w:rsidR="00DB1787" w:rsidRPr="00E8185F">
              <w:rPr>
                <w:sz w:val="22"/>
                <w:szCs w:val="22"/>
              </w:rPr>
              <w:t>e droit de soulever un point ou une motion d'ordre</w:t>
            </w:r>
            <w:r w:rsidRPr="00E8185F">
              <w:rPr>
                <w:sz w:val="22"/>
                <w:szCs w:val="22"/>
              </w:rPr>
              <w:t>;</w:t>
            </w:r>
          </w:p>
          <w:p w:rsidR="00DB1787" w:rsidRPr="00E8185F" w:rsidRDefault="008B594C" w:rsidP="00E8185F">
            <w:pPr>
              <w:pStyle w:val="enumlev2"/>
              <w:rPr>
                <w:sz w:val="22"/>
                <w:szCs w:val="22"/>
              </w:rPr>
            </w:pPr>
            <w:r w:rsidRPr="00E8185F">
              <w:rPr>
                <w:sz w:val="22"/>
                <w:szCs w:val="22"/>
              </w:rPr>
              <w:t>•</w:t>
            </w:r>
            <w:r w:rsidRPr="00E8185F">
              <w:rPr>
                <w:sz w:val="22"/>
                <w:szCs w:val="22"/>
              </w:rPr>
              <w:tab/>
              <w:t>l</w:t>
            </w:r>
            <w:r w:rsidR="00DB1787" w:rsidRPr="00E8185F">
              <w:rPr>
                <w:sz w:val="22"/>
                <w:szCs w:val="22"/>
              </w:rPr>
              <w:t>e droit de participer à un vote</w:t>
            </w:r>
            <w:r w:rsidRPr="00E8185F">
              <w:rPr>
                <w:sz w:val="22"/>
                <w:szCs w:val="22"/>
              </w:rPr>
              <w:t>;</w:t>
            </w:r>
          </w:p>
          <w:p w:rsidR="00DB1787" w:rsidRPr="00E8185F" w:rsidRDefault="008B594C" w:rsidP="00730A3F">
            <w:pPr>
              <w:pStyle w:val="enumlev2"/>
              <w:spacing w:after="60"/>
              <w:rPr>
                <w:sz w:val="22"/>
                <w:szCs w:val="22"/>
                <w:lang w:eastAsia="zh-CN"/>
              </w:rPr>
            </w:pPr>
            <w:r w:rsidRPr="00E8185F">
              <w:rPr>
                <w:sz w:val="22"/>
                <w:szCs w:val="22"/>
              </w:rPr>
              <w:t>•</w:t>
            </w:r>
            <w:r w:rsidRPr="00E8185F">
              <w:rPr>
                <w:sz w:val="22"/>
                <w:szCs w:val="22"/>
              </w:rPr>
              <w:tab/>
              <w:t>l</w:t>
            </w:r>
            <w:r w:rsidR="00DB1787" w:rsidRPr="00E8185F">
              <w:rPr>
                <w:sz w:val="22"/>
                <w:szCs w:val="22"/>
              </w:rPr>
              <w:t>e droit de s'opposer à la constitution du consensus.</w:t>
            </w:r>
          </w:p>
        </w:tc>
      </w:tr>
      <w:tr w:rsidR="00DB1787" w:rsidRPr="00E8185F" w:rsidTr="00E8185F">
        <w:tc>
          <w:tcPr>
            <w:tcW w:w="9923" w:type="dxa"/>
          </w:tcPr>
          <w:p w:rsidR="00DB1787" w:rsidRPr="00E8185F" w:rsidRDefault="00DB1787" w:rsidP="008B594C">
            <w:pPr>
              <w:pStyle w:val="Tabletext"/>
              <w:rPr>
                <w:b/>
                <w:szCs w:val="22"/>
              </w:rPr>
            </w:pPr>
            <w:r w:rsidRPr="00E8185F">
              <w:rPr>
                <w:b/>
                <w:szCs w:val="22"/>
              </w:rPr>
              <w:t>Modifications du cadre juridique:</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Nécessité d'amender les dispositions des textes juridiques de l'Union relatives au quorum</w:t>
            </w:r>
            <w:r w:rsidRPr="00E8185F">
              <w:rPr>
                <w:sz w:val="22"/>
                <w:szCs w:val="22"/>
                <w:lang w:val="fr-CH"/>
              </w:rPr>
              <w:t>.</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Modification des processus pour soulever des motions et points d'ordre</w:t>
            </w:r>
            <w:r w:rsidRPr="00E8185F">
              <w:rPr>
                <w:sz w:val="22"/>
                <w:szCs w:val="22"/>
                <w:lang w:val="fr-CH"/>
              </w:rPr>
              <w:t>.</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Modification des règles en matière de vote dans la mesure où les votes à main levée ou à bulletin secret sont matériellement impossible en cas de participation à distance</w:t>
            </w:r>
            <w:r w:rsidRPr="00E8185F">
              <w:rPr>
                <w:sz w:val="22"/>
                <w:szCs w:val="22"/>
                <w:lang w:val="fr-CH"/>
              </w:rPr>
              <w:t>.</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Répercussion de l'impact sur les règles en matière d'interruption de vote en cas de rupture de connexion</w:t>
            </w:r>
            <w:r w:rsidRPr="00E8185F">
              <w:rPr>
                <w:sz w:val="22"/>
                <w:szCs w:val="22"/>
                <w:lang w:val="fr-CH"/>
              </w:rPr>
              <w:t>.</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Nécessité que, pour les conférences habilitées à conclure des traités, les délégations participant à distance disposent néanmoins de pouvoirs en bonne et due forme. Une modification de l'</w:t>
            </w:r>
            <w:r w:rsidR="00E8185F">
              <w:rPr>
                <w:sz w:val="22"/>
                <w:szCs w:val="22"/>
                <w:lang w:val="fr-CH"/>
              </w:rPr>
              <w:t>a</w:t>
            </w:r>
            <w:r w:rsidR="00DB1787" w:rsidRPr="00E8185F">
              <w:rPr>
                <w:sz w:val="22"/>
                <w:szCs w:val="22"/>
                <w:lang w:val="fr-CH"/>
              </w:rPr>
              <w:t>rticle 31 de la Convention n'est, à cet égard, pas à exclure</w:t>
            </w:r>
            <w:r w:rsidRPr="00E8185F">
              <w:rPr>
                <w:sz w:val="22"/>
                <w:szCs w:val="22"/>
                <w:lang w:val="fr-CH"/>
              </w:rPr>
              <w:t>.</w:t>
            </w:r>
          </w:p>
          <w:p w:rsidR="00DB1787" w:rsidRPr="00E8185F" w:rsidRDefault="008B594C" w:rsidP="00E8185F">
            <w:pPr>
              <w:pStyle w:val="enumlev1"/>
              <w:rPr>
                <w:sz w:val="22"/>
                <w:szCs w:val="22"/>
                <w:lang w:val="fr-CH"/>
              </w:rPr>
            </w:pPr>
            <w:r w:rsidRPr="00E8185F">
              <w:rPr>
                <w:sz w:val="22"/>
                <w:szCs w:val="22"/>
                <w:lang w:val="fr-CH"/>
              </w:rPr>
              <w:t>–</w:t>
            </w:r>
            <w:r w:rsidRPr="00E8185F">
              <w:rPr>
                <w:sz w:val="22"/>
                <w:szCs w:val="22"/>
                <w:lang w:val="fr-CH"/>
              </w:rPr>
              <w:tab/>
            </w:r>
            <w:r w:rsidR="00DB1787" w:rsidRPr="00E8185F">
              <w:rPr>
                <w:sz w:val="22"/>
                <w:szCs w:val="22"/>
                <w:lang w:val="fr-CH"/>
              </w:rPr>
              <w:t>Impossibilité pratique d'exercer des fonctions de présidence puisque le participant à distance n'est pas en mesure, pour des raisons pratiques, d'exercer tous les attributs découlant de la fonction de président</w:t>
            </w:r>
            <w:r w:rsidRPr="00E8185F">
              <w:rPr>
                <w:sz w:val="22"/>
                <w:szCs w:val="22"/>
                <w:lang w:val="fr-CH"/>
              </w:rPr>
              <w:t>.</w:t>
            </w:r>
          </w:p>
          <w:p w:rsidR="00DB1787" w:rsidRPr="00E8185F" w:rsidRDefault="008B594C" w:rsidP="00730A3F">
            <w:pPr>
              <w:pStyle w:val="enumlev1"/>
              <w:spacing w:after="60"/>
              <w:rPr>
                <w:sz w:val="22"/>
                <w:szCs w:val="22"/>
              </w:rPr>
            </w:pPr>
            <w:r w:rsidRPr="00E8185F">
              <w:rPr>
                <w:sz w:val="22"/>
                <w:szCs w:val="22"/>
                <w:lang w:val="fr-CH"/>
              </w:rPr>
              <w:t>–</w:t>
            </w:r>
            <w:r w:rsidRPr="00E8185F">
              <w:rPr>
                <w:sz w:val="22"/>
                <w:szCs w:val="22"/>
                <w:lang w:val="fr-CH"/>
              </w:rPr>
              <w:tab/>
            </w:r>
            <w:r w:rsidR="00DB1787" w:rsidRPr="00E8185F">
              <w:rPr>
                <w:sz w:val="22"/>
                <w:szCs w:val="22"/>
                <w:lang w:val="fr-CH"/>
              </w:rPr>
              <w:t>Impossibilité pratique de participer à certaines commissions statutaires telles que la Commission des pouvoirs ou la Commission de rédaction</w:t>
            </w:r>
            <w:r w:rsidRPr="00E8185F">
              <w:rPr>
                <w:sz w:val="22"/>
                <w:szCs w:val="22"/>
                <w:lang w:val="fr-CH"/>
              </w:rPr>
              <w:t>.</w:t>
            </w:r>
          </w:p>
        </w:tc>
      </w:tr>
    </w:tbl>
    <w:p w:rsidR="00DB1787" w:rsidRDefault="00DB1787" w:rsidP="008B594C">
      <w:pPr>
        <w:pStyle w:val="Headingb"/>
      </w:pPr>
      <w:r w:rsidRPr="004D2C7B">
        <w:lastRenderedPageBreak/>
        <w:t>Accessibilité</w:t>
      </w:r>
    </w:p>
    <w:p w:rsidR="00DB1787" w:rsidRPr="005409F3" w:rsidRDefault="008B594C" w:rsidP="00DB1787">
      <w:pPr>
        <w:tabs>
          <w:tab w:val="clear" w:pos="567"/>
          <w:tab w:val="clear" w:pos="1134"/>
          <w:tab w:val="clear" w:pos="1701"/>
          <w:tab w:val="clear" w:pos="2268"/>
          <w:tab w:val="clear" w:pos="2835"/>
        </w:tabs>
        <w:snapToGrid w:val="0"/>
        <w:spacing w:after="120"/>
      </w:pPr>
      <w:r w:rsidRPr="008B594C">
        <w:t>7</w:t>
      </w:r>
      <w:r w:rsidR="00DB1787" w:rsidRPr="008B594C">
        <w:tab/>
      </w:r>
      <w:r w:rsidR="00DB1787" w:rsidRPr="005409F3">
        <w:t>La participation à distance et l</w:t>
      </w:r>
      <w:r w:rsidR="00DB1787">
        <w:t>'amélioration des infrastructures</w:t>
      </w:r>
      <w:r w:rsidR="00DB1787" w:rsidRPr="005409F3">
        <w:t xml:space="preserve"> audiovisue</w:t>
      </w:r>
      <w:r w:rsidR="00DB1787">
        <w:t>l</w:t>
      </w:r>
      <w:r w:rsidR="00DB1787" w:rsidRPr="005409F3">
        <w:t>l</w:t>
      </w:r>
      <w:r w:rsidR="00DB1787">
        <w:t>e</w:t>
      </w:r>
      <w:r w:rsidR="00DB1787" w:rsidRPr="005409F3">
        <w:t>s dans les salles de réunion facilit</w:t>
      </w:r>
      <w:r w:rsidR="00DB1787">
        <w:t>ent</w:t>
      </w:r>
      <w:r w:rsidR="00DB1787" w:rsidRPr="005409F3">
        <w:t xml:space="preserve"> l</w:t>
      </w:r>
      <w:r w:rsidR="00DB1787">
        <w:t>'</w:t>
      </w:r>
      <w:r w:rsidR="00DB1787" w:rsidRPr="005409F3">
        <w:t>inclusion des personnes ayant des besoins particuliers, conformément à la politique de l</w:t>
      </w:r>
      <w:r w:rsidR="00DB1787">
        <w:t>'</w:t>
      </w:r>
      <w:r w:rsidR="00DB1787" w:rsidRPr="005409F3">
        <w:t>UIT en matière d</w:t>
      </w:r>
      <w:r w:rsidR="00DB1787">
        <w:t>'</w:t>
      </w:r>
      <w:r w:rsidR="00DB1787" w:rsidRPr="005409F3">
        <w:t>acces</w:t>
      </w:r>
      <w:r w:rsidR="00DB1787">
        <w:t>sibilité adoptée en 2013, grâce aux moyens suivants</w:t>
      </w:r>
      <w:r w:rsidR="00DB1787" w:rsidRPr="005409F3">
        <w:t>:</w:t>
      </w:r>
    </w:p>
    <w:p w:rsidR="00DB1787" w:rsidRPr="005409F3" w:rsidRDefault="00DB1787" w:rsidP="00E8185F">
      <w:pPr>
        <w:pStyle w:val="enumlev1"/>
      </w:pPr>
      <w:r>
        <w:t>•</w:t>
      </w:r>
      <w:r>
        <w:tab/>
      </w:r>
      <w:r w:rsidR="00E8185F" w:rsidRPr="005409F3">
        <w:t>S</w:t>
      </w:r>
      <w:r w:rsidRPr="005409F3">
        <w:t>ous-titrage pour les personnes malentendantes</w:t>
      </w:r>
    </w:p>
    <w:p w:rsidR="00DB1787" w:rsidRDefault="00DB1787" w:rsidP="00E8185F">
      <w:pPr>
        <w:pStyle w:val="enumlev1"/>
      </w:pPr>
      <w:r>
        <w:t>•</w:t>
      </w:r>
      <w:r>
        <w:tab/>
      </w:r>
      <w:r w:rsidR="00E8185F">
        <w:t>A</w:t>
      </w:r>
      <w:r w:rsidRPr="005409F3">
        <w:t>udio</w:t>
      </w:r>
      <w:r>
        <w:t>conférence</w:t>
      </w:r>
      <w:r w:rsidRPr="005409F3">
        <w:t xml:space="preserve"> pour les personnes malvoyantes</w:t>
      </w:r>
    </w:p>
    <w:p w:rsidR="00DB1787" w:rsidRPr="005409F3" w:rsidRDefault="00E8185F" w:rsidP="00E8185F">
      <w:pPr>
        <w:pStyle w:val="enumlev1"/>
      </w:pPr>
      <w:r>
        <w:t>•</w:t>
      </w:r>
      <w:r>
        <w:tab/>
      </w:r>
      <w:r w:rsidR="00DB1787">
        <w:t>Canaux audio multiples pour prendre en charge les six langues officielles des Nations Unies plus canal orateur</w:t>
      </w:r>
    </w:p>
    <w:p w:rsidR="00DB1787" w:rsidRDefault="00DB1787" w:rsidP="00E8185F">
      <w:pPr>
        <w:pStyle w:val="enumlev1"/>
      </w:pPr>
      <w:r>
        <w:t>•</w:t>
      </w:r>
      <w:r>
        <w:tab/>
      </w:r>
      <w:r w:rsidR="00E8185F">
        <w:t>C</w:t>
      </w:r>
      <w:r w:rsidRPr="005409F3">
        <w:t>onf</w:t>
      </w:r>
      <w:r>
        <w:t>érence</w:t>
      </w:r>
      <w:r w:rsidRPr="005409F3">
        <w:t xml:space="preserve"> sur le web pour les personnes ayant des difficultés à se déplacer.</w:t>
      </w:r>
    </w:p>
    <w:p w:rsidR="00DB1787" w:rsidRDefault="008B594C" w:rsidP="008B594C">
      <w:r>
        <w:t>8</w:t>
      </w:r>
      <w:r w:rsidR="00DB1787">
        <w:tab/>
        <w:t>L'UIT continue à se tenir au courant des innovations technologiques permettant d'améliorer l'accessibilité (par exemple, reconnaissance vocale, lecteurs d'écran, interprétation automatique).</w:t>
      </w:r>
    </w:p>
    <w:p w:rsidR="00DB1787" w:rsidRDefault="00DB1787" w:rsidP="008B594C">
      <w:pPr>
        <w:pStyle w:val="Headingb"/>
      </w:pPr>
      <w:r w:rsidRPr="00D62488">
        <w:t>Coût</w:t>
      </w:r>
    </w:p>
    <w:p w:rsidR="00DB1787" w:rsidRDefault="00DB1787" w:rsidP="00DB1787">
      <w:pPr>
        <w:pStyle w:val="enumlev1"/>
        <w:tabs>
          <w:tab w:val="clear" w:pos="567"/>
          <w:tab w:val="left" w:pos="0"/>
        </w:tabs>
        <w:ind w:left="0" w:firstLine="0"/>
      </w:pPr>
      <w:r>
        <w:t>9</w:t>
      </w:r>
      <w:r>
        <w:tab/>
        <w:t>En 2011, il a été demandé au Conseil d'approuver un investissement ponctuel de</w:t>
      </w:r>
      <w:r w:rsidR="00E8185F">
        <w:t> 1 721 </w:t>
      </w:r>
      <w:r>
        <w:t xml:space="preserve">000 CHF pour la modernisation des salles de réunion de l'UIT et l'installation d'équipements d'interprétation, ainsi qu'un investissement complémentaire de </w:t>
      </w:r>
      <w:r w:rsidR="00E8185F">
        <w:t>875 000 CHF par </w:t>
      </w:r>
      <w:r>
        <w:t>an pour les dépenses de fonctionnement</w:t>
      </w:r>
      <w:r>
        <w:rPr>
          <w:rStyle w:val="FootnoteReference"/>
        </w:rPr>
        <w:footnoteReference w:id="2"/>
      </w:r>
      <w:r>
        <w:t>. Sur ces montants, le Conseil a approuvé, dans le budget pour 2012-2013, l'octroi de 675 000 CHF pour l'investissement ponctuel et de 690 000 CHF pour les dépenses de fonctionnement sur deux ans</w:t>
      </w:r>
      <w:r>
        <w:rPr>
          <w:rStyle w:val="FootnoteReference"/>
        </w:rPr>
        <w:footnoteReference w:id="3"/>
      </w:r>
      <w:r>
        <w:t>. Le premier de ces montants a permis de moderniser certaines salles de réunion et le second, de ce couvrir le coût de deux postes pour débutants. Vu l'écart entre les montants demandés et les montants approuvés, il n'a pas été possible de moderniser toutes les salles de réunion et tous les équipements d'interprétation. La participation à distance n'est pas entièrement possible dans les salles qui n'ont pas encore été modernisées.</w:t>
      </w:r>
    </w:p>
    <w:p w:rsidR="00DB1787" w:rsidRDefault="008B594C" w:rsidP="00883B55">
      <w:pPr>
        <w:pStyle w:val="enumlev1"/>
        <w:tabs>
          <w:tab w:val="clear" w:pos="567"/>
          <w:tab w:val="left" w:pos="0"/>
        </w:tabs>
        <w:ind w:left="0" w:firstLine="0"/>
      </w:pPr>
      <w:r>
        <w:t>10</w:t>
      </w:r>
      <w:r w:rsidR="00DB1787">
        <w:tab/>
        <w:t>Alors que des services de participation à distance sont proposés pour un nombre croissant de réunions de l'UIT, il devient indispensable de moderniser de nouvelles salles de réunion. Les sommes déjà demandées (à savoir 875 000 CHF pour les dépenses de fonctionnement annuelles et 1 721 000 CHF pour les dépenses d'équipement) sont toujours d'actualité. En conséquence, les budgets biennaux pour 201</w:t>
      </w:r>
      <w:r w:rsidR="00883B55">
        <w:t>6</w:t>
      </w:r>
      <w:r w:rsidR="00DB1787">
        <w:t>-2017 et 2018-2019 devraient prévoir une augmentation de 1 060 000 CHF pour les dépenses de fonctionnement, tandis que le restant de l'investissement ponctuel de 1 046 000 CHF devrait figurer au budget pour 2016-2017 (voir le Tableau 2 ci-dessous).</w:t>
      </w:r>
    </w:p>
    <w:p w:rsidR="008B594C" w:rsidRDefault="008B594C" w:rsidP="00F265C7">
      <w:pPr>
        <w:pStyle w:val="TableNo"/>
        <w:keepLines/>
        <w:rPr>
          <w:lang w:val="fr-CH"/>
        </w:rPr>
      </w:pPr>
      <w:r>
        <w:rPr>
          <w:lang w:val="fr-CH"/>
        </w:rPr>
        <w:lastRenderedPageBreak/>
        <w:t>Tableau 2</w:t>
      </w:r>
    </w:p>
    <w:p w:rsidR="00DB1787" w:rsidRDefault="00DB1787" w:rsidP="00F265C7">
      <w:pPr>
        <w:pStyle w:val="Tabletitle"/>
        <w:keepLines/>
        <w:rPr>
          <w:b w:val="0"/>
          <w:lang w:val="fr-CH"/>
        </w:rPr>
      </w:pPr>
      <w:r w:rsidRPr="00844350">
        <w:rPr>
          <w:lang w:val="fr-CH"/>
        </w:rPr>
        <w:t>In</w:t>
      </w:r>
      <w:r>
        <w:rPr>
          <w:lang w:val="fr-CH"/>
        </w:rPr>
        <w:t>ci</w:t>
      </w:r>
      <w:r w:rsidRPr="00844350">
        <w:rPr>
          <w:lang w:val="fr-CH"/>
        </w:rPr>
        <w:t xml:space="preserve">dences budgétaires </w:t>
      </w:r>
      <w:r w:rsidRPr="008B594C">
        <w:t>additionnelles</w:t>
      </w:r>
      <w:r w:rsidRPr="00844350">
        <w:rPr>
          <w:lang w:val="fr-CH"/>
        </w:rPr>
        <w:t xml:space="preserve"> pour les services de participation à distance</w:t>
      </w:r>
    </w:p>
    <w:tbl>
      <w:tblPr>
        <w:tblStyle w:val="TableGrid"/>
        <w:tblW w:w="0" w:type="auto"/>
        <w:jc w:val="center"/>
        <w:tblLayout w:type="fixed"/>
        <w:tblLook w:val="04A0" w:firstRow="1" w:lastRow="0" w:firstColumn="1" w:lastColumn="0" w:noHBand="0" w:noVBand="1"/>
      </w:tblPr>
      <w:tblGrid>
        <w:gridCol w:w="3114"/>
        <w:gridCol w:w="2551"/>
        <w:gridCol w:w="2552"/>
      </w:tblGrid>
      <w:tr w:rsidR="00DB1787" w:rsidTr="008B594C">
        <w:trPr>
          <w:jc w:val="center"/>
        </w:trPr>
        <w:tc>
          <w:tcPr>
            <w:tcW w:w="3114" w:type="dxa"/>
          </w:tcPr>
          <w:p w:rsidR="00DB1787" w:rsidRPr="00844350" w:rsidRDefault="00DB1787" w:rsidP="00F265C7">
            <w:pPr>
              <w:pStyle w:val="Tablehead"/>
              <w:keepNext/>
              <w:keepLines/>
              <w:rPr>
                <w:lang w:val="fr-CH"/>
              </w:rPr>
            </w:pPr>
          </w:p>
        </w:tc>
        <w:tc>
          <w:tcPr>
            <w:tcW w:w="2551" w:type="dxa"/>
          </w:tcPr>
          <w:p w:rsidR="00DB1787" w:rsidRPr="007B3AD1" w:rsidRDefault="00DB1787" w:rsidP="00F265C7">
            <w:pPr>
              <w:pStyle w:val="Tablehead"/>
              <w:keepNext/>
              <w:keepLines/>
              <w:rPr>
                <w:bCs/>
              </w:rPr>
            </w:pPr>
            <w:r w:rsidRPr="007B3AD1">
              <w:rPr>
                <w:bCs/>
              </w:rPr>
              <w:t>201</w:t>
            </w:r>
            <w:r>
              <w:rPr>
                <w:bCs/>
              </w:rPr>
              <w:t>6</w:t>
            </w:r>
            <w:r w:rsidRPr="007B3AD1">
              <w:rPr>
                <w:bCs/>
              </w:rPr>
              <w:t>-201</w:t>
            </w:r>
            <w:r>
              <w:rPr>
                <w:bCs/>
              </w:rPr>
              <w:t>7</w:t>
            </w:r>
          </w:p>
        </w:tc>
        <w:tc>
          <w:tcPr>
            <w:tcW w:w="2552" w:type="dxa"/>
          </w:tcPr>
          <w:p w:rsidR="00DB1787" w:rsidRPr="007B3AD1" w:rsidRDefault="00DB1787" w:rsidP="00F265C7">
            <w:pPr>
              <w:pStyle w:val="Tablehead"/>
              <w:keepNext/>
              <w:keepLines/>
              <w:rPr>
                <w:bCs/>
              </w:rPr>
            </w:pPr>
            <w:r w:rsidRPr="007B3AD1">
              <w:rPr>
                <w:bCs/>
              </w:rPr>
              <w:t>201</w:t>
            </w:r>
            <w:r>
              <w:rPr>
                <w:bCs/>
              </w:rPr>
              <w:t>8</w:t>
            </w:r>
            <w:r w:rsidRPr="007B3AD1">
              <w:rPr>
                <w:bCs/>
              </w:rPr>
              <w:t>-201</w:t>
            </w:r>
            <w:r>
              <w:rPr>
                <w:bCs/>
              </w:rPr>
              <w:t>9</w:t>
            </w:r>
          </w:p>
        </w:tc>
      </w:tr>
      <w:tr w:rsidR="00DB1787" w:rsidTr="008B594C">
        <w:trPr>
          <w:jc w:val="center"/>
        </w:trPr>
        <w:tc>
          <w:tcPr>
            <w:tcW w:w="3114" w:type="dxa"/>
          </w:tcPr>
          <w:p w:rsidR="00DB1787" w:rsidRPr="008B594C" w:rsidRDefault="00DB1787" w:rsidP="00F265C7">
            <w:pPr>
              <w:pStyle w:val="Tabletext"/>
              <w:keepNext/>
              <w:keepLines/>
              <w:rPr>
                <w:b/>
                <w:bCs/>
              </w:rPr>
            </w:pPr>
            <w:r w:rsidRPr="008B594C">
              <w:rPr>
                <w:b/>
                <w:bCs/>
              </w:rPr>
              <w:t>Dépenses de fonctionnement</w:t>
            </w:r>
          </w:p>
        </w:tc>
        <w:tc>
          <w:tcPr>
            <w:tcW w:w="2551" w:type="dxa"/>
          </w:tcPr>
          <w:p w:rsidR="00DB1787" w:rsidRDefault="00DB1787" w:rsidP="00F265C7">
            <w:pPr>
              <w:pStyle w:val="Tabletext"/>
              <w:keepNext/>
              <w:keepLines/>
              <w:jc w:val="center"/>
            </w:pPr>
            <w:r>
              <w:t>1 060 000</w:t>
            </w:r>
            <w:r w:rsidR="008B594C">
              <w:t xml:space="preserve"> CHF</w:t>
            </w:r>
          </w:p>
        </w:tc>
        <w:tc>
          <w:tcPr>
            <w:tcW w:w="2552" w:type="dxa"/>
          </w:tcPr>
          <w:p w:rsidR="00DB1787" w:rsidRDefault="00DB1787" w:rsidP="00F265C7">
            <w:pPr>
              <w:pStyle w:val="Tabletext"/>
              <w:keepNext/>
              <w:keepLines/>
              <w:jc w:val="center"/>
            </w:pPr>
            <w:r>
              <w:t>1 060 000</w:t>
            </w:r>
            <w:r w:rsidR="008B594C">
              <w:t xml:space="preserve"> CHF</w:t>
            </w:r>
          </w:p>
        </w:tc>
      </w:tr>
      <w:tr w:rsidR="00DB1787" w:rsidTr="008B594C">
        <w:trPr>
          <w:jc w:val="center"/>
        </w:trPr>
        <w:tc>
          <w:tcPr>
            <w:tcW w:w="3114" w:type="dxa"/>
          </w:tcPr>
          <w:p w:rsidR="00DB1787" w:rsidRPr="008B594C" w:rsidRDefault="00DB1787" w:rsidP="00F265C7">
            <w:pPr>
              <w:pStyle w:val="Tabletext"/>
              <w:keepNext/>
              <w:keepLines/>
              <w:rPr>
                <w:b/>
                <w:bCs/>
              </w:rPr>
            </w:pPr>
            <w:r w:rsidRPr="008B594C">
              <w:rPr>
                <w:b/>
                <w:bCs/>
              </w:rPr>
              <w:t>Dépenses d'équipement</w:t>
            </w:r>
          </w:p>
        </w:tc>
        <w:tc>
          <w:tcPr>
            <w:tcW w:w="2551" w:type="dxa"/>
          </w:tcPr>
          <w:p w:rsidR="00DB1787" w:rsidRDefault="00DB1787" w:rsidP="00F265C7">
            <w:pPr>
              <w:pStyle w:val="Tabletext"/>
              <w:keepNext/>
              <w:keepLines/>
              <w:jc w:val="center"/>
            </w:pPr>
            <w:r>
              <w:t>1 046 000</w:t>
            </w:r>
            <w:r w:rsidR="008B594C">
              <w:t xml:space="preserve"> CHF</w:t>
            </w:r>
          </w:p>
        </w:tc>
        <w:tc>
          <w:tcPr>
            <w:tcW w:w="2552" w:type="dxa"/>
          </w:tcPr>
          <w:p w:rsidR="00DB1787" w:rsidRDefault="00DB1787" w:rsidP="00F265C7">
            <w:pPr>
              <w:pStyle w:val="Tabletext"/>
              <w:keepNext/>
              <w:keepLines/>
              <w:jc w:val="center"/>
            </w:pPr>
          </w:p>
        </w:tc>
      </w:tr>
    </w:tbl>
    <w:p w:rsidR="00DB1787" w:rsidRDefault="00DB1787" w:rsidP="00F265C7">
      <w:pPr>
        <w:pStyle w:val="Headingb"/>
        <w:spacing w:before="360"/>
      </w:pPr>
      <w:r>
        <w:t>Perspectives</w:t>
      </w:r>
    </w:p>
    <w:p w:rsidR="00DB1787" w:rsidRDefault="008B594C" w:rsidP="00DB1787">
      <w:pPr>
        <w:tabs>
          <w:tab w:val="clear" w:pos="567"/>
          <w:tab w:val="left" w:pos="0"/>
        </w:tabs>
      </w:pPr>
      <w:r>
        <w:t>12</w:t>
      </w:r>
      <w:r w:rsidR="00DB1787">
        <w:tab/>
        <w:t>La Conférence de plénipotentiaires est invitée à</w:t>
      </w:r>
      <w:r>
        <w:t>:</w:t>
      </w:r>
    </w:p>
    <w:p w:rsidR="00DB1787" w:rsidRPr="00844350" w:rsidRDefault="00730A3F" w:rsidP="00730A3F">
      <w:pPr>
        <w:pStyle w:val="enumlev1"/>
        <w:rPr>
          <w:lang w:val="fr-CH"/>
        </w:rPr>
      </w:pPr>
      <w:r w:rsidRPr="00730A3F">
        <w:rPr>
          <w:lang w:val="fr-CH"/>
        </w:rPr>
        <w:t>•</w:t>
      </w:r>
      <w:r>
        <w:rPr>
          <w:lang w:val="fr-CH"/>
        </w:rPr>
        <w:tab/>
      </w:r>
      <w:r w:rsidR="00DB1787" w:rsidRPr="00844350">
        <w:rPr>
          <w:lang w:val="fr-CH"/>
        </w:rPr>
        <w:t>Reconnaître les avantages</w:t>
      </w:r>
      <w:r w:rsidR="00DB1787">
        <w:rPr>
          <w:lang w:val="fr-CH"/>
        </w:rPr>
        <w:t xml:space="preserve"> non négligeables</w:t>
      </w:r>
      <w:r w:rsidR="00DB1787" w:rsidRPr="00844350">
        <w:rPr>
          <w:lang w:val="fr-CH"/>
        </w:rPr>
        <w:t xml:space="preserve"> que présentent ces services pour les délégués (diminution des frais et du temps de déplacement), meilleure participation aux réunions, conférences et manifestations de l</w:t>
      </w:r>
      <w:r w:rsidR="00DB1787">
        <w:rPr>
          <w:lang w:val="fr-CH"/>
        </w:rPr>
        <w:t>'</w:t>
      </w:r>
      <w:r w:rsidR="00DB1787" w:rsidRPr="00844350">
        <w:rPr>
          <w:lang w:val="fr-CH"/>
        </w:rPr>
        <w:t>UIT, et réduction substantielle des émissions carbone.</w:t>
      </w:r>
    </w:p>
    <w:p w:rsidR="00DB1787" w:rsidRPr="00844350" w:rsidRDefault="00730A3F" w:rsidP="00730A3F">
      <w:pPr>
        <w:pStyle w:val="enumlev1"/>
        <w:rPr>
          <w:lang w:val="fr-CH"/>
        </w:rPr>
      </w:pPr>
      <w:r w:rsidRPr="00730A3F">
        <w:rPr>
          <w:lang w:val="fr-CH"/>
        </w:rPr>
        <w:t>•</w:t>
      </w:r>
      <w:r>
        <w:rPr>
          <w:lang w:val="fr-CH"/>
        </w:rPr>
        <w:tab/>
      </w:r>
      <w:r w:rsidR="00DB1787" w:rsidRPr="00844350">
        <w:rPr>
          <w:lang w:val="fr-CH"/>
        </w:rPr>
        <w:t>Prendre note des difficultés techniques, financières et juridiques actuellement rencontrées pour l</w:t>
      </w:r>
      <w:r w:rsidR="00DB1787">
        <w:rPr>
          <w:lang w:val="fr-CH"/>
        </w:rPr>
        <w:t>'</w:t>
      </w:r>
      <w:r w:rsidR="00DB1787" w:rsidRPr="00844350">
        <w:rPr>
          <w:lang w:val="fr-CH"/>
        </w:rPr>
        <w:t>adoption de la participation à distance, à égalité avec la participation sur place à des réunions et autres manifestations.</w:t>
      </w:r>
    </w:p>
    <w:p w:rsidR="00DB1787" w:rsidRPr="00844350" w:rsidRDefault="00730A3F" w:rsidP="00730A3F">
      <w:pPr>
        <w:pStyle w:val="enumlev1"/>
        <w:rPr>
          <w:lang w:val="fr-CH"/>
        </w:rPr>
      </w:pPr>
      <w:r w:rsidRPr="00730A3F">
        <w:rPr>
          <w:lang w:val="fr-CH"/>
        </w:rPr>
        <w:t>•</w:t>
      </w:r>
      <w:r>
        <w:rPr>
          <w:lang w:val="fr-CH"/>
        </w:rPr>
        <w:tab/>
      </w:r>
      <w:r w:rsidR="00DB1787" w:rsidRPr="00844350">
        <w:rPr>
          <w:lang w:val="fr-CH"/>
        </w:rPr>
        <w:t xml:space="preserve">Charger le secrétariat de continuer à </w:t>
      </w:r>
      <w:r w:rsidR="00DB1787">
        <w:rPr>
          <w:lang w:val="fr-CH"/>
        </w:rPr>
        <w:t xml:space="preserve">mener des essais pilotes de </w:t>
      </w:r>
      <w:r w:rsidR="00DB1787" w:rsidRPr="00844350">
        <w:rPr>
          <w:lang w:val="fr-CH"/>
        </w:rPr>
        <w:t>participation à distance, compte tenu de l</w:t>
      </w:r>
      <w:r w:rsidR="00DB1787">
        <w:rPr>
          <w:lang w:val="fr-CH"/>
        </w:rPr>
        <w:t>'</w:t>
      </w:r>
      <w:r w:rsidR="00DB1787" w:rsidRPr="00844350">
        <w:rPr>
          <w:lang w:val="fr-CH"/>
        </w:rPr>
        <w:t>évolution rapide des communications et des outils techniques</w:t>
      </w:r>
      <w:r w:rsidR="00DB1787">
        <w:rPr>
          <w:lang w:val="fr-CH"/>
        </w:rPr>
        <w:t xml:space="preserve"> </w:t>
      </w:r>
      <w:r w:rsidR="00DB1787" w:rsidRPr="00844350">
        <w:rPr>
          <w:lang w:val="fr-CH"/>
        </w:rPr>
        <w:t>permettant d</w:t>
      </w:r>
      <w:r w:rsidR="00DB1787">
        <w:rPr>
          <w:lang w:val="fr-CH"/>
        </w:rPr>
        <w:t>'</w:t>
      </w:r>
      <w:r w:rsidR="00DB1787" w:rsidRPr="00844350">
        <w:rPr>
          <w:lang w:val="fr-CH"/>
        </w:rPr>
        <w:t>améliorer la qualité, l</w:t>
      </w:r>
      <w:r w:rsidR="00DB1787">
        <w:rPr>
          <w:lang w:val="fr-CH"/>
        </w:rPr>
        <w:t>'</w:t>
      </w:r>
      <w:r w:rsidR="00DB1787" w:rsidRPr="00844350">
        <w:rPr>
          <w:lang w:val="fr-CH"/>
        </w:rPr>
        <w:t>accès et l</w:t>
      </w:r>
      <w:r w:rsidR="00DB1787">
        <w:rPr>
          <w:lang w:val="fr-CH"/>
        </w:rPr>
        <w:t>'</w:t>
      </w:r>
      <w:r w:rsidR="00DB1787" w:rsidRPr="00844350">
        <w:rPr>
          <w:lang w:val="fr-CH"/>
        </w:rPr>
        <w:t>accessibilité.</w:t>
      </w:r>
    </w:p>
    <w:p w:rsidR="00BD1614" w:rsidRDefault="00730A3F" w:rsidP="00730A3F">
      <w:pPr>
        <w:pStyle w:val="enumlev1"/>
      </w:pPr>
      <w:r w:rsidRPr="00730A3F">
        <w:rPr>
          <w:lang w:val="fr-CH"/>
        </w:rPr>
        <w:t>•</w:t>
      </w:r>
      <w:r>
        <w:rPr>
          <w:lang w:val="fr-CH"/>
        </w:rPr>
        <w:tab/>
      </w:r>
      <w:r w:rsidR="00DB1787" w:rsidRPr="00844350">
        <w:rPr>
          <w:lang w:val="fr-CH"/>
        </w:rPr>
        <w:t>Demander au Conseil d</w:t>
      </w:r>
      <w:r w:rsidR="00DB1787">
        <w:rPr>
          <w:lang w:val="fr-CH"/>
        </w:rPr>
        <w:t>'</w:t>
      </w:r>
      <w:r w:rsidR="00DB1787" w:rsidRPr="00844350">
        <w:rPr>
          <w:lang w:val="fr-CH"/>
        </w:rPr>
        <w:t>examiner, à sa session de 2015, les résultats des essais pilotes de participation à distance, qui en sera à sa cinquième année d</w:t>
      </w:r>
      <w:r w:rsidR="00DB1787">
        <w:rPr>
          <w:lang w:val="fr-CH"/>
        </w:rPr>
        <w:t>'</w:t>
      </w:r>
      <w:r w:rsidR="00DB1787" w:rsidRPr="00844350">
        <w:rPr>
          <w:lang w:val="fr-CH"/>
        </w:rPr>
        <w:t>existence.</w:t>
      </w:r>
    </w:p>
    <w:p w:rsidR="00BD1614" w:rsidRPr="00BD1614" w:rsidRDefault="008B594C" w:rsidP="00F265C7">
      <w:pPr>
        <w:spacing w:before="840"/>
        <w:jc w:val="center"/>
      </w:pPr>
      <w:r>
        <w:t>______________</w:t>
      </w:r>
    </w:p>
    <w:sectPr w:rsidR="00BD1614" w:rsidRPr="00BD1614" w:rsidSect="003A0B7D">
      <w:headerReference w:type="defaul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7E8" w:rsidRDefault="000177E8">
      <w:r>
        <w:separator/>
      </w:r>
    </w:p>
  </w:endnote>
  <w:endnote w:type="continuationSeparator" w:id="0">
    <w:p w:rsidR="000177E8" w:rsidRDefault="0001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7E8" w:rsidRDefault="000177E8">
      <w:r>
        <w:t>____________________</w:t>
      </w:r>
    </w:p>
  </w:footnote>
  <w:footnote w:type="continuationSeparator" w:id="0">
    <w:p w:rsidR="000177E8" w:rsidRDefault="000177E8">
      <w:r>
        <w:continuationSeparator/>
      </w:r>
    </w:p>
  </w:footnote>
  <w:footnote w:id="1">
    <w:p w:rsidR="00DB1787" w:rsidRPr="002C068C" w:rsidRDefault="00DB1787" w:rsidP="00E8185F">
      <w:pPr>
        <w:pStyle w:val="FootnoteText"/>
        <w:ind w:left="255" w:hanging="255"/>
        <w:rPr>
          <w:lang w:val="fr-CH"/>
        </w:rPr>
      </w:pPr>
      <w:r>
        <w:rPr>
          <w:rStyle w:val="FootnoteReference"/>
        </w:rPr>
        <w:footnoteRef/>
      </w:r>
      <w:r w:rsidR="008B594C">
        <w:tab/>
      </w:r>
      <w:r w:rsidRPr="00F265C7">
        <w:rPr>
          <w:sz w:val="22"/>
          <w:szCs w:val="22"/>
          <w:lang w:val="fr-CH"/>
        </w:rPr>
        <w:t>Voir Document C14/20 – Appendices 1 et 2.</w:t>
      </w:r>
    </w:p>
  </w:footnote>
  <w:footnote w:id="2">
    <w:p w:rsidR="00DB1787" w:rsidRPr="00D62488" w:rsidRDefault="00DB1787" w:rsidP="00E8185F">
      <w:pPr>
        <w:pStyle w:val="FootnoteText"/>
        <w:rPr>
          <w:lang w:val="fr-CH"/>
        </w:rPr>
      </w:pPr>
      <w:r>
        <w:rPr>
          <w:rStyle w:val="FootnoteReference"/>
        </w:rPr>
        <w:footnoteRef/>
      </w:r>
      <w:r>
        <w:t xml:space="preserve"> </w:t>
      </w:r>
      <w:r w:rsidR="008B594C">
        <w:tab/>
      </w:r>
      <w:r w:rsidRPr="00F265C7">
        <w:rPr>
          <w:sz w:val="22"/>
          <w:szCs w:val="22"/>
          <w:lang w:val="fr-CH"/>
        </w:rPr>
        <w:t>Voir le projet de budget de l'Union pour 2012-2013 – Document C11/10 (Add.1)/Section D, UMAC) et Expérience de l'UIT en matière de participation à distance et proposition de plan d'action</w:t>
      </w:r>
      <w:r w:rsidR="00883B55" w:rsidRPr="00F265C7">
        <w:rPr>
          <w:sz w:val="22"/>
          <w:szCs w:val="22"/>
          <w:lang w:val="fr-CH"/>
        </w:rPr>
        <w:t> </w:t>
      </w:r>
      <w:r w:rsidRPr="00F265C7">
        <w:rPr>
          <w:sz w:val="22"/>
          <w:szCs w:val="22"/>
          <w:lang w:val="fr-CH"/>
        </w:rPr>
        <w:t>– Résolution 167 (Guadalajara, 2010) de la Conférence</w:t>
      </w:r>
      <w:r w:rsidR="008B594C" w:rsidRPr="00F265C7">
        <w:rPr>
          <w:sz w:val="22"/>
          <w:szCs w:val="22"/>
          <w:lang w:val="fr-CH"/>
        </w:rPr>
        <w:t xml:space="preserve"> de plénipotentiaires (Document </w:t>
      </w:r>
      <w:r w:rsidR="00E8185F" w:rsidRPr="00F265C7">
        <w:rPr>
          <w:sz w:val="22"/>
          <w:szCs w:val="22"/>
          <w:lang w:val="fr-CH"/>
        </w:rPr>
        <w:t>C11/37</w:t>
      </w:r>
      <w:r w:rsidRPr="00F265C7">
        <w:rPr>
          <w:sz w:val="22"/>
          <w:szCs w:val="22"/>
          <w:lang w:val="fr-CH"/>
        </w:rPr>
        <w:t>(Rév.1)).</w:t>
      </w:r>
    </w:p>
  </w:footnote>
  <w:footnote w:id="3">
    <w:p w:rsidR="00DB1787" w:rsidRPr="000E7D6E" w:rsidRDefault="00DB1787" w:rsidP="00DB1787">
      <w:pPr>
        <w:pStyle w:val="FootnoteText"/>
        <w:rPr>
          <w:lang w:val="fr-CH"/>
        </w:rPr>
      </w:pPr>
      <w:r>
        <w:rPr>
          <w:rStyle w:val="FootnoteReference"/>
        </w:rPr>
        <w:footnoteRef/>
      </w:r>
      <w:r w:rsidR="008B594C">
        <w:tab/>
      </w:r>
      <w:r w:rsidRPr="00F265C7">
        <w:rPr>
          <w:sz w:val="22"/>
          <w:szCs w:val="22"/>
          <w:lang w:val="fr-CH"/>
        </w:rPr>
        <w:t>Voir Résolution 1337 – Budget biennal de l'UIT pour 2012-2013 (Document C11/105).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F265C7">
      <w:rPr>
        <w:noProof/>
      </w:rPr>
      <w:t>5</w:t>
    </w:r>
    <w:r>
      <w:fldChar w:fldCharType="end"/>
    </w:r>
    <w:r w:rsidR="004F5363">
      <w:t>/</w:t>
    </w:r>
    <w:fldSimple w:instr=" NUMPAGES   \* MERGEFORMAT ">
      <w:r w:rsidR="00F265C7">
        <w:rPr>
          <w:noProof/>
        </w:rPr>
        <w:t>5</w:t>
      </w:r>
    </w:fldSimple>
  </w:p>
  <w:p w:rsidR="00BD1614" w:rsidRPr="00407795" w:rsidRDefault="00407795" w:rsidP="006548C0">
    <w:pPr>
      <w:pStyle w:val="Header"/>
    </w:pPr>
    <w:r>
      <w:t>PP14/</w:t>
    </w:r>
    <w:r w:rsidR="00DB1787">
      <w:t>55</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7A2B"/>
    <w:multiLevelType w:val="hybridMultilevel"/>
    <w:tmpl w:val="1A20C13C"/>
    <w:lvl w:ilvl="0" w:tplc="7DA6C048">
      <w:start w:val="1"/>
      <w:numFmt w:val="bullet"/>
      <w:lvlText w:val="-"/>
      <w:lvlJc w:val="left"/>
      <w:pPr>
        <w:ind w:left="360" w:hanging="360"/>
      </w:pPr>
      <w:rPr>
        <w:rFonts w:ascii="Calibri" w:eastAsiaTheme="minorEastAsia" w:hAnsi="Calibri" w:cstheme="minorBidi" w:hint="default"/>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1E82D4B"/>
    <w:multiLevelType w:val="hybridMultilevel"/>
    <w:tmpl w:val="45F2D326"/>
    <w:lvl w:ilvl="0" w:tplc="7DA6C048">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7E8"/>
    <w:rsid w:val="000054D8"/>
    <w:rsid w:val="000177E8"/>
    <w:rsid w:val="00072D5C"/>
    <w:rsid w:val="00084308"/>
    <w:rsid w:val="000B14B6"/>
    <w:rsid w:val="000C467B"/>
    <w:rsid w:val="000D15FB"/>
    <w:rsid w:val="001051E4"/>
    <w:rsid w:val="00133915"/>
    <w:rsid w:val="001354EA"/>
    <w:rsid w:val="00136FCE"/>
    <w:rsid w:val="00153BA4"/>
    <w:rsid w:val="00190BCE"/>
    <w:rsid w:val="001941AD"/>
    <w:rsid w:val="001A0682"/>
    <w:rsid w:val="001E1B9B"/>
    <w:rsid w:val="001F6233"/>
    <w:rsid w:val="002C1059"/>
    <w:rsid w:val="002C2F9C"/>
    <w:rsid w:val="003A0B7D"/>
    <w:rsid w:val="003A45C2"/>
    <w:rsid w:val="003C4BE2"/>
    <w:rsid w:val="003D147D"/>
    <w:rsid w:val="00407795"/>
    <w:rsid w:val="00430015"/>
    <w:rsid w:val="004678D0"/>
    <w:rsid w:val="00471BF7"/>
    <w:rsid w:val="00482954"/>
    <w:rsid w:val="004F5363"/>
    <w:rsid w:val="00524001"/>
    <w:rsid w:val="00564B63"/>
    <w:rsid w:val="00575DC7"/>
    <w:rsid w:val="005836C2"/>
    <w:rsid w:val="005A4EFD"/>
    <w:rsid w:val="005A5ABE"/>
    <w:rsid w:val="005C2ECC"/>
    <w:rsid w:val="005E419E"/>
    <w:rsid w:val="00611CF1"/>
    <w:rsid w:val="006201D9"/>
    <w:rsid w:val="006277DB"/>
    <w:rsid w:val="00635B7B"/>
    <w:rsid w:val="006548C0"/>
    <w:rsid w:val="00655B98"/>
    <w:rsid w:val="00686973"/>
    <w:rsid w:val="006A6342"/>
    <w:rsid w:val="006B6C9C"/>
    <w:rsid w:val="006C7AE3"/>
    <w:rsid w:val="006D55E8"/>
    <w:rsid w:val="006E1921"/>
    <w:rsid w:val="006F36F9"/>
    <w:rsid w:val="0070576B"/>
    <w:rsid w:val="00713335"/>
    <w:rsid w:val="00727C2F"/>
    <w:rsid w:val="00730A3F"/>
    <w:rsid w:val="00735F13"/>
    <w:rsid w:val="007717F2"/>
    <w:rsid w:val="0078134C"/>
    <w:rsid w:val="007A5830"/>
    <w:rsid w:val="00801256"/>
    <w:rsid w:val="008703CB"/>
    <w:rsid w:val="00883B55"/>
    <w:rsid w:val="008B594C"/>
    <w:rsid w:val="008C33C2"/>
    <w:rsid w:val="008C6137"/>
    <w:rsid w:val="008E2DB4"/>
    <w:rsid w:val="00901DD5"/>
    <w:rsid w:val="0090735B"/>
    <w:rsid w:val="00912D5E"/>
    <w:rsid w:val="00934340"/>
    <w:rsid w:val="00966CD3"/>
    <w:rsid w:val="00987A20"/>
    <w:rsid w:val="009A0E15"/>
    <w:rsid w:val="009F0592"/>
    <w:rsid w:val="00A20E72"/>
    <w:rsid w:val="00A246DC"/>
    <w:rsid w:val="00A47BAF"/>
    <w:rsid w:val="00A5784F"/>
    <w:rsid w:val="00A8436E"/>
    <w:rsid w:val="00A95B66"/>
    <w:rsid w:val="00AE0667"/>
    <w:rsid w:val="00B41E0A"/>
    <w:rsid w:val="00B56DE0"/>
    <w:rsid w:val="00B71F12"/>
    <w:rsid w:val="00B96B1E"/>
    <w:rsid w:val="00BB2A6F"/>
    <w:rsid w:val="00BD1614"/>
    <w:rsid w:val="00BF7D25"/>
    <w:rsid w:val="00C010C0"/>
    <w:rsid w:val="00C54CE6"/>
    <w:rsid w:val="00C575E2"/>
    <w:rsid w:val="00C7368B"/>
    <w:rsid w:val="00C77C28"/>
    <w:rsid w:val="00C92746"/>
    <w:rsid w:val="00CC4DC5"/>
    <w:rsid w:val="00CE1A7C"/>
    <w:rsid w:val="00D12C74"/>
    <w:rsid w:val="00D56483"/>
    <w:rsid w:val="00D56AD6"/>
    <w:rsid w:val="00D70019"/>
    <w:rsid w:val="00D74B58"/>
    <w:rsid w:val="00D82ABE"/>
    <w:rsid w:val="00DA685B"/>
    <w:rsid w:val="00DA742B"/>
    <w:rsid w:val="00DB1787"/>
    <w:rsid w:val="00DF25C1"/>
    <w:rsid w:val="00DF48F7"/>
    <w:rsid w:val="00DF4964"/>
    <w:rsid w:val="00DF4D73"/>
    <w:rsid w:val="00DF79B0"/>
    <w:rsid w:val="00E1047D"/>
    <w:rsid w:val="00E443FA"/>
    <w:rsid w:val="00E54FCE"/>
    <w:rsid w:val="00E8185F"/>
    <w:rsid w:val="00E93D35"/>
    <w:rsid w:val="00EA45DB"/>
    <w:rsid w:val="00ED2CD9"/>
    <w:rsid w:val="00F265C7"/>
    <w:rsid w:val="00F564C1"/>
    <w:rsid w:val="00F621CE"/>
    <w:rsid w:val="00F77FA2"/>
    <w:rsid w:val="00F8357A"/>
    <w:rsid w:val="00FA1B77"/>
    <w:rsid w:val="00FB4B65"/>
    <w:rsid w:val="00FB74B8"/>
    <w:rsid w:val="00FC49E0"/>
    <w:rsid w:val="00FF0484"/>
    <w:rsid w:val="00FF439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5A4EFD"/>
    <w:rPr>
      <w:rFonts w:ascii="Calibri" w:hAnsi="Calibri"/>
      <w:position w:val="6"/>
      <w:sz w:val="16"/>
    </w:rPr>
  </w:style>
  <w:style w:type="paragraph" w:styleId="FootnoteText">
    <w:name w:val="footnote text"/>
    <w:basedOn w:val="Normal"/>
    <w:link w:val="FootnoteTextChar"/>
    <w:uiPriority w:val="99"/>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Table">
    <w:name w:val="Table_#"/>
    <w:basedOn w:val="Normal"/>
    <w:next w:val="Normal"/>
    <w:rsid w:val="00DB178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uiPriority w:val="99"/>
    <w:rsid w:val="00DB1787"/>
    <w:rPr>
      <w:rFonts w:ascii="Calibri" w:hAnsi="Calibri"/>
      <w:sz w:val="24"/>
      <w:lang w:val="fr-FR" w:eastAsia="en-US"/>
    </w:rPr>
  </w:style>
  <w:style w:type="paragraph" w:styleId="ListParagraph">
    <w:name w:val="List Paragraph"/>
    <w:basedOn w:val="Normal"/>
    <w:uiPriority w:val="34"/>
    <w:qFormat/>
    <w:rsid w:val="00DB1787"/>
    <w:pPr>
      <w:ind w:left="720"/>
      <w:contextualSpacing/>
    </w:pPr>
    <w:rPr>
      <w:lang w:val="en-GB"/>
    </w:rPr>
  </w:style>
  <w:style w:type="table" w:styleId="TableGrid">
    <w:name w:val="Table Grid"/>
    <w:basedOn w:val="TableNormal"/>
    <w:uiPriority w:val="59"/>
    <w:rsid w:val="00DB1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5A4EFD"/>
    <w:rPr>
      <w:rFonts w:ascii="Calibri" w:hAnsi="Calibri"/>
      <w:position w:val="6"/>
      <w:sz w:val="16"/>
    </w:rPr>
  </w:style>
  <w:style w:type="paragraph" w:styleId="FootnoteText">
    <w:name w:val="footnote text"/>
    <w:basedOn w:val="Normal"/>
    <w:link w:val="FootnoteTextChar"/>
    <w:uiPriority w:val="99"/>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Table">
    <w:name w:val="Table_#"/>
    <w:basedOn w:val="Normal"/>
    <w:next w:val="Normal"/>
    <w:rsid w:val="00DB178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uiPriority w:val="99"/>
    <w:rsid w:val="00DB1787"/>
    <w:rPr>
      <w:rFonts w:ascii="Calibri" w:hAnsi="Calibri"/>
      <w:sz w:val="24"/>
      <w:lang w:val="fr-FR" w:eastAsia="en-US"/>
    </w:rPr>
  </w:style>
  <w:style w:type="paragraph" w:styleId="ListParagraph">
    <w:name w:val="List Paragraph"/>
    <w:basedOn w:val="Normal"/>
    <w:uiPriority w:val="34"/>
    <w:qFormat/>
    <w:rsid w:val="00DB1787"/>
    <w:pPr>
      <w:ind w:left="720"/>
      <w:contextualSpacing/>
    </w:pPr>
    <w:rPr>
      <w:lang w:val="en-GB"/>
    </w:rPr>
  </w:style>
  <w:style w:type="table" w:styleId="TableGrid">
    <w:name w:val="Table Grid"/>
    <w:basedOn w:val="TableNormal"/>
    <w:uiPriority w:val="59"/>
    <w:rsid w:val="00DB1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3-CL-INF-0008/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S12-CL-C-0021/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itu.int/md/S11-CL-C-0037/fr" TargetMode="External"/><Relationship Id="rId5" Type="http://schemas.openxmlformats.org/officeDocument/2006/relationships/settings" Target="settings.xml"/><Relationship Id="rId15" Type="http://schemas.openxmlformats.org/officeDocument/2006/relationships/hyperlink" Target="http://www.itu.int/md/S14-CL-C-0020/fr" TargetMode="External"/><Relationship Id="rId10" Type="http://schemas.openxmlformats.org/officeDocument/2006/relationships/hyperlink" Target="http://www.itu.int/council/Basic-Texts/ResDecRec-PP10-f.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S13-CL-C-0020/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FC74B-5B13-4BB3-B7A4-1164827A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0</TotalTime>
  <Pages>5</Pages>
  <Words>1622</Words>
  <Characters>9897</Characters>
  <Application>Microsoft Office Word</Application>
  <DocSecurity>4</DocSecurity>
  <Lines>82</Lines>
  <Paragraphs>22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11497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Royer, Veronique</dc:creator>
  <cp:keywords>PP-06</cp:keywords>
  <dc:description>PF_PP14.dotx  For: _x000d_Document date: _x000d_Saved by ITU51009317 at 10:31:32 on 19/03/2013</dc:description>
  <cp:lastModifiedBy>Brouard, Ricarda</cp:lastModifiedBy>
  <cp:revision>2</cp:revision>
  <cp:lastPrinted>2014-08-15T09:24:00Z</cp:lastPrinted>
  <dcterms:created xsi:type="dcterms:W3CDTF">2014-08-19T07:45:00Z</dcterms:created>
  <dcterms:modified xsi:type="dcterms:W3CDTF">2014-08-19T07:45:00Z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