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B70950" w:rsidTr="00EA073B">
        <w:trPr>
          <w:cantSplit/>
        </w:trPr>
        <w:tc>
          <w:tcPr>
            <w:tcW w:w="6911" w:type="dxa"/>
          </w:tcPr>
          <w:p w:rsidR="00BD1614" w:rsidRPr="00B70950" w:rsidRDefault="00BD1614" w:rsidP="00AA0684">
            <w:pPr>
              <w:rPr>
                <w:b/>
                <w:bCs/>
                <w:position w:val="6"/>
                <w:szCs w:val="24"/>
              </w:rPr>
            </w:pPr>
            <w:bookmarkStart w:id="0" w:name="dbreak"/>
            <w:bookmarkStart w:id="1" w:name="dpp"/>
            <w:bookmarkEnd w:id="0"/>
            <w:bookmarkEnd w:id="1"/>
            <w:r w:rsidRPr="00B70950">
              <w:rPr>
                <w:rFonts w:cs="Times"/>
                <w:b/>
                <w:sz w:val="30"/>
                <w:szCs w:val="30"/>
              </w:rPr>
              <w:t>Conférence de plénipotentiaires</w:t>
            </w:r>
            <w:r w:rsidRPr="00B70950">
              <w:rPr>
                <w:b/>
                <w:smallCaps/>
                <w:sz w:val="30"/>
                <w:szCs w:val="30"/>
              </w:rPr>
              <w:t xml:space="preserve"> (PP-14</w:t>
            </w:r>
            <w:proofErr w:type="gramStart"/>
            <w:r w:rsidRPr="00B70950">
              <w:rPr>
                <w:b/>
                <w:smallCaps/>
                <w:sz w:val="30"/>
                <w:szCs w:val="30"/>
              </w:rPr>
              <w:t>)</w:t>
            </w:r>
            <w:proofErr w:type="gramEnd"/>
            <w:r w:rsidRPr="00B70950">
              <w:rPr>
                <w:b/>
                <w:smallCaps/>
                <w:sz w:val="36"/>
              </w:rPr>
              <w:br/>
            </w:r>
            <w:r w:rsidRPr="00B70950">
              <w:rPr>
                <w:rFonts w:cs="Times New Roman Bold"/>
                <w:b/>
                <w:bCs/>
                <w:szCs w:val="24"/>
              </w:rPr>
              <w:t>Busan, 20 octobre - 7 novembre 2014</w:t>
            </w:r>
          </w:p>
        </w:tc>
        <w:tc>
          <w:tcPr>
            <w:tcW w:w="3120" w:type="dxa"/>
          </w:tcPr>
          <w:p w:rsidR="00BD1614" w:rsidRPr="00B70950" w:rsidRDefault="00BD1614" w:rsidP="00AA0684">
            <w:pPr>
              <w:rPr>
                <w:rFonts w:cstheme="minorHAnsi"/>
              </w:rPr>
            </w:pPr>
            <w:bookmarkStart w:id="2" w:name="ditulogo"/>
            <w:bookmarkEnd w:id="2"/>
            <w:r w:rsidRPr="00B70950">
              <w:rPr>
                <w:rFonts w:cstheme="minorHAnsi"/>
                <w:b/>
                <w:bCs/>
                <w:noProof/>
                <w:lang w:val="en-US" w:eastAsia="zh-CN"/>
              </w:rPr>
              <w:drawing>
                <wp:inline distT="0" distB="0" distL="0" distR="0" wp14:anchorId="72B01E52" wp14:editId="69881AE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B70950" w:rsidTr="00EA073B">
        <w:trPr>
          <w:cantSplit/>
        </w:trPr>
        <w:tc>
          <w:tcPr>
            <w:tcW w:w="6911" w:type="dxa"/>
            <w:tcBorders>
              <w:bottom w:val="single" w:sz="12" w:space="0" w:color="auto"/>
            </w:tcBorders>
          </w:tcPr>
          <w:p w:rsidR="00BD1614" w:rsidRPr="00B70950" w:rsidRDefault="00BD1614" w:rsidP="00AA0684">
            <w:pPr>
              <w:rPr>
                <w:rFonts w:cstheme="minorHAnsi"/>
                <w:b/>
                <w:smallCaps/>
                <w:szCs w:val="24"/>
              </w:rPr>
            </w:pPr>
            <w:bookmarkStart w:id="3" w:name="dhead"/>
          </w:p>
        </w:tc>
        <w:tc>
          <w:tcPr>
            <w:tcW w:w="3120" w:type="dxa"/>
            <w:tcBorders>
              <w:bottom w:val="single" w:sz="12" w:space="0" w:color="auto"/>
            </w:tcBorders>
          </w:tcPr>
          <w:p w:rsidR="00BD1614" w:rsidRPr="00B70950" w:rsidRDefault="00BD1614" w:rsidP="00AA0684">
            <w:pPr>
              <w:rPr>
                <w:rFonts w:cstheme="minorHAnsi"/>
                <w:szCs w:val="24"/>
              </w:rPr>
            </w:pPr>
          </w:p>
        </w:tc>
      </w:tr>
      <w:tr w:rsidR="00BD1614" w:rsidRPr="00B70950" w:rsidTr="00EA073B">
        <w:trPr>
          <w:cantSplit/>
        </w:trPr>
        <w:tc>
          <w:tcPr>
            <w:tcW w:w="6911" w:type="dxa"/>
            <w:tcBorders>
              <w:top w:val="single" w:sz="12" w:space="0" w:color="auto"/>
            </w:tcBorders>
          </w:tcPr>
          <w:p w:rsidR="00BD1614" w:rsidRPr="00B70950" w:rsidRDefault="00BD1614" w:rsidP="00AA0684">
            <w:pPr>
              <w:rPr>
                <w:rFonts w:cstheme="minorHAnsi"/>
                <w:b/>
                <w:smallCaps/>
                <w:szCs w:val="24"/>
              </w:rPr>
            </w:pPr>
          </w:p>
        </w:tc>
        <w:tc>
          <w:tcPr>
            <w:tcW w:w="3120" w:type="dxa"/>
            <w:tcBorders>
              <w:top w:val="single" w:sz="12" w:space="0" w:color="auto"/>
            </w:tcBorders>
          </w:tcPr>
          <w:p w:rsidR="00BD1614" w:rsidRPr="00B70950" w:rsidRDefault="00BD1614" w:rsidP="00AA0684">
            <w:pPr>
              <w:rPr>
                <w:rFonts w:cstheme="minorHAnsi"/>
                <w:szCs w:val="24"/>
              </w:rPr>
            </w:pPr>
          </w:p>
        </w:tc>
      </w:tr>
      <w:tr w:rsidR="00D429F6" w:rsidRPr="00B70950" w:rsidTr="00EA073B">
        <w:trPr>
          <w:cantSplit/>
        </w:trPr>
        <w:tc>
          <w:tcPr>
            <w:tcW w:w="6911" w:type="dxa"/>
          </w:tcPr>
          <w:p w:rsidR="00D429F6" w:rsidRPr="00B70950" w:rsidRDefault="00D429F6" w:rsidP="00AA0684">
            <w:pPr>
              <w:pStyle w:val="Committee"/>
              <w:framePr w:hSpace="0" w:wrap="auto" w:hAnchor="text" w:yAlign="inline"/>
              <w:rPr>
                <w:lang w:val="fr-FR"/>
              </w:rPr>
            </w:pPr>
            <w:r w:rsidRPr="00B70950">
              <w:rPr>
                <w:lang w:val="fr-FR"/>
              </w:rPr>
              <w:t>SÉANCE PLÉNIÈRE</w:t>
            </w:r>
          </w:p>
        </w:tc>
        <w:tc>
          <w:tcPr>
            <w:tcW w:w="3120" w:type="dxa"/>
          </w:tcPr>
          <w:p w:rsidR="00D429F6" w:rsidRPr="00B70950" w:rsidRDefault="00F00A24" w:rsidP="00F00A24">
            <w:pPr>
              <w:spacing w:before="0"/>
              <w:rPr>
                <w:rFonts w:cstheme="minorHAnsi"/>
                <w:szCs w:val="24"/>
              </w:rPr>
            </w:pPr>
            <w:r>
              <w:rPr>
                <w:rFonts w:cstheme="minorHAnsi"/>
                <w:b/>
                <w:szCs w:val="24"/>
              </w:rPr>
              <w:t>Document 57(Rev.1)-F</w:t>
            </w:r>
          </w:p>
        </w:tc>
      </w:tr>
      <w:tr w:rsidR="00D429F6" w:rsidRPr="00B70950" w:rsidTr="00C2328A">
        <w:trPr>
          <w:cantSplit/>
        </w:trPr>
        <w:tc>
          <w:tcPr>
            <w:tcW w:w="6911" w:type="dxa"/>
          </w:tcPr>
          <w:p w:rsidR="00D429F6" w:rsidRPr="00C2328A" w:rsidRDefault="00D429F6" w:rsidP="00AA0684">
            <w:pPr>
              <w:rPr>
                <w:rFonts w:cstheme="minorHAnsi"/>
                <w:b/>
                <w:smallCaps/>
                <w:sz w:val="22"/>
                <w:szCs w:val="22"/>
              </w:rPr>
            </w:pPr>
          </w:p>
        </w:tc>
        <w:tc>
          <w:tcPr>
            <w:tcW w:w="3120" w:type="dxa"/>
            <w:vAlign w:val="center"/>
          </w:tcPr>
          <w:p w:rsidR="00D429F6" w:rsidRPr="00B70950" w:rsidRDefault="00F00A24" w:rsidP="00F103FD">
            <w:pPr>
              <w:spacing w:before="0"/>
              <w:rPr>
                <w:rFonts w:cstheme="minorHAnsi"/>
                <w:b/>
                <w:szCs w:val="24"/>
              </w:rPr>
            </w:pPr>
            <w:r>
              <w:rPr>
                <w:rFonts w:cstheme="minorHAnsi"/>
                <w:b/>
                <w:szCs w:val="24"/>
              </w:rPr>
              <w:t>14 octobre</w:t>
            </w:r>
            <w:r w:rsidR="00F103FD" w:rsidRPr="00B14AEA">
              <w:rPr>
                <w:rFonts w:cstheme="minorHAnsi"/>
                <w:b/>
                <w:szCs w:val="24"/>
              </w:rPr>
              <w:t xml:space="preserve"> </w:t>
            </w:r>
            <w:r w:rsidR="00D429F6" w:rsidRPr="00B70950">
              <w:rPr>
                <w:rFonts w:cstheme="minorHAnsi"/>
                <w:b/>
                <w:szCs w:val="24"/>
              </w:rPr>
              <w:t>2014</w:t>
            </w:r>
          </w:p>
        </w:tc>
      </w:tr>
      <w:tr w:rsidR="00D429F6" w:rsidRPr="00B70950" w:rsidTr="00EA073B">
        <w:trPr>
          <w:cantSplit/>
        </w:trPr>
        <w:tc>
          <w:tcPr>
            <w:tcW w:w="6911" w:type="dxa"/>
          </w:tcPr>
          <w:p w:rsidR="00D429F6" w:rsidRPr="00B70950" w:rsidRDefault="00D429F6" w:rsidP="00AA0684">
            <w:pPr>
              <w:rPr>
                <w:rFonts w:cstheme="minorHAnsi"/>
                <w:b/>
                <w:smallCaps/>
                <w:szCs w:val="24"/>
              </w:rPr>
            </w:pPr>
          </w:p>
        </w:tc>
        <w:tc>
          <w:tcPr>
            <w:tcW w:w="3120" w:type="dxa"/>
          </w:tcPr>
          <w:p w:rsidR="00D429F6" w:rsidRPr="00B70950" w:rsidRDefault="00D429F6" w:rsidP="00BF2015">
            <w:pPr>
              <w:spacing w:before="0"/>
              <w:rPr>
                <w:rFonts w:cstheme="minorHAnsi"/>
                <w:b/>
                <w:szCs w:val="24"/>
              </w:rPr>
            </w:pPr>
            <w:proofErr w:type="gramStart"/>
            <w:r w:rsidRPr="00B70950">
              <w:rPr>
                <w:rFonts w:cstheme="minorHAnsi"/>
                <w:b/>
                <w:szCs w:val="24"/>
              </w:rPr>
              <w:t>Original:</w:t>
            </w:r>
            <w:proofErr w:type="gramEnd"/>
            <w:r w:rsidRPr="00B70950">
              <w:rPr>
                <w:rFonts w:cstheme="minorHAnsi"/>
                <w:b/>
                <w:szCs w:val="24"/>
              </w:rPr>
              <w:t xml:space="preserve"> anglais</w:t>
            </w:r>
          </w:p>
        </w:tc>
      </w:tr>
      <w:tr w:rsidR="00BD1614" w:rsidRPr="00B70950" w:rsidTr="00EA073B">
        <w:trPr>
          <w:cantSplit/>
        </w:trPr>
        <w:tc>
          <w:tcPr>
            <w:tcW w:w="10031" w:type="dxa"/>
            <w:gridSpan w:val="2"/>
          </w:tcPr>
          <w:p w:rsidR="00BD1614" w:rsidRPr="00B70950" w:rsidRDefault="00BD1614" w:rsidP="00AA0684">
            <w:pPr>
              <w:rPr>
                <w:rFonts w:cstheme="minorHAnsi"/>
                <w:b/>
                <w:szCs w:val="24"/>
              </w:rPr>
            </w:pPr>
          </w:p>
        </w:tc>
      </w:tr>
      <w:tr w:rsidR="00D429F6" w:rsidRPr="00B70950" w:rsidTr="00EA073B">
        <w:trPr>
          <w:cantSplit/>
        </w:trPr>
        <w:tc>
          <w:tcPr>
            <w:tcW w:w="10031" w:type="dxa"/>
            <w:gridSpan w:val="2"/>
          </w:tcPr>
          <w:p w:rsidR="00D429F6" w:rsidRPr="00B70950" w:rsidRDefault="00D429F6" w:rsidP="00AA0684">
            <w:pPr>
              <w:pStyle w:val="Source"/>
            </w:pPr>
            <w:bookmarkStart w:id="4" w:name="dsource" w:colFirst="0" w:colLast="0"/>
            <w:bookmarkEnd w:id="3"/>
            <w:r w:rsidRPr="00B70950">
              <w:t>Rapport du Secrétaire général</w:t>
            </w:r>
          </w:p>
        </w:tc>
      </w:tr>
      <w:tr w:rsidR="00D429F6" w:rsidRPr="00B70950" w:rsidTr="00EA073B">
        <w:trPr>
          <w:cantSplit/>
        </w:trPr>
        <w:tc>
          <w:tcPr>
            <w:tcW w:w="10031" w:type="dxa"/>
            <w:gridSpan w:val="2"/>
          </w:tcPr>
          <w:p w:rsidR="00D429F6" w:rsidRPr="00B70950" w:rsidRDefault="00D429F6" w:rsidP="00AA0684">
            <w:pPr>
              <w:pStyle w:val="Title1"/>
            </w:pPr>
            <w:bookmarkStart w:id="5" w:name="dtitle1" w:colFirst="0" w:colLast="0"/>
            <w:bookmarkEnd w:id="4"/>
            <w:r w:rsidRPr="00B70950">
              <w:t>Options pour les locaux du siège de l</w:t>
            </w:r>
            <w:r w:rsidR="00126B99" w:rsidRPr="00B70950">
              <w:t>'</w:t>
            </w:r>
            <w:r w:rsidRPr="00B70950">
              <w:t>union sur le long terme</w:t>
            </w:r>
          </w:p>
        </w:tc>
      </w:tr>
      <w:tr w:rsidR="00BD1614" w:rsidRPr="00B70950" w:rsidTr="00EA073B">
        <w:trPr>
          <w:cantSplit/>
        </w:trPr>
        <w:tc>
          <w:tcPr>
            <w:tcW w:w="10031" w:type="dxa"/>
            <w:gridSpan w:val="2"/>
          </w:tcPr>
          <w:p w:rsidR="00BD1614" w:rsidRPr="00B70950" w:rsidRDefault="00BD1614" w:rsidP="00AA0684">
            <w:pPr>
              <w:pStyle w:val="Title2"/>
            </w:pPr>
            <w:bookmarkStart w:id="6" w:name="dtitle2" w:colFirst="0" w:colLast="0"/>
            <w:bookmarkEnd w:id="5"/>
          </w:p>
        </w:tc>
      </w:tr>
      <w:bookmarkEnd w:id="6"/>
    </w:tbl>
    <w:p w:rsidR="00D429F6" w:rsidRPr="00B70950" w:rsidRDefault="00D429F6" w:rsidP="007F19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F1941" w:rsidRPr="00B70950" w:rsidTr="00B70950">
        <w:trPr>
          <w:trHeight w:val="3372"/>
          <w:jc w:val="center"/>
        </w:trPr>
        <w:tc>
          <w:tcPr>
            <w:tcW w:w="8080" w:type="dxa"/>
            <w:tcBorders>
              <w:top w:val="single" w:sz="12" w:space="0" w:color="auto"/>
              <w:left w:val="single" w:sz="12" w:space="0" w:color="auto"/>
              <w:bottom w:val="single" w:sz="12" w:space="0" w:color="auto"/>
              <w:right w:val="single" w:sz="12" w:space="0" w:color="auto"/>
            </w:tcBorders>
          </w:tcPr>
          <w:p w:rsidR="007F1941" w:rsidRPr="00B70950" w:rsidRDefault="007F1941" w:rsidP="00AA0684">
            <w:pPr>
              <w:rPr>
                <w:rFonts w:asciiTheme="minorHAnsi" w:hAnsiTheme="minorHAnsi"/>
                <w:b/>
                <w:szCs w:val="24"/>
              </w:rPr>
            </w:pPr>
            <w:r w:rsidRPr="00B70950">
              <w:rPr>
                <w:rFonts w:asciiTheme="minorHAnsi" w:hAnsiTheme="minorHAnsi"/>
                <w:b/>
                <w:szCs w:val="24"/>
              </w:rPr>
              <w:t>Résumé</w:t>
            </w:r>
          </w:p>
          <w:p w:rsidR="007F1941" w:rsidRPr="00B70950" w:rsidRDefault="007F1941" w:rsidP="00AA0684">
            <w:r w:rsidRPr="00B70950">
              <w:rPr>
                <w:rFonts w:cs="Calibri"/>
              </w:rPr>
              <w:t xml:space="preserve">Le présent rapport vise à répondre à la Recommandation 14.6 formulée à la session de 2014 du Conseil, selon laquelle il convient </w:t>
            </w:r>
            <w:r w:rsidRPr="00B70950">
              <w:rPr>
                <w:rFonts w:asciiTheme="minorHAnsi" w:hAnsiTheme="minorHAnsi"/>
                <w:color w:val="000000"/>
                <w:szCs w:val="24"/>
              </w:rPr>
              <w:t xml:space="preserve">de soumettre un rapport à la Conférence de plénipotentiaires, afin qu'elle prenne une décision sur les quatre options possibles présentées dans le Document C14/50, à </w:t>
            </w:r>
            <w:proofErr w:type="gramStart"/>
            <w:r w:rsidRPr="00B70950">
              <w:rPr>
                <w:rFonts w:asciiTheme="minorHAnsi" w:hAnsiTheme="minorHAnsi"/>
                <w:color w:val="000000"/>
                <w:szCs w:val="24"/>
              </w:rPr>
              <w:t>savoir:</w:t>
            </w:r>
            <w:proofErr w:type="gramEnd"/>
            <w:r w:rsidRPr="00B70950">
              <w:rPr>
                <w:rFonts w:asciiTheme="minorHAnsi" w:hAnsiTheme="minorHAnsi"/>
                <w:color w:val="000000"/>
                <w:szCs w:val="24"/>
              </w:rPr>
              <w:t xml:space="preserve"> remplacement ou rénovation du bâtiment</w:t>
            </w:r>
            <w:r w:rsidRPr="00B70950">
              <w:rPr>
                <w:rFonts w:asciiTheme="minorHAnsi" w:hAnsiTheme="minorHAnsi"/>
                <w:szCs w:val="24"/>
              </w:rPr>
              <w:t xml:space="preserve"> Varembé</w:t>
            </w:r>
            <w:r w:rsidRPr="00B70950">
              <w:rPr>
                <w:rFonts w:asciiTheme="minorHAnsi" w:hAnsiTheme="minorHAnsi"/>
                <w:color w:val="000000"/>
                <w:szCs w:val="24"/>
              </w:rPr>
              <w:t>, location sur place ou relocalisation du siège de l'Union. Le présent rapport traite de la situation générale des locaux du siège, et contient un calendrier des mesures à prendre ainsi qu'une analyse financière des coûts/avantages correspondant à chaque option.</w:t>
            </w:r>
          </w:p>
          <w:p w:rsidR="007F1941" w:rsidRPr="00B70950" w:rsidRDefault="007F1941" w:rsidP="00AA0684">
            <w:pPr>
              <w:rPr>
                <w:rFonts w:cs="Calibri"/>
              </w:rPr>
            </w:pPr>
            <w:r w:rsidRPr="00B70950">
              <w:rPr>
                <w:rFonts w:asciiTheme="minorHAnsi" w:hAnsiTheme="minorHAnsi"/>
                <w:color w:val="000000"/>
                <w:szCs w:val="24"/>
              </w:rPr>
              <w:t>En outre, en ce qui concerne l'option de relocalisation, le rapport comprend une analyse des questions soulevées dans le Document C14/75, ainsi que de celles de la qualité de la vie.</w:t>
            </w:r>
          </w:p>
          <w:p w:rsidR="007F1941" w:rsidRPr="00B70950" w:rsidRDefault="007F1941" w:rsidP="00AA0684">
            <w:pPr>
              <w:rPr>
                <w:rFonts w:asciiTheme="minorHAnsi" w:hAnsiTheme="minorHAnsi"/>
                <w:b/>
                <w:szCs w:val="24"/>
              </w:rPr>
            </w:pPr>
            <w:r w:rsidRPr="00B70950">
              <w:rPr>
                <w:rFonts w:asciiTheme="minorHAnsi" w:hAnsiTheme="minorHAnsi"/>
                <w:b/>
                <w:szCs w:val="24"/>
              </w:rPr>
              <w:t>Suite à donner</w:t>
            </w:r>
          </w:p>
          <w:p w:rsidR="007F1941" w:rsidRPr="00B70950" w:rsidRDefault="007F1941" w:rsidP="00AA0684">
            <w:pPr>
              <w:rPr>
                <w:rFonts w:asciiTheme="minorHAnsi" w:hAnsiTheme="minorHAnsi" w:cs="Calibri"/>
                <w:szCs w:val="24"/>
              </w:rPr>
            </w:pPr>
            <w:r w:rsidRPr="00B70950">
              <w:rPr>
                <w:rFonts w:asciiTheme="minorHAnsi" w:hAnsiTheme="minorHAnsi" w:cs="Calibri"/>
                <w:szCs w:val="24"/>
              </w:rPr>
              <w:t xml:space="preserve">La Conférence de plénipotentiaires est invitée à </w:t>
            </w:r>
            <w:r w:rsidRPr="00B70950">
              <w:rPr>
                <w:rFonts w:asciiTheme="minorHAnsi" w:hAnsiTheme="minorHAnsi" w:cs="Calibri"/>
                <w:b/>
                <w:szCs w:val="24"/>
              </w:rPr>
              <w:t>prendre une décision</w:t>
            </w:r>
            <w:r w:rsidRPr="00B70950">
              <w:rPr>
                <w:rFonts w:asciiTheme="minorHAnsi" w:hAnsiTheme="minorHAnsi" w:cs="Calibri"/>
                <w:szCs w:val="24"/>
              </w:rPr>
              <w:t xml:space="preserve"> concernant le choix d'une des quatre options exposées dans le présent document.</w:t>
            </w:r>
          </w:p>
          <w:p w:rsidR="007F1941" w:rsidRPr="00B70950" w:rsidRDefault="007F1941" w:rsidP="00F103FD">
            <w:pPr>
              <w:jc w:val="center"/>
              <w:rPr>
                <w:rFonts w:asciiTheme="minorHAnsi" w:hAnsiTheme="minorHAnsi" w:cs="Calibri"/>
                <w:szCs w:val="24"/>
              </w:rPr>
            </w:pPr>
            <w:r w:rsidRPr="00B70950">
              <w:rPr>
                <w:rFonts w:asciiTheme="minorHAnsi" w:hAnsiTheme="minorHAnsi" w:cs="Calibri"/>
                <w:szCs w:val="24"/>
              </w:rPr>
              <w:t>_________________</w:t>
            </w:r>
          </w:p>
          <w:p w:rsidR="007F1941" w:rsidRPr="00B70950" w:rsidRDefault="007F1941" w:rsidP="00AA0684">
            <w:pPr>
              <w:rPr>
                <w:rFonts w:asciiTheme="minorHAnsi" w:hAnsiTheme="minorHAnsi"/>
                <w:b/>
                <w:szCs w:val="24"/>
              </w:rPr>
            </w:pPr>
            <w:r w:rsidRPr="00B70950">
              <w:rPr>
                <w:rFonts w:asciiTheme="minorHAnsi" w:hAnsiTheme="minorHAnsi"/>
                <w:b/>
                <w:szCs w:val="24"/>
              </w:rPr>
              <w:t>Références</w:t>
            </w:r>
          </w:p>
          <w:p w:rsidR="007F1941" w:rsidRPr="00B70950" w:rsidRDefault="00F00A24" w:rsidP="00F103FD">
            <w:pPr>
              <w:spacing w:after="80"/>
              <w:rPr>
                <w:rFonts w:asciiTheme="minorHAnsi" w:hAnsiTheme="minorHAnsi"/>
                <w:szCs w:val="24"/>
              </w:rPr>
            </w:pPr>
            <w:hyperlink r:id="rId9" w:history="1">
              <w:r w:rsidR="007F1941" w:rsidRPr="00B70950">
                <w:rPr>
                  <w:rStyle w:val="Hyperlink"/>
                  <w:rFonts w:asciiTheme="minorHAnsi" w:hAnsiTheme="minorHAnsi"/>
                  <w:szCs w:val="24"/>
                </w:rPr>
                <w:t>C13/INF/18</w:t>
              </w:r>
            </w:hyperlink>
            <w:r w:rsidR="007F1941" w:rsidRPr="00B70950">
              <w:rPr>
                <w:rFonts w:asciiTheme="minorHAnsi" w:hAnsiTheme="minorHAnsi"/>
                <w:szCs w:val="24"/>
              </w:rPr>
              <w:t xml:space="preserve">, </w:t>
            </w:r>
            <w:hyperlink r:id="rId10" w:history="1">
              <w:r w:rsidR="007F1941" w:rsidRPr="00B70950">
                <w:rPr>
                  <w:rStyle w:val="Hyperlink"/>
                  <w:rFonts w:asciiTheme="minorHAnsi" w:hAnsiTheme="minorHAnsi"/>
                  <w:szCs w:val="24"/>
                </w:rPr>
                <w:t>C14/92</w:t>
              </w:r>
            </w:hyperlink>
            <w:r w:rsidR="007F1941" w:rsidRPr="00B70950">
              <w:rPr>
                <w:rFonts w:asciiTheme="minorHAnsi" w:hAnsiTheme="minorHAnsi"/>
                <w:szCs w:val="24"/>
              </w:rPr>
              <w:t xml:space="preserve">, </w:t>
            </w:r>
            <w:hyperlink r:id="rId11" w:history="1">
              <w:r w:rsidR="007F1941" w:rsidRPr="00B70950">
                <w:rPr>
                  <w:rStyle w:val="Hyperlink"/>
                  <w:rFonts w:asciiTheme="minorHAnsi" w:hAnsiTheme="minorHAnsi"/>
                  <w:szCs w:val="24"/>
                </w:rPr>
                <w:t>C14/50</w:t>
              </w:r>
            </w:hyperlink>
            <w:r w:rsidR="007F1941" w:rsidRPr="00B70950">
              <w:rPr>
                <w:rFonts w:asciiTheme="minorHAnsi" w:hAnsiTheme="minorHAnsi"/>
                <w:szCs w:val="24"/>
              </w:rPr>
              <w:t xml:space="preserve">, </w:t>
            </w:r>
            <w:hyperlink r:id="rId12" w:history="1">
              <w:r w:rsidR="007F1941" w:rsidRPr="00B70950">
                <w:rPr>
                  <w:rStyle w:val="Hyperlink"/>
                  <w:rFonts w:asciiTheme="minorHAnsi" w:hAnsiTheme="minorHAnsi"/>
                  <w:szCs w:val="24"/>
                </w:rPr>
                <w:t>C14/75</w:t>
              </w:r>
            </w:hyperlink>
          </w:p>
        </w:tc>
      </w:tr>
    </w:tbl>
    <w:p w:rsidR="00B70950" w:rsidRDefault="00B70950" w:rsidP="00AA0684"/>
    <w:p w:rsidR="007F1941" w:rsidRPr="00B70950" w:rsidRDefault="007F1941" w:rsidP="00AA0684">
      <w:r w:rsidRPr="00B70950">
        <w:br w:type="page"/>
      </w:r>
      <w:bookmarkStart w:id="7" w:name="_GoBack"/>
      <w:bookmarkEnd w:id="7"/>
    </w:p>
    <w:p w:rsidR="00D429F6" w:rsidRPr="00B70950" w:rsidRDefault="00D429F6" w:rsidP="007F1941">
      <w:pPr>
        <w:pStyle w:val="Heading1"/>
      </w:pPr>
      <w:r w:rsidRPr="00B70950">
        <w:lastRenderedPageBreak/>
        <w:t>1</w:t>
      </w:r>
      <w:r w:rsidRPr="00B70950">
        <w:tab/>
        <w:t>Rappel et introduction</w:t>
      </w:r>
    </w:p>
    <w:p w:rsidR="00D429F6" w:rsidRPr="00B70950" w:rsidRDefault="00D429F6" w:rsidP="007F1941">
      <w:r w:rsidRPr="00B70950">
        <w:t>1.1</w:t>
      </w:r>
      <w:r w:rsidRPr="00B70950">
        <w:tab/>
        <w:t>Le présent document est consacré à l</w:t>
      </w:r>
      <w:r w:rsidR="00126B99" w:rsidRPr="00B70950">
        <w:t>'</w:t>
      </w:r>
      <w:r w:rsidRPr="00B70950">
        <w:t>étude des options relatives aux locaux du siège de l</w:t>
      </w:r>
      <w:r w:rsidR="00126B99" w:rsidRPr="00B70950">
        <w:t>'</w:t>
      </w:r>
      <w:r w:rsidRPr="00B70950">
        <w:t>Union pour les prochaines décennies. Le siège de l</w:t>
      </w:r>
      <w:r w:rsidR="00126B99" w:rsidRPr="00B70950">
        <w:t>'</w:t>
      </w:r>
      <w:r w:rsidRPr="00B70950">
        <w:t>Union se trouve à son emplacement actuel, sur la Place des Nations à Genève, depuis la construction du bâtiment Varembé (</w:t>
      </w:r>
      <w:r w:rsidR="00EA073B" w:rsidRPr="00B70950">
        <w:t>inauguré</w:t>
      </w:r>
      <w:r w:rsidRPr="00B70950">
        <w:t xml:space="preserve"> en 1962). L</w:t>
      </w:r>
      <w:r w:rsidR="00126B99" w:rsidRPr="00B70950">
        <w:t>'</w:t>
      </w:r>
      <w:r w:rsidRPr="00B70950">
        <w:t>article 30 de la Constitution de l</w:t>
      </w:r>
      <w:r w:rsidR="00126B99" w:rsidRPr="00B70950">
        <w:t>'</w:t>
      </w:r>
      <w:r w:rsidRPr="00B70950">
        <w:t xml:space="preserve">UIT dispose </w:t>
      </w:r>
      <w:proofErr w:type="gramStart"/>
      <w:r w:rsidRPr="00B70950">
        <w:t>que:</w:t>
      </w:r>
      <w:proofErr w:type="gramEnd"/>
      <w:r w:rsidRPr="00B70950">
        <w:t xml:space="preserve"> </w:t>
      </w:r>
      <w:r w:rsidR="00126B99" w:rsidRPr="00B70950">
        <w:t>"</w:t>
      </w:r>
      <w:r w:rsidRPr="00B70950">
        <w:rPr>
          <w:i/>
          <w:iCs/>
        </w:rPr>
        <w:t>L</w:t>
      </w:r>
      <w:r w:rsidR="00126B99" w:rsidRPr="00B70950">
        <w:rPr>
          <w:i/>
          <w:iCs/>
        </w:rPr>
        <w:t>'</w:t>
      </w:r>
      <w:r w:rsidRPr="00B70950">
        <w:rPr>
          <w:i/>
          <w:iCs/>
        </w:rPr>
        <w:t>Union a son siège à Genève</w:t>
      </w:r>
      <w:r w:rsidRPr="00B70950">
        <w:t>.</w:t>
      </w:r>
      <w:r w:rsidR="00126B99" w:rsidRPr="00B70950">
        <w:t>"</w:t>
      </w:r>
    </w:p>
    <w:p w:rsidR="00D429F6" w:rsidRPr="00B70950" w:rsidRDefault="00D429F6" w:rsidP="00A467F6">
      <w:r w:rsidRPr="00B70950">
        <w:t>1.2</w:t>
      </w:r>
      <w:r w:rsidRPr="00B70950">
        <w:tab/>
      </w:r>
      <w:r w:rsidR="00EA073B" w:rsidRPr="00B70950">
        <w:t>Le</w:t>
      </w:r>
      <w:r w:rsidRPr="00B70950">
        <w:t xml:space="preserve"> siège de l</w:t>
      </w:r>
      <w:r w:rsidR="00126B99" w:rsidRPr="00B70950">
        <w:t>'</w:t>
      </w:r>
      <w:r w:rsidRPr="00B70950">
        <w:t xml:space="preserve">UIT est composé de trois bâtiments situés sur le même </w:t>
      </w:r>
      <w:proofErr w:type="gramStart"/>
      <w:r w:rsidRPr="00B70950">
        <w:t>site:</w:t>
      </w:r>
      <w:proofErr w:type="gramEnd"/>
      <w:r w:rsidRPr="00B70950">
        <w:t xml:space="preserve"> Varembé (</w:t>
      </w:r>
      <w:r w:rsidR="00EA073B" w:rsidRPr="00B70950">
        <w:t xml:space="preserve">inauguré </w:t>
      </w:r>
      <w:r w:rsidRPr="00B70950">
        <w:t xml:space="preserve">en 1962), la Tour (1973) et </w:t>
      </w:r>
      <w:proofErr w:type="spellStart"/>
      <w:r w:rsidRPr="00B70950">
        <w:t>Montbrillant</w:t>
      </w:r>
      <w:proofErr w:type="spellEnd"/>
      <w:r w:rsidRPr="00B70950">
        <w:t xml:space="preserve"> (1999). Ces bâtiments sont la propriété de l</w:t>
      </w:r>
      <w:r w:rsidR="00126B99" w:rsidRPr="00B70950">
        <w:t>'</w:t>
      </w:r>
      <w:r w:rsidRPr="00B70950">
        <w:t>Union, alors que l</w:t>
      </w:r>
      <w:r w:rsidR="00126B99" w:rsidRPr="00B70950">
        <w:t>'</w:t>
      </w:r>
      <w:r w:rsidRPr="00B70950">
        <w:t>utilisation du site a lieu dans le cadre d</w:t>
      </w:r>
      <w:r w:rsidR="00126B99" w:rsidRPr="00B70950">
        <w:t>'</w:t>
      </w:r>
      <w:r w:rsidRPr="00B70950">
        <w:t xml:space="preserve">un </w:t>
      </w:r>
      <w:r w:rsidR="00126B99" w:rsidRPr="00B70950">
        <w:t>"</w:t>
      </w:r>
      <w:r w:rsidRPr="00B70950">
        <w:t>droit de superficie</w:t>
      </w:r>
      <w:r w:rsidR="00A467F6" w:rsidRPr="00B70950">
        <w:rPr>
          <w:rStyle w:val="FootnoteReference"/>
        </w:rPr>
        <w:footnoteReference w:id="1"/>
      </w:r>
      <w:r w:rsidR="00126B99" w:rsidRPr="00B70950">
        <w:t>"</w:t>
      </w:r>
      <w:r w:rsidRPr="00B70950">
        <w:t xml:space="preserve"> renouvelable octroyé par le pays hôte.</w:t>
      </w:r>
    </w:p>
    <w:p w:rsidR="00D429F6" w:rsidRPr="00B70950" w:rsidRDefault="00D429F6" w:rsidP="00600225">
      <w:r w:rsidRPr="00B70950">
        <w:t>1.3</w:t>
      </w:r>
      <w:r w:rsidRPr="00B70950">
        <w:tab/>
        <w:t>Le bâtiment Varembé, édifié selon les normes de construction d</w:t>
      </w:r>
      <w:r w:rsidR="00126B99" w:rsidRPr="00B70950">
        <w:t>'</w:t>
      </w:r>
      <w:r w:rsidRPr="00B70950">
        <w:t>il y a cinquante ans, présente de sérieuses déficiences par rapport aux normes de construction modernes en termes d</w:t>
      </w:r>
      <w:r w:rsidR="00126B99" w:rsidRPr="00B70950">
        <w:t>'</w:t>
      </w:r>
      <w:r w:rsidRPr="00B70950">
        <w:t>isolation</w:t>
      </w:r>
      <w:r w:rsidR="00600225" w:rsidRPr="00B70950">
        <w:rPr>
          <w:rStyle w:val="FootnoteReference"/>
        </w:rPr>
        <w:footnoteReference w:id="2"/>
      </w:r>
      <w:r w:rsidRPr="00B70950">
        <w:t>, d</w:t>
      </w:r>
      <w:r w:rsidR="00126B99" w:rsidRPr="00B70950">
        <w:t>'</w:t>
      </w:r>
      <w:r w:rsidRPr="00B70950">
        <w:t>accessibilité pour les personnes handicapées, de sécurité</w:t>
      </w:r>
      <w:r w:rsidRPr="00B70950">
        <w:noBreakHyphen/>
        <w:t>incendie et de résistance sismique. En vertu de la Résolution 1142 (C</w:t>
      </w:r>
      <w:r w:rsidRPr="00B70950">
        <w:noBreakHyphen/>
        <w:t xml:space="preserve">1999) du Conseil, le Secrétaire général est chargé, entre autres, </w:t>
      </w:r>
      <w:r w:rsidR="00126B99" w:rsidRPr="00B70950">
        <w:t>"</w:t>
      </w:r>
      <w:r w:rsidRPr="00B70950">
        <w:t>de s'assurer que les normes en matière de sécurité, de santé et d'environnement en vigueur dans l</w:t>
      </w:r>
      <w:r w:rsidR="00126B99" w:rsidRPr="00B70950">
        <w:t>'</w:t>
      </w:r>
      <w:r w:rsidRPr="00B70950">
        <w:t>Etat hôte de l'Union sont appliquées à l'UIT ...</w:t>
      </w:r>
      <w:r w:rsidR="00126B99" w:rsidRPr="00B70950">
        <w:t>"</w:t>
      </w:r>
      <w:r w:rsidRPr="00B70950">
        <w:t>. Si les bâtiments du siège sont actuellement conformes à la législation du pays hôte en ce qui concerne le rendement de l</w:t>
      </w:r>
      <w:r w:rsidR="00126B99" w:rsidRPr="00B70950">
        <w:t>'</w:t>
      </w:r>
      <w:r w:rsidRPr="00B70950">
        <w:t>enveloppe de bâtiment, la Tour et Varembé cesseront de l</w:t>
      </w:r>
      <w:r w:rsidR="00126B99" w:rsidRPr="00B70950">
        <w:t>'</w:t>
      </w:r>
      <w:r w:rsidRPr="00B70950">
        <w:t>être dès 2017. Par conséquent, il est obligatoire de prendre des mesures correctives.</w:t>
      </w:r>
    </w:p>
    <w:p w:rsidR="00D429F6" w:rsidRPr="00B70950" w:rsidRDefault="00D429F6" w:rsidP="007F1941">
      <w:r w:rsidRPr="00B70950">
        <w:t>1.4</w:t>
      </w:r>
      <w:r w:rsidRPr="00B70950">
        <w:tab/>
        <w:t>Dans la pratique, il serait impossible de rénover le bâtiment Varembé afin de le mettre entièrement en conformité avec les normes en matière d'accessibilité, de sécurité-incendie et de résistance sismique, puisqu'il faudrait pour cela construire de nouveaux escaliers, élargir les ascenseurs et les couloirs et renforcer la structure. De ce fait, s'il est possible techniquement d'améliorer le rendement thermique et d'effectuer d'autres rénovations, ces travaux ne fourniraient pas une solution globalement efficace. La Tour présente elle aussi des déficiences (moins nombreuses), ce qui n</w:t>
      </w:r>
      <w:r w:rsidR="00126B99" w:rsidRPr="00B70950">
        <w:t>'</w:t>
      </w:r>
      <w:r w:rsidRPr="00B70950">
        <w:t>est pas surprenant pour un bâtiment aussi vieux. La politique de l</w:t>
      </w:r>
      <w:r w:rsidR="00126B99" w:rsidRPr="00B70950">
        <w:t>'</w:t>
      </w:r>
      <w:r w:rsidRPr="00B70950">
        <w:t>UIT a consisté et consiste encore à entretenir ses bâtiments dans toute la mesure possible au moyen des ressources allouées à cette fin par les Etats Membres.</w:t>
      </w:r>
    </w:p>
    <w:p w:rsidR="004D0DDB" w:rsidRPr="00B70950" w:rsidRDefault="00D429F6" w:rsidP="00F103FD">
      <w:r w:rsidRPr="00B70950">
        <w:t>1.5</w:t>
      </w:r>
      <w:r w:rsidRPr="00B70950">
        <w:tab/>
        <w:t xml:space="preserve">Le Secrétaire général </w:t>
      </w:r>
      <w:r w:rsidR="00D06BE0" w:rsidRPr="00B70950">
        <w:t>de l</w:t>
      </w:r>
      <w:r w:rsidR="00ED0177" w:rsidRPr="00B70950">
        <w:t>'</w:t>
      </w:r>
      <w:r w:rsidR="00D06BE0" w:rsidRPr="00B70950">
        <w:t xml:space="preserve">UIT </w:t>
      </w:r>
      <w:r w:rsidRPr="00B70950">
        <w:t>a décidé d</w:t>
      </w:r>
      <w:r w:rsidR="00126B99" w:rsidRPr="00B70950">
        <w:t>'</w:t>
      </w:r>
      <w:r w:rsidRPr="00B70950">
        <w:t>étudier, en concertation avec le pays hôte, la possibilité de construire un bâtiment pour remplacer le bâtiment Varembé d</w:t>
      </w:r>
      <w:r w:rsidR="00126B99" w:rsidRPr="00B70950">
        <w:t>'</w:t>
      </w:r>
      <w:r w:rsidRPr="00B70950">
        <w:t xml:space="preserve">origine, qui serait rasé avant ou après la construction (choix à effectuer en fonction des optimisations techniques et financières). Dans le présent document, le bâtiment de remplacement proposé est désigné sous le nom de Varembé II. </w:t>
      </w:r>
      <w:r w:rsidR="00F41595" w:rsidRPr="00B70950">
        <w:t>Conformément à la Loi suisse sur l</w:t>
      </w:r>
      <w:r w:rsidR="00ED0177" w:rsidRPr="00B70950">
        <w:t>'</w:t>
      </w:r>
      <w:r w:rsidR="00F41595" w:rsidRPr="00B70950">
        <w:t xml:space="preserve">Etat hôte, des </w:t>
      </w:r>
      <w:r w:rsidR="00956906" w:rsidRPr="00B70950">
        <w:t>prêts à la</w:t>
      </w:r>
      <w:r w:rsidR="00F41595" w:rsidRPr="00B70950">
        <w:t xml:space="preserve"> construction peuvent être accordés aux organisations internationales par l</w:t>
      </w:r>
      <w:r w:rsidR="009163C1" w:rsidRPr="00B70950">
        <w:t>e pays</w:t>
      </w:r>
      <w:r w:rsidR="00F41595" w:rsidRPr="00B70950">
        <w:t xml:space="preserve"> hôte pour appuyer la construction de nouveaux bâtiments. Ces </w:t>
      </w:r>
      <w:r w:rsidR="00956906" w:rsidRPr="00B70950">
        <w:t xml:space="preserve">prêts </w:t>
      </w:r>
      <w:r w:rsidR="00274EF9" w:rsidRPr="00B70950">
        <w:t>sans intérêt</w:t>
      </w:r>
      <w:r w:rsidR="00F41595" w:rsidRPr="00B70950">
        <w:t xml:space="preserve"> doivent être remboursés dans un délai de 50 ans. Le pays hôte a </w:t>
      </w:r>
      <w:r w:rsidR="00060538" w:rsidRPr="00B70950">
        <w:t>utilisé</w:t>
      </w:r>
      <w:r w:rsidR="00F41595" w:rsidRPr="00B70950">
        <w:t xml:space="preserve"> ce mécanisme à</w:t>
      </w:r>
      <w:r w:rsidR="001F174E" w:rsidRPr="00B70950">
        <w:t xml:space="preserve"> de nombreuses reprises par le </w:t>
      </w:r>
      <w:r w:rsidR="00F41595" w:rsidRPr="00B70950">
        <w:t>p</w:t>
      </w:r>
      <w:r w:rsidR="001F174E" w:rsidRPr="00B70950">
        <w:t>a</w:t>
      </w:r>
      <w:r w:rsidR="00F41595" w:rsidRPr="00B70950">
        <w:t xml:space="preserve">ssé. </w:t>
      </w:r>
      <w:r w:rsidR="00AD5DBA" w:rsidRPr="00B70950">
        <w:t>En juin</w:t>
      </w:r>
      <w:r w:rsidR="00F103FD">
        <w:t> </w:t>
      </w:r>
      <w:r w:rsidR="00AD5DBA" w:rsidRPr="00B70950">
        <w:t>2013, le Gouvernement suisse a adopté une nouvelle politique venant compléter la loi existante afin d</w:t>
      </w:r>
      <w:r w:rsidR="00ED0177" w:rsidRPr="00B70950">
        <w:t>'</w:t>
      </w:r>
      <w:r w:rsidR="00AD5DBA" w:rsidRPr="00B70950">
        <w:t>autoriser également l</w:t>
      </w:r>
      <w:r w:rsidR="00ED0177" w:rsidRPr="00B70950">
        <w:t>'</w:t>
      </w:r>
      <w:r w:rsidR="00AD5DBA" w:rsidRPr="00B70950">
        <w:t xml:space="preserve">octroi de </w:t>
      </w:r>
      <w:r w:rsidR="00956906" w:rsidRPr="00B70950">
        <w:t xml:space="preserve">prêts </w:t>
      </w:r>
      <w:r w:rsidR="00CD1324" w:rsidRPr="00B70950">
        <w:t>pour des projets de</w:t>
      </w:r>
      <w:r w:rsidR="00AD5DBA" w:rsidRPr="00B70950">
        <w:t xml:space="preserve"> rénovation. </w:t>
      </w:r>
      <w:r w:rsidR="002B3034" w:rsidRPr="00B70950">
        <w:t xml:space="preserve">Les </w:t>
      </w:r>
      <w:r w:rsidR="00956906" w:rsidRPr="00B70950">
        <w:t>prêts à la</w:t>
      </w:r>
      <w:r w:rsidR="002B3034" w:rsidRPr="00B70950">
        <w:t xml:space="preserve"> rénovation sont octroyés à un taux d</w:t>
      </w:r>
      <w:r w:rsidR="00ED0177" w:rsidRPr="00B70950">
        <w:t>'</w:t>
      </w:r>
      <w:r w:rsidR="002B3034" w:rsidRPr="00B70950">
        <w:t>intérêt préférentiel</w:t>
      </w:r>
      <w:r w:rsidR="00ED0177" w:rsidRPr="00B70950">
        <w:t>,</w:t>
      </w:r>
      <w:r w:rsidR="002B3034" w:rsidRPr="00B70950">
        <w:t xml:space="preserve"> inférieur au taux du marché, et doivent </w:t>
      </w:r>
      <w:r w:rsidR="002B3034" w:rsidRPr="00B70950">
        <w:lastRenderedPageBreak/>
        <w:t>être remboursés dans un délai de 30 ans.</w:t>
      </w:r>
      <w:r w:rsidR="00A466B8" w:rsidRPr="00B70950">
        <w:t xml:space="preserve"> Le taux d</w:t>
      </w:r>
      <w:r w:rsidR="00ED0177" w:rsidRPr="00B70950">
        <w:t>'</w:t>
      </w:r>
      <w:r w:rsidR="00A466B8" w:rsidRPr="00B70950">
        <w:t xml:space="preserve">intérêt des prêts </w:t>
      </w:r>
      <w:r w:rsidR="005E27FA" w:rsidRPr="00B70950">
        <w:t>à la</w:t>
      </w:r>
      <w:r w:rsidR="00A466B8" w:rsidRPr="00B70950">
        <w:t xml:space="preserve"> rénovation est fondé sur le taux de refinancement à 30 ans de la Confédération </w:t>
      </w:r>
      <w:r w:rsidR="007B7F38" w:rsidRPr="00B70950">
        <w:t>helvétique</w:t>
      </w:r>
      <w:r w:rsidR="00ED0177" w:rsidRPr="00B70950">
        <w:t>,</w:t>
      </w:r>
      <w:r w:rsidR="00A466B8" w:rsidRPr="00B70950">
        <w:t xml:space="preserve"> qui s</w:t>
      </w:r>
      <w:r w:rsidR="00ED0177" w:rsidRPr="00B70950">
        <w:t>'</w:t>
      </w:r>
      <w:r w:rsidR="00A466B8" w:rsidRPr="00B70950">
        <w:t xml:space="preserve">élève en moyenne à 1,5% environ pour 2014. Il convient de noter que ce taux est </w:t>
      </w:r>
      <w:r w:rsidR="005E27FA" w:rsidRPr="00B70950">
        <w:t>soumis</w:t>
      </w:r>
      <w:r w:rsidR="00A466B8" w:rsidRPr="00B70950">
        <w:t xml:space="preserve"> aux fluctuations du marché jusqu</w:t>
      </w:r>
      <w:r w:rsidR="00ED0177" w:rsidRPr="00B70950">
        <w:t>'</w:t>
      </w:r>
      <w:r w:rsidR="00BE3F9C" w:rsidRPr="00B70950">
        <w:t>à c</w:t>
      </w:r>
      <w:r w:rsidR="00A466B8" w:rsidRPr="00B70950">
        <w:t>e</w:t>
      </w:r>
      <w:r w:rsidR="00BE3F9C" w:rsidRPr="00B70950">
        <w:t xml:space="preserve"> </w:t>
      </w:r>
      <w:r w:rsidR="00A466B8" w:rsidRPr="00B70950">
        <w:t>qu</w:t>
      </w:r>
      <w:r w:rsidR="00ED0177" w:rsidRPr="00B70950">
        <w:t>'</w:t>
      </w:r>
      <w:r w:rsidR="00BE3F9C" w:rsidRPr="00B70950">
        <w:t>il soi</w:t>
      </w:r>
      <w:r w:rsidR="00A466B8" w:rsidRPr="00B70950">
        <w:t>t</w:t>
      </w:r>
      <w:r w:rsidR="00BE3F9C" w:rsidRPr="00B70950">
        <w:t xml:space="preserve"> </w:t>
      </w:r>
      <w:r w:rsidR="00A466B8" w:rsidRPr="00B70950">
        <w:t xml:space="preserve">fixé au moment de la conclusion des modalités du prêt, et ce pour toute la durée du prêt. </w:t>
      </w:r>
      <w:r w:rsidR="00AA4849" w:rsidRPr="00B70950">
        <w:t>Actuellement, en Suisse, l</w:t>
      </w:r>
      <w:r w:rsidR="00A466B8" w:rsidRPr="00B70950">
        <w:t xml:space="preserve">es taux </w:t>
      </w:r>
      <w:r w:rsidR="000A207C" w:rsidRPr="00B70950">
        <w:t xml:space="preserve">des prêts hypothécaires à taux fixe sur </w:t>
      </w:r>
      <w:r w:rsidR="00F103FD">
        <w:t>dix</w:t>
      </w:r>
      <w:r w:rsidR="000A207C" w:rsidRPr="00B70950">
        <w:t xml:space="preserve"> ans </w:t>
      </w:r>
      <w:r w:rsidR="00BE3F9C" w:rsidRPr="00B70950">
        <w:t xml:space="preserve">accessibles au public </w:t>
      </w:r>
      <w:r w:rsidR="00A466B8" w:rsidRPr="00B70950">
        <w:t>s</w:t>
      </w:r>
      <w:r w:rsidR="00AA0684" w:rsidRPr="00B70950">
        <w:t xml:space="preserve">e situent entre </w:t>
      </w:r>
      <w:r w:rsidR="00A466B8" w:rsidRPr="00B70950">
        <w:t xml:space="preserve">2,5% </w:t>
      </w:r>
      <w:r w:rsidR="00AA0684" w:rsidRPr="00B70950">
        <w:t>et 3</w:t>
      </w:r>
      <w:r w:rsidR="00A466B8" w:rsidRPr="00B70950">
        <w:t xml:space="preserve">%. </w:t>
      </w:r>
      <w:r w:rsidR="00AA0684" w:rsidRPr="00B70950">
        <w:t xml:space="preserve">Il n'existe pas sur le marché public de </w:t>
      </w:r>
      <w:r w:rsidR="00A466B8" w:rsidRPr="00B70950">
        <w:t>prêts à taux d</w:t>
      </w:r>
      <w:r w:rsidR="00ED0177" w:rsidRPr="00B70950">
        <w:t>'</w:t>
      </w:r>
      <w:r w:rsidR="00BE3F9C" w:rsidRPr="00B70950">
        <w:t>intérêt</w:t>
      </w:r>
      <w:r w:rsidR="00A466B8" w:rsidRPr="00B70950">
        <w:t xml:space="preserve"> fixe pour une période d</w:t>
      </w:r>
      <w:r w:rsidR="00196F3F" w:rsidRPr="00B70950">
        <w:t>e</w:t>
      </w:r>
      <w:r w:rsidR="00A466B8" w:rsidRPr="00B70950">
        <w:t xml:space="preserve"> 30 ans. </w:t>
      </w:r>
    </w:p>
    <w:p w:rsidR="00D429F6" w:rsidRPr="00B70950" w:rsidRDefault="004D0DDB" w:rsidP="00940425">
      <w:r w:rsidRPr="00B70950">
        <w:t>1.6</w:t>
      </w:r>
      <w:r w:rsidRPr="00B70950">
        <w:tab/>
      </w:r>
      <w:r w:rsidR="00BE3F9C" w:rsidRPr="00B70950">
        <w:t xml:space="preserve">Les </w:t>
      </w:r>
      <w:r w:rsidR="00956906" w:rsidRPr="00B70950">
        <w:t>prêts à la</w:t>
      </w:r>
      <w:r w:rsidR="00BE3F9C" w:rsidRPr="00B70950">
        <w:t xml:space="preserve"> construction et </w:t>
      </w:r>
      <w:r w:rsidR="005B16DA" w:rsidRPr="00B70950">
        <w:t>à la</w:t>
      </w:r>
      <w:r w:rsidR="00BE3F9C" w:rsidRPr="00B70950">
        <w:t xml:space="preserve"> rénovation ainsi que l</w:t>
      </w:r>
      <w:r w:rsidR="00ED0177" w:rsidRPr="00B70950">
        <w:t>'</w:t>
      </w:r>
      <w:r w:rsidR="00BE3F9C" w:rsidRPr="00B70950">
        <w:t xml:space="preserve">appui technique avant et pendant le processus de construction </w:t>
      </w:r>
      <w:r w:rsidR="003A4ED7" w:rsidRPr="00B70950">
        <w:t>seront</w:t>
      </w:r>
      <w:r w:rsidR="00BE3F9C" w:rsidRPr="00B70950">
        <w:t xml:space="preserve"> fourni</w:t>
      </w:r>
      <w:r w:rsidR="003A4ED7" w:rsidRPr="00B70950">
        <w:t>s</w:t>
      </w:r>
      <w:r w:rsidR="00BE3F9C" w:rsidRPr="00B70950">
        <w:t xml:space="preserve"> par la FIPOI</w:t>
      </w:r>
      <w:r w:rsidR="00940425">
        <w:rPr>
          <w:rStyle w:val="FootnoteReference"/>
        </w:rPr>
        <w:footnoteReference w:id="3"/>
      </w:r>
      <w:r w:rsidR="00BE3F9C" w:rsidRPr="00B70950">
        <w:t xml:space="preserve">, fondation à but non lucratif détenue par le pays hôte. </w:t>
      </w:r>
      <w:r w:rsidR="00D429F6" w:rsidRPr="00B70950">
        <w:t>Il convient de noter qu</w:t>
      </w:r>
      <w:r w:rsidR="00126B99" w:rsidRPr="00B70950">
        <w:t>'</w:t>
      </w:r>
      <w:r w:rsidR="00D429F6" w:rsidRPr="00B70950">
        <w:t>avant de prendre cette décision, le pays hôte a étudié toutes les options (rénovation, modernisation et construction d</w:t>
      </w:r>
      <w:r w:rsidR="00126B99" w:rsidRPr="00B70950">
        <w:t>'</w:t>
      </w:r>
      <w:r w:rsidR="00D429F6" w:rsidRPr="00B70950">
        <w:t>un nouveau bâtiment), pour aboutir à la conclusion que le mieux était de construire un bâtiment entièrement nouveau, du point de vue de l</w:t>
      </w:r>
      <w:r w:rsidR="00126B99" w:rsidRPr="00B70950">
        <w:t>'</w:t>
      </w:r>
      <w:r w:rsidR="00D429F6" w:rsidRPr="00B70950">
        <w:t>efficacité</w:t>
      </w:r>
      <w:r w:rsidR="00F103FD">
        <w:t>,</w:t>
      </w:r>
      <w:r w:rsidR="00D429F6" w:rsidRPr="00B70950">
        <w:t xml:space="preserve"> </w:t>
      </w:r>
      <w:r w:rsidR="003A4ED7" w:rsidRPr="00B70950">
        <w:t>sur le plan de l</w:t>
      </w:r>
      <w:r w:rsidR="00ED0177" w:rsidRPr="00B70950">
        <w:t>'</w:t>
      </w:r>
      <w:r w:rsidR="003A4ED7" w:rsidRPr="00B70950">
        <w:t xml:space="preserve">énergie et </w:t>
      </w:r>
      <w:r w:rsidR="00D429F6" w:rsidRPr="00B70950">
        <w:t>de l</w:t>
      </w:r>
      <w:r w:rsidR="00126B99" w:rsidRPr="00B70950">
        <w:t>'</w:t>
      </w:r>
      <w:r w:rsidR="00D429F6" w:rsidRPr="00B70950">
        <w:t>espace, de l</w:t>
      </w:r>
      <w:r w:rsidR="00126B99" w:rsidRPr="00B70950">
        <w:t>'</w:t>
      </w:r>
      <w:r w:rsidR="00D429F6" w:rsidRPr="00B70950">
        <w:t xml:space="preserve">esthétique </w:t>
      </w:r>
      <w:r w:rsidR="00712A54" w:rsidRPr="00B70950">
        <w:t xml:space="preserve">et </w:t>
      </w:r>
      <w:r w:rsidR="00D429F6" w:rsidRPr="00B70950">
        <w:t>de la commodité. En outre, cette solution permettra</w:t>
      </w:r>
      <w:r w:rsidR="00155954" w:rsidRPr="00B70950">
        <w:t>it</w:t>
      </w:r>
      <w:r w:rsidR="00D429F6" w:rsidRPr="00B70950">
        <w:t xml:space="preserve"> </w:t>
      </w:r>
      <w:r w:rsidR="00897CB5" w:rsidRPr="00B70950">
        <w:t xml:space="preserve">également </w:t>
      </w:r>
      <w:r w:rsidR="00D429F6" w:rsidRPr="00B70950">
        <w:t>de garantir la conformité avec les normes de construction suisses</w:t>
      </w:r>
      <w:r w:rsidR="00897CB5" w:rsidRPr="00B70950">
        <w:t xml:space="preserve"> les plus récentes</w:t>
      </w:r>
      <w:r w:rsidR="00D429F6" w:rsidRPr="00B70950">
        <w:t xml:space="preserve"> et</w:t>
      </w:r>
      <w:r w:rsidR="00E02901" w:rsidRPr="00B70950">
        <w:t xml:space="preserve"> pourra</w:t>
      </w:r>
      <w:r w:rsidR="00D80896" w:rsidRPr="00B70950">
        <w:t>it</w:t>
      </w:r>
      <w:r w:rsidR="00E02901" w:rsidRPr="00B70950">
        <w:t xml:space="preserve"> être financée </w:t>
      </w:r>
      <w:r w:rsidR="00D80896" w:rsidRPr="00B70950">
        <w:t>au moyen d</w:t>
      </w:r>
      <w:r w:rsidR="00ED0177" w:rsidRPr="00B70950">
        <w:t>'</w:t>
      </w:r>
      <w:r w:rsidR="00CC6735" w:rsidRPr="00B70950">
        <w:t>un prêt sans intérêt remboursable sur 50 ans</w:t>
      </w:r>
      <w:r w:rsidR="002A18B4" w:rsidRPr="00B70950">
        <w:t>, comme indiqué ci-dessus</w:t>
      </w:r>
      <w:r w:rsidR="00D429F6" w:rsidRPr="00B70950">
        <w:t>.</w:t>
      </w:r>
    </w:p>
    <w:p w:rsidR="00D429F6" w:rsidRPr="00B70950" w:rsidRDefault="00D429F6" w:rsidP="007F1941">
      <w:r w:rsidRPr="00B70950">
        <w:t>1.</w:t>
      </w:r>
      <w:r w:rsidR="00E238DA" w:rsidRPr="00B70950">
        <w:t>7</w:t>
      </w:r>
      <w:r w:rsidRPr="00B70950">
        <w:tab/>
        <w:t>Le Secrétaire général a présenté au Conseil, à sa session de 2014, un document relatif à ce projet et aux autres options envisageables pour résoudre les problèmes liés au bâtiment Varembé (Document C14/50). Les Etats Membres se sont exprimés à la session du Conseil en faveur d</w:t>
      </w:r>
      <w:r w:rsidR="00126B99" w:rsidRPr="00B70950">
        <w:t>'</w:t>
      </w:r>
      <w:r w:rsidRPr="00B70950">
        <w:t>un examen plus large de l</w:t>
      </w:r>
      <w:r w:rsidR="00126B99" w:rsidRPr="00B70950">
        <w:t>'</w:t>
      </w:r>
      <w:r w:rsidRPr="00B70950">
        <w:t>ensemble des locaux du siège de l</w:t>
      </w:r>
      <w:r w:rsidR="00126B99" w:rsidRPr="00B70950">
        <w:t>'</w:t>
      </w:r>
      <w:r w:rsidRPr="00B70950">
        <w:t>Union, et ont demandé que quatre options soient présentées à la Conférence de plénipotentiaires (PP</w:t>
      </w:r>
      <w:r w:rsidRPr="00B70950">
        <w:noBreakHyphen/>
        <w:t>14), qui prendra une décision (recommandation 14.6 du Document C14/92</w:t>
      </w:r>
      <w:proofErr w:type="gramStart"/>
      <w:r w:rsidRPr="00B70950">
        <w:t>):</w:t>
      </w:r>
      <w:proofErr w:type="gramEnd"/>
    </w:p>
    <w:p w:rsidR="00D429F6" w:rsidRPr="00B70950" w:rsidRDefault="00D429F6" w:rsidP="007F1941">
      <w:pPr>
        <w:pStyle w:val="enumlev1"/>
      </w:pPr>
      <w:r w:rsidRPr="00B70950">
        <w:t>–</w:t>
      </w:r>
      <w:r w:rsidRPr="00B70950">
        <w:tab/>
        <w:t>Remplacement de Varembé et rénovation des autres bâtiments selon les besoins</w:t>
      </w:r>
      <w:r w:rsidR="00126B99" w:rsidRPr="00B70950">
        <w:t>.</w:t>
      </w:r>
    </w:p>
    <w:p w:rsidR="00D429F6" w:rsidRPr="00B70950" w:rsidRDefault="00D429F6" w:rsidP="007F1941">
      <w:pPr>
        <w:pStyle w:val="enumlev1"/>
      </w:pPr>
      <w:r w:rsidRPr="00B70950">
        <w:t>–</w:t>
      </w:r>
      <w:r w:rsidRPr="00B70950">
        <w:tab/>
        <w:t>Rénovation des trois bâtiments selon les besoins, sans remplacement de Varembé</w:t>
      </w:r>
      <w:r w:rsidR="00126B99" w:rsidRPr="00B70950">
        <w:t>.</w:t>
      </w:r>
    </w:p>
    <w:p w:rsidR="00D429F6" w:rsidRPr="00B70950" w:rsidRDefault="00D429F6" w:rsidP="007F1941">
      <w:pPr>
        <w:pStyle w:val="enumlev1"/>
      </w:pPr>
      <w:r w:rsidRPr="00B70950">
        <w:t>–</w:t>
      </w:r>
      <w:r w:rsidRPr="00B70950">
        <w:tab/>
      </w:r>
      <w:r w:rsidR="00EA073B" w:rsidRPr="00B70950">
        <w:t>Location</w:t>
      </w:r>
      <w:r w:rsidRPr="00B70950">
        <w:t xml:space="preserve"> de locaux à Genève pour remplacer Varembé, destruction de Varembé et rénovation des autres bâtiments</w:t>
      </w:r>
      <w:r w:rsidR="00EA073B" w:rsidRPr="00B70950">
        <w:t>,</w:t>
      </w:r>
      <w:r w:rsidRPr="00B70950">
        <w:t xml:space="preserve"> selon les besoins</w:t>
      </w:r>
      <w:r w:rsidR="00126B99" w:rsidRPr="00B70950">
        <w:t>.</w:t>
      </w:r>
    </w:p>
    <w:p w:rsidR="00D429F6" w:rsidRPr="00B70950" w:rsidRDefault="00D429F6" w:rsidP="007F1941">
      <w:pPr>
        <w:pStyle w:val="enumlev1"/>
      </w:pPr>
      <w:r w:rsidRPr="00B70950">
        <w:t>–</w:t>
      </w:r>
      <w:r w:rsidRPr="00B70950">
        <w:tab/>
        <w:t>Relocalisation du siège de l</w:t>
      </w:r>
      <w:r w:rsidR="00126B99" w:rsidRPr="00B70950">
        <w:t>'</w:t>
      </w:r>
      <w:r w:rsidRPr="00B70950">
        <w:t>Union ailleurs qu</w:t>
      </w:r>
      <w:r w:rsidR="00126B99" w:rsidRPr="00B70950">
        <w:t>'</w:t>
      </w:r>
      <w:r w:rsidRPr="00B70950">
        <w:t>à Genève, dans le cas où un Etat Membre soumettrait une offre complète et acceptable.</w:t>
      </w:r>
    </w:p>
    <w:p w:rsidR="00D429F6" w:rsidRPr="00B70950" w:rsidRDefault="00D429F6" w:rsidP="007F1941">
      <w:r w:rsidRPr="00B70950">
        <w:t>1.</w:t>
      </w:r>
      <w:r w:rsidR="00E238DA" w:rsidRPr="00B70950">
        <w:t>8</w:t>
      </w:r>
      <w:r w:rsidRPr="00B70950">
        <w:tab/>
        <w:t>Outre la comparaison des aspects financiers, le Conseil a demandé que plusieurs autres facteurs soient pris en considération dans ce rapport à la PP</w:t>
      </w:r>
      <w:r w:rsidRPr="00B70950">
        <w:noBreakHyphen/>
        <w:t>14, comme indiqué dans le Document C14/75.</w:t>
      </w:r>
    </w:p>
    <w:p w:rsidR="00D429F6" w:rsidRPr="00B70950" w:rsidRDefault="00D429F6" w:rsidP="007F1941">
      <w:r w:rsidRPr="00B70950">
        <w:t>1.</w:t>
      </w:r>
      <w:r w:rsidR="00E238DA" w:rsidRPr="00B70950">
        <w:t>9</w:t>
      </w:r>
      <w:r w:rsidRPr="00B70950">
        <w:tab/>
        <w:t>Le présent document répond à la demande du Conseil, en ce sens qu</w:t>
      </w:r>
      <w:r w:rsidR="00126B99" w:rsidRPr="00B70950">
        <w:t>'</w:t>
      </w:r>
      <w:r w:rsidRPr="00B70950">
        <w:t>il comporte un examen des quatre options, de sorte que la PP</w:t>
      </w:r>
      <w:r w:rsidRPr="00B70950">
        <w:noBreakHyphen/>
        <w:t>14 dispose de suffisamment d</w:t>
      </w:r>
      <w:r w:rsidR="00126B99" w:rsidRPr="00B70950">
        <w:t>'</w:t>
      </w:r>
      <w:r w:rsidRPr="00B70950">
        <w:t>informations pour décider de l</w:t>
      </w:r>
      <w:r w:rsidR="00126B99" w:rsidRPr="00B70950">
        <w:t>'</w:t>
      </w:r>
      <w:r w:rsidRPr="00B70950">
        <w:t>option à retenir. Tous les bâtiments du siège de l</w:t>
      </w:r>
      <w:r w:rsidR="00126B99" w:rsidRPr="00B70950">
        <w:t>'</w:t>
      </w:r>
      <w:r w:rsidRPr="00B70950">
        <w:t>UIT sont pris en compte.</w:t>
      </w:r>
    </w:p>
    <w:p w:rsidR="00D429F6" w:rsidRPr="00B70950" w:rsidRDefault="00D429F6" w:rsidP="007F1941">
      <w:r w:rsidRPr="00B70950">
        <w:t>1.</w:t>
      </w:r>
      <w:r w:rsidR="00E238DA" w:rsidRPr="00B70950">
        <w:t>10</w:t>
      </w:r>
      <w:r w:rsidRPr="00B70950">
        <w:tab/>
        <w:t>Les données financières indiquées dans le présent document sont des estimations basées sur les meilleures connaissances actuelles de l</w:t>
      </w:r>
      <w:r w:rsidR="00126B99" w:rsidRPr="00B70950">
        <w:t>'</w:t>
      </w:r>
      <w:r w:rsidRPr="00B70950">
        <w:t>équipe de direction, les documents disponibles et les informations commerciales.</w:t>
      </w:r>
      <w:r w:rsidR="00EA073B" w:rsidRPr="00B70950">
        <w:t xml:space="preserve"> Ces données constituent une estimation de haut niveau des coûts à supporter et feront l'objet d'ajustements supplémentaires en fonction des futures décisions et de l'évolution de la situation.</w:t>
      </w:r>
    </w:p>
    <w:p w:rsidR="00D429F6" w:rsidRPr="00B70950" w:rsidRDefault="00D429F6" w:rsidP="007F1941">
      <w:pPr>
        <w:pStyle w:val="Heading1"/>
      </w:pPr>
      <w:r w:rsidRPr="00B70950">
        <w:lastRenderedPageBreak/>
        <w:t>2</w:t>
      </w:r>
      <w:r w:rsidRPr="00B70950">
        <w:tab/>
        <w:t>Critères d</w:t>
      </w:r>
      <w:r w:rsidR="00126B99" w:rsidRPr="00B70950">
        <w:t>'</w:t>
      </w:r>
      <w:r w:rsidRPr="00B70950">
        <w:t>évaluation</w:t>
      </w:r>
    </w:p>
    <w:p w:rsidR="00D429F6" w:rsidRPr="00B70950" w:rsidRDefault="00D429F6" w:rsidP="007F1941">
      <w:r w:rsidRPr="00B70950">
        <w:t>2.1</w:t>
      </w:r>
      <w:r w:rsidRPr="00B70950">
        <w:tab/>
        <w:t>En dehors des considérations financières, les critères, définis dans le Document C14/75 (Emirats arabes unis), que le Conseil a demandé d</w:t>
      </w:r>
      <w:r w:rsidR="00126B99" w:rsidRPr="00B70950">
        <w:t>'</w:t>
      </w:r>
      <w:r w:rsidRPr="00B70950">
        <w:t>examiner dans l</w:t>
      </w:r>
      <w:r w:rsidR="00126B99" w:rsidRPr="00B70950">
        <w:t>'</w:t>
      </w:r>
      <w:r w:rsidRPr="00B70950">
        <w:t>hypothèse d</w:t>
      </w:r>
      <w:r w:rsidR="00126B99" w:rsidRPr="00B70950">
        <w:t>'</w:t>
      </w:r>
      <w:r w:rsidRPr="00B70950">
        <w:t>une relocalisation en dehors de l</w:t>
      </w:r>
      <w:r w:rsidR="00126B99" w:rsidRPr="00B70950">
        <w:t>'</w:t>
      </w:r>
      <w:r w:rsidRPr="00B70950">
        <w:t xml:space="preserve">actuel pays hôte, sont les </w:t>
      </w:r>
      <w:proofErr w:type="gramStart"/>
      <w:r w:rsidRPr="00B70950">
        <w:t>suivants:</w:t>
      </w:r>
      <w:proofErr w:type="gramEnd"/>
    </w:p>
    <w:p w:rsidR="00D429F6" w:rsidRPr="00B70950" w:rsidRDefault="00D429F6" w:rsidP="007F1941">
      <w:pPr>
        <w:pStyle w:val="enumlev1"/>
      </w:pPr>
      <w:r w:rsidRPr="00B70950">
        <w:t>–</w:t>
      </w:r>
      <w:r w:rsidRPr="00B70950">
        <w:tab/>
        <w:t>Les privilèges, immunités et facilités dont bénéficient les fonctionnaires de l'UIT.</w:t>
      </w:r>
    </w:p>
    <w:p w:rsidR="00D429F6" w:rsidRPr="00B70950" w:rsidRDefault="00D429F6" w:rsidP="007F1941">
      <w:pPr>
        <w:pStyle w:val="enumlev1"/>
      </w:pPr>
      <w:r w:rsidRPr="00B70950">
        <w:t>–</w:t>
      </w:r>
      <w:r w:rsidRPr="00B70950">
        <w:tab/>
        <w:t>L'exonération de l'impôt sur le revenu et de l'impôt foncier, des droits de douane et des taxes sur les biens et services.</w:t>
      </w:r>
    </w:p>
    <w:p w:rsidR="00D429F6" w:rsidRPr="00B70950" w:rsidRDefault="00D429F6" w:rsidP="007F1941">
      <w:pPr>
        <w:pStyle w:val="enumlev1"/>
      </w:pPr>
      <w:r w:rsidRPr="00B70950">
        <w:t>–</w:t>
      </w:r>
      <w:r w:rsidRPr="00B70950">
        <w:tab/>
        <w:t>Les besoins et les attentes concernant les coûts afférents au déménagement/départ/ recrutement de fonctionnaires, les services publics, la disponibilité des locaux, etc., nécessaires à la relocalisation.</w:t>
      </w:r>
    </w:p>
    <w:p w:rsidR="00D429F6" w:rsidRPr="00B70950" w:rsidRDefault="00D429F6" w:rsidP="007F1941">
      <w:pPr>
        <w:pStyle w:val="enumlev1"/>
      </w:pPr>
      <w:r w:rsidRPr="00B70950">
        <w:t>–</w:t>
      </w:r>
      <w:r w:rsidRPr="00B70950">
        <w:tab/>
        <w:t>Proposition d'un calendrier et d'un mécanisme à appliquer pour la décision relative à la relocalisation.</w:t>
      </w:r>
    </w:p>
    <w:p w:rsidR="00D429F6" w:rsidRPr="00B70950" w:rsidRDefault="00D429F6" w:rsidP="007F1941">
      <w:pPr>
        <w:pStyle w:val="enumlev1"/>
      </w:pPr>
      <w:r w:rsidRPr="00B70950">
        <w:t>–</w:t>
      </w:r>
      <w:r w:rsidRPr="00B70950">
        <w:tab/>
        <w:t>Les contraintes et limitations financières ainsi que les éventuelles économies pour l'UIT en cas de relocalisation.</w:t>
      </w:r>
    </w:p>
    <w:p w:rsidR="00D429F6" w:rsidRPr="00B70950" w:rsidRDefault="00D429F6" w:rsidP="007F1941">
      <w:pPr>
        <w:pStyle w:val="enumlev1"/>
      </w:pPr>
      <w:r w:rsidRPr="00B70950">
        <w:t>–</w:t>
      </w:r>
      <w:r w:rsidRPr="00B70950">
        <w:tab/>
        <w:t>Les concepts juridiques à la base de la relation entre les organisations internationales et les pays hôtes.</w:t>
      </w:r>
    </w:p>
    <w:p w:rsidR="00D429F6" w:rsidRPr="00B70950" w:rsidRDefault="00D429F6" w:rsidP="007F1941">
      <w:pPr>
        <w:pStyle w:val="Reasons"/>
      </w:pPr>
      <w:r w:rsidRPr="00B70950">
        <w:t>–</w:t>
      </w:r>
      <w:r w:rsidRPr="00B70950">
        <w:tab/>
        <w:t xml:space="preserve">L'état actuel des actifs de l'UIT et leur utilisation future en cas de </w:t>
      </w:r>
      <w:r w:rsidR="00EA073B" w:rsidRPr="00B70950">
        <w:t>relocalisation</w:t>
      </w:r>
      <w:r w:rsidRPr="00B70950">
        <w:t>.</w:t>
      </w:r>
    </w:p>
    <w:p w:rsidR="00D429F6" w:rsidRPr="00B70950" w:rsidRDefault="00D429F6" w:rsidP="007F1941">
      <w:pPr>
        <w:pStyle w:val="Reasons"/>
      </w:pPr>
      <w:r w:rsidRPr="00B70950">
        <w:t>2.2</w:t>
      </w:r>
      <w:r w:rsidRPr="00B70950">
        <w:tab/>
        <w:t xml:space="preserve">Le Conseil a également demandé que la </w:t>
      </w:r>
      <w:r w:rsidR="00126B99" w:rsidRPr="00B70950">
        <w:t>"</w:t>
      </w:r>
      <w:r w:rsidRPr="00B70950">
        <w:t>qualité de la vie</w:t>
      </w:r>
      <w:r w:rsidR="00126B99" w:rsidRPr="00B70950">
        <w:t>"</w:t>
      </w:r>
      <w:r w:rsidRPr="00B70950">
        <w:t xml:space="preserve"> soit prise en compte dans le rapport à la PP</w:t>
      </w:r>
      <w:r w:rsidRPr="00B70950">
        <w:noBreakHyphen/>
        <w:t>14.</w:t>
      </w:r>
    </w:p>
    <w:p w:rsidR="00D429F6" w:rsidRPr="00B70950" w:rsidRDefault="00D429F6" w:rsidP="007F1941">
      <w:pPr>
        <w:pStyle w:val="Heading1"/>
      </w:pPr>
      <w:r w:rsidRPr="00B70950">
        <w:t>3</w:t>
      </w:r>
      <w:r w:rsidRPr="00B70950">
        <w:tab/>
        <w:t>Etendue et état des locaux</w:t>
      </w:r>
    </w:p>
    <w:p w:rsidR="00D429F6" w:rsidRPr="00B70950" w:rsidRDefault="00D429F6" w:rsidP="00BD76F6">
      <w:pPr>
        <w:spacing w:after="120"/>
      </w:pPr>
      <w:r w:rsidRPr="00B70950">
        <w:t>3.1</w:t>
      </w:r>
      <w:r w:rsidRPr="00B70950">
        <w:tab/>
        <w:t>L</w:t>
      </w:r>
      <w:r w:rsidR="00126B99" w:rsidRPr="00B70950">
        <w:t>'</w:t>
      </w:r>
      <w:r w:rsidRPr="00B70950">
        <w:t>utilisation de l</w:t>
      </w:r>
      <w:r w:rsidR="00126B99" w:rsidRPr="00B70950">
        <w:t>'</w:t>
      </w:r>
      <w:r w:rsidRPr="00B70950">
        <w:t>espace pour les locaux de l</w:t>
      </w:r>
      <w:r w:rsidR="00126B99" w:rsidRPr="00B70950">
        <w:t>'</w:t>
      </w:r>
      <w:r w:rsidRPr="00B70950">
        <w:t xml:space="preserve">UIT est la </w:t>
      </w:r>
      <w:proofErr w:type="gramStart"/>
      <w:r w:rsidRPr="00B70950">
        <w:t>suivante: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43"/>
        <w:gridCol w:w="1336"/>
        <w:gridCol w:w="1641"/>
        <w:gridCol w:w="2126"/>
      </w:tblGrid>
      <w:tr w:rsidR="00D429F6" w:rsidRPr="00B70950" w:rsidTr="00EA073B">
        <w:trPr>
          <w:jc w:val="center"/>
        </w:trPr>
        <w:tc>
          <w:tcPr>
            <w:tcW w:w="2376" w:type="dxa"/>
            <w:tcBorders>
              <w:bottom w:val="single" w:sz="4" w:space="0" w:color="auto"/>
            </w:tcBorders>
          </w:tcPr>
          <w:p w:rsidR="00D429F6" w:rsidRPr="00B70950" w:rsidRDefault="00D429F6" w:rsidP="00AA0684">
            <w:pPr>
              <w:pStyle w:val="Tablehead"/>
              <w:spacing w:before="30" w:after="30"/>
            </w:pPr>
          </w:p>
        </w:tc>
        <w:tc>
          <w:tcPr>
            <w:tcW w:w="1443" w:type="dxa"/>
            <w:tcBorders>
              <w:bottom w:val="single" w:sz="4" w:space="0" w:color="auto"/>
            </w:tcBorders>
          </w:tcPr>
          <w:p w:rsidR="00D429F6" w:rsidRPr="00B70950" w:rsidRDefault="00D429F6" w:rsidP="00AA0684">
            <w:pPr>
              <w:pStyle w:val="Tablehead"/>
              <w:spacing w:before="30" w:after="30"/>
            </w:pPr>
            <w:r w:rsidRPr="00B70950">
              <w:t xml:space="preserve">Volume </w:t>
            </w:r>
            <w:r w:rsidRPr="00B70950">
              <w:br/>
              <w:t>(réf. SIA 416)</w:t>
            </w:r>
          </w:p>
          <w:p w:rsidR="00D429F6" w:rsidRPr="00B70950" w:rsidRDefault="00D429F6" w:rsidP="00AA0684">
            <w:pPr>
              <w:pStyle w:val="Tablehead"/>
              <w:spacing w:before="30" w:after="30"/>
              <w:rPr>
                <w:rFonts w:eastAsiaTheme="majorEastAsia" w:cstheme="majorBidi"/>
                <w:i/>
                <w:iCs/>
              </w:rPr>
            </w:pPr>
            <w:r w:rsidRPr="00B70950">
              <w:t>(m</w:t>
            </w:r>
            <w:r w:rsidRPr="00B70950">
              <w:rPr>
                <w:vertAlign w:val="superscript"/>
              </w:rPr>
              <w:t>3</w:t>
            </w:r>
            <w:r w:rsidRPr="00B70950">
              <w:t>)</w:t>
            </w:r>
          </w:p>
        </w:tc>
        <w:tc>
          <w:tcPr>
            <w:tcW w:w="1336" w:type="dxa"/>
            <w:tcBorders>
              <w:bottom w:val="single" w:sz="4" w:space="0" w:color="auto"/>
            </w:tcBorders>
          </w:tcPr>
          <w:p w:rsidR="00D429F6" w:rsidRPr="00B70950" w:rsidRDefault="00D429F6" w:rsidP="00AA0684">
            <w:pPr>
              <w:pStyle w:val="Tablehead"/>
              <w:spacing w:before="30" w:after="30"/>
              <w:rPr>
                <w:rFonts w:eastAsiaTheme="majorEastAsia" w:cstheme="majorBidi"/>
              </w:rPr>
            </w:pPr>
            <w:r w:rsidRPr="00B70950">
              <w:t xml:space="preserve">Surface </w:t>
            </w:r>
            <w:r w:rsidRPr="00B70950">
              <w:br/>
            </w:r>
            <w:r w:rsidRPr="00B70950">
              <w:rPr>
                <w:rFonts w:eastAsiaTheme="majorEastAsia" w:cstheme="majorBidi"/>
              </w:rPr>
              <w:t>de plancher</w:t>
            </w:r>
          </w:p>
          <w:p w:rsidR="00D429F6" w:rsidRPr="00B70950" w:rsidRDefault="00D429F6" w:rsidP="00AA0684">
            <w:pPr>
              <w:pStyle w:val="Tablehead"/>
              <w:spacing w:before="30" w:after="30"/>
              <w:rPr>
                <w:rFonts w:eastAsiaTheme="majorEastAsia" w:cstheme="majorBidi"/>
                <w:i/>
                <w:iCs/>
              </w:rPr>
            </w:pPr>
            <w:r w:rsidRPr="00B70950">
              <w:t>(m</w:t>
            </w:r>
            <w:r w:rsidRPr="00B70950">
              <w:rPr>
                <w:vertAlign w:val="superscript"/>
              </w:rPr>
              <w:t>2</w:t>
            </w:r>
            <w:r w:rsidRPr="00B70950">
              <w:t>)</w:t>
            </w:r>
          </w:p>
        </w:tc>
        <w:tc>
          <w:tcPr>
            <w:tcW w:w="1641" w:type="dxa"/>
            <w:tcBorders>
              <w:bottom w:val="single" w:sz="4" w:space="0" w:color="auto"/>
            </w:tcBorders>
          </w:tcPr>
          <w:p w:rsidR="00D429F6" w:rsidRPr="00B70950" w:rsidRDefault="00D429F6" w:rsidP="00AA0684">
            <w:pPr>
              <w:pStyle w:val="Tablehead"/>
              <w:spacing w:before="30" w:after="30"/>
            </w:pPr>
            <w:r w:rsidRPr="00B70950">
              <w:t xml:space="preserve">Année de construction </w:t>
            </w:r>
            <w:r w:rsidRPr="00B70950">
              <w:rPr>
                <w:rFonts w:eastAsiaTheme="majorEastAsia" w:cstheme="majorBidi"/>
                <w:i/>
                <w:iCs/>
              </w:rPr>
              <w:br/>
            </w:r>
            <w:r w:rsidRPr="00B70950">
              <w:t>(fin de construction)</w:t>
            </w:r>
          </w:p>
        </w:tc>
        <w:tc>
          <w:tcPr>
            <w:tcW w:w="2126" w:type="dxa"/>
            <w:tcBorders>
              <w:bottom w:val="single" w:sz="4" w:space="0" w:color="auto"/>
            </w:tcBorders>
          </w:tcPr>
          <w:p w:rsidR="00D429F6" w:rsidRPr="00B70950" w:rsidRDefault="00D429F6" w:rsidP="00AA0684">
            <w:pPr>
              <w:pStyle w:val="Tablehead"/>
              <w:spacing w:before="30" w:after="30"/>
            </w:pPr>
            <w:r w:rsidRPr="00B70950">
              <w:t xml:space="preserve">% </w:t>
            </w:r>
            <w:r w:rsidR="00126B99" w:rsidRPr="00B70950">
              <w:t>v</w:t>
            </w:r>
            <w:r w:rsidRPr="00B70950">
              <w:t xml:space="preserve">olume du site du siège sans les places de stationnement </w:t>
            </w:r>
            <w:r w:rsidRPr="00B70950">
              <w:br/>
              <w:t>(%)</w:t>
            </w:r>
          </w:p>
        </w:tc>
      </w:tr>
      <w:tr w:rsidR="00D429F6" w:rsidRPr="00B70950" w:rsidTr="00EA073B">
        <w:trPr>
          <w:jc w:val="center"/>
        </w:trPr>
        <w:tc>
          <w:tcPr>
            <w:tcW w:w="2376" w:type="dxa"/>
            <w:vMerge w:val="restart"/>
            <w:tcBorders>
              <w:top w:val="single" w:sz="4" w:space="0" w:color="auto"/>
              <w:left w:val="single" w:sz="4" w:space="0" w:color="auto"/>
              <w:right w:val="single" w:sz="4" w:space="0" w:color="auto"/>
            </w:tcBorders>
          </w:tcPr>
          <w:p w:rsidR="00D429F6" w:rsidRPr="00B70950" w:rsidRDefault="00D429F6" w:rsidP="00AA0684">
            <w:pPr>
              <w:pStyle w:val="Tabletext"/>
              <w:spacing w:before="30" w:after="30"/>
            </w:pPr>
            <w:r w:rsidRPr="00B70950">
              <w:t>Varembé</w:t>
            </w:r>
          </w:p>
          <w:p w:rsidR="00D429F6" w:rsidRPr="00B70950" w:rsidRDefault="00D429F6" w:rsidP="00AA0684">
            <w:pPr>
              <w:pStyle w:val="Tabletext"/>
              <w:spacing w:before="30" w:after="30"/>
            </w:pPr>
            <w:r w:rsidRPr="00B70950">
              <w:t>Extension C, cafétéria</w:t>
            </w:r>
          </w:p>
        </w:tc>
        <w:tc>
          <w:tcPr>
            <w:tcW w:w="1443" w:type="dxa"/>
            <w:tcBorders>
              <w:top w:val="single" w:sz="4" w:space="0" w:color="auto"/>
              <w:left w:val="single" w:sz="4" w:space="0" w:color="auto"/>
              <w:bottom w:val="nil"/>
              <w:right w:val="single" w:sz="4" w:space="0" w:color="auto"/>
            </w:tcBorders>
          </w:tcPr>
          <w:p w:rsidR="00D429F6" w:rsidRPr="00B70950" w:rsidRDefault="00D429F6" w:rsidP="00AA0684">
            <w:pPr>
              <w:pStyle w:val="Tabletext"/>
              <w:spacing w:before="30" w:after="30"/>
              <w:jc w:val="center"/>
            </w:pPr>
            <w:r w:rsidRPr="00B70950">
              <w:t>42 900</w:t>
            </w:r>
          </w:p>
        </w:tc>
        <w:tc>
          <w:tcPr>
            <w:tcW w:w="1336" w:type="dxa"/>
            <w:tcBorders>
              <w:top w:val="single" w:sz="4" w:space="0" w:color="auto"/>
              <w:left w:val="single" w:sz="4" w:space="0" w:color="auto"/>
              <w:bottom w:val="nil"/>
              <w:right w:val="single" w:sz="4" w:space="0" w:color="auto"/>
            </w:tcBorders>
          </w:tcPr>
          <w:p w:rsidR="00D429F6" w:rsidRPr="00B70950" w:rsidRDefault="00D429F6" w:rsidP="00AA0684">
            <w:pPr>
              <w:pStyle w:val="Tabletext"/>
              <w:spacing w:before="30" w:after="30"/>
              <w:jc w:val="center"/>
              <w:rPr>
                <w:rFonts w:eastAsiaTheme="majorEastAsia"/>
              </w:rPr>
            </w:pPr>
            <w:r w:rsidRPr="00B70950">
              <w:t>13 101</w:t>
            </w:r>
          </w:p>
        </w:tc>
        <w:tc>
          <w:tcPr>
            <w:tcW w:w="1641" w:type="dxa"/>
            <w:tcBorders>
              <w:top w:val="single" w:sz="4" w:space="0" w:color="auto"/>
              <w:left w:val="single" w:sz="4" w:space="0" w:color="auto"/>
              <w:bottom w:val="nil"/>
              <w:right w:val="single" w:sz="4" w:space="0" w:color="auto"/>
            </w:tcBorders>
          </w:tcPr>
          <w:p w:rsidR="00D429F6" w:rsidRPr="00B70950" w:rsidRDefault="00D429F6" w:rsidP="00AA0684">
            <w:pPr>
              <w:pStyle w:val="Tabletext"/>
              <w:spacing w:before="30" w:after="30"/>
              <w:jc w:val="center"/>
            </w:pPr>
            <w:r w:rsidRPr="00B70950">
              <w:t>1962</w:t>
            </w:r>
          </w:p>
        </w:tc>
        <w:tc>
          <w:tcPr>
            <w:tcW w:w="2126" w:type="dxa"/>
            <w:tcBorders>
              <w:top w:val="single" w:sz="4" w:space="0" w:color="auto"/>
              <w:left w:val="single" w:sz="4" w:space="0" w:color="auto"/>
              <w:bottom w:val="nil"/>
              <w:right w:val="single" w:sz="4" w:space="0" w:color="auto"/>
            </w:tcBorders>
          </w:tcPr>
          <w:p w:rsidR="00D429F6" w:rsidRPr="00B70950" w:rsidRDefault="00D429F6" w:rsidP="00AA0684">
            <w:pPr>
              <w:pStyle w:val="Tabletext"/>
              <w:spacing w:before="30" w:after="30"/>
              <w:jc w:val="center"/>
            </w:pPr>
            <w:r w:rsidRPr="00B70950">
              <w:t>28 (en tout)</w:t>
            </w:r>
          </w:p>
        </w:tc>
      </w:tr>
      <w:tr w:rsidR="00D429F6" w:rsidRPr="00B70950" w:rsidTr="00EA073B">
        <w:trPr>
          <w:jc w:val="center"/>
        </w:trPr>
        <w:tc>
          <w:tcPr>
            <w:tcW w:w="2376" w:type="dxa"/>
            <w:vMerge/>
            <w:tcBorders>
              <w:left w:val="single" w:sz="4" w:space="0" w:color="auto"/>
              <w:bottom w:val="single" w:sz="4" w:space="0" w:color="auto"/>
              <w:right w:val="single" w:sz="4" w:space="0" w:color="auto"/>
            </w:tcBorders>
          </w:tcPr>
          <w:p w:rsidR="00D429F6" w:rsidRPr="00B70950" w:rsidRDefault="00D429F6" w:rsidP="00AA0684">
            <w:pPr>
              <w:pStyle w:val="Tabletext"/>
              <w:spacing w:before="30" w:after="30"/>
            </w:pPr>
          </w:p>
        </w:tc>
        <w:tc>
          <w:tcPr>
            <w:tcW w:w="1443" w:type="dxa"/>
            <w:tcBorders>
              <w:top w:val="nil"/>
              <w:left w:val="single" w:sz="4" w:space="0" w:color="auto"/>
              <w:bottom w:val="single" w:sz="4" w:space="0" w:color="auto"/>
              <w:right w:val="single" w:sz="4" w:space="0" w:color="auto"/>
            </w:tcBorders>
          </w:tcPr>
          <w:p w:rsidR="00D429F6" w:rsidRPr="00B70950" w:rsidRDefault="00D429F6" w:rsidP="00AA0684">
            <w:pPr>
              <w:pStyle w:val="Tabletext"/>
              <w:spacing w:before="30" w:after="30"/>
              <w:jc w:val="center"/>
            </w:pPr>
            <w:r w:rsidRPr="00B70950">
              <w:t>9 350</w:t>
            </w:r>
          </w:p>
        </w:tc>
        <w:tc>
          <w:tcPr>
            <w:tcW w:w="1336" w:type="dxa"/>
            <w:tcBorders>
              <w:top w:val="nil"/>
              <w:left w:val="single" w:sz="4" w:space="0" w:color="auto"/>
              <w:bottom w:val="single" w:sz="4" w:space="0" w:color="auto"/>
              <w:right w:val="single" w:sz="4" w:space="0" w:color="auto"/>
            </w:tcBorders>
          </w:tcPr>
          <w:p w:rsidR="00D429F6" w:rsidRPr="00B70950" w:rsidRDefault="00D429F6" w:rsidP="00AA0684">
            <w:pPr>
              <w:pStyle w:val="Tabletext"/>
              <w:spacing w:before="30" w:after="30"/>
              <w:jc w:val="center"/>
            </w:pPr>
            <w:r w:rsidRPr="00B70950">
              <w:t>2 240</w:t>
            </w:r>
          </w:p>
        </w:tc>
        <w:tc>
          <w:tcPr>
            <w:tcW w:w="1641" w:type="dxa"/>
            <w:tcBorders>
              <w:top w:val="nil"/>
              <w:left w:val="single" w:sz="4" w:space="0" w:color="auto"/>
              <w:bottom w:val="single" w:sz="4" w:space="0" w:color="auto"/>
              <w:right w:val="single" w:sz="4" w:space="0" w:color="auto"/>
            </w:tcBorders>
          </w:tcPr>
          <w:p w:rsidR="00D429F6" w:rsidRPr="00B70950" w:rsidRDefault="00D429F6" w:rsidP="00AA0684">
            <w:pPr>
              <w:pStyle w:val="Tabletext"/>
              <w:spacing w:before="30" w:after="30"/>
              <w:jc w:val="center"/>
            </w:pPr>
            <w:r w:rsidRPr="00B70950">
              <w:t>1999</w:t>
            </w:r>
          </w:p>
        </w:tc>
        <w:tc>
          <w:tcPr>
            <w:tcW w:w="2126" w:type="dxa"/>
            <w:tcBorders>
              <w:top w:val="nil"/>
              <w:left w:val="single" w:sz="4" w:space="0" w:color="auto"/>
              <w:bottom w:val="single" w:sz="4" w:space="0" w:color="auto"/>
              <w:right w:val="single" w:sz="4" w:space="0" w:color="auto"/>
            </w:tcBorders>
          </w:tcPr>
          <w:p w:rsidR="00D429F6" w:rsidRPr="00B70950" w:rsidRDefault="00D429F6" w:rsidP="00AA0684">
            <w:pPr>
              <w:pStyle w:val="Tabletext"/>
              <w:spacing w:before="30" w:after="30"/>
              <w:jc w:val="center"/>
            </w:pPr>
          </w:p>
        </w:tc>
      </w:tr>
      <w:tr w:rsidR="00D429F6" w:rsidRPr="00B70950" w:rsidTr="00EA073B">
        <w:trPr>
          <w:jc w:val="center"/>
        </w:trPr>
        <w:tc>
          <w:tcPr>
            <w:tcW w:w="2376" w:type="dxa"/>
            <w:tcBorders>
              <w:top w:val="single" w:sz="4" w:space="0" w:color="auto"/>
            </w:tcBorders>
          </w:tcPr>
          <w:p w:rsidR="00D429F6" w:rsidRPr="00B70950" w:rsidRDefault="00D429F6" w:rsidP="00AA0684">
            <w:pPr>
              <w:pStyle w:val="Tabletext"/>
              <w:spacing w:before="30" w:after="30"/>
            </w:pPr>
            <w:r w:rsidRPr="00B70950">
              <w:t>Tour</w:t>
            </w:r>
          </w:p>
          <w:p w:rsidR="00D429F6" w:rsidRPr="00B70950" w:rsidRDefault="00D429F6" w:rsidP="00AA0684">
            <w:pPr>
              <w:pStyle w:val="Tabletext"/>
              <w:spacing w:before="30" w:after="30"/>
            </w:pPr>
            <w:r w:rsidRPr="00B70950">
              <w:t>Extensions de la Tour</w:t>
            </w:r>
          </w:p>
        </w:tc>
        <w:tc>
          <w:tcPr>
            <w:tcW w:w="1443" w:type="dxa"/>
            <w:tcBorders>
              <w:top w:val="single" w:sz="4" w:space="0" w:color="auto"/>
            </w:tcBorders>
          </w:tcPr>
          <w:p w:rsidR="00D429F6" w:rsidRPr="00B70950" w:rsidRDefault="00D429F6" w:rsidP="00AA0684">
            <w:pPr>
              <w:pStyle w:val="Tabletext"/>
              <w:spacing w:before="30" w:after="30"/>
              <w:jc w:val="center"/>
              <w:rPr>
                <w:rFonts w:eastAsiaTheme="majorEastAsia"/>
              </w:rPr>
            </w:pPr>
            <w:r w:rsidRPr="00B70950">
              <w:t>85 580</w:t>
            </w:r>
          </w:p>
        </w:tc>
        <w:tc>
          <w:tcPr>
            <w:tcW w:w="1336" w:type="dxa"/>
            <w:tcBorders>
              <w:top w:val="single" w:sz="4" w:space="0" w:color="auto"/>
            </w:tcBorders>
          </w:tcPr>
          <w:p w:rsidR="00D429F6" w:rsidRPr="00B70950" w:rsidRDefault="00D429F6" w:rsidP="00AA0684">
            <w:pPr>
              <w:pStyle w:val="Tabletext"/>
              <w:spacing w:before="30" w:after="30"/>
              <w:jc w:val="center"/>
              <w:rPr>
                <w:rFonts w:eastAsiaTheme="majorEastAsia"/>
              </w:rPr>
            </w:pPr>
            <w:r w:rsidRPr="00B70950">
              <w:t>19 710</w:t>
            </w:r>
          </w:p>
        </w:tc>
        <w:tc>
          <w:tcPr>
            <w:tcW w:w="1641" w:type="dxa"/>
            <w:tcBorders>
              <w:top w:val="single" w:sz="4" w:space="0" w:color="auto"/>
            </w:tcBorders>
          </w:tcPr>
          <w:p w:rsidR="00D429F6" w:rsidRPr="00B70950" w:rsidRDefault="00D429F6" w:rsidP="00AA0684">
            <w:pPr>
              <w:pStyle w:val="Tabletext"/>
              <w:spacing w:before="30" w:after="30"/>
              <w:jc w:val="center"/>
            </w:pPr>
            <w:r w:rsidRPr="00B70950">
              <w:t>1973</w:t>
            </w:r>
          </w:p>
          <w:p w:rsidR="00D429F6" w:rsidRPr="00B70950" w:rsidRDefault="00D429F6" w:rsidP="00AA0684">
            <w:pPr>
              <w:pStyle w:val="Tabletext"/>
              <w:spacing w:before="30" w:after="30"/>
              <w:jc w:val="center"/>
              <w:rPr>
                <w:rFonts w:eastAsiaTheme="majorEastAsia"/>
              </w:rPr>
            </w:pPr>
            <w:r w:rsidRPr="00B70950">
              <w:t>1989</w:t>
            </w:r>
          </w:p>
        </w:tc>
        <w:tc>
          <w:tcPr>
            <w:tcW w:w="2126" w:type="dxa"/>
            <w:tcBorders>
              <w:top w:val="single" w:sz="4" w:space="0" w:color="auto"/>
            </w:tcBorders>
          </w:tcPr>
          <w:p w:rsidR="00D429F6" w:rsidRPr="00B70950" w:rsidRDefault="00D429F6" w:rsidP="00AA0684">
            <w:pPr>
              <w:pStyle w:val="Tabletext"/>
              <w:spacing w:before="30" w:after="30"/>
              <w:jc w:val="center"/>
            </w:pPr>
            <w:r w:rsidRPr="00B70950">
              <w:t>47</w:t>
            </w:r>
          </w:p>
        </w:tc>
      </w:tr>
      <w:tr w:rsidR="00D429F6" w:rsidRPr="00B70950" w:rsidTr="00EA073B">
        <w:trPr>
          <w:jc w:val="center"/>
        </w:trPr>
        <w:tc>
          <w:tcPr>
            <w:tcW w:w="2376" w:type="dxa"/>
          </w:tcPr>
          <w:p w:rsidR="00D429F6" w:rsidRPr="00B70950" w:rsidRDefault="00D429F6" w:rsidP="00AA0684">
            <w:pPr>
              <w:pStyle w:val="Tabletext"/>
              <w:spacing w:before="30" w:after="30"/>
              <w:rPr>
                <w:rFonts w:eastAsiaTheme="majorEastAsia"/>
              </w:rPr>
            </w:pPr>
            <w:proofErr w:type="spellStart"/>
            <w:r w:rsidRPr="00B70950">
              <w:t>Montbrillant</w:t>
            </w:r>
            <w:proofErr w:type="spellEnd"/>
            <w:r w:rsidRPr="00B70950">
              <w:t xml:space="preserve"> </w:t>
            </w:r>
            <w:r w:rsidRPr="00B70950">
              <w:br/>
              <w:t>(réduction de 30% pour exclure les places de stationnement)</w:t>
            </w:r>
          </w:p>
        </w:tc>
        <w:tc>
          <w:tcPr>
            <w:tcW w:w="1443" w:type="dxa"/>
          </w:tcPr>
          <w:p w:rsidR="00D429F6" w:rsidRPr="00B70950" w:rsidRDefault="00D429F6" w:rsidP="00AA0684">
            <w:pPr>
              <w:pStyle w:val="Tabletext"/>
              <w:spacing w:before="30" w:after="30"/>
              <w:jc w:val="center"/>
              <w:rPr>
                <w:i/>
                <w:iCs/>
              </w:rPr>
            </w:pPr>
            <w:r w:rsidRPr="00B70950">
              <w:rPr>
                <w:i/>
                <w:iCs/>
              </w:rPr>
              <w:t>(64 700)</w:t>
            </w:r>
          </w:p>
          <w:p w:rsidR="00D429F6" w:rsidRPr="00B70950" w:rsidRDefault="00D429F6" w:rsidP="00AA0684">
            <w:pPr>
              <w:pStyle w:val="Tabletext"/>
              <w:spacing w:before="30" w:after="30"/>
              <w:jc w:val="center"/>
              <w:rPr>
                <w:rFonts w:eastAsiaTheme="majorEastAsia"/>
              </w:rPr>
            </w:pPr>
            <w:r w:rsidRPr="00B70950">
              <w:t>45 290</w:t>
            </w:r>
          </w:p>
        </w:tc>
        <w:tc>
          <w:tcPr>
            <w:tcW w:w="1336" w:type="dxa"/>
          </w:tcPr>
          <w:p w:rsidR="00D429F6" w:rsidRPr="00B70950" w:rsidRDefault="00D429F6" w:rsidP="00AA0684">
            <w:pPr>
              <w:pStyle w:val="Tabletext"/>
              <w:spacing w:before="30" w:after="30"/>
              <w:jc w:val="center"/>
              <w:rPr>
                <w:rFonts w:eastAsiaTheme="majorEastAsia"/>
                <w:i/>
                <w:iCs/>
              </w:rPr>
            </w:pPr>
            <w:r w:rsidRPr="00B70950">
              <w:rPr>
                <w:i/>
                <w:iCs/>
              </w:rPr>
              <w:t>(17 390)</w:t>
            </w:r>
          </w:p>
          <w:p w:rsidR="00D429F6" w:rsidRPr="00B70950" w:rsidRDefault="00D429F6" w:rsidP="00AA0684">
            <w:pPr>
              <w:pStyle w:val="Tabletext"/>
              <w:spacing w:before="30" w:after="30"/>
              <w:jc w:val="center"/>
              <w:rPr>
                <w:rFonts w:eastAsiaTheme="majorEastAsia"/>
              </w:rPr>
            </w:pPr>
            <w:r w:rsidRPr="00B70950">
              <w:t>12 173</w:t>
            </w:r>
          </w:p>
        </w:tc>
        <w:tc>
          <w:tcPr>
            <w:tcW w:w="1641" w:type="dxa"/>
          </w:tcPr>
          <w:p w:rsidR="00D429F6" w:rsidRPr="00B70950" w:rsidRDefault="00D429F6" w:rsidP="00AA0684">
            <w:pPr>
              <w:pStyle w:val="Tabletext"/>
              <w:spacing w:before="30" w:after="30"/>
              <w:jc w:val="center"/>
              <w:rPr>
                <w:rFonts w:eastAsiaTheme="majorEastAsia"/>
              </w:rPr>
            </w:pPr>
            <w:r w:rsidRPr="00B70950">
              <w:t>1999</w:t>
            </w:r>
          </w:p>
        </w:tc>
        <w:tc>
          <w:tcPr>
            <w:tcW w:w="2126" w:type="dxa"/>
          </w:tcPr>
          <w:p w:rsidR="00D429F6" w:rsidRPr="00B70950" w:rsidRDefault="00D429F6" w:rsidP="00AA0684">
            <w:pPr>
              <w:pStyle w:val="Tabletext"/>
              <w:spacing w:before="30" w:after="30"/>
              <w:jc w:val="center"/>
            </w:pPr>
            <w:r w:rsidRPr="00B70950">
              <w:t xml:space="preserve">25 </w:t>
            </w:r>
            <w:r w:rsidRPr="00B70950">
              <w:br/>
              <w:t>(sans les places de stationnement)</w:t>
            </w:r>
          </w:p>
        </w:tc>
      </w:tr>
      <w:tr w:rsidR="00D429F6" w:rsidRPr="00B70950" w:rsidTr="00EA073B">
        <w:trPr>
          <w:jc w:val="center"/>
        </w:trPr>
        <w:tc>
          <w:tcPr>
            <w:tcW w:w="2376" w:type="dxa"/>
          </w:tcPr>
          <w:p w:rsidR="00D429F6" w:rsidRPr="00B70950" w:rsidRDefault="00D429F6" w:rsidP="00AA0684">
            <w:pPr>
              <w:pStyle w:val="Tabletext"/>
              <w:spacing w:before="30" w:after="30"/>
            </w:pPr>
            <w:r w:rsidRPr="00B70950">
              <w:t>TOTAL</w:t>
            </w:r>
          </w:p>
        </w:tc>
        <w:tc>
          <w:tcPr>
            <w:tcW w:w="1443" w:type="dxa"/>
          </w:tcPr>
          <w:p w:rsidR="00D429F6" w:rsidRPr="00B70950" w:rsidRDefault="00D429F6" w:rsidP="00AA0684">
            <w:pPr>
              <w:pStyle w:val="Tabletext"/>
              <w:spacing w:before="30" w:after="30"/>
              <w:jc w:val="center"/>
              <w:rPr>
                <w:i/>
                <w:iCs/>
              </w:rPr>
            </w:pPr>
            <w:r w:rsidRPr="00B70950">
              <w:rPr>
                <w:i/>
                <w:iCs/>
              </w:rPr>
              <w:t>(202 530)</w:t>
            </w:r>
          </w:p>
        </w:tc>
        <w:tc>
          <w:tcPr>
            <w:tcW w:w="1336" w:type="dxa"/>
          </w:tcPr>
          <w:p w:rsidR="00D429F6" w:rsidRPr="00B70950" w:rsidRDefault="00D429F6" w:rsidP="00AA0684">
            <w:pPr>
              <w:pStyle w:val="Tabletext"/>
              <w:spacing w:before="30" w:after="30"/>
              <w:jc w:val="center"/>
              <w:rPr>
                <w:i/>
                <w:iCs/>
              </w:rPr>
            </w:pPr>
            <w:r w:rsidRPr="00B70950">
              <w:rPr>
                <w:i/>
                <w:iCs/>
              </w:rPr>
              <w:t>(52 441)</w:t>
            </w:r>
          </w:p>
        </w:tc>
        <w:tc>
          <w:tcPr>
            <w:tcW w:w="1641" w:type="dxa"/>
          </w:tcPr>
          <w:p w:rsidR="00D429F6" w:rsidRPr="00B70950" w:rsidRDefault="00D429F6" w:rsidP="00AA0684">
            <w:pPr>
              <w:pStyle w:val="Tabletext"/>
              <w:spacing w:before="30" w:after="30"/>
              <w:jc w:val="center"/>
            </w:pPr>
          </w:p>
        </w:tc>
        <w:tc>
          <w:tcPr>
            <w:tcW w:w="2126" w:type="dxa"/>
          </w:tcPr>
          <w:p w:rsidR="00D429F6" w:rsidRPr="00B70950" w:rsidRDefault="00D429F6" w:rsidP="00AA0684">
            <w:pPr>
              <w:pStyle w:val="Tabletext"/>
              <w:spacing w:before="30" w:after="30"/>
              <w:jc w:val="center"/>
            </w:pPr>
          </w:p>
        </w:tc>
      </w:tr>
      <w:tr w:rsidR="00D429F6" w:rsidRPr="00B70950" w:rsidTr="00EA073B">
        <w:trPr>
          <w:jc w:val="center"/>
        </w:trPr>
        <w:tc>
          <w:tcPr>
            <w:tcW w:w="2376" w:type="dxa"/>
          </w:tcPr>
          <w:p w:rsidR="00D429F6" w:rsidRPr="00B70950" w:rsidRDefault="00D429F6" w:rsidP="00AA0684">
            <w:pPr>
              <w:pStyle w:val="Tabletext"/>
              <w:spacing w:before="30" w:after="30"/>
            </w:pPr>
            <w:r w:rsidRPr="00B70950">
              <w:rPr>
                <w:b/>
                <w:bCs/>
              </w:rPr>
              <w:t>TOTAL</w:t>
            </w:r>
            <w:r w:rsidRPr="00B70950">
              <w:t xml:space="preserve"> </w:t>
            </w:r>
            <w:r w:rsidRPr="00B70950">
              <w:br/>
              <w:t xml:space="preserve">(réduction des valeurs relatives à </w:t>
            </w:r>
            <w:proofErr w:type="spellStart"/>
            <w:r w:rsidRPr="00B70950">
              <w:t>Montbrillant</w:t>
            </w:r>
            <w:proofErr w:type="spellEnd"/>
            <w:r w:rsidRPr="00B70950">
              <w:t xml:space="preserve"> pour exclure les places de stationnement)</w:t>
            </w:r>
          </w:p>
        </w:tc>
        <w:tc>
          <w:tcPr>
            <w:tcW w:w="1443" w:type="dxa"/>
          </w:tcPr>
          <w:p w:rsidR="00D429F6" w:rsidRPr="00B70950" w:rsidRDefault="00D429F6" w:rsidP="00AA0684">
            <w:pPr>
              <w:pStyle w:val="Tabletext"/>
              <w:spacing w:before="30" w:after="30"/>
              <w:jc w:val="center"/>
              <w:rPr>
                <w:b/>
                <w:bCs/>
              </w:rPr>
            </w:pPr>
            <w:r w:rsidRPr="00B70950">
              <w:rPr>
                <w:b/>
                <w:bCs/>
              </w:rPr>
              <w:t>183 120</w:t>
            </w:r>
          </w:p>
        </w:tc>
        <w:tc>
          <w:tcPr>
            <w:tcW w:w="1336" w:type="dxa"/>
          </w:tcPr>
          <w:p w:rsidR="00D429F6" w:rsidRPr="00B70950" w:rsidRDefault="00D429F6" w:rsidP="00AA0684">
            <w:pPr>
              <w:pStyle w:val="Tabletext"/>
              <w:spacing w:before="30" w:after="30"/>
              <w:jc w:val="center"/>
              <w:rPr>
                <w:b/>
                <w:bCs/>
              </w:rPr>
            </w:pPr>
            <w:r w:rsidRPr="00B70950">
              <w:rPr>
                <w:b/>
                <w:bCs/>
              </w:rPr>
              <w:t>47 224</w:t>
            </w:r>
          </w:p>
        </w:tc>
        <w:tc>
          <w:tcPr>
            <w:tcW w:w="1641" w:type="dxa"/>
          </w:tcPr>
          <w:p w:rsidR="00D429F6" w:rsidRPr="00B70950" w:rsidRDefault="00D429F6" w:rsidP="00AA0684">
            <w:pPr>
              <w:pStyle w:val="Tabletext"/>
              <w:spacing w:before="30" w:after="30"/>
              <w:jc w:val="center"/>
              <w:rPr>
                <w:b/>
                <w:bCs/>
              </w:rPr>
            </w:pPr>
          </w:p>
        </w:tc>
        <w:tc>
          <w:tcPr>
            <w:tcW w:w="2126" w:type="dxa"/>
          </w:tcPr>
          <w:p w:rsidR="00D429F6" w:rsidRPr="00B70950" w:rsidRDefault="00D429F6" w:rsidP="00AA0684">
            <w:pPr>
              <w:pStyle w:val="Tabletext"/>
              <w:spacing w:before="30" w:after="30"/>
              <w:jc w:val="center"/>
              <w:rPr>
                <w:b/>
                <w:bCs/>
              </w:rPr>
            </w:pPr>
            <w:r w:rsidRPr="00B70950">
              <w:rPr>
                <w:b/>
                <w:bCs/>
              </w:rPr>
              <w:t>100</w:t>
            </w:r>
          </w:p>
        </w:tc>
      </w:tr>
    </w:tbl>
    <w:p w:rsidR="00D429F6" w:rsidRPr="00B70950" w:rsidRDefault="00D429F6" w:rsidP="00AA0684">
      <w:pPr>
        <w:keepLines/>
      </w:pPr>
      <w:r w:rsidRPr="00B70950">
        <w:lastRenderedPageBreak/>
        <w:t>3.2</w:t>
      </w:r>
      <w:r w:rsidRPr="00B70950">
        <w:tab/>
        <w:t xml:space="preserve">Les locaux </w:t>
      </w:r>
      <w:r w:rsidR="00EA073B" w:rsidRPr="00B70950">
        <w:t>abritent</w:t>
      </w:r>
      <w:r w:rsidRPr="00B70950">
        <w:t xml:space="preserve"> les bureaux des fonctionnaires, les salles de réunion, les espaces communs et les services d</w:t>
      </w:r>
      <w:r w:rsidR="00126B99" w:rsidRPr="00B70950">
        <w:t>'</w:t>
      </w:r>
      <w:r w:rsidRPr="00B70950">
        <w:t>appui (stockage, ateliers, cafétérias, etc.). Les bâtiments communiquent entre eux au moyen de liaisons intérieures sécurisées, ce qui permet de disposer, par tous les temps, d</w:t>
      </w:r>
      <w:r w:rsidR="00126B99" w:rsidRPr="00B70950">
        <w:t>'</w:t>
      </w:r>
      <w:r w:rsidRPr="00B70950">
        <w:t>une certaine souplesse pour utiliser et affecter les locaux du siège à l</w:t>
      </w:r>
      <w:r w:rsidR="00126B99" w:rsidRPr="00B70950">
        <w:t>'</w:t>
      </w:r>
      <w:r w:rsidRPr="00B70950">
        <w:t>intérieur de la structure sécurisée de l</w:t>
      </w:r>
      <w:r w:rsidR="00126B99" w:rsidRPr="00B70950">
        <w:t>'</w:t>
      </w:r>
      <w:r w:rsidRPr="00B70950">
        <w:t>UIT. L</w:t>
      </w:r>
      <w:r w:rsidR="00126B99" w:rsidRPr="00B70950">
        <w:t>'</w:t>
      </w:r>
      <w:r w:rsidRPr="00B70950">
        <w:t>absence de liaisons physiques entre les différentes parties du siège de l</w:t>
      </w:r>
      <w:r w:rsidR="00126B99" w:rsidRPr="00B70950">
        <w:t>'</w:t>
      </w:r>
      <w:r w:rsidRPr="00B70950">
        <w:t>UIT (quel que soit leur éloignement) entraînerait des dépenses de sécurité et des frais généraux supplémentaires pour le secrétariat, les délégués et les visiteurs.</w:t>
      </w:r>
    </w:p>
    <w:p w:rsidR="00D429F6" w:rsidRPr="00B70950" w:rsidRDefault="00D429F6" w:rsidP="007F1941">
      <w:r w:rsidRPr="00B70950">
        <w:t>3.3</w:t>
      </w:r>
      <w:r w:rsidRPr="00B70950">
        <w:tab/>
        <w:t xml:space="preserve">Le fait de disposer de bâtiments situés au même endroit et communiquant entre eux présente les avantages </w:t>
      </w:r>
      <w:proofErr w:type="gramStart"/>
      <w:r w:rsidRPr="00B70950">
        <w:t>suivants:</w:t>
      </w:r>
      <w:proofErr w:type="gramEnd"/>
      <w:r w:rsidRPr="00B70950">
        <w:t xml:space="preserve"> interaction maximale entre les parties prenantes internes et externes; coûts de fonctionnement moins élevés; sécurisation plus facile; souplesse en termes d</w:t>
      </w:r>
      <w:r w:rsidR="00126B99" w:rsidRPr="00B70950">
        <w:t>'</w:t>
      </w:r>
      <w:r w:rsidRPr="00B70950">
        <w:t>affectation; possibilité de centraliser les espaces et services communs; efficacité sur le plan des déplacements journaliers des fonctionnaires et des visiteurs.</w:t>
      </w:r>
    </w:p>
    <w:p w:rsidR="00D429F6" w:rsidRPr="00B70950" w:rsidRDefault="00D429F6" w:rsidP="007F1941">
      <w:r w:rsidRPr="00B70950">
        <w:t>3.4</w:t>
      </w:r>
      <w:r w:rsidRPr="00B70950">
        <w:tab/>
      </w:r>
      <w:r w:rsidR="00EA073B" w:rsidRPr="00B70950">
        <w:t>Selon une estimation</w:t>
      </w:r>
      <w:r w:rsidRPr="00B70950">
        <w:t xml:space="preserve"> prudente, les coûts de rénovation à long terme de locaux non récents s</w:t>
      </w:r>
      <w:r w:rsidR="00126B99" w:rsidRPr="00B70950">
        <w:t>'</w:t>
      </w:r>
      <w:r w:rsidRPr="00B70950">
        <w:t>élèvent à 1,5% de la valeur d</w:t>
      </w:r>
      <w:r w:rsidR="00126B99" w:rsidRPr="00B70950">
        <w:t>'</w:t>
      </w:r>
      <w:r w:rsidRPr="00B70950">
        <w:t>assurance incendie (c</w:t>
      </w:r>
      <w:r w:rsidR="00126B99" w:rsidRPr="00B70950">
        <w:t>'</w:t>
      </w:r>
      <w:r w:rsidRPr="00B70950">
        <w:t>est</w:t>
      </w:r>
      <w:r w:rsidRPr="00B70950">
        <w:noBreakHyphen/>
        <w:t>à</w:t>
      </w:r>
      <w:r w:rsidRPr="00B70950">
        <w:noBreakHyphen/>
        <w:t>dire de remplacement) des bâtiments. Moyennant ce taux, il est possible de préserver intégralement la fonctionnalité des locaux dans le cadre d</w:t>
      </w:r>
      <w:r w:rsidR="00126B99" w:rsidRPr="00B70950">
        <w:t>'</w:t>
      </w:r>
      <w:r w:rsidRPr="00B70950">
        <w:t>un programme de maintenance préventif. En raison de restrictions financières, les fonds affectés par l</w:t>
      </w:r>
      <w:r w:rsidR="00126B99" w:rsidRPr="00B70950">
        <w:t>'</w:t>
      </w:r>
      <w:r w:rsidRPr="00B70950">
        <w:t>UIT, actuellement et récemment, à la rénovation et à la maintenance représentent environ 0,5% de la valeur d</w:t>
      </w:r>
      <w:r w:rsidR="00126B99" w:rsidRPr="00B70950">
        <w:t>'</w:t>
      </w:r>
      <w:r w:rsidRPr="00B70950">
        <w:t>assurance incendie, ce qui rend des dégradations des locaux inévitables. Un taux minimal de 1% peut être considéré comme approprié pour maintenir les fonctions critiques. Compte tenu de la situation financière de l</w:t>
      </w:r>
      <w:r w:rsidR="00126B99" w:rsidRPr="00B70950">
        <w:t>'</w:t>
      </w:r>
      <w:r w:rsidRPr="00B70950">
        <w:t>UIT, un taux annuel de 1% est utilisé dans le présent document pour établir les comparaisons entre les différentes options concernant la rénovation à long terme. Si un nouveau bâtiment était construit à court terme, la maintenance pourrait être considérablement réduite au cours des premières années d</w:t>
      </w:r>
      <w:r w:rsidR="00126B99" w:rsidRPr="00B70950">
        <w:t>'</w:t>
      </w:r>
      <w:r w:rsidRPr="00B70950">
        <w:t>exploitation, étant donné qu</w:t>
      </w:r>
      <w:r w:rsidR="00126B99" w:rsidRPr="00B70950">
        <w:t>'</w:t>
      </w:r>
      <w:r w:rsidRPr="00B70950">
        <w:t xml:space="preserve">une garantie </w:t>
      </w:r>
      <w:proofErr w:type="gramStart"/>
      <w:r w:rsidRPr="00B70950">
        <w:t>constructeur</w:t>
      </w:r>
      <w:proofErr w:type="gramEnd"/>
      <w:r w:rsidRPr="00B70950">
        <w:t xml:space="preserve"> s</w:t>
      </w:r>
      <w:r w:rsidR="00126B99" w:rsidRPr="00B70950">
        <w:t>'</w:t>
      </w:r>
      <w:r w:rsidRPr="00B70950">
        <w:t>appliquerait pendant une période initiale, après laquelle les systèmes remplaçables ne subiraient (normalement) pas de défaillances pendant un</w:t>
      </w:r>
      <w:r w:rsidR="00EA073B" w:rsidRPr="00B70950">
        <w:t xml:space="preserve"> certain temps</w:t>
      </w:r>
      <w:r w:rsidRPr="00B70950">
        <w:t>.</w:t>
      </w:r>
    </w:p>
    <w:p w:rsidR="00D429F6" w:rsidRPr="00B70950" w:rsidRDefault="00D429F6" w:rsidP="007F1941">
      <w:pPr>
        <w:pStyle w:val="Heading1"/>
      </w:pPr>
      <w:r w:rsidRPr="00B70950">
        <w:t>4</w:t>
      </w:r>
      <w:r w:rsidRPr="00B70950">
        <w:tab/>
        <w:t>Risques en cas d</w:t>
      </w:r>
      <w:r w:rsidR="00126B99" w:rsidRPr="00B70950">
        <w:t>'</w:t>
      </w:r>
      <w:r w:rsidRPr="00B70950">
        <w:t>absence de décision</w:t>
      </w:r>
    </w:p>
    <w:p w:rsidR="00D429F6" w:rsidRPr="00B70950" w:rsidRDefault="00D429F6" w:rsidP="007F1941">
      <w:r w:rsidRPr="00B70950">
        <w:t>4.1</w:t>
      </w:r>
      <w:r w:rsidRPr="00B70950">
        <w:tab/>
        <w:t>La PP</w:t>
      </w:r>
      <w:r w:rsidRPr="00B70950">
        <w:noBreakHyphen/>
        <w:t>14 est invitée à évaluer les quatre options dont l</w:t>
      </w:r>
      <w:r w:rsidR="00126B99" w:rsidRPr="00B70950">
        <w:t>'</w:t>
      </w:r>
      <w:r w:rsidRPr="00B70950">
        <w:t xml:space="preserve">examen a été demandé par le Conseil, et </w:t>
      </w:r>
      <w:r w:rsidR="00EA073B" w:rsidRPr="00B70950">
        <w:t>à</w:t>
      </w:r>
      <w:r w:rsidRPr="00B70950">
        <w:t xml:space="preserve"> décider laquelle le Secrétariat doit mettre en </w:t>
      </w:r>
      <w:proofErr w:type="spellStart"/>
      <w:r w:rsidRPr="00B70950">
        <w:t>oeuvre</w:t>
      </w:r>
      <w:proofErr w:type="spellEnd"/>
      <w:r w:rsidRPr="00B70950">
        <w:t>.</w:t>
      </w:r>
    </w:p>
    <w:p w:rsidR="00D429F6" w:rsidRPr="00B70950" w:rsidRDefault="00D429F6" w:rsidP="007F1941">
      <w:r w:rsidRPr="00B70950">
        <w:t>4.2</w:t>
      </w:r>
      <w:r w:rsidRPr="00B70950">
        <w:tab/>
        <w:t>Si aucune des quatre options exposées dans la section 1 ci</w:t>
      </w:r>
      <w:r w:rsidRPr="00B70950">
        <w:noBreakHyphen/>
        <w:t>dessus n</w:t>
      </w:r>
      <w:r w:rsidR="00126B99" w:rsidRPr="00B70950">
        <w:t>'</w:t>
      </w:r>
      <w:r w:rsidRPr="00B70950">
        <w:t>est retenue, l</w:t>
      </w:r>
      <w:r w:rsidR="00126B99" w:rsidRPr="00B70950">
        <w:t>'</w:t>
      </w:r>
      <w:r w:rsidRPr="00B70950">
        <w:t>état du siège continuera de se dégrader. Le secrétariat s</w:t>
      </w:r>
      <w:r w:rsidR="00126B99" w:rsidRPr="00B70950">
        <w:t>'</w:t>
      </w:r>
      <w:r w:rsidRPr="00B70950">
        <w:t xml:space="preserve">efforcera de maintenir les locaux dans le meilleur état possible, dans la limite des ressources disponibles </w:t>
      </w:r>
      <w:r w:rsidR="00EA073B" w:rsidRPr="00B70950">
        <w:t>à cette fin</w:t>
      </w:r>
      <w:r w:rsidRPr="00B70950">
        <w:t>. En particulier, les rénovations (principalement de Varembé) seront effectuées par ordre de priorité, dans la limite des ressources allouées, de manière à traiter les problèmes de sûreté et de sécurité avant ceux liés à la maintenance et à l</w:t>
      </w:r>
      <w:r w:rsidR="00126B99" w:rsidRPr="00B70950">
        <w:t>'</w:t>
      </w:r>
      <w:r w:rsidRPr="00B70950">
        <w:t xml:space="preserve">efficacité des services et au confort des occupants. Les services </w:t>
      </w:r>
      <w:r w:rsidR="00EA073B" w:rsidRPr="00B70950">
        <w:t>relatifs aux</w:t>
      </w:r>
      <w:r w:rsidRPr="00B70950">
        <w:t xml:space="preserve"> locaux </w:t>
      </w:r>
      <w:r w:rsidR="00EA073B" w:rsidRPr="00B70950">
        <w:t>seront moins efficaces</w:t>
      </w:r>
      <w:r w:rsidRPr="00B70950">
        <w:t>, d</w:t>
      </w:r>
      <w:r w:rsidR="00126B99" w:rsidRPr="00B70950">
        <w:t>'</w:t>
      </w:r>
      <w:r w:rsidRPr="00B70950">
        <w:t>où une baisse de la fiabilité et de la disponibilité des systèmes des bâtiments, avec un risque de défaillance de systèmes essentiels.</w:t>
      </w:r>
    </w:p>
    <w:p w:rsidR="00D429F6" w:rsidRPr="00B70950" w:rsidRDefault="00D429F6" w:rsidP="00BD76F6">
      <w:r w:rsidRPr="00B70950">
        <w:t>4.3</w:t>
      </w:r>
      <w:r w:rsidRPr="00B70950">
        <w:tab/>
        <w:t>Si la PP</w:t>
      </w:r>
      <w:r w:rsidRPr="00B70950">
        <w:noBreakHyphen/>
        <w:t xml:space="preserve">14 venait à se prononcer en faveur du remplacement de Varembé, la demande de financement serait soumise au pays hôte </w:t>
      </w:r>
      <w:r w:rsidR="00E238DA" w:rsidRPr="00B70950">
        <w:t>après la conférence</w:t>
      </w:r>
      <w:r w:rsidRPr="00B70950">
        <w:t xml:space="preserve">. Les autorités suisses ont indiqué </w:t>
      </w:r>
      <w:r w:rsidR="0053738A" w:rsidRPr="00B70950">
        <w:t>qu</w:t>
      </w:r>
      <w:r w:rsidR="00ED0177" w:rsidRPr="00B70950">
        <w:t>'</w:t>
      </w:r>
      <w:r w:rsidR="0053738A" w:rsidRPr="00B70950">
        <w:t>une demande de financement pourrait être soumise au Conseil fédéral au début de 2015 et que, suite à cette demande,</w:t>
      </w:r>
      <w:r w:rsidRPr="00B70950">
        <w:t xml:space="preserve"> il serait possible de débloquer 10% des fonds du projet dès </w:t>
      </w:r>
      <w:r w:rsidR="00BE5991" w:rsidRPr="00B70950">
        <w:t xml:space="preserve">juin </w:t>
      </w:r>
      <w:r w:rsidRPr="00B70950">
        <w:t>2015</w:t>
      </w:r>
      <w:r w:rsidR="00BE5991" w:rsidRPr="00B70950">
        <w:t xml:space="preserve"> en cas d</w:t>
      </w:r>
      <w:r w:rsidR="00ED0177" w:rsidRPr="00B70950">
        <w:t>'</w:t>
      </w:r>
      <w:r w:rsidR="00BE5991" w:rsidRPr="00B70950">
        <w:t>approbation de la part du Conseil fédéral et du Parlement suisse</w:t>
      </w:r>
      <w:r w:rsidRPr="00B70950">
        <w:t xml:space="preserve">, </w:t>
      </w:r>
      <w:r w:rsidR="00BE5991" w:rsidRPr="00B70950">
        <w:t xml:space="preserve">ce qui permettrait </w:t>
      </w:r>
      <w:r w:rsidRPr="00B70950">
        <w:t>de financer les études</w:t>
      </w:r>
      <w:r w:rsidR="00BE5991" w:rsidRPr="00B70950">
        <w:t xml:space="preserve"> préparatoires</w:t>
      </w:r>
      <w:r w:rsidRPr="00B70950">
        <w:t xml:space="preserve"> complètes ainsi qu</w:t>
      </w:r>
      <w:r w:rsidR="00126B99" w:rsidRPr="00B70950">
        <w:t>'</w:t>
      </w:r>
      <w:r w:rsidRPr="00B70950">
        <w:t>un concours international d</w:t>
      </w:r>
      <w:r w:rsidR="00126B99" w:rsidRPr="00B70950">
        <w:t>'</w:t>
      </w:r>
      <w:r w:rsidRPr="00B70950">
        <w:t xml:space="preserve">architecture. </w:t>
      </w:r>
      <w:r w:rsidR="00BE5991" w:rsidRPr="00B70950">
        <w:lastRenderedPageBreak/>
        <w:t>Conforméme</w:t>
      </w:r>
      <w:r w:rsidR="005C527C" w:rsidRPr="00B70950">
        <w:t>nt à la pratique adoptée par l</w:t>
      </w:r>
      <w:r w:rsidR="00ED0177" w:rsidRPr="00B70950">
        <w:t>'</w:t>
      </w:r>
      <w:r w:rsidR="005C527C" w:rsidRPr="00B70950">
        <w:t xml:space="preserve">Etat </w:t>
      </w:r>
      <w:r w:rsidR="00BE5991" w:rsidRPr="00B70950">
        <w:t xml:space="preserve">hôte, les </w:t>
      </w:r>
      <w:r w:rsidR="00956906" w:rsidRPr="00B70950">
        <w:t>prêts à la</w:t>
      </w:r>
      <w:r w:rsidR="00BE5991" w:rsidRPr="00B70950">
        <w:t xml:space="preserve"> construction et </w:t>
      </w:r>
      <w:r w:rsidR="000E106D" w:rsidRPr="00B70950">
        <w:t>à la</w:t>
      </w:r>
      <w:r w:rsidR="00BE5991" w:rsidRPr="00B70950">
        <w:t xml:space="preserve"> rénovation sont soumis à l</w:t>
      </w:r>
      <w:r w:rsidR="00ED0177" w:rsidRPr="00B70950">
        <w:t>'</w:t>
      </w:r>
      <w:r w:rsidR="00BE5991" w:rsidRPr="00B70950">
        <w:t xml:space="preserve">approbation du Parlement suisse. </w:t>
      </w:r>
      <w:r w:rsidR="00A520C1" w:rsidRPr="00B70950">
        <w:t>A la lumière des estimations de coûts détaillées issues des é</w:t>
      </w:r>
      <w:r w:rsidR="004808B8" w:rsidRPr="00B70950">
        <w:t>tudes préparatoires</w:t>
      </w:r>
      <w:r w:rsidR="000075AF" w:rsidRPr="00B70950">
        <w:t>, il serai</w:t>
      </w:r>
      <w:r w:rsidR="00A520C1" w:rsidRPr="00B70950">
        <w:t>t</w:t>
      </w:r>
      <w:r w:rsidR="000075AF" w:rsidRPr="00B70950">
        <w:t xml:space="preserve"> </w:t>
      </w:r>
      <w:r w:rsidR="00A520C1" w:rsidRPr="00B70950">
        <w:t>possible de soumettre une</w:t>
      </w:r>
      <w:r w:rsidR="000075AF" w:rsidRPr="00B70950">
        <w:t xml:space="preserve"> </w:t>
      </w:r>
      <w:r w:rsidR="00A520C1" w:rsidRPr="00B70950">
        <w:t xml:space="preserve">demande </w:t>
      </w:r>
      <w:r w:rsidR="003059D2" w:rsidRPr="00B70950">
        <w:t>concernant l</w:t>
      </w:r>
      <w:r w:rsidR="00A520C1" w:rsidRPr="00B70950">
        <w:t xml:space="preserve">es 90% restants des </w:t>
      </w:r>
      <w:r w:rsidR="00BD76F6" w:rsidRPr="00B70950">
        <w:t>frais</w:t>
      </w:r>
      <w:r w:rsidR="00A520C1" w:rsidRPr="00B70950">
        <w:t xml:space="preserve"> de construction ou de rénovation estimés au Parlement suisse pour approbation. La procédure d</w:t>
      </w:r>
      <w:r w:rsidR="00ED0177" w:rsidRPr="00B70950">
        <w:t>'</w:t>
      </w:r>
      <w:r w:rsidR="00A520C1" w:rsidRPr="00B70950">
        <w:t>approbation par le Parlement p</w:t>
      </w:r>
      <w:r w:rsidR="00BD76F6" w:rsidRPr="00B70950">
        <w:t xml:space="preserve">eut </w:t>
      </w:r>
      <w:r w:rsidR="00A520C1" w:rsidRPr="00B70950">
        <w:t>prendre jusqu</w:t>
      </w:r>
      <w:r w:rsidR="00ED0177" w:rsidRPr="00B70950">
        <w:t>'</w:t>
      </w:r>
      <w:r w:rsidR="00A520C1" w:rsidRPr="00B70950">
        <w:t>à un</w:t>
      </w:r>
      <w:r w:rsidR="00BD76F6" w:rsidRPr="00B70950">
        <w:t>e</w:t>
      </w:r>
      <w:r w:rsidR="00A520C1" w:rsidRPr="00B70950">
        <w:t xml:space="preserve"> an</w:t>
      </w:r>
      <w:r w:rsidR="00BD76F6" w:rsidRPr="00B70950">
        <w:t>née</w:t>
      </w:r>
      <w:r w:rsidR="00A520C1" w:rsidRPr="00B70950">
        <w:t>.</w:t>
      </w:r>
      <w:r w:rsidR="00F77E00" w:rsidRPr="00B70950">
        <w:t xml:space="preserve"> L</w:t>
      </w:r>
      <w:r w:rsidR="00ED0177" w:rsidRPr="00B70950">
        <w:t>'</w:t>
      </w:r>
      <w:r w:rsidR="00F77E00" w:rsidRPr="00B70950">
        <w:t>UIT prévoit de soumettre la demande de financement au cours de l</w:t>
      </w:r>
      <w:r w:rsidR="00ED0177" w:rsidRPr="00B70950">
        <w:t>'</w:t>
      </w:r>
      <w:r w:rsidR="00F77E00" w:rsidRPr="00B70950">
        <w:t xml:space="preserve">automne 2016, afin que le </w:t>
      </w:r>
      <w:r w:rsidR="000075AF" w:rsidRPr="00B70950">
        <w:t>financement</w:t>
      </w:r>
      <w:r w:rsidR="00F77E00" w:rsidRPr="00B70950">
        <w:t xml:space="preserve"> des travaux de </w:t>
      </w:r>
      <w:r w:rsidR="000075AF" w:rsidRPr="00B70950">
        <w:t>construction e</w:t>
      </w:r>
      <w:r w:rsidR="00F77E00" w:rsidRPr="00B70950">
        <w:t xml:space="preserve">t de rénovation puisse commencer </w:t>
      </w:r>
      <w:r w:rsidR="00033827" w:rsidRPr="00B70950">
        <w:t>a</w:t>
      </w:r>
      <w:r w:rsidR="00F77E00" w:rsidRPr="00B70950">
        <w:t>u début de 2018.</w:t>
      </w:r>
    </w:p>
    <w:p w:rsidR="00D429F6" w:rsidRPr="00B70950" w:rsidRDefault="00D429F6" w:rsidP="007F1941">
      <w:pPr>
        <w:pStyle w:val="Heading1"/>
      </w:pPr>
      <w:r w:rsidRPr="00B70950">
        <w:t>5</w:t>
      </w:r>
      <w:r w:rsidRPr="00B70950">
        <w:tab/>
        <w:t xml:space="preserve">Option </w:t>
      </w:r>
      <w:proofErr w:type="gramStart"/>
      <w:r w:rsidRPr="00B70950">
        <w:t>1:</w:t>
      </w:r>
      <w:proofErr w:type="gramEnd"/>
      <w:r w:rsidRPr="00B70950">
        <w:t xml:space="preserve"> Remplacement de Varembé et rén</w:t>
      </w:r>
      <w:r w:rsidR="00A47187" w:rsidRPr="00B70950">
        <w:t>ovation des autres bâtiments du </w:t>
      </w:r>
      <w:r w:rsidRPr="00B70950">
        <w:t>siège</w:t>
      </w:r>
    </w:p>
    <w:p w:rsidR="00D429F6" w:rsidRPr="00B70950" w:rsidRDefault="00D429F6" w:rsidP="007F1941">
      <w:r w:rsidRPr="00B70950">
        <w:t>5.1</w:t>
      </w:r>
      <w:r w:rsidRPr="00B70950">
        <w:tab/>
        <w:t>La présente section rend compte de l</w:t>
      </w:r>
      <w:r w:rsidR="00126B99" w:rsidRPr="00B70950">
        <w:t>'</w:t>
      </w:r>
      <w:r w:rsidRPr="00B70950">
        <w:t>étude de projet menée conjointement par le secrétariat de l</w:t>
      </w:r>
      <w:r w:rsidR="00126B99" w:rsidRPr="00B70950">
        <w:t>'</w:t>
      </w:r>
      <w:r w:rsidRPr="00B70950">
        <w:t>UIT et le pays hôte concernant le remplacement du bâtiment Varembé. En outre, l</w:t>
      </w:r>
      <w:r w:rsidR="00126B99" w:rsidRPr="00B70950">
        <w:t>'</w:t>
      </w:r>
      <w:r w:rsidRPr="00B70950">
        <w:t>estimation des coûts liés à cette option tient compte, lorsqu</w:t>
      </w:r>
      <w:r w:rsidR="00126B99" w:rsidRPr="00B70950">
        <w:t>'</w:t>
      </w:r>
      <w:r w:rsidRPr="00B70950">
        <w:t xml:space="preserve">il y a lieu, des besoins de rénovation de la Tour et de </w:t>
      </w:r>
      <w:proofErr w:type="spellStart"/>
      <w:r w:rsidRPr="00B70950">
        <w:t>Montbrillant</w:t>
      </w:r>
      <w:proofErr w:type="spellEnd"/>
      <w:r w:rsidRPr="00B70950">
        <w:t xml:space="preserve"> ainsi que de ceux du nouveau bâtiment.</w:t>
      </w:r>
    </w:p>
    <w:p w:rsidR="00D429F6" w:rsidRPr="00B70950" w:rsidRDefault="00D429F6" w:rsidP="007F1941">
      <w:r w:rsidRPr="00B70950">
        <w:t>5.2</w:t>
      </w:r>
      <w:r w:rsidRPr="00B70950">
        <w:tab/>
        <w:t xml:space="preserve">Le secrétariat travaille en étroite collaboration avec la Mission du pays hôte, le Département fédéral des affaires étrangères, et les organes fédéraux et cantonaux compétents, afin d'examiner différentes options pour faire en sorte que le siège dispose de la superficie nécessaire, compte tenu des besoins de l'Union liés à sa croissance et aux espaces de réunion. En 2012, la FIPOI, organe fédéral suisse spécialisé dans ce domaine, a réalisé une étude technique </w:t>
      </w:r>
      <w:r w:rsidR="00704F1F" w:rsidRPr="00B70950">
        <w:t xml:space="preserve">préliminaire </w:t>
      </w:r>
      <w:r w:rsidRPr="00B70950">
        <w:t>au sujet de la conduite de l'amélioration du bâtiment Varembé et des solutions possibles à cet effet, et est parvenue à la conclusion selon laquelle la démolition et le remplacement du bâtiment était une option plus logique que sa rénovation.</w:t>
      </w:r>
    </w:p>
    <w:p w:rsidR="00D429F6" w:rsidRPr="00B70950" w:rsidRDefault="00D429F6" w:rsidP="007F1941">
      <w:r w:rsidRPr="00B70950">
        <w:t>5.3</w:t>
      </w:r>
      <w:r w:rsidRPr="00B70950">
        <w:tab/>
        <w:t>L</w:t>
      </w:r>
      <w:r w:rsidR="00126B99" w:rsidRPr="00B70950">
        <w:t>'</w:t>
      </w:r>
      <w:r w:rsidRPr="00B70950">
        <w:t>objectif général de ce projet est de remplacer un actif essentiel en état d</w:t>
      </w:r>
      <w:r w:rsidR="00126B99" w:rsidRPr="00B70950">
        <w:t>'</w:t>
      </w:r>
      <w:r w:rsidRPr="00B70950">
        <w:t>obsolescence (le bâtiment Varembé) au moyen d</w:t>
      </w:r>
      <w:r w:rsidR="00126B99" w:rsidRPr="00B70950">
        <w:t>'</w:t>
      </w:r>
      <w:r w:rsidRPr="00B70950">
        <w:t>une solution rentable qui offrira à l</w:t>
      </w:r>
      <w:r w:rsidR="00126B99" w:rsidRPr="00B70950">
        <w:t>'</w:t>
      </w:r>
      <w:r w:rsidRPr="00B70950">
        <w:t>Union, moyennant un risque acceptable, la souplesse requise pour son développement jusqu</w:t>
      </w:r>
      <w:r w:rsidR="00126B99" w:rsidRPr="00B70950">
        <w:t>'</w:t>
      </w:r>
      <w:r w:rsidRPr="00B70950">
        <w:t xml:space="preserve">à la fin du </w:t>
      </w:r>
      <w:r w:rsidR="00EA073B" w:rsidRPr="00B70950">
        <w:t>XXIe</w:t>
      </w:r>
      <w:r w:rsidRPr="00B70950">
        <w:t xml:space="preserve"> siècle. Au fur et à mesure de l</w:t>
      </w:r>
      <w:r w:rsidR="00126B99" w:rsidRPr="00B70950">
        <w:t>'</w:t>
      </w:r>
      <w:r w:rsidRPr="00B70950">
        <w:t xml:space="preserve">exécution du projet, les risques seront mieux définis et </w:t>
      </w:r>
      <w:proofErr w:type="gramStart"/>
      <w:r w:rsidRPr="00B70950">
        <w:t>diminueront:</w:t>
      </w:r>
      <w:proofErr w:type="gramEnd"/>
      <w:r w:rsidRPr="00B70950">
        <w:t xml:space="preserve"> par exemple, les fourchettes de coûts rétréciront et les risques d</w:t>
      </w:r>
      <w:r w:rsidR="00126B99" w:rsidRPr="00B70950">
        <w:t>'</w:t>
      </w:r>
      <w:r w:rsidRPr="00B70950">
        <w:t xml:space="preserve">ordre juridique et technique seront écartés. Les informations figurant dans le présent document sont les plus récentes </w:t>
      </w:r>
      <w:r w:rsidR="00EA073B" w:rsidRPr="00B70950">
        <w:t>dont nous disposons</w:t>
      </w:r>
      <w:r w:rsidRPr="00B70950">
        <w:t>.</w:t>
      </w:r>
    </w:p>
    <w:p w:rsidR="00D429F6" w:rsidRPr="00B70950" w:rsidRDefault="00D429F6" w:rsidP="007F1941">
      <w:pPr>
        <w:pStyle w:val="Heading1"/>
      </w:pPr>
      <w:r w:rsidRPr="00B70950">
        <w:t>A</w:t>
      </w:r>
      <w:r w:rsidRPr="00B70950">
        <w:tab/>
        <w:t>Projet Varembé II</w:t>
      </w:r>
    </w:p>
    <w:p w:rsidR="00D429F6" w:rsidRPr="00B70950" w:rsidRDefault="00D429F6" w:rsidP="007F1941">
      <w:r w:rsidRPr="00B70950">
        <w:t>5.4</w:t>
      </w:r>
      <w:r w:rsidRPr="00B70950">
        <w:tab/>
        <w:t>L</w:t>
      </w:r>
      <w:r w:rsidR="00126B99" w:rsidRPr="00B70950">
        <w:t>'</w:t>
      </w:r>
      <w:r w:rsidRPr="00B70950">
        <w:t>exécution de ce projet aurait lieu conformément aux pratiques professionnelles locales en matière de projets immobiliers, sous la direction du secrétariat et en étroite collaboration avec le pays hôte. Un cabinet d</w:t>
      </w:r>
      <w:r w:rsidR="00126B99" w:rsidRPr="00B70950">
        <w:t>'</w:t>
      </w:r>
      <w:r w:rsidRPr="00B70950">
        <w:t>architecture mène actuellement une étude technique sur l</w:t>
      </w:r>
      <w:r w:rsidR="00126B99" w:rsidRPr="00B70950">
        <w:t>'</w:t>
      </w:r>
      <w:r w:rsidRPr="00B70950">
        <w:t>avant</w:t>
      </w:r>
      <w:r w:rsidRPr="00B70950">
        <w:noBreakHyphen/>
        <w:t>projet, et doit présenter son rapport en octobre 2014. Les résultats de cette étude comprendront une estimation globale des coûts du projet (avec une marge de précision qui devrait être de ± 15%), la confirmation de la faisabilité (juridique, géotechnique) et l</w:t>
      </w:r>
      <w:r w:rsidR="00126B99" w:rsidRPr="00B70950">
        <w:t>'</w:t>
      </w:r>
      <w:r w:rsidRPr="00B70950">
        <w:t>emplacement du nouveau bâtiment (avec des incidences sur la période de relogement temporaire des occupants de Varembé).</w:t>
      </w:r>
    </w:p>
    <w:p w:rsidR="00D429F6" w:rsidRPr="00B70950" w:rsidRDefault="00D429F6" w:rsidP="007F1941">
      <w:r w:rsidRPr="00B70950">
        <w:t>5.5</w:t>
      </w:r>
      <w:r w:rsidRPr="00B70950">
        <w:tab/>
        <w:t>Le nouveau bâtiment répondrait à des critères de haut niveau en ce qui concerne la durabilité, l</w:t>
      </w:r>
      <w:r w:rsidR="00126B99" w:rsidRPr="00B70950">
        <w:t>'</w:t>
      </w:r>
      <w:r w:rsidRPr="00B70950">
        <w:t>efficacité d</w:t>
      </w:r>
      <w:r w:rsidR="00126B99" w:rsidRPr="00B70950">
        <w:t>'</w:t>
      </w:r>
      <w:r w:rsidRPr="00B70950">
        <w:t>utilisation des services, les possibilités de maintenance, l</w:t>
      </w:r>
      <w:r w:rsidR="00126B99" w:rsidRPr="00B70950">
        <w:t>'</w:t>
      </w:r>
      <w:r w:rsidRPr="00B70950">
        <w:t>environnement de travail et l</w:t>
      </w:r>
      <w:r w:rsidR="00126B99" w:rsidRPr="00B70950">
        <w:t>'</w:t>
      </w:r>
      <w:r w:rsidRPr="00B70950">
        <w:t xml:space="preserve">accessibilité. Le concept du bâtiment serait choisi </w:t>
      </w:r>
      <w:r w:rsidR="00EA073B" w:rsidRPr="00B70950">
        <w:t>à l'issue</w:t>
      </w:r>
      <w:r w:rsidRPr="00B70950">
        <w:t xml:space="preserve"> d</w:t>
      </w:r>
      <w:r w:rsidR="00126B99" w:rsidRPr="00B70950">
        <w:t>'</w:t>
      </w:r>
      <w:r w:rsidRPr="00B70950">
        <w:t>un concours international d</w:t>
      </w:r>
      <w:r w:rsidR="00126B99" w:rsidRPr="00B70950">
        <w:t>'</w:t>
      </w:r>
      <w:r w:rsidRPr="00B70950">
        <w:t>architecture.</w:t>
      </w:r>
    </w:p>
    <w:p w:rsidR="00D429F6" w:rsidRPr="00B70950" w:rsidRDefault="00D429F6" w:rsidP="00BD76F6">
      <w:pPr>
        <w:keepLines/>
      </w:pPr>
      <w:r w:rsidRPr="00B70950">
        <w:lastRenderedPageBreak/>
        <w:t>5.6</w:t>
      </w:r>
      <w:r w:rsidRPr="00B70950">
        <w:tab/>
        <w:t>Le volume du nouveau bâtiment serait de 30% supérieur à celui de Varembé, soit une augmentation de 8% du volume bâti de l</w:t>
      </w:r>
      <w:r w:rsidR="00126B99" w:rsidRPr="00B70950">
        <w:t>'</w:t>
      </w:r>
      <w:r w:rsidRPr="00B70950">
        <w:t xml:space="preserve">ensemble du siège. Le bâtiment pourra ainsi faire communiquer harmonieusement la Tour et le bâtiment </w:t>
      </w:r>
      <w:proofErr w:type="spellStart"/>
      <w:r w:rsidRPr="00B70950">
        <w:t>Montbrillant</w:t>
      </w:r>
      <w:proofErr w:type="spellEnd"/>
      <w:r w:rsidRPr="00B70950">
        <w:t>. La répartition de l</w:t>
      </w:r>
      <w:r w:rsidR="00126B99" w:rsidRPr="00B70950">
        <w:t>'</w:t>
      </w:r>
      <w:r w:rsidRPr="00B70950">
        <w:t>augmentation du volume est présentée dans le Document C13/INF/18.</w:t>
      </w:r>
    </w:p>
    <w:p w:rsidR="00D429F6" w:rsidRPr="00B70950" w:rsidRDefault="00D429F6" w:rsidP="007F1941">
      <w:r w:rsidRPr="00B70950">
        <w:t>5.7</w:t>
      </w:r>
      <w:r w:rsidRPr="00B70950">
        <w:tab/>
        <w:t>L</w:t>
      </w:r>
      <w:r w:rsidR="00126B99" w:rsidRPr="00B70950">
        <w:t>'</w:t>
      </w:r>
      <w:r w:rsidRPr="00B70950">
        <w:t>un des objectifs du bâtiment sera de résoudre le problème du manque d</w:t>
      </w:r>
      <w:r w:rsidR="00126B99" w:rsidRPr="00B70950">
        <w:t>'</w:t>
      </w:r>
      <w:r w:rsidRPr="00B70950">
        <w:t>espace disponible dans les locaux de l</w:t>
      </w:r>
      <w:r w:rsidR="00126B99" w:rsidRPr="00B70950">
        <w:t>'</w:t>
      </w:r>
      <w:r w:rsidRPr="00B70950">
        <w:t>Union pour les réunions des délégués, au moyen d</w:t>
      </w:r>
      <w:r w:rsidR="00126B99" w:rsidRPr="00B70950">
        <w:t>'</w:t>
      </w:r>
      <w:r w:rsidRPr="00B70950">
        <w:t>une augmentation d</w:t>
      </w:r>
      <w:r w:rsidR="00126B99" w:rsidRPr="00B70950">
        <w:t>'</w:t>
      </w:r>
      <w:r w:rsidRPr="00B70950">
        <w:t>environ 400 places de la capacité des salles de conférence, soit plus de 30% de places disponibles supplémentaires sur l</w:t>
      </w:r>
      <w:r w:rsidR="00126B99" w:rsidRPr="00B70950">
        <w:t>'</w:t>
      </w:r>
      <w:r w:rsidRPr="00B70950">
        <w:t>ensemble du site pour l</w:t>
      </w:r>
      <w:r w:rsidR="00126B99" w:rsidRPr="00B70950">
        <w:t>'</w:t>
      </w:r>
      <w:r w:rsidRPr="00B70950">
        <w:t>accueil des délégués.</w:t>
      </w:r>
    </w:p>
    <w:p w:rsidR="00D429F6" w:rsidRPr="00B70950" w:rsidRDefault="00D429F6" w:rsidP="007F1941">
      <w:r w:rsidRPr="00B70950">
        <w:t>5.8</w:t>
      </w:r>
      <w:r w:rsidRPr="00B70950">
        <w:tab/>
        <w:t>Actuellement, le coût d</w:t>
      </w:r>
      <w:r w:rsidR="00126B99" w:rsidRPr="00B70950">
        <w:t>'</w:t>
      </w:r>
      <w:r w:rsidRPr="00B70950">
        <w:t xml:space="preserve">ensemble du projet est estimé </w:t>
      </w:r>
      <w:r w:rsidR="00953C40" w:rsidRPr="00B70950">
        <w:t>par l</w:t>
      </w:r>
      <w:r w:rsidR="00ED0177" w:rsidRPr="00B70950">
        <w:t>'</w:t>
      </w:r>
      <w:r w:rsidR="00953C40" w:rsidRPr="00B70950">
        <w:t xml:space="preserve">UIT </w:t>
      </w:r>
      <w:r w:rsidRPr="00B70950">
        <w:t xml:space="preserve">à 150 millions CHF, entièrement financés par un </w:t>
      </w:r>
      <w:r w:rsidR="00956906" w:rsidRPr="00B70950">
        <w:t>prêt à la</w:t>
      </w:r>
      <w:r w:rsidR="00A60216" w:rsidRPr="00B70950">
        <w:t xml:space="preserve"> construction </w:t>
      </w:r>
      <w:r w:rsidRPr="00B70950">
        <w:t xml:space="preserve">de 150 millions CHF auprès du pays hôte, remboursable sans intérêt par annuités sur une période de 50 ans, le premier versement étant exigible à la fin de </w:t>
      </w:r>
      <w:r w:rsidR="00725211" w:rsidRPr="00B70950">
        <w:t>l</w:t>
      </w:r>
      <w:r w:rsidR="00ED0177" w:rsidRPr="00B70950">
        <w:t>'</w:t>
      </w:r>
      <w:r w:rsidRPr="00B70950">
        <w:t>année</w:t>
      </w:r>
      <w:r w:rsidR="00725211" w:rsidRPr="00B70950">
        <w:t xml:space="preserve"> d'achèvement des travaux de construction</w:t>
      </w:r>
      <w:r w:rsidRPr="00B70950">
        <w:t xml:space="preserve">. Une telle planification n'entraînerait pas de dépenses supplémentaires pour la période </w:t>
      </w:r>
      <w:r w:rsidR="00EA073B" w:rsidRPr="00B70950">
        <w:t>couverte par le</w:t>
      </w:r>
      <w:r w:rsidRPr="00B70950">
        <w:t xml:space="preserve"> plan </w:t>
      </w:r>
      <w:r w:rsidR="00126B99" w:rsidRPr="00B70950">
        <w:t>f</w:t>
      </w:r>
      <w:r w:rsidRPr="00B70950">
        <w:t xml:space="preserve">inancier </w:t>
      </w:r>
      <w:r w:rsidR="00EA073B" w:rsidRPr="00B70950">
        <w:t xml:space="preserve">pour </w:t>
      </w:r>
      <w:r w:rsidRPr="00B70950">
        <w:t>2016-2019, car le remboursement du prêt ne commencerait qu'à partir de 2021.</w:t>
      </w:r>
    </w:p>
    <w:p w:rsidR="00D429F6" w:rsidRPr="00B70950" w:rsidRDefault="00D429F6" w:rsidP="007F1941">
      <w:r w:rsidRPr="00B70950">
        <w:t>5.9</w:t>
      </w:r>
      <w:r w:rsidRPr="00B70950">
        <w:tab/>
        <w:t xml:space="preserve">Les fonds seraient versés à l'UIT selon les phases des travaux du projet et les coûts liés à la construction seraient capitalisés lors de la livraison des biens et services en question selon les normes IPSAS. La dépréciation du nouveau bâtiment commencerait après sa mise en service (estimée pour 2021, si une décision en faveur de cette option est prise lors de la PP-14). </w:t>
      </w:r>
    </w:p>
    <w:p w:rsidR="00D429F6" w:rsidRPr="00B70950" w:rsidRDefault="00D429F6" w:rsidP="007F1941">
      <w:r w:rsidRPr="00B70950">
        <w:t>5.10</w:t>
      </w:r>
      <w:r w:rsidRPr="00B70950">
        <w:tab/>
        <w:t xml:space="preserve">Cela signifie que le projet aurait des incidences sur l'état de la situation financière de l'Union à l'actif en ce qui concerne la réception des fonds et la capitalisation des dépenses et au passif lors de la reconnaissance de la dette envers la FIPOI. </w:t>
      </w:r>
    </w:p>
    <w:p w:rsidR="00D429F6" w:rsidRPr="00B70950" w:rsidRDefault="00D429F6" w:rsidP="007F1941">
      <w:r w:rsidRPr="00B70950">
        <w:t>5.11</w:t>
      </w:r>
      <w:r w:rsidRPr="00B70950">
        <w:tab/>
        <w:t>De plus, dès la prise de décision de construire un nouveau bâtiment, la valeur nette comptable résiduelle de l'ancien bâtiment (13 millions CHF au 31</w:t>
      </w:r>
      <w:r w:rsidR="00126B99" w:rsidRPr="00B70950">
        <w:t xml:space="preserve"> décembre </w:t>
      </w:r>
      <w:r w:rsidRPr="00B70950">
        <w:t xml:space="preserve">2013) devra être </w:t>
      </w:r>
      <w:proofErr w:type="gramStart"/>
      <w:r w:rsidRPr="00B70950">
        <w:t>dépréciée</w:t>
      </w:r>
      <w:proofErr w:type="gramEnd"/>
      <w:r w:rsidRPr="00B70950">
        <w:t xml:space="preserve"> sur la durée de vie restante. Si une telle décision est prise durant la PP-14, la durée de vie résiduelle devrait être réduite à </w:t>
      </w:r>
      <w:r w:rsidR="00126B99" w:rsidRPr="00B70950">
        <w:t>sept</w:t>
      </w:r>
      <w:r w:rsidRPr="00B70950">
        <w:t xml:space="preserve"> ans. Ceci entra</w:t>
      </w:r>
      <w:r w:rsidR="00126B99" w:rsidRPr="00B70950">
        <w:t>î</w:t>
      </w:r>
      <w:r w:rsidRPr="00B70950">
        <w:t>nerait une dépréciation annuelle de 1,9 million CHF au lieu de 0,7 million CHF actuellement. Il est à noter que les coûts de dépréciation ne sont pour l'instant pas budgétisés et constituent des écritures statistiques non liées à des sorties de fonds.</w:t>
      </w:r>
    </w:p>
    <w:p w:rsidR="00D429F6" w:rsidRPr="00B70950" w:rsidRDefault="00D429F6" w:rsidP="007F1941">
      <w:r w:rsidRPr="00B70950">
        <w:t>5.12</w:t>
      </w:r>
      <w:r w:rsidRPr="00B70950">
        <w:tab/>
        <w:t>La construction d'un bâtiment de qualité à un emplacement de choix à Genève permettrait d'envisager une réévaluation du bâtiment après une période de cinq à dix ans et de garantir et</w:t>
      </w:r>
      <w:r w:rsidR="00126B99" w:rsidRPr="00B70950">
        <w:t>,</w:t>
      </w:r>
      <w:r w:rsidRPr="00B70950">
        <w:t xml:space="preserve"> potentiellement, selon l'évolution du marché de l'immobilier dans cette catégorie de bâtiments dans le Canton de Genève, de réévaluer la valeur des actifs de l'Union de manière significative. </w:t>
      </w:r>
    </w:p>
    <w:p w:rsidR="00D429F6" w:rsidRPr="00B70950" w:rsidRDefault="00D429F6" w:rsidP="007F1941">
      <w:r w:rsidRPr="00B70950">
        <w:t>5.13</w:t>
      </w:r>
      <w:r w:rsidRPr="00B70950">
        <w:tab/>
        <w:t>Compte tenu de la vétusté de la Tour, des travaux de rénovation estimés à 45 millions CHF devraient être entrepris. Le projet de remplacement de Varembé permettrait un déplacement d'une partie du personnel qui se trouve actuellement dans la Tour dans le nouveau bâtiment, sans coûts additionnels.</w:t>
      </w:r>
    </w:p>
    <w:p w:rsidR="00D429F6" w:rsidRPr="00B70950" w:rsidRDefault="00D429F6" w:rsidP="007F1941">
      <w:r w:rsidRPr="00B70950">
        <w:t>5.14</w:t>
      </w:r>
      <w:r w:rsidRPr="00B70950">
        <w:tab/>
        <w:t xml:space="preserve">Il </w:t>
      </w:r>
      <w:r w:rsidR="00EA073B" w:rsidRPr="00B70950">
        <w:t>serait</w:t>
      </w:r>
      <w:r w:rsidR="00126B99" w:rsidRPr="00B70950">
        <w:t>,</w:t>
      </w:r>
      <w:r w:rsidRPr="00B70950">
        <w:t xml:space="preserve"> de plus</w:t>
      </w:r>
      <w:r w:rsidR="00EA073B" w:rsidRPr="00B70950">
        <w:t>,</w:t>
      </w:r>
      <w:r w:rsidRPr="00B70950">
        <w:t xml:space="preserve"> nécessaire de prévoir des coûts de rénovation pour </w:t>
      </w:r>
      <w:proofErr w:type="spellStart"/>
      <w:r w:rsidRPr="00B70950">
        <w:t>Montbrillant</w:t>
      </w:r>
      <w:proofErr w:type="spellEnd"/>
      <w:r w:rsidRPr="00B70950">
        <w:t xml:space="preserve"> (49 millions CHF au total pour la Tour et </w:t>
      </w:r>
      <w:proofErr w:type="spellStart"/>
      <w:r w:rsidRPr="00B70950">
        <w:t>Montbrillant</w:t>
      </w:r>
      <w:proofErr w:type="spellEnd"/>
      <w:r w:rsidRPr="00B70950">
        <w:t>) et de maintenance pour l'ensemble des bâtiments.</w:t>
      </w:r>
    </w:p>
    <w:p w:rsidR="00BD76F6" w:rsidRPr="00B70950" w:rsidRDefault="00BD76F6" w:rsidP="007F1941">
      <w:pPr>
        <w:pStyle w:val="Heading1"/>
      </w:pPr>
      <w:r w:rsidRPr="00B70950">
        <w:br w:type="page"/>
      </w:r>
    </w:p>
    <w:p w:rsidR="00D429F6" w:rsidRPr="00B70950" w:rsidRDefault="00D429F6" w:rsidP="007F1941">
      <w:pPr>
        <w:pStyle w:val="Heading1"/>
      </w:pPr>
      <w:r w:rsidRPr="00B70950">
        <w:lastRenderedPageBreak/>
        <w:t>B</w:t>
      </w:r>
      <w:r w:rsidRPr="00B70950">
        <w:tab/>
        <w:t xml:space="preserve">Rénovation de la Tour et de </w:t>
      </w:r>
      <w:proofErr w:type="spellStart"/>
      <w:r w:rsidRPr="00B70950">
        <w:t>Montbrillant</w:t>
      </w:r>
      <w:proofErr w:type="spellEnd"/>
    </w:p>
    <w:p w:rsidR="00D429F6" w:rsidRPr="00B70950" w:rsidRDefault="00D429F6" w:rsidP="007F1941">
      <w:r w:rsidRPr="00B70950">
        <w:t>5.15</w:t>
      </w:r>
      <w:r w:rsidRPr="00B70950">
        <w:tab/>
        <w:t>Principe: remédier aux insuffisances et aux défectuosités dans la mesure du possible; assurer ensuite la maintenance des services avec un budget annuel moyen équivalent à 1% de la valeur d</w:t>
      </w:r>
      <w:r w:rsidR="00126B99" w:rsidRPr="00B70950">
        <w:t>'</w:t>
      </w:r>
      <w:r w:rsidRPr="00B70950">
        <w:t>assurance incendie (calculée à partir de la valeur de 2014 (211 millions CHF) en utilisant un rapport de volume).</w:t>
      </w:r>
    </w:p>
    <w:p w:rsidR="00D429F6" w:rsidRPr="00B70950" w:rsidRDefault="00D429F6" w:rsidP="007F1941">
      <w:r w:rsidRPr="00B70950">
        <w:t>5.16</w:t>
      </w:r>
      <w:r w:rsidRPr="00B70950">
        <w:tab/>
        <w:t xml:space="preserve">Prix pour </w:t>
      </w:r>
      <w:proofErr w:type="gramStart"/>
      <w:r w:rsidRPr="00B70950">
        <w:t>2014:</w:t>
      </w:r>
      <w:proofErr w:type="gramEnd"/>
      <w:r w:rsidRPr="00B70950">
        <w:t xml:space="preserve"> il n</w:t>
      </w:r>
      <w:r w:rsidR="00126B99" w:rsidRPr="00B70950">
        <w:t>'</w:t>
      </w:r>
      <w:r w:rsidRPr="00B70950">
        <w:t>est pas tenu compte de l</w:t>
      </w:r>
      <w:r w:rsidR="00126B99" w:rsidRPr="00B70950">
        <w:t>'</w:t>
      </w:r>
      <w:r w:rsidRPr="00B70950">
        <w:t>inflation.</w:t>
      </w:r>
    </w:p>
    <w:p w:rsidR="00D429F6" w:rsidRPr="00B70950" w:rsidRDefault="00D429F6" w:rsidP="00BD76F6">
      <w:pPr>
        <w:pStyle w:val="Headingb"/>
        <w:spacing w:after="120"/>
      </w:pPr>
      <w:r w:rsidRPr="00B70950">
        <w:t xml:space="preserve">Rénovations urgentes de </w:t>
      </w:r>
      <w:proofErr w:type="spellStart"/>
      <w:r w:rsidRPr="00B70950">
        <w:t>Montbrillant</w:t>
      </w:r>
      <w:proofErr w:type="spellEnd"/>
      <w:r w:rsidRPr="00B70950">
        <w:t xml:space="preserve"> (période 2015-2024</w:t>
      </w:r>
      <w:proofErr w:type="gramStart"/>
      <w:r w:rsidRPr="00B70950">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57"/>
        <w:gridCol w:w="4423"/>
      </w:tblGrid>
      <w:tr w:rsidR="00D429F6" w:rsidRPr="00B70950" w:rsidTr="00EA073B">
        <w:trPr>
          <w:jc w:val="center"/>
        </w:trPr>
        <w:tc>
          <w:tcPr>
            <w:tcW w:w="2552" w:type="dxa"/>
          </w:tcPr>
          <w:p w:rsidR="00D429F6" w:rsidRPr="00B70950" w:rsidRDefault="00D429F6" w:rsidP="00AE09D6">
            <w:pPr>
              <w:pStyle w:val="Tablehead"/>
              <w:spacing w:before="40" w:after="40"/>
            </w:pPr>
            <w:r w:rsidRPr="00B70950">
              <w:t>Projet</w:t>
            </w:r>
          </w:p>
        </w:tc>
        <w:tc>
          <w:tcPr>
            <w:tcW w:w="1588" w:type="dxa"/>
          </w:tcPr>
          <w:p w:rsidR="00D429F6" w:rsidRPr="00B70950" w:rsidRDefault="00D429F6" w:rsidP="00AE09D6">
            <w:pPr>
              <w:pStyle w:val="Tablehead"/>
              <w:spacing w:before="40" w:after="40"/>
            </w:pPr>
            <w:r w:rsidRPr="00B70950">
              <w:t xml:space="preserve">Coût </w:t>
            </w:r>
            <w:r w:rsidRPr="00B70950">
              <w:br/>
              <w:t>(millions de CHF)</w:t>
            </w:r>
          </w:p>
        </w:tc>
        <w:tc>
          <w:tcPr>
            <w:tcW w:w="4423" w:type="dxa"/>
          </w:tcPr>
          <w:p w:rsidR="00D429F6" w:rsidRPr="00B70950" w:rsidRDefault="00D429F6" w:rsidP="00AE09D6">
            <w:pPr>
              <w:pStyle w:val="Tablehead"/>
              <w:spacing w:before="40" w:after="40"/>
            </w:pPr>
            <w:r w:rsidRPr="00B70950">
              <w:t>Observations</w:t>
            </w:r>
          </w:p>
        </w:tc>
      </w:tr>
      <w:tr w:rsidR="00D429F6" w:rsidRPr="00B70950" w:rsidTr="00EA073B">
        <w:trPr>
          <w:jc w:val="center"/>
        </w:trPr>
        <w:tc>
          <w:tcPr>
            <w:tcW w:w="2552" w:type="dxa"/>
          </w:tcPr>
          <w:p w:rsidR="00D429F6" w:rsidRPr="00B70950" w:rsidRDefault="00D429F6" w:rsidP="00AE09D6">
            <w:pPr>
              <w:pStyle w:val="Tabletext"/>
              <w:spacing w:before="40" w:after="40"/>
            </w:pPr>
            <w:r w:rsidRPr="00B70950">
              <w:t>Remplacement des salles de réunion</w:t>
            </w:r>
          </w:p>
        </w:tc>
        <w:tc>
          <w:tcPr>
            <w:tcW w:w="1588" w:type="dxa"/>
          </w:tcPr>
          <w:p w:rsidR="00D429F6" w:rsidRPr="00B70950" w:rsidRDefault="00D429F6" w:rsidP="005932E2">
            <w:pPr>
              <w:pStyle w:val="Tabletext"/>
              <w:spacing w:before="40" w:after="40"/>
              <w:jc w:val="center"/>
            </w:pPr>
            <w:r w:rsidRPr="00B70950">
              <w:t>3</w:t>
            </w:r>
          </w:p>
        </w:tc>
        <w:tc>
          <w:tcPr>
            <w:tcW w:w="4423" w:type="dxa"/>
          </w:tcPr>
          <w:p w:rsidR="00D429F6" w:rsidRPr="00B70950" w:rsidRDefault="00D429F6" w:rsidP="00AE09D6">
            <w:pPr>
              <w:pStyle w:val="Tabletext"/>
              <w:spacing w:before="40" w:after="40"/>
            </w:pPr>
            <w:r w:rsidRPr="00B70950">
              <w:t>316 places à raison de 10 000 CHF par place, équipements audiovisuels inclus.</w:t>
            </w:r>
          </w:p>
        </w:tc>
      </w:tr>
      <w:tr w:rsidR="00D429F6" w:rsidRPr="00B70950" w:rsidTr="00EA073B">
        <w:trPr>
          <w:jc w:val="center"/>
        </w:trPr>
        <w:tc>
          <w:tcPr>
            <w:tcW w:w="2552" w:type="dxa"/>
          </w:tcPr>
          <w:p w:rsidR="00D429F6" w:rsidRPr="00B70950" w:rsidRDefault="00D429F6" w:rsidP="00AE09D6">
            <w:pPr>
              <w:pStyle w:val="Tabletext"/>
              <w:spacing w:before="40" w:after="40"/>
            </w:pPr>
            <w:r w:rsidRPr="00B70950">
              <w:t>Travaux sur les systèmes de réfrigération et de chauffage</w:t>
            </w:r>
          </w:p>
        </w:tc>
        <w:tc>
          <w:tcPr>
            <w:tcW w:w="1588" w:type="dxa"/>
          </w:tcPr>
          <w:p w:rsidR="00D429F6" w:rsidRPr="00B70950" w:rsidRDefault="00D429F6" w:rsidP="005932E2">
            <w:pPr>
              <w:pStyle w:val="Tabletext"/>
              <w:spacing w:before="40" w:after="40"/>
              <w:jc w:val="center"/>
            </w:pPr>
            <w:r w:rsidRPr="00B70950">
              <w:t>0,6</w:t>
            </w:r>
          </w:p>
        </w:tc>
        <w:tc>
          <w:tcPr>
            <w:tcW w:w="4423" w:type="dxa"/>
          </w:tcPr>
          <w:p w:rsidR="00D429F6" w:rsidRPr="00B70950" w:rsidRDefault="00D429F6" w:rsidP="00AE09D6">
            <w:pPr>
              <w:pStyle w:val="Tabletext"/>
              <w:spacing w:before="40" w:after="40"/>
            </w:pPr>
          </w:p>
        </w:tc>
      </w:tr>
      <w:tr w:rsidR="00D429F6" w:rsidRPr="00B70950" w:rsidTr="00EA073B">
        <w:trPr>
          <w:jc w:val="center"/>
        </w:trPr>
        <w:tc>
          <w:tcPr>
            <w:tcW w:w="2552" w:type="dxa"/>
          </w:tcPr>
          <w:p w:rsidR="00D429F6" w:rsidRPr="00B70950" w:rsidRDefault="00D429F6" w:rsidP="00AE09D6">
            <w:pPr>
              <w:pStyle w:val="Tabletext"/>
              <w:spacing w:before="40" w:after="40"/>
            </w:pPr>
            <w:r w:rsidRPr="00B70950">
              <w:t>Autres travaux</w:t>
            </w:r>
          </w:p>
        </w:tc>
        <w:tc>
          <w:tcPr>
            <w:tcW w:w="1588" w:type="dxa"/>
          </w:tcPr>
          <w:p w:rsidR="00D429F6" w:rsidRPr="00B70950" w:rsidRDefault="00D429F6" w:rsidP="005932E2">
            <w:pPr>
              <w:pStyle w:val="Tabletext"/>
              <w:spacing w:before="40" w:after="40"/>
              <w:jc w:val="center"/>
            </w:pPr>
            <w:r w:rsidRPr="00B70950">
              <w:t>0,4</w:t>
            </w:r>
          </w:p>
        </w:tc>
        <w:tc>
          <w:tcPr>
            <w:tcW w:w="4423" w:type="dxa"/>
          </w:tcPr>
          <w:p w:rsidR="00D429F6" w:rsidRPr="00B70950" w:rsidRDefault="00D429F6" w:rsidP="00AE09D6">
            <w:pPr>
              <w:pStyle w:val="Tabletext"/>
              <w:spacing w:before="40" w:after="40"/>
            </w:pPr>
          </w:p>
        </w:tc>
      </w:tr>
      <w:tr w:rsidR="00D429F6" w:rsidRPr="00B70950" w:rsidTr="00EA073B">
        <w:trPr>
          <w:jc w:val="center"/>
        </w:trPr>
        <w:tc>
          <w:tcPr>
            <w:tcW w:w="2552" w:type="dxa"/>
          </w:tcPr>
          <w:p w:rsidR="00D429F6" w:rsidRPr="00B70950" w:rsidRDefault="00D429F6" w:rsidP="00AE09D6">
            <w:pPr>
              <w:pStyle w:val="Tabletext"/>
              <w:spacing w:before="40" w:after="40"/>
              <w:rPr>
                <w:b/>
              </w:rPr>
            </w:pPr>
            <w:r w:rsidRPr="00B70950">
              <w:rPr>
                <w:b/>
              </w:rPr>
              <w:t>TOTAL</w:t>
            </w:r>
          </w:p>
        </w:tc>
        <w:tc>
          <w:tcPr>
            <w:tcW w:w="1588" w:type="dxa"/>
          </w:tcPr>
          <w:p w:rsidR="00D429F6" w:rsidRPr="00B70950" w:rsidRDefault="00D429F6" w:rsidP="005932E2">
            <w:pPr>
              <w:pStyle w:val="Tabletext"/>
              <w:spacing w:before="40" w:after="40"/>
              <w:jc w:val="center"/>
              <w:rPr>
                <w:b/>
                <w:bCs/>
              </w:rPr>
            </w:pPr>
            <w:r w:rsidRPr="00B70950">
              <w:rPr>
                <w:b/>
                <w:bCs/>
              </w:rPr>
              <w:t>4</w:t>
            </w:r>
          </w:p>
        </w:tc>
        <w:tc>
          <w:tcPr>
            <w:tcW w:w="4423" w:type="dxa"/>
          </w:tcPr>
          <w:p w:rsidR="00D429F6" w:rsidRPr="00B70950" w:rsidRDefault="00D429F6" w:rsidP="00AE09D6">
            <w:pPr>
              <w:pStyle w:val="Tabletext"/>
              <w:spacing w:before="40" w:after="40"/>
            </w:pPr>
          </w:p>
        </w:tc>
      </w:tr>
    </w:tbl>
    <w:p w:rsidR="00D429F6" w:rsidRPr="00B70950" w:rsidRDefault="00D429F6" w:rsidP="00A47187">
      <w:pPr>
        <w:pStyle w:val="Headingb"/>
        <w:spacing w:before="240" w:after="120"/>
      </w:pPr>
      <w:r w:rsidRPr="00B70950">
        <w:t>Rénovation urgente de la Tour (période 2015-2024</w:t>
      </w:r>
      <w:proofErr w:type="gramStart"/>
      <w:r w:rsidRPr="00B70950">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57"/>
        <w:gridCol w:w="4423"/>
      </w:tblGrid>
      <w:tr w:rsidR="00D429F6" w:rsidRPr="00B70950" w:rsidTr="00EA073B">
        <w:trPr>
          <w:jc w:val="center"/>
        </w:trPr>
        <w:tc>
          <w:tcPr>
            <w:tcW w:w="2552" w:type="dxa"/>
          </w:tcPr>
          <w:p w:rsidR="00D429F6" w:rsidRPr="00B70950" w:rsidRDefault="00D429F6" w:rsidP="00AE09D6">
            <w:pPr>
              <w:pStyle w:val="Tablehead"/>
              <w:spacing w:before="40" w:after="40"/>
            </w:pPr>
            <w:r w:rsidRPr="00B70950">
              <w:t>Projet</w:t>
            </w:r>
          </w:p>
        </w:tc>
        <w:tc>
          <w:tcPr>
            <w:tcW w:w="1588" w:type="dxa"/>
          </w:tcPr>
          <w:p w:rsidR="00D429F6" w:rsidRPr="00B70950" w:rsidRDefault="00D429F6" w:rsidP="00AE09D6">
            <w:pPr>
              <w:pStyle w:val="Tablehead"/>
              <w:spacing w:before="40" w:after="40"/>
            </w:pPr>
            <w:r w:rsidRPr="00B70950">
              <w:t xml:space="preserve">Coût </w:t>
            </w:r>
            <w:r w:rsidRPr="00B70950">
              <w:br/>
              <w:t>(millions de CHF)</w:t>
            </w:r>
          </w:p>
        </w:tc>
        <w:tc>
          <w:tcPr>
            <w:tcW w:w="4423" w:type="dxa"/>
          </w:tcPr>
          <w:p w:rsidR="00D429F6" w:rsidRPr="00B70950" w:rsidRDefault="00D429F6" w:rsidP="00AE09D6">
            <w:pPr>
              <w:pStyle w:val="Tablehead"/>
              <w:spacing w:before="40" w:after="40"/>
            </w:pPr>
            <w:r w:rsidRPr="00B70950">
              <w:t>Observations</w:t>
            </w:r>
          </w:p>
        </w:tc>
      </w:tr>
      <w:tr w:rsidR="00D429F6" w:rsidRPr="00B70950" w:rsidTr="00EA073B">
        <w:trPr>
          <w:jc w:val="center"/>
        </w:trPr>
        <w:tc>
          <w:tcPr>
            <w:tcW w:w="2552" w:type="dxa"/>
          </w:tcPr>
          <w:p w:rsidR="00D429F6" w:rsidRPr="00B70950" w:rsidRDefault="00D429F6" w:rsidP="00AE09D6">
            <w:pPr>
              <w:pStyle w:val="Tabletext"/>
              <w:spacing w:before="40" w:after="40"/>
              <w:rPr>
                <w:szCs w:val="22"/>
              </w:rPr>
            </w:pPr>
            <w:r w:rsidRPr="00B70950">
              <w:rPr>
                <w:szCs w:val="22"/>
              </w:rPr>
              <w:t>Remplacement de la façade</w:t>
            </w:r>
          </w:p>
        </w:tc>
        <w:tc>
          <w:tcPr>
            <w:tcW w:w="1588" w:type="dxa"/>
          </w:tcPr>
          <w:p w:rsidR="00D429F6" w:rsidRPr="00B70950" w:rsidRDefault="00D429F6" w:rsidP="005932E2">
            <w:pPr>
              <w:pStyle w:val="Tabletext"/>
              <w:spacing w:before="40" w:after="40"/>
              <w:jc w:val="center"/>
              <w:rPr>
                <w:szCs w:val="22"/>
              </w:rPr>
            </w:pPr>
            <w:r w:rsidRPr="00B70950">
              <w:rPr>
                <w:szCs w:val="22"/>
              </w:rPr>
              <w:t>30</w:t>
            </w:r>
          </w:p>
        </w:tc>
        <w:tc>
          <w:tcPr>
            <w:tcW w:w="4423" w:type="dxa"/>
          </w:tcPr>
          <w:p w:rsidR="00D429F6" w:rsidRPr="00B70950" w:rsidRDefault="00D429F6" w:rsidP="005932E2">
            <w:pPr>
              <w:pStyle w:val="Tabletext"/>
              <w:spacing w:before="40" w:after="40"/>
              <w:rPr>
                <w:szCs w:val="22"/>
              </w:rPr>
            </w:pPr>
            <w:r w:rsidRPr="00B70950">
              <w:rPr>
                <w:szCs w:val="22"/>
              </w:rPr>
              <w:t>Sur la base des résultats d</w:t>
            </w:r>
            <w:r w:rsidR="00126B99" w:rsidRPr="00B70950">
              <w:rPr>
                <w:szCs w:val="22"/>
              </w:rPr>
              <w:t>'</w:t>
            </w:r>
            <w:r w:rsidRPr="00B70950">
              <w:rPr>
                <w:szCs w:val="22"/>
              </w:rPr>
              <w:t>études externes antérieures relatives à Varembé.</w:t>
            </w:r>
          </w:p>
        </w:tc>
      </w:tr>
      <w:tr w:rsidR="00D429F6" w:rsidRPr="00B70950" w:rsidTr="00EA073B">
        <w:trPr>
          <w:jc w:val="center"/>
        </w:trPr>
        <w:tc>
          <w:tcPr>
            <w:tcW w:w="2552" w:type="dxa"/>
          </w:tcPr>
          <w:p w:rsidR="00D429F6" w:rsidRPr="00B70950" w:rsidRDefault="00D429F6" w:rsidP="00AE09D6">
            <w:pPr>
              <w:pStyle w:val="Tabletext"/>
              <w:spacing w:before="40" w:after="40"/>
              <w:rPr>
                <w:szCs w:val="22"/>
              </w:rPr>
            </w:pPr>
            <w:r w:rsidRPr="00B70950">
              <w:rPr>
                <w:szCs w:val="22"/>
              </w:rPr>
              <w:t>Remplacement de l</w:t>
            </w:r>
            <w:r w:rsidR="00126B99" w:rsidRPr="00B70950">
              <w:rPr>
                <w:szCs w:val="22"/>
              </w:rPr>
              <w:t>'</w:t>
            </w:r>
            <w:r w:rsidRPr="00B70950">
              <w:rPr>
                <w:szCs w:val="22"/>
              </w:rPr>
              <w:t>éclairage des bureaux</w:t>
            </w:r>
          </w:p>
        </w:tc>
        <w:tc>
          <w:tcPr>
            <w:tcW w:w="1588" w:type="dxa"/>
          </w:tcPr>
          <w:p w:rsidR="00D429F6" w:rsidRPr="00B70950" w:rsidRDefault="00D429F6" w:rsidP="005932E2">
            <w:pPr>
              <w:pStyle w:val="Tabletext"/>
              <w:spacing w:before="40" w:after="40"/>
              <w:jc w:val="center"/>
              <w:rPr>
                <w:szCs w:val="22"/>
              </w:rPr>
            </w:pPr>
            <w:r w:rsidRPr="00B70950">
              <w:rPr>
                <w:szCs w:val="22"/>
              </w:rPr>
              <w:t>2</w:t>
            </w:r>
          </w:p>
        </w:tc>
        <w:tc>
          <w:tcPr>
            <w:tcW w:w="4423" w:type="dxa"/>
          </w:tcPr>
          <w:p w:rsidR="00D429F6" w:rsidRPr="00B70950" w:rsidRDefault="00D429F6" w:rsidP="005932E2">
            <w:pPr>
              <w:pStyle w:val="Tabletext"/>
              <w:spacing w:before="40" w:after="40"/>
              <w:rPr>
                <w:szCs w:val="22"/>
              </w:rPr>
            </w:pPr>
            <w:r w:rsidRPr="00B70950">
              <w:rPr>
                <w:szCs w:val="22"/>
              </w:rPr>
              <w:t>Sur la base d</w:t>
            </w:r>
            <w:r w:rsidR="00126B99" w:rsidRPr="00B70950">
              <w:rPr>
                <w:szCs w:val="22"/>
              </w:rPr>
              <w:t>'</w:t>
            </w:r>
            <w:r w:rsidRPr="00B70950">
              <w:rPr>
                <w:szCs w:val="22"/>
              </w:rPr>
              <w:t>essais effectués à titre pilote en utilisant un éclairage moderne dans certains bureaux de la Tour.</w:t>
            </w:r>
          </w:p>
        </w:tc>
      </w:tr>
      <w:tr w:rsidR="00D429F6" w:rsidRPr="00B70950" w:rsidTr="00EA073B">
        <w:trPr>
          <w:jc w:val="center"/>
        </w:trPr>
        <w:tc>
          <w:tcPr>
            <w:tcW w:w="2552" w:type="dxa"/>
          </w:tcPr>
          <w:p w:rsidR="00D429F6" w:rsidRPr="00B70950" w:rsidRDefault="00D429F6" w:rsidP="00AE09D6">
            <w:pPr>
              <w:pStyle w:val="Tabletext"/>
              <w:spacing w:before="40" w:after="40"/>
              <w:rPr>
                <w:szCs w:val="22"/>
              </w:rPr>
            </w:pPr>
            <w:r w:rsidRPr="00B70950">
              <w:rPr>
                <w:szCs w:val="22"/>
              </w:rPr>
              <w:t>Remplacement des salles de réunion</w:t>
            </w:r>
          </w:p>
        </w:tc>
        <w:tc>
          <w:tcPr>
            <w:tcW w:w="1588" w:type="dxa"/>
          </w:tcPr>
          <w:p w:rsidR="00D429F6" w:rsidRPr="00B70950" w:rsidRDefault="00D429F6" w:rsidP="005932E2">
            <w:pPr>
              <w:pStyle w:val="Tabletext"/>
              <w:spacing w:before="40" w:after="40"/>
              <w:jc w:val="center"/>
              <w:rPr>
                <w:szCs w:val="22"/>
              </w:rPr>
            </w:pPr>
            <w:r w:rsidRPr="00B70950">
              <w:rPr>
                <w:szCs w:val="22"/>
              </w:rPr>
              <w:t>6</w:t>
            </w:r>
          </w:p>
        </w:tc>
        <w:tc>
          <w:tcPr>
            <w:tcW w:w="4423" w:type="dxa"/>
          </w:tcPr>
          <w:p w:rsidR="00D429F6" w:rsidRPr="00B70950" w:rsidRDefault="00D429F6" w:rsidP="005932E2">
            <w:pPr>
              <w:pStyle w:val="Tabletext"/>
              <w:spacing w:before="40" w:after="40"/>
              <w:rPr>
                <w:szCs w:val="22"/>
              </w:rPr>
            </w:pPr>
            <w:r w:rsidRPr="00B70950">
              <w:rPr>
                <w:szCs w:val="22"/>
              </w:rPr>
              <w:t>600 places à raison de 10 000 CHF par place, équipements audiovisuels inclus.</w:t>
            </w:r>
          </w:p>
        </w:tc>
      </w:tr>
      <w:tr w:rsidR="00D429F6" w:rsidRPr="00B70950" w:rsidTr="00EA073B">
        <w:trPr>
          <w:jc w:val="center"/>
        </w:trPr>
        <w:tc>
          <w:tcPr>
            <w:tcW w:w="2552" w:type="dxa"/>
          </w:tcPr>
          <w:p w:rsidR="00D429F6" w:rsidRPr="00B70950" w:rsidRDefault="00D429F6" w:rsidP="00AE09D6">
            <w:pPr>
              <w:pStyle w:val="Tabletext"/>
              <w:spacing w:before="40" w:after="40"/>
              <w:rPr>
                <w:szCs w:val="22"/>
              </w:rPr>
            </w:pPr>
            <w:r w:rsidRPr="00B70950">
              <w:rPr>
                <w:szCs w:val="22"/>
              </w:rPr>
              <w:t>Ecrans anti-souffle, mesures MOSS</w:t>
            </w:r>
            <w:r w:rsidRPr="00B70950">
              <w:t>*</w:t>
            </w:r>
          </w:p>
        </w:tc>
        <w:tc>
          <w:tcPr>
            <w:tcW w:w="1588" w:type="dxa"/>
          </w:tcPr>
          <w:p w:rsidR="00D429F6" w:rsidRPr="00B70950" w:rsidRDefault="00D429F6" w:rsidP="005932E2">
            <w:pPr>
              <w:pStyle w:val="Tabletext"/>
              <w:spacing w:before="40" w:after="40"/>
              <w:jc w:val="center"/>
              <w:rPr>
                <w:szCs w:val="22"/>
              </w:rPr>
            </w:pPr>
            <w:r w:rsidRPr="00B70950">
              <w:rPr>
                <w:szCs w:val="22"/>
              </w:rPr>
              <w:t>0,5</w:t>
            </w:r>
          </w:p>
        </w:tc>
        <w:tc>
          <w:tcPr>
            <w:tcW w:w="4423" w:type="dxa"/>
          </w:tcPr>
          <w:p w:rsidR="00D429F6" w:rsidRPr="00B70950" w:rsidRDefault="00D429F6" w:rsidP="005932E2">
            <w:pPr>
              <w:pStyle w:val="Tabletext"/>
              <w:spacing w:before="40" w:after="40"/>
              <w:rPr>
                <w:szCs w:val="22"/>
              </w:rPr>
            </w:pPr>
          </w:p>
        </w:tc>
      </w:tr>
      <w:tr w:rsidR="00D429F6" w:rsidRPr="00B70950" w:rsidTr="00EA073B">
        <w:trPr>
          <w:jc w:val="center"/>
        </w:trPr>
        <w:tc>
          <w:tcPr>
            <w:tcW w:w="2552" w:type="dxa"/>
          </w:tcPr>
          <w:p w:rsidR="00D429F6" w:rsidRPr="00B70950" w:rsidRDefault="00D429F6" w:rsidP="00AE09D6">
            <w:pPr>
              <w:pStyle w:val="Tabletext"/>
              <w:spacing w:before="40" w:after="40"/>
              <w:rPr>
                <w:szCs w:val="22"/>
              </w:rPr>
            </w:pPr>
            <w:r w:rsidRPr="00B70950">
              <w:rPr>
                <w:szCs w:val="22"/>
              </w:rPr>
              <w:t xml:space="preserve">Salle </w:t>
            </w:r>
            <w:proofErr w:type="gramStart"/>
            <w:r w:rsidRPr="00B70950">
              <w:rPr>
                <w:szCs w:val="22"/>
              </w:rPr>
              <w:t>informatique:</w:t>
            </w:r>
            <w:proofErr w:type="gramEnd"/>
            <w:r w:rsidRPr="00B70950">
              <w:rPr>
                <w:szCs w:val="22"/>
              </w:rPr>
              <w:t xml:space="preserve"> remplacement des services; travaux sur les connexions et les réseaux informatiques</w:t>
            </w:r>
          </w:p>
        </w:tc>
        <w:tc>
          <w:tcPr>
            <w:tcW w:w="1588" w:type="dxa"/>
          </w:tcPr>
          <w:p w:rsidR="00D429F6" w:rsidRPr="00B70950" w:rsidRDefault="00D429F6" w:rsidP="005932E2">
            <w:pPr>
              <w:pStyle w:val="Tabletext"/>
              <w:spacing w:before="40" w:after="40"/>
              <w:jc w:val="center"/>
              <w:rPr>
                <w:szCs w:val="22"/>
              </w:rPr>
            </w:pPr>
            <w:r w:rsidRPr="00B70950">
              <w:rPr>
                <w:szCs w:val="22"/>
              </w:rPr>
              <w:t>1</w:t>
            </w:r>
          </w:p>
        </w:tc>
        <w:tc>
          <w:tcPr>
            <w:tcW w:w="4423" w:type="dxa"/>
          </w:tcPr>
          <w:p w:rsidR="00D429F6" w:rsidRPr="00B70950" w:rsidRDefault="00D429F6" w:rsidP="005932E2">
            <w:pPr>
              <w:pStyle w:val="Tabletext"/>
              <w:spacing w:before="40" w:after="40"/>
              <w:rPr>
                <w:szCs w:val="22"/>
              </w:rPr>
            </w:pPr>
          </w:p>
        </w:tc>
      </w:tr>
      <w:tr w:rsidR="00D429F6" w:rsidRPr="00B70950" w:rsidTr="00EA073B">
        <w:trPr>
          <w:jc w:val="center"/>
        </w:trPr>
        <w:tc>
          <w:tcPr>
            <w:tcW w:w="2552" w:type="dxa"/>
          </w:tcPr>
          <w:p w:rsidR="00D429F6" w:rsidRPr="00B70950" w:rsidRDefault="00D429F6" w:rsidP="00AE09D6">
            <w:pPr>
              <w:pStyle w:val="Tabletext"/>
              <w:spacing w:before="40" w:after="40"/>
              <w:rPr>
                <w:szCs w:val="22"/>
              </w:rPr>
            </w:pPr>
            <w:proofErr w:type="spellStart"/>
            <w:r w:rsidRPr="00B70950">
              <w:rPr>
                <w:szCs w:val="22"/>
              </w:rPr>
              <w:t>Rescellement</w:t>
            </w:r>
            <w:proofErr w:type="spellEnd"/>
            <w:r w:rsidRPr="00B70950">
              <w:rPr>
                <w:szCs w:val="22"/>
              </w:rPr>
              <w:t xml:space="preserve"> des sous</w:t>
            </w:r>
            <w:r w:rsidRPr="00B70950">
              <w:rPr>
                <w:szCs w:val="22"/>
              </w:rPr>
              <w:noBreakHyphen/>
            </w:r>
            <w:proofErr w:type="gramStart"/>
            <w:r w:rsidRPr="00B70950">
              <w:rPr>
                <w:szCs w:val="22"/>
              </w:rPr>
              <w:t>sols;</w:t>
            </w:r>
            <w:proofErr w:type="gramEnd"/>
            <w:r w:rsidRPr="00B70950">
              <w:rPr>
                <w:szCs w:val="22"/>
              </w:rPr>
              <w:t xml:space="preserve"> travaux d</w:t>
            </w:r>
            <w:r w:rsidR="00126B99" w:rsidRPr="00B70950">
              <w:rPr>
                <w:szCs w:val="22"/>
              </w:rPr>
              <w:t>'</w:t>
            </w:r>
            <w:r w:rsidRPr="00B70950">
              <w:rPr>
                <w:szCs w:val="22"/>
              </w:rPr>
              <w:t>extérieur</w:t>
            </w:r>
          </w:p>
        </w:tc>
        <w:tc>
          <w:tcPr>
            <w:tcW w:w="1588" w:type="dxa"/>
          </w:tcPr>
          <w:p w:rsidR="00D429F6" w:rsidRPr="00B70950" w:rsidRDefault="00D429F6" w:rsidP="005932E2">
            <w:pPr>
              <w:pStyle w:val="Tabletext"/>
              <w:spacing w:before="40" w:after="40"/>
              <w:jc w:val="center"/>
              <w:rPr>
                <w:szCs w:val="22"/>
              </w:rPr>
            </w:pPr>
            <w:r w:rsidRPr="00B70950">
              <w:rPr>
                <w:szCs w:val="22"/>
              </w:rPr>
              <w:t>0,5</w:t>
            </w:r>
          </w:p>
        </w:tc>
        <w:tc>
          <w:tcPr>
            <w:tcW w:w="4423" w:type="dxa"/>
          </w:tcPr>
          <w:p w:rsidR="00D429F6" w:rsidRPr="00B70950" w:rsidRDefault="00D429F6" w:rsidP="005932E2">
            <w:pPr>
              <w:pStyle w:val="Tabletext"/>
              <w:spacing w:before="40" w:after="40"/>
              <w:rPr>
                <w:szCs w:val="22"/>
              </w:rPr>
            </w:pPr>
          </w:p>
        </w:tc>
      </w:tr>
      <w:tr w:rsidR="00D429F6" w:rsidRPr="00B70950" w:rsidTr="00EA073B">
        <w:trPr>
          <w:jc w:val="center"/>
        </w:trPr>
        <w:tc>
          <w:tcPr>
            <w:tcW w:w="2552" w:type="dxa"/>
          </w:tcPr>
          <w:p w:rsidR="00D429F6" w:rsidRPr="00B70950" w:rsidRDefault="00D429F6" w:rsidP="00AE09D6">
            <w:pPr>
              <w:pStyle w:val="Tabletext"/>
              <w:spacing w:before="40" w:after="40"/>
              <w:rPr>
                <w:szCs w:val="22"/>
              </w:rPr>
            </w:pPr>
            <w:r w:rsidRPr="00B70950">
              <w:rPr>
                <w:szCs w:val="22"/>
              </w:rPr>
              <w:t>Remplacement des installations sanitaires</w:t>
            </w:r>
          </w:p>
        </w:tc>
        <w:tc>
          <w:tcPr>
            <w:tcW w:w="1588" w:type="dxa"/>
          </w:tcPr>
          <w:p w:rsidR="00D429F6" w:rsidRPr="00B70950" w:rsidRDefault="00D429F6" w:rsidP="005932E2">
            <w:pPr>
              <w:pStyle w:val="Tabletext"/>
              <w:spacing w:before="40" w:after="40"/>
              <w:jc w:val="center"/>
              <w:rPr>
                <w:szCs w:val="22"/>
              </w:rPr>
            </w:pPr>
            <w:r w:rsidRPr="00B70950">
              <w:rPr>
                <w:szCs w:val="22"/>
              </w:rPr>
              <w:t>2</w:t>
            </w:r>
          </w:p>
        </w:tc>
        <w:tc>
          <w:tcPr>
            <w:tcW w:w="4423" w:type="dxa"/>
          </w:tcPr>
          <w:p w:rsidR="00D429F6" w:rsidRPr="00B70950" w:rsidRDefault="00D429F6" w:rsidP="005932E2">
            <w:pPr>
              <w:pStyle w:val="Tabletext"/>
              <w:spacing w:before="40" w:after="40"/>
              <w:rPr>
                <w:szCs w:val="22"/>
              </w:rPr>
            </w:pPr>
          </w:p>
        </w:tc>
      </w:tr>
      <w:tr w:rsidR="00D429F6" w:rsidRPr="00B70950" w:rsidTr="00EA073B">
        <w:trPr>
          <w:jc w:val="center"/>
        </w:trPr>
        <w:tc>
          <w:tcPr>
            <w:tcW w:w="2552" w:type="dxa"/>
          </w:tcPr>
          <w:p w:rsidR="00D429F6" w:rsidRPr="00B70950" w:rsidRDefault="00D429F6" w:rsidP="00AE09D6">
            <w:pPr>
              <w:pStyle w:val="Tabletext"/>
              <w:spacing w:before="40" w:after="40"/>
              <w:rPr>
                <w:szCs w:val="22"/>
              </w:rPr>
            </w:pPr>
            <w:r w:rsidRPr="00B70950">
              <w:rPr>
                <w:szCs w:val="22"/>
              </w:rPr>
              <w:t>Remplacement des systèmes de chauffage/réfrigération électriques centralisés</w:t>
            </w:r>
          </w:p>
        </w:tc>
        <w:tc>
          <w:tcPr>
            <w:tcW w:w="1588" w:type="dxa"/>
          </w:tcPr>
          <w:p w:rsidR="00D429F6" w:rsidRPr="00B70950" w:rsidRDefault="00D429F6" w:rsidP="005932E2">
            <w:pPr>
              <w:pStyle w:val="Tabletext"/>
              <w:spacing w:before="40" w:after="40"/>
              <w:jc w:val="center"/>
              <w:rPr>
                <w:szCs w:val="22"/>
              </w:rPr>
            </w:pPr>
            <w:r w:rsidRPr="00B70950">
              <w:rPr>
                <w:szCs w:val="22"/>
              </w:rPr>
              <w:t>1</w:t>
            </w:r>
          </w:p>
        </w:tc>
        <w:tc>
          <w:tcPr>
            <w:tcW w:w="4423" w:type="dxa"/>
          </w:tcPr>
          <w:p w:rsidR="00D429F6" w:rsidRPr="00B70950" w:rsidRDefault="00D429F6" w:rsidP="005932E2">
            <w:pPr>
              <w:pStyle w:val="Tabletext"/>
              <w:spacing w:before="40" w:after="40"/>
              <w:rPr>
                <w:szCs w:val="22"/>
              </w:rPr>
            </w:pPr>
          </w:p>
        </w:tc>
      </w:tr>
      <w:tr w:rsidR="00D429F6" w:rsidRPr="00B70950" w:rsidTr="00EA073B">
        <w:trPr>
          <w:jc w:val="center"/>
        </w:trPr>
        <w:tc>
          <w:tcPr>
            <w:tcW w:w="2552" w:type="dxa"/>
          </w:tcPr>
          <w:p w:rsidR="00D429F6" w:rsidRPr="00B70950" w:rsidRDefault="00D429F6" w:rsidP="00AE09D6">
            <w:pPr>
              <w:pStyle w:val="Tabletext"/>
              <w:spacing w:before="40" w:after="40"/>
              <w:rPr>
                <w:szCs w:val="22"/>
              </w:rPr>
            </w:pPr>
            <w:r w:rsidRPr="00B70950">
              <w:rPr>
                <w:szCs w:val="22"/>
              </w:rPr>
              <w:lastRenderedPageBreak/>
              <w:t>Autres travaux concernant la sécurité incendie</w:t>
            </w:r>
          </w:p>
        </w:tc>
        <w:tc>
          <w:tcPr>
            <w:tcW w:w="1588" w:type="dxa"/>
          </w:tcPr>
          <w:p w:rsidR="00D429F6" w:rsidRPr="00B70950" w:rsidRDefault="00D429F6" w:rsidP="005932E2">
            <w:pPr>
              <w:pStyle w:val="Tabletext"/>
              <w:spacing w:before="40" w:after="40"/>
              <w:jc w:val="center"/>
              <w:rPr>
                <w:szCs w:val="22"/>
              </w:rPr>
            </w:pPr>
            <w:r w:rsidRPr="00B70950">
              <w:rPr>
                <w:szCs w:val="22"/>
              </w:rPr>
              <w:t>1</w:t>
            </w:r>
          </w:p>
        </w:tc>
        <w:tc>
          <w:tcPr>
            <w:tcW w:w="4423" w:type="dxa"/>
          </w:tcPr>
          <w:p w:rsidR="00D429F6" w:rsidRPr="00B70950" w:rsidRDefault="00D429F6" w:rsidP="00AE09D6">
            <w:pPr>
              <w:pStyle w:val="Tabletext"/>
              <w:spacing w:before="40" w:after="40"/>
              <w:rPr>
                <w:szCs w:val="22"/>
              </w:rPr>
            </w:pPr>
          </w:p>
        </w:tc>
      </w:tr>
      <w:tr w:rsidR="00D429F6" w:rsidRPr="00B70950" w:rsidTr="00EA073B">
        <w:trPr>
          <w:jc w:val="center"/>
        </w:trPr>
        <w:tc>
          <w:tcPr>
            <w:tcW w:w="2552" w:type="dxa"/>
          </w:tcPr>
          <w:p w:rsidR="00D429F6" w:rsidRPr="00B70950" w:rsidRDefault="00D429F6" w:rsidP="00AE09D6">
            <w:pPr>
              <w:pStyle w:val="Tabletext"/>
              <w:spacing w:before="40" w:after="40"/>
              <w:rPr>
                <w:szCs w:val="22"/>
              </w:rPr>
            </w:pPr>
            <w:r w:rsidRPr="00B70950">
              <w:rPr>
                <w:szCs w:val="22"/>
              </w:rPr>
              <w:t>Autres travaux concernant l</w:t>
            </w:r>
            <w:r w:rsidR="00126B99" w:rsidRPr="00B70950">
              <w:rPr>
                <w:szCs w:val="22"/>
              </w:rPr>
              <w:t>'</w:t>
            </w:r>
            <w:r w:rsidRPr="00B70950">
              <w:rPr>
                <w:szCs w:val="22"/>
              </w:rPr>
              <w:t>accessibilité</w:t>
            </w:r>
          </w:p>
        </w:tc>
        <w:tc>
          <w:tcPr>
            <w:tcW w:w="1588" w:type="dxa"/>
          </w:tcPr>
          <w:p w:rsidR="00D429F6" w:rsidRPr="00B70950" w:rsidRDefault="00D429F6" w:rsidP="005932E2">
            <w:pPr>
              <w:pStyle w:val="Tabletext"/>
              <w:spacing w:before="40" w:after="40"/>
              <w:jc w:val="center"/>
              <w:rPr>
                <w:szCs w:val="22"/>
              </w:rPr>
            </w:pPr>
            <w:r w:rsidRPr="00B70950">
              <w:rPr>
                <w:szCs w:val="22"/>
              </w:rPr>
              <w:t>1</w:t>
            </w:r>
          </w:p>
        </w:tc>
        <w:tc>
          <w:tcPr>
            <w:tcW w:w="4423" w:type="dxa"/>
          </w:tcPr>
          <w:p w:rsidR="00D429F6" w:rsidRPr="00B70950" w:rsidRDefault="00D429F6" w:rsidP="00AE09D6">
            <w:pPr>
              <w:pStyle w:val="Tabletext"/>
              <w:spacing w:before="40" w:after="40"/>
              <w:rPr>
                <w:szCs w:val="22"/>
              </w:rPr>
            </w:pPr>
          </w:p>
        </w:tc>
      </w:tr>
      <w:tr w:rsidR="00D429F6" w:rsidRPr="00B70950" w:rsidTr="00EA073B">
        <w:trPr>
          <w:jc w:val="center"/>
        </w:trPr>
        <w:tc>
          <w:tcPr>
            <w:tcW w:w="2552" w:type="dxa"/>
            <w:tcBorders>
              <w:bottom w:val="single" w:sz="4" w:space="0" w:color="auto"/>
            </w:tcBorders>
          </w:tcPr>
          <w:p w:rsidR="00D429F6" w:rsidRPr="00B70950" w:rsidRDefault="00D429F6" w:rsidP="00AE09D6">
            <w:pPr>
              <w:pStyle w:val="Tabletext"/>
              <w:spacing w:before="40" w:after="40"/>
              <w:rPr>
                <w:b/>
                <w:bCs/>
                <w:szCs w:val="22"/>
              </w:rPr>
            </w:pPr>
            <w:r w:rsidRPr="00B70950">
              <w:rPr>
                <w:b/>
                <w:bCs/>
                <w:szCs w:val="22"/>
              </w:rPr>
              <w:t xml:space="preserve">TOTAL </w:t>
            </w:r>
            <w:r w:rsidRPr="00B70950">
              <w:rPr>
                <w:bCs/>
                <w:szCs w:val="22"/>
              </w:rPr>
              <w:t>(</w:t>
            </w:r>
            <w:r w:rsidRPr="00B70950">
              <w:rPr>
                <w:bCs/>
                <w:szCs w:val="22"/>
              </w:rPr>
              <w:tab/>
              <w:t>arrondi)</w:t>
            </w:r>
          </w:p>
        </w:tc>
        <w:tc>
          <w:tcPr>
            <w:tcW w:w="1588" w:type="dxa"/>
            <w:tcBorders>
              <w:bottom w:val="single" w:sz="4" w:space="0" w:color="auto"/>
            </w:tcBorders>
          </w:tcPr>
          <w:p w:rsidR="00D429F6" w:rsidRPr="00B70950" w:rsidRDefault="00D429F6" w:rsidP="005932E2">
            <w:pPr>
              <w:pStyle w:val="Tabletext"/>
              <w:spacing w:before="40" w:after="40"/>
              <w:jc w:val="center"/>
              <w:rPr>
                <w:b/>
                <w:bCs/>
                <w:szCs w:val="22"/>
              </w:rPr>
            </w:pPr>
            <w:r w:rsidRPr="00B70950">
              <w:rPr>
                <w:b/>
                <w:bCs/>
                <w:szCs w:val="22"/>
              </w:rPr>
              <w:t>45</w:t>
            </w:r>
          </w:p>
        </w:tc>
        <w:tc>
          <w:tcPr>
            <w:tcW w:w="4423" w:type="dxa"/>
            <w:tcBorders>
              <w:bottom w:val="single" w:sz="4" w:space="0" w:color="auto"/>
            </w:tcBorders>
          </w:tcPr>
          <w:p w:rsidR="00D429F6" w:rsidRPr="00B70950" w:rsidRDefault="00D429F6" w:rsidP="00AE09D6">
            <w:pPr>
              <w:pStyle w:val="Tabletext"/>
              <w:spacing w:before="40" w:after="40"/>
              <w:rPr>
                <w:szCs w:val="22"/>
              </w:rPr>
            </w:pPr>
          </w:p>
        </w:tc>
      </w:tr>
      <w:tr w:rsidR="00D429F6" w:rsidRPr="00B70950" w:rsidTr="00EA073B">
        <w:trPr>
          <w:jc w:val="center"/>
        </w:trPr>
        <w:tc>
          <w:tcPr>
            <w:tcW w:w="8563" w:type="dxa"/>
            <w:gridSpan w:val="3"/>
            <w:tcBorders>
              <w:left w:val="nil"/>
              <w:bottom w:val="nil"/>
              <w:right w:val="nil"/>
            </w:tcBorders>
          </w:tcPr>
          <w:p w:rsidR="00D429F6" w:rsidRPr="00B70950" w:rsidRDefault="00D429F6" w:rsidP="00AE09D6">
            <w:pPr>
              <w:pStyle w:val="Tabletext"/>
              <w:spacing w:before="40" w:after="40"/>
              <w:rPr>
                <w:szCs w:val="22"/>
              </w:rPr>
            </w:pPr>
            <w:r w:rsidRPr="00B70950">
              <w:rPr>
                <w:szCs w:val="22"/>
              </w:rPr>
              <w:t>*MOSS = Normes minimales de sécurité opérationnelles (Minimum Operating Security Standards)</w:t>
            </w:r>
          </w:p>
        </w:tc>
      </w:tr>
    </w:tbl>
    <w:p w:rsidR="00D429F6" w:rsidRPr="00B70950" w:rsidRDefault="00D429F6" w:rsidP="00A47187">
      <w:pPr>
        <w:pStyle w:val="Headingb"/>
        <w:spacing w:before="240" w:after="120"/>
      </w:pPr>
      <w:r w:rsidRPr="00B70950">
        <w:t>Maintenance urgente de Varembé (bâtiment existant, avant démolition, période 2015-2024</w:t>
      </w:r>
      <w:proofErr w:type="gramStart"/>
      <w:r w:rsidRPr="00B70950">
        <w:t>):</w:t>
      </w:r>
      <w:proofErr w:type="gramEnd"/>
      <w:r w:rsidRPr="00B7095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57"/>
        <w:gridCol w:w="4423"/>
      </w:tblGrid>
      <w:tr w:rsidR="00D429F6" w:rsidRPr="00B70950" w:rsidTr="00EA073B">
        <w:trPr>
          <w:jc w:val="center"/>
        </w:trPr>
        <w:tc>
          <w:tcPr>
            <w:tcW w:w="2552" w:type="dxa"/>
          </w:tcPr>
          <w:p w:rsidR="00D429F6" w:rsidRPr="00B70950" w:rsidRDefault="00D429F6" w:rsidP="00AE09D6">
            <w:pPr>
              <w:pStyle w:val="Tablehead"/>
              <w:spacing w:before="40" w:after="40"/>
            </w:pPr>
            <w:r w:rsidRPr="00B70950">
              <w:t>Projet</w:t>
            </w:r>
          </w:p>
        </w:tc>
        <w:tc>
          <w:tcPr>
            <w:tcW w:w="1588" w:type="dxa"/>
          </w:tcPr>
          <w:p w:rsidR="00D429F6" w:rsidRPr="00B70950" w:rsidRDefault="00D429F6" w:rsidP="00AE09D6">
            <w:pPr>
              <w:pStyle w:val="Tablehead"/>
              <w:spacing w:before="40" w:after="40"/>
            </w:pPr>
            <w:r w:rsidRPr="00B70950">
              <w:t xml:space="preserve">Coût </w:t>
            </w:r>
            <w:r w:rsidRPr="00B70950">
              <w:br/>
              <w:t>(millions de CHF)</w:t>
            </w:r>
          </w:p>
        </w:tc>
        <w:tc>
          <w:tcPr>
            <w:tcW w:w="4423" w:type="dxa"/>
          </w:tcPr>
          <w:p w:rsidR="00D429F6" w:rsidRPr="00B70950" w:rsidRDefault="00D429F6" w:rsidP="00AE09D6">
            <w:pPr>
              <w:pStyle w:val="Tablehead"/>
              <w:spacing w:before="40" w:after="40"/>
            </w:pPr>
            <w:r w:rsidRPr="00B70950">
              <w:t>Observations</w:t>
            </w:r>
          </w:p>
        </w:tc>
      </w:tr>
      <w:tr w:rsidR="00D429F6" w:rsidRPr="00B70950" w:rsidTr="00EA073B">
        <w:trPr>
          <w:jc w:val="center"/>
        </w:trPr>
        <w:tc>
          <w:tcPr>
            <w:tcW w:w="2552" w:type="dxa"/>
          </w:tcPr>
          <w:p w:rsidR="00D429F6" w:rsidRPr="00B70950" w:rsidRDefault="00D429F6" w:rsidP="00AE09D6">
            <w:pPr>
              <w:pStyle w:val="Tabletext"/>
              <w:spacing w:before="40" w:after="40"/>
            </w:pPr>
            <w:r w:rsidRPr="00B70950">
              <w:t>Travaux urgents uniquement</w:t>
            </w:r>
          </w:p>
        </w:tc>
        <w:tc>
          <w:tcPr>
            <w:tcW w:w="1588" w:type="dxa"/>
          </w:tcPr>
          <w:p w:rsidR="00D429F6" w:rsidRPr="00B70950" w:rsidRDefault="00D429F6" w:rsidP="005932E2">
            <w:pPr>
              <w:pStyle w:val="Tabletext"/>
              <w:spacing w:before="40" w:after="40"/>
              <w:jc w:val="center"/>
            </w:pPr>
            <w:r w:rsidRPr="00B70950">
              <w:t>1</w:t>
            </w:r>
          </w:p>
        </w:tc>
        <w:tc>
          <w:tcPr>
            <w:tcW w:w="4423" w:type="dxa"/>
          </w:tcPr>
          <w:p w:rsidR="00D429F6" w:rsidRPr="00B70950" w:rsidRDefault="00D429F6" w:rsidP="00AE09D6">
            <w:pPr>
              <w:pStyle w:val="Tabletext"/>
              <w:spacing w:before="40" w:after="40"/>
            </w:pPr>
            <w:r w:rsidRPr="00B70950">
              <w:t xml:space="preserve">Travaux visant à assurer la continuité du service, financés au titre du projet Varembé II, compte tenu de la démolition du bâtiment existant une fois le nouveau </w:t>
            </w:r>
            <w:r w:rsidR="00EA073B" w:rsidRPr="00B70950">
              <w:t xml:space="preserve">bâtiment </w:t>
            </w:r>
            <w:r w:rsidRPr="00B70950">
              <w:t>mis en service.</w:t>
            </w:r>
          </w:p>
        </w:tc>
      </w:tr>
      <w:tr w:rsidR="00D429F6" w:rsidRPr="00B70950" w:rsidTr="00EA073B">
        <w:trPr>
          <w:jc w:val="center"/>
        </w:trPr>
        <w:tc>
          <w:tcPr>
            <w:tcW w:w="2552" w:type="dxa"/>
          </w:tcPr>
          <w:p w:rsidR="00D429F6" w:rsidRPr="00B70950" w:rsidRDefault="00D429F6" w:rsidP="00AE09D6">
            <w:pPr>
              <w:pStyle w:val="Tabletext"/>
              <w:spacing w:before="40" w:after="40"/>
              <w:rPr>
                <w:b/>
                <w:bCs/>
              </w:rPr>
            </w:pPr>
            <w:r w:rsidRPr="00B70950">
              <w:rPr>
                <w:b/>
                <w:bCs/>
              </w:rPr>
              <w:t xml:space="preserve">TOTAL </w:t>
            </w:r>
          </w:p>
        </w:tc>
        <w:tc>
          <w:tcPr>
            <w:tcW w:w="1588" w:type="dxa"/>
          </w:tcPr>
          <w:p w:rsidR="00D429F6" w:rsidRPr="00B70950" w:rsidRDefault="00D429F6" w:rsidP="005932E2">
            <w:pPr>
              <w:pStyle w:val="Tabletext"/>
              <w:spacing w:before="40" w:after="40"/>
              <w:jc w:val="center"/>
              <w:rPr>
                <w:b/>
                <w:bCs/>
              </w:rPr>
            </w:pPr>
            <w:r w:rsidRPr="00B70950">
              <w:rPr>
                <w:b/>
                <w:bCs/>
              </w:rPr>
              <w:t>1</w:t>
            </w:r>
          </w:p>
        </w:tc>
        <w:tc>
          <w:tcPr>
            <w:tcW w:w="4423" w:type="dxa"/>
          </w:tcPr>
          <w:p w:rsidR="00D429F6" w:rsidRPr="00B70950" w:rsidRDefault="00D429F6" w:rsidP="00AE09D6">
            <w:pPr>
              <w:pStyle w:val="Tabletext"/>
              <w:spacing w:before="40" w:after="40"/>
            </w:pPr>
          </w:p>
        </w:tc>
      </w:tr>
    </w:tbl>
    <w:p w:rsidR="00D429F6" w:rsidRPr="00B70950" w:rsidRDefault="00D429F6" w:rsidP="00A47187">
      <w:pPr>
        <w:pStyle w:val="Headingb"/>
        <w:spacing w:before="240" w:after="120"/>
      </w:pPr>
      <w:r w:rsidRPr="00B70950">
        <w:t>Synthèse des coûts associés à l</w:t>
      </w:r>
      <w:r w:rsidR="00126B99" w:rsidRPr="00B70950">
        <w:t>'</w:t>
      </w:r>
      <w:r w:rsidRPr="00B70950">
        <w:t>Option 1 pour l</w:t>
      </w:r>
      <w:r w:rsidR="00126B99" w:rsidRPr="00B70950">
        <w:t>'</w:t>
      </w:r>
      <w:r w:rsidRPr="00B70950">
        <w:t xml:space="preserve">ensemble du </w:t>
      </w:r>
      <w:proofErr w:type="gramStart"/>
      <w:r w:rsidRPr="00B70950">
        <w:t>siège:</w:t>
      </w:r>
      <w:proofErr w:type="gramEnd"/>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442"/>
        <w:gridCol w:w="1842"/>
        <w:gridCol w:w="4144"/>
      </w:tblGrid>
      <w:tr w:rsidR="00D429F6" w:rsidRPr="00B70950" w:rsidTr="00EA073B">
        <w:trPr>
          <w:jc w:val="center"/>
        </w:trPr>
        <w:tc>
          <w:tcPr>
            <w:tcW w:w="2381" w:type="dxa"/>
          </w:tcPr>
          <w:p w:rsidR="00D429F6" w:rsidRPr="00B70950" w:rsidRDefault="00D429F6" w:rsidP="00AE09D6">
            <w:pPr>
              <w:pStyle w:val="Tablehead"/>
              <w:spacing w:before="40" w:after="40"/>
            </w:pPr>
            <w:r w:rsidRPr="00B70950">
              <w:t>Bâtiment</w:t>
            </w:r>
          </w:p>
        </w:tc>
        <w:tc>
          <w:tcPr>
            <w:tcW w:w="1442" w:type="dxa"/>
          </w:tcPr>
          <w:p w:rsidR="00D429F6" w:rsidRPr="00B70950" w:rsidRDefault="00D429F6" w:rsidP="00AE09D6">
            <w:pPr>
              <w:pStyle w:val="Tablehead"/>
              <w:spacing w:before="40" w:after="40"/>
            </w:pPr>
          </w:p>
        </w:tc>
        <w:tc>
          <w:tcPr>
            <w:tcW w:w="1842" w:type="dxa"/>
          </w:tcPr>
          <w:p w:rsidR="00D429F6" w:rsidRPr="00B70950" w:rsidRDefault="00D429F6" w:rsidP="00AE09D6">
            <w:pPr>
              <w:pStyle w:val="Tablehead"/>
              <w:spacing w:before="40" w:after="40"/>
            </w:pPr>
            <w:r w:rsidRPr="00B70950">
              <w:t xml:space="preserve">Coût </w:t>
            </w:r>
            <w:r w:rsidRPr="00B70950">
              <w:br/>
              <w:t>(millions de CHF)</w:t>
            </w:r>
          </w:p>
        </w:tc>
        <w:tc>
          <w:tcPr>
            <w:tcW w:w="4144" w:type="dxa"/>
          </w:tcPr>
          <w:p w:rsidR="00D429F6" w:rsidRPr="00B70950" w:rsidRDefault="00D429F6" w:rsidP="00AE09D6">
            <w:pPr>
              <w:pStyle w:val="Tablehead"/>
              <w:spacing w:before="40" w:after="40"/>
            </w:pPr>
            <w:r w:rsidRPr="00B70950">
              <w:t>Observations</w:t>
            </w:r>
          </w:p>
        </w:tc>
      </w:tr>
      <w:tr w:rsidR="00D429F6" w:rsidRPr="00B70950" w:rsidTr="00EA073B">
        <w:trPr>
          <w:jc w:val="center"/>
        </w:trPr>
        <w:tc>
          <w:tcPr>
            <w:tcW w:w="2381" w:type="dxa"/>
          </w:tcPr>
          <w:p w:rsidR="00D429F6" w:rsidRPr="00B70950" w:rsidRDefault="00D429F6" w:rsidP="00AE09D6">
            <w:pPr>
              <w:pStyle w:val="Tabletext"/>
              <w:spacing w:before="40" w:after="40"/>
            </w:pPr>
            <w:r w:rsidRPr="00B70950">
              <w:t>Varembé II</w:t>
            </w:r>
          </w:p>
        </w:tc>
        <w:tc>
          <w:tcPr>
            <w:tcW w:w="1442" w:type="dxa"/>
          </w:tcPr>
          <w:p w:rsidR="00D429F6" w:rsidRPr="00B70950" w:rsidRDefault="00D429F6" w:rsidP="00AE09D6">
            <w:pPr>
              <w:pStyle w:val="Tabletext"/>
              <w:spacing w:before="40" w:after="40"/>
            </w:pPr>
            <w:r w:rsidRPr="00B70950">
              <w:t xml:space="preserve">Construction </w:t>
            </w:r>
          </w:p>
        </w:tc>
        <w:tc>
          <w:tcPr>
            <w:tcW w:w="1842" w:type="dxa"/>
          </w:tcPr>
          <w:p w:rsidR="00D429F6" w:rsidRPr="00B70950" w:rsidRDefault="00D429F6" w:rsidP="005932E2">
            <w:pPr>
              <w:pStyle w:val="Tabletext"/>
              <w:spacing w:before="40" w:after="40"/>
              <w:jc w:val="center"/>
            </w:pPr>
            <w:r w:rsidRPr="00B70950">
              <w:t>150</w:t>
            </w:r>
          </w:p>
        </w:tc>
        <w:tc>
          <w:tcPr>
            <w:tcW w:w="4144" w:type="dxa"/>
          </w:tcPr>
          <w:p w:rsidR="00D429F6" w:rsidRPr="00B70950" w:rsidRDefault="00D429F6" w:rsidP="00AE09D6">
            <w:pPr>
              <w:pStyle w:val="Tabletext"/>
              <w:spacing w:before="40" w:after="40"/>
            </w:pPr>
            <w:r w:rsidRPr="00B70950">
              <w:t>Construction en 2021, coûts estimés de relogement du personnel et de démolition de Varembé inclus.</w:t>
            </w:r>
          </w:p>
        </w:tc>
      </w:tr>
      <w:tr w:rsidR="00D429F6" w:rsidRPr="00B70950" w:rsidTr="00EA073B">
        <w:trPr>
          <w:jc w:val="center"/>
        </w:trPr>
        <w:tc>
          <w:tcPr>
            <w:tcW w:w="2381" w:type="dxa"/>
          </w:tcPr>
          <w:p w:rsidR="00D429F6" w:rsidRPr="00B70950" w:rsidRDefault="00D429F6" w:rsidP="00AE09D6">
            <w:pPr>
              <w:pStyle w:val="Tabletext"/>
              <w:spacing w:before="40" w:after="40"/>
            </w:pPr>
            <w:proofErr w:type="spellStart"/>
            <w:r w:rsidRPr="00B70950">
              <w:t>Montbrillant</w:t>
            </w:r>
            <w:proofErr w:type="spellEnd"/>
          </w:p>
        </w:tc>
        <w:tc>
          <w:tcPr>
            <w:tcW w:w="1442" w:type="dxa"/>
          </w:tcPr>
          <w:p w:rsidR="00D429F6" w:rsidRPr="00B70950" w:rsidRDefault="00D429F6" w:rsidP="00AE09D6">
            <w:pPr>
              <w:pStyle w:val="Tabletext"/>
              <w:spacing w:before="40" w:after="40"/>
            </w:pPr>
          </w:p>
        </w:tc>
        <w:tc>
          <w:tcPr>
            <w:tcW w:w="1842" w:type="dxa"/>
          </w:tcPr>
          <w:p w:rsidR="00D429F6" w:rsidRPr="00B70950" w:rsidRDefault="00D429F6" w:rsidP="005932E2">
            <w:pPr>
              <w:pStyle w:val="Tabletext"/>
              <w:spacing w:before="40" w:after="40"/>
              <w:jc w:val="center"/>
            </w:pPr>
            <w:r w:rsidRPr="00B70950">
              <w:t>4</w:t>
            </w:r>
          </w:p>
        </w:tc>
        <w:tc>
          <w:tcPr>
            <w:tcW w:w="4144" w:type="dxa"/>
          </w:tcPr>
          <w:p w:rsidR="00D429F6" w:rsidRPr="00B70950" w:rsidRDefault="00D429F6" w:rsidP="00AE09D6">
            <w:pPr>
              <w:pStyle w:val="Tabletext"/>
              <w:spacing w:before="40" w:after="40"/>
            </w:pPr>
          </w:p>
        </w:tc>
      </w:tr>
      <w:tr w:rsidR="00D429F6" w:rsidRPr="00B70950" w:rsidTr="00EA073B">
        <w:trPr>
          <w:jc w:val="center"/>
        </w:trPr>
        <w:tc>
          <w:tcPr>
            <w:tcW w:w="2381" w:type="dxa"/>
          </w:tcPr>
          <w:p w:rsidR="00D429F6" w:rsidRPr="00B70950" w:rsidRDefault="00D429F6" w:rsidP="00AE09D6">
            <w:pPr>
              <w:pStyle w:val="Tabletext"/>
              <w:spacing w:before="40" w:after="40"/>
            </w:pPr>
            <w:r w:rsidRPr="00B70950">
              <w:t>Tour</w:t>
            </w:r>
          </w:p>
        </w:tc>
        <w:tc>
          <w:tcPr>
            <w:tcW w:w="1442" w:type="dxa"/>
          </w:tcPr>
          <w:p w:rsidR="00D429F6" w:rsidRPr="00B70950" w:rsidRDefault="00D429F6" w:rsidP="00AE09D6">
            <w:pPr>
              <w:pStyle w:val="Tabletext"/>
              <w:spacing w:before="40" w:after="40"/>
            </w:pPr>
          </w:p>
        </w:tc>
        <w:tc>
          <w:tcPr>
            <w:tcW w:w="1842" w:type="dxa"/>
          </w:tcPr>
          <w:p w:rsidR="00D429F6" w:rsidRPr="00B70950" w:rsidRDefault="00D429F6" w:rsidP="005932E2">
            <w:pPr>
              <w:pStyle w:val="Tabletext"/>
              <w:spacing w:before="40" w:after="40"/>
              <w:jc w:val="center"/>
            </w:pPr>
            <w:r w:rsidRPr="00B70950">
              <w:t>45</w:t>
            </w:r>
          </w:p>
        </w:tc>
        <w:tc>
          <w:tcPr>
            <w:tcW w:w="4144" w:type="dxa"/>
          </w:tcPr>
          <w:p w:rsidR="00D429F6" w:rsidRPr="00B70950" w:rsidRDefault="00D429F6" w:rsidP="00AE09D6">
            <w:pPr>
              <w:pStyle w:val="Tabletext"/>
              <w:spacing w:before="40" w:after="40"/>
            </w:pPr>
          </w:p>
        </w:tc>
      </w:tr>
      <w:tr w:rsidR="00D429F6" w:rsidRPr="00B70950" w:rsidTr="00EA073B">
        <w:trPr>
          <w:jc w:val="center"/>
        </w:trPr>
        <w:tc>
          <w:tcPr>
            <w:tcW w:w="2381" w:type="dxa"/>
          </w:tcPr>
          <w:p w:rsidR="00D429F6" w:rsidRPr="00B70950" w:rsidRDefault="00D429F6" w:rsidP="00AE09D6">
            <w:pPr>
              <w:pStyle w:val="Tabletext"/>
              <w:spacing w:before="40" w:after="40"/>
            </w:pPr>
            <w:r w:rsidRPr="00B70950">
              <w:t>Varembé</w:t>
            </w:r>
          </w:p>
        </w:tc>
        <w:tc>
          <w:tcPr>
            <w:tcW w:w="1442" w:type="dxa"/>
          </w:tcPr>
          <w:p w:rsidR="00D429F6" w:rsidRPr="00B70950" w:rsidRDefault="00D429F6" w:rsidP="00AE09D6">
            <w:pPr>
              <w:pStyle w:val="Tabletext"/>
              <w:spacing w:before="40" w:after="40"/>
            </w:pPr>
          </w:p>
        </w:tc>
        <w:tc>
          <w:tcPr>
            <w:tcW w:w="1842" w:type="dxa"/>
          </w:tcPr>
          <w:p w:rsidR="00D429F6" w:rsidRPr="00B70950" w:rsidRDefault="00D429F6" w:rsidP="005932E2">
            <w:pPr>
              <w:pStyle w:val="Tabletext"/>
              <w:spacing w:before="40" w:after="40"/>
              <w:jc w:val="center"/>
            </w:pPr>
            <w:r w:rsidRPr="00B70950">
              <w:t>1</w:t>
            </w:r>
          </w:p>
        </w:tc>
        <w:tc>
          <w:tcPr>
            <w:tcW w:w="4144" w:type="dxa"/>
          </w:tcPr>
          <w:p w:rsidR="00D429F6" w:rsidRPr="00B70950" w:rsidRDefault="00D429F6" w:rsidP="00AE09D6">
            <w:pPr>
              <w:pStyle w:val="Tabletext"/>
              <w:spacing w:before="40" w:after="40"/>
            </w:pPr>
            <w:r w:rsidRPr="00B70950">
              <w:t>Destruction en 2021.</w:t>
            </w:r>
          </w:p>
        </w:tc>
      </w:tr>
      <w:tr w:rsidR="00D429F6" w:rsidRPr="00B70950" w:rsidTr="00EA073B">
        <w:trPr>
          <w:jc w:val="center"/>
        </w:trPr>
        <w:tc>
          <w:tcPr>
            <w:tcW w:w="2381" w:type="dxa"/>
          </w:tcPr>
          <w:p w:rsidR="00D429F6" w:rsidRPr="00B70950" w:rsidRDefault="00D429F6" w:rsidP="00AE09D6">
            <w:pPr>
              <w:pStyle w:val="Tabletext"/>
              <w:spacing w:before="40" w:after="40"/>
              <w:rPr>
                <w:i/>
              </w:rPr>
            </w:pPr>
            <w:r w:rsidRPr="00B70950">
              <w:rPr>
                <w:i/>
              </w:rPr>
              <w:t>Charges financières</w:t>
            </w:r>
          </w:p>
        </w:tc>
        <w:tc>
          <w:tcPr>
            <w:tcW w:w="1442" w:type="dxa"/>
          </w:tcPr>
          <w:p w:rsidR="00D429F6" w:rsidRPr="00B70950" w:rsidRDefault="00D429F6" w:rsidP="00AE09D6">
            <w:pPr>
              <w:pStyle w:val="Tabletext"/>
              <w:spacing w:before="40" w:after="40"/>
            </w:pPr>
          </w:p>
        </w:tc>
        <w:tc>
          <w:tcPr>
            <w:tcW w:w="1842" w:type="dxa"/>
          </w:tcPr>
          <w:p w:rsidR="00D429F6" w:rsidRPr="00B70950" w:rsidRDefault="000F4849" w:rsidP="005932E2">
            <w:pPr>
              <w:pStyle w:val="Tabletext"/>
              <w:spacing w:before="40" w:after="40"/>
              <w:jc w:val="center"/>
            </w:pPr>
            <w:r w:rsidRPr="00B70950">
              <w:t>11,25</w:t>
            </w:r>
          </w:p>
        </w:tc>
        <w:tc>
          <w:tcPr>
            <w:tcW w:w="4144" w:type="dxa"/>
          </w:tcPr>
          <w:p w:rsidR="00D429F6" w:rsidRPr="00B70950" w:rsidRDefault="00D429F6" w:rsidP="00AE09D6">
            <w:pPr>
              <w:pStyle w:val="Tabletext"/>
              <w:spacing w:before="40" w:after="40"/>
              <w:rPr>
                <w:i/>
              </w:rPr>
            </w:pPr>
            <w:r w:rsidRPr="00B70950">
              <w:rPr>
                <w:i/>
              </w:rPr>
              <w:t>Intérêts cumulés sur les prêts.</w:t>
            </w:r>
          </w:p>
        </w:tc>
      </w:tr>
      <w:tr w:rsidR="00D429F6" w:rsidRPr="00B70950" w:rsidTr="00EA073B">
        <w:trPr>
          <w:jc w:val="center"/>
        </w:trPr>
        <w:tc>
          <w:tcPr>
            <w:tcW w:w="2381" w:type="dxa"/>
          </w:tcPr>
          <w:p w:rsidR="00D429F6" w:rsidRPr="00B70950" w:rsidRDefault="00D429F6" w:rsidP="00AE09D6">
            <w:pPr>
              <w:pStyle w:val="Tabletext"/>
              <w:spacing w:before="40" w:after="40"/>
              <w:rPr>
                <w:b/>
              </w:rPr>
            </w:pPr>
            <w:r w:rsidRPr="00B70950">
              <w:rPr>
                <w:b/>
              </w:rPr>
              <w:t>TOTAL</w:t>
            </w:r>
          </w:p>
        </w:tc>
        <w:tc>
          <w:tcPr>
            <w:tcW w:w="1442" w:type="dxa"/>
          </w:tcPr>
          <w:p w:rsidR="00D429F6" w:rsidRPr="00B70950" w:rsidRDefault="00D429F6" w:rsidP="00AE09D6">
            <w:pPr>
              <w:pStyle w:val="Tabletext"/>
              <w:spacing w:before="40" w:after="40"/>
              <w:rPr>
                <w:b/>
              </w:rPr>
            </w:pPr>
          </w:p>
        </w:tc>
        <w:tc>
          <w:tcPr>
            <w:tcW w:w="1842" w:type="dxa"/>
          </w:tcPr>
          <w:p w:rsidR="00D429F6" w:rsidRPr="00B70950" w:rsidRDefault="00D429F6" w:rsidP="005932E2">
            <w:pPr>
              <w:pStyle w:val="Tabletext"/>
              <w:spacing w:before="40" w:after="40"/>
              <w:jc w:val="center"/>
              <w:rPr>
                <w:b/>
              </w:rPr>
            </w:pPr>
            <w:r w:rsidRPr="00B70950">
              <w:rPr>
                <w:b/>
              </w:rPr>
              <w:t>2</w:t>
            </w:r>
            <w:r w:rsidR="000F4849" w:rsidRPr="00B70950">
              <w:rPr>
                <w:b/>
              </w:rPr>
              <w:t>11,25</w:t>
            </w:r>
          </w:p>
        </w:tc>
        <w:tc>
          <w:tcPr>
            <w:tcW w:w="4144" w:type="dxa"/>
          </w:tcPr>
          <w:p w:rsidR="00D429F6" w:rsidRPr="00B70950" w:rsidRDefault="00D429F6" w:rsidP="00AE09D6">
            <w:pPr>
              <w:pStyle w:val="Tabletext"/>
              <w:spacing w:before="40" w:after="40"/>
              <w:rPr>
                <w:b/>
              </w:rPr>
            </w:pPr>
          </w:p>
        </w:tc>
      </w:tr>
    </w:tbl>
    <w:p w:rsidR="00D429F6" w:rsidRPr="00B70950" w:rsidRDefault="00D429F6" w:rsidP="00AA0684"/>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577"/>
        <w:gridCol w:w="1687"/>
        <w:gridCol w:w="4155"/>
      </w:tblGrid>
      <w:tr w:rsidR="00D429F6" w:rsidRPr="00B70950" w:rsidTr="00EA073B">
        <w:trPr>
          <w:jc w:val="center"/>
        </w:trPr>
        <w:tc>
          <w:tcPr>
            <w:tcW w:w="2305" w:type="dxa"/>
          </w:tcPr>
          <w:p w:rsidR="00D429F6" w:rsidRPr="00B70950" w:rsidRDefault="00D429F6" w:rsidP="007F1941">
            <w:pPr>
              <w:pStyle w:val="Tabletext"/>
            </w:pPr>
            <w:r w:rsidRPr="00B70950">
              <w:t>Tous les bâtiments</w:t>
            </w:r>
          </w:p>
        </w:tc>
        <w:tc>
          <w:tcPr>
            <w:tcW w:w="1577" w:type="dxa"/>
          </w:tcPr>
          <w:p w:rsidR="00D429F6" w:rsidRPr="00B70950" w:rsidRDefault="00D429F6" w:rsidP="007F1941">
            <w:pPr>
              <w:pStyle w:val="Tabletext"/>
            </w:pPr>
            <w:r w:rsidRPr="00B70950">
              <w:t>Coût total annuel</w:t>
            </w:r>
          </w:p>
        </w:tc>
        <w:tc>
          <w:tcPr>
            <w:tcW w:w="1687" w:type="dxa"/>
          </w:tcPr>
          <w:p w:rsidR="00D429F6" w:rsidRPr="00B70950" w:rsidRDefault="000F4849" w:rsidP="005932E2">
            <w:pPr>
              <w:pStyle w:val="Tabletext"/>
              <w:jc w:val="center"/>
            </w:pPr>
            <w:r w:rsidRPr="00B70950">
              <w:t>5,1</w:t>
            </w:r>
            <w:r w:rsidR="00D429F6" w:rsidRPr="00B70950">
              <w:t xml:space="preserve"> par an</w:t>
            </w:r>
          </w:p>
        </w:tc>
        <w:tc>
          <w:tcPr>
            <w:tcW w:w="4155" w:type="dxa"/>
          </w:tcPr>
          <w:p w:rsidR="00D429F6" w:rsidRPr="00B70950" w:rsidRDefault="00126B99" w:rsidP="00F103FD">
            <w:pPr>
              <w:pStyle w:val="Tabletext"/>
              <w:tabs>
                <w:tab w:val="left" w:pos="395"/>
              </w:tabs>
              <w:ind w:left="395" w:hanging="395"/>
              <w:rPr>
                <w:szCs w:val="22"/>
              </w:rPr>
            </w:pPr>
            <w:r w:rsidRPr="00B70950">
              <w:rPr>
                <w:szCs w:val="22"/>
              </w:rPr>
              <w:t>–</w:t>
            </w:r>
            <w:r w:rsidRPr="00B70950">
              <w:rPr>
                <w:szCs w:val="22"/>
              </w:rPr>
              <w:tab/>
            </w:r>
            <w:r w:rsidR="00D429F6" w:rsidRPr="00B70950">
              <w:rPr>
                <w:szCs w:val="22"/>
              </w:rPr>
              <w:t xml:space="preserve">3 millions CHF par an pendant 50 ans à compter de 2021 pour le nouveau </w:t>
            </w:r>
            <w:proofErr w:type="gramStart"/>
            <w:r w:rsidR="00D429F6" w:rsidRPr="00B70950">
              <w:rPr>
                <w:szCs w:val="22"/>
              </w:rPr>
              <w:t>bâtiment;</w:t>
            </w:r>
            <w:proofErr w:type="gramEnd"/>
          </w:p>
          <w:p w:rsidR="00D429F6" w:rsidRPr="00B70950" w:rsidRDefault="00126B99" w:rsidP="00F103FD">
            <w:pPr>
              <w:pStyle w:val="Tabletext"/>
              <w:tabs>
                <w:tab w:val="left" w:pos="395"/>
              </w:tabs>
              <w:ind w:left="395" w:hanging="395"/>
            </w:pPr>
            <w:r w:rsidRPr="00B70950">
              <w:rPr>
                <w:szCs w:val="22"/>
              </w:rPr>
              <w:t>–</w:t>
            </w:r>
            <w:r w:rsidRPr="00B70950">
              <w:rPr>
                <w:szCs w:val="22"/>
              </w:rPr>
              <w:tab/>
            </w:r>
            <w:r w:rsidR="00D429F6" w:rsidRPr="00B70950">
              <w:rPr>
                <w:szCs w:val="22"/>
              </w:rPr>
              <w:t>1,7 million CHF par an pendant 30 ans, plus des intérêts de 0,</w:t>
            </w:r>
            <w:r w:rsidR="00CA459F" w:rsidRPr="00B70950">
              <w:rPr>
                <w:szCs w:val="22"/>
              </w:rPr>
              <w:t>4</w:t>
            </w:r>
            <w:r w:rsidR="00D429F6" w:rsidRPr="00B70950">
              <w:rPr>
                <w:szCs w:val="22"/>
              </w:rPr>
              <w:t xml:space="preserve"> million CHF </w:t>
            </w:r>
            <w:r w:rsidR="00C227C8" w:rsidRPr="00B70950">
              <w:rPr>
                <w:szCs w:val="22"/>
              </w:rPr>
              <w:t xml:space="preserve">en moyenne </w:t>
            </w:r>
            <w:r w:rsidR="00D429F6" w:rsidRPr="00B70950">
              <w:rPr>
                <w:szCs w:val="22"/>
              </w:rPr>
              <w:t xml:space="preserve">à partir de 2025 (date possible) pour les rénovations de la Tour et de </w:t>
            </w:r>
            <w:proofErr w:type="spellStart"/>
            <w:r w:rsidR="00D429F6" w:rsidRPr="00B70950">
              <w:rPr>
                <w:szCs w:val="22"/>
              </w:rPr>
              <w:t>Montbrillant</w:t>
            </w:r>
            <w:proofErr w:type="spellEnd"/>
            <w:r w:rsidR="00D429F6" w:rsidRPr="00B70950">
              <w:rPr>
                <w:szCs w:val="22"/>
              </w:rPr>
              <w:t>.</w:t>
            </w:r>
          </w:p>
        </w:tc>
      </w:tr>
    </w:tbl>
    <w:p w:rsidR="00D429F6" w:rsidRPr="00B70950" w:rsidRDefault="00D429F6" w:rsidP="00AA0684"/>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604"/>
        <w:gridCol w:w="1675"/>
        <w:gridCol w:w="4081"/>
      </w:tblGrid>
      <w:tr w:rsidR="00D429F6" w:rsidRPr="00B70950" w:rsidTr="00EA073B">
        <w:trPr>
          <w:jc w:val="center"/>
        </w:trPr>
        <w:tc>
          <w:tcPr>
            <w:tcW w:w="2336" w:type="dxa"/>
          </w:tcPr>
          <w:p w:rsidR="00D429F6" w:rsidRPr="00B70950" w:rsidRDefault="00D429F6" w:rsidP="007F1941">
            <w:pPr>
              <w:pStyle w:val="Tabletext"/>
            </w:pPr>
            <w:r w:rsidRPr="00B70950">
              <w:t>Tous les bâtiments</w:t>
            </w:r>
          </w:p>
        </w:tc>
        <w:tc>
          <w:tcPr>
            <w:tcW w:w="1604" w:type="dxa"/>
          </w:tcPr>
          <w:p w:rsidR="00D429F6" w:rsidRPr="00B70950" w:rsidRDefault="00D429F6" w:rsidP="007F1941">
            <w:pPr>
              <w:pStyle w:val="Tabletext"/>
            </w:pPr>
            <w:r w:rsidRPr="00B70950">
              <w:t>Maintenance à long terme</w:t>
            </w:r>
          </w:p>
        </w:tc>
        <w:tc>
          <w:tcPr>
            <w:tcW w:w="1675" w:type="dxa"/>
          </w:tcPr>
          <w:p w:rsidR="00D429F6" w:rsidRPr="00B70950" w:rsidRDefault="00D429F6" w:rsidP="00DF5811">
            <w:pPr>
              <w:pStyle w:val="Tabletext"/>
              <w:jc w:val="center"/>
            </w:pPr>
            <w:r w:rsidRPr="00B70950">
              <w:t>2,5 par an</w:t>
            </w:r>
          </w:p>
        </w:tc>
        <w:tc>
          <w:tcPr>
            <w:tcW w:w="4081" w:type="dxa"/>
          </w:tcPr>
          <w:p w:rsidR="00D429F6" w:rsidRPr="00B70950" w:rsidRDefault="00D429F6" w:rsidP="007F1941">
            <w:pPr>
              <w:pStyle w:val="Tabletext"/>
            </w:pPr>
            <w:r w:rsidRPr="00B70950">
              <w:t>1% de la valeur d</w:t>
            </w:r>
            <w:r w:rsidR="00126B99" w:rsidRPr="00B70950">
              <w:t>'</w:t>
            </w:r>
            <w:r w:rsidRPr="00B70950">
              <w:t>assurance incendie par an.</w:t>
            </w:r>
          </w:p>
        </w:tc>
      </w:tr>
    </w:tbl>
    <w:p w:rsidR="00D429F6" w:rsidRPr="00B70950" w:rsidRDefault="00D429F6" w:rsidP="00097041">
      <w:pPr>
        <w:pStyle w:val="Normalaftertitle"/>
        <w:keepNext/>
        <w:keepLines/>
      </w:pPr>
      <w:r w:rsidRPr="00B70950">
        <w:lastRenderedPageBreak/>
        <w:t>5.17</w:t>
      </w:r>
      <w:r w:rsidRPr="00B70950">
        <w:tab/>
        <w:t xml:space="preserve">L'Option 1 comporterait également les incidences </w:t>
      </w:r>
      <w:proofErr w:type="gramStart"/>
      <w:r w:rsidRPr="00B70950">
        <w:t>suivantes:</w:t>
      </w:r>
      <w:proofErr w:type="gramEnd"/>
    </w:p>
    <w:p w:rsidR="00D429F6" w:rsidRPr="00B70950" w:rsidRDefault="00D429F6" w:rsidP="007F1941">
      <w:pPr>
        <w:pStyle w:val="enumlev1"/>
      </w:pPr>
      <w:r w:rsidRPr="00B70950">
        <w:t>–</w:t>
      </w:r>
      <w:r w:rsidRPr="00B70950">
        <w:tab/>
        <w:t>une possible appréciation des immobilisations corporelles (du fait d</w:t>
      </w:r>
      <w:r w:rsidR="00126B99" w:rsidRPr="00B70950">
        <w:t>'</w:t>
      </w:r>
      <w:r w:rsidRPr="00B70950">
        <w:t>une réévaluation du nouveau bâtiment</w:t>
      </w:r>
      <w:proofErr w:type="gramStart"/>
      <w:r w:rsidRPr="00B70950">
        <w:t>);</w:t>
      </w:r>
      <w:proofErr w:type="gramEnd"/>
    </w:p>
    <w:p w:rsidR="00D429F6" w:rsidRPr="00B70950" w:rsidRDefault="00D429F6" w:rsidP="007F1941">
      <w:pPr>
        <w:pStyle w:val="enumlev1"/>
      </w:pPr>
      <w:r w:rsidRPr="00B70950">
        <w:t>–</w:t>
      </w:r>
      <w:r w:rsidRPr="00B70950">
        <w:tab/>
        <w:t>une diminution de l</w:t>
      </w:r>
      <w:r w:rsidR="00126B99" w:rsidRPr="00B70950">
        <w:t>'</w:t>
      </w:r>
      <w:r w:rsidRPr="00B70950">
        <w:t>utilisation des services, d</w:t>
      </w:r>
      <w:r w:rsidR="00126B99" w:rsidRPr="00B70950">
        <w:t>'</w:t>
      </w:r>
      <w:r w:rsidRPr="00B70950">
        <w:t>où une réduction de l</w:t>
      </w:r>
      <w:r w:rsidR="00126B99" w:rsidRPr="00B70950">
        <w:t>'</w:t>
      </w:r>
      <w:r w:rsidRPr="00B70950">
        <w:t xml:space="preserve">empreinte écologique (en raison du meilleur rendement du nouveau bâtiment et des rénovations de la Tour et de </w:t>
      </w:r>
      <w:proofErr w:type="spellStart"/>
      <w:r w:rsidRPr="00B70950">
        <w:t>Montbrillant</w:t>
      </w:r>
      <w:proofErr w:type="spellEnd"/>
      <w:proofErr w:type="gramStart"/>
      <w:r w:rsidRPr="00B70950">
        <w:t>);</w:t>
      </w:r>
      <w:proofErr w:type="gramEnd"/>
      <w:r w:rsidRPr="00B70950">
        <w:t xml:space="preserve"> </w:t>
      </w:r>
    </w:p>
    <w:p w:rsidR="00D429F6" w:rsidRPr="00B70950" w:rsidRDefault="00D429F6" w:rsidP="007F1941">
      <w:pPr>
        <w:pStyle w:val="enumlev1"/>
      </w:pPr>
      <w:r w:rsidRPr="00B70950">
        <w:t>–</w:t>
      </w:r>
      <w:r w:rsidRPr="00B70950">
        <w:tab/>
        <w:t>une augmentation de 8% du volume du siège (le nouvel espace, modulaire, permet d</w:t>
      </w:r>
      <w:r w:rsidR="00126B99" w:rsidRPr="00B70950">
        <w:t>'</w:t>
      </w:r>
      <w:r w:rsidRPr="00B70950">
        <w:t>augmenter de 400 places la capacité des salles de réunion, et ainsi d</w:t>
      </w:r>
      <w:r w:rsidR="00126B99" w:rsidRPr="00B70950">
        <w:t>'</w:t>
      </w:r>
      <w:r w:rsidRPr="00B70950">
        <w:t>accueillir plus de 30% de délégués supplémentaires dans l</w:t>
      </w:r>
      <w:r w:rsidR="00126B99" w:rsidRPr="00B70950">
        <w:t>'</w:t>
      </w:r>
      <w:r w:rsidRPr="00B70950">
        <w:t>ensemble du siège</w:t>
      </w:r>
      <w:proofErr w:type="gramStart"/>
      <w:r w:rsidRPr="00B70950">
        <w:t>);</w:t>
      </w:r>
      <w:proofErr w:type="gramEnd"/>
    </w:p>
    <w:p w:rsidR="00D429F6" w:rsidRPr="00B70950" w:rsidRDefault="00D429F6" w:rsidP="007F1941">
      <w:pPr>
        <w:pStyle w:val="enumlev1"/>
      </w:pPr>
      <w:r w:rsidRPr="00B70950">
        <w:t>–</w:t>
      </w:r>
      <w:r w:rsidRPr="00B70950">
        <w:tab/>
        <w:t>une amélioration de la qualité de vie des fonctionnaires et des délégués, en particulier dans le bâtiment Varembé </w:t>
      </w:r>
      <w:proofErr w:type="gramStart"/>
      <w:r w:rsidRPr="00B70950">
        <w:t>II;</w:t>
      </w:r>
      <w:proofErr w:type="gramEnd"/>
    </w:p>
    <w:p w:rsidR="00D429F6" w:rsidRPr="00B70950" w:rsidRDefault="00D429F6" w:rsidP="007F1941">
      <w:pPr>
        <w:pStyle w:val="enumlev1"/>
      </w:pPr>
      <w:r w:rsidRPr="00B70950">
        <w:t>–</w:t>
      </w:r>
      <w:r w:rsidRPr="00B70950">
        <w:tab/>
        <w:t>le transfert de l</w:t>
      </w:r>
      <w:r w:rsidR="00126B99" w:rsidRPr="00B70950">
        <w:t>'</w:t>
      </w:r>
      <w:r w:rsidRPr="00B70950">
        <w:t>entrée principale rue de Varembé (voie plus tranquille, plus facile à sécuriser pour le pays hôte</w:t>
      </w:r>
      <w:proofErr w:type="gramStart"/>
      <w:r w:rsidRPr="00B70950">
        <w:t>);</w:t>
      </w:r>
      <w:proofErr w:type="gramEnd"/>
    </w:p>
    <w:p w:rsidR="00D429F6" w:rsidRPr="00B70950" w:rsidRDefault="00D429F6" w:rsidP="007F1941">
      <w:pPr>
        <w:pStyle w:val="enumlev1"/>
      </w:pPr>
      <w:r w:rsidRPr="00B70950">
        <w:t>–</w:t>
      </w:r>
      <w:r w:rsidRPr="00B70950">
        <w:tab/>
        <w:t>les décaissements annuels au titre du seul remplacement de Varembé s</w:t>
      </w:r>
      <w:r w:rsidR="00126B99" w:rsidRPr="00B70950">
        <w:t>'</w:t>
      </w:r>
      <w:r w:rsidRPr="00B70950">
        <w:t>élèvent à 3 millions CHF pour le remboursement du prêt sans intérêt (sur une période de 50 ans</w:t>
      </w:r>
      <w:proofErr w:type="gramStart"/>
      <w:r w:rsidRPr="00B70950">
        <w:t>);</w:t>
      </w:r>
      <w:proofErr w:type="gramEnd"/>
    </w:p>
    <w:p w:rsidR="00D429F6" w:rsidRPr="00B70950" w:rsidRDefault="00D429F6" w:rsidP="007F1941">
      <w:pPr>
        <w:pStyle w:val="enumlev1"/>
      </w:pPr>
      <w:r w:rsidRPr="00B70950">
        <w:t>–</w:t>
      </w:r>
      <w:r w:rsidRPr="00B70950">
        <w:tab/>
        <w:t>les travaux de rénovation de l</w:t>
      </w:r>
      <w:r w:rsidR="00126B99" w:rsidRPr="00B70950">
        <w:t>'</w:t>
      </w:r>
      <w:r w:rsidRPr="00B70950">
        <w:t xml:space="preserve">ensemble des bâtiments (50 millions CHF) pourraient, en principe, être financés </w:t>
      </w:r>
      <w:r w:rsidR="000F4849" w:rsidRPr="00B70950">
        <w:t>au moyen d</w:t>
      </w:r>
      <w:r w:rsidR="00ED0177" w:rsidRPr="00B70950">
        <w:t>'</w:t>
      </w:r>
      <w:r w:rsidR="000F4849" w:rsidRPr="00B70950">
        <w:t xml:space="preserve">un </w:t>
      </w:r>
      <w:r w:rsidR="00956906" w:rsidRPr="00B70950">
        <w:t>prêt à la</w:t>
      </w:r>
      <w:r w:rsidR="000F4849" w:rsidRPr="00B70950">
        <w:t xml:space="preserve"> rénovation portant intérêt, remboursable dans un délai de 30 ans. Pour davantage d</w:t>
      </w:r>
      <w:r w:rsidR="00ED0177" w:rsidRPr="00B70950">
        <w:t>'</w:t>
      </w:r>
      <w:r w:rsidR="000F4849" w:rsidRPr="00B70950">
        <w:t xml:space="preserve">informations concernant les conditions des </w:t>
      </w:r>
      <w:r w:rsidR="00956906" w:rsidRPr="00B70950">
        <w:t>prêts à la</w:t>
      </w:r>
      <w:r w:rsidR="000F4849" w:rsidRPr="00B70950">
        <w:t xml:space="preserve"> rénovation, </w:t>
      </w:r>
      <w:proofErr w:type="spellStart"/>
      <w:r w:rsidR="000F4849" w:rsidRPr="00B70950">
        <w:t>veuillez vous</w:t>
      </w:r>
      <w:proofErr w:type="spellEnd"/>
      <w:r w:rsidR="000F4849" w:rsidRPr="00B70950">
        <w:t xml:space="preserve"> reporter au paragraphe </w:t>
      </w:r>
      <w:proofErr w:type="gramStart"/>
      <w:r w:rsidR="000F4849" w:rsidRPr="00B70950">
        <w:t>1.5</w:t>
      </w:r>
      <w:r w:rsidRPr="00B70950">
        <w:t>;</w:t>
      </w:r>
      <w:proofErr w:type="gramEnd"/>
    </w:p>
    <w:p w:rsidR="00D429F6" w:rsidRPr="00B70950" w:rsidRDefault="00D429F6" w:rsidP="007F1941">
      <w:pPr>
        <w:pStyle w:val="enumlev1"/>
      </w:pPr>
      <w:r w:rsidRPr="00B70950">
        <w:t>–</w:t>
      </w:r>
      <w:r w:rsidRPr="00B70950">
        <w:tab/>
        <w:t>la disponibilité du nouveau Varembé II pour reloger les fonctionnaires de la Tour pendant les travaux de rénovation permettrait d</w:t>
      </w:r>
      <w:r w:rsidR="00126B99" w:rsidRPr="00B70950">
        <w:t>'</w:t>
      </w:r>
      <w:r w:rsidRPr="00B70950">
        <w:t>éviter de devoir louer des locaux à titre temporaire.</w:t>
      </w:r>
    </w:p>
    <w:p w:rsidR="00D429F6" w:rsidRPr="00B70950" w:rsidRDefault="00D429F6" w:rsidP="007F1941">
      <w:pPr>
        <w:pStyle w:val="Heading1"/>
      </w:pPr>
      <w:r w:rsidRPr="00B70950">
        <w:t>6</w:t>
      </w:r>
      <w:r w:rsidRPr="00B70950">
        <w:tab/>
        <w:t xml:space="preserve">Option </w:t>
      </w:r>
      <w:proofErr w:type="gramStart"/>
      <w:r w:rsidRPr="00B70950">
        <w:t>2:</w:t>
      </w:r>
      <w:proofErr w:type="gramEnd"/>
      <w:r w:rsidRPr="00B70950">
        <w:tab/>
        <w:t>Rénovation de Varembé I et des autres bâtiments du siège</w:t>
      </w:r>
    </w:p>
    <w:p w:rsidR="00D429F6" w:rsidRPr="00B70950" w:rsidRDefault="00D429F6" w:rsidP="007F1941">
      <w:r w:rsidRPr="00B70950">
        <w:t>6.1</w:t>
      </w:r>
      <w:r w:rsidRPr="00B70950">
        <w:tab/>
        <w:t xml:space="preserve">Cette option prévoit la rénovation de Varembé dans toute la mesure possible, ainsi que la rénovation de la Tour et de </w:t>
      </w:r>
      <w:proofErr w:type="spellStart"/>
      <w:r w:rsidRPr="00B70950">
        <w:t>Montbrillant</w:t>
      </w:r>
      <w:proofErr w:type="spellEnd"/>
      <w:r w:rsidRPr="00B70950">
        <w:t>, qui aurait lieu aussi bien en cas de remplacement qu</w:t>
      </w:r>
      <w:r w:rsidR="00126B99" w:rsidRPr="00B70950">
        <w:t>'</w:t>
      </w:r>
      <w:r w:rsidRPr="00B70950">
        <w:t>en cas de rénovation de Varembé. Un bâtiment Varembé rénové n</w:t>
      </w:r>
      <w:r w:rsidR="00126B99" w:rsidRPr="00B70950">
        <w:t>'</w:t>
      </w:r>
      <w:r w:rsidRPr="00B70950">
        <w:t>offrirait ni la même fonctionnalité ni la même qualité qu</w:t>
      </w:r>
      <w:r w:rsidR="00126B99" w:rsidRPr="00B70950">
        <w:t>'</w:t>
      </w:r>
      <w:r w:rsidRPr="00B70950">
        <w:t>un nouveau bâtiment. Par conséquent, cette option ne permet pas de compter sur la possibilité de réévaluation ultérieure offerte par l</w:t>
      </w:r>
      <w:r w:rsidR="00126B99" w:rsidRPr="00B70950">
        <w:t>'</w:t>
      </w:r>
      <w:r w:rsidRPr="00B70950">
        <w:t>option précédente. Dans un souci de cohérence, le coût de la maintenance à long terme est estimé à 1% de la valeur d</w:t>
      </w:r>
      <w:r w:rsidR="00126B99" w:rsidRPr="00B70950">
        <w:t>'</w:t>
      </w:r>
      <w:r w:rsidRPr="00B70950">
        <w:t>assurance incendie.</w:t>
      </w:r>
    </w:p>
    <w:p w:rsidR="00D429F6" w:rsidRPr="00B70950" w:rsidRDefault="00D429F6" w:rsidP="007F1941">
      <w:r w:rsidRPr="00B70950">
        <w:t>6.2</w:t>
      </w:r>
      <w:r w:rsidRPr="00B70950">
        <w:tab/>
        <w:t>En raison de travaux de modernisation destinés à améliorer la sécurité et l</w:t>
      </w:r>
      <w:r w:rsidR="00126B99" w:rsidRPr="00B70950">
        <w:t>'</w:t>
      </w:r>
      <w:r w:rsidRPr="00B70950">
        <w:t>accessibilité, l</w:t>
      </w:r>
      <w:r w:rsidR="00126B99" w:rsidRPr="00B70950">
        <w:t>'</w:t>
      </w:r>
      <w:r w:rsidRPr="00B70950">
        <w:t>espace utilisable à l</w:t>
      </w:r>
      <w:r w:rsidR="00126B99" w:rsidRPr="00B70950">
        <w:t>'</w:t>
      </w:r>
      <w:r w:rsidRPr="00B70950">
        <w:t>intérieur du bâtiment Varembé rénové serait moins important que dans le bâtiment existant, et donc largement inférieur au volume prévu pour Varembé II. En particulier, la capacité totale des salles de réunion serait réduite, en dépit de la saturation déjà observée à l</w:t>
      </w:r>
      <w:r w:rsidR="00126B99" w:rsidRPr="00B70950">
        <w:t>'</w:t>
      </w:r>
      <w:r w:rsidRPr="00B70950">
        <w:t>heure actuelle, en raison de l</w:t>
      </w:r>
      <w:r w:rsidR="00126B99" w:rsidRPr="00B70950">
        <w:t>'</w:t>
      </w:r>
      <w:r w:rsidRPr="00B70950">
        <w:t xml:space="preserve">intégration de </w:t>
      </w:r>
      <w:r w:rsidR="00C227C8" w:rsidRPr="00B70950">
        <w:t>fonctions</w:t>
      </w:r>
      <w:r w:rsidRPr="00B70950">
        <w:t xml:space="preserve"> d</w:t>
      </w:r>
      <w:r w:rsidR="00126B99" w:rsidRPr="00B70950">
        <w:t>'</w:t>
      </w:r>
      <w:r w:rsidRPr="00B70950">
        <w:t>accessibilité dans les salles existantes. Cette réduction risquerait d</w:t>
      </w:r>
      <w:r w:rsidR="00126B99" w:rsidRPr="00B70950">
        <w:t>'</w:t>
      </w:r>
      <w:r w:rsidRPr="00B70950">
        <w:t>engendrer des coûts liés à la location de salles de réunion pendant les périodes de forte demande.</w:t>
      </w:r>
    </w:p>
    <w:p w:rsidR="00D429F6" w:rsidRPr="00B70950" w:rsidRDefault="00D429F6" w:rsidP="007F1941">
      <w:r w:rsidRPr="00B70950">
        <w:t>6.3</w:t>
      </w:r>
      <w:r w:rsidRPr="00B70950">
        <w:tab/>
        <w:t>En 2009, une étude a été réalisée par un expert indépendant (Brodbeck</w:t>
      </w:r>
      <w:r w:rsidRPr="00B70950">
        <w:noBreakHyphen/>
        <w:t>Roulet), qui a confirmé que la performance thermique des façades de Varembé</w:t>
      </w:r>
      <w:r w:rsidR="00C227C8" w:rsidRPr="00B70950">
        <w:t>, notablement inférieure à ce qu'exigent les normes en vigueur,</w:t>
      </w:r>
      <w:r w:rsidRPr="00B70950">
        <w:t xml:space="preserve"> pourra</w:t>
      </w:r>
      <w:r w:rsidR="00C227C8" w:rsidRPr="00B70950">
        <w:t>it</w:t>
      </w:r>
      <w:r w:rsidRPr="00B70950">
        <w:t xml:space="preserve"> être améliorée de manière significative par une rénovation. Une telle rénovation incluant la mise aux normes des installations de chauffage, de réfrigération et de distribution de l'électricité</w:t>
      </w:r>
      <w:r w:rsidR="00C227C8" w:rsidRPr="00B70950">
        <w:t>, devenues obsolètes,</w:t>
      </w:r>
      <w:r w:rsidRPr="00B70950">
        <w:t xml:space="preserve"> atteindrait un coût de 30</w:t>
      </w:r>
      <w:r w:rsidR="00126B99" w:rsidRPr="00B70950">
        <w:t> </w:t>
      </w:r>
      <w:r w:rsidRPr="00B70950">
        <w:t xml:space="preserve">millions CHF après indexation de l'estimation faite en 2009 </w:t>
      </w:r>
      <w:r w:rsidR="00C227C8" w:rsidRPr="00B70950">
        <w:t>sur les</w:t>
      </w:r>
      <w:r w:rsidRPr="00B70950">
        <w:t xml:space="preserve"> coûts de 2014. </w:t>
      </w:r>
    </w:p>
    <w:p w:rsidR="00D429F6" w:rsidRPr="00B70950" w:rsidRDefault="00D429F6" w:rsidP="007F1941">
      <w:r w:rsidRPr="00B70950">
        <w:lastRenderedPageBreak/>
        <w:t>6.4</w:t>
      </w:r>
      <w:r w:rsidRPr="00B70950">
        <w:tab/>
        <w:t xml:space="preserve">Toutefois ces coûts ne comprennent pas les travaux nécessaires pour moderniser les autres composantes de ce bâtiment, construit dans les années </w:t>
      </w:r>
      <w:r w:rsidR="00C227C8" w:rsidRPr="00B70950">
        <w:t>19</w:t>
      </w:r>
      <w:r w:rsidRPr="00B70950">
        <w:t>50-</w:t>
      </w:r>
      <w:r w:rsidR="00C227C8" w:rsidRPr="00B70950">
        <w:t>19</w:t>
      </w:r>
      <w:r w:rsidRPr="00B70950">
        <w:t>60, ni pour le mettre en conformité avec les normes</w:t>
      </w:r>
      <w:r w:rsidR="00FB1328" w:rsidRPr="00B70950">
        <w:rPr>
          <w:rStyle w:val="FootnoteReference"/>
        </w:rPr>
        <w:footnoteReference w:id="4"/>
      </w:r>
      <w:r w:rsidRPr="00B70950">
        <w:t xml:space="preserve"> actuelles de sécurité et d'accessibilité. Le total de ces coûts est estimé à 17 millions CHF </w:t>
      </w:r>
      <w:r w:rsidR="00C227C8" w:rsidRPr="00B70950">
        <w:t>supplémentaires</w:t>
      </w:r>
      <w:r w:rsidRPr="00B70950">
        <w:t>.</w:t>
      </w:r>
    </w:p>
    <w:p w:rsidR="00D429F6" w:rsidRPr="00B70950" w:rsidRDefault="00D429F6" w:rsidP="00F103FD">
      <w:r w:rsidRPr="00B70950">
        <w:t>6.5</w:t>
      </w:r>
      <w:r w:rsidRPr="00B70950">
        <w:tab/>
        <w:t>A ce montant total estimé de 47 millions CHF s'ajoutent les coûts de relogement du personnel pendant la durée des travaux</w:t>
      </w:r>
      <w:r w:rsidR="00C227C8" w:rsidRPr="00B70950">
        <w:t>,</w:t>
      </w:r>
      <w:r w:rsidRPr="00B70950">
        <w:t xml:space="preserve"> qui sont évalués </w:t>
      </w:r>
      <w:r w:rsidR="00C227C8" w:rsidRPr="00B70950">
        <w:t>à un montant maximal de</w:t>
      </w:r>
      <w:r w:rsidRPr="00B70950">
        <w:t xml:space="preserve"> 5,3</w:t>
      </w:r>
      <w:r w:rsidR="00126B99" w:rsidRPr="00B70950">
        <w:t> </w:t>
      </w:r>
      <w:r w:rsidRPr="00B70950">
        <w:t>millions</w:t>
      </w:r>
      <w:r w:rsidR="00126B99" w:rsidRPr="00B70950">
        <w:t> </w:t>
      </w:r>
      <w:r w:rsidRPr="00B70950">
        <w:t>CHF par an pendant 36 mois. Ce projet atteindrait alors un montant total estimé de 63</w:t>
      </w:r>
      <w:r w:rsidR="00126B99" w:rsidRPr="00B70950">
        <w:t> </w:t>
      </w:r>
      <w:r w:rsidRPr="00B70950">
        <w:t xml:space="preserve">millions CHF, financé par un </w:t>
      </w:r>
      <w:r w:rsidR="00956906" w:rsidRPr="00B70950">
        <w:t>prêt à la</w:t>
      </w:r>
      <w:r w:rsidR="00EC7575" w:rsidRPr="00B70950">
        <w:t xml:space="preserve"> rénovation </w:t>
      </w:r>
      <w:r w:rsidR="00DF5811" w:rsidRPr="00B70950">
        <w:t>portant</w:t>
      </w:r>
      <w:r w:rsidRPr="00B70950">
        <w:t xml:space="preserve"> intérêt </w:t>
      </w:r>
      <w:r w:rsidR="00DF5811" w:rsidRPr="00B70950">
        <w:t xml:space="preserve">et </w:t>
      </w:r>
      <w:r w:rsidRPr="00B70950">
        <w:t>octroyé par le pays hôte.</w:t>
      </w:r>
    </w:p>
    <w:p w:rsidR="00D429F6" w:rsidRPr="00B70950" w:rsidRDefault="00D429F6" w:rsidP="007F1941">
      <w:r w:rsidRPr="00B70950">
        <w:t>6.6</w:t>
      </w:r>
      <w:r w:rsidRPr="00B70950">
        <w:tab/>
        <w:t>Le remboursement annuel sur 30 ans de ce prêt s'élèverait à 2,1 million</w:t>
      </w:r>
      <w:r w:rsidR="00126B99" w:rsidRPr="00B70950">
        <w:t>s</w:t>
      </w:r>
      <w:r w:rsidRPr="00B70950">
        <w:t xml:space="preserve"> CHF de remboursement annuel du capital</w:t>
      </w:r>
      <w:r w:rsidR="00C227C8" w:rsidRPr="00B70950">
        <w:t>,</w:t>
      </w:r>
      <w:r w:rsidRPr="00B70950">
        <w:t xml:space="preserve"> auquel s'ajoute</w:t>
      </w:r>
      <w:r w:rsidR="00C227C8" w:rsidRPr="00B70950">
        <w:t>rait</w:t>
      </w:r>
      <w:r w:rsidRPr="00B70950">
        <w:t xml:space="preserve"> le paiement du taux d'intérêt préférentiel de 1</w:t>
      </w:r>
      <w:r w:rsidR="00EC7575" w:rsidRPr="00B70950">
        <w:t>,5</w:t>
      </w:r>
      <w:r w:rsidRPr="00B70950">
        <w:t>% par an.</w:t>
      </w:r>
    </w:p>
    <w:p w:rsidR="00D429F6" w:rsidRPr="00B70950" w:rsidRDefault="00D429F6" w:rsidP="007F1941">
      <w:r w:rsidRPr="00B70950">
        <w:t>6.7</w:t>
      </w:r>
      <w:r w:rsidRPr="00B70950">
        <w:tab/>
        <w:t xml:space="preserve">Il est de plus nécessaire de prévoir des coûts de rénovation pour </w:t>
      </w:r>
      <w:proofErr w:type="spellStart"/>
      <w:r w:rsidRPr="00B70950">
        <w:t>Montbrillant</w:t>
      </w:r>
      <w:proofErr w:type="spellEnd"/>
      <w:r w:rsidRPr="00B70950">
        <w:t xml:space="preserve"> et pour la Tour (49 millions CHF). </w:t>
      </w:r>
    </w:p>
    <w:p w:rsidR="00D429F6" w:rsidRPr="00B70950" w:rsidRDefault="00D429F6" w:rsidP="007F1941">
      <w:r w:rsidRPr="00B70950">
        <w:t>6.8</w:t>
      </w:r>
      <w:r w:rsidRPr="00B70950">
        <w:tab/>
        <w:t>Dans l</w:t>
      </w:r>
      <w:r w:rsidR="00126B99" w:rsidRPr="00B70950">
        <w:t>'</w:t>
      </w:r>
      <w:r w:rsidRPr="00B70950">
        <w:t>hypothèse où Varembé et la Tour ne seraient pas rénovés en même temps, Varembé étant rénové en premier, de la place serait disponible pour reloger les occupants de la Tour pendant la rénovation de cette dernière. La Tour abrite en effet moins de fonctionnaires que Varembé. Par ailleurs, la rénovation de la Tour et celle de Varembé nécessitent des travaux d</w:t>
      </w:r>
      <w:r w:rsidR="00126B99" w:rsidRPr="00B70950">
        <w:t>'</w:t>
      </w:r>
      <w:r w:rsidRPr="00B70950">
        <w:t>une ampleur similaire. Par conséquent, dans une optique prudente, le projet prévoit une période de relogement de trois ans, avec location de la moitié de l</w:t>
      </w:r>
      <w:r w:rsidR="00126B99" w:rsidRPr="00B70950">
        <w:t>'</w:t>
      </w:r>
      <w:r w:rsidRPr="00B70950">
        <w:t>espace nécessaire au relogement des fonctionnaires de Varembé, moyennant un coût estimé de 8 millions CHF.</w:t>
      </w:r>
    </w:p>
    <w:p w:rsidR="00D429F6" w:rsidRPr="00B70950" w:rsidRDefault="00D429F6" w:rsidP="00DF5811">
      <w:pPr>
        <w:pStyle w:val="Headingb"/>
        <w:spacing w:after="120"/>
      </w:pPr>
      <w:r w:rsidRPr="00B70950">
        <w:t>Maintenance urgente de Varembé (période 2015</w:t>
      </w:r>
      <w:r w:rsidRPr="00B70950">
        <w:noBreakHyphen/>
        <w:t>2024</w:t>
      </w:r>
      <w:proofErr w:type="gramStart"/>
      <w:r w:rsidRPr="00B70950">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843"/>
        <w:gridCol w:w="3210"/>
      </w:tblGrid>
      <w:tr w:rsidR="00D429F6" w:rsidRPr="00B70950" w:rsidTr="00126B99">
        <w:trPr>
          <w:tblHeader/>
          <w:jc w:val="center"/>
        </w:trPr>
        <w:tc>
          <w:tcPr>
            <w:tcW w:w="3681" w:type="dxa"/>
          </w:tcPr>
          <w:p w:rsidR="00D429F6" w:rsidRPr="00B70950" w:rsidRDefault="00D429F6" w:rsidP="007F1941">
            <w:pPr>
              <w:pStyle w:val="Tablehead"/>
            </w:pPr>
            <w:r w:rsidRPr="00B70950">
              <w:t>Projet</w:t>
            </w:r>
          </w:p>
        </w:tc>
        <w:tc>
          <w:tcPr>
            <w:tcW w:w="1843" w:type="dxa"/>
          </w:tcPr>
          <w:p w:rsidR="00D429F6" w:rsidRPr="00B70950" w:rsidRDefault="00D429F6" w:rsidP="007F1941">
            <w:pPr>
              <w:pStyle w:val="Tablehead"/>
            </w:pPr>
            <w:r w:rsidRPr="00B70950">
              <w:t xml:space="preserve">Coût </w:t>
            </w:r>
            <w:r w:rsidRPr="00B70950">
              <w:br/>
              <w:t>(millions de CHF)</w:t>
            </w:r>
          </w:p>
        </w:tc>
        <w:tc>
          <w:tcPr>
            <w:tcW w:w="3210" w:type="dxa"/>
          </w:tcPr>
          <w:p w:rsidR="00D429F6" w:rsidRPr="00B70950" w:rsidRDefault="00D429F6" w:rsidP="007F1941">
            <w:pPr>
              <w:pStyle w:val="Tablehead"/>
            </w:pPr>
            <w:r w:rsidRPr="00B70950">
              <w:t>Observations</w:t>
            </w:r>
          </w:p>
        </w:tc>
      </w:tr>
      <w:tr w:rsidR="00D429F6" w:rsidRPr="00B70950" w:rsidTr="00EA073B">
        <w:trPr>
          <w:jc w:val="center"/>
        </w:trPr>
        <w:tc>
          <w:tcPr>
            <w:tcW w:w="3681" w:type="dxa"/>
            <w:vAlign w:val="center"/>
          </w:tcPr>
          <w:p w:rsidR="00D429F6" w:rsidRPr="00B70950" w:rsidRDefault="00D429F6" w:rsidP="007F1941">
            <w:pPr>
              <w:pStyle w:val="Tabletext"/>
              <w:rPr>
                <w:szCs w:val="22"/>
              </w:rPr>
            </w:pPr>
            <w:r w:rsidRPr="00B70950">
              <w:rPr>
                <w:szCs w:val="22"/>
              </w:rPr>
              <w:t>Remplacement de la façade, avec remplacement des circuits de chauffage et de réfrigération et des circuits électriques</w:t>
            </w:r>
          </w:p>
        </w:tc>
        <w:tc>
          <w:tcPr>
            <w:tcW w:w="1843" w:type="dxa"/>
            <w:vAlign w:val="center"/>
          </w:tcPr>
          <w:p w:rsidR="00D429F6" w:rsidRPr="00B70950" w:rsidRDefault="00D429F6" w:rsidP="00DF5811">
            <w:pPr>
              <w:pStyle w:val="Tabletext"/>
              <w:jc w:val="center"/>
              <w:rPr>
                <w:szCs w:val="22"/>
              </w:rPr>
            </w:pPr>
            <w:r w:rsidRPr="00B70950">
              <w:t>30</w:t>
            </w:r>
          </w:p>
        </w:tc>
        <w:tc>
          <w:tcPr>
            <w:tcW w:w="3210" w:type="dxa"/>
          </w:tcPr>
          <w:p w:rsidR="00D429F6" w:rsidRPr="00B70950" w:rsidRDefault="00D429F6" w:rsidP="007F1941">
            <w:pPr>
              <w:pStyle w:val="Tabletext"/>
              <w:rPr>
                <w:szCs w:val="22"/>
              </w:rPr>
            </w:pPr>
            <w:r w:rsidRPr="00B70950">
              <w:rPr>
                <w:szCs w:val="22"/>
              </w:rPr>
              <w:t>Sur la base d</w:t>
            </w:r>
            <w:r w:rsidR="00126B99" w:rsidRPr="00B70950">
              <w:rPr>
                <w:szCs w:val="22"/>
              </w:rPr>
              <w:t>'</w:t>
            </w:r>
            <w:r w:rsidRPr="00B70950">
              <w:rPr>
                <w:szCs w:val="22"/>
              </w:rPr>
              <w:t>une étude menée par des experts extérieurs en 2010.</w:t>
            </w:r>
          </w:p>
        </w:tc>
      </w:tr>
      <w:tr w:rsidR="00D429F6" w:rsidRPr="00B70950" w:rsidTr="00EA073B">
        <w:trPr>
          <w:jc w:val="center"/>
        </w:trPr>
        <w:tc>
          <w:tcPr>
            <w:tcW w:w="3681" w:type="dxa"/>
            <w:vAlign w:val="center"/>
          </w:tcPr>
          <w:p w:rsidR="00D429F6" w:rsidRPr="00B70950" w:rsidRDefault="00D429F6" w:rsidP="007F1941">
            <w:pPr>
              <w:pStyle w:val="Tabletext"/>
              <w:rPr>
                <w:szCs w:val="22"/>
              </w:rPr>
            </w:pPr>
            <w:r w:rsidRPr="00B70950">
              <w:rPr>
                <w:szCs w:val="22"/>
              </w:rPr>
              <w:t xml:space="preserve">Autres travaux visant à garantir la conformité avec la norme </w:t>
            </w:r>
            <w:proofErr w:type="spellStart"/>
            <w:r w:rsidRPr="00B70950">
              <w:rPr>
                <w:szCs w:val="22"/>
              </w:rPr>
              <w:t>Minergie</w:t>
            </w:r>
            <w:proofErr w:type="spellEnd"/>
            <w:r w:rsidRPr="00B70950">
              <w:rPr>
                <w:szCs w:val="22"/>
              </w:rPr>
              <w:t xml:space="preserve"> et travaux de sécurité incendie</w:t>
            </w:r>
          </w:p>
        </w:tc>
        <w:tc>
          <w:tcPr>
            <w:tcW w:w="1843" w:type="dxa"/>
            <w:vAlign w:val="center"/>
          </w:tcPr>
          <w:p w:rsidR="00D429F6" w:rsidRPr="00B70950" w:rsidRDefault="00D429F6" w:rsidP="00DF5811">
            <w:pPr>
              <w:pStyle w:val="Tabletext"/>
              <w:jc w:val="center"/>
              <w:rPr>
                <w:szCs w:val="22"/>
              </w:rPr>
            </w:pPr>
            <w:r w:rsidRPr="00B70950">
              <w:rPr>
                <w:szCs w:val="22"/>
              </w:rPr>
              <w:t>9</w:t>
            </w:r>
          </w:p>
        </w:tc>
        <w:tc>
          <w:tcPr>
            <w:tcW w:w="3210" w:type="dxa"/>
          </w:tcPr>
          <w:p w:rsidR="00D429F6" w:rsidRPr="00B70950" w:rsidRDefault="00D429F6" w:rsidP="007F1941">
            <w:pPr>
              <w:pStyle w:val="Tabletext"/>
              <w:rPr>
                <w:szCs w:val="22"/>
              </w:rPr>
            </w:pPr>
          </w:p>
        </w:tc>
      </w:tr>
      <w:tr w:rsidR="00D429F6" w:rsidRPr="00B70950" w:rsidTr="00EA073B">
        <w:trPr>
          <w:jc w:val="center"/>
        </w:trPr>
        <w:tc>
          <w:tcPr>
            <w:tcW w:w="3681" w:type="dxa"/>
          </w:tcPr>
          <w:p w:rsidR="00D429F6" w:rsidRPr="00B70950" w:rsidRDefault="00D429F6" w:rsidP="007F1941">
            <w:pPr>
              <w:pStyle w:val="Tabletext"/>
              <w:rPr>
                <w:szCs w:val="22"/>
              </w:rPr>
            </w:pPr>
            <w:r w:rsidRPr="00B70950">
              <w:rPr>
                <w:szCs w:val="22"/>
              </w:rPr>
              <w:t>Remplacement de l</w:t>
            </w:r>
            <w:r w:rsidR="00126B99" w:rsidRPr="00B70950">
              <w:rPr>
                <w:szCs w:val="22"/>
              </w:rPr>
              <w:t>'</w:t>
            </w:r>
            <w:r w:rsidRPr="00B70950">
              <w:rPr>
                <w:szCs w:val="22"/>
              </w:rPr>
              <w:t>éclairage</w:t>
            </w:r>
          </w:p>
        </w:tc>
        <w:tc>
          <w:tcPr>
            <w:tcW w:w="1843" w:type="dxa"/>
            <w:vAlign w:val="center"/>
          </w:tcPr>
          <w:p w:rsidR="00D429F6" w:rsidRPr="00B70950" w:rsidRDefault="00D429F6" w:rsidP="00DF5811">
            <w:pPr>
              <w:pStyle w:val="Tabletext"/>
              <w:jc w:val="center"/>
              <w:rPr>
                <w:szCs w:val="22"/>
              </w:rPr>
            </w:pPr>
            <w:r w:rsidRPr="00B70950">
              <w:rPr>
                <w:szCs w:val="22"/>
              </w:rPr>
              <w:t>2</w:t>
            </w:r>
          </w:p>
        </w:tc>
        <w:tc>
          <w:tcPr>
            <w:tcW w:w="3210" w:type="dxa"/>
            <w:vAlign w:val="center"/>
          </w:tcPr>
          <w:p w:rsidR="00D429F6" w:rsidRPr="00B70950" w:rsidRDefault="00D429F6" w:rsidP="007F1941">
            <w:pPr>
              <w:pStyle w:val="Tabletext"/>
              <w:rPr>
                <w:szCs w:val="22"/>
              </w:rPr>
            </w:pPr>
          </w:p>
        </w:tc>
      </w:tr>
      <w:tr w:rsidR="00D429F6" w:rsidRPr="00B70950" w:rsidTr="00126B99">
        <w:trPr>
          <w:jc w:val="center"/>
        </w:trPr>
        <w:tc>
          <w:tcPr>
            <w:tcW w:w="3681" w:type="dxa"/>
          </w:tcPr>
          <w:p w:rsidR="00D429F6" w:rsidRPr="00B70950" w:rsidRDefault="00D429F6" w:rsidP="007F1941">
            <w:pPr>
              <w:pStyle w:val="Tabletext"/>
              <w:rPr>
                <w:szCs w:val="22"/>
              </w:rPr>
            </w:pPr>
            <w:r w:rsidRPr="00B70950">
              <w:rPr>
                <w:szCs w:val="22"/>
              </w:rPr>
              <w:t>Remplacement des salles de réunion</w:t>
            </w:r>
          </w:p>
        </w:tc>
        <w:tc>
          <w:tcPr>
            <w:tcW w:w="1843" w:type="dxa"/>
          </w:tcPr>
          <w:p w:rsidR="00D429F6" w:rsidRPr="00B70950" w:rsidRDefault="00D429F6" w:rsidP="00DF5811">
            <w:pPr>
              <w:pStyle w:val="Tabletext"/>
              <w:jc w:val="center"/>
              <w:rPr>
                <w:szCs w:val="22"/>
              </w:rPr>
            </w:pPr>
            <w:r w:rsidRPr="00B70950">
              <w:rPr>
                <w:szCs w:val="22"/>
              </w:rPr>
              <w:t>1</w:t>
            </w:r>
          </w:p>
        </w:tc>
        <w:tc>
          <w:tcPr>
            <w:tcW w:w="3210" w:type="dxa"/>
          </w:tcPr>
          <w:p w:rsidR="00D429F6" w:rsidRPr="00B70950" w:rsidRDefault="00D429F6" w:rsidP="007F1941">
            <w:pPr>
              <w:pStyle w:val="Tabletext"/>
              <w:rPr>
                <w:szCs w:val="22"/>
              </w:rPr>
            </w:pPr>
            <w:r w:rsidRPr="00B70950">
              <w:rPr>
                <w:szCs w:val="22"/>
              </w:rPr>
              <w:t>120 places à raison de 10 000 CHF par place, équipements audiovisuels inclus.</w:t>
            </w:r>
          </w:p>
        </w:tc>
      </w:tr>
      <w:tr w:rsidR="00D429F6" w:rsidRPr="00B70950" w:rsidTr="00EA073B">
        <w:trPr>
          <w:jc w:val="center"/>
        </w:trPr>
        <w:tc>
          <w:tcPr>
            <w:tcW w:w="3681" w:type="dxa"/>
            <w:vAlign w:val="center"/>
          </w:tcPr>
          <w:p w:rsidR="00D429F6" w:rsidRPr="00B70950" w:rsidRDefault="00D429F6" w:rsidP="007F1941">
            <w:pPr>
              <w:pStyle w:val="Tabletext"/>
              <w:rPr>
                <w:szCs w:val="22"/>
              </w:rPr>
            </w:pPr>
            <w:r w:rsidRPr="00B70950">
              <w:rPr>
                <w:szCs w:val="22"/>
              </w:rPr>
              <w:t>Ecrans anti-souffle, mesures MOSS</w:t>
            </w:r>
          </w:p>
        </w:tc>
        <w:tc>
          <w:tcPr>
            <w:tcW w:w="1843" w:type="dxa"/>
            <w:vAlign w:val="center"/>
          </w:tcPr>
          <w:p w:rsidR="00D429F6" w:rsidRPr="00B70950" w:rsidRDefault="00D429F6" w:rsidP="00DF5811">
            <w:pPr>
              <w:pStyle w:val="Tabletext"/>
              <w:jc w:val="center"/>
              <w:rPr>
                <w:szCs w:val="22"/>
              </w:rPr>
            </w:pPr>
            <w:r w:rsidRPr="00B70950">
              <w:rPr>
                <w:szCs w:val="22"/>
              </w:rPr>
              <w:t>0,5</w:t>
            </w:r>
          </w:p>
        </w:tc>
        <w:tc>
          <w:tcPr>
            <w:tcW w:w="3210" w:type="dxa"/>
            <w:vAlign w:val="center"/>
          </w:tcPr>
          <w:p w:rsidR="00D429F6" w:rsidRPr="00B70950" w:rsidRDefault="00D429F6" w:rsidP="007F1941">
            <w:pPr>
              <w:pStyle w:val="Tabletext"/>
              <w:rPr>
                <w:szCs w:val="22"/>
              </w:rPr>
            </w:pPr>
          </w:p>
        </w:tc>
      </w:tr>
      <w:tr w:rsidR="00D429F6" w:rsidRPr="00B70950" w:rsidTr="00EA073B">
        <w:trPr>
          <w:jc w:val="center"/>
        </w:trPr>
        <w:tc>
          <w:tcPr>
            <w:tcW w:w="3681" w:type="dxa"/>
            <w:vAlign w:val="center"/>
          </w:tcPr>
          <w:p w:rsidR="00D429F6" w:rsidRPr="00B70950" w:rsidRDefault="00D429F6" w:rsidP="007F1941">
            <w:pPr>
              <w:pStyle w:val="Tabletext"/>
              <w:rPr>
                <w:szCs w:val="22"/>
              </w:rPr>
            </w:pPr>
            <w:r w:rsidRPr="00B70950">
              <w:rPr>
                <w:szCs w:val="22"/>
              </w:rPr>
              <w:t xml:space="preserve">Salle </w:t>
            </w:r>
            <w:proofErr w:type="gramStart"/>
            <w:r w:rsidRPr="00B70950">
              <w:rPr>
                <w:szCs w:val="22"/>
              </w:rPr>
              <w:t>informatique:</w:t>
            </w:r>
            <w:proofErr w:type="gramEnd"/>
            <w:r w:rsidRPr="00B70950">
              <w:rPr>
                <w:szCs w:val="22"/>
              </w:rPr>
              <w:t xml:space="preserve"> remplacement des services; travaux sur les connexions et les réseaux informatiques</w:t>
            </w:r>
          </w:p>
        </w:tc>
        <w:tc>
          <w:tcPr>
            <w:tcW w:w="1843" w:type="dxa"/>
            <w:vAlign w:val="center"/>
          </w:tcPr>
          <w:p w:rsidR="00D429F6" w:rsidRPr="00B70950" w:rsidRDefault="00D429F6" w:rsidP="00DF5811">
            <w:pPr>
              <w:pStyle w:val="Tabletext"/>
              <w:jc w:val="center"/>
              <w:rPr>
                <w:szCs w:val="22"/>
              </w:rPr>
            </w:pPr>
            <w:r w:rsidRPr="00B70950">
              <w:rPr>
                <w:szCs w:val="22"/>
              </w:rPr>
              <w:t>0,5</w:t>
            </w:r>
          </w:p>
        </w:tc>
        <w:tc>
          <w:tcPr>
            <w:tcW w:w="3210" w:type="dxa"/>
            <w:vAlign w:val="center"/>
          </w:tcPr>
          <w:p w:rsidR="00D429F6" w:rsidRPr="00B70950" w:rsidRDefault="00D429F6" w:rsidP="007F1941">
            <w:pPr>
              <w:pStyle w:val="Tabletext"/>
              <w:rPr>
                <w:szCs w:val="22"/>
              </w:rPr>
            </w:pPr>
          </w:p>
        </w:tc>
      </w:tr>
      <w:tr w:rsidR="00D429F6" w:rsidRPr="00B70950" w:rsidTr="00EA073B">
        <w:trPr>
          <w:trHeight w:val="984"/>
          <w:jc w:val="center"/>
        </w:trPr>
        <w:tc>
          <w:tcPr>
            <w:tcW w:w="3681" w:type="dxa"/>
            <w:vAlign w:val="center"/>
          </w:tcPr>
          <w:p w:rsidR="00D429F6" w:rsidRPr="00B70950" w:rsidRDefault="00D429F6" w:rsidP="00AA0684">
            <w:pPr>
              <w:pStyle w:val="Tabletext"/>
              <w:rPr>
                <w:szCs w:val="22"/>
              </w:rPr>
            </w:pPr>
            <w:r w:rsidRPr="00B70950">
              <w:rPr>
                <w:szCs w:val="22"/>
              </w:rPr>
              <w:lastRenderedPageBreak/>
              <w:t>Remplacement des systèmes de chauffage/réfrigération électriques centralisés</w:t>
            </w:r>
          </w:p>
        </w:tc>
        <w:tc>
          <w:tcPr>
            <w:tcW w:w="1843" w:type="dxa"/>
            <w:vAlign w:val="center"/>
          </w:tcPr>
          <w:p w:rsidR="00D429F6" w:rsidRPr="00B70950" w:rsidRDefault="00D429F6" w:rsidP="00DF5811">
            <w:pPr>
              <w:pStyle w:val="Tabletext"/>
              <w:jc w:val="center"/>
              <w:rPr>
                <w:szCs w:val="22"/>
              </w:rPr>
            </w:pPr>
            <w:r w:rsidRPr="00B70950">
              <w:rPr>
                <w:szCs w:val="22"/>
              </w:rPr>
              <w:t>1</w:t>
            </w:r>
          </w:p>
        </w:tc>
        <w:tc>
          <w:tcPr>
            <w:tcW w:w="3210" w:type="dxa"/>
            <w:vAlign w:val="center"/>
          </w:tcPr>
          <w:p w:rsidR="00D429F6" w:rsidRPr="00B70950" w:rsidRDefault="00D429F6" w:rsidP="00AA0684">
            <w:pPr>
              <w:pStyle w:val="Tabletext"/>
              <w:rPr>
                <w:szCs w:val="22"/>
              </w:rPr>
            </w:pPr>
          </w:p>
        </w:tc>
      </w:tr>
      <w:tr w:rsidR="00D429F6" w:rsidRPr="00B70950" w:rsidTr="00EA073B">
        <w:trPr>
          <w:trHeight w:val="473"/>
          <w:jc w:val="center"/>
        </w:trPr>
        <w:tc>
          <w:tcPr>
            <w:tcW w:w="3681" w:type="dxa"/>
            <w:vAlign w:val="center"/>
          </w:tcPr>
          <w:p w:rsidR="00D429F6" w:rsidRPr="00B70950" w:rsidRDefault="00D429F6" w:rsidP="00AA0684">
            <w:pPr>
              <w:pStyle w:val="Tabletext"/>
              <w:rPr>
                <w:szCs w:val="22"/>
              </w:rPr>
            </w:pPr>
            <w:r w:rsidRPr="00B70950">
              <w:rPr>
                <w:szCs w:val="22"/>
              </w:rPr>
              <w:t>Remplacement du restaurant</w:t>
            </w:r>
          </w:p>
        </w:tc>
        <w:tc>
          <w:tcPr>
            <w:tcW w:w="1843" w:type="dxa"/>
            <w:vAlign w:val="center"/>
          </w:tcPr>
          <w:p w:rsidR="00D429F6" w:rsidRPr="00B70950" w:rsidRDefault="00D429F6" w:rsidP="00DF5811">
            <w:pPr>
              <w:pStyle w:val="Tabletext"/>
              <w:jc w:val="center"/>
              <w:rPr>
                <w:szCs w:val="22"/>
              </w:rPr>
            </w:pPr>
            <w:r w:rsidRPr="00B70950">
              <w:rPr>
                <w:szCs w:val="22"/>
              </w:rPr>
              <w:t>1</w:t>
            </w:r>
          </w:p>
        </w:tc>
        <w:tc>
          <w:tcPr>
            <w:tcW w:w="3210" w:type="dxa"/>
            <w:vAlign w:val="center"/>
          </w:tcPr>
          <w:p w:rsidR="00D429F6" w:rsidRPr="00B70950" w:rsidRDefault="00D429F6" w:rsidP="00AA0684">
            <w:pPr>
              <w:pStyle w:val="Tabletext"/>
              <w:rPr>
                <w:szCs w:val="22"/>
              </w:rPr>
            </w:pPr>
          </w:p>
        </w:tc>
      </w:tr>
      <w:tr w:rsidR="00D429F6" w:rsidRPr="00B70950" w:rsidTr="00EA073B">
        <w:trPr>
          <w:jc w:val="center"/>
        </w:trPr>
        <w:tc>
          <w:tcPr>
            <w:tcW w:w="3681" w:type="dxa"/>
            <w:vAlign w:val="center"/>
          </w:tcPr>
          <w:p w:rsidR="00D429F6" w:rsidRPr="00B70950" w:rsidRDefault="00D429F6" w:rsidP="007F1941">
            <w:pPr>
              <w:pStyle w:val="Tabletext"/>
              <w:rPr>
                <w:szCs w:val="22"/>
              </w:rPr>
            </w:pPr>
            <w:r w:rsidRPr="00B70950">
              <w:rPr>
                <w:szCs w:val="22"/>
              </w:rPr>
              <w:t>Autres travaux concernant l</w:t>
            </w:r>
            <w:r w:rsidR="00126B99" w:rsidRPr="00B70950">
              <w:rPr>
                <w:szCs w:val="22"/>
              </w:rPr>
              <w:t>'</w:t>
            </w:r>
            <w:r w:rsidRPr="00B70950">
              <w:rPr>
                <w:szCs w:val="22"/>
              </w:rPr>
              <w:t>accessibilité</w:t>
            </w:r>
          </w:p>
        </w:tc>
        <w:tc>
          <w:tcPr>
            <w:tcW w:w="1843" w:type="dxa"/>
            <w:vAlign w:val="center"/>
          </w:tcPr>
          <w:p w:rsidR="00D429F6" w:rsidRPr="00B70950" w:rsidRDefault="00D429F6" w:rsidP="00DF5811">
            <w:pPr>
              <w:pStyle w:val="Tabletext"/>
              <w:jc w:val="center"/>
              <w:rPr>
                <w:szCs w:val="22"/>
              </w:rPr>
            </w:pPr>
            <w:r w:rsidRPr="00B70950">
              <w:rPr>
                <w:szCs w:val="22"/>
              </w:rPr>
              <w:t>2</w:t>
            </w:r>
          </w:p>
        </w:tc>
        <w:tc>
          <w:tcPr>
            <w:tcW w:w="3210" w:type="dxa"/>
          </w:tcPr>
          <w:p w:rsidR="00D429F6" w:rsidRPr="00B70950" w:rsidRDefault="00D429F6" w:rsidP="007F1941">
            <w:pPr>
              <w:pStyle w:val="Tabletext"/>
              <w:rPr>
                <w:szCs w:val="22"/>
              </w:rPr>
            </w:pPr>
            <w:r w:rsidRPr="00B70950">
              <w:rPr>
                <w:szCs w:val="22"/>
              </w:rPr>
              <w:t>Y compris les ascenseurs et les installations sanitaires.</w:t>
            </w:r>
          </w:p>
        </w:tc>
      </w:tr>
      <w:tr w:rsidR="00D429F6" w:rsidRPr="00B70950" w:rsidTr="00EA073B">
        <w:trPr>
          <w:jc w:val="center"/>
        </w:trPr>
        <w:tc>
          <w:tcPr>
            <w:tcW w:w="3681" w:type="dxa"/>
            <w:vAlign w:val="center"/>
          </w:tcPr>
          <w:p w:rsidR="00D429F6" w:rsidRPr="00B70950" w:rsidRDefault="00D429F6" w:rsidP="00AA0684">
            <w:pPr>
              <w:rPr>
                <w:sz w:val="22"/>
                <w:szCs w:val="22"/>
              </w:rPr>
            </w:pPr>
            <w:r w:rsidRPr="00B70950">
              <w:rPr>
                <w:b/>
                <w:sz w:val="22"/>
                <w:szCs w:val="22"/>
              </w:rPr>
              <w:t xml:space="preserve">TOTAL </w:t>
            </w:r>
            <w:r w:rsidRPr="00B70950">
              <w:rPr>
                <w:sz w:val="22"/>
                <w:szCs w:val="22"/>
              </w:rPr>
              <w:t>(arrondi)</w:t>
            </w:r>
          </w:p>
        </w:tc>
        <w:tc>
          <w:tcPr>
            <w:tcW w:w="1843" w:type="dxa"/>
            <w:vAlign w:val="center"/>
          </w:tcPr>
          <w:p w:rsidR="00D429F6" w:rsidRPr="00B70950" w:rsidRDefault="00D429F6" w:rsidP="00DF5811">
            <w:pPr>
              <w:jc w:val="center"/>
              <w:rPr>
                <w:b/>
                <w:sz w:val="22"/>
                <w:szCs w:val="22"/>
              </w:rPr>
            </w:pPr>
            <w:r w:rsidRPr="00B70950">
              <w:rPr>
                <w:b/>
                <w:sz w:val="22"/>
                <w:szCs w:val="22"/>
              </w:rPr>
              <w:t>47</w:t>
            </w:r>
          </w:p>
        </w:tc>
        <w:tc>
          <w:tcPr>
            <w:tcW w:w="3210" w:type="dxa"/>
            <w:vAlign w:val="center"/>
          </w:tcPr>
          <w:p w:rsidR="00D429F6" w:rsidRPr="00B70950" w:rsidRDefault="00D429F6" w:rsidP="00AA0684">
            <w:pPr>
              <w:rPr>
                <w:b/>
                <w:sz w:val="22"/>
                <w:szCs w:val="22"/>
              </w:rPr>
            </w:pPr>
          </w:p>
        </w:tc>
      </w:tr>
    </w:tbl>
    <w:p w:rsidR="00D429F6" w:rsidRPr="00B70950" w:rsidRDefault="00D429F6" w:rsidP="00CB0F49">
      <w:pPr>
        <w:spacing w:before="240"/>
      </w:pPr>
      <w:r w:rsidRPr="00B70950">
        <w:t>6.9</w:t>
      </w:r>
      <w:r w:rsidRPr="00B70950">
        <w:tab/>
        <w:t>Une décision de rénover Varembé par la PP</w:t>
      </w:r>
      <w:r w:rsidRPr="00B70950">
        <w:noBreakHyphen/>
        <w:t>14 pourrait conduire à l</w:t>
      </w:r>
      <w:r w:rsidR="00126B99" w:rsidRPr="00B70950">
        <w:t>'</w:t>
      </w:r>
      <w:r w:rsidRPr="00B70950">
        <w:t xml:space="preserve">exécution de ce projet pendant la mise en </w:t>
      </w:r>
      <w:proofErr w:type="spellStart"/>
      <w:r w:rsidRPr="00B70950">
        <w:t>oeuvre</w:t>
      </w:r>
      <w:proofErr w:type="spellEnd"/>
      <w:r w:rsidRPr="00B70950">
        <w:t xml:space="preserve"> du Plan financier pour la période 2016-2019. La durée des travaux étant estimée prudemment à trois ans. Ces coûts de rénovation ne sont pas inclus dans le projet de Plan financier pour la période 2016-2019 présenté à la PP-14.</w:t>
      </w:r>
    </w:p>
    <w:p w:rsidR="00D429F6" w:rsidRPr="00B70950" w:rsidRDefault="00D429F6" w:rsidP="00CB0F49">
      <w:pPr>
        <w:pStyle w:val="Headingb0"/>
        <w:spacing w:before="240" w:after="120"/>
        <w:rPr>
          <w:sz w:val="24"/>
          <w:szCs w:val="24"/>
        </w:rPr>
      </w:pPr>
      <w:r w:rsidRPr="00B70950">
        <w:rPr>
          <w:sz w:val="24"/>
          <w:szCs w:val="24"/>
        </w:rPr>
        <w:t>Synthèse des coûts associés à l</w:t>
      </w:r>
      <w:r w:rsidR="00126B99" w:rsidRPr="00B70950">
        <w:rPr>
          <w:sz w:val="24"/>
          <w:szCs w:val="24"/>
        </w:rPr>
        <w:t>'</w:t>
      </w:r>
      <w:r w:rsidRPr="00B70950">
        <w:rPr>
          <w:sz w:val="24"/>
          <w:szCs w:val="24"/>
        </w:rPr>
        <w:t>Option 2 pour l</w:t>
      </w:r>
      <w:r w:rsidR="00126B99" w:rsidRPr="00B70950">
        <w:rPr>
          <w:sz w:val="24"/>
          <w:szCs w:val="24"/>
        </w:rPr>
        <w:t>'</w:t>
      </w:r>
      <w:r w:rsidRPr="00B70950">
        <w:rPr>
          <w:sz w:val="24"/>
          <w:szCs w:val="24"/>
        </w:rPr>
        <w:t xml:space="preserve">ensemble du </w:t>
      </w:r>
      <w:proofErr w:type="gramStart"/>
      <w:r w:rsidRPr="00B70950">
        <w:rPr>
          <w:sz w:val="24"/>
          <w:szCs w:val="24"/>
        </w:rPr>
        <w:t>siège: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416"/>
        <w:gridCol w:w="1757"/>
        <w:gridCol w:w="4173"/>
      </w:tblGrid>
      <w:tr w:rsidR="00D429F6" w:rsidRPr="00B70950" w:rsidTr="00EA073B">
        <w:trPr>
          <w:jc w:val="center"/>
        </w:trPr>
        <w:tc>
          <w:tcPr>
            <w:tcW w:w="2326" w:type="dxa"/>
          </w:tcPr>
          <w:p w:rsidR="00D429F6" w:rsidRPr="00B70950" w:rsidRDefault="00D429F6" w:rsidP="00AA0684">
            <w:pPr>
              <w:pStyle w:val="Tablehead"/>
            </w:pPr>
            <w:r w:rsidRPr="00B70950">
              <w:t>Bâtiment</w:t>
            </w:r>
          </w:p>
        </w:tc>
        <w:tc>
          <w:tcPr>
            <w:tcW w:w="1433" w:type="dxa"/>
          </w:tcPr>
          <w:p w:rsidR="00D429F6" w:rsidRPr="00B70950" w:rsidRDefault="00D429F6" w:rsidP="00AA0684">
            <w:pPr>
              <w:pStyle w:val="Tablehead"/>
            </w:pPr>
          </w:p>
        </w:tc>
        <w:tc>
          <w:tcPr>
            <w:tcW w:w="1559" w:type="dxa"/>
          </w:tcPr>
          <w:p w:rsidR="00D429F6" w:rsidRPr="00B70950" w:rsidRDefault="00D429F6" w:rsidP="00AA0684">
            <w:pPr>
              <w:pStyle w:val="Tablehead"/>
            </w:pPr>
            <w:r w:rsidRPr="00B70950">
              <w:t xml:space="preserve">Coût </w:t>
            </w:r>
            <w:r w:rsidRPr="00B70950">
              <w:br/>
              <w:t>(millions de CHF)</w:t>
            </w:r>
          </w:p>
        </w:tc>
        <w:tc>
          <w:tcPr>
            <w:tcW w:w="4303" w:type="dxa"/>
          </w:tcPr>
          <w:p w:rsidR="00D429F6" w:rsidRPr="00B70950" w:rsidRDefault="00D429F6" w:rsidP="00AA0684">
            <w:pPr>
              <w:pStyle w:val="Tablehead"/>
            </w:pPr>
            <w:r w:rsidRPr="00B70950">
              <w:t>Observations</w:t>
            </w:r>
          </w:p>
        </w:tc>
      </w:tr>
      <w:tr w:rsidR="00D429F6" w:rsidRPr="00B70950" w:rsidTr="00EA073B">
        <w:trPr>
          <w:jc w:val="center"/>
        </w:trPr>
        <w:tc>
          <w:tcPr>
            <w:tcW w:w="2326" w:type="dxa"/>
          </w:tcPr>
          <w:p w:rsidR="00D429F6" w:rsidRPr="00B70950" w:rsidRDefault="00D429F6" w:rsidP="00AA0684">
            <w:pPr>
              <w:pStyle w:val="Tabletext"/>
              <w:rPr>
                <w:szCs w:val="22"/>
              </w:rPr>
            </w:pPr>
            <w:r w:rsidRPr="00B70950">
              <w:rPr>
                <w:szCs w:val="22"/>
              </w:rPr>
              <w:t>Varembé</w:t>
            </w:r>
          </w:p>
        </w:tc>
        <w:tc>
          <w:tcPr>
            <w:tcW w:w="1433" w:type="dxa"/>
          </w:tcPr>
          <w:p w:rsidR="00D429F6" w:rsidRPr="00B70950" w:rsidRDefault="00D429F6" w:rsidP="00AA0684">
            <w:pPr>
              <w:pStyle w:val="Tabletext"/>
              <w:rPr>
                <w:szCs w:val="22"/>
              </w:rPr>
            </w:pPr>
            <w:r w:rsidRPr="00B70950">
              <w:rPr>
                <w:szCs w:val="22"/>
              </w:rPr>
              <w:t>Urgences</w:t>
            </w:r>
          </w:p>
        </w:tc>
        <w:tc>
          <w:tcPr>
            <w:tcW w:w="1559" w:type="dxa"/>
          </w:tcPr>
          <w:p w:rsidR="00D429F6" w:rsidRPr="00B70950" w:rsidRDefault="00D429F6" w:rsidP="00C114FD">
            <w:pPr>
              <w:pStyle w:val="Tabletext"/>
              <w:jc w:val="center"/>
              <w:rPr>
                <w:szCs w:val="22"/>
              </w:rPr>
            </w:pPr>
            <w:r w:rsidRPr="00B70950">
              <w:rPr>
                <w:szCs w:val="22"/>
              </w:rPr>
              <w:t>47</w:t>
            </w:r>
          </w:p>
        </w:tc>
        <w:tc>
          <w:tcPr>
            <w:tcW w:w="4303" w:type="dxa"/>
          </w:tcPr>
          <w:p w:rsidR="00D429F6" w:rsidRPr="00B70950" w:rsidRDefault="00D429F6" w:rsidP="00AA0684">
            <w:pPr>
              <w:pStyle w:val="Tabletext"/>
              <w:rPr>
                <w:szCs w:val="22"/>
              </w:rPr>
            </w:pPr>
            <w:r w:rsidRPr="00B70950">
              <w:rPr>
                <w:szCs w:val="22"/>
              </w:rPr>
              <w:t>Rénovation et maintien de l</w:t>
            </w:r>
            <w:r w:rsidR="00126B99" w:rsidRPr="00B70950">
              <w:rPr>
                <w:szCs w:val="22"/>
              </w:rPr>
              <w:t>'</w:t>
            </w:r>
            <w:r w:rsidRPr="00B70950">
              <w:rPr>
                <w:szCs w:val="22"/>
              </w:rPr>
              <w:t>utilisation.</w:t>
            </w:r>
          </w:p>
        </w:tc>
      </w:tr>
      <w:tr w:rsidR="00D429F6" w:rsidRPr="00B70950" w:rsidTr="00EA073B">
        <w:trPr>
          <w:jc w:val="center"/>
        </w:trPr>
        <w:tc>
          <w:tcPr>
            <w:tcW w:w="2326" w:type="dxa"/>
          </w:tcPr>
          <w:p w:rsidR="00D429F6" w:rsidRPr="00B70950" w:rsidRDefault="00D429F6" w:rsidP="00AA0684">
            <w:pPr>
              <w:pStyle w:val="Tabletext"/>
              <w:rPr>
                <w:szCs w:val="22"/>
              </w:rPr>
            </w:pPr>
            <w:r w:rsidRPr="00B70950">
              <w:rPr>
                <w:szCs w:val="22"/>
              </w:rPr>
              <w:t xml:space="preserve">Relogement des fonctionnaires de Varembé </w:t>
            </w:r>
          </w:p>
        </w:tc>
        <w:tc>
          <w:tcPr>
            <w:tcW w:w="1433" w:type="dxa"/>
          </w:tcPr>
          <w:p w:rsidR="00D429F6" w:rsidRPr="00B70950" w:rsidRDefault="00D429F6" w:rsidP="00AA0684">
            <w:pPr>
              <w:rPr>
                <w:sz w:val="22"/>
                <w:szCs w:val="22"/>
              </w:rPr>
            </w:pPr>
            <w:r w:rsidRPr="00B70950">
              <w:rPr>
                <w:sz w:val="22"/>
                <w:szCs w:val="22"/>
              </w:rPr>
              <w:t>Urgences</w:t>
            </w:r>
          </w:p>
        </w:tc>
        <w:tc>
          <w:tcPr>
            <w:tcW w:w="1559" w:type="dxa"/>
          </w:tcPr>
          <w:p w:rsidR="00D429F6" w:rsidRPr="00B70950" w:rsidRDefault="00D429F6" w:rsidP="00C114FD">
            <w:pPr>
              <w:jc w:val="center"/>
              <w:rPr>
                <w:sz w:val="22"/>
                <w:szCs w:val="22"/>
              </w:rPr>
            </w:pPr>
            <w:r w:rsidRPr="00B70950">
              <w:rPr>
                <w:sz w:val="22"/>
                <w:szCs w:val="22"/>
              </w:rPr>
              <w:t>16</w:t>
            </w:r>
          </w:p>
        </w:tc>
        <w:tc>
          <w:tcPr>
            <w:tcW w:w="4303" w:type="dxa"/>
          </w:tcPr>
          <w:p w:rsidR="00D429F6" w:rsidRPr="00B70950" w:rsidRDefault="00D429F6" w:rsidP="00AA0684">
            <w:pPr>
              <w:pStyle w:val="Tabletext"/>
              <w:rPr>
                <w:szCs w:val="22"/>
              </w:rPr>
            </w:pPr>
          </w:p>
        </w:tc>
      </w:tr>
      <w:tr w:rsidR="00D429F6" w:rsidRPr="00B70950" w:rsidTr="00EA073B">
        <w:trPr>
          <w:jc w:val="center"/>
        </w:trPr>
        <w:tc>
          <w:tcPr>
            <w:tcW w:w="2326" w:type="dxa"/>
          </w:tcPr>
          <w:p w:rsidR="00D429F6" w:rsidRPr="00B70950" w:rsidRDefault="00D429F6" w:rsidP="00AA0684">
            <w:pPr>
              <w:pStyle w:val="Tabletext"/>
              <w:rPr>
                <w:szCs w:val="22"/>
              </w:rPr>
            </w:pPr>
            <w:proofErr w:type="spellStart"/>
            <w:r w:rsidRPr="00B70950">
              <w:rPr>
                <w:szCs w:val="22"/>
              </w:rPr>
              <w:t>Montbrillant</w:t>
            </w:r>
            <w:proofErr w:type="spellEnd"/>
          </w:p>
        </w:tc>
        <w:tc>
          <w:tcPr>
            <w:tcW w:w="1433" w:type="dxa"/>
          </w:tcPr>
          <w:p w:rsidR="00D429F6" w:rsidRPr="00B70950" w:rsidRDefault="00D429F6" w:rsidP="00AA0684">
            <w:pPr>
              <w:pStyle w:val="Tabletext"/>
              <w:rPr>
                <w:szCs w:val="22"/>
              </w:rPr>
            </w:pPr>
            <w:r w:rsidRPr="00B70950">
              <w:rPr>
                <w:szCs w:val="22"/>
              </w:rPr>
              <w:t>Urgences</w:t>
            </w:r>
          </w:p>
        </w:tc>
        <w:tc>
          <w:tcPr>
            <w:tcW w:w="1559" w:type="dxa"/>
          </w:tcPr>
          <w:p w:rsidR="00D429F6" w:rsidRPr="00B70950" w:rsidRDefault="00D429F6" w:rsidP="00C114FD">
            <w:pPr>
              <w:pStyle w:val="Tabletext"/>
              <w:jc w:val="center"/>
              <w:rPr>
                <w:szCs w:val="22"/>
              </w:rPr>
            </w:pPr>
            <w:r w:rsidRPr="00B70950">
              <w:rPr>
                <w:szCs w:val="22"/>
              </w:rPr>
              <w:t>4</w:t>
            </w:r>
          </w:p>
        </w:tc>
        <w:tc>
          <w:tcPr>
            <w:tcW w:w="4303" w:type="dxa"/>
          </w:tcPr>
          <w:p w:rsidR="00D429F6" w:rsidRPr="00B70950" w:rsidRDefault="00D429F6" w:rsidP="00AA0684">
            <w:pPr>
              <w:pStyle w:val="Tabletext"/>
              <w:rPr>
                <w:szCs w:val="22"/>
              </w:rPr>
            </w:pPr>
            <w:r w:rsidRPr="00B70950">
              <w:rPr>
                <w:szCs w:val="22"/>
              </w:rPr>
              <w:t>Maintien de l</w:t>
            </w:r>
            <w:r w:rsidR="00126B99" w:rsidRPr="00B70950">
              <w:rPr>
                <w:szCs w:val="22"/>
              </w:rPr>
              <w:t>'</w:t>
            </w:r>
            <w:r w:rsidRPr="00B70950">
              <w:rPr>
                <w:szCs w:val="22"/>
              </w:rPr>
              <w:t>utilisation.</w:t>
            </w:r>
          </w:p>
        </w:tc>
      </w:tr>
      <w:tr w:rsidR="00D429F6" w:rsidRPr="00B70950" w:rsidTr="00EA073B">
        <w:trPr>
          <w:jc w:val="center"/>
        </w:trPr>
        <w:tc>
          <w:tcPr>
            <w:tcW w:w="2326" w:type="dxa"/>
          </w:tcPr>
          <w:p w:rsidR="00D429F6" w:rsidRPr="00B70950" w:rsidRDefault="00D429F6" w:rsidP="00AA0684">
            <w:pPr>
              <w:pStyle w:val="Tabletext"/>
              <w:rPr>
                <w:szCs w:val="22"/>
              </w:rPr>
            </w:pPr>
            <w:r w:rsidRPr="00B70950">
              <w:rPr>
                <w:szCs w:val="22"/>
              </w:rPr>
              <w:t>Tour</w:t>
            </w:r>
          </w:p>
        </w:tc>
        <w:tc>
          <w:tcPr>
            <w:tcW w:w="1433" w:type="dxa"/>
          </w:tcPr>
          <w:p w:rsidR="00D429F6" w:rsidRPr="00B70950" w:rsidRDefault="00D429F6" w:rsidP="00AA0684">
            <w:pPr>
              <w:pStyle w:val="Tabletext"/>
              <w:rPr>
                <w:szCs w:val="22"/>
              </w:rPr>
            </w:pPr>
            <w:r w:rsidRPr="00B70950">
              <w:rPr>
                <w:szCs w:val="22"/>
              </w:rPr>
              <w:t>Urgences</w:t>
            </w:r>
          </w:p>
        </w:tc>
        <w:tc>
          <w:tcPr>
            <w:tcW w:w="1559" w:type="dxa"/>
          </w:tcPr>
          <w:p w:rsidR="00D429F6" w:rsidRPr="00B70950" w:rsidRDefault="00D429F6" w:rsidP="00C114FD">
            <w:pPr>
              <w:pStyle w:val="Tabletext"/>
              <w:jc w:val="center"/>
              <w:rPr>
                <w:szCs w:val="22"/>
                <w:highlight w:val="yellow"/>
              </w:rPr>
            </w:pPr>
            <w:r w:rsidRPr="00B70950">
              <w:rPr>
                <w:szCs w:val="22"/>
              </w:rPr>
              <w:t>45</w:t>
            </w:r>
          </w:p>
        </w:tc>
        <w:tc>
          <w:tcPr>
            <w:tcW w:w="4303" w:type="dxa"/>
          </w:tcPr>
          <w:p w:rsidR="00D429F6" w:rsidRPr="00B70950" w:rsidRDefault="00D429F6" w:rsidP="00AA0684">
            <w:pPr>
              <w:pStyle w:val="Tabletext"/>
              <w:rPr>
                <w:szCs w:val="22"/>
              </w:rPr>
            </w:pPr>
            <w:r w:rsidRPr="00B70950">
              <w:rPr>
                <w:szCs w:val="22"/>
              </w:rPr>
              <w:t>Maintien de l</w:t>
            </w:r>
            <w:r w:rsidR="00126B99" w:rsidRPr="00B70950">
              <w:rPr>
                <w:szCs w:val="22"/>
              </w:rPr>
              <w:t>'</w:t>
            </w:r>
            <w:r w:rsidRPr="00B70950">
              <w:rPr>
                <w:szCs w:val="22"/>
              </w:rPr>
              <w:t>utilisation.</w:t>
            </w:r>
          </w:p>
        </w:tc>
      </w:tr>
      <w:tr w:rsidR="00D429F6" w:rsidRPr="00B70950" w:rsidTr="00EA073B">
        <w:trPr>
          <w:jc w:val="center"/>
        </w:trPr>
        <w:tc>
          <w:tcPr>
            <w:tcW w:w="2326" w:type="dxa"/>
          </w:tcPr>
          <w:p w:rsidR="00D429F6" w:rsidRPr="00B70950" w:rsidRDefault="00D429F6" w:rsidP="00AA0684">
            <w:pPr>
              <w:pStyle w:val="Tabletext"/>
              <w:rPr>
                <w:szCs w:val="22"/>
              </w:rPr>
            </w:pPr>
            <w:r w:rsidRPr="00B70950">
              <w:rPr>
                <w:szCs w:val="22"/>
              </w:rPr>
              <w:t xml:space="preserve">Relogement des fonctionnaires de la Tour </w:t>
            </w:r>
          </w:p>
        </w:tc>
        <w:tc>
          <w:tcPr>
            <w:tcW w:w="1433" w:type="dxa"/>
          </w:tcPr>
          <w:p w:rsidR="00D429F6" w:rsidRPr="00B70950" w:rsidRDefault="00D429F6" w:rsidP="00AA0684">
            <w:pPr>
              <w:pStyle w:val="Tabletext"/>
              <w:rPr>
                <w:szCs w:val="22"/>
              </w:rPr>
            </w:pPr>
            <w:r w:rsidRPr="00B70950">
              <w:rPr>
                <w:szCs w:val="22"/>
              </w:rPr>
              <w:t>Urgences</w:t>
            </w:r>
          </w:p>
        </w:tc>
        <w:tc>
          <w:tcPr>
            <w:tcW w:w="1559" w:type="dxa"/>
          </w:tcPr>
          <w:p w:rsidR="00D429F6" w:rsidRPr="00B70950" w:rsidRDefault="00D429F6" w:rsidP="00C114FD">
            <w:pPr>
              <w:pStyle w:val="Tabletext"/>
              <w:jc w:val="center"/>
              <w:rPr>
                <w:szCs w:val="22"/>
              </w:rPr>
            </w:pPr>
            <w:r w:rsidRPr="00B70950">
              <w:rPr>
                <w:szCs w:val="22"/>
              </w:rPr>
              <w:t>8</w:t>
            </w:r>
          </w:p>
        </w:tc>
        <w:tc>
          <w:tcPr>
            <w:tcW w:w="4303" w:type="dxa"/>
          </w:tcPr>
          <w:p w:rsidR="00D429F6" w:rsidRPr="00B70950" w:rsidRDefault="00D429F6" w:rsidP="00AA0684">
            <w:pPr>
              <w:pStyle w:val="Tabletext"/>
              <w:rPr>
                <w:szCs w:val="22"/>
              </w:rPr>
            </w:pPr>
          </w:p>
        </w:tc>
      </w:tr>
      <w:tr w:rsidR="00D429F6" w:rsidRPr="00B70950" w:rsidTr="00EA073B">
        <w:trPr>
          <w:jc w:val="center"/>
        </w:trPr>
        <w:tc>
          <w:tcPr>
            <w:tcW w:w="2326" w:type="dxa"/>
          </w:tcPr>
          <w:p w:rsidR="00D429F6" w:rsidRPr="00B70950" w:rsidRDefault="00D429F6" w:rsidP="007F1941">
            <w:pPr>
              <w:pStyle w:val="Tabletext"/>
              <w:rPr>
                <w:i/>
                <w:szCs w:val="22"/>
              </w:rPr>
            </w:pPr>
            <w:r w:rsidRPr="00B70950">
              <w:rPr>
                <w:i/>
                <w:szCs w:val="22"/>
              </w:rPr>
              <w:t>Charges financières</w:t>
            </w:r>
          </w:p>
        </w:tc>
        <w:tc>
          <w:tcPr>
            <w:tcW w:w="1433" w:type="dxa"/>
          </w:tcPr>
          <w:p w:rsidR="00D429F6" w:rsidRPr="00B70950" w:rsidRDefault="00D429F6" w:rsidP="007F1941">
            <w:pPr>
              <w:pStyle w:val="Tabletext"/>
              <w:rPr>
                <w:i/>
                <w:szCs w:val="22"/>
              </w:rPr>
            </w:pPr>
          </w:p>
        </w:tc>
        <w:tc>
          <w:tcPr>
            <w:tcW w:w="1559" w:type="dxa"/>
          </w:tcPr>
          <w:p w:rsidR="00D429F6" w:rsidRPr="00B70950" w:rsidRDefault="00EC7575" w:rsidP="00C114FD">
            <w:pPr>
              <w:pStyle w:val="Tabletext"/>
              <w:jc w:val="center"/>
              <w:rPr>
                <w:i/>
                <w:szCs w:val="22"/>
              </w:rPr>
            </w:pPr>
            <w:r w:rsidRPr="00B70950">
              <w:rPr>
                <w:i/>
                <w:szCs w:val="22"/>
              </w:rPr>
              <w:t>27</w:t>
            </w:r>
          </w:p>
        </w:tc>
        <w:tc>
          <w:tcPr>
            <w:tcW w:w="4303" w:type="dxa"/>
          </w:tcPr>
          <w:p w:rsidR="00D429F6" w:rsidRPr="00B70950" w:rsidRDefault="00D429F6" w:rsidP="007F1941">
            <w:pPr>
              <w:pStyle w:val="Tabletext"/>
              <w:rPr>
                <w:i/>
                <w:szCs w:val="22"/>
              </w:rPr>
            </w:pPr>
            <w:r w:rsidRPr="00B70950">
              <w:rPr>
                <w:i/>
                <w:szCs w:val="22"/>
              </w:rPr>
              <w:t>Intérêts cumulés sur le prêt.</w:t>
            </w:r>
          </w:p>
        </w:tc>
      </w:tr>
      <w:tr w:rsidR="00D429F6" w:rsidRPr="00B70950" w:rsidTr="00EA073B">
        <w:trPr>
          <w:trHeight w:val="287"/>
          <w:jc w:val="center"/>
        </w:trPr>
        <w:tc>
          <w:tcPr>
            <w:tcW w:w="2326" w:type="dxa"/>
            <w:vAlign w:val="center"/>
          </w:tcPr>
          <w:p w:rsidR="00D429F6" w:rsidRPr="00B70950" w:rsidRDefault="00D429F6" w:rsidP="007F1941">
            <w:pPr>
              <w:pStyle w:val="Tabletext"/>
              <w:rPr>
                <w:b/>
                <w:szCs w:val="22"/>
              </w:rPr>
            </w:pPr>
            <w:r w:rsidRPr="00B70950">
              <w:rPr>
                <w:b/>
                <w:szCs w:val="22"/>
              </w:rPr>
              <w:t>TOTAL</w:t>
            </w:r>
          </w:p>
        </w:tc>
        <w:tc>
          <w:tcPr>
            <w:tcW w:w="1433" w:type="dxa"/>
          </w:tcPr>
          <w:p w:rsidR="00D429F6" w:rsidRPr="00B70950" w:rsidRDefault="00D429F6" w:rsidP="00AA0684">
            <w:pPr>
              <w:rPr>
                <w:b/>
                <w:sz w:val="22"/>
                <w:szCs w:val="22"/>
              </w:rPr>
            </w:pPr>
          </w:p>
        </w:tc>
        <w:tc>
          <w:tcPr>
            <w:tcW w:w="1559" w:type="dxa"/>
          </w:tcPr>
          <w:p w:rsidR="00D429F6" w:rsidRPr="00B70950" w:rsidRDefault="00EC7575" w:rsidP="00C114FD">
            <w:pPr>
              <w:jc w:val="center"/>
              <w:rPr>
                <w:b/>
                <w:sz w:val="22"/>
                <w:szCs w:val="22"/>
                <w:highlight w:val="yellow"/>
              </w:rPr>
            </w:pPr>
            <w:r w:rsidRPr="00B70950">
              <w:rPr>
                <w:b/>
                <w:sz w:val="22"/>
                <w:szCs w:val="22"/>
              </w:rPr>
              <w:t>147</w:t>
            </w:r>
          </w:p>
        </w:tc>
        <w:tc>
          <w:tcPr>
            <w:tcW w:w="4303" w:type="dxa"/>
          </w:tcPr>
          <w:p w:rsidR="00D429F6" w:rsidRPr="00B70950" w:rsidRDefault="00D429F6" w:rsidP="00AA0684">
            <w:pPr>
              <w:rPr>
                <w:b/>
                <w:sz w:val="22"/>
                <w:szCs w:val="22"/>
              </w:rPr>
            </w:pPr>
          </w:p>
        </w:tc>
      </w:tr>
    </w:tbl>
    <w:p w:rsidR="00D429F6" w:rsidRPr="00B70950" w:rsidRDefault="00D429F6" w:rsidP="007F1941">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433"/>
        <w:gridCol w:w="1765"/>
        <w:gridCol w:w="4097"/>
      </w:tblGrid>
      <w:tr w:rsidR="00D429F6" w:rsidRPr="00B70950" w:rsidTr="00EA073B">
        <w:trPr>
          <w:jc w:val="center"/>
        </w:trPr>
        <w:tc>
          <w:tcPr>
            <w:tcW w:w="2326" w:type="dxa"/>
          </w:tcPr>
          <w:p w:rsidR="00D429F6" w:rsidRPr="00B70950" w:rsidRDefault="00D429F6" w:rsidP="007F1941">
            <w:pPr>
              <w:pStyle w:val="Tabletext"/>
              <w:rPr>
                <w:szCs w:val="22"/>
              </w:rPr>
            </w:pPr>
            <w:r w:rsidRPr="00B70950">
              <w:rPr>
                <w:szCs w:val="22"/>
              </w:rPr>
              <w:t>Tous les bâtiments</w:t>
            </w:r>
          </w:p>
        </w:tc>
        <w:tc>
          <w:tcPr>
            <w:tcW w:w="1433" w:type="dxa"/>
          </w:tcPr>
          <w:p w:rsidR="00D429F6" w:rsidRPr="00B70950" w:rsidRDefault="00D429F6" w:rsidP="007F1941">
            <w:pPr>
              <w:pStyle w:val="Tabletext"/>
              <w:rPr>
                <w:szCs w:val="22"/>
              </w:rPr>
            </w:pPr>
            <w:r w:rsidRPr="00B70950">
              <w:rPr>
                <w:szCs w:val="22"/>
              </w:rPr>
              <w:t>Coût total annuel</w:t>
            </w:r>
          </w:p>
        </w:tc>
        <w:tc>
          <w:tcPr>
            <w:tcW w:w="1765" w:type="dxa"/>
          </w:tcPr>
          <w:p w:rsidR="00D429F6" w:rsidRPr="00B70950" w:rsidRDefault="00D429F6" w:rsidP="00C114FD">
            <w:pPr>
              <w:jc w:val="center"/>
              <w:rPr>
                <w:sz w:val="22"/>
                <w:szCs w:val="22"/>
              </w:rPr>
            </w:pPr>
            <w:r w:rsidRPr="00B70950">
              <w:rPr>
                <w:sz w:val="22"/>
                <w:szCs w:val="22"/>
              </w:rPr>
              <w:t>4,</w:t>
            </w:r>
            <w:r w:rsidR="00EC7575" w:rsidRPr="00B70950">
              <w:rPr>
                <w:sz w:val="22"/>
                <w:szCs w:val="22"/>
              </w:rPr>
              <w:t>9</w:t>
            </w:r>
            <w:r w:rsidRPr="00B70950">
              <w:rPr>
                <w:sz w:val="22"/>
                <w:szCs w:val="22"/>
              </w:rPr>
              <w:t xml:space="preserve"> par an</w:t>
            </w:r>
          </w:p>
        </w:tc>
        <w:tc>
          <w:tcPr>
            <w:tcW w:w="4097" w:type="dxa"/>
          </w:tcPr>
          <w:p w:rsidR="00D429F6" w:rsidRPr="00B70950" w:rsidRDefault="00D429F6" w:rsidP="00AA0684">
            <w:pPr>
              <w:rPr>
                <w:sz w:val="22"/>
                <w:szCs w:val="22"/>
              </w:rPr>
            </w:pPr>
            <w:r w:rsidRPr="00B70950">
              <w:rPr>
                <w:sz w:val="22"/>
                <w:szCs w:val="22"/>
              </w:rPr>
              <w:t>4 millions CHF par an pendant 30 ans, plus des intérêts de 0,</w:t>
            </w:r>
            <w:r w:rsidR="00EC7575" w:rsidRPr="00B70950">
              <w:rPr>
                <w:sz w:val="22"/>
                <w:szCs w:val="22"/>
              </w:rPr>
              <w:t>9</w:t>
            </w:r>
            <w:r w:rsidRPr="00B70950">
              <w:rPr>
                <w:sz w:val="22"/>
                <w:szCs w:val="22"/>
              </w:rPr>
              <w:t xml:space="preserve"> million CHF </w:t>
            </w:r>
            <w:r w:rsidR="00C227C8" w:rsidRPr="00B70950">
              <w:rPr>
                <w:sz w:val="22"/>
                <w:szCs w:val="22"/>
              </w:rPr>
              <w:t xml:space="preserve">en moyenne </w:t>
            </w:r>
            <w:r w:rsidRPr="00B70950">
              <w:rPr>
                <w:sz w:val="22"/>
                <w:szCs w:val="22"/>
              </w:rPr>
              <w:t>à compter de la date de la fin des rénovations.</w:t>
            </w:r>
          </w:p>
        </w:tc>
      </w:tr>
    </w:tbl>
    <w:p w:rsidR="00D429F6" w:rsidRPr="00B70950" w:rsidRDefault="00D429F6" w:rsidP="007F19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433"/>
        <w:gridCol w:w="1765"/>
        <w:gridCol w:w="4097"/>
      </w:tblGrid>
      <w:tr w:rsidR="00D429F6" w:rsidRPr="00B70950" w:rsidTr="00EA073B">
        <w:trPr>
          <w:jc w:val="center"/>
        </w:trPr>
        <w:tc>
          <w:tcPr>
            <w:tcW w:w="2326" w:type="dxa"/>
          </w:tcPr>
          <w:p w:rsidR="00D429F6" w:rsidRPr="00B70950" w:rsidRDefault="00D429F6" w:rsidP="007F1941">
            <w:pPr>
              <w:pStyle w:val="Tabletext"/>
              <w:rPr>
                <w:szCs w:val="22"/>
              </w:rPr>
            </w:pPr>
            <w:r w:rsidRPr="00B70950">
              <w:rPr>
                <w:szCs w:val="22"/>
              </w:rPr>
              <w:t>Tous les bâtiments</w:t>
            </w:r>
          </w:p>
        </w:tc>
        <w:tc>
          <w:tcPr>
            <w:tcW w:w="1433" w:type="dxa"/>
            <w:vAlign w:val="center"/>
          </w:tcPr>
          <w:p w:rsidR="00D429F6" w:rsidRPr="00B70950" w:rsidRDefault="00D429F6" w:rsidP="00AA0684">
            <w:pPr>
              <w:rPr>
                <w:sz w:val="22"/>
                <w:szCs w:val="22"/>
              </w:rPr>
            </w:pPr>
            <w:r w:rsidRPr="00B70950">
              <w:rPr>
                <w:sz w:val="22"/>
                <w:szCs w:val="22"/>
              </w:rPr>
              <w:t>Maintenance à long terme</w:t>
            </w:r>
          </w:p>
        </w:tc>
        <w:tc>
          <w:tcPr>
            <w:tcW w:w="1765" w:type="dxa"/>
          </w:tcPr>
          <w:p w:rsidR="00D429F6" w:rsidRPr="00B70950" w:rsidRDefault="00D429F6" w:rsidP="00C114FD">
            <w:pPr>
              <w:jc w:val="center"/>
              <w:rPr>
                <w:sz w:val="22"/>
                <w:szCs w:val="22"/>
              </w:rPr>
            </w:pPr>
            <w:r w:rsidRPr="00B70950">
              <w:rPr>
                <w:sz w:val="22"/>
                <w:szCs w:val="22"/>
              </w:rPr>
              <w:t>2,5 par an</w:t>
            </w:r>
          </w:p>
        </w:tc>
        <w:tc>
          <w:tcPr>
            <w:tcW w:w="4097" w:type="dxa"/>
          </w:tcPr>
          <w:p w:rsidR="00D429F6" w:rsidRPr="00B70950" w:rsidRDefault="00D429F6" w:rsidP="00AA0684">
            <w:pPr>
              <w:rPr>
                <w:sz w:val="22"/>
                <w:szCs w:val="22"/>
              </w:rPr>
            </w:pPr>
            <w:r w:rsidRPr="00B70950">
              <w:rPr>
                <w:sz w:val="22"/>
                <w:szCs w:val="22"/>
              </w:rPr>
              <w:t>1% de la valeur d</w:t>
            </w:r>
            <w:r w:rsidR="00126B99" w:rsidRPr="00B70950">
              <w:rPr>
                <w:sz w:val="22"/>
                <w:szCs w:val="22"/>
              </w:rPr>
              <w:t>'</w:t>
            </w:r>
            <w:r w:rsidRPr="00B70950">
              <w:rPr>
                <w:sz w:val="22"/>
                <w:szCs w:val="22"/>
              </w:rPr>
              <w:t>assurance incendie par an.</w:t>
            </w:r>
          </w:p>
        </w:tc>
      </w:tr>
    </w:tbl>
    <w:p w:rsidR="00C114FD" w:rsidRPr="00B70950" w:rsidRDefault="00C114FD" w:rsidP="00AA0684">
      <w:pPr>
        <w:rPr>
          <w:rFonts w:asciiTheme="minorHAnsi" w:hAnsiTheme="minorHAnsi"/>
          <w:szCs w:val="24"/>
        </w:rPr>
      </w:pPr>
      <w:r w:rsidRPr="00B70950">
        <w:rPr>
          <w:rFonts w:asciiTheme="minorHAnsi" w:hAnsiTheme="minorHAnsi"/>
          <w:szCs w:val="24"/>
        </w:rPr>
        <w:br w:type="page"/>
      </w:r>
    </w:p>
    <w:p w:rsidR="00D429F6" w:rsidRPr="00B70950" w:rsidRDefault="00D429F6" w:rsidP="00AA0684">
      <w:pPr>
        <w:rPr>
          <w:rFonts w:asciiTheme="minorHAnsi" w:hAnsiTheme="minorHAnsi"/>
          <w:szCs w:val="24"/>
        </w:rPr>
      </w:pPr>
      <w:r w:rsidRPr="00B70950">
        <w:rPr>
          <w:rFonts w:asciiTheme="minorHAnsi" w:hAnsiTheme="minorHAnsi"/>
          <w:szCs w:val="24"/>
        </w:rPr>
        <w:lastRenderedPageBreak/>
        <w:t>6.10</w:t>
      </w:r>
      <w:r w:rsidRPr="00B70950">
        <w:rPr>
          <w:rFonts w:asciiTheme="minorHAnsi" w:hAnsiTheme="minorHAnsi"/>
          <w:szCs w:val="24"/>
        </w:rPr>
        <w:tab/>
        <w:t xml:space="preserve">L'Option 2 comporterait également les incidences </w:t>
      </w:r>
      <w:proofErr w:type="gramStart"/>
      <w:r w:rsidRPr="00B70950">
        <w:rPr>
          <w:rFonts w:asciiTheme="minorHAnsi" w:hAnsiTheme="minorHAnsi"/>
          <w:szCs w:val="24"/>
        </w:rPr>
        <w:t>suivantes:</w:t>
      </w:r>
      <w:proofErr w:type="gramEnd"/>
    </w:p>
    <w:p w:rsidR="00D429F6" w:rsidRPr="00B70950" w:rsidRDefault="00D429F6" w:rsidP="007F1941">
      <w:pPr>
        <w:pStyle w:val="enumlev1"/>
      </w:pPr>
      <w:r w:rsidRPr="00B70950">
        <w:t>–</w:t>
      </w:r>
      <w:r w:rsidRPr="00B70950">
        <w:tab/>
        <w:t>une possible augmentation de la valeur des immobilisations corporelles (dans une moindre mesure toutefois que dans le cas de l</w:t>
      </w:r>
      <w:r w:rsidR="00126B99" w:rsidRPr="00B70950">
        <w:t>'</w:t>
      </w:r>
      <w:r w:rsidRPr="00B70950">
        <w:t>Option 1</w:t>
      </w:r>
      <w:proofErr w:type="gramStart"/>
      <w:r w:rsidRPr="00B70950">
        <w:t>);</w:t>
      </w:r>
      <w:proofErr w:type="gramEnd"/>
    </w:p>
    <w:p w:rsidR="00D429F6" w:rsidRPr="00B70950" w:rsidRDefault="00D429F6" w:rsidP="007F1941">
      <w:pPr>
        <w:pStyle w:val="enumlev1"/>
      </w:pPr>
      <w:r w:rsidRPr="00B70950">
        <w:t>–</w:t>
      </w:r>
      <w:r w:rsidRPr="00B70950">
        <w:tab/>
        <w:t>une diminution de l</w:t>
      </w:r>
      <w:r w:rsidR="00126B99" w:rsidRPr="00B70950">
        <w:t>'</w:t>
      </w:r>
      <w:r w:rsidRPr="00B70950">
        <w:t>utilisation des services, d</w:t>
      </w:r>
      <w:r w:rsidR="00126B99" w:rsidRPr="00B70950">
        <w:t>'</w:t>
      </w:r>
      <w:r w:rsidRPr="00B70950">
        <w:t>où une réduction de l</w:t>
      </w:r>
      <w:r w:rsidR="00126B99" w:rsidRPr="00B70950">
        <w:t>'</w:t>
      </w:r>
      <w:r w:rsidRPr="00B70950">
        <w:t>empreinte écologique (meilleur rendement du fait des rénovations</w:t>
      </w:r>
      <w:proofErr w:type="gramStart"/>
      <w:r w:rsidRPr="00B70950">
        <w:t>);</w:t>
      </w:r>
      <w:proofErr w:type="gramEnd"/>
    </w:p>
    <w:p w:rsidR="00D429F6" w:rsidRPr="00B70950" w:rsidRDefault="00D429F6" w:rsidP="007F1941">
      <w:pPr>
        <w:pStyle w:val="enumlev1"/>
      </w:pPr>
      <w:r w:rsidRPr="00B70950">
        <w:t>–</w:t>
      </w:r>
      <w:r w:rsidRPr="00B70950">
        <w:tab/>
        <w:t>une amélioration de la qualité de vie des fonctionnaires et des délégués (meilleure régulation des conditions ambiantes, mais persistance de déficiences structurelles au niveau de la Tour et de Varembé</w:t>
      </w:r>
      <w:proofErr w:type="gramStart"/>
      <w:r w:rsidRPr="00B70950">
        <w:t>);</w:t>
      </w:r>
      <w:proofErr w:type="gramEnd"/>
      <w:r w:rsidRPr="00B70950">
        <w:t xml:space="preserve"> </w:t>
      </w:r>
    </w:p>
    <w:p w:rsidR="00D429F6" w:rsidRPr="00B70950" w:rsidRDefault="00D429F6" w:rsidP="007F1941">
      <w:pPr>
        <w:pStyle w:val="enumlev1"/>
      </w:pPr>
      <w:r w:rsidRPr="00B70950">
        <w:t>–</w:t>
      </w:r>
      <w:r w:rsidRPr="00B70950">
        <w:tab/>
        <w:t>les décaissements annuels au titre de la seule rénovation de Varembé s</w:t>
      </w:r>
      <w:r w:rsidR="00126B99" w:rsidRPr="00B70950">
        <w:t>'</w:t>
      </w:r>
      <w:r w:rsidRPr="00B70950">
        <w:t>élèvent à 3,1 millions CHF pour le remboursement du prêt, paiement des intérêts inclus (sur une période de 30 ans</w:t>
      </w:r>
      <w:proofErr w:type="gramStart"/>
      <w:r w:rsidRPr="00B70950">
        <w:t>);</w:t>
      </w:r>
      <w:proofErr w:type="gramEnd"/>
    </w:p>
    <w:p w:rsidR="00D429F6" w:rsidRPr="00B70950" w:rsidRDefault="00D429F6" w:rsidP="007F1941">
      <w:pPr>
        <w:pStyle w:val="enumlev1"/>
      </w:pPr>
      <w:r w:rsidRPr="00B70950">
        <w:t>–</w:t>
      </w:r>
      <w:r w:rsidRPr="00B70950">
        <w:tab/>
        <w:t>les travaux de rénovation de l</w:t>
      </w:r>
      <w:r w:rsidR="00126B99" w:rsidRPr="00B70950">
        <w:t>'</w:t>
      </w:r>
      <w:r w:rsidRPr="00B70950">
        <w:t>ensemble des bâtiments (120 millions CHF, compte tenu des coûts liés à la nécessité de reloger temporairement les fonctionnaires) pourraient, en principe, être financés au moyen d</w:t>
      </w:r>
      <w:r w:rsidR="00126B99" w:rsidRPr="00B70950">
        <w:t>'</w:t>
      </w:r>
      <w:r w:rsidRPr="00B70950">
        <w:t xml:space="preserve">un </w:t>
      </w:r>
      <w:r w:rsidR="00956906" w:rsidRPr="00B70950">
        <w:t>prêt à la</w:t>
      </w:r>
      <w:r w:rsidR="00EC7575" w:rsidRPr="00B70950">
        <w:t xml:space="preserve"> rénovation </w:t>
      </w:r>
      <w:r w:rsidR="00C227C8" w:rsidRPr="00B70950">
        <w:t>portant intérêt</w:t>
      </w:r>
      <w:r w:rsidR="00AA0684" w:rsidRPr="00B70950">
        <w:t xml:space="preserve"> </w:t>
      </w:r>
      <w:r w:rsidRPr="00B70950">
        <w:t>octroyé par le pays hôte.</w:t>
      </w:r>
    </w:p>
    <w:p w:rsidR="00D429F6" w:rsidRPr="00B70950" w:rsidRDefault="00D429F6" w:rsidP="007F1941">
      <w:pPr>
        <w:pStyle w:val="Heading1"/>
      </w:pPr>
      <w:r w:rsidRPr="00B70950">
        <w:t>7</w:t>
      </w:r>
      <w:r w:rsidRPr="00B70950">
        <w:tab/>
        <w:t xml:space="preserve">Option </w:t>
      </w:r>
      <w:proofErr w:type="gramStart"/>
      <w:r w:rsidRPr="00B70950">
        <w:t>3:</w:t>
      </w:r>
      <w:proofErr w:type="gramEnd"/>
      <w:r w:rsidRPr="00B70950">
        <w:t xml:space="preserve"> Location de locaux à Genève</w:t>
      </w:r>
    </w:p>
    <w:p w:rsidR="00D429F6" w:rsidRPr="00B70950" w:rsidRDefault="00D429F6" w:rsidP="007F1941">
      <w:pPr>
        <w:rPr>
          <w:rFonts w:asciiTheme="minorHAnsi" w:hAnsiTheme="minorHAnsi"/>
          <w:szCs w:val="24"/>
        </w:rPr>
      </w:pPr>
      <w:r w:rsidRPr="00B70950">
        <w:rPr>
          <w:rFonts w:asciiTheme="minorHAnsi" w:hAnsiTheme="minorHAnsi"/>
          <w:szCs w:val="24"/>
        </w:rPr>
        <w:t>7.1</w:t>
      </w:r>
      <w:r w:rsidRPr="00B70950">
        <w:rPr>
          <w:rFonts w:asciiTheme="minorHAnsi" w:hAnsiTheme="minorHAnsi"/>
          <w:szCs w:val="24"/>
        </w:rPr>
        <w:tab/>
        <w:t>La présente section a pour but de fournir une estimation du coût de la location de locaux à Genève. La location de bâtiments situés dans la même ville, mais non reliés physiquement au reste du siège, ferait apparaître des facteurs de perte d</w:t>
      </w:r>
      <w:r w:rsidR="00126B99" w:rsidRPr="00B70950">
        <w:rPr>
          <w:rFonts w:asciiTheme="minorHAnsi" w:hAnsiTheme="minorHAnsi"/>
          <w:szCs w:val="24"/>
        </w:rPr>
        <w:t>'</w:t>
      </w:r>
      <w:r w:rsidRPr="00B70950">
        <w:rPr>
          <w:rFonts w:asciiTheme="minorHAnsi" w:hAnsiTheme="minorHAnsi"/>
          <w:szCs w:val="24"/>
        </w:rPr>
        <w:t>efficience qui pourraient être provisoirement acceptables, mais qu</w:t>
      </w:r>
      <w:r w:rsidR="00126B99" w:rsidRPr="00B70950">
        <w:rPr>
          <w:rFonts w:asciiTheme="minorHAnsi" w:hAnsiTheme="minorHAnsi"/>
          <w:szCs w:val="24"/>
        </w:rPr>
        <w:t>'</w:t>
      </w:r>
      <w:r w:rsidRPr="00B70950">
        <w:rPr>
          <w:rFonts w:asciiTheme="minorHAnsi" w:hAnsiTheme="minorHAnsi"/>
          <w:szCs w:val="24"/>
        </w:rPr>
        <w:t>il convient d</w:t>
      </w:r>
      <w:r w:rsidR="00126B99" w:rsidRPr="00B70950">
        <w:rPr>
          <w:rFonts w:asciiTheme="minorHAnsi" w:hAnsiTheme="minorHAnsi"/>
          <w:szCs w:val="24"/>
        </w:rPr>
        <w:t>'</w:t>
      </w:r>
      <w:r w:rsidRPr="00B70950">
        <w:rPr>
          <w:rFonts w:asciiTheme="minorHAnsi" w:hAnsiTheme="minorHAnsi"/>
          <w:szCs w:val="24"/>
        </w:rPr>
        <w:t>éviter, si possible, sur le long terme. Ces facteurs incluent le transport entre les sites, l</w:t>
      </w:r>
      <w:r w:rsidR="00126B99" w:rsidRPr="00B70950">
        <w:rPr>
          <w:rFonts w:asciiTheme="minorHAnsi" w:hAnsiTheme="minorHAnsi"/>
          <w:szCs w:val="24"/>
        </w:rPr>
        <w:t>'</w:t>
      </w:r>
      <w:r w:rsidRPr="00B70950">
        <w:rPr>
          <w:rFonts w:asciiTheme="minorHAnsi" w:hAnsiTheme="minorHAnsi"/>
          <w:szCs w:val="24"/>
        </w:rPr>
        <w:t xml:space="preserve">agrandissement du périmètre de sécurité, des retards liés aux trajets entre les sites, et la nécessité de répéter la fourniture de certains services en plusieurs endroits. </w:t>
      </w:r>
    </w:p>
    <w:p w:rsidR="00D429F6" w:rsidRPr="00B70950" w:rsidRDefault="00D429F6" w:rsidP="007F1941">
      <w:pPr>
        <w:pStyle w:val="Heading1"/>
      </w:pPr>
      <w:r w:rsidRPr="00B70950">
        <w:t>A</w:t>
      </w:r>
      <w:r w:rsidRPr="00B70950">
        <w:tab/>
        <w:t>Coût du projet</w:t>
      </w:r>
    </w:p>
    <w:p w:rsidR="00D429F6" w:rsidRPr="00B70950" w:rsidRDefault="00D429F6" w:rsidP="007F1941">
      <w:r w:rsidRPr="00B70950">
        <w:t>7.2</w:t>
      </w:r>
      <w:r w:rsidRPr="00B70950">
        <w:tab/>
        <w:t>Nous avons opté pour 420 CHF/m</w:t>
      </w:r>
      <w:r w:rsidRPr="00B70950">
        <w:rPr>
          <w:vertAlign w:val="superscript"/>
        </w:rPr>
        <w:t>2</w:t>
      </w:r>
      <w:r w:rsidRPr="00B70950">
        <w:t xml:space="preserve"> comme base de calcul</w:t>
      </w:r>
      <w:r w:rsidR="00C227C8" w:rsidRPr="00B70950">
        <w:t xml:space="preserve">, comme </w:t>
      </w:r>
      <w:r w:rsidRPr="00B70950">
        <w:t>indiqué dans le rapport d</w:t>
      </w:r>
      <w:r w:rsidR="00126B99" w:rsidRPr="00B70950">
        <w:t>'</w:t>
      </w:r>
      <w:r w:rsidRPr="00B70950">
        <w:t>expertise des bâtiments de l</w:t>
      </w:r>
      <w:r w:rsidR="00126B99" w:rsidRPr="00B70950">
        <w:t>'</w:t>
      </w:r>
      <w:r w:rsidRPr="00B70950">
        <w:t xml:space="preserve">UIT effectué par la Société Acanthe (Membre de la </w:t>
      </w:r>
      <w:r w:rsidR="00C227C8" w:rsidRPr="00B70950">
        <w:t>C</w:t>
      </w:r>
      <w:r w:rsidRPr="00B70950">
        <w:t>hambre suisse d</w:t>
      </w:r>
      <w:r w:rsidR="00126B99" w:rsidRPr="00B70950">
        <w:t>'</w:t>
      </w:r>
      <w:r w:rsidRPr="00B70950">
        <w:t>experts en estimations immobilières) en juin 2010 dans le cadre du Projet IPSAS. Ce prix est conforme aux valeurs de l</w:t>
      </w:r>
      <w:r w:rsidR="00126B99" w:rsidRPr="00B70950">
        <w:t>'</w:t>
      </w:r>
      <w:r w:rsidRPr="00B70950">
        <w:t>Indicateur des loyers de bureau (ILB) de Colliers International Suisse romande pour le second semestre de 2014.</w:t>
      </w:r>
    </w:p>
    <w:p w:rsidR="00D429F6" w:rsidRPr="00B70950" w:rsidRDefault="00D429F6" w:rsidP="00C114FD">
      <w:pPr>
        <w:spacing w:after="120"/>
      </w:pPr>
      <w:r w:rsidRPr="00B70950">
        <w:t>7.3</w:t>
      </w:r>
      <w:r w:rsidRPr="00B70950">
        <w:tab/>
        <w:t>L</w:t>
      </w:r>
      <w:r w:rsidR="00126B99" w:rsidRPr="00B70950">
        <w:t>'</w:t>
      </w:r>
      <w:r w:rsidRPr="00B70950">
        <w:t>estimation locative annuelle s</w:t>
      </w:r>
      <w:r w:rsidR="00126B99" w:rsidRPr="00B70950">
        <w:t>'</w:t>
      </w:r>
      <w:r w:rsidRPr="00B70950">
        <w:t>élève à 4,406 millions CHF. Le tableau ci-dessous indique le prix au m</w:t>
      </w:r>
      <w:r w:rsidRPr="00B70950">
        <w:rPr>
          <w:vertAlign w:val="superscript"/>
        </w:rPr>
        <w:t>2</w:t>
      </w:r>
      <w:r w:rsidRPr="00B70950">
        <w:t xml:space="preserve"> de la surface locative par type d</w:t>
      </w:r>
      <w:r w:rsidR="00126B99" w:rsidRPr="00B70950">
        <w:t>'</w:t>
      </w:r>
      <w:r w:rsidRPr="00B70950">
        <w:t xml:space="preserve">espace.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gridCol w:w="1985"/>
        <w:gridCol w:w="2805"/>
      </w:tblGrid>
      <w:tr w:rsidR="00D429F6" w:rsidRPr="00B70950" w:rsidTr="00EA073B">
        <w:tc>
          <w:tcPr>
            <w:tcW w:w="2660" w:type="dxa"/>
          </w:tcPr>
          <w:p w:rsidR="00D429F6" w:rsidRPr="00B70950" w:rsidRDefault="00D429F6" w:rsidP="00C114FD">
            <w:pPr>
              <w:pStyle w:val="Tablehead"/>
              <w:spacing w:before="40" w:after="40"/>
            </w:pPr>
          </w:p>
        </w:tc>
        <w:tc>
          <w:tcPr>
            <w:tcW w:w="2126" w:type="dxa"/>
          </w:tcPr>
          <w:p w:rsidR="00D429F6" w:rsidRPr="00B70950" w:rsidRDefault="00D429F6" w:rsidP="00C114FD">
            <w:pPr>
              <w:pStyle w:val="Tablehead"/>
              <w:spacing w:before="40" w:after="40"/>
            </w:pPr>
            <w:r w:rsidRPr="00B70950">
              <w:t>Surface en m</w:t>
            </w:r>
            <w:r w:rsidRPr="00B70950">
              <w:rPr>
                <w:vertAlign w:val="superscript"/>
              </w:rPr>
              <w:t>2</w:t>
            </w:r>
          </w:p>
        </w:tc>
        <w:tc>
          <w:tcPr>
            <w:tcW w:w="1985" w:type="dxa"/>
          </w:tcPr>
          <w:p w:rsidR="00D429F6" w:rsidRPr="00B70950" w:rsidRDefault="00D429F6" w:rsidP="00C114FD">
            <w:pPr>
              <w:pStyle w:val="Tablehead"/>
              <w:spacing w:before="40" w:after="40"/>
            </w:pPr>
            <w:r w:rsidRPr="00B70950">
              <w:t>Prix au m</w:t>
            </w:r>
            <w:r w:rsidRPr="00B70950">
              <w:rPr>
                <w:vertAlign w:val="superscript"/>
              </w:rPr>
              <w:t>2</w:t>
            </w:r>
          </w:p>
        </w:tc>
        <w:tc>
          <w:tcPr>
            <w:tcW w:w="2805" w:type="dxa"/>
          </w:tcPr>
          <w:p w:rsidR="00D429F6" w:rsidRPr="00B70950" w:rsidRDefault="00D429F6" w:rsidP="00C114FD">
            <w:pPr>
              <w:pStyle w:val="Tablehead"/>
              <w:spacing w:before="40" w:after="40"/>
            </w:pPr>
            <w:r w:rsidRPr="00B70950">
              <w:t xml:space="preserve">Total annuel </w:t>
            </w:r>
            <w:r w:rsidRPr="00B70950">
              <w:br/>
              <w:t>en milliers de CHF</w:t>
            </w:r>
          </w:p>
        </w:tc>
      </w:tr>
      <w:tr w:rsidR="00D429F6" w:rsidRPr="00B70950" w:rsidTr="00EA073B">
        <w:tc>
          <w:tcPr>
            <w:tcW w:w="2660" w:type="dxa"/>
          </w:tcPr>
          <w:p w:rsidR="00D429F6" w:rsidRPr="00B70950" w:rsidRDefault="00D429F6" w:rsidP="00C114FD">
            <w:pPr>
              <w:spacing w:before="40" w:after="40"/>
              <w:rPr>
                <w:b/>
                <w:bCs/>
                <w:sz w:val="22"/>
                <w:szCs w:val="22"/>
              </w:rPr>
            </w:pPr>
            <w:r w:rsidRPr="00B70950">
              <w:rPr>
                <w:b/>
                <w:bCs/>
                <w:sz w:val="22"/>
                <w:szCs w:val="22"/>
              </w:rPr>
              <w:t>Bureau</w:t>
            </w:r>
            <w:r w:rsidR="00FB1328" w:rsidRPr="00B70950">
              <w:rPr>
                <w:b/>
                <w:bCs/>
                <w:sz w:val="22"/>
                <w:szCs w:val="22"/>
              </w:rPr>
              <w:t>x</w:t>
            </w:r>
            <w:r w:rsidRPr="00B70950">
              <w:rPr>
                <w:b/>
                <w:bCs/>
                <w:sz w:val="22"/>
                <w:szCs w:val="22"/>
              </w:rPr>
              <w:t xml:space="preserve"> et </w:t>
            </w:r>
            <w:r w:rsidR="00FB1328" w:rsidRPr="00B70950">
              <w:rPr>
                <w:b/>
                <w:bCs/>
                <w:sz w:val="22"/>
                <w:szCs w:val="22"/>
              </w:rPr>
              <w:t xml:space="preserve">espaces de </w:t>
            </w:r>
            <w:r w:rsidRPr="00B70950">
              <w:rPr>
                <w:b/>
                <w:bCs/>
                <w:sz w:val="22"/>
                <w:szCs w:val="22"/>
              </w:rPr>
              <w:t>circulation</w:t>
            </w:r>
          </w:p>
        </w:tc>
        <w:tc>
          <w:tcPr>
            <w:tcW w:w="2126" w:type="dxa"/>
          </w:tcPr>
          <w:p w:rsidR="00D429F6" w:rsidRPr="00B70950" w:rsidRDefault="00D429F6" w:rsidP="00C114FD">
            <w:pPr>
              <w:spacing w:before="40" w:after="40"/>
              <w:jc w:val="center"/>
              <w:rPr>
                <w:sz w:val="22"/>
                <w:szCs w:val="22"/>
              </w:rPr>
            </w:pPr>
            <w:r w:rsidRPr="00B70950">
              <w:rPr>
                <w:sz w:val="22"/>
                <w:szCs w:val="22"/>
              </w:rPr>
              <w:t>9 541</w:t>
            </w:r>
          </w:p>
        </w:tc>
        <w:tc>
          <w:tcPr>
            <w:tcW w:w="1985" w:type="dxa"/>
          </w:tcPr>
          <w:p w:rsidR="00D429F6" w:rsidRPr="00B70950" w:rsidRDefault="00D429F6" w:rsidP="00C114FD">
            <w:pPr>
              <w:spacing w:before="40" w:after="40"/>
              <w:jc w:val="center"/>
              <w:rPr>
                <w:sz w:val="22"/>
                <w:szCs w:val="22"/>
              </w:rPr>
            </w:pPr>
            <w:r w:rsidRPr="00B70950">
              <w:rPr>
                <w:sz w:val="22"/>
                <w:szCs w:val="22"/>
              </w:rPr>
              <w:t>420</w:t>
            </w:r>
          </w:p>
        </w:tc>
        <w:tc>
          <w:tcPr>
            <w:tcW w:w="2805" w:type="dxa"/>
          </w:tcPr>
          <w:p w:rsidR="00D429F6" w:rsidRPr="00B70950" w:rsidRDefault="00D429F6" w:rsidP="00C114FD">
            <w:pPr>
              <w:spacing w:before="40" w:after="40"/>
              <w:jc w:val="center"/>
              <w:rPr>
                <w:sz w:val="22"/>
                <w:szCs w:val="22"/>
              </w:rPr>
            </w:pPr>
            <w:r w:rsidRPr="00B70950">
              <w:rPr>
                <w:sz w:val="22"/>
                <w:szCs w:val="22"/>
              </w:rPr>
              <w:t>4 007</w:t>
            </w:r>
          </w:p>
        </w:tc>
      </w:tr>
      <w:tr w:rsidR="00D429F6" w:rsidRPr="00B70950" w:rsidTr="00EA073B">
        <w:tc>
          <w:tcPr>
            <w:tcW w:w="2660" w:type="dxa"/>
          </w:tcPr>
          <w:p w:rsidR="00D429F6" w:rsidRPr="00B70950" w:rsidRDefault="00D429F6" w:rsidP="00C114FD">
            <w:pPr>
              <w:spacing w:before="40" w:after="40"/>
              <w:rPr>
                <w:b/>
                <w:bCs/>
                <w:sz w:val="22"/>
                <w:szCs w:val="22"/>
              </w:rPr>
            </w:pPr>
            <w:r w:rsidRPr="00B70950">
              <w:rPr>
                <w:b/>
                <w:bCs/>
                <w:sz w:val="22"/>
                <w:szCs w:val="22"/>
              </w:rPr>
              <w:t>Salle</w:t>
            </w:r>
            <w:r w:rsidR="00FB1328" w:rsidRPr="00B70950">
              <w:rPr>
                <w:b/>
                <w:bCs/>
                <w:sz w:val="22"/>
                <w:szCs w:val="22"/>
              </w:rPr>
              <w:t>s</w:t>
            </w:r>
            <w:r w:rsidRPr="00B70950">
              <w:rPr>
                <w:b/>
                <w:bCs/>
                <w:sz w:val="22"/>
                <w:szCs w:val="22"/>
              </w:rPr>
              <w:t xml:space="preserve"> de conférences</w:t>
            </w:r>
          </w:p>
        </w:tc>
        <w:tc>
          <w:tcPr>
            <w:tcW w:w="2126" w:type="dxa"/>
          </w:tcPr>
          <w:p w:rsidR="00D429F6" w:rsidRPr="00B70950" w:rsidRDefault="00D429F6" w:rsidP="00C114FD">
            <w:pPr>
              <w:spacing w:before="40" w:after="40"/>
              <w:jc w:val="center"/>
              <w:rPr>
                <w:sz w:val="22"/>
                <w:szCs w:val="22"/>
              </w:rPr>
            </w:pPr>
            <w:r w:rsidRPr="00B70950">
              <w:rPr>
                <w:sz w:val="22"/>
                <w:szCs w:val="22"/>
              </w:rPr>
              <w:t>198</w:t>
            </w:r>
          </w:p>
        </w:tc>
        <w:tc>
          <w:tcPr>
            <w:tcW w:w="1985" w:type="dxa"/>
          </w:tcPr>
          <w:p w:rsidR="00D429F6" w:rsidRPr="00B70950" w:rsidRDefault="00D429F6" w:rsidP="00C114FD">
            <w:pPr>
              <w:spacing w:before="40" w:after="40"/>
              <w:jc w:val="center"/>
              <w:rPr>
                <w:sz w:val="22"/>
                <w:szCs w:val="22"/>
              </w:rPr>
            </w:pPr>
            <w:r w:rsidRPr="00B70950">
              <w:rPr>
                <w:sz w:val="22"/>
                <w:szCs w:val="22"/>
              </w:rPr>
              <w:t>420</w:t>
            </w:r>
          </w:p>
        </w:tc>
        <w:tc>
          <w:tcPr>
            <w:tcW w:w="2805" w:type="dxa"/>
          </w:tcPr>
          <w:p w:rsidR="00D429F6" w:rsidRPr="00B70950" w:rsidRDefault="00D429F6" w:rsidP="00C114FD">
            <w:pPr>
              <w:spacing w:before="40" w:after="40"/>
              <w:jc w:val="center"/>
              <w:rPr>
                <w:sz w:val="22"/>
                <w:szCs w:val="22"/>
              </w:rPr>
            </w:pPr>
            <w:r w:rsidRPr="00B70950">
              <w:rPr>
                <w:sz w:val="22"/>
                <w:szCs w:val="22"/>
              </w:rPr>
              <w:t>83</w:t>
            </w:r>
          </w:p>
        </w:tc>
      </w:tr>
      <w:tr w:rsidR="00D429F6" w:rsidRPr="00B70950" w:rsidTr="00EA073B">
        <w:tc>
          <w:tcPr>
            <w:tcW w:w="2660" w:type="dxa"/>
          </w:tcPr>
          <w:p w:rsidR="00D429F6" w:rsidRPr="00B70950" w:rsidRDefault="00D429F6" w:rsidP="00C114FD">
            <w:pPr>
              <w:spacing w:before="40" w:after="40"/>
              <w:rPr>
                <w:b/>
                <w:bCs/>
                <w:sz w:val="22"/>
                <w:szCs w:val="22"/>
              </w:rPr>
            </w:pPr>
            <w:r w:rsidRPr="00B70950">
              <w:rPr>
                <w:b/>
                <w:bCs/>
                <w:sz w:val="22"/>
                <w:szCs w:val="22"/>
              </w:rPr>
              <w:t>Bureaux en sous-sol</w:t>
            </w:r>
          </w:p>
        </w:tc>
        <w:tc>
          <w:tcPr>
            <w:tcW w:w="2126" w:type="dxa"/>
          </w:tcPr>
          <w:p w:rsidR="00D429F6" w:rsidRPr="00B70950" w:rsidRDefault="00D429F6" w:rsidP="00C114FD">
            <w:pPr>
              <w:spacing w:before="40" w:after="40"/>
              <w:jc w:val="center"/>
              <w:rPr>
                <w:sz w:val="22"/>
                <w:szCs w:val="22"/>
              </w:rPr>
            </w:pPr>
            <w:r w:rsidRPr="00B70950">
              <w:rPr>
                <w:sz w:val="22"/>
                <w:szCs w:val="22"/>
              </w:rPr>
              <w:t>220</w:t>
            </w:r>
          </w:p>
        </w:tc>
        <w:tc>
          <w:tcPr>
            <w:tcW w:w="1985" w:type="dxa"/>
          </w:tcPr>
          <w:p w:rsidR="00D429F6" w:rsidRPr="00B70950" w:rsidRDefault="00D429F6" w:rsidP="00C114FD">
            <w:pPr>
              <w:spacing w:before="40" w:after="40"/>
              <w:jc w:val="center"/>
              <w:rPr>
                <w:sz w:val="22"/>
                <w:szCs w:val="22"/>
              </w:rPr>
            </w:pPr>
            <w:r w:rsidRPr="00B70950">
              <w:rPr>
                <w:sz w:val="22"/>
                <w:szCs w:val="22"/>
              </w:rPr>
              <w:t>200</w:t>
            </w:r>
          </w:p>
        </w:tc>
        <w:tc>
          <w:tcPr>
            <w:tcW w:w="2805" w:type="dxa"/>
          </w:tcPr>
          <w:p w:rsidR="00D429F6" w:rsidRPr="00B70950" w:rsidRDefault="00D429F6" w:rsidP="00C114FD">
            <w:pPr>
              <w:spacing w:before="40" w:after="40"/>
              <w:jc w:val="center"/>
              <w:rPr>
                <w:sz w:val="22"/>
                <w:szCs w:val="22"/>
              </w:rPr>
            </w:pPr>
            <w:r w:rsidRPr="00B70950">
              <w:rPr>
                <w:sz w:val="22"/>
                <w:szCs w:val="22"/>
              </w:rPr>
              <w:t>44</w:t>
            </w:r>
          </w:p>
        </w:tc>
      </w:tr>
      <w:tr w:rsidR="00D429F6" w:rsidRPr="00B70950" w:rsidTr="00EA073B">
        <w:tc>
          <w:tcPr>
            <w:tcW w:w="2660" w:type="dxa"/>
          </w:tcPr>
          <w:p w:rsidR="00D429F6" w:rsidRPr="00B70950" w:rsidRDefault="00D429F6" w:rsidP="00C114FD">
            <w:pPr>
              <w:spacing w:before="40" w:after="40"/>
              <w:rPr>
                <w:b/>
                <w:bCs/>
                <w:sz w:val="22"/>
                <w:szCs w:val="22"/>
              </w:rPr>
            </w:pPr>
            <w:r w:rsidRPr="00B70950">
              <w:rPr>
                <w:b/>
                <w:bCs/>
                <w:sz w:val="22"/>
                <w:szCs w:val="22"/>
              </w:rPr>
              <w:t>Stockage</w:t>
            </w:r>
          </w:p>
        </w:tc>
        <w:tc>
          <w:tcPr>
            <w:tcW w:w="2126" w:type="dxa"/>
          </w:tcPr>
          <w:p w:rsidR="00D429F6" w:rsidRPr="00B70950" w:rsidRDefault="00D429F6" w:rsidP="00C114FD">
            <w:pPr>
              <w:spacing w:before="40" w:after="40"/>
              <w:jc w:val="center"/>
              <w:rPr>
                <w:sz w:val="22"/>
                <w:szCs w:val="22"/>
              </w:rPr>
            </w:pPr>
            <w:r w:rsidRPr="00B70950">
              <w:rPr>
                <w:sz w:val="22"/>
                <w:szCs w:val="22"/>
              </w:rPr>
              <w:t>385</w:t>
            </w:r>
          </w:p>
        </w:tc>
        <w:tc>
          <w:tcPr>
            <w:tcW w:w="1985" w:type="dxa"/>
          </w:tcPr>
          <w:p w:rsidR="00D429F6" w:rsidRPr="00B70950" w:rsidRDefault="00D429F6" w:rsidP="00C114FD">
            <w:pPr>
              <w:spacing w:before="40" w:after="40"/>
              <w:jc w:val="center"/>
              <w:rPr>
                <w:sz w:val="22"/>
                <w:szCs w:val="22"/>
              </w:rPr>
            </w:pPr>
            <w:r w:rsidRPr="00B70950">
              <w:rPr>
                <w:sz w:val="22"/>
                <w:szCs w:val="22"/>
              </w:rPr>
              <w:t>100</w:t>
            </w:r>
          </w:p>
        </w:tc>
        <w:tc>
          <w:tcPr>
            <w:tcW w:w="2805" w:type="dxa"/>
          </w:tcPr>
          <w:p w:rsidR="00D429F6" w:rsidRPr="00B70950" w:rsidRDefault="00D429F6" w:rsidP="00C114FD">
            <w:pPr>
              <w:spacing w:before="40" w:after="40"/>
              <w:jc w:val="center"/>
              <w:rPr>
                <w:sz w:val="22"/>
                <w:szCs w:val="22"/>
              </w:rPr>
            </w:pPr>
            <w:r w:rsidRPr="00B70950">
              <w:rPr>
                <w:sz w:val="22"/>
                <w:szCs w:val="22"/>
              </w:rPr>
              <w:t>39</w:t>
            </w:r>
          </w:p>
        </w:tc>
      </w:tr>
      <w:tr w:rsidR="00D429F6" w:rsidRPr="00B70950" w:rsidTr="00EA073B">
        <w:tc>
          <w:tcPr>
            <w:tcW w:w="2660" w:type="dxa"/>
          </w:tcPr>
          <w:p w:rsidR="00D429F6" w:rsidRPr="00B70950" w:rsidRDefault="00D429F6" w:rsidP="00C114FD">
            <w:pPr>
              <w:spacing w:before="40" w:after="40"/>
              <w:rPr>
                <w:b/>
                <w:bCs/>
                <w:sz w:val="22"/>
                <w:szCs w:val="22"/>
              </w:rPr>
            </w:pPr>
            <w:r w:rsidRPr="00B70950">
              <w:rPr>
                <w:b/>
                <w:bCs/>
                <w:sz w:val="22"/>
                <w:szCs w:val="22"/>
              </w:rPr>
              <w:t>Autres</w:t>
            </w:r>
          </w:p>
        </w:tc>
        <w:tc>
          <w:tcPr>
            <w:tcW w:w="2126" w:type="dxa"/>
          </w:tcPr>
          <w:p w:rsidR="00D429F6" w:rsidRPr="00B70950" w:rsidRDefault="00D429F6" w:rsidP="00C114FD">
            <w:pPr>
              <w:spacing w:before="40" w:after="40"/>
              <w:jc w:val="center"/>
              <w:rPr>
                <w:sz w:val="22"/>
                <w:szCs w:val="22"/>
              </w:rPr>
            </w:pPr>
            <w:r w:rsidRPr="00B70950">
              <w:rPr>
                <w:sz w:val="22"/>
                <w:szCs w:val="22"/>
              </w:rPr>
              <w:t>2 327</w:t>
            </w:r>
          </w:p>
        </w:tc>
        <w:tc>
          <w:tcPr>
            <w:tcW w:w="1985" w:type="dxa"/>
          </w:tcPr>
          <w:p w:rsidR="00D429F6" w:rsidRPr="00B70950" w:rsidRDefault="00D429F6" w:rsidP="00C114FD">
            <w:pPr>
              <w:spacing w:before="40" w:after="40"/>
              <w:jc w:val="center"/>
              <w:rPr>
                <w:sz w:val="22"/>
                <w:szCs w:val="22"/>
              </w:rPr>
            </w:pPr>
            <w:r w:rsidRPr="00B70950">
              <w:rPr>
                <w:sz w:val="22"/>
                <w:szCs w:val="22"/>
              </w:rPr>
              <w:t>100</w:t>
            </w:r>
          </w:p>
        </w:tc>
        <w:tc>
          <w:tcPr>
            <w:tcW w:w="2805" w:type="dxa"/>
          </w:tcPr>
          <w:p w:rsidR="00D429F6" w:rsidRPr="00B70950" w:rsidRDefault="00D429F6" w:rsidP="00C114FD">
            <w:pPr>
              <w:spacing w:before="40" w:after="40"/>
              <w:jc w:val="center"/>
              <w:rPr>
                <w:sz w:val="22"/>
                <w:szCs w:val="22"/>
              </w:rPr>
            </w:pPr>
            <w:r w:rsidRPr="00B70950">
              <w:rPr>
                <w:sz w:val="22"/>
                <w:szCs w:val="22"/>
              </w:rPr>
              <w:t>233</w:t>
            </w:r>
          </w:p>
        </w:tc>
      </w:tr>
      <w:tr w:rsidR="00D429F6" w:rsidRPr="00B70950" w:rsidTr="00EA073B">
        <w:tc>
          <w:tcPr>
            <w:tcW w:w="2660" w:type="dxa"/>
          </w:tcPr>
          <w:p w:rsidR="00D429F6" w:rsidRPr="00B70950" w:rsidRDefault="00D429F6" w:rsidP="00C114FD">
            <w:pPr>
              <w:spacing w:before="40" w:after="40"/>
              <w:rPr>
                <w:b/>
                <w:bCs/>
                <w:sz w:val="22"/>
                <w:szCs w:val="22"/>
              </w:rPr>
            </w:pPr>
            <w:r w:rsidRPr="00B70950">
              <w:rPr>
                <w:b/>
                <w:bCs/>
                <w:sz w:val="22"/>
                <w:szCs w:val="22"/>
              </w:rPr>
              <w:t>Total</w:t>
            </w:r>
          </w:p>
        </w:tc>
        <w:tc>
          <w:tcPr>
            <w:tcW w:w="2126" w:type="dxa"/>
          </w:tcPr>
          <w:p w:rsidR="00D429F6" w:rsidRPr="00B70950" w:rsidRDefault="00D429F6" w:rsidP="00C114FD">
            <w:pPr>
              <w:spacing w:before="40" w:after="40"/>
              <w:jc w:val="center"/>
              <w:rPr>
                <w:b/>
                <w:bCs/>
                <w:sz w:val="22"/>
                <w:szCs w:val="22"/>
              </w:rPr>
            </w:pPr>
            <w:r w:rsidRPr="00B70950">
              <w:rPr>
                <w:b/>
                <w:bCs/>
                <w:sz w:val="22"/>
                <w:szCs w:val="22"/>
              </w:rPr>
              <w:t>12 671</w:t>
            </w:r>
          </w:p>
        </w:tc>
        <w:tc>
          <w:tcPr>
            <w:tcW w:w="1985" w:type="dxa"/>
          </w:tcPr>
          <w:p w:rsidR="00D429F6" w:rsidRPr="00B70950" w:rsidRDefault="00D429F6" w:rsidP="00C114FD">
            <w:pPr>
              <w:spacing w:before="40" w:after="40"/>
              <w:jc w:val="center"/>
              <w:rPr>
                <w:b/>
                <w:bCs/>
                <w:sz w:val="22"/>
                <w:szCs w:val="22"/>
              </w:rPr>
            </w:pPr>
          </w:p>
        </w:tc>
        <w:tc>
          <w:tcPr>
            <w:tcW w:w="2805" w:type="dxa"/>
          </w:tcPr>
          <w:p w:rsidR="00D429F6" w:rsidRPr="00B70950" w:rsidRDefault="00D429F6" w:rsidP="00C114FD">
            <w:pPr>
              <w:spacing w:before="40" w:after="40"/>
              <w:jc w:val="center"/>
              <w:rPr>
                <w:b/>
                <w:bCs/>
                <w:sz w:val="22"/>
                <w:szCs w:val="22"/>
              </w:rPr>
            </w:pPr>
            <w:r w:rsidRPr="00B70950">
              <w:rPr>
                <w:b/>
                <w:bCs/>
                <w:sz w:val="22"/>
                <w:szCs w:val="22"/>
              </w:rPr>
              <w:t>4 406</w:t>
            </w:r>
          </w:p>
        </w:tc>
      </w:tr>
    </w:tbl>
    <w:p w:rsidR="00D429F6" w:rsidRPr="00B70950" w:rsidRDefault="00D429F6" w:rsidP="00AA0684">
      <w:pPr>
        <w:rPr>
          <w:szCs w:val="24"/>
        </w:rPr>
      </w:pPr>
      <w:r w:rsidRPr="00B70950">
        <w:rPr>
          <w:szCs w:val="24"/>
        </w:rPr>
        <w:lastRenderedPageBreak/>
        <w:t>7.4</w:t>
      </w:r>
      <w:r w:rsidRPr="00B70950">
        <w:rPr>
          <w:szCs w:val="24"/>
        </w:rPr>
        <w:tab/>
        <w:t xml:space="preserve">Il est à noter que ces coûts ne comprennent </w:t>
      </w:r>
      <w:proofErr w:type="gramStart"/>
      <w:r w:rsidRPr="00B70950">
        <w:rPr>
          <w:szCs w:val="24"/>
        </w:rPr>
        <w:t>pas:</w:t>
      </w:r>
      <w:proofErr w:type="gramEnd"/>
    </w:p>
    <w:p w:rsidR="00D429F6" w:rsidRPr="00B70950" w:rsidRDefault="00D429F6" w:rsidP="007F1941">
      <w:pPr>
        <w:pStyle w:val="enumlev1"/>
      </w:pPr>
      <w:r w:rsidRPr="00B70950">
        <w:t>–</w:t>
      </w:r>
      <w:r w:rsidRPr="00B70950">
        <w:tab/>
        <w:t>les coûts de déménagement et d</w:t>
      </w:r>
      <w:r w:rsidR="00126B99" w:rsidRPr="00B70950">
        <w:t>'</w:t>
      </w:r>
      <w:r w:rsidRPr="00B70950">
        <w:t>installation dans les nouveaux locaux (0,5 million CHF selon les estimations</w:t>
      </w:r>
      <w:proofErr w:type="gramStart"/>
      <w:r w:rsidRPr="00B70950">
        <w:t>);</w:t>
      </w:r>
      <w:proofErr w:type="gramEnd"/>
    </w:p>
    <w:p w:rsidR="00D429F6" w:rsidRPr="00B70950" w:rsidRDefault="00D429F6" w:rsidP="007F1941">
      <w:pPr>
        <w:pStyle w:val="enumlev1"/>
      </w:pPr>
      <w:r w:rsidRPr="00B70950">
        <w:t>–</w:t>
      </w:r>
      <w:r w:rsidRPr="00B70950">
        <w:tab/>
        <w:t>les charges des locaux loués, comprises</w:t>
      </w:r>
      <w:r w:rsidR="00C227C8" w:rsidRPr="00B70950">
        <w:t>,</w:t>
      </w:r>
      <w:r w:rsidRPr="00B70950">
        <w:t xml:space="preserve"> selon les estimations</w:t>
      </w:r>
      <w:r w:rsidR="00C227C8" w:rsidRPr="00B70950">
        <w:t>,</w:t>
      </w:r>
      <w:r w:rsidRPr="00B70950">
        <w:t xml:space="preserve"> entre 15% et 20% du montant locatif (entre 0,7 CHF et 0,9 million CHF). Ces charges seraient plus élevées que les coûts similaires supportés actuellement par l</w:t>
      </w:r>
      <w:r w:rsidR="00126B99" w:rsidRPr="00B70950">
        <w:t>'</w:t>
      </w:r>
      <w:r w:rsidRPr="00B70950">
        <w:t>UIT, mais cette option conduirait également à une baisse</w:t>
      </w:r>
      <w:r w:rsidRPr="00B70950">
        <w:rPr>
          <w:sz w:val="22"/>
          <w:szCs w:val="22"/>
        </w:rPr>
        <w:t xml:space="preserve"> </w:t>
      </w:r>
      <w:r w:rsidRPr="00B70950">
        <w:t>de ces</w:t>
      </w:r>
      <w:r w:rsidRPr="00B70950">
        <w:rPr>
          <w:sz w:val="22"/>
        </w:rPr>
        <w:t xml:space="preserve"> </w:t>
      </w:r>
      <w:r w:rsidRPr="00B70950">
        <w:t>coûts</w:t>
      </w:r>
      <w:r w:rsidR="00C227C8" w:rsidRPr="00B70950">
        <w:t>,</w:t>
      </w:r>
      <w:r w:rsidRPr="00B70950">
        <w:t xml:space="preserve"> estimée</w:t>
      </w:r>
      <w:r w:rsidRPr="00B70950">
        <w:rPr>
          <w:sz w:val="22"/>
        </w:rPr>
        <w:t xml:space="preserve"> </w:t>
      </w:r>
      <w:r w:rsidRPr="00B70950">
        <w:t>à 0,4 million CHF</w:t>
      </w:r>
      <w:r w:rsidRPr="00B70950">
        <w:rPr>
          <w:sz w:val="22"/>
        </w:rPr>
        <w:t xml:space="preserve"> </w:t>
      </w:r>
      <w:r w:rsidRPr="00B70950">
        <w:t>pour les</w:t>
      </w:r>
      <w:r w:rsidRPr="00B70950">
        <w:rPr>
          <w:sz w:val="22"/>
        </w:rPr>
        <w:t xml:space="preserve"> </w:t>
      </w:r>
      <w:r w:rsidRPr="00B70950">
        <w:t>locaux</w:t>
      </w:r>
      <w:r w:rsidRPr="00B70950">
        <w:rPr>
          <w:sz w:val="22"/>
        </w:rPr>
        <w:t xml:space="preserve"> </w:t>
      </w:r>
      <w:r w:rsidRPr="00B70950">
        <w:t>restants du</w:t>
      </w:r>
      <w:r w:rsidRPr="00B70950">
        <w:rPr>
          <w:sz w:val="22"/>
        </w:rPr>
        <w:t xml:space="preserve"> </w:t>
      </w:r>
      <w:r w:rsidRPr="00B70950">
        <w:t>siège.</w:t>
      </w:r>
      <w:r w:rsidRPr="00B70950">
        <w:rPr>
          <w:sz w:val="22"/>
        </w:rPr>
        <w:t xml:space="preserve"> </w:t>
      </w:r>
      <w:r w:rsidRPr="00B70950">
        <w:t>Au total, cette option entraînerait une augmentation des charges comprise entre 0,3 et 0,5</w:t>
      </w:r>
      <w:r w:rsidR="00FB1328" w:rsidRPr="00B70950">
        <w:t> </w:t>
      </w:r>
      <w:r w:rsidRPr="00B70950">
        <w:t>million CHF.</w:t>
      </w:r>
    </w:p>
    <w:p w:rsidR="00D429F6" w:rsidRPr="00B70950" w:rsidRDefault="00D429F6" w:rsidP="007F1941">
      <w:pPr>
        <w:rPr>
          <w:szCs w:val="24"/>
        </w:rPr>
      </w:pPr>
      <w:r w:rsidRPr="00B70950">
        <w:rPr>
          <w:szCs w:val="24"/>
        </w:rPr>
        <w:t>7.5</w:t>
      </w:r>
      <w:r w:rsidRPr="00B70950">
        <w:rPr>
          <w:szCs w:val="24"/>
        </w:rPr>
        <w:tab/>
        <w:t>De plus, des coûts supplémentaires de fonctionnement seraient nécessaires pour assurer la coordination entre les nouveaux locaux et le bâtiment du siège (réunions de coordination, distribution du courrier, services informatiques</w:t>
      </w:r>
      <w:r w:rsidR="00C227C8" w:rsidRPr="00B70950">
        <w:rPr>
          <w:szCs w:val="24"/>
        </w:rPr>
        <w:t xml:space="preserve"> </w:t>
      </w:r>
      <w:r w:rsidRPr="00B70950">
        <w:rPr>
          <w:szCs w:val="24"/>
        </w:rPr>
        <w:t xml:space="preserve">…). Ces coûts devraient être pris en compte. </w:t>
      </w:r>
    </w:p>
    <w:p w:rsidR="00D429F6" w:rsidRPr="00B70950" w:rsidRDefault="00D429F6" w:rsidP="007F1941">
      <w:pPr>
        <w:rPr>
          <w:szCs w:val="24"/>
        </w:rPr>
      </w:pPr>
      <w:r w:rsidRPr="00B70950">
        <w:rPr>
          <w:szCs w:val="24"/>
        </w:rPr>
        <w:t>7.6</w:t>
      </w:r>
      <w:r w:rsidRPr="00B70950">
        <w:rPr>
          <w:szCs w:val="24"/>
        </w:rPr>
        <w:tab/>
        <w:t xml:space="preserve">Il convient également de considérer que dans le cas où cette option </w:t>
      </w:r>
      <w:r w:rsidR="00C227C8" w:rsidRPr="00B70950">
        <w:rPr>
          <w:szCs w:val="24"/>
        </w:rPr>
        <w:t>serait</w:t>
      </w:r>
      <w:r w:rsidRPr="00B70950">
        <w:rPr>
          <w:szCs w:val="24"/>
        </w:rPr>
        <w:t xml:space="preserve"> choisie, la destruction de Varembé I serait le scénario le plus probable, l'UIT ne pouvant garder </w:t>
      </w:r>
      <w:r w:rsidR="00C227C8" w:rsidRPr="00B70950">
        <w:rPr>
          <w:szCs w:val="24"/>
        </w:rPr>
        <w:t xml:space="preserve">un bâtiment vide </w:t>
      </w:r>
      <w:r w:rsidRPr="00B70950">
        <w:rPr>
          <w:szCs w:val="24"/>
        </w:rPr>
        <w:t xml:space="preserve">et </w:t>
      </w:r>
      <w:r w:rsidR="00C227C8" w:rsidRPr="00B70950">
        <w:rPr>
          <w:szCs w:val="24"/>
        </w:rPr>
        <w:t xml:space="preserve">en </w:t>
      </w:r>
      <w:r w:rsidRPr="00B70950">
        <w:rPr>
          <w:szCs w:val="24"/>
        </w:rPr>
        <w:t xml:space="preserve">assurer la maintenance. Le coût de cette destruction est estimé à 3,9 millions CHF. </w:t>
      </w:r>
    </w:p>
    <w:p w:rsidR="00D429F6" w:rsidRPr="00B70950" w:rsidRDefault="00D429F6" w:rsidP="007F1941">
      <w:pPr>
        <w:pStyle w:val="Heading1"/>
        <w:rPr>
          <w:szCs w:val="24"/>
        </w:rPr>
      </w:pPr>
      <w:r w:rsidRPr="00B70950">
        <w:t>B</w:t>
      </w:r>
      <w:r w:rsidRPr="00B70950">
        <w:tab/>
      </w:r>
      <w:r w:rsidRPr="00B70950">
        <w:rPr>
          <w:szCs w:val="24"/>
        </w:rPr>
        <w:t>Planification de l</w:t>
      </w:r>
      <w:r w:rsidR="00126B99" w:rsidRPr="00B70950">
        <w:rPr>
          <w:szCs w:val="24"/>
        </w:rPr>
        <w:t>'</w:t>
      </w:r>
      <w:r w:rsidRPr="00B70950">
        <w:rPr>
          <w:szCs w:val="24"/>
        </w:rPr>
        <w:t>exécution du projet</w:t>
      </w:r>
    </w:p>
    <w:p w:rsidR="00D429F6" w:rsidRPr="00B70950" w:rsidRDefault="00D429F6" w:rsidP="007F1941">
      <w:pPr>
        <w:rPr>
          <w:rFonts w:asciiTheme="minorHAnsi" w:hAnsiTheme="minorHAnsi"/>
          <w:szCs w:val="24"/>
        </w:rPr>
      </w:pPr>
      <w:r w:rsidRPr="00B70950">
        <w:rPr>
          <w:rFonts w:asciiTheme="minorHAnsi" w:hAnsiTheme="minorHAnsi"/>
          <w:szCs w:val="24"/>
        </w:rPr>
        <w:t>7.7</w:t>
      </w:r>
      <w:r w:rsidRPr="00B70950">
        <w:rPr>
          <w:rFonts w:asciiTheme="minorHAnsi" w:hAnsiTheme="minorHAnsi"/>
          <w:szCs w:val="24"/>
        </w:rPr>
        <w:tab/>
      </w:r>
      <w:r w:rsidR="00C227C8" w:rsidRPr="00B70950">
        <w:rPr>
          <w:rFonts w:asciiTheme="minorHAnsi" w:hAnsiTheme="minorHAnsi"/>
          <w:szCs w:val="24"/>
        </w:rPr>
        <w:t>Si la PP-14 se prononçait en faveur de l'option "Location",</w:t>
      </w:r>
      <w:r w:rsidRPr="00B70950">
        <w:rPr>
          <w:rFonts w:asciiTheme="minorHAnsi" w:hAnsiTheme="minorHAnsi"/>
          <w:szCs w:val="24"/>
        </w:rPr>
        <w:t xml:space="preserve"> ce projet </w:t>
      </w:r>
      <w:r w:rsidR="00C227C8" w:rsidRPr="00B70950">
        <w:rPr>
          <w:rFonts w:asciiTheme="minorHAnsi" w:hAnsiTheme="minorHAnsi"/>
          <w:szCs w:val="24"/>
        </w:rPr>
        <w:t xml:space="preserve">pourrait être mené à bien </w:t>
      </w:r>
      <w:r w:rsidRPr="00B70950">
        <w:rPr>
          <w:rFonts w:asciiTheme="minorHAnsi" w:hAnsiTheme="minorHAnsi"/>
          <w:szCs w:val="24"/>
        </w:rPr>
        <w:t xml:space="preserve">pendant la </w:t>
      </w:r>
      <w:r w:rsidR="00C227C8" w:rsidRPr="00B70950">
        <w:rPr>
          <w:rFonts w:asciiTheme="minorHAnsi" w:hAnsiTheme="minorHAnsi"/>
          <w:szCs w:val="24"/>
        </w:rPr>
        <w:t xml:space="preserve">période couverte par le </w:t>
      </w:r>
      <w:r w:rsidRPr="00B70950">
        <w:rPr>
          <w:rFonts w:asciiTheme="minorHAnsi" w:hAnsiTheme="minorHAnsi"/>
          <w:szCs w:val="24"/>
        </w:rPr>
        <w:t xml:space="preserve">Plan financier pour la période 2016-2019. La phase de réalisation du déménagement et de l'installation dans de nouveaux locaux à Genève pourrait </w:t>
      </w:r>
      <w:r w:rsidR="00AF2A16" w:rsidRPr="00B70950">
        <w:rPr>
          <w:rFonts w:asciiTheme="minorHAnsi" w:hAnsiTheme="minorHAnsi"/>
          <w:szCs w:val="24"/>
        </w:rPr>
        <w:t>durer une année</w:t>
      </w:r>
      <w:r w:rsidRPr="00B70950">
        <w:rPr>
          <w:rFonts w:asciiTheme="minorHAnsi" w:hAnsiTheme="minorHAnsi"/>
          <w:szCs w:val="24"/>
        </w:rPr>
        <w:t xml:space="preserve">. Ces coûts ne sont pas inclus dans le projet de Plan financier pour la période 2016-2019 présenté à la PP-14, </w:t>
      </w:r>
      <w:r w:rsidR="00AF2A16" w:rsidRPr="00B70950">
        <w:rPr>
          <w:rFonts w:asciiTheme="minorHAnsi" w:hAnsiTheme="minorHAnsi"/>
          <w:szCs w:val="24"/>
        </w:rPr>
        <w:t xml:space="preserve">non </w:t>
      </w:r>
      <w:r w:rsidRPr="00B70950">
        <w:rPr>
          <w:rFonts w:asciiTheme="minorHAnsi" w:hAnsiTheme="minorHAnsi"/>
          <w:szCs w:val="24"/>
        </w:rPr>
        <w:t>plus que le coût de démolition du bâtiment Varembé.</w:t>
      </w:r>
    </w:p>
    <w:p w:rsidR="00D429F6" w:rsidRPr="00B70950" w:rsidRDefault="00D429F6" w:rsidP="007F1941">
      <w:pPr>
        <w:pStyle w:val="Heading1"/>
      </w:pPr>
      <w:r w:rsidRPr="00B70950">
        <w:t>C</w:t>
      </w:r>
      <w:r w:rsidRPr="00B70950">
        <w:tab/>
        <w:t>Incidences à long terme</w:t>
      </w:r>
    </w:p>
    <w:p w:rsidR="00D429F6" w:rsidRPr="00B70950" w:rsidRDefault="00D429F6" w:rsidP="007F1941">
      <w:pPr>
        <w:rPr>
          <w:rFonts w:asciiTheme="minorHAnsi" w:hAnsiTheme="minorHAnsi"/>
          <w:szCs w:val="24"/>
        </w:rPr>
      </w:pPr>
      <w:r w:rsidRPr="00B70950">
        <w:rPr>
          <w:rFonts w:asciiTheme="minorHAnsi" w:hAnsiTheme="minorHAnsi"/>
          <w:szCs w:val="24"/>
        </w:rPr>
        <w:t>7.8</w:t>
      </w:r>
      <w:r w:rsidRPr="00B70950">
        <w:rPr>
          <w:rFonts w:asciiTheme="minorHAnsi" w:hAnsiTheme="minorHAnsi"/>
          <w:szCs w:val="24"/>
        </w:rPr>
        <w:tab/>
        <w:t>L</w:t>
      </w:r>
      <w:r w:rsidR="00126B99" w:rsidRPr="00B70950">
        <w:rPr>
          <w:rFonts w:asciiTheme="minorHAnsi" w:hAnsiTheme="minorHAnsi"/>
          <w:szCs w:val="24"/>
        </w:rPr>
        <w:t>'</w:t>
      </w:r>
      <w:r w:rsidRPr="00B70950">
        <w:rPr>
          <w:rFonts w:asciiTheme="minorHAnsi" w:hAnsiTheme="minorHAnsi"/>
          <w:szCs w:val="24"/>
        </w:rPr>
        <w:t xml:space="preserve">option consistant à louer des locaux pour remplacer Varembé présente non seulement des inconvénients opérationnels (perturbation importante des </w:t>
      </w:r>
      <w:r w:rsidR="00AF2A16" w:rsidRPr="00B70950">
        <w:rPr>
          <w:rFonts w:asciiTheme="minorHAnsi" w:hAnsiTheme="minorHAnsi"/>
          <w:szCs w:val="24"/>
        </w:rPr>
        <w:t>activités</w:t>
      </w:r>
      <w:r w:rsidRPr="00B70950">
        <w:rPr>
          <w:rFonts w:asciiTheme="minorHAnsi" w:hAnsiTheme="minorHAnsi"/>
          <w:szCs w:val="24"/>
        </w:rPr>
        <w:t xml:space="preserve"> et coûts de déménagement et d'installation), mais entra</w:t>
      </w:r>
      <w:r w:rsidR="00FB1328" w:rsidRPr="00B70950">
        <w:rPr>
          <w:rFonts w:asciiTheme="minorHAnsi" w:hAnsiTheme="minorHAnsi"/>
          <w:szCs w:val="24"/>
        </w:rPr>
        <w:t>î</w:t>
      </w:r>
      <w:r w:rsidRPr="00B70950">
        <w:rPr>
          <w:rFonts w:asciiTheme="minorHAnsi" w:hAnsiTheme="minorHAnsi"/>
          <w:szCs w:val="24"/>
        </w:rPr>
        <w:t>nerait des coûts de location supérieurs au remboursement du prêt dans le cadre de la construction d'un nouveau bâtiment (qui, à l</w:t>
      </w:r>
      <w:r w:rsidR="00126B99" w:rsidRPr="00B70950">
        <w:rPr>
          <w:rFonts w:asciiTheme="minorHAnsi" w:hAnsiTheme="minorHAnsi"/>
          <w:szCs w:val="24"/>
        </w:rPr>
        <w:t>'</w:t>
      </w:r>
      <w:r w:rsidRPr="00B70950">
        <w:rPr>
          <w:rFonts w:asciiTheme="minorHAnsi" w:hAnsiTheme="minorHAnsi"/>
          <w:szCs w:val="24"/>
        </w:rPr>
        <w:t xml:space="preserve">issue de la période de remboursement, deviendrait la propriété totale et entière de l'Union), et ne présente pas d'avantages économiques à long terme. De plus, cette option entraînerait des frais réguliers supplémentaires, notamment en ce qui concerne les déplacements locaux et le périmètre de sécurité, ainsi que des délais supplémentaires entre les séances de réunion si les délégués </w:t>
      </w:r>
      <w:r w:rsidR="00AF2A16" w:rsidRPr="00B70950">
        <w:rPr>
          <w:rFonts w:asciiTheme="minorHAnsi" w:hAnsiTheme="minorHAnsi"/>
          <w:szCs w:val="24"/>
        </w:rPr>
        <w:t>devaient</w:t>
      </w:r>
      <w:r w:rsidRPr="00B70950">
        <w:rPr>
          <w:rFonts w:asciiTheme="minorHAnsi" w:hAnsiTheme="minorHAnsi"/>
          <w:szCs w:val="24"/>
        </w:rPr>
        <w:t xml:space="preserve"> se déplacer.</w:t>
      </w:r>
    </w:p>
    <w:p w:rsidR="00D429F6" w:rsidRPr="00B70950" w:rsidRDefault="00D429F6" w:rsidP="007F1941">
      <w:pPr>
        <w:rPr>
          <w:rFonts w:asciiTheme="minorHAnsi" w:hAnsiTheme="minorHAnsi"/>
          <w:szCs w:val="24"/>
        </w:rPr>
      </w:pPr>
      <w:r w:rsidRPr="00B70950">
        <w:rPr>
          <w:rFonts w:asciiTheme="minorHAnsi" w:hAnsiTheme="minorHAnsi"/>
          <w:szCs w:val="24"/>
        </w:rPr>
        <w:t>7.9</w:t>
      </w:r>
      <w:r w:rsidRPr="00B70950">
        <w:rPr>
          <w:rFonts w:asciiTheme="minorHAnsi" w:hAnsiTheme="minorHAnsi"/>
          <w:szCs w:val="24"/>
        </w:rPr>
        <w:tab/>
        <w:t>En outre, si l</w:t>
      </w:r>
      <w:r w:rsidR="00126B99" w:rsidRPr="00B70950">
        <w:rPr>
          <w:rFonts w:asciiTheme="minorHAnsi" w:hAnsiTheme="minorHAnsi"/>
          <w:szCs w:val="24"/>
        </w:rPr>
        <w:t>'</w:t>
      </w:r>
      <w:r w:rsidRPr="00B70950">
        <w:rPr>
          <w:rFonts w:asciiTheme="minorHAnsi" w:hAnsiTheme="minorHAnsi"/>
          <w:szCs w:val="24"/>
        </w:rPr>
        <w:t>option consistant à louer des locaux était retenue, l</w:t>
      </w:r>
      <w:r w:rsidR="00126B99" w:rsidRPr="00B70950">
        <w:rPr>
          <w:rFonts w:asciiTheme="minorHAnsi" w:hAnsiTheme="minorHAnsi"/>
          <w:szCs w:val="24"/>
        </w:rPr>
        <w:t>'</w:t>
      </w:r>
      <w:r w:rsidRPr="00B70950">
        <w:rPr>
          <w:rFonts w:asciiTheme="minorHAnsi" w:hAnsiTheme="minorHAnsi"/>
          <w:szCs w:val="24"/>
        </w:rPr>
        <w:t>Union perdrait la propriété du bâtiment Varembé, et verrait donc ses actifs diminuer.</w:t>
      </w:r>
    </w:p>
    <w:p w:rsidR="00C114FD" w:rsidRPr="00B70950" w:rsidRDefault="00C114FD" w:rsidP="00C114FD">
      <w:pPr>
        <w:pStyle w:val="Headingb"/>
        <w:spacing w:after="120"/>
      </w:pPr>
      <w:r w:rsidRPr="00B70950">
        <w:br w:type="page"/>
      </w:r>
    </w:p>
    <w:p w:rsidR="00D429F6" w:rsidRPr="00B70950" w:rsidRDefault="00D429F6" w:rsidP="00C114FD">
      <w:pPr>
        <w:pStyle w:val="Headingb"/>
        <w:spacing w:after="120"/>
      </w:pPr>
      <w:r w:rsidRPr="00B70950">
        <w:lastRenderedPageBreak/>
        <w:t>Synthèse des coûts associés à l</w:t>
      </w:r>
      <w:r w:rsidR="00126B99" w:rsidRPr="00B70950">
        <w:t>'</w:t>
      </w:r>
      <w:r w:rsidRPr="00B70950">
        <w:t>Option 3 pour l</w:t>
      </w:r>
      <w:r w:rsidR="00126B99" w:rsidRPr="00B70950">
        <w:t>'</w:t>
      </w:r>
      <w:r w:rsidRPr="00B70950">
        <w:t xml:space="preserve">ensemble du </w:t>
      </w:r>
      <w:proofErr w:type="gramStart"/>
      <w:r w:rsidRPr="00B70950">
        <w:t>siège:</w:t>
      </w:r>
      <w:proofErr w:type="gramEnd"/>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8"/>
        <w:gridCol w:w="2126"/>
        <w:gridCol w:w="3827"/>
      </w:tblGrid>
      <w:tr w:rsidR="00D429F6" w:rsidRPr="00B70950" w:rsidTr="00A47FFC">
        <w:trPr>
          <w:jc w:val="center"/>
        </w:trPr>
        <w:tc>
          <w:tcPr>
            <w:tcW w:w="2263" w:type="dxa"/>
          </w:tcPr>
          <w:p w:rsidR="00D429F6" w:rsidRPr="00B70950" w:rsidRDefault="00D429F6" w:rsidP="00C232BA">
            <w:pPr>
              <w:pStyle w:val="Tablehead"/>
              <w:spacing w:before="40" w:after="40"/>
            </w:pPr>
            <w:r w:rsidRPr="00B70950">
              <w:t>Bâtiment</w:t>
            </w:r>
          </w:p>
        </w:tc>
        <w:tc>
          <w:tcPr>
            <w:tcW w:w="1418" w:type="dxa"/>
          </w:tcPr>
          <w:p w:rsidR="00D429F6" w:rsidRPr="00B70950" w:rsidRDefault="00D429F6" w:rsidP="00C232BA">
            <w:pPr>
              <w:pStyle w:val="Tablehead"/>
              <w:spacing w:before="40" w:after="40"/>
            </w:pPr>
          </w:p>
        </w:tc>
        <w:tc>
          <w:tcPr>
            <w:tcW w:w="2126" w:type="dxa"/>
          </w:tcPr>
          <w:p w:rsidR="00D429F6" w:rsidRPr="00B70950" w:rsidRDefault="00D429F6" w:rsidP="00C232BA">
            <w:pPr>
              <w:pStyle w:val="Tablehead"/>
              <w:spacing w:before="40" w:after="40"/>
            </w:pPr>
            <w:r w:rsidRPr="00B70950">
              <w:t xml:space="preserve">Coût </w:t>
            </w:r>
            <w:r w:rsidRPr="00B70950">
              <w:br/>
              <w:t>(millions de CHF)</w:t>
            </w:r>
          </w:p>
        </w:tc>
        <w:tc>
          <w:tcPr>
            <w:tcW w:w="3827" w:type="dxa"/>
          </w:tcPr>
          <w:p w:rsidR="00D429F6" w:rsidRPr="00B70950" w:rsidRDefault="00D429F6" w:rsidP="00C232BA">
            <w:pPr>
              <w:pStyle w:val="Tablehead"/>
              <w:spacing w:before="40" w:after="40"/>
            </w:pPr>
            <w:r w:rsidRPr="00B70950">
              <w:t>Observations</w:t>
            </w:r>
          </w:p>
        </w:tc>
      </w:tr>
      <w:tr w:rsidR="00D429F6" w:rsidRPr="00B70950" w:rsidTr="00A47FFC">
        <w:trPr>
          <w:jc w:val="center"/>
        </w:trPr>
        <w:tc>
          <w:tcPr>
            <w:tcW w:w="2263" w:type="dxa"/>
            <w:vAlign w:val="center"/>
          </w:tcPr>
          <w:p w:rsidR="00D429F6" w:rsidRPr="00B70950" w:rsidRDefault="00D429F6" w:rsidP="00C232BA">
            <w:pPr>
              <w:spacing w:before="40" w:after="40"/>
              <w:rPr>
                <w:sz w:val="22"/>
                <w:szCs w:val="22"/>
              </w:rPr>
            </w:pPr>
            <w:r w:rsidRPr="00B70950">
              <w:rPr>
                <w:sz w:val="22"/>
                <w:szCs w:val="22"/>
              </w:rPr>
              <w:t>Location</w:t>
            </w:r>
          </w:p>
        </w:tc>
        <w:tc>
          <w:tcPr>
            <w:tcW w:w="1418" w:type="dxa"/>
            <w:vAlign w:val="center"/>
          </w:tcPr>
          <w:p w:rsidR="00D429F6" w:rsidRPr="00B70950" w:rsidRDefault="00D429F6" w:rsidP="00C232BA">
            <w:pPr>
              <w:spacing w:before="40" w:after="40"/>
              <w:rPr>
                <w:sz w:val="22"/>
                <w:szCs w:val="22"/>
              </w:rPr>
            </w:pPr>
          </w:p>
        </w:tc>
        <w:tc>
          <w:tcPr>
            <w:tcW w:w="2126" w:type="dxa"/>
            <w:vAlign w:val="center"/>
          </w:tcPr>
          <w:p w:rsidR="00D429F6" w:rsidRPr="00B70950" w:rsidRDefault="00D429F6" w:rsidP="00C232BA">
            <w:pPr>
              <w:spacing w:before="40" w:after="40"/>
              <w:jc w:val="center"/>
              <w:rPr>
                <w:sz w:val="22"/>
                <w:szCs w:val="22"/>
              </w:rPr>
            </w:pPr>
            <w:r w:rsidRPr="00B70950">
              <w:rPr>
                <w:sz w:val="22"/>
                <w:szCs w:val="22"/>
              </w:rPr>
              <w:t>4,4</w:t>
            </w:r>
          </w:p>
        </w:tc>
        <w:tc>
          <w:tcPr>
            <w:tcW w:w="3827" w:type="dxa"/>
            <w:vAlign w:val="center"/>
          </w:tcPr>
          <w:p w:rsidR="00D429F6" w:rsidRPr="00B70950" w:rsidRDefault="00D429F6" w:rsidP="00C232BA">
            <w:pPr>
              <w:pStyle w:val="Tabletext"/>
              <w:spacing w:before="40" w:after="40"/>
              <w:rPr>
                <w:szCs w:val="22"/>
              </w:rPr>
            </w:pPr>
            <w:r w:rsidRPr="00B70950">
              <w:t>Charges annuelles.</w:t>
            </w:r>
          </w:p>
        </w:tc>
      </w:tr>
      <w:tr w:rsidR="00D429F6" w:rsidRPr="00B70950" w:rsidTr="00A47FFC">
        <w:trPr>
          <w:jc w:val="center"/>
        </w:trPr>
        <w:tc>
          <w:tcPr>
            <w:tcW w:w="2263" w:type="dxa"/>
            <w:vAlign w:val="center"/>
          </w:tcPr>
          <w:p w:rsidR="00D429F6" w:rsidRPr="00B70950" w:rsidRDefault="00D429F6" w:rsidP="00C232BA">
            <w:pPr>
              <w:spacing w:before="40" w:after="40"/>
              <w:rPr>
                <w:sz w:val="22"/>
                <w:szCs w:val="22"/>
              </w:rPr>
            </w:pPr>
            <w:r w:rsidRPr="00B70950">
              <w:rPr>
                <w:sz w:val="22"/>
                <w:szCs w:val="22"/>
              </w:rPr>
              <w:t>Charges</w:t>
            </w:r>
          </w:p>
        </w:tc>
        <w:tc>
          <w:tcPr>
            <w:tcW w:w="1418" w:type="dxa"/>
            <w:vAlign w:val="center"/>
          </w:tcPr>
          <w:p w:rsidR="00D429F6" w:rsidRPr="00B70950" w:rsidRDefault="00D429F6" w:rsidP="00C232BA">
            <w:pPr>
              <w:spacing w:before="40" w:after="40"/>
              <w:rPr>
                <w:sz w:val="22"/>
                <w:szCs w:val="22"/>
              </w:rPr>
            </w:pPr>
          </w:p>
        </w:tc>
        <w:tc>
          <w:tcPr>
            <w:tcW w:w="2126" w:type="dxa"/>
            <w:vAlign w:val="center"/>
          </w:tcPr>
          <w:p w:rsidR="00D429F6" w:rsidRPr="00B70950" w:rsidRDefault="00D429F6" w:rsidP="00C232BA">
            <w:pPr>
              <w:spacing w:before="40" w:after="40"/>
              <w:jc w:val="center"/>
              <w:rPr>
                <w:sz w:val="22"/>
                <w:szCs w:val="22"/>
              </w:rPr>
            </w:pPr>
            <w:r w:rsidRPr="00B70950">
              <w:rPr>
                <w:sz w:val="22"/>
                <w:szCs w:val="22"/>
              </w:rPr>
              <w:t>0,3 à 0,5 </w:t>
            </w:r>
            <w:r w:rsidR="00AF2A16" w:rsidRPr="00B70950">
              <w:rPr>
                <w:sz w:val="22"/>
                <w:szCs w:val="22"/>
              </w:rPr>
              <w:t>million</w:t>
            </w:r>
            <w:r w:rsidRPr="00B70950">
              <w:rPr>
                <w:sz w:val="22"/>
                <w:szCs w:val="22"/>
              </w:rPr>
              <w:t xml:space="preserve"> CHF</w:t>
            </w:r>
          </w:p>
        </w:tc>
        <w:tc>
          <w:tcPr>
            <w:tcW w:w="3827" w:type="dxa"/>
            <w:vAlign w:val="center"/>
          </w:tcPr>
          <w:p w:rsidR="00D429F6" w:rsidRPr="00B70950" w:rsidRDefault="00D429F6" w:rsidP="00C232BA">
            <w:pPr>
              <w:spacing w:before="40" w:after="40"/>
              <w:rPr>
                <w:sz w:val="22"/>
                <w:szCs w:val="22"/>
              </w:rPr>
            </w:pPr>
          </w:p>
        </w:tc>
      </w:tr>
      <w:tr w:rsidR="00D429F6" w:rsidRPr="00B70950" w:rsidTr="00A47FFC">
        <w:trPr>
          <w:jc w:val="center"/>
        </w:trPr>
        <w:tc>
          <w:tcPr>
            <w:tcW w:w="2263" w:type="dxa"/>
            <w:vAlign w:val="center"/>
          </w:tcPr>
          <w:p w:rsidR="00D429F6" w:rsidRPr="00B70950" w:rsidRDefault="00D429F6" w:rsidP="00C232BA">
            <w:pPr>
              <w:spacing w:before="40" w:after="40"/>
              <w:rPr>
                <w:b/>
                <w:bCs/>
                <w:sz w:val="22"/>
                <w:szCs w:val="22"/>
              </w:rPr>
            </w:pPr>
            <w:proofErr w:type="gramStart"/>
            <w:r w:rsidRPr="00B70950">
              <w:rPr>
                <w:b/>
                <w:bCs/>
                <w:sz w:val="22"/>
                <w:szCs w:val="22"/>
              </w:rPr>
              <w:t>Total:</w:t>
            </w:r>
            <w:proofErr w:type="gramEnd"/>
            <w:r w:rsidRPr="00B70950">
              <w:rPr>
                <w:b/>
                <w:bCs/>
                <w:sz w:val="22"/>
                <w:szCs w:val="22"/>
              </w:rPr>
              <w:t xml:space="preserve"> dépenses annuelles</w:t>
            </w:r>
          </w:p>
        </w:tc>
        <w:tc>
          <w:tcPr>
            <w:tcW w:w="1418" w:type="dxa"/>
          </w:tcPr>
          <w:p w:rsidR="00D429F6" w:rsidRPr="00B70950" w:rsidRDefault="00D429F6" w:rsidP="00C232BA">
            <w:pPr>
              <w:spacing w:before="40" w:after="40"/>
              <w:rPr>
                <w:sz w:val="22"/>
                <w:szCs w:val="22"/>
              </w:rPr>
            </w:pPr>
          </w:p>
        </w:tc>
        <w:tc>
          <w:tcPr>
            <w:tcW w:w="2126" w:type="dxa"/>
            <w:vAlign w:val="center"/>
          </w:tcPr>
          <w:p w:rsidR="00D429F6" w:rsidRPr="00B70950" w:rsidRDefault="00D429F6" w:rsidP="00C232BA">
            <w:pPr>
              <w:spacing w:before="40" w:after="40"/>
              <w:jc w:val="center"/>
              <w:rPr>
                <w:b/>
                <w:bCs/>
                <w:sz w:val="22"/>
                <w:szCs w:val="22"/>
              </w:rPr>
            </w:pPr>
            <w:r w:rsidRPr="00B70950">
              <w:rPr>
                <w:b/>
                <w:bCs/>
                <w:sz w:val="22"/>
                <w:szCs w:val="22"/>
              </w:rPr>
              <w:t>4,9</w:t>
            </w:r>
          </w:p>
        </w:tc>
        <w:tc>
          <w:tcPr>
            <w:tcW w:w="3827" w:type="dxa"/>
          </w:tcPr>
          <w:p w:rsidR="00D429F6" w:rsidRPr="00B70950" w:rsidRDefault="00D429F6" w:rsidP="00C232BA">
            <w:pPr>
              <w:spacing w:before="40" w:after="40"/>
              <w:rPr>
                <w:sz w:val="22"/>
                <w:szCs w:val="22"/>
              </w:rPr>
            </w:pPr>
          </w:p>
        </w:tc>
      </w:tr>
    </w:tbl>
    <w:p w:rsidR="00D429F6" w:rsidRPr="00B70950" w:rsidRDefault="00D429F6" w:rsidP="007F19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98"/>
        <w:gridCol w:w="2087"/>
        <w:gridCol w:w="3887"/>
      </w:tblGrid>
      <w:tr w:rsidR="00D429F6" w:rsidRPr="00B70950" w:rsidTr="00A47FFC">
        <w:trPr>
          <w:jc w:val="center"/>
        </w:trPr>
        <w:tc>
          <w:tcPr>
            <w:tcW w:w="2263" w:type="dxa"/>
            <w:vAlign w:val="center"/>
          </w:tcPr>
          <w:p w:rsidR="00D429F6" w:rsidRPr="00B70950" w:rsidRDefault="00D429F6" w:rsidP="00C232BA">
            <w:pPr>
              <w:spacing w:before="40" w:after="40"/>
              <w:rPr>
                <w:sz w:val="22"/>
                <w:szCs w:val="22"/>
              </w:rPr>
            </w:pPr>
            <w:r w:rsidRPr="00B70950">
              <w:rPr>
                <w:sz w:val="22"/>
                <w:szCs w:val="22"/>
              </w:rPr>
              <w:t>Démolition de Varembé I</w:t>
            </w:r>
          </w:p>
        </w:tc>
        <w:tc>
          <w:tcPr>
            <w:tcW w:w="1398" w:type="dxa"/>
          </w:tcPr>
          <w:p w:rsidR="00D429F6" w:rsidRPr="00B70950" w:rsidRDefault="00D429F6" w:rsidP="00C232BA">
            <w:pPr>
              <w:spacing w:before="40" w:after="40"/>
              <w:rPr>
                <w:sz w:val="22"/>
                <w:szCs w:val="22"/>
              </w:rPr>
            </w:pPr>
          </w:p>
        </w:tc>
        <w:tc>
          <w:tcPr>
            <w:tcW w:w="2087" w:type="dxa"/>
          </w:tcPr>
          <w:p w:rsidR="00D429F6" w:rsidRPr="00B70950" w:rsidRDefault="00D429F6" w:rsidP="00C232BA">
            <w:pPr>
              <w:spacing w:before="40" w:after="40"/>
              <w:jc w:val="center"/>
              <w:rPr>
                <w:sz w:val="22"/>
                <w:szCs w:val="22"/>
              </w:rPr>
            </w:pPr>
            <w:r w:rsidRPr="00B70950">
              <w:rPr>
                <w:sz w:val="22"/>
                <w:szCs w:val="22"/>
              </w:rPr>
              <w:t>3,9</w:t>
            </w:r>
          </w:p>
        </w:tc>
        <w:tc>
          <w:tcPr>
            <w:tcW w:w="3887" w:type="dxa"/>
          </w:tcPr>
          <w:p w:rsidR="00D429F6" w:rsidRPr="00B70950" w:rsidRDefault="00D429F6" w:rsidP="00C232BA">
            <w:pPr>
              <w:spacing w:before="40" w:after="40"/>
              <w:rPr>
                <w:sz w:val="22"/>
                <w:szCs w:val="22"/>
              </w:rPr>
            </w:pPr>
          </w:p>
        </w:tc>
      </w:tr>
      <w:tr w:rsidR="00D429F6" w:rsidRPr="00B70950" w:rsidTr="00A47FFC">
        <w:trPr>
          <w:jc w:val="center"/>
        </w:trPr>
        <w:tc>
          <w:tcPr>
            <w:tcW w:w="2263" w:type="dxa"/>
            <w:vAlign w:val="center"/>
          </w:tcPr>
          <w:p w:rsidR="00D429F6" w:rsidRPr="00B70950" w:rsidRDefault="00D429F6" w:rsidP="00C232BA">
            <w:pPr>
              <w:spacing w:before="40" w:after="40"/>
              <w:rPr>
                <w:sz w:val="22"/>
                <w:szCs w:val="22"/>
              </w:rPr>
            </w:pPr>
            <w:r w:rsidRPr="00B70950">
              <w:rPr>
                <w:sz w:val="22"/>
                <w:szCs w:val="22"/>
              </w:rPr>
              <w:t>Déménagement</w:t>
            </w:r>
          </w:p>
        </w:tc>
        <w:tc>
          <w:tcPr>
            <w:tcW w:w="1398" w:type="dxa"/>
          </w:tcPr>
          <w:p w:rsidR="00D429F6" w:rsidRPr="00B70950" w:rsidRDefault="00D429F6" w:rsidP="00C232BA">
            <w:pPr>
              <w:spacing w:before="40" w:after="40"/>
              <w:rPr>
                <w:sz w:val="22"/>
                <w:szCs w:val="22"/>
              </w:rPr>
            </w:pPr>
          </w:p>
        </w:tc>
        <w:tc>
          <w:tcPr>
            <w:tcW w:w="2087" w:type="dxa"/>
          </w:tcPr>
          <w:p w:rsidR="00D429F6" w:rsidRPr="00B70950" w:rsidRDefault="00D429F6" w:rsidP="00C232BA">
            <w:pPr>
              <w:spacing w:before="40" w:after="40"/>
              <w:jc w:val="center"/>
              <w:rPr>
                <w:sz w:val="22"/>
                <w:szCs w:val="22"/>
              </w:rPr>
            </w:pPr>
            <w:r w:rsidRPr="00B70950">
              <w:rPr>
                <w:sz w:val="22"/>
                <w:szCs w:val="22"/>
              </w:rPr>
              <w:t>0,5</w:t>
            </w:r>
          </w:p>
        </w:tc>
        <w:tc>
          <w:tcPr>
            <w:tcW w:w="3887" w:type="dxa"/>
          </w:tcPr>
          <w:p w:rsidR="00D429F6" w:rsidRPr="00B70950" w:rsidRDefault="00D429F6" w:rsidP="00C232BA">
            <w:pPr>
              <w:spacing w:before="40" w:after="40"/>
              <w:rPr>
                <w:sz w:val="22"/>
                <w:szCs w:val="22"/>
              </w:rPr>
            </w:pPr>
          </w:p>
        </w:tc>
      </w:tr>
      <w:tr w:rsidR="00D429F6" w:rsidRPr="00B70950" w:rsidTr="00A47FFC">
        <w:trPr>
          <w:jc w:val="center"/>
        </w:trPr>
        <w:tc>
          <w:tcPr>
            <w:tcW w:w="2263" w:type="dxa"/>
            <w:vAlign w:val="center"/>
          </w:tcPr>
          <w:p w:rsidR="00D429F6" w:rsidRPr="00B70950" w:rsidRDefault="00D429F6" w:rsidP="00C232BA">
            <w:pPr>
              <w:spacing w:before="40" w:after="40"/>
              <w:rPr>
                <w:sz w:val="22"/>
                <w:szCs w:val="22"/>
              </w:rPr>
            </w:pPr>
            <w:r w:rsidRPr="00B70950">
              <w:rPr>
                <w:sz w:val="22"/>
                <w:szCs w:val="22"/>
              </w:rPr>
              <w:t>Reconstruction d</w:t>
            </w:r>
            <w:r w:rsidR="00126B99" w:rsidRPr="00B70950">
              <w:rPr>
                <w:sz w:val="22"/>
                <w:szCs w:val="22"/>
              </w:rPr>
              <w:t>'</w:t>
            </w:r>
            <w:r w:rsidRPr="00B70950">
              <w:rPr>
                <w:sz w:val="22"/>
                <w:szCs w:val="22"/>
              </w:rPr>
              <w:t xml:space="preserve">un passage intérieur reliant </w:t>
            </w:r>
            <w:proofErr w:type="spellStart"/>
            <w:r w:rsidRPr="00B70950">
              <w:rPr>
                <w:sz w:val="22"/>
                <w:szCs w:val="22"/>
              </w:rPr>
              <w:t>Montbrillant</w:t>
            </w:r>
            <w:proofErr w:type="spellEnd"/>
            <w:r w:rsidRPr="00B70950">
              <w:rPr>
                <w:sz w:val="22"/>
                <w:szCs w:val="22"/>
              </w:rPr>
              <w:t xml:space="preserve"> et la Tour</w:t>
            </w:r>
          </w:p>
        </w:tc>
        <w:tc>
          <w:tcPr>
            <w:tcW w:w="1398" w:type="dxa"/>
          </w:tcPr>
          <w:p w:rsidR="00D429F6" w:rsidRPr="00B70950" w:rsidRDefault="00D429F6" w:rsidP="00C232BA">
            <w:pPr>
              <w:spacing w:before="40" w:after="40"/>
              <w:rPr>
                <w:sz w:val="22"/>
                <w:szCs w:val="22"/>
              </w:rPr>
            </w:pPr>
          </w:p>
        </w:tc>
        <w:tc>
          <w:tcPr>
            <w:tcW w:w="2087" w:type="dxa"/>
          </w:tcPr>
          <w:p w:rsidR="00D429F6" w:rsidRPr="00B70950" w:rsidRDefault="00D429F6" w:rsidP="00C232BA">
            <w:pPr>
              <w:spacing w:before="40" w:after="40"/>
              <w:jc w:val="center"/>
              <w:rPr>
                <w:sz w:val="22"/>
                <w:szCs w:val="22"/>
              </w:rPr>
            </w:pPr>
            <w:r w:rsidRPr="00B70950">
              <w:rPr>
                <w:sz w:val="22"/>
                <w:szCs w:val="22"/>
              </w:rPr>
              <w:t>0,2</w:t>
            </w:r>
          </w:p>
        </w:tc>
        <w:tc>
          <w:tcPr>
            <w:tcW w:w="3887" w:type="dxa"/>
          </w:tcPr>
          <w:p w:rsidR="00D429F6" w:rsidRPr="00B70950" w:rsidRDefault="00D429F6" w:rsidP="00C232BA">
            <w:pPr>
              <w:spacing w:before="40" w:after="40"/>
              <w:rPr>
                <w:sz w:val="22"/>
                <w:szCs w:val="22"/>
              </w:rPr>
            </w:pPr>
          </w:p>
        </w:tc>
      </w:tr>
      <w:tr w:rsidR="00D429F6" w:rsidRPr="00B70950" w:rsidTr="00A47FFC">
        <w:trPr>
          <w:jc w:val="center"/>
        </w:trPr>
        <w:tc>
          <w:tcPr>
            <w:tcW w:w="2263" w:type="dxa"/>
            <w:vAlign w:val="center"/>
          </w:tcPr>
          <w:p w:rsidR="00D429F6" w:rsidRPr="00B70950" w:rsidRDefault="00D429F6" w:rsidP="00C232BA">
            <w:pPr>
              <w:spacing w:before="40" w:after="40"/>
              <w:rPr>
                <w:sz w:val="22"/>
                <w:szCs w:val="22"/>
              </w:rPr>
            </w:pPr>
            <w:proofErr w:type="spellStart"/>
            <w:r w:rsidRPr="00B70950">
              <w:rPr>
                <w:sz w:val="22"/>
                <w:szCs w:val="22"/>
              </w:rPr>
              <w:t>Montbrillant</w:t>
            </w:r>
            <w:proofErr w:type="spellEnd"/>
          </w:p>
        </w:tc>
        <w:tc>
          <w:tcPr>
            <w:tcW w:w="1398" w:type="dxa"/>
            <w:vAlign w:val="center"/>
          </w:tcPr>
          <w:p w:rsidR="00D429F6" w:rsidRPr="00B70950" w:rsidRDefault="00D429F6" w:rsidP="00C232BA">
            <w:pPr>
              <w:spacing w:before="40" w:after="40"/>
              <w:rPr>
                <w:sz w:val="22"/>
                <w:szCs w:val="22"/>
              </w:rPr>
            </w:pPr>
            <w:r w:rsidRPr="00B70950">
              <w:rPr>
                <w:sz w:val="22"/>
                <w:szCs w:val="22"/>
              </w:rPr>
              <w:t>Urgences</w:t>
            </w:r>
          </w:p>
        </w:tc>
        <w:tc>
          <w:tcPr>
            <w:tcW w:w="2087" w:type="dxa"/>
            <w:vAlign w:val="center"/>
          </w:tcPr>
          <w:p w:rsidR="00D429F6" w:rsidRPr="00B70950" w:rsidRDefault="00D429F6" w:rsidP="00C232BA">
            <w:pPr>
              <w:pStyle w:val="Tabletext"/>
              <w:spacing w:before="40" w:after="40"/>
              <w:jc w:val="center"/>
              <w:rPr>
                <w:szCs w:val="22"/>
              </w:rPr>
            </w:pPr>
            <w:r w:rsidRPr="00B70950">
              <w:rPr>
                <w:szCs w:val="22"/>
              </w:rPr>
              <w:t>4</w:t>
            </w:r>
          </w:p>
        </w:tc>
        <w:tc>
          <w:tcPr>
            <w:tcW w:w="3887" w:type="dxa"/>
            <w:vAlign w:val="center"/>
          </w:tcPr>
          <w:p w:rsidR="00D429F6" w:rsidRPr="00B70950" w:rsidRDefault="00D429F6" w:rsidP="00C232BA">
            <w:pPr>
              <w:pStyle w:val="Tabletext"/>
              <w:spacing w:before="40" w:after="40"/>
              <w:rPr>
                <w:szCs w:val="22"/>
              </w:rPr>
            </w:pPr>
            <w:r w:rsidRPr="00B70950">
              <w:t>Maintien de l</w:t>
            </w:r>
            <w:r w:rsidR="00126B99" w:rsidRPr="00B70950">
              <w:t>'</w:t>
            </w:r>
            <w:r w:rsidRPr="00B70950">
              <w:t>utilisation.</w:t>
            </w:r>
          </w:p>
        </w:tc>
      </w:tr>
      <w:tr w:rsidR="00D429F6" w:rsidRPr="00B70950" w:rsidTr="00A47FFC">
        <w:trPr>
          <w:jc w:val="center"/>
        </w:trPr>
        <w:tc>
          <w:tcPr>
            <w:tcW w:w="2263" w:type="dxa"/>
            <w:vAlign w:val="center"/>
          </w:tcPr>
          <w:p w:rsidR="00D429F6" w:rsidRPr="00B70950" w:rsidRDefault="00D429F6" w:rsidP="00C232BA">
            <w:pPr>
              <w:spacing w:before="40" w:after="40"/>
              <w:rPr>
                <w:sz w:val="22"/>
                <w:szCs w:val="22"/>
              </w:rPr>
            </w:pPr>
            <w:r w:rsidRPr="00B70950">
              <w:rPr>
                <w:sz w:val="22"/>
                <w:szCs w:val="22"/>
              </w:rPr>
              <w:t>Tour</w:t>
            </w:r>
          </w:p>
        </w:tc>
        <w:tc>
          <w:tcPr>
            <w:tcW w:w="1398" w:type="dxa"/>
            <w:vAlign w:val="center"/>
          </w:tcPr>
          <w:p w:rsidR="00D429F6" w:rsidRPr="00B70950" w:rsidRDefault="00D429F6" w:rsidP="00C232BA">
            <w:pPr>
              <w:spacing w:before="40" w:after="40"/>
              <w:rPr>
                <w:sz w:val="22"/>
                <w:szCs w:val="22"/>
              </w:rPr>
            </w:pPr>
            <w:r w:rsidRPr="00B70950">
              <w:rPr>
                <w:sz w:val="22"/>
                <w:szCs w:val="22"/>
              </w:rPr>
              <w:t>Urgences</w:t>
            </w:r>
          </w:p>
        </w:tc>
        <w:tc>
          <w:tcPr>
            <w:tcW w:w="2087" w:type="dxa"/>
            <w:vAlign w:val="center"/>
          </w:tcPr>
          <w:p w:rsidR="00D429F6" w:rsidRPr="00B70950" w:rsidRDefault="00D429F6" w:rsidP="00C232BA">
            <w:pPr>
              <w:spacing w:before="40" w:after="40"/>
              <w:jc w:val="center"/>
              <w:rPr>
                <w:sz w:val="22"/>
                <w:szCs w:val="22"/>
              </w:rPr>
            </w:pPr>
            <w:r w:rsidRPr="00B70950">
              <w:rPr>
                <w:sz w:val="22"/>
                <w:szCs w:val="22"/>
              </w:rPr>
              <w:t>45</w:t>
            </w:r>
          </w:p>
        </w:tc>
        <w:tc>
          <w:tcPr>
            <w:tcW w:w="3887" w:type="dxa"/>
          </w:tcPr>
          <w:p w:rsidR="00D429F6" w:rsidRPr="00B70950" w:rsidRDefault="00D429F6" w:rsidP="00C232BA">
            <w:pPr>
              <w:pStyle w:val="Tabletext"/>
              <w:spacing w:before="40" w:after="40"/>
              <w:rPr>
                <w:szCs w:val="22"/>
              </w:rPr>
            </w:pPr>
            <w:r w:rsidRPr="00B70950">
              <w:t>Maintien de l</w:t>
            </w:r>
            <w:r w:rsidR="00126B99" w:rsidRPr="00B70950">
              <w:t>'</w:t>
            </w:r>
            <w:r w:rsidRPr="00B70950">
              <w:t>utilisation.</w:t>
            </w:r>
          </w:p>
        </w:tc>
      </w:tr>
      <w:tr w:rsidR="00D429F6" w:rsidRPr="00B70950" w:rsidTr="00A47FFC">
        <w:trPr>
          <w:trHeight w:val="287"/>
          <w:jc w:val="center"/>
        </w:trPr>
        <w:tc>
          <w:tcPr>
            <w:tcW w:w="2263" w:type="dxa"/>
            <w:vAlign w:val="center"/>
          </w:tcPr>
          <w:p w:rsidR="00D429F6" w:rsidRPr="00B70950" w:rsidRDefault="00D429F6" w:rsidP="00C232BA">
            <w:pPr>
              <w:spacing w:before="40" w:after="40"/>
              <w:rPr>
                <w:i/>
                <w:sz w:val="22"/>
                <w:szCs w:val="22"/>
              </w:rPr>
            </w:pPr>
            <w:r w:rsidRPr="00B70950">
              <w:rPr>
                <w:i/>
                <w:sz w:val="22"/>
                <w:szCs w:val="22"/>
              </w:rPr>
              <w:t>Charges financières</w:t>
            </w:r>
          </w:p>
        </w:tc>
        <w:tc>
          <w:tcPr>
            <w:tcW w:w="1398" w:type="dxa"/>
          </w:tcPr>
          <w:p w:rsidR="00D429F6" w:rsidRPr="00B70950" w:rsidRDefault="00D429F6" w:rsidP="00C232BA">
            <w:pPr>
              <w:spacing w:before="40" w:after="40"/>
              <w:rPr>
                <w:i/>
                <w:sz w:val="22"/>
                <w:szCs w:val="22"/>
              </w:rPr>
            </w:pPr>
          </w:p>
        </w:tc>
        <w:tc>
          <w:tcPr>
            <w:tcW w:w="2087" w:type="dxa"/>
            <w:vAlign w:val="center"/>
          </w:tcPr>
          <w:p w:rsidR="00D429F6" w:rsidRPr="00B70950" w:rsidRDefault="002F0432" w:rsidP="00C232BA">
            <w:pPr>
              <w:spacing w:before="40" w:after="40"/>
              <w:jc w:val="center"/>
              <w:rPr>
                <w:i/>
                <w:sz w:val="22"/>
                <w:szCs w:val="22"/>
              </w:rPr>
            </w:pPr>
            <w:r w:rsidRPr="00B70950">
              <w:rPr>
                <w:i/>
                <w:sz w:val="22"/>
                <w:szCs w:val="22"/>
              </w:rPr>
              <w:t>12</w:t>
            </w:r>
          </w:p>
        </w:tc>
        <w:tc>
          <w:tcPr>
            <w:tcW w:w="3887" w:type="dxa"/>
          </w:tcPr>
          <w:p w:rsidR="00D429F6" w:rsidRPr="00B70950" w:rsidRDefault="00D429F6" w:rsidP="00C232BA">
            <w:pPr>
              <w:pStyle w:val="Tabletext"/>
              <w:spacing w:before="40" w:after="40"/>
              <w:rPr>
                <w:i/>
                <w:szCs w:val="22"/>
              </w:rPr>
            </w:pPr>
            <w:r w:rsidRPr="00B70950">
              <w:rPr>
                <w:i/>
                <w:szCs w:val="22"/>
              </w:rPr>
              <w:t>Intérêts cumulés sur le prêt</w:t>
            </w:r>
          </w:p>
        </w:tc>
      </w:tr>
      <w:tr w:rsidR="00D429F6" w:rsidRPr="00B70950" w:rsidTr="00A47FFC">
        <w:trPr>
          <w:trHeight w:val="287"/>
          <w:jc w:val="center"/>
        </w:trPr>
        <w:tc>
          <w:tcPr>
            <w:tcW w:w="2263" w:type="dxa"/>
            <w:vAlign w:val="center"/>
          </w:tcPr>
          <w:p w:rsidR="00D429F6" w:rsidRPr="00B70950" w:rsidRDefault="00D429F6" w:rsidP="00C232BA">
            <w:pPr>
              <w:spacing w:before="40" w:after="40"/>
              <w:rPr>
                <w:b/>
                <w:sz w:val="22"/>
                <w:szCs w:val="22"/>
              </w:rPr>
            </w:pPr>
            <w:proofErr w:type="gramStart"/>
            <w:r w:rsidRPr="00B70950">
              <w:rPr>
                <w:b/>
                <w:sz w:val="22"/>
                <w:szCs w:val="22"/>
              </w:rPr>
              <w:t>Total:</w:t>
            </w:r>
            <w:proofErr w:type="gramEnd"/>
            <w:r w:rsidRPr="00B70950">
              <w:rPr>
                <w:b/>
                <w:sz w:val="22"/>
                <w:szCs w:val="22"/>
              </w:rPr>
              <w:t xml:space="preserve"> dépenses exceptionnelles</w:t>
            </w:r>
          </w:p>
        </w:tc>
        <w:tc>
          <w:tcPr>
            <w:tcW w:w="1398" w:type="dxa"/>
          </w:tcPr>
          <w:p w:rsidR="00D429F6" w:rsidRPr="00B70950" w:rsidRDefault="00D429F6" w:rsidP="00C232BA">
            <w:pPr>
              <w:spacing w:before="40" w:after="40"/>
              <w:rPr>
                <w:b/>
                <w:sz w:val="22"/>
                <w:szCs w:val="22"/>
              </w:rPr>
            </w:pPr>
          </w:p>
        </w:tc>
        <w:tc>
          <w:tcPr>
            <w:tcW w:w="2087" w:type="dxa"/>
            <w:vAlign w:val="center"/>
          </w:tcPr>
          <w:p w:rsidR="00D429F6" w:rsidRPr="00B70950" w:rsidRDefault="00D429F6" w:rsidP="00C232BA">
            <w:pPr>
              <w:pStyle w:val="Tabletext"/>
              <w:spacing w:before="40" w:after="40"/>
              <w:jc w:val="center"/>
              <w:rPr>
                <w:b/>
                <w:szCs w:val="22"/>
                <w:highlight w:val="yellow"/>
              </w:rPr>
            </w:pPr>
            <w:r w:rsidRPr="00B70950">
              <w:rPr>
                <w:b/>
              </w:rPr>
              <w:t>6</w:t>
            </w:r>
            <w:r w:rsidR="002F0432" w:rsidRPr="00B70950">
              <w:rPr>
                <w:b/>
              </w:rPr>
              <w:t>5</w:t>
            </w:r>
            <w:r w:rsidRPr="00B70950">
              <w:rPr>
                <w:b/>
                <w:szCs w:val="22"/>
              </w:rPr>
              <w:t>,6</w:t>
            </w:r>
          </w:p>
        </w:tc>
        <w:tc>
          <w:tcPr>
            <w:tcW w:w="3887" w:type="dxa"/>
          </w:tcPr>
          <w:p w:rsidR="00D429F6" w:rsidRPr="00B70950" w:rsidRDefault="00D429F6" w:rsidP="00C232BA">
            <w:pPr>
              <w:spacing w:before="40" w:after="40"/>
              <w:rPr>
                <w:b/>
                <w:sz w:val="22"/>
                <w:szCs w:val="22"/>
              </w:rPr>
            </w:pPr>
          </w:p>
        </w:tc>
      </w:tr>
    </w:tbl>
    <w:p w:rsidR="00D429F6" w:rsidRPr="00B70950" w:rsidRDefault="00D429F6" w:rsidP="007F1941">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8"/>
        <w:gridCol w:w="2126"/>
        <w:gridCol w:w="3814"/>
      </w:tblGrid>
      <w:tr w:rsidR="00D429F6" w:rsidRPr="00B70950" w:rsidTr="00A47FFC">
        <w:trPr>
          <w:jc w:val="center"/>
        </w:trPr>
        <w:tc>
          <w:tcPr>
            <w:tcW w:w="2263" w:type="dxa"/>
          </w:tcPr>
          <w:p w:rsidR="00D429F6" w:rsidRPr="00B70950" w:rsidRDefault="00D429F6" w:rsidP="00C232BA">
            <w:pPr>
              <w:spacing w:before="40" w:after="40"/>
              <w:rPr>
                <w:sz w:val="22"/>
                <w:szCs w:val="22"/>
              </w:rPr>
            </w:pPr>
            <w:r w:rsidRPr="00B70950">
              <w:rPr>
                <w:sz w:val="22"/>
                <w:szCs w:val="22"/>
              </w:rPr>
              <w:t>Tous les bâtiments</w:t>
            </w:r>
          </w:p>
        </w:tc>
        <w:tc>
          <w:tcPr>
            <w:tcW w:w="1418" w:type="dxa"/>
          </w:tcPr>
          <w:p w:rsidR="00D429F6" w:rsidRPr="00B70950" w:rsidRDefault="00D429F6" w:rsidP="00C232BA">
            <w:pPr>
              <w:spacing w:before="40" w:after="40"/>
              <w:rPr>
                <w:sz w:val="22"/>
                <w:szCs w:val="22"/>
              </w:rPr>
            </w:pPr>
            <w:r w:rsidRPr="00B70950">
              <w:rPr>
                <w:sz w:val="22"/>
                <w:szCs w:val="22"/>
              </w:rPr>
              <w:t>Coût total annuel</w:t>
            </w:r>
          </w:p>
        </w:tc>
        <w:tc>
          <w:tcPr>
            <w:tcW w:w="2126" w:type="dxa"/>
          </w:tcPr>
          <w:p w:rsidR="00D429F6" w:rsidRPr="00B70950" w:rsidRDefault="00D429F6" w:rsidP="00C232BA">
            <w:pPr>
              <w:spacing w:before="40" w:after="40"/>
              <w:jc w:val="center"/>
              <w:rPr>
                <w:sz w:val="22"/>
                <w:szCs w:val="22"/>
              </w:rPr>
            </w:pPr>
            <w:r w:rsidRPr="00B70950">
              <w:rPr>
                <w:sz w:val="22"/>
                <w:szCs w:val="22"/>
              </w:rPr>
              <w:t>7</w:t>
            </w:r>
            <w:r w:rsidR="002F0432" w:rsidRPr="00B70950">
              <w:rPr>
                <w:sz w:val="22"/>
                <w:szCs w:val="22"/>
              </w:rPr>
              <w:t>,1</w:t>
            </w:r>
            <w:r w:rsidRPr="00B70950">
              <w:rPr>
                <w:sz w:val="22"/>
                <w:szCs w:val="22"/>
              </w:rPr>
              <w:t xml:space="preserve"> par an</w:t>
            </w:r>
          </w:p>
        </w:tc>
        <w:tc>
          <w:tcPr>
            <w:tcW w:w="3814" w:type="dxa"/>
          </w:tcPr>
          <w:p w:rsidR="00D429F6" w:rsidRPr="00B70950" w:rsidRDefault="00FB1328" w:rsidP="00F103FD">
            <w:pPr>
              <w:pStyle w:val="Tabletext"/>
              <w:tabs>
                <w:tab w:val="left" w:pos="404"/>
              </w:tabs>
              <w:spacing w:before="40" w:after="40"/>
              <w:ind w:left="404" w:hanging="404"/>
              <w:rPr>
                <w:szCs w:val="22"/>
              </w:rPr>
            </w:pPr>
            <w:r w:rsidRPr="00B70950">
              <w:rPr>
                <w:szCs w:val="22"/>
              </w:rPr>
              <w:t>–</w:t>
            </w:r>
            <w:r w:rsidRPr="00B70950">
              <w:rPr>
                <w:szCs w:val="22"/>
              </w:rPr>
              <w:tab/>
            </w:r>
            <w:r w:rsidR="00D429F6" w:rsidRPr="00B70950">
              <w:rPr>
                <w:szCs w:val="22"/>
              </w:rPr>
              <w:t>4,9 millions CHF par an sans aucune augmentation des actifs de l</w:t>
            </w:r>
            <w:r w:rsidR="00126B99" w:rsidRPr="00B70950">
              <w:rPr>
                <w:szCs w:val="22"/>
              </w:rPr>
              <w:t>'</w:t>
            </w:r>
            <w:r w:rsidR="00D429F6" w:rsidRPr="00B70950">
              <w:rPr>
                <w:szCs w:val="22"/>
              </w:rPr>
              <w:t xml:space="preserve">Union, plus charges relatives aux bureaux </w:t>
            </w:r>
            <w:proofErr w:type="gramStart"/>
            <w:r w:rsidR="00D429F6" w:rsidRPr="00B70950">
              <w:rPr>
                <w:szCs w:val="22"/>
              </w:rPr>
              <w:t>loués;</w:t>
            </w:r>
            <w:proofErr w:type="gramEnd"/>
          </w:p>
          <w:p w:rsidR="00D429F6" w:rsidRPr="00B70950" w:rsidRDefault="00FB1328" w:rsidP="00F103FD">
            <w:pPr>
              <w:tabs>
                <w:tab w:val="left" w:pos="404"/>
              </w:tabs>
              <w:spacing w:before="40" w:after="40"/>
              <w:ind w:left="404" w:hanging="404"/>
              <w:rPr>
                <w:sz w:val="22"/>
                <w:szCs w:val="22"/>
              </w:rPr>
            </w:pPr>
            <w:r w:rsidRPr="00B70950">
              <w:rPr>
                <w:sz w:val="22"/>
                <w:szCs w:val="22"/>
              </w:rPr>
              <w:t>–</w:t>
            </w:r>
            <w:r w:rsidRPr="00B70950">
              <w:rPr>
                <w:sz w:val="22"/>
                <w:szCs w:val="22"/>
              </w:rPr>
              <w:tab/>
            </w:r>
            <w:r w:rsidR="00D429F6" w:rsidRPr="00B70950">
              <w:rPr>
                <w:sz w:val="22"/>
                <w:szCs w:val="22"/>
              </w:rPr>
              <w:t>1,8 million CHF par an pendant 30</w:t>
            </w:r>
            <w:r w:rsidR="00A47FFC" w:rsidRPr="00B70950">
              <w:rPr>
                <w:sz w:val="22"/>
                <w:szCs w:val="22"/>
              </w:rPr>
              <w:t> </w:t>
            </w:r>
            <w:r w:rsidR="00D429F6" w:rsidRPr="00B70950">
              <w:rPr>
                <w:sz w:val="22"/>
                <w:szCs w:val="22"/>
              </w:rPr>
              <w:t>ans, plus des intérêts de 0,</w:t>
            </w:r>
            <w:r w:rsidR="002F0432" w:rsidRPr="00B70950">
              <w:rPr>
                <w:sz w:val="22"/>
                <w:szCs w:val="22"/>
              </w:rPr>
              <w:t>4</w:t>
            </w:r>
            <w:r w:rsidR="00D429F6" w:rsidRPr="00B70950">
              <w:rPr>
                <w:sz w:val="22"/>
                <w:szCs w:val="22"/>
              </w:rPr>
              <w:t xml:space="preserve"> million CHF </w:t>
            </w:r>
            <w:r w:rsidR="00E30487" w:rsidRPr="00B70950">
              <w:rPr>
                <w:sz w:val="22"/>
                <w:szCs w:val="22"/>
              </w:rPr>
              <w:t xml:space="preserve">en moyenne </w:t>
            </w:r>
            <w:r w:rsidR="00D429F6" w:rsidRPr="00B70950">
              <w:rPr>
                <w:sz w:val="22"/>
                <w:szCs w:val="22"/>
              </w:rPr>
              <w:t>à compter de la date de la fin des travaux.</w:t>
            </w:r>
          </w:p>
        </w:tc>
      </w:tr>
    </w:tbl>
    <w:p w:rsidR="00D429F6" w:rsidRPr="00B70950" w:rsidRDefault="00D429F6" w:rsidP="007F19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2126"/>
        <w:gridCol w:w="3814"/>
      </w:tblGrid>
      <w:tr w:rsidR="00D429F6" w:rsidRPr="00B70950" w:rsidTr="00A47FFC">
        <w:trPr>
          <w:jc w:val="center"/>
        </w:trPr>
        <w:tc>
          <w:tcPr>
            <w:tcW w:w="2263" w:type="dxa"/>
          </w:tcPr>
          <w:p w:rsidR="00D429F6" w:rsidRPr="00B70950" w:rsidRDefault="00D429F6" w:rsidP="00C232BA">
            <w:pPr>
              <w:spacing w:before="40" w:after="40"/>
              <w:rPr>
                <w:sz w:val="22"/>
                <w:szCs w:val="22"/>
              </w:rPr>
            </w:pPr>
            <w:r w:rsidRPr="00B70950">
              <w:rPr>
                <w:sz w:val="22"/>
                <w:szCs w:val="22"/>
              </w:rPr>
              <w:t>Tous les bâtiments</w:t>
            </w:r>
          </w:p>
        </w:tc>
        <w:tc>
          <w:tcPr>
            <w:tcW w:w="1418" w:type="dxa"/>
            <w:vAlign w:val="center"/>
          </w:tcPr>
          <w:p w:rsidR="00D429F6" w:rsidRPr="00B70950" w:rsidRDefault="00D429F6" w:rsidP="00C232BA">
            <w:pPr>
              <w:spacing w:before="40" w:after="40"/>
              <w:rPr>
                <w:sz w:val="22"/>
                <w:szCs w:val="22"/>
              </w:rPr>
            </w:pPr>
            <w:r w:rsidRPr="00B70950">
              <w:rPr>
                <w:sz w:val="22"/>
                <w:szCs w:val="22"/>
              </w:rPr>
              <w:t>Maintenance à long terme</w:t>
            </w:r>
          </w:p>
        </w:tc>
        <w:tc>
          <w:tcPr>
            <w:tcW w:w="2126" w:type="dxa"/>
          </w:tcPr>
          <w:p w:rsidR="00D429F6" w:rsidRPr="00B70950" w:rsidRDefault="00D429F6" w:rsidP="00C232BA">
            <w:pPr>
              <w:spacing w:before="40" w:after="40"/>
              <w:jc w:val="center"/>
              <w:rPr>
                <w:sz w:val="22"/>
                <w:szCs w:val="22"/>
              </w:rPr>
            </w:pPr>
            <w:r w:rsidRPr="00B70950">
              <w:rPr>
                <w:sz w:val="22"/>
                <w:szCs w:val="22"/>
              </w:rPr>
              <w:t>1,3 par an</w:t>
            </w:r>
          </w:p>
        </w:tc>
        <w:tc>
          <w:tcPr>
            <w:tcW w:w="3814" w:type="dxa"/>
          </w:tcPr>
          <w:p w:rsidR="00D429F6" w:rsidRPr="00B70950" w:rsidRDefault="00D429F6" w:rsidP="00C232BA">
            <w:pPr>
              <w:spacing w:before="40" w:after="40"/>
              <w:rPr>
                <w:sz w:val="22"/>
                <w:szCs w:val="22"/>
              </w:rPr>
            </w:pPr>
            <w:r w:rsidRPr="00B70950">
              <w:rPr>
                <w:sz w:val="22"/>
                <w:szCs w:val="22"/>
              </w:rPr>
              <w:t>1% de la valeur d</w:t>
            </w:r>
            <w:r w:rsidR="00126B99" w:rsidRPr="00B70950">
              <w:rPr>
                <w:sz w:val="22"/>
                <w:szCs w:val="22"/>
              </w:rPr>
              <w:t>'</w:t>
            </w:r>
            <w:r w:rsidRPr="00B70950">
              <w:rPr>
                <w:sz w:val="22"/>
                <w:szCs w:val="22"/>
              </w:rPr>
              <w:t>assurance incendie par an</w:t>
            </w:r>
          </w:p>
        </w:tc>
      </w:tr>
    </w:tbl>
    <w:p w:rsidR="00D429F6" w:rsidRPr="00B70950" w:rsidRDefault="00D429F6" w:rsidP="007F1941">
      <w:pPr>
        <w:pStyle w:val="Heading1"/>
      </w:pPr>
      <w:r w:rsidRPr="00B70950">
        <w:t>8</w:t>
      </w:r>
      <w:r w:rsidRPr="00B70950">
        <w:tab/>
        <w:t xml:space="preserve">Option </w:t>
      </w:r>
      <w:proofErr w:type="gramStart"/>
      <w:r w:rsidRPr="00B70950">
        <w:t>4:</w:t>
      </w:r>
      <w:proofErr w:type="gramEnd"/>
      <w:r w:rsidRPr="00B70950">
        <w:t xml:space="preserve"> Relocalisation</w:t>
      </w:r>
    </w:p>
    <w:p w:rsidR="00D429F6" w:rsidRPr="00B70950" w:rsidRDefault="00D429F6" w:rsidP="007F1941">
      <w:pPr>
        <w:rPr>
          <w:rFonts w:asciiTheme="minorHAnsi" w:hAnsiTheme="minorHAnsi"/>
          <w:szCs w:val="24"/>
        </w:rPr>
      </w:pPr>
      <w:r w:rsidRPr="00B70950">
        <w:rPr>
          <w:rFonts w:asciiTheme="minorHAnsi" w:hAnsiTheme="minorHAnsi"/>
          <w:szCs w:val="24"/>
        </w:rPr>
        <w:t>8.1</w:t>
      </w:r>
      <w:r w:rsidRPr="00B70950">
        <w:rPr>
          <w:rFonts w:asciiTheme="minorHAnsi" w:hAnsiTheme="minorHAnsi"/>
          <w:szCs w:val="24"/>
        </w:rPr>
        <w:tab/>
        <w:t>La présente section a pour but de définir une estimation du coût d'une relocalisation du siège de l'Union dans son ensemble, sans qu'une destination de relocalisation ait été à ce jour proposée. Pour les raisons évoquées précédemment (Section 3), il est jugé important que le siège de l</w:t>
      </w:r>
      <w:r w:rsidR="00126B99" w:rsidRPr="00B70950">
        <w:rPr>
          <w:rFonts w:asciiTheme="minorHAnsi" w:hAnsiTheme="minorHAnsi"/>
          <w:szCs w:val="24"/>
        </w:rPr>
        <w:t>'</w:t>
      </w:r>
      <w:r w:rsidRPr="00B70950">
        <w:rPr>
          <w:rFonts w:asciiTheme="minorHAnsi" w:hAnsiTheme="minorHAnsi"/>
          <w:szCs w:val="24"/>
        </w:rPr>
        <w:t>Union reste dans une seule ville, sur le territoire d</w:t>
      </w:r>
      <w:r w:rsidR="00126B99" w:rsidRPr="00B70950">
        <w:rPr>
          <w:rFonts w:asciiTheme="minorHAnsi" w:hAnsiTheme="minorHAnsi"/>
          <w:szCs w:val="24"/>
        </w:rPr>
        <w:t>'</w:t>
      </w:r>
      <w:r w:rsidRPr="00B70950">
        <w:rPr>
          <w:rFonts w:asciiTheme="minorHAnsi" w:hAnsiTheme="minorHAnsi"/>
          <w:szCs w:val="24"/>
        </w:rPr>
        <w:t>un seul Etat Membre, avec une forte préférence pour un site unique dont les différentes parties communiquent entre elles.</w:t>
      </w:r>
    </w:p>
    <w:p w:rsidR="00D429F6" w:rsidRPr="00B70950" w:rsidRDefault="00D429F6" w:rsidP="00F103FD">
      <w:pPr>
        <w:keepNext/>
        <w:keepLines/>
      </w:pPr>
      <w:r w:rsidRPr="00B70950">
        <w:lastRenderedPageBreak/>
        <w:t>8.2</w:t>
      </w:r>
      <w:r w:rsidRPr="00B70950">
        <w:tab/>
        <w:t xml:space="preserve">Pour prendre une décision en pleine connaissance de cause concernant la relocalisation du siège, il convient de suivre, au minimum, les étapes </w:t>
      </w:r>
      <w:proofErr w:type="gramStart"/>
      <w:r w:rsidRPr="00B70950">
        <w:t>suivantes:</w:t>
      </w:r>
      <w:proofErr w:type="gramEnd"/>
      <w:r w:rsidRPr="00B70950">
        <w:t xml:space="preserve"> réception d</w:t>
      </w:r>
      <w:r w:rsidR="00126B99" w:rsidRPr="00B70950">
        <w:t>'</w:t>
      </w:r>
      <w:r w:rsidRPr="00B70950">
        <w:t>offres complètes; évaluation de la faisabilité et négociations préliminaires; examen des propositions d</w:t>
      </w:r>
      <w:r w:rsidR="00126B99" w:rsidRPr="00B70950">
        <w:t>'</w:t>
      </w:r>
      <w:r w:rsidRPr="00B70950">
        <w:t>accord de siège et évaluation comparative de l</w:t>
      </w:r>
      <w:r w:rsidR="00126B99" w:rsidRPr="00B70950">
        <w:t>'</w:t>
      </w:r>
      <w:r w:rsidRPr="00B70950">
        <w:t>emplacement actuel et des emplacements proposés; élaboration et approbation des amendements à apporter en conséquence à la Constitution. Ces étapes ne peuvent pas être accomplies avant la PP</w:t>
      </w:r>
      <w:r w:rsidRPr="00B70950">
        <w:noBreakHyphen/>
        <w:t>14, et il est probable qu</w:t>
      </w:r>
      <w:r w:rsidR="00126B99" w:rsidRPr="00B70950">
        <w:t>'</w:t>
      </w:r>
      <w:r w:rsidRPr="00B70950">
        <w:t>elles nécessitent au moins la totalité d</w:t>
      </w:r>
      <w:r w:rsidR="00126B99" w:rsidRPr="00B70950">
        <w:t>'</w:t>
      </w:r>
      <w:r w:rsidRPr="00B70950">
        <w:t xml:space="preserve">un cycle entre deux conférences de plénipotentiaires à compter </w:t>
      </w:r>
      <w:r w:rsidR="00724740" w:rsidRPr="00B70950">
        <w:t>de leur démarrage</w:t>
      </w:r>
      <w:r w:rsidRPr="00B70950">
        <w:t>.</w:t>
      </w:r>
    </w:p>
    <w:p w:rsidR="00D429F6" w:rsidRPr="00B70950" w:rsidRDefault="00D429F6" w:rsidP="007F1941">
      <w:pPr>
        <w:rPr>
          <w:rFonts w:asciiTheme="minorHAnsi" w:hAnsiTheme="minorHAnsi"/>
          <w:szCs w:val="24"/>
        </w:rPr>
      </w:pPr>
      <w:r w:rsidRPr="00B70950">
        <w:rPr>
          <w:rFonts w:asciiTheme="minorHAnsi" w:hAnsiTheme="minorHAnsi"/>
          <w:szCs w:val="24"/>
        </w:rPr>
        <w:t>8.3</w:t>
      </w:r>
      <w:r w:rsidRPr="00B70950">
        <w:rPr>
          <w:rFonts w:asciiTheme="minorHAnsi" w:hAnsiTheme="minorHAnsi"/>
          <w:szCs w:val="24"/>
        </w:rPr>
        <w:tab/>
        <w:t xml:space="preserve">A ce stade, aucune étude de faisabilité n'a été </w:t>
      </w:r>
      <w:r w:rsidR="00724740" w:rsidRPr="00B70950">
        <w:rPr>
          <w:rFonts w:asciiTheme="minorHAnsi" w:hAnsiTheme="minorHAnsi"/>
          <w:szCs w:val="24"/>
        </w:rPr>
        <w:t>menée à bien</w:t>
      </w:r>
      <w:r w:rsidRPr="00B70950">
        <w:rPr>
          <w:rFonts w:asciiTheme="minorHAnsi" w:hAnsiTheme="minorHAnsi"/>
          <w:szCs w:val="24"/>
        </w:rPr>
        <w:t xml:space="preserve"> afin de définir les avantages et les risques financiers et opérationnels d'une telle relocalisation. De même, en l'absence de propositions formelles de relocalisation, aucune analyse des lieux de relocalisation éventuels ne peut être conduite. Cependant, le futur lieu de relocalisation devra tenir compte des critères </w:t>
      </w:r>
      <w:proofErr w:type="gramStart"/>
      <w:r w:rsidRPr="00B70950">
        <w:rPr>
          <w:rFonts w:asciiTheme="minorHAnsi" w:hAnsiTheme="minorHAnsi"/>
          <w:szCs w:val="24"/>
        </w:rPr>
        <w:t>suivants:</w:t>
      </w:r>
      <w:proofErr w:type="gramEnd"/>
    </w:p>
    <w:p w:rsidR="00D429F6" w:rsidRPr="00B70950" w:rsidRDefault="00D429F6" w:rsidP="007F1941">
      <w:pPr>
        <w:pStyle w:val="enumlev1"/>
      </w:pPr>
      <w:r w:rsidRPr="00B70950">
        <w:t>–</w:t>
      </w:r>
      <w:r w:rsidRPr="00B70950">
        <w:tab/>
        <w:t xml:space="preserve">la stabilité </w:t>
      </w:r>
      <w:proofErr w:type="gramStart"/>
      <w:r w:rsidRPr="00B70950">
        <w:t>politique;</w:t>
      </w:r>
      <w:proofErr w:type="gramEnd"/>
    </w:p>
    <w:p w:rsidR="00D429F6" w:rsidRPr="00B70950" w:rsidRDefault="00D429F6" w:rsidP="007F1941">
      <w:pPr>
        <w:pStyle w:val="enumlev1"/>
      </w:pPr>
      <w:r w:rsidRPr="00B70950">
        <w:t>–</w:t>
      </w:r>
      <w:r w:rsidRPr="00B70950">
        <w:tab/>
        <w:t xml:space="preserve">les coûts de </w:t>
      </w:r>
      <w:proofErr w:type="spellStart"/>
      <w:r w:rsidRPr="00B70950">
        <w:t>main</w:t>
      </w:r>
      <w:r w:rsidR="00FB1328" w:rsidRPr="00B70950">
        <w:t>-</w:t>
      </w:r>
      <w:r w:rsidRPr="00B70950">
        <w:t>d'oeuvre</w:t>
      </w:r>
      <w:proofErr w:type="spellEnd"/>
      <w:r w:rsidRPr="00B70950">
        <w:t xml:space="preserve"> locale et </w:t>
      </w:r>
      <w:r w:rsidR="00724740" w:rsidRPr="00B70950">
        <w:t>l'indemnité de poste</w:t>
      </w:r>
      <w:r w:rsidRPr="00B70950">
        <w:t xml:space="preserve"> pour les fonctionnaires des catégories professionnelle et </w:t>
      </w:r>
      <w:proofErr w:type="gramStart"/>
      <w:r w:rsidRPr="00B70950">
        <w:t>supérieure;</w:t>
      </w:r>
      <w:proofErr w:type="gramEnd"/>
    </w:p>
    <w:p w:rsidR="00D429F6" w:rsidRPr="00B70950" w:rsidRDefault="00D429F6" w:rsidP="007F1941">
      <w:pPr>
        <w:pStyle w:val="enumlev1"/>
      </w:pPr>
      <w:r w:rsidRPr="00B70950">
        <w:t>–</w:t>
      </w:r>
      <w:r w:rsidRPr="00B70950">
        <w:tab/>
        <w:t xml:space="preserve">la formation de la </w:t>
      </w:r>
      <w:proofErr w:type="spellStart"/>
      <w:r w:rsidRPr="00B70950">
        <w:t>main</w:t>
      </w:r>
      <w:r w:rsidR="00FB1328" w:rsidRPr="00B70950">
        <w:t>-</w:t>
      </w:r>
      <w:r w:rsidRPr="00B70950">
        <w:t>d'oeuvre</w:t>
      </w:r>
      <w:proofErr w:type="spellEnd"/>
      <w:r w:rsidRPr="00B70950">
        <w:t xml:space="preserve"> locale, y compris </w:t>
      </w:r>
      <w:r w:rsidR="00724740" w:rsidRPr="00B70950">
        <w:t>sur le plan</w:t>
      </w:r>
      <w:r w:rsidRPr="00B70950">
        <w:t xml:space="preserve"> </w:t>
      </w:r>
      <w:proofErr w:type="gramStart"/>
      <w:r w:rsidRPr="00B70950">
        <w:t>linguistique;</w:t>
      </w:r>
      <w:proofErr w:type="gramEnd"/>
    </w:p>
    <w:p w:rsidR="00D429F6" w:rsidRPr="00B70950" w:rsidRDefault="00D429F6" w:rsidP="007F1941">
      <w:pPr>
        <w:pStyle w:val="enumlev1"/>
      </w:pPr>
      <w:r w:rsidRPr="00B70950">
        <w:t>–</w:t>
      </w:r>
      <w:r w:rsidRPr="00B70950">
        <w:tab/>
        <w:t xml:space="preserve">le taux de </w:t>
      </w:r>
      <w:r w:rsidR="00724740" w:rsidRPr="00B70950">
        <w:t>roulement</w:t>
      </w:r>
      <w:r w:rsidRPr="00B70950">
        <w:t xml:space="preserve"> du personnel </w:t>
      </w:r>
      <w:proofErr w:type="gramStart"/>
      <w:r w:rsidRPr="00B70950">
        <w:t>local;</w:t>
      </w:r>
      <w:proofErr w:type="gramEnd"/>
    </w:p>
    <w:p w:rsidR="00D429F6" w:rsidRPr="00B70950" w:rsidRDefault="00D429F6" w:rsidP="007F1941">
      <w:pPr>
        <w:pStyle w:val="enumlev1"/>
      </w:pPr>
      <w:r w:rsidRPr="00B70950">
        <w:t>–</w:t>
      </w:r>
      <w:r w:rsidRPr="00B70950">
        <w:tab/>
        <w:t xml:space="preserve">l'accessibilité logistique du </w:t>
      </w:r>
      <w:proofErr w:type="gramStart"/>
      <w:r w:rsidRPr="00B70950">
        <w:t>lieu;</w:t>
      </w:r>
      <w:proofErr w:type="gramEnd"/>
    </w:p>
    <w:p w:rsidR="00D429F6" w:rsidRPr="00B70950" w:rsidRDefault="00D429F6" w:rsidP="007F1941">
      <w:pPr>
        <w:pStyle w:val="enumlev1"/>
      </w:pPr>
      <w:r w:rsidRPr="00B70950">
        <w:t>–</w:t>
      </w:r>
      <w:r w:rsidRPr="00B70950">
        <w:tab/>
        <w:t xml:space="preserve">la qualité et les coûts des infrastructures et des technologies de </w:t>
      </w:r>
      <w:proofErr w:type="gramStart"/>
      <w:r w:rsidRPr="00B70950">
        <w:t>communication;</w:t>
      </w:r>
      <w:proofErr w:type="gramEnd"/>
    </w:p>
    <w:p w:rsidR="00D429F6" w:rsidRPr="00B70950" w:rsidRDefault="00D429F6" w:rsidP="007F1941">
      <w:pPr>
        <w:pStyle w:val="enumlev1"/>
      </w:pPr>
      <w:r w:rsidRPr="00B70950">
        <w:t>–</w:t>
      </w:r>
      <w:r w:rsidRPr="00B70950">
        <w:tab/>
        <w:t>les infrastructures mises à disposition, y compris la mise à disposition gratuite d'un centre de conférences</w:t>
      </w:r>
      <w:r w:rsidR="00724740" w:rsidRPr="00B70950">
        <w:t xml:space="preserve"> (tel que le CICG actuellement</w:t>
      </w:r>
      <w:proofErr w:type="gramStart"/>
      <w:r w:rsidR="00724740" w:rsidRPr="00B70950">
        <w:t>)</w:t>
      </w:r>
      <w:r w:rsidRPr="00B70950">
        <w:t>;</w:t>
      </w:r>
      <w:proofErr w:type="gramEnd"/>
    </w:p>
    <w:p w:rsidR="00D429F6" w:rsidRPr="00B70950" w:rsidRDefault="00D429F6" w:rsidP="007F1941">
      <w:pPr>
        <w:pStyle w:val="enumlev1"/>
      </w:pPr>
      <w:r w:rsidRPr="00B70950">
        <w:t>–</w:t>
      </w:r>
      <w:r w:rsidRPr="00B70950">
        <w:tab/>
        <w:t>les arrangements financiers et fisca</w:t>
      </w:r>
      <w:r w:rsidR="00724740" w:rsidRPr="00B70950">
        <w:t xml:space="preserve">ux </w:t>
      </w:r>
      <w:r w:rsidRPr="00B70950">
        <w:t>avec le pays hôte (notamment l'article 17 du Règlement financier et des Règles financières de l'UIT concernant l'avance de fonds pour des besoins temporaires de trésorerie, selon des conditions à fixer au cas par cas, par le gouvernement du pays hôte</w:t>
      </w:r>
      <w:proofErr w:type="gramStart"/>
      <w:r w:rsidRPr="00B70950">
        <w:t>);</w:t>
      </w:r>
      <w:proofErr w:type="gramEnd"/>
    </w:p>
    <w:p w:rsidR="00D429F6" w:rsidRPr="00B70950" w:rsidRDefault="00D429F6" w:rsidP="007F1941">
      <w:pPr>
        <w:pStyle w:val="enumlev1"/>
      </w:pPr>
      <w:r w:rsidRPr="00B70950">
        <w:t>–</w:t>
      </w:r>
      <w:r w:rsidRPr="00B70950">
        <w:tab/>
        <w:t>l</w:t>
      </w:r>
      <w:r w:rsidR="00724740" w:rsidRPr="00B70950">
        <w:t>es modalités de l</w:t>
      </w:r>
      <w:r w:rsidRPr="00B70950">
        <w:t xml:space="preserve">a mise à disposition </w:t>
      </w:r>
      <w:r w:rsidR="00724740" w:rsidRPr="00B70950">
        <w:t xml:space="preserve">et de l'utilisation </w:t>
      </w:r>
      <w:r w:rsidRPr="00B70950">
        <w:t xml:space="preserve">des locaux par le pays </w:t>
      </w:r>
      <w:proofErr w:type="gramStart"/>
      <w:r w:rsidRPr="00B70950">
        <w:t>hôte;</w:t>
      </w:r>
      <w:proofErr w:type="gramEnd"/>
    </w:p>
    <w:p w:rsidR="00D429F6" w:rsidRPr="00B70950" w:rsidRDefault="00D429F6" w:rsidP="007F1941">
      <w:pPr>
        <w:pStyle w:val="enumlev1"/>
      </w:pPr>
      <w:r w:rsidRPr="00B70950">
        <w:t>–</w:t>
      </w:r>
      <w:r w:rsidRPr="00B70950">
        <w:tab/>
        <w:t xml:space="preserve">les avantages sociaux tels que les écoles, le système de </w:t>
      </w:r>
      <w:r w:rsidR="00724740" w:rsidRPr="00B70950">
        <w:t xml:space="preserve">soins de </w:t>
      </w:r>
      <w:r w:rsidRPr="00B70950">
        <w:t>santé, l'accès facilité au marché du travail pour les conjoint(e)s de fonctionnaires.</w:t>
      </w:r>
    </w:p>
    <w:p w:rsidR="00D429F6" w:rsidRPr="00B70950" w:rsidRDefault="00D429F6" w:rsidP="007F1941">
      <w:pPr>
        <w:rPr>
          <w:rFonts w:asciiTheme="minorHAnsi" w:hAnsiTheme="minorHAnsi"/>
          <w:szCs w:val="24"/>
        </w:rPr>
      </w:pPr>
      <w:r w:rsidRPr="00B70950">
        <w:rPr>
          <w:rFonts w:asciiTheme="minorHAnsi" w:hAnsiTheme="minorHAnsi"/>
          <w:szCs w:val="24"/>
        </w:rPr>
        <w:t>8.4</w:t>
      </w:r>
      <w:r w:rsidRPr="00B70950">
        <w:rPr>
          <w:rFonts w:asciiTheme="minorHAnsi" w:hAnsiTheme="minorHAnsi"/>
          <w:szCs w:val="24"/>
        </w:rPr>
        <w:tab/>
        <w:t>Dans l'</w:t>
      </w:r>
      <w:proofErr w:type="spellStart"/>
      <w:r w:rsidRPr="00B70950">
        <w:rPr>
          <w:rFonts w:asciiTheme="minorHAnsi" w:hAnsiTheme="minorHAnsi"/>
          <w:szCs w:val="24"/>
        </w:rPr>
        <w:t>hy</w:t>
      </w:r>
      <w:proofErr w:type="spellEnd"/>
      <w:r w:rsidRPr="00B70950">
        <w:rPr>
          <w:rFonts w:asciiTheme="minorHAnsi" w:hAnsiTheme="minorHAnsi"/>
          <w:szCs w:val="24"/>
          <w:rtl/>
          <w:cs/>
        </w:rPr>
        <w:t>‎</w:t>
      </w:r>
      <w:proofErr w:type="spellStart"/>
      <w:r w:rsidRPr="00B70950">
        <w:rPr>
          <w:rFonts w:asciiTheme="minorHAnsi" w:hAnsiTheme="minorHAnsi"/>
          <w:szCs w:val="24"/>
        </w:rPr>
        <w:t>pothèse</w:t>
      </w:r>
      <w:proofErr w:type="spellEnd"/>
      <w:r w:rsidRPr="00B70950">
        <w:rPr>
          <w:rFonts w:asciiTheme="minorHAnsi" w:hAnsiTheme="minorHAnsi"/>
          <w:szCs w:val="24"/>
        </w:rPr>
        <w:t xml:space="preserve"> où l'option de relocalisation serait retenue, une étude de faisabilité détaillée devrait être conduite afin d'optimiser les conditions de cette relocalisation en limitant, dans la mesure du possible, ses incidences sur les activités de l'Union.</w:t>
      </w:r>
    </w:p>
    <w:p w:rsidR="00D429F6" w:rsidRPr="00B70950" w:rsidRDefault="00D429F6" w:rsidP="007F1941">
      <w:pPr>
        <w:rPr>
          <w:rFonts w:asciiTheme="minorHAnsi" w:hAnsiTheme="minorHAnsi"/>
          <w:szCs w:val="24"/>
        </w:rPr>
      </w:pPr>
      <w:r w:rsidRPr="00B70950">
        <w:rPr>
          <w:rFonts w:asciiTheme="minorHAnsi" w:hAnsiTheme="minorHAnsi"/>
          <w:szCs w:val="24"/>
        </w:rPr>
        <w:t>8.5</w:t>
      </w:r>
      <w:r w:rsidRPr="00B70950">
        <w:rPr>
          <w:rFonts w:asciiTheme="minorHAnsi" w:hAnsiTheme="minorHAnsi"/>
          <w:szCs w:val="24"/>
        </w:rPr>
        <w:tab/>
        <w:t>Il est également à noter que les estimations des coûts dans le cadre du choix de l'option de relocalisation ne sont pas incluses dans le projet de Plan financier présenté à la PP-14.</w:t>
      </w:r>
    </w:p>
    <w:p w:rsidR="00D429F6" w:rsidRPr="00B70950" w:rsidRDefault="00D429F6" w:rsidP="007F1941">
      <w:pPr>
        <w:rPr>
          <w:rFonts w:asciiTheme="minorHAnsi" w:hAnsiTheme="minorHAnsi"/>
          <w:szCs w:val="24"/>
        </w:rPr>
      </w:pPr>
      <w:r w:rsidRPr="00B70950">
        <w:t>8.6</w:t>
      </w:r>
      <w:r w:rsidRPr="00B70950">
        <w:tab/>
      </w:r>
      <w:r w:rsidRPr="00B70950">
        <w:rPr>
          <w:rFonts w:asciiTheme="minorHAnsi" w:hAnsiTheme="minorHAnsi"/>
          <w:szCs w:val="24"/>
        </w:rPr>
        <w:t>Les coûts de recours éventuels en justice jusqu'à la saisine du Tribunal administratif de l'OIT (TAOIT)</w:t>
      </w:r>
      <w:r w:rsidR="00FB1328" w:rsidRPr="00B70950">
        <w:rPr>
          <w:rStyle w:val="FootnoteReference"/>
          <w:szCs w:val="24"/>
        </w:rPr>
        <w:footnoteReference w:id="5"/>
      </w:r>
      <w:r w:rsidRPr="00B70950">
        <w:rPr>
          <w:rFonts w:asciiTheme="minorHAnsi" w:hAnsiTheme="minorHAnsi"/>
          <w:szCs w:val="24"/>
        </w:rPr>
        <w:t xml:space="preserve"> et d'une issue favorable au(x) plaignant(s) ne sont pas pris en compte. </w:t>
      </w:r>
    </w:p>
    <w:p w:rsidR="00D429F6" w:rsidRPr="00B70950" w:rsidRDefault="00D429F6" w:rsidP="00C114FD">
      <w:pPr>
        <w:keepNext/>
        <w:keepLines/>
      </w:pPr>
      <w:r w:rsidRPr="00B70950">
        <w:lastRenderedPageBreak/>
        <w:t>8.7</w:t>
      </w:r>
      <w:r w:rsidRPr="00B70950">
        <w:tab/>
        <w:t>Dans ces conditions, des scénarios et hypothèses ont été définis afin de pouvoir réaliser une première estimation du coût d</w:t>
      </w:r>
      <w:r w:rsidR="00126B99" w:rsidRPr="00B70950">
        <w:t>'</w:t>
      </w:r>
      <w:r w:rsidRPr="00B70950">
        <w:t xml:space="preserve">un tel projet. Ces scénarios et hypothèses sont de nature purement indicative, et ont été résumés pour la simplicité de la présentation. Les estimations sont basées </w:t>
      </w:r>
      <w:proofErr w:type="gramStart"/>
      <w:r w:rsidRPr="00B70950">
        <w:t>sur:</w:t>
      </w:r>
      <w:proofErr w:type="gramEnd"/>
    </w:p>
    <w:p w:rsidR="00D429F6" w:rsidRPr="00B70950" w:rsidRDefault="00D429F6" w:rsidP="007F1941">
      <w:pPr>
        <w:pStyle w:val="enumlev1"/>
      </w:pPr>
      <w:r w:rsidRPr="00B70950">
        <w:t>–</w:t>
      </w:r>
      <w:r w:rsidRPr="00B70950">
        <w:tab/>
        <w:t xml:space="preserve">les coûts liés à la cessation de service des membres du personnel du siège de Genève selon les Statut et Règlement du </w:t>
      </w:r>
      <w:proofErr w:type="gramStart"/>
      <w:r w:rsidRPr="00B70950">
        <w:t>personnel</w:t>
      </w:r>
      <w:r w:rsidR="00FB1328" w:rsidRPr="00B70950">
        <w:t>;</w:t>
      </w:r>
      <w:proofErr w:type="gramEnd"/>
    </w:p>
    <w:p w:rsidR="00D429F6" w:rsidRPr="00B70950" w:rsidRDefault="00D429F6" w:rsidP="007F1941">
      <w:pPr>
        <w:pStyle w:val="enumlev1"/>
      </w:pPr>
      <w:r w:rsidRPr="00B70950">
        <w:t>–</w:t>
      </w:r>
      <w:r w:rsidRPr="00B70950">
        <w:tab/>
        <w:t>une estimation des coûts de déménagement des locaux et d</w:t>
      </w:r>
      <w:r w:rsidR="00126B99" w:rsidRPr="00B70950">
        <w:t>'</w:t>
      </w:r>
      <w:r w:rsidRPr="00B70950">
        <w:t>implantation sur le site de relocalisation. Cette estimation s</w:t>
      </w:r>
      <w:r w:rsidR="00126B99" w:rsidRPr="00B70950">
        <w:t>'</w:t>
      </w:r>
      <w:r w:rsidRPr="00B70950">
        <w:t>est inspirée de l</w:t>
      </w:r>
      <w:r w:rsidR="00126B99" w:rsidRPr="00B70950">
        <w:t>'</w:t>
      </w:r>
      <w:r w:rsidRPr="00B70950">
        <w:t>étude effectuée par le HCR lors de la relocalisation d</w:t>
      </w:r>
      <w:r w:rsidR="00126B99" w:rsidRPr="00B70950">
        <w:t>'</w:t>
      </w:r>
      <w:r w:rsidRPr="00B70950">
        <w:t>une partie de ses activités.</w:t>
      </w:r>
    </w:p>
    <w:p w:rsidR="00D429F6" w:rsidRPr="00B70950" w:rsidRDefault="00D429F6" w:rsidP="007F1941">
      <w:pPr>
        <w:rPr>
          <w:rFonts w:asciiTheme="minorHAnsi" w:hAnsiTheme="minorHAnsi"/>
          <w:szCs w:val="24"/>
        </w:rPr>
      </w:pPr>
      <w:r w:rsidRPr="00B70950">
        <w:rPr>
          <w:rFonts w:asciiTheme="minorHAnsi" w:hAnsiTheme="minorHAnsi"/>
          <w:szCs w:val="24"/>
        </w:rPr>
        <w:t>8.8</w:t>
      </w:r>
      <w:r w:rsidRPr="00B70950">
        <w:rPr>
          <w:rFonts w:asciiTheme="minorHAnsi" w:hAnsiTheme="minorHAnsi"/>
          <w:szCs w:val="24"/>
        </w:rPr>
        <w:tab/>
        <w:t xml:space="preserve">Malgré l'absence formelle de lieu(x) de relocalisation, les coûts incompressibles suivants peuvent être </w:t>
      </w:r>
      <w:proofErr w:type="gramStart"/>
      <w:r w:rsidRPr="00B70950">
        <w:rPr>
          <w:rFonts w:asciiTheme="minorHAnsi" w:hAnsiTheme="minorHAnsi"/>
          <w:szCs w:val="24"/>
        </w:rPr>
        <w:t>envisagés:</w:t>
      </w:r>
      <w:proofErr w:type="gramEnd"/>
    </w:p>
    <w:p w:rsidR="00D429F6" w:rsidRPr="00B70950" w:rsidRDefault="00D429F6" w:rsidP="00AA0684">
      <w:pPr>
        <w:pStyle w:val="Heading1"/>
        <w:rPr>
          <w:szCs w:val="24"/>
        </w:rPr>
      </w:pPr>
      <w:r w:rsidRPr="00B70950">
        <w:t>A</w:t>
      </w:r>
      <w:r w:rsidRPr="00B70950">
        <w:tab/>
      </w:r>
      <w:r w:rsidRPr="00B70950">
        <w:rPr>
          <w:szCs w:val="24"/>
        </w:rPr>
        <w:t>Coût du projet</w:t>
      </w:r>
    </w:p>
    <w:p w:rsidR="00D429F6" w:rsidRPr="00B70950" w:rsidRDefault="00D429F6" w:rsidP="007F1941">
      <w:pPr>
        <w:pStyle w:val="Headingb0"/>
        <w:rPr>
          <w:sz w:val="24"/>
          <w:szCs w:val="24"/>
        </w:rPr>
      </w:pPr>
      <w:r w:rsidRPr="00B70950">
        <w:rPr>
          <w:sz w:val="24"/>
          <w:szCs w:val="24"/>
        </w:rPr>
        <w:t>a)</w:t>
      </w:r>
      <w:r w:rsidRPr="00B70950">
        <w:rPr>
          <w:sz w:val="24"/>
          <w:szCs w:val="24"/>
        </w:rPr>
        <w:tab/>
        <w:t>Coûts liés à la cessation de service des membres du personnel de Genève</w:t>
      </w:r>
    </w:p>
    <w:p w:rsidR="00D429F6" w:rsidRPr="00B70950" w:rsidRDefault="00D429F6" w:rsidP="007F1941">
      <w:pPr>
        <w:rPr>
          <w:rFonts w:asciiTheme="minorHAnsi" w:hAnsiTheme="minorHAnsi"/>
          <w:szCs w:val="24"/>
        </w:rPr>
      </w:pPr>
      <w:r w:rsidRPr="00B70950">
        <w:rPr>
          <w:rFonts w:asciiTheme="minorHAnsi" w:hAnsiTheme="minorHAnsi"/>
          <w:szCs w:val="24"/>
        </w:rPr>
        <w:t>8.9</w:t>
      </w:r>
      <w:r w:rsidRPr="00B70950">
        <w:rPr>
          <w:rFonts w:asciiTheme="minorHAnsi" w:hAnsiTheme="minorHAnsi"/>
          <w:szCs w:val="24"/>
        </w:rPr>
        <w:tab/>
        <w:t>Le coût de cette option est basé sur les Statut et Règlement du personnel de l</w:t>
      </w:r>
      <w:r w:rsidR="00126B99" w:rsidRPr="00B70950">
        <w:rPr>
          <w:rFonts w:asciiTheme="minorHAnsi" w:hAnsiTheme="minorHAnsi"/>
          <w:szCs w:val="24"/>
        </w:rPr>
        <w:t>'</w:t>
      </w:r>
      <w:r w:rsidRPr="00B70950">
        <w:rPr>
          <w:rFonts w:asciiTheme="minorHAnsi" w:hAnsiTheme="minorHAnsi"/>
          <w:szCs w:val="24"/>
        </w:rPr>
        <w:t>UIT, ainsi que sur la mise en œuvre d</w:t>
      </w:r>
      <w:r w:rsidR="00126B99" w:rsidRPr="00B70950">
        <w:rPr>
          <w:rFonts w:asciiTheme="minorHAnsi" w:hAnsiTheme="minorHAnsi"/>
          <w:szCs w:val="24"/>
        </w:rPr>
        <w:t>'</w:t>
      </w:r>
      <w:r w:rsidRPr="00B70950">
        <w:rPr>
          <w:rFonts w:asciiTheme="minorHAnsi" w:hAnsiTheme="minorHAnsi"/>
          <w:szCs w:val="24"/>
        </w:rPr>
        <w:t xml:space="preserve">un scénario similaire par une autre institution des Nations Unies (HCR). Les hypothèses suivantes ont été retenues pour les fonctionnaires titulaires de contrats permanents ou </w:t>
      </w:r>
      <w:proofErr w:type="gramStart"/>
      <w:r w:rsidRPr="00B70950">
        <w:rPr>
          <w:rFonts w:asciiTheme="minorHAnsi" w:hAnsiTheme="minorHAnsi"/>
          <w:szCs w:val="24"/>
        </w:rPr>
        <w:t>continus:</w:t>
      </w:r>
      <w:proofErr w:type="gramEnd"/>
    </w:p>
    <w:p w:rsidR="00D429F6" w:rsidRPr="00B70950" w:rsidRDefault="00D429F6" w:rsidP="007F1941">
      <w:pPr>
        <w:pStyle w:val="enumlev1"/>
      </w:pPr>
      <w:r w:rsidRPr="00B70950">
        <w:t>–</w:t>
      </w:r>
      <w:r w:rsidRPr="00B70950">
        <w:tab/>
        <w:t>Le personnel de la catégorie des services généraux ferait l'objet d'une proposition de réembauche dans le pays de relocalisation dans le cadre de contrats aux conditions locales.</w:t>
      </w:r>
    </w:p>
    <w:p w:rsidR="00D429F6" w:rsidRPr="00B70950" w:rsidRDefault="00D429F6" w:rsidP="007F1941">
      <w:pPr>
        <w:pStyle w:val="enumlev1"/>
      </w:pPr>
      <w:r w:rsidRPr="00B70950">
        <w:t>–</w:t>
      </w:r>
      <w:r w:rsidRPr="00B70950">
        <w:tab/>
        <w:t>En cas de refus de ces propositions, la mesure d'accompagnement de base pour la fin du contrat est de 12 mois de salaire, avec une fourchette moyenne de compensation de 150 000 CHF à 180 000 CHF.</w:t>
      </w:r>
    </w:p>
    <w:p w:rsidR="00D429F6" w:rsidRPr="00B70950" w:rsidRDefault="00D429F6" w:rsidP="007F1941">
      <w:pPr>
        <w:pStyle w:val="enumlev1"/>
      </w:pPr>
      <w:r w:rsidRPr="00B70950">
        <w:t>–</w:t>
      </w:r>
      <w:r w:rsidRPr="00B70950">
        <w:tab/>
        <w:t>La mesure d'accompagnement de cessation de service supplémentaire comprend six mois de salaire de compensation supplémentaires, ainsi que trois mois de compensation couvrant les frais de réinsertion et de formation, avec une fourchette moyenne de compensation de 75 000 CHF à 90 000 CHF.</w:t>
      </w:r>
    </w:p>
    <w:p w:rsidR="00D429F6" w:rsidRPr="00B70950" w:rsidRDefault="00D429F6" w:rsidP="007F1941">
      <w:pPr>
        <w:pStyle w:val="enumlev1"/>
      </w:pPr>
      <w:r w:rsidRPr="00B70950">
        <w:t>–</w:t>
      </w:r>
      <w:r w:rsidRPr="00B70950">
        <w:tab/>
        <w:t>Trois mois de compensation couvrant les coûts de formation et de réinsertion ont été estimés à 40 000 CHF par personne quittant l'Union.</w:t>
      </w:r>
    </w:p>
    <w:p w:rsidR="00D429F6" w:rsidRPr="00B70950" w:rsidRDefault="00D429F6" w:rsidP="007F1941">
      <w:pPr>
        <w:pStyle w:val="enumlev1"/>
      </w:pPr>
      <w:r w:rsidRPr="00B70950">
        <w:t>–</w:t>
      </w:r>
      <w:r w:rsidRPr="00B70950">
        <w:tab/>
        <w:t>75% à 100% du personnel administratif ne suivront pas la relocalisation.</w:t>
      </w:r>
    </w:p>
    <w:p w:rsidR="00D429F6" w:rsidRPr="00B70950" w:rsidRDefault="00D429F6" w:rsidP="007F1941">
      <w:pPr>
        <w:pStyle w:val="enumlev1"/>
      </w:pPr>
      <w:r w:rsidRPr="00B70950">
        <w:t>–</w:t>
      </w:r>
      <w:r w:rsidRPr="00B70950">
        <w:tab/>
        <w:t>25% à 50% du personnel professionnel ne suivront pas la relocalisation.</w:t>
      </w:r>
    </w:p>
    <w:p w:rsidR="00D429F6" w:rsidRPr="00B70950" w:rsidRDefault="00D429F6" w:rsidP="007F1941">
      <w:pPr>
        <w:pStyle w:val="enumlev1"/>
      </w:pPr>
      <w:r w:rsidRPr="00B70950">
        <w:t>–</w:t>
      </w:r>
      <w:r w:rsidRPr="00B70950">
        <w:tab/>
        <w:t>Les frais moyens de déménagement se montent à 50 000 CHF</w:t>
      </w:r>
      <w:r w:rsidR="001147AD" w:rsidRPr="00B70950">
        <w:t xml:space="preserve"> pour </w:t>
      </w:r>
      <w:r w:rsidR="000C2F3C" w:rsidRPr="00B70950">
        <w:t xml:space="preserve">tous </w:t>
      </w:r>
      <w:r w:rsidR="000C2F3C" w:rsidRPr="00B70950">
        <w:rPr>
          <w:color w:val="000000"/>
        </w:rPr>
        <w:t>les fonctionnaires de la catégorie professionnelle et de la catégorie des services généraux</w:t>
      </w:r>
      <w:r w:rsidR="001147AD" w:rsidRPr="00B70950">
        <w:t xml:space="preserve"> tran</w:t>
      </w:r>
      <w:r w:rsidR="00C114FD" w:rsidRPr="00B70950">
        <w:t>sférés depuis</w:t>
      </w:r>
      <w:r w:rsidR="001147AD" w:rsidRPr="00B70950">
        <w:t xml:space="preserve"> Genève</w:t>
      </w:r>
      <w:r w:rsidRPr="00B70950">
        <w:t>.</w:t>
      </w:r>
    </w:p>
    <w:p w:rsidR="00D429F6" w:rsidRPr="00B70950" w:rsidRDefault="00D429F6" w:rsidP="007F1941">
      <w:pPr>
        <w:pStyle w:val="enumlev1"/>
      </w:pPr>
      <w:r w:rsidRPr="00B70950">
        <w:t>–</w:t>
      </w:r>
      <w:r w:rsidRPr="00B70950">
        <w:tab/>
        <w:t xml:space="preserve">Les frais moyens d'installation comprennent 30 jours de DSA sur la base de 380 CHF par jour et l'allocation-logement qui est de 1 000 CHF par mois pendant </w:t>
      </w:r>
      <w:r w:rsidR="00FB1328" w:rsidRPr="00B70950">
        <w:t>cinq</w:t>
      </w:r>
      <w:r w:rsidRPr="00B70950">
        <w:t xml:space="preserve"> ans.</w:t>
      </w:r>
    </w:p>
    <w:p w:rsidR="00D429F6" w:rsidRPr="00B70950" w:rsidRDefault="00D429F6" w:rsidP="00F103FD">
      <w:pPr>
        <w:keepNext/>
        <w:keepLines/>
        <w:rPr>
          <w:rFonts w:asciiTheme="minorHAnsi" w:hAnsiTheme="minorHAnsi"/>
          <w:szCs w:val="24"/>
        </w:rPr>
      </w:pPr>
      <w:r w:rsidRPr="00B70950">
        <w:rPr>
          <w:rFonts w:asciiTheme="minorHAnsi" w:hAnsiTheme="minorHAnsi"/>
          <w:szCs w:val="24"/>
        </w:rPr>
        <w:lastRenderedPageBreak/>
        <w:t>8.10</w:t>
      </w:r>
      <w:r w:rsidRPr="00B70950">
        <w:rPr>
          <w:rFonts w:asciiTheme="minorHAnsi" w:hAnsiTheme="minorHAnsi"/>
          <w:szCs w:val="24"/>
        </w:rPr>
        <w:tab/>
        <w:t xml:space="preserve">Les hypothèses suivantes ont été retenues pour les fonctionnaires titulaires de contrats autres que permanents ou </w:t>
      </w:r>
      <w:proofErr w:type="gramStart"/>
      <w:r w:rsidRPr="00B70950">
        <w:rPr>
          <w:rFonts w:asciiTheme="minorHAnsi" w:hAnsiTheme="minorHAnsi"/>
          <w:szCs w:val="24"/>
        </w:rPr>
        <w:t>continus:</w:t>
      </w:r>
      <w:proofErr w:type="gramEnd"/>
    </w:p>
    <w:p w:rsidR="00D429F6" w:rsidRPr="00B70950" w:rsidRDefault="00D429F6" w:rsidP="00F103FD">
      <w:pPr>
        <w:pStyle w:val="enumlev1"/>
        <w:keepNext/>
        <w:keepLines/>
      </w:pPr>
      <w:r w:rsidRPr="00B70950">
        <w:t>–</w:t>
      </w:r>
      <w:r w:rsidRPr="00B70950">
        <w:tab/>
        <w:t>Trois mois de compensation sont versés pour le personnel ne suivant pas la relocalisation.</w:t>
      </w:r>
    </w:p>
    <w:p w:rsidR="00D429F6" w:rsidRPr="00B70950" w:rsidRDefault="00D429F6" w:rsidP="00F103FD">
      <w:pPr>
        <w:pStyle w:val="enumlev1"/>
        <w:keepNext/>
        <w:keepLines/>
      </w:pPr>
      <w:r w:rsidRPr="00B70950">
        <w:t>–</w:t>
      </w:r>
      <w:r w:rsidRPr="00B70950">
        <w:tab/>
        <w:t xml:space="preserve">Les mêmes hypothèses que pour les fonctionnaires titulaires de contrats permanents ou continus sont prises pour définir le nombre des fonctionnaires des catégories </w:t>
      </w:r>
      <w:proofErr w:type="gramStart"/>
      <w:r w:rsidRPr="00B70950">
        <w:t>des services généraux et professionnelle et supérieure</w:t>
      </w:r>
      <w:proofErr w:type="gramEnd"/>
      <w:r w:rsidRPr="00B70950">
        <w:t xml:space="preserve"> suivant la relocalisation.</w:t>
      </w:r>
    </w:p>
    <w:p w:rsidR="00D429F6" w:rsidRPr="00B70950" w:rsidRDefault="00D429F6" w:rsidP="00C114FD">
      <w:pPr>
        <w:spacing w:after="120"/>
        <w:rPr>
          <w:rFonts w:asciiTheme="minorHAnsi" w:hAnsiTheme="minorHAnsi"/>
          <w:szCs w:val="24"/>
        </w:rPr>
      </w:pPr>
      <w:r w:rsidRPr="00B70950">
        <w:rPr>
          <w:rFonts w:asciiTheme="minorHAnsi" w:hAnsiTheme="minorHAnsi"/>
          <w:szCs w:val="24"/>
        </w:rPr>
        <w:t>8.11</w:t>
      </w:r>
      <w:r w:rsidRPr="00B70950">
        <w:rPr>
          <w:rFonts w:asciiTheme="minorHAnsi" w:hAnsiTheme="minorHAnsi"/>
          <w:szCs w:val="24"/>
        </w:rPr>
        <w:tab/>
        <w:t xml:space="preserve">Sur la base de ces hypothèses, les coûts liés à la cessation de service et à la relocalisation du personnel sont les </w:t>
      </w:r>
      <w:proofErr w:type="gramStart"/>
      <w:r w:rsidRPr="00B70950">
        <w:rPr>
          <w:rFonts w:asciiTheme="minorHAnsi" w:hAnsiTheme="minorHAnsi"/>
          <w:szCs w:val="24"/>
        </w:rPr>
        <w:t>suivants: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4659"/>
        <w:gridCol w:w="3769"/>
      </w:tblGrid>
      <w:tr w:rsidR="00D429F6" w:rsidRPr="00B70950" w:rsidTr="00EA073B">
        <w:tc>
          <w:tcPr>
            <w:tcW w:w="1148" w:type="dxa"/>
          </w:tcPr>
          <w:p w:rsidR="00D429F6" w:rsidRPr="00B70950" w:rsidRDefault="00D429F6" w:rsidP="00C232BA">
            <w:pPr>
              <w:pStyle w:val="Tablehead"/>
              <w:spacing w:before="40" w:after="40"/>
            </w:pPr>
            <w:r w:rsidRPr="00B70950">
              <w:t>Scénarios</w:t>
            </w:r>
          </w:p>
        </w:tc>
        <w:tc>
          <w:tcPr>
            <w:tcW w:w="4659" w:type="dxa"/>
          </w:tcPr>
          <w:p w:rsidR="00D429F6" w:rsidRPr="00B70950" w:rsidRDefault="00D429F6" w:rsidP="00C232BA">
            <w:pPr>
              <w:pStyle w:val="Tablehead"/>
              <w:spacing w:before="40" w:after="40"/>
            </w:pPr>
            <w:r w:rsidRPr="00B70950">
              <w:t>% de cessation de service</w:t>
            </w:r>
          </w:p>
        </w:tc>
        <w:tc>
          <w:tcPr>
            <w:tcW w:w="3769" w:type="dxa"/>
          </w:tcPr>
          <w:p w:rsidR="00D429F6" w:rsidRPr="00B70950" w:rsidRDefault="00D429F6" w:rsidP="00C232BA">
            <w:pPr>
              <w:pStyle w:val="Tablehead"/>
              <w:spacing w:before="40" w:after="40"/>
            </w:pPr>
            <w:r w:rsidRPr="00B70950">
              <w:t>En milliers de CHF</w:t>
            </w:r>
          </w:p>
        </w:tc>
      </w:tr>
      <w:tr w:rsidR="00D429F6" w:rsidRPr="00B70950" w:rsidTr="00EA073B">
        <w:tc>
          <w:tcPr>
            <w:tcW w:w="1148" w:type="dxa"/>
            <w:vMerge w:val="restart"/>
          </w:tcPr>
          <w:p w:rsidR="00D429F6" w:rsidRPr="00B70950" w:rsidRDefault="00D429F6" w:rsidP="00C232BA">
            <w:pPr>
              <w:spacing w:before="40" w:after="40"/>
              <w:rPr>
                <w:sz w:val="22"/>
                <w:szCs w:val="22"/>
              </w:rPr>
            </w:pPr>
            <w:r w:rsidRPr="00B70950">
              <w:rPr>
                <w:sz w:val="22"/>
                <w:szCs w:val="22"/>
              </w:rPr>
              <w:t>1</w:t>
            </w:r>
          </w:p>
        </w:tc>
        <w:tc>
          <w:tcPr>
            <w:tcW w:w="4659" w:type="dxa"/>
            <w:vMerge w:val="restart"/>
          </w:tcPr>
          <w:p w:rsidR="00D429F6" w:rsidRPr="00B70950" w:rsidRDefault="00D429F6" w:rsidP="00C232BA">
            <w:pPr>
              <w:spacing w:before="40" w:after="40"/>
              <w:rPr>
                <w:sz w:val="22"/>
                <w:szCs w:val="22"/>
              </w:rPr>
            </w:pPr>
            <w:r w:rsidRPr="00B70950">
              <w:rPr>
                <w:sz w:val="22"/>
                <w:szCs w:val="22"/>
              </w:rPr>
              <w:t>100% pour le personnel de catégorie G (255) et 50% pour le personnel des catégories P et D (114)</w:t>
            </w:r>
          </w:p>
        </w:tc>
        <w:tc>
          <w:tcPr>
            <w:tcW w:w="3769" w:type="dxa"/>
          </w:tcPr>
          <w:p w:rsidR="00D429F6" w:rsidRPr="00B70950" w:rsidRDefault="00D429F6" w:rsidP="00C232BA">
            <w:pPr>
              <w:spacing w:before="40" w:after="40"/>
              <w:rPr>
                <w:sz w:val="22"/>
                <w:szCs w:val="22"/>
              </w:rPr>
            </w:pPr>
            <w:r w:rsidRPr="00B70950">
              <w:rPr>
                <w:sz w:val="22"/>
                <w:szCs w:val="22"/>
              </w:rPr>
              <w:t xml:space="preserve">Estimation </w:t>
            </w:r>
            <w:proofErr w:type="gramStart"/>
            <w:r w:rsidRPr="00B70950">
              <w:rPr>
                <w:sz w:val="22"/>
                <w:szCs w:val="22"/>
              </w:rPr>
              <w:t>basse:</w:t>
            </w:r>
            <w:proofErr w:type="gramEnd"/>
            <w:r w:rsidRPr="00B70950">
              <w:rPr>
                <w:sz w:val="22"/>
                <w:szCs w:val="22"/>
              </w:rPr>
              <w:t xml:space="preserve"> 110 278</w:t>
            </w:r>
          </w:p>
        </w:tc>
      </w:tr>
      <w:tr w:rsidR="00D429F6" w:rsidRPr="00B70950" w:rsidTr="00EA073B">
        <w:tc>
          <w:tcPr>
            <w:tcW w:w="1148" w:type="dxa"/>
            <w:vMerge/>
          </w:tcPr>
          <w:p w:rsidR="00D429F6" w:rsidRPr="00B70950" w:rsidRDefault="00D429F6" w:rsidP="00C232BA">
            <w:pPr>
              <w:spacing w:before="40" w:after="40"/>
              <w:rPr>
                <w:sz w:val="22"/>
                <w:szCs w:val="22"/>
              </w:rPr>
            </w:pPr>
          </w:p>
        </w:tc>
        <w:tc>
          <w:tcPr>
            <w:tcW w:w="4659" w:type="dxa"/>
            <w:vMerge/>
          </w:tcPr>
          <w:p w:rsidR="00D429F6" w:rsidRPr="00B70950" w:rsidRDefault="00D429F6" w:rsidP="00C232BA">
            <w:pPr>
              <w:spacing w:before="40" w:after="40"/>
              <w:rPr>
                <w:sz w:val="22"/>
                <w:szCs w:val="22"/>
              </w:rPr>
            </w:pPr>
          </w:p>
        </w:tc>
        <w:tc>
          <w:tcPr>
            <w:tcW w:w="3769" w:type="dxa"/>
          </w:tcPr>
          <w:p w:rsidR="00D429F6" w:rsidRPr="00B70950" w:rsidRDefault="00D429F6" w:rsidP="00C232BA">
            <w:pPr>
              <w:spacing w:before="40" w:after="40"/>
              <w:rPr>
                <w:sz w:val="22"/>
                <w:szCs w:val="22"/>
              </w:rPr>
            </w:pPr>
            <w:r w:rsidRPr="00B70950">
              <w:rPr>
                <w:sz w:val="22"/>
                <w:szCs w:val="22"/>
              </w:rPr>
              <w:t xml:space="preserve">Estimation </w:t>
            </w:r>
            <w:proofErr w:type="gramStart"/>
            <w:r w:rsidRPr="00B70950">
              <w:rPr>
                <w:sz w:val="22"/>
                <w:szCs w:val="22"/>
              </w:rPr>
              <w:t>haute:</w:t>
            </w:r>
            <w:proofErr w:type="gramEnd"/>
            <w:r w:rsidRPr="00B70950">
              <w:rPr>
                <w:sz w:val="22"/>
                <w:szCs w:val="22"/>
              </w:rPr>
              <w:t xml:space="preserve"> 126 883</w:t>
            </w:r>
          </w:p>
        </w:tc>
      </w:tr>
      <w:tr w:rsidR="00D429F6" w:rsidRPr="00B70950" w:rsidTr="00EA073B">
        <w:tc>
          <w:tcPr>
            <w:tcW w:w="1148" w:type="dxa"/>
            <w:vMerge w:val="restart"/>
          </w:tcPr>
          <w:p w:rsidR="00D429F6" w:rsidRPr="00B70950" w:rsidRDefault="00D429F6" w:rsidP="00C232BA">
            <w:pPr>
              <w:spacing w:before="40" w:after="40"/>
              <w:rPr>
                <w:sz w:val="22"/>
                <w:szCs w:val="22"/>
              </w:rPr>
            </w:pPr>
            <w:r w:rsidRPr="00B70950">
              <w:rPr>
                <w:sz w:val="22"/>
                <w:szCs w:val="22"/>
              </w:rPr>
              <w:t>2</w:t>
            </w:r>
          </w:p>
        </w:tc>
        <w:tc>
          <w:tcPr>
            <w:tcW w:w="4659" w:type="dxa"/>
            <w:vMerge w:val="restart"/>
          </w:tcPr>
          <w:p w:rsidR="00D429F6" w:rsidRPr="00B70950" w:rsidRDefault="00D429F6" w:rsidP="00C232BA">
            <w:pPr>
              <w:spacing w:before="40" w:after="40"/>
              <w:rPr>
                <w:sz w:val="22"/>
                <w:szCs w:val="22"/>
              </w:rPr>
            </w:pPr>
            <w:r w:rsidRPr="00B70950">
              <w:rPr>
                <w:sz w:val="22"/>
                <w:szCs w:val="22"/>
              </w:rPr>
              <w:t>100% pour le personnel de catégorie G (255) et 25% pour le personnel des catégories P et D (57)</w:t>
            </w:r>
          </w:p>
        </w:tc>
        <w:tc>
          <w:tcPr>
            <w:tcW w:w="3769" w:type="dxa"/>
          </w:tcPr>
          <w:p w:rsidR="00D429F6" w:rsidRPr="00B70950" w:rsidRDefault="00D429F6" w:rsidP="00C232BA">
            <w:pPr>
              <w:spacing w:before="40" w:after="40"/>
              <w:rPr>
                <w:sz w:val="22"/>
                <w:szCs w:val="22"/>
              </w:rPr>
            </w:pPr>
            <w:r w:rsidRPr="00B70950">
              <w:rPr>
                <w:sz w:val="22"/>
                <w:szCs w:val="22"/>
              </w:rPr>
              <w:t xml:space="preserve">Estimation </w:t>
            </w:r>
            <w:proofErr w:type="gramStart"/>
            <w:r w:rsidRPr="00B70950">
              <w:rPr>
                <w:sz w:val="22"/>
                <w:szCs w:val="22"/>
              </w:rPr>
              <w:t>basse:</w:t>
            </w:r>
            <w:proofErr w:type="gramEnd"/>
            <w:r w:rsidRPr="00B70950">
              <w:rPr>
                <w:sz w:val="22"/>
                <w:szCs w:val="22"/>
              </w:rPr>
              <w:t xml:space="preserve"> 105 325</w:t>
            </w:r>
          </w:p>
        </w:tc>
      </w:tr>
      <w:tr w:rsidR="00D429F6" w:rsidRPr="00B70950" w:rsidTr="00EA073B">
        <w:tc>
          <w:tcPr>
            <w:tcW w:w="1148" w:type="dxa"/>
            <w:vMerge/>
          </w:tcPr>
          <w:p w:rsidR="00D429F6" w:rsidRPr="00B70950" w:rsidRDefault="00D429F6" w:rsidP="00C232BA">
            <w:pPr>
              <w:spacing w:before="40" w:after="40"/>
              <w:rPr>
                <w:sz w:val="22"/>
                <w:szCs w:val="22"/>
              </w:rPr>
            </w:pPr>
          </w:p>
        </w:tc>
        <w:tc>
          <w:tcPr>
            <w:tcW w:w="4659" w:type="dxa"/>
            <w:vMerge/>
          </w:tcPr>
          <w:p w:rsidR="00D429F6" w:rsidRPr="00B70950" w:rsidRDefault="00D429F6" w:rsidP="00C232BA">
            <w:pPr>
              <w:spacing w:before="40" w:after="40"/>
              <w:rPr>
                <w:sz w:val="22"/>
                <w:szCs w:val="22"/>
              </w:rPr>
            </w:pPr>
          </w:p>
        </w:tc>
        <w:tc>
          <w:tcPr>
            <w:tcW w:w="3769" w:type="dxa"/>
          </w:tcPr>
          <w:p w:rsidR="00D429F6" w:rsidRPr="00B70950" w:rsidRDefault="00D429F6" w:rsidP="00C232BA">
            <w:pPr>
              <w:spacing w:before="40" w:after="40"/>
              <w:rPr>
                <w:sz w:val="22"/>
                <w:szCs w:val="22"/>
              </w:rPr>
            </w:pPr>
            <w:r w:rsidRPr="00B70950">
              <w:rPr>
                <w:sz w:val="22"/>
                <w:szCs w:val="22"/>
              </w:rPr>
              <w:t xml:space="preserve">Estimation </w:t>
            </w:r>
            <w:proofErr w:type="gramStart"/>
            <w:r w:rsidRPr="00B70950">
              <w:rPr>
                <w:sz w:val="22"/>
                <w:szCs w:val="22"/>
              </w:rPr>
              <w:t>haute:</w:t>
            </w:r>
            <w:proofErr w:type="gramEnd"/>
            <w:r w:rsidRPr="00B70950">
              <w:rPr>
                <w:sz w:val="22"/>
                <w:szCs w:val="22"/>
              </w:rPr>
              <w:t xml:space="preserve"> 119 365</w:t>
            </w:r>
          </w:p>
        </w:tc>
      </w:tr>
      <w:tr w:rsidR="00D429F6" w:rsidRPr="00B70950" w:rsidTr="00EA073B">
        <w:tc>
          <w:tcPr>
            <w:tcW w:w="1148" w:type="dxa"/>
            <w:vMerge w:val="restart"/>
          </w:tcPr>
          <w:p w:rsidR="00D429F6" w:rsidRPr="00B70950" w:rsidRDefault="00D429F6" w:rsidP="00C232BA">
            <w:pPr>
              <w:spacing w:before="40" w:after="40"/>
              <w:rPr>
                <w:sz w:val="22"/>
                <w:szCs w:val="22"/>
              </w:rPr>
            </w:pPr>
            <w:r w:rsidRPr="00B70950">
              <w:rPr>
                <w:sz w:val="22"/>
                <w:szCs w:val="22"/>
              </w:rPr>
              <w:t>3</w:t>
            </w:r>
          </w:p>
        </w:tc>
        <w:tc>
          <w:tcPr>
            <w:tcW w:w="4659" w:type="dxa"/>
            <w:vMerge w:val="restart"/>
          </w:tcPr>
          <w:p w:rsidR="00D429F6" w:rsidRPr="00B70950" w:rsidRDefault="00D429F6" w:rsidP="00C232BA">
            <w:pPr>
              <w:spacing w:before="40" w:after="40"/>
              <w:rPr>
                <w:sz w:val="22"/>
                <w:szCs w:val="22"/>
              </w:rPr>
            </w:pPr>
            <w:r w:rsidRPr="00B70950">
              <w:rPr>
                <w:sz w:val="22"/>
                <w:szCs w:val="22"/>
              </w:rPr>
              <w:t>75% pour le personnel de catégorie G (191) et 50% pour le personnel des catégories P et D (114)</w:t>
            </w:r>
          </w:p>
        </w:tc>
        <w:tc>
          <w:tcPr>
            <w:tcW w:w="3769" w:type="dxa"/>
          </w:tcPr>
          <w:p w:rsidR="00D429F6" w:rsidRPr="00B70950" w:rsidRDefault="00D429F6" w:rsidP="00C232BA">
            <w:pPr>
              <w:spacing w:before="40" w:after="40"/>
              <w:rPr>
                <w:sz w:val="22"/>
                <w:szCs w:val="22"/>
              </w:rPr>
            </w:pPr>
            <w:r w:rsidRPr="00B70950">
              <w:rPr>
                <w:sz w:val="22"/>
                <w:szCs w:val="22"/>
              </w:rPr>
              <w:t xml:space="preserve">Estimation </w:t>
            </w:r>
            <w:proofErr w:type="gramStart"/>
            <w:r w:rsidRPr="00B70950">
              <w:rPr>
                <w:sz w:val="22"/>
                <w:szCs w:val="22"/>
              </w:rPr>
              <w:t>basse:</w:t>
            </w:r>
            <w:proofErr w:type="gramEnd"/>
            <w:r w:rsidRPr="00B70950">
              <w:rPr>
                <w:sz w:val="22"/>
                <w:szCs w:val="22"/>
              </w:rPr>
              <w:t xml:space="preserve"> 96 744</w:t>
            </w:r>
          </w:p>
        </w:tc>
      </w:tr>
      <w:tr w:rsidR="00D429F6" w:rsidRPr="00B70950" w:rsidTr="00EA073B">
        <w:tc>
          <w:tcPr>
            <w:tcW w:w="1148" w:type="dxa"/>
            <w:vMerge/>
          </w:tcPr>
          <w:p w:rsidR="00D429F6" w:rsidRPr="00B70950" w:rsidRDefault="00D429F6" w:rsidP="00C232BA">
            <w:pPr>
              <w:spacing w:before="40" w:after="40"/>
              <w:rPr>
                <w:sz w:val="22"/>
                <w:szCs w:val="22"/>
              </w:rPr>
            </w:pPr>
          </w:p>
        </w:tc>
        <w:tc>
          <w:tcPr>
            <w:tcW w:w="4659" w:type="dxa"/>
            <w:vMerge/>
          </w:tcPr>
          <w:p w:rsidR="00D429F6" w:rsidRPr="00B70950" w:rsidRDefault="00D429F6" w:rsidP="00C232BA">
            <w:pPr>
              <w:spacing w:before="40" w:after="40"/>
              <w:rPr>
                <w:sz w:val="22"/>
                <w:szCs w:val="22"/>
              </w:rPr>
            </w:pPr>
          </w:p>
        </w:tc>
        <w:tc>
          <w:tcPr>
            <w:tcW w:w="3769" w:type="dxa"/>
          </w:tcPr>
          <w:p w:rsidR="00D429F6" w:rsidRPr="00B70950" w:rsidRDefault="00D429F6" w:rsidP="00C232BA">
            <w:pPr>
              <w:spacing w:before="40" w:after="40"/>
              <w:rPr>
                <w:sz w:val="22"/>
                <w:szCs w:val="22"/>
              </w:rPr>
            </w:pPr>
            <w:r w:rsidRPr="00B70950">
              <w:rPr>
                <w:sz w:val="22"/>
                <w:szCs w:val="22"/>
              </w:rPr>
              <w:t xml:space="preserve">Estimation </w:t>
            </w:r>
            <w:proofErr w:type="gramStart"/>
            <w:r w:rsidRPr="00B70950">
              <w:rPr>
                <w:sz w:val="22"/>
                <w:szCs w:val="22"/>
              </w:rPr>
              <w:t>haute:</w:t>
            </w:r>
            <w:proofErr w:type="gramEnd"/>
            <w:r w:rsidRPr="00B70950">
              <w:rPr>
                <w:sz w:val="22"/>
                <w:szCs w:val="22"/>
              </w:rPr>
              <w:t xml:space="preserve"> 110 469</w:t>
            </w:r>
          </w:p>
        </w:tc>
      </w:tr>
      <w:tr w:rsidR="00D429F6" w:rsidRPr="00B70950" w:rsidTr="00EA073B">
        <w:tc>
          <w:tcPr>
            <w:tcW w:w="1148" w:type="dxa"/>
            <w:vMerge w:val="restart"/>
          </w:tcPr>
          <w:p w:rsidR="00D429F6" w:rsidRPr="00B70950" w:rsidRDefault="00D429F6" w:rsidP="00C232BA">
            <w:pPr>
              <w:spacing w:before="40" w:after="40"/>
              <w:rPr>
                <w:sz w:val="22"/>
                <w:szCs w:val="22"/>
              </w:rPr>
            </w:pPr>
            <w:r w:rsidRPr="00B70950">
              <w:rPr>
                <w:sz w:val="22"/>
                <w:szCs w:val="22"/>
              </w:rPr>
              <w:t>4</w:t>
            </w:r>
          </w:p>
        </w:tc>
        <w:tc>
          <w:tcPr>
            <w:tcW w:w="4659" w:type="dxa"/>
            <w:vMerge w:val="restart"/>
          </w:tcPr>
          <w:p w:rsidR="00D429F6" w:rsidRPr="00B70950" w:rsidRDefault="00D429F6" w:rsidP="00C232BA">
            <w:pPr>
              <w:spacing w:before="40" w:after="40"/>
              <w:rPr>
                <w:sz w:val="22"/>
                <w:szCs w:val="22"/>
              </w:rPr>
            </w:pPr>
            <w:r w:rsidRPr="00B70950">
              <w:rPr>
                <w:sz w:val="22"/>
                <w:szCs w:val="22"/>
              </w:rPr>
              <w:t>75% pour le personnel de catégorie G (191) et 25% pour le personnel des catégories P et D (57)</w:t>
            </w:r>
          </w:p>
        </w:tc>
        <w:tc>
          <w:tcPr>
            <w:tcW w:w="3769" w:type="dxa"/>
          </w:tcPr>
          <w:p w:rsidR="00D429F6" w:rsidRPr="00B70950" w:rsidRDefault="00D429F6" w:rsidP="00C232BA">
            <w:pPr>
              <w:spacing w:before="40" w:after="40"/>
              <w:rPr>
                <w:sz w:val="22"/>
                <w:szCs w:val="22"/>
              </w:rPr>
            </w:pPr>
            <w:r w:rsidRPr="00B70950">
              <w:rPr>
                <w:sz w:val="22"/>
                <w:szCs w:val="22"/>
              </w:rPr>
              <w:t xml:space="preserve">Estimation </w:t>
            </w:r>
            <w:proofErr w:type="gramStart"/>
            <w:r w:rsidRPr="00B70950">
              <w:rPr>
                <w:sz w:val="22"/>
                <w:szCs w:val="22"/>
              </w:rPr>
              <w:t>basse:</w:t>
            </w:r>
            <w:proofErr w:type="gramEnd"/>
            <w:r w:rsidRPr="00B70950">
              <w:rPr>
                <w:sz w:val="22"/>
                <w:szCs w:val="22"/>
              </w:rPr>
              <w:t xml:space="preserve"> 91 792</w:t>
            </w:r>
          </w:p>
        </w:tc>
      </w:tr>
      <w:tr w:rsidR="00D429F6" w:rsidRPr="00B70950" w:rsidTr="00EA073B">
        <w:tc>
          <w:tcPr>
            <w:tcW w:w="1148" w:type="dxa"/>
            <w:vMerge/>
          </w:tcPr>
          <w:p w:rsidR="00D429F6" w:rsidRPr="00B70950" w:rsidRDefault="00D429F6" w:rsidP="00C232BA">
            <w:pPr>
              <w:spacing w:before="40" w:after="40"/>
              <w:rPr>
                <w:sz w:val="22"/>
                <w:szCs w:val="22"/>
              </w:rPr>
            </w:pPr>
          </w:p>
        </w:tc>
        <w:tc>
          <w:tcPr>
            <w:tcW w:w="4659" w:type="dxa"/>
            <w:vMerge/>
          </w:tcPr>
          <w:p w:rsidR="00D429F6" w:rsidRPr="00B70950" w:rsidRDefault="00D429F6" w:rsidP="00C232BA">
            <w:pPr>
              <w:spacing w:before="40" w:after="40"/>
              <w:rPr>
                <w:sz w:val="22"/>
                <w:szCs w:val="22"/>
              </w:rPr>
            </w:pPr>
          </w:p>
        </w:tc>
        <w:tc>
          <w:tcPr>
            <w:tcW w:w="3769" w:type="dxa"/>
          </w:tcPr>
          <w:p w:rsidR="00D429F6" w:rsidRPr="00B70950" w:rsidRDefault="00D429F6" w:rsidP="00C232BA">
            <w:pPr>
              <w:spacing w:before="40" w:after="40"/>
              <w:rPr>
                <w:sz w:val="22"/>
                <w:szCs w:val="22"/>
              </w:rPr>
            </w:pPr>
            <w:r w:rsidRPr="00B70950">
              <w:rPr>
                <w:sz w:val="22"/>
                <w:szCs w:val="22"/>
              </w:rPr>
              <w:t xml:space="preserve">Estimation </w:t>
            </w:r>
            <w:proofErr w:type="gramStart"/>
            <w:r w:rsidRPr="00B70950">
              <w:rPr>
                <w:sz w:val="22"/>
                <w:szCs w:val="22"/>
              </w:rPr>
              <w:t>haute:</w:t>
            </w:r>
            <w:proofErr w:type="gramEnd"/>
            <w:r w:rsidRPr="00B70950">
              <w:rPr>
                <w:sz w:val="22"/>
                <w:szCs w:val="22"/>
              </w:rPr>
              <w:t xml:space="preserve"> 102 952</w:t>
            </w:r>
          </w:p>
        </w:tc>
      </w:tr>
    </w:tbl>
    <w:p w:rsidR="00D429F6" w:rsidRPr="00B70950" w:rsidRDefault="00D429F6" w:rsidP="004A57D2">
      <w:pPr>
        <w:spacing w:before="240"/>
        <w:rPr>
          <w:szCs w:val="24"/>
        </w:rPr>
      </w:pPr>
      <w:r w:rsidRPr="00B70950">
        <w:rPr>
          <w:szCs w:val="24"/>
        </w:rPr>
        <w:t>8.12</w:t>
      </w:r>
      <w:r w:rsidRPr="00B70950">
        <w:rPr>
          <w:szCs w:val="24"/>
        </w:rPr>
        <w:tab/>
        <w:t>Les coûts liés à la cessation de service et à la relocalisation du personnel se situeraient dans une fourchette de 92 à 127 millions CHF. Ces scénarios choisis ont été considérés comme les plus probables. Toutefois</w:t>
      </w:r>
      <w:r w:rsidR="00676DF2" w:rsidRPr="00B70950">
        <w:rPr>
          <w:szCs w:val="24"/>
        </w:rPr>
        <w:t>,</w:t>
      </w:r>
      <w:r w:rsidRPr="00B70950">
        <w:rPr>
          <w:szCs w:val="24"/>
        </w:rPr>
        <w:t xml:space="preserve"> le </w:t>
      </w:r>
      <w:r w:rsidR="00676DF2" w:rsidRPr="00B70950">
        <w:rPr>
          <w:szCs w:val="24"/>
        </w:rPr>
        <w:t xml:space="preserve">choix du </w:t>
      </w:r>
      <w:r w:rsidRPr="00B70950">
        <w:rPr>
          <w:szCs w:val="24"/>
        </w:rPr>
        <w:t xml:space="preserve">lieu de relocalisation pourrait avoir des incidences importantes sur cette estimation. </w:t>
      </w:r>
    </w:p>
    <w:p w:rsidR="00D429F6" w:rsidRPr="00B70950" w:rsidRDefault="00D429F6" w:rsidP="007F1941">
      <w:pPr>
        <w:pStyle w:val="Headingb"/>
      </w:pPr>
      <w:r w:rsidRPr="00B70950">
        <w:t>b)</w:t>
      </w:r>
      <w:r w:rsidRPr="00B70950">
        <w:tab/>
        <w:t>Coûts de relocalisation de</w:t>
      </w:r>
      <w:r w:rsidR="00676DF2" w:rsidRPr="00B70950">
        <w:t xml:space="preserve">s </w:t>
      </w:r>
      <w:r w:rsidRPr="00B70950">
        <w:t>activité</w:t>
      </w:r>
      <w:r w:rsidR="00676DF2" w:rsidRPr="00B70950">
        <w:t>s</w:t>
      </w:r>
      <w:r w:rsidRPr="00B70950">
        <w:t xml:space="preserve"> et dépenses de personnel sur le lieu de relocalisation</w:t>
      </w:r>
    </w:p>
    <w:p w:rsidR="00D429F6" w:rsidRPr="00B70950" w:rsidRDefault="00D429F6" w:rsidP="007F1941">
      <w:pPr>
        <w:rPr>
          <w:szCs w:val="24"/>
        </w:rPr>
      </w:pPr>
      <w:r w:rsidRPr="00B70950">
        <w:rPr>
          <w:szCs w:val="24"/>
        </w:rPr>
        <w:t>8.13</w:t>
      </w:r>
      <w:r w:rsidRPr="00B70950">
        <w:rPr>
          <w:szCs w:val="24"/>
        </w:rPr>
        <w:tab/>
        <w:t>Les coûts de relocalisation de l'Union autres que les coûts liés à la cessation de service des membres du personnel ne peuvent faire l'objet que d'une estimation très approximative</w:t>
      </w:r>
      <w:r w:rsidR="00676DF2" w:rsidRPr="00B70950">
        <w:rPr>
          <w:szCs w:val="24"/>
        </w:rPr>
        <w:t>,</w:t>
      </w:r>
      <w:r w:rsidRPr="00B70950">
        <w:rPr>
          <w:szCs w:val="24"/>
        </w:rPr>
        <w:t xml:space="preserve"> en l'absence de l'identification d'un ou de plusieurs lieux de relocalisation à ce jour. </w:t>
      </w:r>
    </w:p>
    <w:p w:rsidR="00D429F6" w:rsidRPr="00B70950" w:rsidRDefault="00D429F6" w:rsidP="007F1941">
      <w:pPr>
        <w:rPr>
          <w:szCs w:val="24"/>
        </w:rPr>
      </w:pPr>
      <w:r w:rsidRPr="00B70950">
        <w:rPr>
          <w:szCs w:val="24"/>
        </w:rPr>
        <w:t>8.14</w:t>
      </w:r>
      <w:r w:rsidRPr="00B70950">
        <w:rPr>
          <w:szCs w:val="24"/>
        </w:rPr>
        <w:tab/>
        <w:t xml:space="preserve">Les coûts à prendre en compte afin d'évaluer les incidences financières globales de la relocalisation sont les </w:t>
      </w:r>
      <w:proofErr w:type="gramStart"/>
      <w:r w:rsidRPr="00B70950">
        <w:rPr>
          <w:szCs w:val="24"/>
        </w:rPr>
        <w:t>suivants:</w:t>
      </w:r>
      <w:proofErr w:type="gramEnd"/>
    </w:p>
    <w:p w:rsidR="00D429F6" w:rsidRPr="00B70950" w:rsidRDefault="00D429F6" w:rsidP="007F1941">
      <w:pPr>
        <w:pStyle w:val="enumlev1"/>
      </w:pPr>
      <w:r w:rsidRPr="00B70950">
        <w:t>–</w:t>
      </w:r>
      <w:r w:rsidRPr="00B70950">
        <w:tab/>
        <w:t xml:space="preserve">Dépenses de personnel pendant la période de transition (période pendant laquelle le siège de Genève reste opérationnel et celui du nouvel emplacement se met en place): il s'agit des dépenses de personnel du nouveau siège pendant la période de transition (estimation sur la base de 30% du personnel de la catégorie des services généraux et </w:t>
      </w:r>
      <w:r w:rsidR="00676DF2" w:rsidRPr="00B70950">
        <w:t xml:space="preserve">de </w:t>
      </w:r>
      <w:r w:rsidRPr="00B70950">
        <w:t>100% du personnel des catégories professionnelle et supérieure qui quitteraient l'UIT à la fin de la période de transition)</w:t>
      </w:r>
      <w:r w:rsidR="00FB1328" w:rsidRPr="00B70950">
        <w:t>.</w:t>
      </w:r>
    </w:p>
    <w:p w:rsidR="00D429F6" w:rsidRPr="00B70950" w:rsidRDefault="00D429F6" w:rsidP="007F1941">
      <w:pPr>
        <w:pStyle w:val="enumlev1"/>
      </w:pPr>
      <w:r w:rsidRPr="00B70950">
        <w:t>–</w:t>
      </w:r>
      <w:r w:rsidRPr="00B70950">
        <w:tab/>
        <w:t xml:space="preserve">Coût de recrutement du nouveau personnel (sur la base d'une estimation de 55 000 CHF par fonctionnaire des catégories professionnelle et supérieure (frais d'entrée en </w:t>
      </w:r>
      <w:r w:rsidR="00676DF2" w:rsidRPr="00B70950">
        <w:t>fonctions</w:t>
      </w:r>
      <w:r w:rsidRPr="00B70950">
        <w:t>, billets d'a</w:t>
      </w:r>
      <w:r w:rsidR="00676DF2" w:rsidRPr="00B70950">
        <w:t>vion</w:t>
      </w:r>
      <w:r w:rsidRPr="00B70950">
        <w:t xml:space="preserve"> et déménagement) et </w:t>
      </w:r>
      <w:r w:rsidR="00676DF2" w:rsidRPr="00B70950">
        <w:t xml:space="preserve">de </w:t>
      </w:r>
      <w:r w:rsidRPr="00B70950">
        <w:t>1 000 CHF pour le personnel local de la catégorie des services généraux)</w:t>
      </w:r>
      <w:r w:rsidR="00FB1328" w:rsidRPr="00B70950">
        <w:t>.</w:t>
      </w:r>
    </w:p>
    <w:p w:rsidR="00D429F6" w:rsidRPr="00B70950" w:rsidRDefault="00D429F6" w:rsidP="007F1941">
      <w:pPr>
        <w:pStyle w:val="enumlev1"/>
      </w:pPr>
      <w:r w:rsidRPr="00B70950">
        <w:t>–</w:t>
      </w:r>
      <w:r w:rsidRPr="00B70950">
        <w:tab/>
      </w:r>
      <w:r w:rsidR="00676DF2" w:rsidRPr="00B70950">
        <w:t xml:space="preserve">Dépenses </w:t>
      </w:r>
      <w:r w:rsidRPr="00B70950">
        <w:t xml:space="preserve">d'infrastructure pour mise en </w:t>
      </w:r>
      <w:proofErr w:type="spellStart"/>
      <w:r w:rsidRPr="00B70950">
        <w:t>oeuvre</w:t>
      </w:r>
      <w:proofErr w:type="spellEnd"/>
      <w:r w:rsidRPr="00B70950">
        <w:t xml:space="preserve"> et la mise en service du nouveau </w:t>
      </w:r>
      <w:proofErr w:type="gramStart"/>
      <w:r w:rsidRPr="00B70950">
        <w:t>siège:</w:t>
      </w:r>
      <w:proofErr w:type="gramEnd"/>
      <w:r w:rsidRPr="00B70950">
        <w:t xml:space="preserve"> il s'agit des coûts d'équipement, de matériel informatique, des coûts généraux d'équipement des bureaux et du bâtiment afin que les nouveaux locaux soient opérationnels.</w:t>
      </w:r>
    </w:p>
    <w:p w:rsidR="00D429F6" w:rsidRPr="00B70950" w:rsidRDefault="00D429F6" w:rsidP="007F1941">
      <w:pPr>
        <w:pStyle w:val="enumlev1"/>
      </w:pPr>
      <w:r w:rsidRPr="00B70950">
        <w:lastRenderedPageBreak/>
        <w:t>–</w:t>
      </w:r>
      <w:r w:rsidRPr="00B70950">
        <w:tab/>
        <w:t xml:space="preserve">Coûts opérationnels </w:t>
      </w:r>
      <w:r w:rsidR="00676DF2" w:rsidRPr="00B70950">
        <w:t>de</w:t>
      </w:r>
      <w:r w:rsidRPr="00B70950">
        <w:t xml:space="preserve"> mise en </w:t>
      </w:r>
      <w:proofErr w:type="spellStart"/>
      <w:r w:rsidRPr="00B70950">
        <w:t>oeuvre</w:t>
      </w:r>
      <w:proofErr w:type="spellEnd"/>
      <w:r w:rsidRPr="00B70950">
        <w:t xml:space="preserve"> et </w:t>
      </w:r>
      <w:r w:rsidR="00676DF2" w:rsidRPr="00B70950">
        <w:t xml:space="preserve">de </w:t>
      </w:r>
      <w:r w:rsidRPr="00B70950">
        <w:t xml:space="preserve">mise en service du nouveau </w:t>
      </w:r>
      <w:proofErr w:type="gramStart"/>
      <w:r w:rsidRPr="00B70950">
        <w:t>siège:</w:t>
      </w:r>
      <w:proofErr w:type="gramEnd"/>
      <w:r w:rsidRPr="00B70950">
        <w:t xml:space="preserve"> il s'agit des </w:t>
      </w:r>
      <w:r w:rsidR="00676DF2" w:rsidRPr="00B70950">
        <w:t>frais</w:t>
      </w:r>
      <w:r w:rsidRPr="00B70950">
        <w:t xml:space="preserve"> de voyage et d'hébergement, des </w:t>
      </w:r>
      <w:r w:rsidR="00676DF2" w:rsidRPr="00B70950">
        <w:t>dépenses</w:t>
      </w:r>
      <w:r w:rsidRPr="00B70950">
        <w:t xml:space="preserve"> de recrutement du nouveau personnel, de la gestion du projet de relocalisation.</w:t>
      </w:r>
    </w:p>
    <w:p w:rsidR="00D429F6" w:rsidRPr="00B70950" w:rsidRDefault="00D429F6" w:rsidP="007F1941">
      <w:pPr>
        <w:rPr>
          <w:szCs w:val="24"/>
        </w:rPr>
      </w:pPr>
      <w:r w:rsidRPr="00B70950">
        <w:rPr>
          <w:szCs w:val="24"/>
        </w:rPr>
        <w:t>8.15</w:t>
      </w:r>
      <w:r w:rsidRPr="00B70950">
        <w:rPr>
          <w:szCs w:val="24"/>
        </w:rPr>
        <w:tab/>
        <w:t>Afin d'obtenir une estimation, les coûts définis pour la relocalisation d'une partie du personnel du HCR en 2007 ont été pris comme référence et adaptés en tenant compte des différences de taille (relocalisation de la totalité de l'Union) et de l'évolution des coûts depuis 2007.</w:t>
      </w:r>
    </w:p>
    <w:p w:rsidR="00D429F6" w:rsidRPr="00B70950" w:rsidRDefault="00D429F6" w:rsidP="00944919">
      <w:pPr>
        <w:spacing w:after="120"/>
        <w:rPr>
          <w:szCs w:val="24"/>
        </w:rPr>
      </w:pPr>
      <w:r w:rsidRPr="00B70950">
        <w:rPr>
          <w:szCs w:val="24"/>
        </w:rPr>
        <w:t>8.16</w:t>
      </w:r>
      <w:r w:rsidRPr="00B70950">
        <w:rPr>
          <w:szCs w:val="24"/>
        </w:rPr>
        <w:tab/>
        <w:t xml:space="preserve">Les coûts suivants ont été </w:t>
      </w:r>
      <w:proofErr w:type="gramStart"/>
      <w:r w:rsidRPr="00B70950">
        <w:rPr>
          <w:szCs w:val="24"/>
        </w:rPr>
        <w:t>retenus: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14"/>
        <w:gridCol w:w="1985"/>
        <w:gridCol w:w="1701"/>
        <w:gridCol w:w="1813"/>
      </w:tblGrid>
      <w:tr w:rsidR="00D429F6" w:rsidRPr="00B70950" w:rsidTr="00EA073B">
        <w:tc>
          <w:tcPr>
            <w:tcW w:w="2263" w:type="dxa"/>
          </w:tcPr>
          <w:p w:rsidR="00D429F6" w:rsidRPr="00B70950" w:rsidRDefault="00D429F6" w:rsidP="00944919">
            <w:pPr>
              <w:pStyle w:val="Tablehead"/>
              <w:spacing w:before="40" w:after="40"/>
            </w:pPr>
            <w:r w:rsidRPr="00B70950">
              <w:br w:type="page"/>
              <w:t>Nature de coûts</w:t>
            </w:r>
          </w:p>
        </w:tc>
        <w:tc>
          <w:tcPr>
            <w:tcW w:w="7313" w:type="dxa"/>
            <w:gridSpan w:val="4"/>
          </w:tcPr>
          <w:p w:rsidR="00D429F6" w:rsidRPr="00B70950" w:rsidRDefault="00D429F6" w:rsidP="00944919">
            <w:pPr>
              <w:pStyle w:val="Tablehead"/>
              <w:spacing w:before="40" w:after="40"/>
            </w:pPr>
            <w:r w:rsidRPr="00B70950">
              <w:t>Estimation en milliers de CHF</w:t>
            </w:r>
          </w:p>
        </w:tc>
      </w:tr>
      <w:tr w:rsidR="00D429F6" w:rsidRPr="00B70950" w:rsidTr="00EA073B">
        <w:tc>
          <w:tcPr>
            <w:tcW w:w="2263" w:type="dxa"/>
          </w:tcPr>
          <w:p w:rsidR="00D429F6" w:rsidRPr="00B70950" w:rsidRDefault="00D429F6" w:rsidP="00944919">
            <w:pPr>
              <w:pStyle w:val="Tablehead"/>
              <w:spacing w:before="40" w:after="40"/>
            </w:pPr>
          </w:p>
        </w:tc>
        <w:tc>
          <w:tcPr>
            <w:tcW w:w="1814" w:type="dxa"/>
          </w:tcPr>
          <w:p w:rsidR="00D429F6" w:rsidRPr="00B70950" w:rsidRDefault="00D429F6" w:rsidP="00944919">
            <w:pPr>
              <w:pStyle w:val="Tablehead"/>
              <w:spacing w:before="40" w:after="40"/>
            </w:pPr>
            <w:r w:rsidRPr="00B70950">
              <w:t>Scénario 1</w:t>
            </w:r>
          </w:p>
        </w:tc>
        <w:tc>
          <w:tcPr>
            <w:tcW w:w="1985" w:type="dxa"/>
          </w:tcPr>
          <w:p w:rsidR="00D429F6" w:rsidRPr="00B70950" w:rsidRDefault="00D429F6" w:rsidP="00944919">
            <w:pPr>
              <w:pStyle w:val="Tablehead"/>
              <w:spacing w:before="40" w:after="40"/>
            </w:pPr>
            <w:r w:rsidRPr="00B70950">
              <w:t>Scénario 2</w:t>
            </w:r>
          </w:p>
        </w:tc>
        <w:tc>
          <w:tcPr>
            <w:tcW w:w="1701" w:type="dxa"/>
          </w:tcPr>
          <w:p w:rsidR="00D429F6" w:rsidRPr="00B70950" w:rsidRDefault="00D429F6" w:rsidP="00944919">
            <w:pPr>
              <w:pStyle w:val="Tablehead"/>
              <w:spacing w:before="40" w:after="40"/>
            </w:pPr>
            <w:r w:rsidRPr="00B70950">
              <w:t>Scénario 3</w:t>
            </w:r>
          </w:p>
        </w:tc>
        <w:tc>
          <w:tcPr>
            <w:tcW w:w="1813" w:type="dxa"/>
          </w:tcPr>
          <w:p w:rsidR="00D429F6" w:rsidRPr="00B70950" w:rsidRDefault="00D429F6" w:rsidP="00944919">
            <w:pPr>
              <w:pStyle w:val="Tablehead"/>
              <w:spacing w:before="40" w:after="40"/>
            </w:pPr>
            <w:r w:rsidRPr="00B70950">
              <w:t>Scénario 4</w:t>
            </w:r>
          </w:p>
        </w:tc>
      </w:tr>
      <w:tr w:rsidR="00D429F6" w:rsidRPr="00B70950" w:rsidTr="00EA073B">
        <w:tc>
          <w:tcPr>
            <w:tcW w:w="2263" w:type="dxa"/>
          </w:tcPr>
          <w:p w:rsidR="00D429F6" w:rsidRPr="00B70950" w:rsidRDefault="00D429F6" w:rsidP="00944919">
            <w:pPr>
              <w:spacing w:before="40" w:after="40"/>
              <w:rPr>
                <w:sz w:val="22"/>
                <w:szCs w:val="22"/>
              </w:rPr>
            </w:pPr>
            <w:r w:rsidRPr="00B70950">
              <w:rPr>
                <w:sz w:val="22"/>
                <w:szCs w:val="22"/>
              </w:rPr>
              <w:t xml:space="preserve">Dépenses de personnel pendant la période de transition </w:t>
            </w:r>
          </w:p>
        </w:tc>
        <w:tc>
          <w:tcPr>
            <w:tcW w:w="1814" w:type="dxa"/>
          </w:tcPr>
          <w:p w:rsidR="00D429F6" w:rsidRPr="00B70950" w:rsidRDefault="00D429F6" w:rsidP="00944919">
            <w:pPr>
              <w:spacing w:before="40" w:after="40"/>
              <w:jc w:val="center"/>
              <w:rPr>
                <w:sz w:val="22"/>
                <w:szCs w:val="22"/>
              </w:rPr>
            </w:pPr>
            <w:r w:rsidRPr="00B70950">
              <w:rPr>
                <w:sz w:val="22"/>
                <w:szCs w:val="22"/>
              </w:rPr>
              <w:t>22 860</w:t>
            </w:r>
          </w:p>
        </w:tc>
        <w:tc>
          <w:tcPr>
            <w:tcW w:w="1985" w:type="dxa"/>
          </w:tcPr>
          <w:p w:rsidR="00D429F6" w:rsidRPr="00B70950" w:rsidRDefault="00D429F6" w:rsidP="00944919">
            <w:pPr>
              <w:spacing w:before="40" w:after="40"/>
              <w:jc w:val="center"/>
              <w:rPr>
                <w:sz w:val="22"/>
                <w:szCs w:val="22"/>
              </w:rPr>
            </w:pPr>
            <w:r w:rsidRPr="00B70950">
              <w:rPr>
                <w:sz w:val="22"/>
                <w:szCs w:val="22"/>
              </w:rPr>
              <w:t>16 020</w:t>
            </w:r>
          </w:p>
        </w:tc>
        <w:tc>
          <w:tcPr>
            <w:tcW w:w="1701" w:type="dxa"/>
          </w:tcPr>
          <w:p w:rsidR="00D429F6" w:rsidRPr="00B70950" w:rsidRDefault="00D429F6" w:rsidP="00944919">
            <w:pPr>
              <w:spacing w:before="40" w:after="40"/>
              <w:jc w:val="center"/>
              <w:rPr>
                <w:sz w:val="22"/>
                <w:szCs w:val="22"/>
              </w:rPr>
            </w:pPr>
            <w:r w:rsidRPr="00B70950">
              <w:rPr>
                <w:sz w:val="22"/>
                <w:szCs w:val="22"/>
              </w:rPr>
              <w:t>20 556</w:t>
            </w:r>
          </w:p>
        </w:tc>
        <w:tc>
          <w:tcPr>
            <w:tcW w:w="1813" w:type="dxa"/>
          </w:tcPr>
          <w:p w:rsidR="00D429F6" w:rsidRPr="00B70950" w:rsidRDefault="00D429F6" w:rsidP="00944919">
            <w:pPr>
              <w:spacing w:before="40" w:after="40"/>
              <w:jc w:val="center"/>
              <w:rPr>
                <w:sz w:val="22"/>
                <w:szCs w:val="22"/>
              </w:rPr>
            </w:pPr>
            <w:r w:rsidRPr="00B70950">
              <w:rPr>
                <w:sz w:val="22"/>
                <w:szCs w:val="22"/>
              </w:rPr>
              <w:t>18 300</w:t>
            </w:r>
          </w:p>
        </w:tc>
      </w:tr>
      <w:tr w:rsidR="00D429F6" w:rsidRPr="00B70950" w:rsidTr="00EA073B">
        <w:tc>
          <w:tcPr>
            <w:tcW w:w="2263" w:type="dxa"/>
          </w:tcPr>
          <w:p w:rsidR="00D429F6" w:rsidRPr="00B70950" w:rsidRDefault="00D429F6" w:rsidP="00944919">
            <w:pPr>
              <w:spacing w:before="40" w:after="40"/>
              <w:rPr>
                <w:sz w:val="22"/>
                <w:szCs w:val="22"/>
              </w:rPr>
            </w:pPr>
            <w:r w:rsidRPr="00B70950">
              <w:rPr>
                <w:sz w:val="22"/>
                <w:szCs w:val="22"/>
              </w:rPr>
              <w:t>Coûts de recrutement et de formation</w:t>
            </w:r>
          </w:p>
        </w:tc>
        <w:tc>
          <w:tcPr>
            <w:tcW w:w="1814" w:type="dxa"/>
          </w:tcPr>
          <w:p w:rsidR="00D429F6" w:rsidRPr="00B70950" w:rsidRDefault="00D429F6" w:rsidP="00944919">
            <w:pPr>
              <w:spacing w:before="40" w:after="40"/>
              <w:jc w:val="center"/>
              <w:rPr>
                <w:sz w:val="22"/>
                <w:szCs w:val="22"/>
              </w:rPr>
            </w:pPr>
            <w:r w:rsidRPr="00B70950">
              <w:rPr>
                <w:sz w:val="22"/>
                <w:szCs w:val="22"/>
              </w:rPr>
              <w:t>5 750</w:t>
            </w:r>
          </w:p>
        </w:tc>
        <w:tc>
          <w:tcPr>
            <w:tcW w:w="1985" w:type="dxa"/>
          </w:tcPr>
          <w:p w:rsidR="00D429F6" w:rsidRPr="00B70950" w:rsidRDefault="00D429F6" w:rsidP="00944919">
            <w:pPr>
              <w:spacing w:before="40" w:after="40"/>
              <w:jc w:val="center"/>
              <w:rPr>
                <w:sz w:val="22"/>
                <w:szCs w:val="22"/>
              </w:rPr>
            </w:pPr>
            <w:r w:rsidRPr="00B70950">
              <w:rPr>
                <w:sz w:val="22"/>
                <w:szCs w:val="22"/>
              </w:rPr>
              <w:t>3 550</w:t>
            </w:r>
          </w:p>
        </w:tc>
        <w:tc>
          <w:tcPr>
            <w:tcW w:w="1701" w:type="dxa"/>
          </w:tcPr>
          <w:p w:rsidR="00D429F6" w:rsidRPr="00B70950" w:rsidRDefault="00D429F6" w:rsidP="00944919">
            <w:pPr>
              <w:spacing w:before="40" w:after="40"/>
              <w:jc w:val="center"/>
              <w:rPr>
                <w:sz w:val="22"/>
                <w:szCs w:val="22"/>
              </w:rPr>
            </w:pPr>
            <w:r w:rsidRPr="00B70950">
              <w:rPr>
                <w:sz w:val="22"/>
                <w:szCs w:val="22"/>
              </w:rPr>
              <w:t>5 690</w:t>
            </w:r>
          </w:p>
        </w:tc>
        <w:tc>
          <w:tcPr>
            <w:tcW w:w="1813" w:type="dxa"/>
          </w:tcPr>
          <w:p w:rsidR="00D429F6" w:rsidRPr="00B70950" w:rsidRDefault="00D429F6" w:rsidP="00944919">
            <w:pPr>
              <w:spacing w:before="40" w:after="40"/>
              <w:jc w:val="center"/>
              <w:rPr>
                <w:sz w:val="22"/>
                <w:szCs w:val="22"/>
              </w:rPr>
            </w:pPr>
            <w:r w:rsidRPr="00B70950">
              <w:rPr>
                <w:sz w:val="22"/>
                <w:szCs w:val="22"/>
              </w:rPr>
              <w:t>3 490</w:t>
            </w:r>
          </w:p>
        </w:tc>
      </w:tr>
      <w:tr w:rsidR="00D429F6" w:rsidRPr="00B70950" w:rsidTr="00EA073B">
        <w:tc>
          <w:tcPr>
            <w:tcW w:w="2263" w:type="dxa"/>
          </w:tcPr>
          <w:p w:rsidR="00D429F6" w:rsidRPr="00B70950" w:rsidRDefault="00676DF2" w:rsidP="00944919">
            <w:pPr>
              <w:spacing w:before="40" w:after="40"/>
              <w:rPr>
                <w:sz w:val="22"/>
                <w:szCs w:val="22"/>
              </w:rPr>
            </w:pPr>
            <w:r w:rsidRPr="00B70950">
              <w:rPr>
                <w:sz w:val="22"/>
                <w:szCs w:val="22"/>
              </w:rPr>
              <w:t xml:space="preserve">Dépenses </w:t>
            </w:r>
            <w:r w:rsidR="00D429F6" w:rsidRPr="00B70950">
              <w:rPr>
                <w:sz w:val="22"/>
                <w:szCs w:val="22"/>
              </w:rPr>
              <w:t xml:space="preserve">d'infrastructure pour la mise en </w:t>
            </w:r>
            <w:proofErr w:type="spellStart"/>
            <w:r w:rsidR="00D429F6" w:rsidRPr="00B70950">
              <w:rPr>
                <w:sz w:val="22"/>
                <w:szCs w:val="22"/>
              </w:rPr>
              <w:t>oeuvre</w:t>
            </w:r>
            <w:proofErr w:type="spellEnd"/>
            <w:r w:rsidR="00D429F6" w:rsidRPr="00B70950">
              <w:rPr>
                <w:sz w:val="22"/>
                <w:szCs w:val="22"/>
              </w:rPr>
              <w:t xml:space="preserve"> et la mise en service du nouveau siège </w:t>
            </w:r>
          </w:p>
        </w:tc>
        <w:tc>
          <w:tcPr>
            <w:tcW w:w="1814" w:type="dxa"/>
          </w:tcPr>
          <w:p w:rsidR="00D429F6" w:rsidRPr="00B70950" w:rsidRDefault="00D429F6" w:rsidP="00944919">
            <w:pPr>
              <w:spacing w:before="40" w:after="40"/>
              <w:jc w:val="center"/>
              <w:rPr>
                <w:sz w:val="22"/>
                <w:szCs w:val="22"/>
              </w:rPr>
            </w:pPr>
            <w:r w:rsidRPr="00B70950">
              <w:rPr>
                <w:sz w:val="22"/>
                <w:szCs w:val="22"/>
              </w:rPr>
              <w:t>4 950</w:t>
            </w:r>
          </w:p>
        </w:tc>
        <w:tc>
          <w:tcPr>
            <w:tcW w:w="1985" w:type="dxa"/>
          </w:tcPr>
          <w:p w:rsidR="00D429F6" w:rsidRPr="00B70950" w:rsidRDefault="00D429F6" w:rsidP="00944919">
            <w:pPr>
              <w:spacing w:before="40" w:after="40"/>
              <w:jc w:val="center"/>
              <w:rPr>
                <w:sz w:val="22"/>
                <w:szCs w:val="22"/>
              </w:rPr>
            </w:pPr>
            <w:r w:rsidRPr="00B70950">
              <w:rPr>
                <w:sz w:val="22"/>
                <w:szCs w:val="22"/>
              </w:rPr>
              <w:t>4 950</w:t>
            </w:r>
          </w:p>
        </w:tc>
        <w:tc>
          <w:tcPr>
            <w:tcW w:w="1701" w:type="dxa"/>
          </w:tcPr>
          <w:p w:rsidR="00D429F6" w:rsidRPr="00B70950" w:rsidRDefault="00D429F6" w:rsidP="00944919">
            <w:pPr>
              <w:spacing w:before="40" w:after="40"/>
              <w:jc w:val="center"/>
              <w:rPr>
                <w:sz w:val="22"/>
                <w:szCs w:val="22"/>
              </w:rPr>
            </w:pPr>
            <w:r w:rsidRPr="00B70950">
              <w:rPr>
                <w:sz w:val="22"/>
                <w:szCs w:val="22"/>
              </w:rPr>
              <w:t>4 950</w:t>
            </w:r>
          </w:p>
        </w:tc>
        <w:tc>
          <w:tcPr>
            <w:tcW w:w="1813" w:type="dxa"/>
          </w:tcPr>
          <w:p w:rsidR="00D429F6" w:rsidRPr="00B70950" w:rsidRDefault="00D429F6" w:rsidP="00944919">
            <w:pPr>
              <w:spacing w:before="40" w:after="40"/>
              <w:jc w:val="center"/>
              <w:rPr>
                <w:sz w:val="22"/>
                <w:szCs w:val="22"/>
              </w:rPr>
            </w:pPr>
            <w:r w:rsidRPr="00B70950">
              <w:rPr>
                <w:sz w:val="22"/>
                <w:szCs w:val="22"/>
              </w:rPr>
              <w:t>4 950</w:t>
            </w:r>
          </w:p>
        </w:tc>
      </w:tr>
      <w:tr w:rsidR="00D429F6" w:rsidRPr="00B70950" w:rsidTr="00EA073B">
        <w:tc>
          <w:tcPr>
            <w:tcW w:w="2263" w:type="dxa"/>
          </w:tcPr>
          <w:p w:rsidR="00D429F6" w:rsidRPr="00B70950" w:rsidRDefault="00D429F6" w:rsidP="00944919">
            <w:pPr>
              <w:spacing w:before="40" w:after="40"/>
              <w:rPr>
                <w:sz w:val="22"/>
                <w:szCs w:val="22"/>
              </w:rPr>
            </w:pPr>
            <w:r w:rsidRPr="00B70950">
              <w:rPr>
                <w:sz w:val="22"/>
                <w:szCs w:val="22"/>
              </w:rPr>
              <w:t>Coûts opérationnels pour la mise en œuvre et la mise en service du nouveau siège </w:t>
            </w:r>
          </w:p>
        </w:tc>
        <w:tc>
          <w:tcPr>
            <w:tcW w:w="1814" w:type="dxa"/>
          </w:tcPr>
          <w:p w:rsidR="00D429F6" w:rsidRPr="00B70950" w:rsidRDefault="00D429F6" w:rsidP="00944919">
            <w:pPr>
              <w:spacing w:before="40" w:after="40"/>
              <w:jc w:val="center"/>
              <w:rPr>
                <w:sz w:val="22"/>
                <w:szCs w:val="22"/>
              </w:rPr>
            </w:pPr>
            <w:r w:rsidRPr="00B70950">
              <w:rPr>
                <w:sz w:val="22"/>
                <w:szCs w:val="22"/>
              </w:rPr>
              <w:t>14 001</w:t>
            </w:r>
          </w:p>
        </w:tc>
        <w:tc>
          <w:tcPr>
            <w:tcW w:w="1985" w:type="dxa"/>
          </w:tcPr>
          <w:p w:rsidR="00D429F6" w:rsidRPr="00B70950" w:rsidRDefault="00D429F6" w:rsidP="00944919">
            <w:pPr>
              <w:spacing w:before="40" w:after="40"/>
              <w:jc w:val="center"/>
              <w:rPr>
                <w:sz w:val="22"/>
                <w:szCs w:val="22"/>
              </w:rPr>
            </w:pPr>
            <w:r w:rsidRPr="00B70950">
              <w:rPr>
                <w:sz w:val="22"/>
                <w:szCs w:val="22"/>
              </w:rPr>
              <w:t>14 001</w:t>
            </w:r>
          </w:p>
        </w:tc>
        <w:tc>
          <w:tcPr>
            <w:tcW w:w="1701" w:type="dxa"/>
          </w:tcPr>
          <w:p w:rsidR="00D429F6" w:rsidRPr="00B70950" w:rsidRDefault="00D429F6" w:rsidP="00944919">
            <w:pPr>
              <w:spacing w:before="40" w:after="40"/>
              <w:jc w:val="center"/>
              <w:rPr>
                <w:sz w:val="22"/>
                <w:szCs w:val="22"/>
              </w:rPr>
            </w:pPr>
            <w:r w:rsidRPr="00B70950">
              <w:rPr>
                <w:sz w:val="22"/>
                <w:szCs w:val="22"/>
              </w:rPr>
              <w:t>14 001</w:t>
            </w:r>
          </w:p>
        </w:tc>
        <w:tc>
          <w:tcPr>
            <w:tcW w:w="1813" w:type="dxa"/>
          </w:tcPr>
          <w:p w:rsidR="00D429F6" w:rsidRPr="00B70950" w:rsidRDefault="00D429F6" w:rsidP="00944919">
            <w:pPr>
              <w:spacing w:before="40" w:after="40"/>
              <w:jc w:val="center"/>
              <w:rPr>
                <w:sz w:val="22"/>
                <w:szCs w:val="22"/>
              </w:rPr>
            </w:pPr>
            <w:r w:rsidRPr="00B70950">
              <w:rPr>
                <w:sz w:val="22"/>
                <w:szCs w:val="22"/>
              </w:rPr>
              <w:t>14 001</w:t>
            </w:r>
          </w:p>
        </w:tc>
      </w:tr>
      <w:tr w:rsidR="00D429F6" w:rsidRPr="00B70950" w:rsidTr="00EA073B">
        <w:tc>
          <w:tcPr>
            <w:tcW w:w="2263" w:type="dxa"/>
          </w:tcPr>
          <w:p w:rsidR="00D429F6" w:rsidRPr="00B70950" w:rsidRDefault="00D429F6" w:rsidP="00944919">
            <w:pPr>
              <w:spacing w:before="40" w:after="40"/>
              <w:rPr>
                <w:b/>
                <w:bCs/>
                <w:sz w:val="22"/>
                <w:szCs w:val="22"/>
              </w:rPr>
            </w:pPr>
            <w:r w:rsidRPr="00B70950">
              <w:rPr>
                <w:b/>
                <w:bCs/>
                <w:sz w:val="22"/>
                <w:szCs w:val="22"/>
              </w:rPr>
              <w:t>Total</w:t>
            </w:r>
          </w:p>
        </w:tc>
        <w:tc>
          <w:tcPr>
            <w:tcW w:w="1814" w:type="dxa"/>
          </w:tcPr>
          <w:p w:rsidR="00D429F6" w:rsidRPr="00B70950" w:rsidRDefault="00D429F6" w:rsidP="00944919">
            <w:pPr>
              <w:spacing w:before="40" w:after="40"/>
              <w:jc w:val="center"/>
              <w:rPr>
                <w:b/>
                <w:bCs/>
                <w:sz w:val="22"/>
                <w:szCs w:val="22"/>
              </w:rPr>
            </w:pPr>
            <w:r w:rsidRPr="00B70950">
              <w:rPr>
                <w:b/>
                <w:bCs/>
                <w:sz w:val="22"/>
                <w:szCs w:val="22"/>
              </w:rPr>
              <w:t>47 561</w:t>
            </w:r>
          </w:p>
        </w:tc>
        <w:tc>
          <w:tcPr>
            <w:tcW w:w="1985" w:type="dxa"/>
          </w:tcPr>
          <w:p w:rsidR="00D429F6" w:rsidRPr="00B70950" w:rsidRDefault="00D429F6" w:rsidP="00944919">
            <w:pPr>
              <w:spacing w:before="40" w:after="40"/>
              <w:jc w:val="center"/>
              <w:rPr>
                <w:b/>
                <w:bCs/>
                <w:sz w:val="22"/>
                <w:szCs w:val="22"/>
              </w:rPr>
            </w:pPr>
            <w:r w:rsidRPr="00B70950">
              <w:rPr>
                <w:b/>
                <w:bCs/>
                <w:sz w:val="22"/>
                <w:szCs w:val="22"/>
              </w:rPr>
              <w:t>38 521</w:t>
            </w:r>
          </w:p>
        </w:tc>
        <w:tc>
          <w:tcPr>
            <w:tcW w:w="1701" w:type="dxa"/>
          </w:tcPr>
          <w:p w:rsidR="00D429F6" w:rsidRPr="00B70950" w:rsidRDefault="00D429F6" w:rsidP="00944919">
            <w:pPr>
              <w:spacing w:before="40" w:after="40"/>
              <w:jc w:val="center"/>
              <w:rPr>
                <w:b/>
                <w:bCs/>
                <w:sz w:val="22"/>
                <w:szCs w:val="22"/>
              </w:rPr>
            </w:pPr>
            <w:r w:rsidRPr="00B70950">
              <w:rPr>
                <w:b/>
                <w:bCs/>
                <w:sz w:val="22"/>
                <w:szCs w:val="22"/>
              </w:rPr>
              <w:t>45 197</w:t>
            </w:r>
          </w:p>
        </w:tc>
        <w:tc>
          <w:tcPr>
            <w:tcW w:w="1813" w:type="dxa"/>
          </w:tcPr>
          <w:p w:rsidR="00D429F6" w:rsidRPr="00B70950" w:rsidRDefault="00D429F6" w:rsidP="00944919">
            <w:pPr>
              <w:spacing w:before="40" w:after="40"/>
              <w:jc w:val="center"/>
              <w:rPr>
                <w:b/>
                <w:bCs/>
                <w:sz w:val="22"/>
                <w:szCs w:val="22"/>
              </w:rPr>
            </w:pPr>
            <w:r w:rsidRPr="00B70950">
              <w:rPr>
                <w:b/>
                <w:bCs/>
                <w:sz w:val="22"/>
                <w:szCs w:val="22"/>
              </w:rPr>
              <w:t>37 630</w:t>
            </w:r>
          </w:p>
        </w:tc>
      </w:tr>
    </w:tbl>
    <w:p w:rsidR="00D429F6" w:rsidRPr="00B70950" w:rsidRDefault="00D429F6" w:rsidP="00CC4FF1">
      <w:pPr>
        <w:spacing w:before="240"/>
        <w:rPr>
          <w:szCs w:val="24"/>
        </w:rPr>
      </w:pPr>
      <w:r w:rsidRPr="00B70950">
        <w:rPr>
          <w:szCs w:val="24"/>
        </w:rPr>
        <w:t>8.17</w:t>
      </w:r>
      <w:r w:rsidRPr="00B70950">
        <w:rPr>
          <w:szCs w:val="24"/>
        </w:rPr>
        <w:tab/>
        <w:t>Une estimation plus détaillée de ces coûts devrait être basée sur une étude comparative de quelques lieux de relocalisation choisis sur la base de critères de comparaison objectifs.</w:t>
      </w:r>
    </w:p>
    <w:p w:rsidR="00D429F6" w:rsidRPr="00B70950" w:rsidRDefault="00D429F6" w:rsidP="007F1941">
      <w:pPr>
        <w:rPr>
          <w:szCs w:val="24"/>
        </w:rPr>
      </w:pPr>
      <w:r w:rsidRPr="00B70950">
        <w:rPr>
          <w:szCs w:val="24"/>
        </w:rPr>
        <w:t>8.18</w:t>
      </w:r>
      <w:r w:rsidRPr="00B70950">
        <w:rPr>
          <w:szCs w:val="24"/>
        </w:rPr>
        <w:tab/>
        <w:t>Le montant total des coûts liés à la cessation de service, à la restructuration et à l</w:t>
      </w:r>
      <w:r w:rsidR="00126B99" w:rsidRPr="00B70950">
        <w:rPr>
          <w:szCs w:val="24"/>
        </w:rPr>
        <w:t>'</w:t>
      </w:r>
      <w:r w:rsidRPr="00B70950">
        <w:rPr>
          <w:szCs w:val="24"/>
        </w:rPr>
        <w:t>installation s'élèverait donc à un montant compris entre 130 et 175 millions CHF</w:t>
      </w:r>
      <w:r w:rsidR="00676DF2" w:rsidRPr="00B70950">
        <w:rPr>
          <w:szCs w:val="24"/>
        </w:rPr>
        <w:t>,</w:t>
      </w:r>
      <w:r w:rsidRPr="00B70950">
        <w:rPr>
          <w:szCs w:val="24"/>
        </w:rPr>
        <w:t xml:space="preserve"> selon le scénario choisi.</w:t>
      </w:r>
    </w:p>
    <w:p w:rsidR="00D429F6" w:rsidRPr="00B70950" w:rsidRDefault="00D429F6" w:rsidP="007F1941">
      <w:pPr>
        <w:rPr>
          <w:szCs w:val="24"/>
        </w:rPr>
      </w:pPr>
      <w:r w:rsidRPr="00B70950">
        <w:rPr>
          <w:szCs w:val="24"/>
        </w:rPr>
        <w:t>8.19</w:t>
      </w:r>
      <w:r w:rsidRPr="00B70950">
        <w:rPr>
          <w:szCs w:val="24"/>
        </w:rPr>
        <w:tab/>
        <w:t xml:space="preserve">Les coûts liés à la perte de </w:t>
      </w:r>
      <w:r w:rsidR="00676DF2" w:rsidRPr="00B70950">
        <w:rPr>
          <w:szCs w:val="24"/>
        </w:rPr>
        <w:t>la mémoire</w:t>
      </w:r>
      <w:r w:rsidRPr="00B70950">
        <w:rPr>
          <w:szCs w:val="24"/>
        </w:rPr>
        <w:t xml:space="preserve"> institutionnelle et de savoir-faire consécutive au départ de fonctionnaires, de même que les coûts liés aux perturbations des processus, sont difficiles à estimer et ne figurent pas dans le présent document. Cependant, ces coûts pourraient s</w:t>
      </w:r>
      <w:r w:rsidR="00126B99" w:rsidRPr="00B70950">
        <w:rPr>
          <w:szCs w:val="24"/>
        </w:rPr>
        <w:t>'</w:t>
      </w:r>
      <w:r w:rsidRPr="00B70950">
        <w:rPr>
          <w:szCs w:val="24"/>
        </w:rPr>
        <w:t>avérer considérables, étant donné que la formation de nouveaux fonctionnaires prendrait du temps.</w:t>
      </w:r>
    </w:p>
    <w:p w:rsidR="00D429F6" w:rsidRPr="00B70950" w:rsidRDefault="00D429F6" w:rsidP="007F1941">
      <w:pPr>
        <w:pStyle w:val="Headingb"/>
      </w:pPr>
      <w:r w:rsidRPr="00B70950">
        <w:t>c)</w:t>
      </w:r>
      <w:r w:rsidRPr="00B70950">
        <w:tab/>
        <w:t>Coûts opérationnels après installation</w:t>
      </w:r>
    </w:p>
    <w:p w:rsidR="00D429F6" w:rsidRPr="00B70950" w:rsidRDefault="00D429F6" w:rsidP="007F1941">
      <w:pPr>
        <w:rPr>
          <w:szCs w:val="24"/>
        </w:rPr>
      </w:pPr>
      <w:r w:rsidRPr="00B70950">
        <w:rPr>
          <w:szCs w:val="24"/>
        </w:rPr>
        <w:t>8.20</w:t>
      </w:r>
      <w:r w:rsidRPr="00B70950">
        <w:rPr>
          <w:szCs w:val="24"/>
        </w:rPr>
        <w:tab/>
        <w:t xml:space="preserve">Les coûts opérationnels après installation varieront en fonction du lieu de relocalisation choisi. Les coûts suivants varieraient selon le pays d'établissement du </w:t>
      </w:r>
      <w:r w:rsidR="00676DF2" w:rsidRPr="00B70950">
        <w:rPr>
          <w:szCs w:val="24"/>
        </w:rPr>
        <w:t>s</w:t>
      </w:r>
      <w:r w:rsidRPr="00B70950">
        <w:rPr>
          <w:szCs w:val="24"/>
        </w:rPr>
        <w:t>iège de l'Union.</w:t>
      </w:r>
    </w:p>
    <w:p w:rsidR="00D429F6" w:rsidRPr="00B70950" w:rsidRDefault="00D429F6" w:rsidP="007F1941">
      <w:pPr>
        <w:pStyle w:val="enumlev1"/>
      </w:pPr>
      <w:r w:rsidRPr="00B70950">
        <w:t>–</w:t>
      </w:r>
      <w:r w:rsidRPr="00B70950">
        <w:tab/>
        <w:t xml:space="preserve">Dépenses de personnel, dont le calcul est </w:t>
      </w:r>
      <w:proofErr w:type="gramStart"/>
      <w:r w:rsidRPr="00B70950">
        <w:t>lié:</w:t>
      </w:r>
      <w:proofErr w:type="gramEnd"/>
    </w:p>
    <w:p w:rsidR="00D429F6" w:rsidRPr="00B70950" w:rsidRDefault="00D429F6" w:rsidP="007F1941">
      <w:pPr>
        <w:pStyle w:val="enumlev2"/>
      </w:pPr>
      <w:r w:rsidRPr="00B70950">
        <w:t>•</w:t>
      </w:r>
      <w:r w:rsidRPr="00B70950">
        <w:tab/>
      </w:r>
      <w:r w:rsidR="00676DF2" w:rsidRPr="00B70950">
        <w:t>au barème des indemnités de poste</w:t>
      </w:r>
      <w:r w:rsidRPr="00B70950">
        <w:t xml:space="preserve"> pour le personnel des catégories P et </w:t>
      </w:r>
      <w:proofErr w:type="gramStart"/>
      <w:r w:rsidRPr="00B70950">
        <w:t>D;</w:t>
      </w:r>
      <w:proofErr w:type="gramEnd"/>
    </w:p>
    <w:p w:rsidR="00D429F6" w:rsidRPr="00B70950" w:rsidRDefault="00D429F6" w:rsidP="007F1941">
      <w:pPr>
        <w:pStyle w:val="enumlev2"/>
      </w:pPr>
      <w:r w:rsidRPr="00B70950">
        <w:t>•</w:t>
      </w:r>
      <w:r w:rsidRPr="00B70950">
        <w:tab/>
        <w:t xml:space="preserve">au coût local du personnel de la catégorie </w:t>
      </w:r>
      <w:proofErr w:type="gramStart"/>
      <w:r w:rsidRPr="00B70950">
        <w:t>G;</w:t>
      </w:r>
      <w:proofErr w:type="gramEnd"/>
    </w:p>
    <w:p w:rsidR="00D429F6" w:rsidRPr="00B70950" w:rsidRDefault="00D429F6" w:rsidP="00F103FD">
      <w:pPr>
        <w:pStyle w:val="enumlev2"/>
        <w:keepNext/>
        <w:keepLines/>
      </w:pPr>
      <w:r w:rsidRPr="00B70950">
        <w:lastRenderedPageBreak/>
        <w:t>•</w:t>
      </w:r>
      <w:r w:rsidRPr="00B70950">
        <w:tab/>
      </w:r>
      <w:r w:rsidR="00676DF2" w:rsidRPr="00B70950">
        <w:t xml:space="preserve">aux </w:t>
      </w:r>
      <w:r w:rsidRPr="00B70950">
        <w:t>variation</w:t>
      </w:r>
      <w:r w:rsidR="00676DF2" w:rsidRPr="00B70950">
        <w:t>s</w:t>
      </w:r>
      <w:r w:rsidRPr="00B70950">
        <w:t xml:space="preserve"> du coût des </w:t>
      </w:r>
      <w:r w:rsidR="00676DF2" w:rsidRPr="00B70950">
        <w:t xml:space="preserve">congés </w:t>
      </w:r>
      <w:r w:rsidRPr="00B70950">
        <w:t>dans les foyers pour le personnel des catégories</w:t>
      </w:r>
      <w:r w:rsidR="00FB1328" w:rsidRPr="00B70950">
        <w:t> </w:t>
      </w:r>
      <w:r w:rsidRPr="00B70950">
        <w:t>P et </w:t>
      </w:r>
      <w:proofErr w:type="gramStart"/>
      <w:r w:rsidRPr="00B70950">
        <w:t>D;</w:t>
      </w:r>
      <w:proofErr w:type="gramEnd"/>
    </w:p>
    <w:p w:rsidR="00D429F6" w:rsidRPr="00B70950" w:rsidRDefault="00D429F6" w:rsidP="00F103FD">
      <w:pPr>
        <w:pStyle w:val="enumlev2"/>
        <w:keepNext/>
        <w:keepLines/>
      </w:pPr>
      <w:r w:rsidRPr="00B70950">
        <w:t>•</w:t>
      </w:r>
      <w:r w:rsidRPr="00B70950">
        <w:tab/>
        <w:t>à l'augmentation d</w:t>
      </w:r>
      <w:r w:rsidR="00676DF2" w:rsidRPr="00B70950">
        <w:t xml:space="preserve">e l'indemnité pour frais d'études </w:t>
      </w:r>
      <w:r w:rsidRPr="00B70950">
        <w:t>des enfants du personnel des catégories P et D).</w:t>
      </w:r>
    </w:p>
    <w:p w:rsidR="00D429F6" w:rsidRPr="00B70950" w:rsidRDefault="00D429F6" w:rsidP="007F1941">
      <w:pPr>
        <w:pStyle w:val="enumlev1"/>
      </w:pPr>
      <w:r w:rsidRPr="00B70950">
        <w:t>–</w:t>
      </w:r>
      <w:r w:rsidRPr="00B70950">
        <w:tab/>
        <w:t>Coûts de location et de maintenance des locaux occupés par l'Union</w:t>
      </w:r>
      <w:r w:rsidR="00676DF2" w:rsidRPr="00B70950">
        <w:t>, en fonction</w:t>
      </w:r>
      <w:r w:rsidRPr="00B70950">
        <w:t xml:space="preserve"> des conditions négociées avec le pays hôte.</w:t>
      </w:r>
    </w:p>
    <w:p w:rsidR="00D429F6" w:rsidRPr="00B70950" w:rsidRDefault="00D429F6" w:rsidP="007F1941">
      <w:pPr>
        <w:pStyle w:val="Headingb"/>
      </w:pPr>
      <w:r w:rsidRPr="00B70950">
        <w:t>d)</w:t>
      </w:r>
      <w:r w:rsidRPr="00B70950">
        <w:tab/>
        <w:t>Avenir des locaux de l'UIT en cas de relocalisation</w:t>
      </w:r>
    </w:p>
    <w:p w:rsidR="00D429F6" w:rsidRPr="00B70950" w:rsidRDefault="00D429F6" w:rsidP="00185E89">
      <w:pPr>
        <w:spacing w:after="120"/>
        <w:rPr>
          <w:szCs w:val="24"/>
        </w:rPr>
      </w:pPr>
      <w:r w:rsidRPr="00B70950">
        <w:rPr>
          <w:szCs w:val="24"/>
        </w:rPr>
        <w:t>8.21</w:t>
      </w:r>
      <w:r w:rsidRPr="00B70950">
        <w:rPr>
          <w:szCs w:val="24"/>
        </w:rPr>
        <w:tab/>
        <w:t>La valeur nette comptable de l'ensemble des bâtiments de l'Union au 31.12.2013 était de 108 millions CHF</w:t>
      </w:r>
      <w:r w:rsidR="00FB1328" w:rsidRPr="00B70950">
        <w:rPr>
          <w:szCs w:val="24"/>
        </w:rPr>
        <w:t>,</w:t>
      </w:r>
      <w:r w:rsidRPr="00B70950">
        <w:rPr>
          <w:szCs w:val="24"/>
        </w:rPr>
        <w:t xml:space="preserve"> dont une partie est encore financée par un emprunt </w:t>
      </w:r>
      <w:r w:rsidR="00676DF2" w:rsidRPr="00B70950">
        <w:rPr>
          <w:szCs w:val="24"/>
        </w:rPr>
        <w:t>auprès du pays hôte</w:t>
      </w:r>
      <w:r w:rsidRPr="00B70950">
        <w:rPr>
          <w:szCs w:val="24"/>
        </w:rPr>
        <w:t xml:space="preserve">, selon la répartition </w:t>
      </w:r>
      <w:proofErr w:type="gramStart"/>
      <w:r w:rsidRPr="00B70950">
        <w:rPr>
          <w:szCs w:val="24"/>
        </w:rPr>
        <w:t>suivante: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985"/>
        <w:gridCol w:w="1984"/>
        <w:gridCol w:w="1955"/>
      </w:tblGrid>
      <w:tr w:rsidR="00D429F6" w:rsidRPr="00B70950" w:rsidTr="00EA073B">
        <w:tc>
          <w:tcPr>
            <w:tcW w:w="1526" w:type="dxa"/>
          </w:tcPr>
          <w:p w:rsidR="00D429F6" w:rsidRPr="00B70950" w:rsidRDefault="00D429F6" w:rsidP="00185E89">
            <w:pPr>
              <w:pStyle w:val="Tablehead"/>
              <w:spacing w:before="40" w:after="40"/>
            </w:pPr>
            <w:r w:rsidRPr="00B70950">
              <w:t>Immeuble</w:t>
            </w:r>
          </w:p>
        </w:tc>
        <w:tc>
          <w:tcPr>
            <w:tcW w:w="2126" w:type="dxa"/>
          </w:tcPr>
          <w:p w:rsidR="00D429F6" w:rsidRPr="00B70950" w:rsidRDefault="00D429F6" w:rsidP="00185E89">
            <w:pPr>
              <w:pStyle w:val="Tablehead"/>
              <w:spacing w:before="40" w:after="40"/>
            </w:pPr>
            <w:r w:rsidRPr="00B70950">
              <w:t>Valeur nette comptable au 31.12.2013</w:t>
            </w:r>
            <w:r w:rsidR="00FB1328" w:rsidRPr="00B70950">
              <w:br/>
            </w:r>
          </w:p>
          <w:p w:rsidR="00D429F6" w:rsidRPr="00B70950" w:rsidRDefault="00D429F6" w:rsidP="00185E89">
            <w:pPr>
              <w:pStyle w:val="Tablehead"/>
              <w:spacing w:before="40" w:after="40"/>
            </w:pPr>
            <w:r w:rsidRPr="00B70950">
              <w:t>En milliers de CHF</w:t>
            </w:r>
          </w:p>
        </w:tc>
        <w:tc>
          <w:tcPr>
            <w:tcW w:w="1985" w:type="dxa"/>
          </w:tcPr>
          <w:p w:rsidR="00D429F6" w:rsidRPr="00B70950" w:rsidRDefault="00D429F6" w:rsidP="00185E89">
            <w:pPr>
              <w:pStyle w:val="Tablehead"/>
              <w:spacing w:before="40" w:after="40"/>
            </w:pPr>
            <w:r w:rsidRPr="00B70950">
              <w:t xml:space="preserve">Emprunts </w:t>
            </w:r>
            <w:r w:rsidR="00676DF2" w:rsidRPr="00B70950">
              <w:rPr>
                <w:szCs w:val="24"/>
              </w:rPr>
              <w:t>auprès du pays hôte,</w:t>
            </w:r>
            <w:r w:rsidR="00676DF2" w:rsidRPr="00B70950">
              <w:t xml:space="preserve"> </w:t>
            </w:r>
            <w:r w:rsidRPr="00B70950">
              <w:t xml:space="preserve">à rembourser au 31.12.2013 </w:t>
            </w:r>
          </w:p>
          <w:p w:rsidR="00D429F6" w:rsidRPr="00B70950" w:rsidRDefault="00D429F6" w:rsidP="00185E89">
            <w:pPr>
              <w:pStyle w:val="Tablehead"/>
              <w:spacing w:before="40" w:after="40"/>
            </w:pPr>
            <w:r w:rsidRPr="00B70950">
              <w:t>En milliers de CHF</w:t>
            </w:r>
          </w:p>
        </w:tc>
        <w:tc>
          <w:tcPr>
            <w:tcW w:w="1984" w:type="dxa"/>
          </w:tcPr>
          <w:p w:rsidR="00D429F6" w:rsidRPr="00B70950" w:rsidRDefault="00D429F6" w:rsidP="00185E89">
            <w:pPr>
              <w:pStyle w:val="Tablehead"/>
              <w:spacing w:before="40" w:after="40"/>
            </w:pPr>
            <w:r w:rsidRPr="00B70950">
              <w:t>Dates de fin de remboursement des prêts</w:t>
            </w:r>
          </w:p>
        </w:tc>
        <w:tc>
          <w:tcPr>
            <w:tcW w:w="1955" w:type="dxa"/>
          </w:tcPr>
          <w:p w:rsidR="00D429F6" w:rsidRPr="00B70950" w:rsidRDefault="00D429F6" w:rsidP="00185E89">
            <w:pPr>
              <w:pStyle w:val="Tablehead"/>
              <w:spacing w:before="40" w:after="40"/>
            </w:pPr>
            <w:r w:rsidRPr="00B70950">
              <w:t>Valeur locative annuelle estimée en 2010</w:t>
            </w:r>
            <w:r w:rsidR="00FB1328" w:rsidRPr="00B70950">
              <w:br/>
            </w:r>
          </w:p>
          <w:p w:rsidR="00D429F6" w:rsidRPr="00B70950" w:rsidRDefault="00D429F6" w:rsidP="00185E89">
            <w:pPr>
              <w:pStyle w:val="Tablehead"/>
              <w:spacing w:before="40" w:after="40"/>
            </w:pPr>
            <w:r w:rsidRPr="00B70950">
              <w:t>En milliers de CHF</w:t>
            </w:r>
          </w:p>
        </w:tc>
      </w:tr>
      <w:tr w:rsidR="00D429F6" w:rsidRPr="00B70950" w:rsidTr="00EA073B">
        <w:tc>
          <w:tcPr>
            <w:tcW w:w="1526" w:type="dxa"/>
          </w:tcPr>
          <w:p w:rsidR="00D429F6" w:rsidRPr="00B70950" w:rsidRDefault="00D429F6" w:rsidP="00185E89">
            <w:pPr>
              <w:spacing w:before="40" w:after="40"/>
              <w:rPr>
                <w:sz w:val="22"/>
                <w:szCs w:val="22"/>
              </w:rPr>
            </w:pPr>
            <w:r w:rsidRPr="00B70950">
              <w:rPr>
                <w:sz w:val="22"/>
                <w:szCs w:val="22"/>
              </w:rPr>
              <w:t xml:space="preserve">Varembé </w:t>
            </w:r>
          </w:p>
        </w:tc>
        <w:tc>
          <w:tcPr>
            <w:tcW w:w="2126" w:type="dxa"/>
          </w:tcPr>
          <w:p w:rsidR="00D429F6" w:rsidRPr="00B70950" w:rsidRDefault="00D429F6" w:rsidP="00185E89">
            <w:pPr>
              <w:spacing w:before="40" w:after="40"/>
              <w:jc w:val="center"/>
              <w:rPr>
                <w:sz w:val="22"/>
                <w:szCs w:val="22"/>
              </w:rPr>
            </w:pPr>
            <w:r w:rsidRPr="00B70950">
              <w:rPr>
                <w:sz w:val="22"/>
                <w:szCs w:val="22"/>
              </w:rPr>
              <w:t>12 996</w:t>
            </w:r>
          </w:p>
        </w:tc>
        <w:tc>
          <w:tcPr>
            <w:tcW w:w="1985" w:type="dxa"/>
          </w:tcPr>
          <w:p w:rsidR="00D429F6" w:rsidRPr="00B70950" w:rsidRDefault="00D429F6" w:rsidP="00185E89">
            <w:pPr>
              <w:spacing w:before="40" w:after="40"/>
              <w:jc w:val="center"/>
              <w:rPr>
                <w:sz w:val="22"/>
                <w:szCs w:val="22"/>
              </w:rPr>
            </w:pPr>
            <w:r w:rsidRPr="00B70950">
              <w:rPr>
                <w:sz w:val="22"/>
                <w:szCs w:val="22"/>
              </w:rPr>
              <w:t>–</w:t>
            </w:r>
          </w:p>
        </w:tc>
        <w:tc>
          <w:tcPr>
            <w:tcW w:w="1984" w:type="dxa"/>
          </w:tcPr>
          <w:p w:rsidR="00D429F6" w:rsidRPr="00B70950" w:rsidRDefault="00D429F6" w:rsidP="00185E89">
            <w:pPr>
              <w:spacing w:before="40" w:after="40"/>
              <w:jc w:val="center"/>
              <w:rPr>
                <w:sz w:val="22"/>
                <w:szCs w:val="22"/>
              </w:rPr>
            </w:pPr>
            <w:r w:rsidRPr="00B70950">
              <w:rPr>
                <w:sz w:val="22"/>
                <w:szCs w:val="22"/>
              </w:rPr>
              <w:t>–</w:t>
            </w:r>
          </w:p>
        </w:tc>
        <w:tc>
          <w:tcPr>
            <w:tcW w:w="1955" w:type="dxa"/>
          </w:tcPr>
          <w:p w:rsidR="00D429F6" w:rsidRPr="00B70950" w:rsidRDefault="00D429F6" w:rsidP="00185E89">
            <w:pPr>
              <w:spacing w:before="40" w:after="40"/>
              <w:jc w:val="center"/>
              <w:rPr>
                <w:sz w:val="22"/>
                <w:szCs w:val="22"/>
              </w:rPr>
            </w:pPr>
            <w:r w:rsidRPr="00B70950">
              <w:rPr>
                <w:sz w:val="22"/>
                <w:szCs w:val="22"/>
              </w:rPr>
              <w:t>5 470</w:t>
            </w:r>
          </w:p>
        </w:tc>
      </w:tr>
      <w:tr w:rsidR="00D429F6" w:rsidRPr="00B70950" w:rsidTr="00EA073B">
        <w:tc>
          <w:tcPr>
            <w:tcW w:w="1526" w:type="dxa"/>
          </w:tcPr>
          <w:p w:rsidR="00D429F6" w:rsidRPr="00B70950" w:rsidRDefault="00D429F6" w:rsidP="00185E89">
            <w:pPr>
              <w:spacing w:before="40" w:after="40"/>
              <w:rPr>
                <w:sz w:val="22"/>
                <w:szCs w:val="22"/>
              </w:rPr>
            </w:pPr>
            <w:r w:rsidRPr="00B70950">
              <w:rPr>
                <w:sz w:val="22"/>
                <w:szCs w:val="22"/>
              </w:rPr>
              <w:t>Tour et sous</w:t>
            </w:r>
            <w:r w:rsidRPr="00B70950">
              <w:rPr>
                <w:sz w:val="22"/>
                <w:szCs w:val="22"/>
              </w:rPr>
              <w:noBreakHyphen/>
              <w:t>sols</w:t>
            </w:r>
          </w:p>
        </w:tc>
        <w:tc>
          <w:tcPr>
            <w:tcW w:w="2126" w:type="dxa"/>
          </w:tcPr>
          <w:p w:rsidR="00D429F6" w:rsidRPr="00B70950" w:rsidRDefault="00D429F6" w:rsidP="00185E89">
            <w:pPr>
              <w:spacing w:before="40" w:after="40"/>
              <w:jc w:val="center"/>
              <w:rPr>
                <w:sz w:val="22"/>
                <w:szCs w:val="22"/>
              </w:rPr>
            </w:pPr>
            <w:r w:rsidRPr="00B70950">
              <w:rPr>
                <w:sz w:val="22"/>
                <w:szCs w:val="22"/>
              </w:rPr>
              <w:t>41 494</w:t>
            </w:r>
          </w:p>
        </w:tc>
        <w:tc>
          <w:tcPr>
            <w:tcW w:w="1985" w:type="dxa"/>
          </w:tcPr>
          <w:p w:rsidR="00D429F6" w:rsidRPr="00B70950" w:rsidRDefault="00D429F6" w:rsidP="00185E89">
            <w:pPr>
              <w:spacing w:before="40" w:after="40"/>
              <w:jc w:val="center"/>
              <w:rPr>
                <w:sz w:val="22"/>
                <w:szCs w:val="22"/>
              </w:rPr>
            </w:pPr>
            <w:r w:rsidRPr="00B70950">
              <w:rPr>
                <w:sz w:val="22"/>
                <w:szCs w:val="22"/>
              </w:rPr>
              <w:t>12 227</w:t>
            </w:r>
          </w:p>
        </w:tc>
        <w:tc>
          <w:tcPr>
            <w:tcW w:w="1984" w:type="dxa"/>
          </w:tcPr>
          <w:p w:rsidR="00D429F6" w:rsidRPr="00B70950" w:rsidRDefault="00D429F6" w:rsidP="00185E89">
            <w:pPr>
              <w:spacing w:before="40" w:after="40"/>
              <w:jc w:val="center"/>
              <w:rPr>
                <w:sz w:val="22"/>
                <w:szCs w:val="22"/>
              </w:rPr>
            </w:pPr>
            <w:r w:rsidRPr="00B70950">
              <w:rPr>
                <w:sz w:val="22"/>
                <w:szCs w:val="22"/>
              </w:rPr>
              <w:t>2039</w:t>
            </w:r>
          </w:p>
        </w:tc>
        <w:tc>
          <w:tcPr>
            <w:tcW w:w="1955" w:type="dxa"/>
          </w:tcPr>
          <w:p w:rsidR="00D429F6" w:rsidRPr="00B70950" w:rsidRDefault="00D429F6" w:rsidP="00185E89">
            <w:pPr>
              <w:spacing w:before="40" w:after="40"/>
              <w:jc w:val="center"/>
              <w:rPr>
                <w:sz w:val="22"/>
                <w:szCs w:val="22"/>
              </w:rPr>
            </w:pPr>
            <w:r w:rsidRPr="00B70950">
              <w:rPr>
                <w:sz w:val="22"/>
                <w:szCs w:val="22"/>
              </w:rPr>
              <w:t>3 677</w:t>
            </w:r>
          </w:p>
        </w:tc>
      </w:tr>
      <w:tr w:rsidR="00D429F6" w:rsidRPr="00B70950" w:rsidTr="00EA073B">
        <w:tc>
          <w:tcPr>
            <w:tcW w:w="1526" w:type="dxa"/>
          </w:tcPr>
          <w:p w:rsidR="00D429F6" w:rsidRPr="00B70950" w:rsidRDefault="00D429F6" w:rsidP="00185E89">
            <w:pPr>
              <w:spacing w:before="40" w:after="40"/>
              <w:rPr>
                <w:sz w:val="22"/>
                <w:szCs w:val="22"/>
              </w:rPr>
            </w:pPr>
            <w:proofErr w:type="spellStart"/>
            <w:r w:rsidRPr="00B70950">
              <w:rPr>
                <w:sz w:val="22"/>
                <w:szCs w:val="22"/>
              </w:rPr>
              <w:t>Montbrillant</w:t>
            </w:r>
            <w:proofErr w:type="spellEnd"/>
          </w:p>
        </w:tc>
        <w:tc>
          <w:tcPr>
            <w:tcW w:w="2126" w:type="dxa"/>
          </w:tcPr>
          <w:p w:rsidR="00D429F6" w:rsidRPr="00B70950" w:rsidRDefault="00D429F6" w:rsidP="00185E89">
            <w:pPr>
              <w:spacing w:before="40" w:after="40"/>
              <w:jc w:val="center"/>
              <w:rPr>
                <w:sz w:val="22"/>
                <w:szCs w:val="22"/>
              </w:rPr>
            </w:pPr>
            <w:r w:rsidRPr="00B70950">
              <w:rPr>
                <w:sz w:val="22"/>
                <w:szCs w:val="22"/>
              </w:rPr>
              <w:t>45 221</w:t>
            </w:r>
          </w:p>
        </w:tc>
        <w:tc>
          <w:tcPr>
            <w:tcW w:w="1985" w:type="dxa"/>
          </w:tcPr>
          <w:p w:rsidR="00D429F6" w:rsidRPr="00B70950" w:rsidRDefault="00D429F6" w:rsidP="00185E89">
            <w:pPr>
              <w:spacing w:before="40" w:after="40"/>
              <w:jc w:val="center"/>
              <w:rPr>
                <w:sz w:val="22"/>
                <w:szCs w:val="22"/>
              </w:rPr>
            </w:pPr>
            <w:r w:rsidRPr="00B70950">
              <w:rPr>
                <w:sz w:val="22"/>
                <w:szCs w:val="22"/>
              </w:rPr>
              <w:t>34 525</w:t>
            </w:r>
          </w:p>
        </w:tc>
        <w:tc>
          <w:tcPr>
            <w:tcW w:w="1984" w:type="dxa"/>
          </w:tcPr>
          <w:p w:rsidR="00D429F6" w:rsidRPr="00B70950" w:rsidRDefault="00D429F6" w:rsidP="00185E89">
            <w:pPr>
              <w:spacing w:before="40" w:after="40"/>
              <w:jc w:val="center"/>
              <w:rPr>
                <w:sz w:val="22"/>
                <w:szCs w:val="22"/>
              </w:rPr>
            </w:pPr>
            <w:r w:rsidRPr="00B70950">
              <w:rPr>
                <w:sz w:val="22"/>
                <w:szCs w:val="22"/>
              </w:rPr>
              <w:t>2051</w:t>
            </w:r>
          </w:p>
        </w:tc>
        <w:tc>
          <w:tcPr>
            <w:tcW w:w="1955" w:type="dxa"/>
          </w:tcPr>
          <w:p w:rsidR="00D429F6" w:rsidRPr="00B70950" w:rsidRDefault="00D429F6" w:rsidP="00185E89">
            <w:pPr>
              <w:spacing w:before="40" w:after="40"/>
              <w:jc w:val="center"/>
              <w:rPr>
                <w:sz w:val="22"/>
                <w:szCs w:val="22"/>
              </w:rPr>
            </w:pPr>
            <w:r w:rsidRPr="00B70950">
              <w:rPr>
                <w:sz w:val="22"/>
                <w:szCs w:val="22"/>
              </w:rPr>
              <w:t>4 527</w:t>
            </w:r>
          </w:p>
        </w:tc>
      </w:tr>
      <w:tr w:rsidR="00D429F6" w:rsidRPr="00B70950" w:rsidTr="00EA073B">
        <w:tc>
          <w:tcPr>
            <w:tcW w:w="1526" w:type="dxa"/>
          </w:tcPr>
          <w:p w:rsidR="00D429F6" w:rsidRPr="00B70950" w:rsidRDefault="00D429F6" w:rsidP="00185E89">
            <w:pPr>
              <w:spacing w:before="40" w:after="40"/>
              <w:rPr>
                <w:sz w:val="22"/>
                <w:szCs w:val="22"/>
              </w:rPr>
            </w:pPr>
            <w:r w:rsidRPr="00B70950">
              <w:rPr>
                <w:sz w:val="22"/>
                <w:szCs w:val="22"/>
              </w:rPr>
              <w:t>Cafétéria</w:t>
            </w:r>
          </w:p>
        </w:tc>
        <w:tc>
          <w:tcPr>
            <w:tcW w:w="2126" w:type="dxa"/>
          </w:tcPr>
          <w:p w:rsidR="00D429F6" w:rsidRPr="00B70950" w:rsidRDefault="00D429F6" w:rsidP="00185E89">
            <w:pPr>
              <w:spacing w:before="40" w:after="40"/>
              <w:jc w:val="center"/>
              <w:rPr>
                <w:sz w:val="22"/>
                <w:szCs w:val="22"/>
              </w:rPr>
            </w:pPr>
            <w:r w:rsidRPr="00B70950">
              <w:rPr>
                <w:sz w:val="22"/>
                <w:szCs w:val="22"/>
              </w:rPr>
              <w:t>8 935</w:t>
            </w:r>
          </w:p>
        </w:tc>
        <w:tc>
          <w:tcPr>
            <w:tcW w:w="1985" w:type="dxa"/>
          </w:tcPr>
          <w:p w:rsidR="00D429F6" w:rsidRPr="00B70950" w:rsidRDefault="00D429F6" w:rsidP="00185E89">
            <w:pPr>
              <w:spacing w:before="40" w:after="40"/>
              <w:jc w:val="center"/>
              <w:rPr>
                <w:sz w:val="22"/>
                <w:szCs w:val="22"/>
              </w:rPr>
            </w:pPr>
            <w:r w:rsidRPr="00B70950">
              <w:rPr>
                <w:sz w:val="22"/>
                <w:szCs w:val="22"/>
              </w:rPr>
              <w:t>1 520</w:t>
            </w:r>
          </w:p>
        </w:tc>
        <w:tc>
          <w:tcPr>
            <w:tcW w:w="1984" w:type="dxa"/>
          </w:tcPr>
          <w:p w:rsidR="00D429F6" w:rsidRPr="00B70950" w:rsidRDefault="00D429F6" w:rsidP="00185E89">
            <w:pPr>
              <w:spacing w:before="40" w:after="40"/>
              <w:jc w:val="center"/>
              <w:rPr>
                <w:sz w:val="22"/>
                <w:szCs w:val="22"/>
              </w:rPr>
            </w:pPr>
            <w:r w:rsidRPr="00B70950">
              <w:rPr>
                <w:sz w:val="22"/>
                <w:szCs w:val="22"/>
              </w:rPr>
              <w:t>2051</w:t>
            </w:r>
          </w:p>
        </w:tc>
        <w:tc>
          <w:tcPr>
            <w:tcW w:w="1955" w:type="dxa"/>
          </w:tcPr>
          <w:p w:rsidR="00D429F6" w:rsidRPr="00B70950" w:rsidRDefault="00D429F6" w:rsidP="00185E89">
            <w:pPr>
              <w:spacing w:before="40" w:after="40"/>
              <w:jc w:val="center"/>
              <w:rPr>
                <w:sz w:val="22"/>
                <w:szCs w:val="22"/>
              </w:rPr>
            </w:pPr>
            <w:r w:rsidRPr="00B70950">
              <w:rPr>
                <w:sz w:val="22"/>
                <w:szCs w:val="22"/>
              </w:rPr>
              <w:t>445</w:t>
            </w:r>
          </w:p>
        </w:tc>
      </w:tr>
      <w:tr w:rsidR="00D429F6" w:rsidRPr="00B70950" w:rsidTr="00EA073B">
        <w:tc>
          <w:tcPr>
            <w:tcW w:w="1526" w:type="dxa"/>
          </w:tcPr>
          <w:p w:rsidR="00D429F6" w:rsidRPr="00B70950" w:rsidRDefault="00D429F6" w:rsidP="00185E89">
            <w:pPr>
              <w:spacing w:before="40" w:after="40"/>
              <w:rPr>
                <w:b/>
                <w:bCs/>
                <w:sz w:val="22"/>
                <w:szCs w:val="22"/>
              </w:rPr>
            </w:pPr>
            <w:r w:rsidRPr="00B70950">
              <w:rPr>
                <w:b/>
                <w:bCs/>
                <w:sz w:val="22"/>
                <w:szCs w:val="22"/>
              </w:rPr>
              <w:t>Total</w:t>
            </w:r>
          </w:p>
        </w:tc>
        <w:tc>
          <w:tcPr>
            <w:tcW w:w="2126" w:type="dxa"/>
          </w:tcPr>
          <w:p w:rsidR="00D429F6" w:rsidRPr="00B70950" w:rsidRDefault="00D429F6" w:rsidP="00185E89">
            <w:pPr>
              <w:spacing w:before="40" w:after="40"/>
              <w:jc w:val="center"/>
              <w:rPr>
                <w:b/>
                <w:bCs/>
                <w:sz w:val="22"/>
                <w:szCs w:val="22"/>
              </w:rPr>
            </w:pPr>
            <w:r w:rsidRPr="00B70950">
              <w:rPr>
                <w:b/>
                <w:bCs/>
                <w:sz w:val="22"/>
                <w:szCs w:val="22"/>
              </w:rPr>
              <w:t>108 646</w:t>
            </w:r>
          </w:p>
        </w:tc>
        <w:tc>
          <w:tcPr>
            <w:tcW w:w="1985" w:type="dxa"/>
          </w:tcPr>
          <w:p w:rsidR="00D429F6" w:rsidRPr="00B70950" w:rsidRDefault="00D429F6" w:rsidP="00185E89">
            <w:pPr>
              <w:spacing w:before="40" w:after="40"/>
              <w:jc w:val="center"/>
              <w:rPr>
                <w:b/>
                <w:bCs/>
                <w:sz w:val="22"/>
                <w:szCs w:val="22"/>
              </w:rPr>
            </w:pPr>
            <w:r w:rsidRPr="00B70950">
              <w:rPr>
                <w:b/>
                <w:bCs/>
                <w:sz w:val="22"/>
                <w:szCs w:val="22"/>
              </w:rPr>
              <w:t>48 273</w:t>
            </w:r>
          </w:p>
        </w:tc>
        <w:tc>
          <w:tcPr>
            <w:tcW w:w="1984" w:type="dxa"/>
          </w:tcPr>
          <w:p w:rsidR="00D429F6" w:rsidRPr="00B70950" w:rsidRDefault="00D429F6" w:rsidP="00185E89">
            <w:pPr>
              <w:spacing w:before="40" w:after="40"/>
              <w:jc w:val="center"/>
              <w:rPr>
                <w:b/>
                <w:bCs/>
                <w:sz w:val="22"/>
                <w:szCs w:val="22"/>
              </w:rPr>
            </w:pPr>
          </w:p>
        </w:tc>
        <w:tc>
          <w:tcPr>
            <w:tcW w:w="1955" w:type="dxa"/>
          </w:tcPr>
          <w:p w:rsidR="00D429F6" w:rsidRPr="00B70950" w:rsidRDefault="00D429F6" w:rsidP="00185E89">
            <w:pPr>
              <w:spacing w:before="40" w:after="40"/>
              <w:jc w:val="center"/>
              <w:rPr>
                <w:b/>
                <w:bCs/>
                <w:sz w:val="22"/>
                <w:szCs w:val="22"/>
              </w:rPr>
            </w:pPr>
            <w:r w:rsidRPr="00B70950">
              <w:rPr>
                <w:b/>
                <w:bCs/>
                <w:sz w:val="22"/>
                <w:szCs w:val="22"/>
              </w:rPr>
              <w:t>14 120</w:t>
            </w:r>
          </w:p>
        </w:tc>
      </w:tr>
    </w:tbl>
    <w:p w:rsidR="00D429F6" w:rsidRPr="00B70950" w:rsidRDefault="00D429F6" w:rsidP="00185E89">
      <w:pPr>
        <w:spacing w:before="240"/>
        <w:rPr>
          <w:i/>
          <w:szCs w:val="24"/>
        </w:rPr>
      </w:pPr>
      <w:r w:rsidRPr="00B70950">
        <w:rPr>
          <w:i/>
          <w:szCs w:val="24"/>
        </w:rPr>
        <w:t>L</w:t>
      </w:r>
      <w:r w:rsidR="00126B99" w:rsidRPr="00B70950">
        <w:rPr>
          <w:i/>
          <w:szCs w:val="24"/>
        </w:rPr>
        <w:t>'</w:t>
      </w:r>
      <w:r w:rsidRPr="00B70950">
        <w:rPr>
          <w:i/>
          <w:szCs w:val="24"/>
        </w:rPr>
        <w:t>extension C désigne l</w:t>
      </w:r>
      <w:r w:rsidR="00126B99" w:rsidRPr="00B70950">
        <w:rPr>
          <w:i/>
          <w:szCs w:val="24"/>
        </w:rPr>
        <w:t>'</w:t>
      </w:r>
      <w:r w:rsidRPr="00B70950">
        <w:rPr>
          <w:i/>
          <w:szCs w:val="24"/>
        </w:rPr>
        <w:t xml:space="preserve">ensemble des constructions reliant Varembé et </w:t>
      </w:r>
      <w:proofErr w:type="spellStart"/>
      <w:r w:rsidRPr="00B70950">
        <w:rPr>
          <w:i/>
          <w:szCs w:val="24"/>
        </w:rPr>
        <w:t>Montbrillant</w:t>
      </w:r>
      <w:proofErr w:type="spellEnd"/>
      <w:r w:rsidRPr="00B70950">
        <w:rPr>
          <w:i/>
          <w:szCs w:val="24"/>
        </w:rPr>
        <w:t>.</w:t>
      </w:r>
    </w:p>
    <w:p w:rsidR="00D429F6" w:rsidRPr="00B70950" w:rsidRDefault="00D429F6" w:rsidP="00CC4FF1">
      <w:pPr>
        <w:rPr>
          <w:szCs w:val="24"/>
        </w:rPr>
      </w:pPr>
      <w:r w:rsidRPr="00B70950">
        <w:rPr>
          <w:szCs w:val="24"/>
        </w:rPr>
        <w:t>8.22</w:t>
      </w:r>
      <w:r w:rsidRPr="00B70950">
        <w:rPr>
          <w:szCs w:val="24"/>
        </w:rPr>
        <w:tab/>
      </w:r>
      <w:r w:rsidR="00676DF2" w:rsidRPr="00B70950">
        <w:rPr>
          <w:szCs w:val="24"/>
        </w:rPr>
        <w:t>Au</w:t>
      </w:r>
      <w:r w:rsidRPr="00B70950">
        <w:rPr>
          <w:szCs w:val="24"/>
        </w:rPr>
        <w:t xml:space="preserve"> cas </w:t>
      </w:r>
      <w:r w:rsidR="00676DF2" w:rsidRPr="00B70950">
        <w:rPr>
          <w:szCs w:val="24"/>
        </w:rPr>
        <w:t xml:space="preserve">où l'UIT quitterait </w:t>
      </w:r>
      <w:r w:rsidRPr="00B70950">
        <w:rPr>
          <w:szCs w:val="24"/>
        </w:rPr>
        <w:t xml:space="preserve">Genève, le scénario le plus probable serait la cession du droit de superficie et la vente des bâtiments à un tiers sous réserve du droit légal de préemption dont jouit l'Etat de Genève et de la reprise des bâtiments par un acquéreur au bénéfice d'un statut juridique identique ou similaire à celui de l'Union (voir la partie juridique </w:t>
      </w:r>
      <w:r w:rsidR="00676DF2" w:rsidRPr="00B70950">
        <w:rPr>
          <w:szCs w:val="24"/>
        </w:rPr>
        <w:t xml:space="preserve">au </w:t>
      </w:r>
      <w:r w:rsidR="00CC4FF1" w:rsidRPr="00B70950">
        <w:rPr>
          <w:szCs w:val="24"/>
        </w:rPr>
        <w:t>§</w:t>
      </w:r>
      <w:r w:rsidRPr="00B70950">
        <w:rPr>
          <w:szCs w:val="24"/>
        </w:rPr>
        <w:t xml:space="preserve"> 8.</w:t>
      </w:r>
      <w:r w:rsidR="00FB1328" w:rsidRPr="00B70950">
        <w:rPr>
          <w:szCs w:val="24"/>
        </w:rPr>
        <w:t>4.4</w:t>
      </w:r>
      <w:r w:rsidRPr="00B70950">
        <w:rPr>
          <w:szCs w:val="24"/>
        </w:rPr>
        <w:t>).</w:t>
      </w:r>
    </w:p>
    <w:p w:rsidR="00D429F6" w:rsidRPr="00B70950" w:rsidRDefault="00D429F6" w:rsidP="007F1941">
      <w:pPr>
        <w:rPr>
          <w:szCs w:val="24"/>
        </w:rPr>
      </w:pPr>
      <w:r w:rsidRPr="00B70950">
        <w:rPr>
          <w:szCs w:val="24"/>
        </w:rPr>
        <w:t>8.23</w:t>
      </w:r>
      <w:r w:rsidRPr="00B70950">
        <w:rPr>
          <w:szCs w:val="24"/>
        </w:rPr>
        <w:tab/>
        <w:t>Au cas où une telle transaction aurait lieu, il convien</w:t>
      </w:r>
      <w:r w:rsidR="00676DF2" w:rsidRPr="00B70950">
        <w:rPr>
          <w:szCs w:val="24"/>
        </w:rPr>
        <w:t>drai</w:t>
      </w:r>
      <w:r w:rsidRPr="00B70950">
        <w:rPr>
          <w:szCs w:val="24"/>
        </w:rPr>
        <w:t>t de prendre en compte le fait que l</w:t>
      </w:r>
      <w:r w:rsidR="00126B99" w:rsidRPr="00B70950">
        <w:rPr>
          <w:szCs w:val="24"/>
        </w:rPr>
        <w:t>'</w:t>
      </w:r>
      <w:r w:rsidRPr="00B70950">
        <w:rPr>
          <w:szCs w:val="24"/>
        </w:rPr>
        <w:t>UIT a reçu plusieurs prêts de la part du pays hôte pour la construction et la rénovation de ses locaux, prêts dont les périodes de remboursement par annuités doivent prendre fin en 2039 et 2051. Au </w:t>
      </w:r>
      <w:r w:rsidR="00676DF2" w:rsidRPr="00B70950">
        <w:rPr>
          <w:szCs w:val="24"/>
        </w:rPr>
        <w:t>31 d</w:t>
      </w:r>
      <w:r w:rsidRPr="00B70950">
        <w:rPr>
          <w:szCs w:val="24"/>
        </w:rPr>
        <w:t>écembre 2013, le total des prêts restant à rembourser au pays hôte était de 48,3</w:t>
      </w:r>
      <w:r w:rsidR="00676DF2" w:rsidRPr="00B70950">
        <w:rPr>
          <w:szCs w:val="24"/>
        </w:rPr>
        <w:t> </w:t>
      </w:r>
      <w:r w:rsidRPr="00B70950">
        <w:rPr>
          <w:szCs w:val="24"/>
        </w:rPr>
        <w:t>millions CHF. L'Union rembourse ce prêt à taux zéro à raison de versements d</w:t>
      </w:r>
      <w:r w:rsidR="00126B99" w:rsidRPr="00B70950">
        <w:rPr>
          <w:szCs w:val="24"/>
        </w:rPr>
        <w:t>'</w:t>
      </w:r>
      <w:r w:rsidRPr="00B70950">
        <w:rPr>
          <w:szCs w:val="24"/>
        </w:rPr>
        <w:t>environ 1,5 million CHF par an. La vente des bâtiments du siège de l</w:t>
      </w:r>
      <w:r w:rsidR="00126B99" w:rsidRPr="00B70950">
        <w:rPr>
          <w:szCs w:val="24"/>
        </w:rPr>
        <w:t>'</w:t>
      </w:r>
      <w:r w:rsidRPr="00B70950">
        <w:rPr>
          <w:szCs w:val="24"/>
        </w:rPr>
        <w:t>Union entraînerait un revenu net pour l'Union. Le montant résiduel des prêts à rembourser au pays hôte serait déduit des recettes tirées de cette vente.</w:t>
      </w:r>
    </w:p>
    <w:p w:rsidR="00D429F6" w:rsidRPr="00B70950" w:rsidRDefault="00D429F6" w:rsidP="007F1941">
      <w:pPr>
        <w:rPr>
          <w:szCs w:val="24"/>
        </w:rPr>
      </w:pPr>
      <w:r w:rsidRPr="00B70950">
        <w:rPr>
          <w:szCs w:val="24"/>
        </w:rPr>
        <w:t>8.24</w:t>
      </w:r>
      <w:r w:rsidRPr="00B70950">
        <w:rPr>
          <w:szCs w:val="24"/>
        </w:rPr>
        <w:tab/>
        <w:t xml:space="preserve">En cas de location, la valeur locative annuelle estimée dans le rapport d'expertise des </w:t>
      </w:r>
      <w:r w:rsidR="00676DF2" w:rsidRPr="00B70950">
        <w:rPr>
          <w:szCs w:val="24"/>
        </w:rPr>
        <w:t>b</w:t>
      </w:r>
      <w:r w:rsidRPr="00B70950">
        <w:rPr>
          <w:szCs w:val="24"/>
        </w:rPr>
        <w:t>âtiments de l'UIT réalisé par la Société Acanthe en 2010 se monte</w:t>
      </w:r>
      <w:r w:rsidR="00676DF2" w:rsidRPr="00B70950">
        <w:rPr>
          <w:szCs w:val="24"/>
        </w:rPr>
        <w:t>rait</w:t>
      </w:r>
      <w:r w:rsidRPr="00B70950">
        <w:rPr>
          <w:szCs w:val="24"/>
        </w:rPr>
        <w:t xml:space="preserve"> à un total de 14,1</w:t>
      </w:r>
      <w:r w:rsidR="00FB1328" w:rsidRPr="00B70950">
        <w:rPr>
          <w:szCs w:val="24"/>
        </w:rPr>
        <w:t> </w:t>
      </w:r>
      <w:r w:rsidRPr="00B70950">
        <w:rPr>
          <w:szCs w:val="24"/>
        </w:rPr>
        <w:t>millions CHF pour la location de l'ensemble des bâtiments dans l</w:t>
      </w:r>
      <w:r w:rsidR="00676DF2" w:rsidRPr="00B70950">
        <w:rPr>
          <w:szCs w:val="24"/>
        </w:rPr>
        <w:t xml:space="preserve">eur </w:t>
      </w:r>
      <w:r w:rsidRPr="00B70950">
        <w:rPr>
          <w:szCs w:val="24"/>
        </w:rPr>
        <w:t>état actuel. Pour pouvoir louer nos locaux au prix du marché</w:t>
      </w:r>
      <w:r w:rsidR="00676DF2" w:rsidRPr="00B70950">
        <w:rPr>
          <w:szCs w:val="24"/>
        </w:rPr>
        <w:t>,</w:t>
      </w:r>
      <w:r w:rsidRPr="00B70950">
        <w:rPr>
          <w:szCs w:val="24"/>
        </w:rPr>
        <w:t xml:space="preserve"> des améliorations ser</w:t>
      </w:r>
      <w:r w:rsidR="00676DF2" w:rsidRPr="00B70950">
        <w:rPr>
          <w:szCs w:val="24"/>
        </w:rPr>
        <w:t>aie</w:t>
      </w:r>
      <w:r w:rsidRPr="00B70950">
        <w:rPr>
          <w:szCs w:val="24"/>
        </w:rPr>
        <w:t>nt nécessaires. Ces améliorations nécessiter</w:t>
      </w:r>
      <w:r w:rsidR="00676DF2" w:rsidRPr="00B70950">
        <w:rPr>
          <w:szCs w:val="24"/>
        </w:rPr>
        <w:t>aie</w:t>
      </w:r>
      <w:r w:rsidRPr="00B70950">
        <w:rPr>
          <w:szCs w:val="24"/>
        </w:rPr>
        <w:t>nt un coût supplémentaire qu'il faudra</w:t>
      </w:r>
      <w:r w:rsidR="00676DF2" w:rsidRPr="00B70950">
        <w:rPr>
          <w:szCs w:val="24"/>
        </w:rPr>
        <w:t>it</w:t>
      </w:r>
      <w:r w:rsidRPr="00B70950">
        <w:rPr>
          <w:szCs w:val="24"/>
        </w:rPr>
        <w:t xml:space="preserve"> prendre en considération.</w:t>
      </w:r>
    </w:p>
    <w:p w:rsidR="00D429F6" w:rsidRPr="00B70950" w:rsidRDefault="00D429F6" w:rsidP="00F103FD">
      <w:pPr>
        <w:pStyle w:val="Heading1"/>
      </w:pPr>
      <w:r w:rsidRPr="00B70950">
        <w:lastRenderedPageBreak/>
        <w:t>B</w:t>
      </w:r>
      <w:r w:rsidRPr="00B70950">
        <w:tab/>
        <w:t>Planification de l</w:t>
      </w:r>
      <w:r w:rsidR="00126B99" w:rsidRPr="00B70950">
        <w:t>'</w:t>
      </w:r>
      <w:r w:rsidRPr="00B70950">
        <w:t>exécution du projet</w:t>
      </w:r>
    </w:p>
    <w:p w:rsidR="00D429F6" w:rsidRPr="00B70950" w:rsidRDefault="00D429F6" w:rsidP="00F103FD">
      <w:pPr>
        <w:keepNext/>
        <w:keepLines/>
        <w:rPr>
          <w:szCs w:val="24"/>
        </w:rPr>
      </w:pPr>
      <w:r w:rsidRPr="00B70950">
        <w:rPr>
          <w:szCs w:val="24"/>
        </w:rPr>
        <w:t>8.25</w:t>
      </w:r>
      <w:r w:rsidRPr="00B70950">
        <w:rPr>
          <w:szCs w:val="24"/>
        </w:rPr>
        <w:tab/>
      </w:r>
      <w:r w:rsidR="00AE2FCD" w:rsidRPr="00B70950">
        <w:rPr>
          <w:szCs w:val="24"/>
        </w:rPr>
        <w:t>Si la PP-14 se prononçait en faveur de l'option "Relocalisation",</w:t>
      </w:r>
      <w:r w:rsidRPr="00B70950">
        <w:rPr>
          <w:szCs w:val="24"/>
        </w:rPr>
        <w:t xml:space="preserve"> ce projet </w:t>
      </w:r>
      <w:r w:rsidR="00C31222" w:rsidRPr="00B70950">
        <w:rPr>
          <w:szCs w:val="24"/>
        </w:rPr>
        <w:t xml:space="preserve">pourrait être mené à bien </w:t>
      </w:r>
      <w:r w:rsidRPr="00B70950">
        <w:rPr>
          <w:szCs w:val="24"/>
        </w:rPr>
        <w:t xml:space="preserve">pendant la </w:t>
      </w:r>
      <w:r w:rsidR="00C31222" w:rsidRPr="00B70950">
        <w:rPr>
          <w:szCs w:val="24"/>
        </w:rPr>
        <w:t xml:space="preserve">période couverte par le </w:t>
      </w:r>
      <w:r w:rsidRPr="00B70950">
        <w:rPr>
          <w:szCs w:val="24"/>
        </w:rPr>
        <w:t xml:space="preserve">Plan financier </w:t>
      </w:r>
      <w:r w:rsidR="00C31222" w:rsidRPr="00B70950">
        <w:rPr>
          <w:szCs w:val="24"/>
        </w:rPr>
        <w:t xml:space="preserve">pour </w:t>
      </w:r>
      <w:r w:rsidRPr="00B70950">
        <w:rPr>
          <w:szCs w:val="24"/>
        </w:rPr>
        <w:t xml:space="preserve">2016-2019. La phase de réalisation du déménagement et de l'installation dans de nouveaux locaux pourrait </w:t>
      </w:r>
      <w:r w:rsidR="00C31222" w:rsidRPr="00B70950">
        <w:rPr>
          <w:szCs w:val="24"/>
        </w:rPr>
        <w:t>durer</w:t>
      </w:r>
      <w:r w:rsidRPr="00B70950">
        <w:rPr>
          <w:szCs w:val="24"/>
        </w:rPr>
        <w:t xml:space="preserve"> deux ans. Ces coûts ne sont pas inclus dans le projet de Plan financier pour la période 2016-2019 présenté à la PP-14.</w:t>
      </w:r>
    </w:p>
    <w:p w:rsidR="00D429F6" w:rsidRPr="00B70950" w:rsidRDefault="00D429F6" w:rsidP="00AA0684">
      <w:pPr>
        <w:pStyle w:val="Heading1"/>
      </w:pPr>
      <w:r w:rsidRPr="00B70950">
        <w:t>C</w:t>
      </w:r>
      <w:r w:rsidRPr="00B70950">
        <w:tab/>
        <w:t>Incidences à long terme</w:t>
      </w:r>
    </w:p>
    <w:p w:rsidR="00D429F6" w:rsidRPr="00B70950" w:rsidRDefault="00D429F6" w:rsidP="00F25AA4">
      <w:pPr>
        <w:spacing w:after="120"/>
        <w:rPr>
          <w:szCs w:val="24"/>
        </w:rPr>
      </w:pPr>
      <w:r w:rsidRPr="00B70950">
        <w:rPr>
          <w:szCs w:val="24"/>
        </w:rPr>
        <w:t>8.26</w:t>
      </w:r>
      <w:r w:rsidRPr="00B70950">
        <w:rPr>
          <w:szCs w:val="24"/>
        </w:rPr>
        <w:tab/>
        <w:t>Cette option entraîne des coûts financiers et humains significatifs à très court terme. Les avantages financiers à plus long terme dépendent fortement des conditions offertes par le pays hôte ainsi que du lieu de relocalisation.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551"/>
        <w:gridCol w:w="4399"/>
      </w:tblGrid>
      <w:tr w:rsidR="00447737" w:rsidRPr="00B70950" w:rsidTr="00447737">
        <w:trPr>
          <w:jc w:val="center"/>
        </w:trPr>
        <w:tc>
          <w:tcPr>
            <w:tcW w:w="9639" w:type="dxa"/>
            <w:gridSpan w:val="3"/>
          </w:tcPr>
          <w:p w:rsidR="00447737" w:rsidRPr="00B70950" w:rsidRDefault="00447737" w:rsidP="00F25AA4">
            <w:pPr>
              <w:pStyle w:val="Tablehead"/>
              <w:spacing w:before="40" w:after="40"/>
            </w:pPr>
            <w:r w:rsidRPr="00B70950">
              <w:t>Tableau récapitulatif du coût de relocalisation du siège de l'UIT</w:t>
            </w:r>
          </w:p>
        </w:tc>
      </w:tr>
      <w:tr w:rsidR="00447737" w:rsidRPr="00B70950" w:rsidTr="00447737">
        <w:trPr>
          <w:jc w:val="center"/>
        </w:trPr>
        <w:tc>
          <w:tcPr>
            <w:tcW w:w="2689" w:type="dxa"/>
          </w:tcPr>
          <w:p w:rsidR="00447737" w:rsidRPr="00B70950" w:rsidRDefault="00447737" w:rsidP="00F25AA4">
            <w:pPr>
              <w:pStyle w:val="Tablehead"/>
              <w:spacing w:before="40" w:after="40"/>
            </w:pPr>
            <w:r w:rsidRPr="00B70950">
              <w:t>Type de coûts</w:t>
            </w:r>
          </w:p>
        </w:tc>
        <w:tc>
          <w:tcPr>
            <w:tcW w:w="2551" w:type="dxa"/>
          </w:tcPr>
          <w:p w:rsidR="00447737" w:rsidRPr="00B70950" w:rsidRDefault="00447737" w:rsidP="00F25AA4">
            <w:pPr>
              <w:pStyle w:val="Tablehead"/>
              <w:spacing w:before="40" w:after="40"/>
            </w:pPr>
            <w:r w:rsidRPr="00B70950">
              <w:t xml:space="preserve">Coût annuel en CHF </w:t>
            </w:r>
          </w:p>
        </w:tc>
        <w:tc>
          <w:tcPr>
            <w:tcW w:w="4399" w:type="dxa"/>
          </w:tcPr>
          <w:p w:rsidR="00447737" w:rsidRPr="00B70950" w:rsidRDefault="00447737" w:rsidP="00F25AA4">
            <w:pPr>
              <w:pStyle w:val="Tablehead"/>
              <w:spacing w:before="40" w:after="40"/>
            </w:pPr>
            <w:r w:rsidRPr="00B70950">
              <w:t>Période</w:t>
            </w:r>
          </w:p>
        </w:tc>
      </w:tr>
      <w:tr w:rsidR="00447737" w:rsidRPr="00B70950" w:rsidTr="00447737">
        <w:trPr>
          <w:jc w:val="center"/>
        </w:trPr>
        <w:tc>
          <w:tcPr>
            <w:tcW w:w="2689" w:type="dxa"/>
          </w:tcPr>
          <w:p w:rsidR="00447737" w:rsidRPr="00B70950" w:rsidRDefault="00447737" w:rsidP="00F25AA4">
            <w:pPr>
              <w:spacing w:before="40" w:after="40"/>
              <w:rPr>
                <w:sz w:val="22"/>
                <w:szCs w:val="22"/>
              </w:rPr>
            </w:pPr>
            <w:r w:rsidRPr="00B70950">
              <w:rPr>
                <w:sz w:val="22"/>
                <w:szCs w:val="22"/>
              </w:rPr>
              <w:t>Indemnités de cessation de service</w:t>
            </w:r>
          </w:p>
        </w:tc>
        <w:tc>
          <w:tcPr>
            <w:tcW w:w="2551" w:type="dxa"/>
          </w:tcPr>
          <w:p w:rsidR="00447737" w:rsidRPr="00B70950" w:rsidRDefault="00447737" w:rsidP="00F25AA4">
            <w:pPr>
              <w:spacing w:before="40" w:after="40"/>
              <w:rPr>
                <w:sz w:val="22"/>
                <w:szCs w:val="22"/>
              </w:rPr>
            </w:pPr>
            <w:r w:rsidRPr="00B70950">
              <w:rPr>
                <w:sz w:val="22"/>
                <w:szCs w:val="22"/>
              </w:rPr>
              <w:t>de 92 à 127 millions CHF</w:t>
            </w:r>
          </w:p>
        </w:tc>
        <w:tc>
          <w:tcPr>
            <w:tcW w:w="4399" w:type="dxa"/>
          </w:tcPr>
          <w:p w:rsidR="00447737" w:rsidRPr="00B70950" w:rsidRDefault="00447737" w:rsidP="00F25AA4">
            <w:pPr>
              <w:spacing w:before="40" w:after="40"/>
              <w:rPr>
                <w:sz w:val="22"/>
                <w:szCs w:val="22"/>
              </w:rPr>
            </w:pPr>
            <w:r w:rsidRPr="00B70950">
              <w:rPr>
                <w:sz w:val="22"/>
                <w:szCs w:val="22"/>
              </w:rPr>
              <w:t xml:space="preserve">Une seule occurrence. Selon le calendrier choisi </w:t>
            </w:r>
          </w:p>
        </w:tc>
      </w:tr>
      <w:tr w:rsidR="00447737" w:rsidRPr="00B70950" w:rsidTr="00447737">
        <w:trPr>
          <w:jc w:val="center"/>
        </w:trPr>
        <w:tc>
          <w:tcPr>
            <w:tcW w:w="2689" w:type="dxa"/>
          </w:tcPr>
          <w:p w:rsidR="00447737" w:rsidRPr="00B70950" w:rsidRDefault="00447737" w:rsidP="00F25AA4">
            <w:pPr>
              <w:spacing w:before="40" w:after="40"/>
              <w:rPr>
                <w:sz w:val="22"/>
                <w:szCs w:val="22"/>
              </w:rPr>
            </w:pPr>
            <w:r w:rsidRPr="00B70950">
              <w:rPr>
                <w:sz w:val="22"/>
                <w:szCs w:val="22"/>
              </w:rPr>
              <w:t>Coûts d'installation</w:t>
            </w:r>
          </w:p>
        </w:tc>
        <w:tc>
          <w:tcPr>
            <w:tcW w:w="2551" w:type="dxa"/>
          </w:tcPr>
          <w:p w:rsidR="00447737" w:rsidRPr="00B70950" w:rsidRDefault="00447737" w:rsidP="00F25AA4">
            <w:pPr>
              <w:spacing w:before="40" w:after="40"/>
              <w:rPr>
                <w:sz w:val="22"/>
                <w:szCs w:val="22"/>
              </w:rPr>
            </w:pPr>
            <w:r w:rsidRPr="00B70950">
              <w:rPr>
                <w:sz w:val="22"/>
                <w:szCs w:val="22"/>
              </w:rPr>
              <w:t>de 38 à 48 millions CHF</w:t>
            </w:r>
          </w:p>
        </w:tc>
        <w:tc>
          <w:tcPr>
            <w:tcW w:w="4399" w:type="dxa"/>
          </w:tcPr>
          <w:p w:rsidR="00447737" w:rsidRPr="00B70950" w:rsidRDefault="00447737" w:rsidP="00F25AA4">
            <w:pPr>
              <w:spacing w:before="40" w:after="40"/>
              <w:rPr>
                <w:sz w:val="22"/>
                <w:szCs w:val="22"/>
              </w:rPr>
            </w:pPr>
            <w:r w:rsidRPr="00B70950">
              <w:rPr>
                <w:sz w:val="22"/>
                <w:szCs w:val="22"/>
              </w:rPr>
              <w:t>Coûts étalés sur un à deux ans. Selon le calendrier choisi</w:t>
            </w:r>
          </w:p>
        </w:tc>
      </w:tr>
      <w:tr w:rsidR="00447737" w:rsidRPr="00B70950" w:rsidTr="00447737">
        <w:trPr>
          <w:jc w:val="center"/>
        </w:trPr>
        <w:tc>
          <w:tcPr>
            <w:tcW w:w="2689" w:type="dxa"/>
          </w:tcPr>
          <w:p w:rsidR="00447737" w:rsidRPr="00B70950" w:rsidRDefault="00447737" w:rsidP="00F25AA4">
            <w:pPr>
              <w:pStyle w:val="Tabletext"/>
              <w:spacing w:before="40" w:after="40"/>
              <w:rPr>
                <w:b/>
                <w:bCs/>
              </w:rPr>
            </w:pPr>
            <w:r w:rsidRPr="00B70950">
              <w:rPr>
                <w:b/>
                <w:bCs/>
              </w:rPr>
              <w:t>Total</w:t>
            </w:r>
          </w:p>
        </w:tc>
        <w:tc>
          <w:tcPr>
            <w:tcW w:w="2551" w:type="dxa"/>
          </w:tcPr>
          <w:p w:rsidR="00447737" w:rsidRPr="00B70950" w:rsidRDefault="00447737" w:rsidP="00F25AA4">
            <w:pPr>
              <w:pStyle w:val="Tabletext"/>
              <w:spacing w:before="40" w:after="40"/>
              <w:rPr>
                <w:b/>
                <w:bCs/>
              </w:rPr>
            </w:pPr>
            <w:r w:rsidRPr="00B70950">
              <w:rPr>
                <w:b/>
                <w:bCs/>
                <w:szCs w:val="22"/>
              </w:rPr>
              <w:t>de 130 à 175 millions CHF</w:t>
            </w:r>
          </w:p>
        </w:tc>
        <w:tc>
          <w:tcPr>
            <w:tcW w:w="4399" w:type="dxa"/>
          </w:tcPr>
          <w:p w:rsidR="00447737" w:rsidRPr="00B70950" w:rsidRDefault="00447737" w:rsidP="00F25AA4">
            <w:pPr>
              <w:pStyle w:val="Tabletext"/>
              <w:spacing w:before="40" w:after="40"/>
              <w:rPr>
                <w:b/>
                <w:bCs/>
              </w:rPr>
            </w:pPr>
          </w:p>
        </w:tc>
      </w:tr>
    </w:tbl>
    <w:p w:rsidR="00D429F6" w:rsidRPr="00B70950" w:rsidRDefault="00D429F6" w:rsidP="00F25AA4">
      <w:pPr>
        <w:spacing w:before="240"/>
        <w:rPr>
          <w:i/>
        </w:rPr>
      </w:pPr>
      <w:r w:rsidRPr="00B70950">
        <w:rPr>
          <w:i/>
        </w:rPr>
        <w:t>Dans ces coûts, il n</w:t>
      </w:r>
      <w:r w:rsidR="00126B99" w:rsidRPr="00B70950">
        <w:rPr>
          <w:i/>
        </w:rPr>
        <w:t>'</w:t>
      </w:r>
      <w:r w:rsidRPr="00B70950">
        <w:rPr>
          <w:i/>
        </w:rPr>
        <w:t>est pas tenu compte de l</w:t>
      </w:r>
      <w:r w:rsidR="00126B99" w:rsidRPr="00B70950">
        <w:rPr>
          <w:i/>
        </w:rPr>
        <w:t>'</w:t>
      </w:r>
      <w:r w:rsidRPr="00B70950">
        <w:rPr>
          <w:i/>
        </w:rPr>
        <w:t>achat, de la location et/ou des frais de maintenance des locaux du siège dans un nouveau pays hôte. Cependant, tant qu</w:t>
      </w:r>
      <w:r w:rsidR="00126B99" w:rsidRPr="00B70950">
        <w:rPr>
          <w:i/>
        </w:rPr>
        <w:t>'</w:t>
      </w:r>
      <w:r w:rsidRPr="00B70950">
        <w:rPr>
          <w:i/>
        </w:rPr>
        <w:t>aucune offre acceptable n</w:t>
      </w:r>
      <w:r w:rsidR="00126B99" w:rsidRPr="00B70950">
        <w:rPr>
          <w:i/>
        </w:rPr>
        <w:t>'</w:t>
      </w:r>
      <w:r w:rsidRPr="00B70950">
        <w:rPr>
          <w:i/>
        </w:rPr>
        <w:t>a été reçue, il est impossible de confirmer que l</w:t>
      </w:r>
      <w:r w:rsidR="00126B99" w:rsidRPr="00B70950">
        <w:rPr>
          <w:i/>
        </w:rPr>
        <w:t>'</w:t>
      </w:r>
      <w:r w:rsidRPr="00B70950">
        <w:rPr>
          <w:i/>
        </w:rPr>
        <w:t>Union se verrait fournir des bâtiments sans avoir à supporter ces dépenses. Il n</w:t>
      </w:r>
      <w:r w:rsidR="00126B99" w:rsidRPr="00B70950">
        <w:rPr>
          <w:i/>
        </w:rPr>
        <w:t>'</w:t>
      </w:r>
      <w:r w:rsidRPr="00B70950">
        <w:rPr>
          <w:i/>
        </w:rPr>
        <w:t>est pas possible de procéder à une évaluation réaliste de ces coûts sans disposer d</w:t>
      </w:r>
      <w:r w:rsidR="00126B99" w:rsidRPr="00B70950">
        <w:rPr>
          <w:i/>
        </w:rPr>
        <w:t>'</w:t>
      </w:r>
      <w:r w:rsidRPr="00B70950">
        <w:rPr>
          <w:i/>
        </w:rPr>
        <w:t>informations concernant l</w:t>
      </w:r>
      <w:r w:rsidR="00126B99" w:rsidRPr="00B70950">
        <w:rPr>
          <w:i/>
        </w:rPr>
        <w:t>'</w:t>
      </w:r>
      <w:r w:rsidRPr="00B70950">
        <w:rPr>
          <w:i/>
        </w:rPr>
        <w:t>éventuel futur site.</w:t>
      </w:r>
    </w:p>
    <w:p w:rsidR="00D429F6" w:rsidRPr="00B70950" w:rsidRDefault="00D429F6" w:rsidP="00AA0684">
      <w:pPr>
        <w:pStyle w:val="Heading1"/>
        <w:rPr>
          <w:bCs/>
        </w:rPr>
      </w:pPr>
      <w:r w:rsidRPr="00B70950">
        <w:t>D</w:t>
      </w:r>
      <w:r w:rsidRPr="00B70950">
        <w:tab/>
        <w:t>Eléments de nature juridique</w:t>
      </w:r>
    </w:p>
    <w:p w:rsidR="00D429F6" w:rsidRPr="00B70950" w:rsidRDefault="00D429F6" w:rsidP="007F1941">
      <w:pPr>
        <w:rPr>
          <w:szCs w:val="24"/>
        </w:rPr>
      </w:pPr>
      <w:r w:rsidRPr="00B70950">
        <w:rPr>
          <w:szCs w:val="24"/>
        </w:rPr>
        <w:t>8.27</w:t>
      </w:r>
      <w:r w:rsidRPr="00B70950">
        <w:rPr>
          <w:szCs w:val="24"/>
        </w:rPr>
        <w:tab/>
        <w:t>Les éléments de nature juridique qui devraient être pris en compte dans l'hypothèse d'une relocalisation du siège de l'UIT en dehors de Genève sont essentiellement de quatre ordres.</w:t>
      </w:r>
    </w:p>
    <w:p w:rsidR="00D429F6" w:rsidRPr="00B70950" w:rsidRDefault="00D429F6" w:rsidP="007F1941">
      <w:pPr>
        <w:rPr>
          <w:szCs w:val="24"/>
        </w:rPr>
      </w:pPr>
      <w:r w:rsidRPr="00B70950">
        <w:rPr>
          <w:szCs w:val="24"/>
        </w:rPr>
        <w:t>8.28</w:t>
      </w:r>
      <w:r w:rsidRPr="00B70950">
        <w:rPr>
          <w:szCs w:val="24"/>
        </w:rPr>
        <w:tab/>
      </w:r>
      <w:r w:rsidR="00C31222" w:rsidRPr="00B70950">
        <w:rPr>
          <w:szCs w:val="24"/>
        </w:rPr>
        <w:t>Premièrement</w:t>
      </w:r>
      <w:r w:rsidRPr="00B70950">
        <w:rPr>
          <w:szCs w:val="24"/>
        </w:rPr>
        <w:t>, la nécessité de procéder à un amendement de la Constitution.</w:t>
      </w:r>
    </w:p>
    <w:p w:rsidR="00D429F6" w:rsidRPr="00B70950" w:rsidRDefault="00D429F6" w:rsidP="007F1941">
      <w:pPr>
        <w:rPr>
          <w:szCs w:val="24"/>
        </w:rPr>
      </w:pPr>
      <w:r w:rsidRPr="00B70950">
        <w:rPr>
          <w:szCs w:val="24"/>
        </w:rPr>
        <w:t>8.29</w:t>
      </w:r>
      <w:r w:rsidRPr="00B70950">
        <w:rPr>
          <w:szCs w:val="24"/>
        </w:rPr>
        <w:tab/>
      </w:r>
      <w:r w:rsidR="00C31222" w:rsidRPr="00B70950">
        <w:rPr>
          <w:szCs w:val="24"/>
        </w:rPr>
        <w:t>Deuxièmement</w:t>
      </w:r>
      <w:r w:rsidRPr="00B70950">
        <w:rPr>
          <w:szCs w:val="24"/>
        </w:rPr>
        <w:t>, l</w:t>
      </w:r>
      <w:r w:rsidR="00C31222" w:rsidRPr="00B70950">
        <w:rPr>
          <w:szCs w:val="24"/>
        </w:rPr>
        <w:t xml:space="preserve">a </w:t>
      </w:r>
      <w:r w:rsidRPr="00B70950">
        <w:rPr>
          <w:szCs w:val="24"/>
        </w:rPr>
        <w:t xml:space="preserve">nécessité </w:t>
      </w:r>
      <w:r w:rsidR="00C31222" w:rsidRPr="00B70950">
        <w:rPr>
          <w:szCs w:val="24"/>
        </w:rPr>
        <w:t xml:space="preserve">impérative </w:t>
      </w:r>
      <w:r w:rsidRPr="00B70950">
        <w:rPr>
          <w:szCs w:val="24"/>
        </w:rPr>
        <w:t xml:space="preserve">de négocier un nouvel Accord de siège avec </w:t>
      </w:r>
      <w:r w:rsidR="00C31222" w:rsidRPr="00B70950">
        <w:rPr>
          <w:szCs w:val="24"/>
        </w:rPr>
        <w:t>le pays hôte</w:t>
      </w:r>
      <w:r w:rsidRPr="00B70950">
        <w:rPr>
          <w:szCs w:val="24"/>
        </w:rPr>
        <w:t>, ainsi que d'obtenir les facilités et privilèges qui en découlent.</w:t>
      </w:r>
    </w:p>
    <w:p w:rsidR="00D429F6" w:rsidRPr="00B70950" w:rsidRDefault="00D429F6" w:rsidP="007F1941">
      <w:pPr>
        <w:rPr>
          <w:szCs w:val="24"/>
        </w:rPr>
      </w:pPr>
      <w:r w:rsidRPr="00B70950">
        <w:rPr>
          <w:szCs w:val="24"/>
        </w:rPr>
        <w:t>8.30</w:t>
      </w:r>
      <w:r w:rsidRPr="00B70950">
        <w:rPr>
          <w:szCs w:val="24"/>
        </w:rPr>
        <w:tab/>
      </w:r>
      <w:r w:rsidR="00C31222" w:rsidRPr="00B70950">
        <w:rPr>
          <w:szCs w:val="24"/>
        </w:rPr>
        <w:t>Troisièmement</w:t>
      </w:r>
      <w:r w:rsidRPr="00B70950">
        <w:rPr>
          <w:szCs w:val="24"/>
        </w:rPr>
        <w:t>, la nécessité de renégocier la majeure</w:t>
      </w:r>
      <w:r w:rsidR="00C31222" w:rsidRPr="00B70950">
        <w:rPr>
          <w:szCs w:val="24"/>
        </w:rPr>
        <w:t xml:space="preserve"> partie des contrats de service</w:t>
      </w:r>
      <w:r w:rsidRPr="00B70950">
        <w:rPr>
          <w:szCs w:val="24"/>
        </w:rPr>
        <w:t xml:space="preserve"> conclus pour le siège.</w:t>
      </w:r>
    </w:p>
    <w:p w:rsidR="00D429F6" w:rsidRPr="00B70950" w:rsidRDefault="00D429F6" w:rsidP="007F1941">
      <w:pPr>
        <w:rPr>
          <w:szCs w:val="24"/>
        </w:rPr>
      </w:pPr>
      <w:r w:rsidRPr="00B70950">
        <w:rPr>
          <w:szCs w:val="24"/>
        </w:rPr>
        <w:t>8.31</w:t>
      </w:r>
      <w:r w:rsidRPr="00B70950">
        <w:rPr>
          <w:szCs w:val="24"/>
        </w:rPr>
        <w:tab/>
      </w:r>
      <w:r w:rsidR="00C31222" w:rsidRPr="00B70950">
        <w:rPr>
          <w:szCs w:val="24"/>
        </w:rPr>
        <w:t>Quatrièmement</w:t>
      </w:r>
      <w:r w:rsidRPr="00B70950">
        <w:rPr>
          <w:szCs w:val="24"/>
        </w:rPr>
        <w:t>, la cession du droit de superficie dont jouit l'Union.</w:t>
      </w:r>
    </w:p>
    <w:p w:rsidR="00D429F6" w:rsidRPr="00B70950" w:rsidRDefault="00D429F6" w:rsidP="007F1941">
      <w:pPr>
        <w:rPr>
          <w:szCs w:val="24"/>
        </w:rPr>
      </w:pPr>
      <w:r w:rsidRPr="00B70950">
        <w:rPr>
          <w:szCs w:val="24"/>
        </w:rPr>
        <w:t>8.32</w:t>
      </w:r>
      <w:r w:rsidRPr="00B70950">
        <w:rPr>
          <w:szCs w:val="24"/>
        </w:rPr>
        <w:tab/>
        <w:t>Les conséquences juridiques d'un possible transfert du siège de l'Union sur son personnel ne sont pas examinées dans la présente section</w:t>
      </w:r>
      <w:r w:rsidR="00C31222" w:rsidRPr="00B70950">
        <w:rPr>
          <w:szCs w:val="24"/>
        </w:rPr>
        <w:t>,</w:t>
      </w:r>
      <w:r w:rsidRPr="00B70950">
        <w:rPr>
          <w:szCs w:val="24"/>
        </w:rPr>
        <w:t xml:space="preserve"> mais </w:t>
      </w:r>
      <w:r w:rsidR="00C31222" w:rsidRPr="00B70950">
        <w:rPr>
          <w:szCs w:val="24"/>
        </w:rPr>
        <w:t xml:space="preserve">le sont </w:t>
      </w:r>
      <w:r w:rsidRPr="00B70950">
        <w:rPr>
          <w:szCs w:val="24"/>
        </w:rPr>
        <w:t>dans celle relative aux conséquences en matière de ressources humaines.</w:t>
      </w:r>
    </w:p>
    <w:p w:rsidR="00D429F6" w:rsidRPr="00B70950" w:rsidRDefault="00D429F6" w:rsidP="007F1941">
      <w:pPr>
        <w:pStyle w:val="Headingb"/>
      </w:pPr>
      <w:r w:rsidRPr="00B70950">
        <w:t>a)</w:t>
      </w:r>
      <w:r w:rsidRPr="00B70950">
        <w:tab/>
        <w:t>Amendement de la Constitution</w:t>
      </w:r>
    </w:p>
    <w:p w:rsidR="00D429F6" w:rsidRPr="00B70950" w:rsidRDefault="00D429F6" w:rsidP="007F1941">
      <w:pPr>
        <w:rPr>
          <w:szCs w:val="24"/>
        </w:rPr>
      </w:pPr>
      <w:r w:rsidRPr="00B70950">
        <w:rPr>
          <w:szCs w:val="24"/>
        </w:rPr>
        <w:t>8.33</w:t>
      </w:r>
      <w:r w:rsidRPr="00B70950">
        <w:rPr>
          <w:szCs w:val="24"/>
        </w:rPr>
        <w:tab/>
        <w:t xml:space="preserve">L'article 30 de la Constitution dispose que </w:t>
      </w:r>
      <w:r w:rsidR="00126B99" w:rsidRPr="00B70950">
        <w:rPr>
          <w:szCs w:val="24"/>
        </w:rPr>
        <w:t>"</w:t>
      </w:r>
      <w:r w:rsidRPr="00B70950">
        <w:rPr>
          <w:szCs w:val="24"/>
        </w:rPr>
        <w:t xml:space="preserve">l'Union </w:t>
      </w:r>
      <w:proofErr w:type="gramStart"/>
      <w:r w:rsidRPr="00B70950">
        <w:rPr>
          <w:szCs w:val="24"/>
        </w:rPr>
        <w:t>a</w:t>
      </w:r>
      <w:proofErr w:type="gramEnd"/>
      <w:r w:rsidRPr="00B70950">
        <w:rPr>
          <w:szCs w:val="24"/>
        </w:rPr>
        <w:t xml:space="preserve"> son siège à Genève</w:t>
      </w:r>
      <w:r w:rsidR="00126B99" w:rsidRPr="00B70950">
        <w:rPr>
          <w:szCs w:val="24"/>
        </w:rPr>
        <w:t>"</w:t>
      </w:r>
      <w:r w:rsidRPr="00B70950">
        <w:rPr>
          <w:szCs w:val="24"/>
        </w:rPr>
        <w:t xml:space="preserve"> (numéro 175).</w:t>
      </w:r>
    </w:p>
    <w:p w:rsidR="00D429F6" w:rsidRPr="00B70950" w:rsidRDefault="00D429F6" w:rsidP="007F1941">
      <w:pPr>
        <w:rPr>
          <w:szCs w:val="24"/>
        </w:rPr>
      </w:pPr>
      <w:r w:rsidRPr="00B70950">
        <w:rPr>
          <w:szCs w:val="24"/>
        </w:rPr>
        <w:t>8.34</w:t>
      </w:r>
      <w:r w:rsidRPr="00B70950">
        <w:rPr>
          <w:szCs w:val="24"/>
        </w:rPr>
        <w:tab/>
        <w:t>Ce</w:t>
      </w:r>
      <w:r w:rsidR="00447737" w:rsidRPr="00B70950">
        <w:rPr>
          <w:szCs w:val="24"/>
        </w:rPr>
        <w:t>tte</w:t>
      </w:r>
      <w:r w:rsidRPr="00B70950">
        <w:rPr>
          <w:szCs w:val="24"/>
        </w:rPr>
        <w:t xml:space="preserve"> particulari</w:t>
      </w:r>
      <w:r w:rsidR="00447737" w:rsidRPr="00B70950">
        <w:rPr>
          <w:szCs w:val="24"/>
        </w:rPr>
        <w:t>té</w:t>
      </w:r>
      <w:r w:rsidRPr="00B70950">
        <w:rPr>
          <w:szCs w:val="24"/>
        </w:rPr>
        <w:t xml:space="preserve"> est propre à l'UIT car aucune des principales organisations d</w:t>
      </w:r>
      <w:r w:rsidR="00447737" w:rsidRPr="00B70950">
        <w:rPr>
          <w:szCs w:val="24"/>
        </w:rPr>
        <w:t>u système</w:t>
      </w:r>
      <w:r w:rsidRPr="00B70950">
        <w:rPr>
          <w:szCs w:val="24"/>
        </w:rPr>
        <w:t xml:space="preserve"> des Nations Unies ne possède une telle disposition dans son Acte constitutif.</w:t>
      </w:r>
    </w:p>
    <w:p w:rsidR="00D429F6" w:rsidRPr="00B70950" w:rsidRDefault="00D429F6" w:rsidP="007F1941">
      <w:pPr>
        <w:rPr>
          <w:szCs w:val="24"/>
        </w:rPr>
      </w:pPr>
      <w:r w:rsidRPr="00B70950">
        <w:rPr>
          <w:szCs w:val="24"/>
        </w:rPr>
        <w:lastRenderedPageBreak/>
        <w:t>8.35</w:t>
      </w:r>
      <w:r w:rsidRPr="00B70950">
        <w:rPr>
          <w:szCs w:val="24"/>
        </w:rPr>
        <w:tab/>
        <w:t xml:space="preserve">Cette </w:t>
      </w:r>
      <w:r w:rsidR="00447737" w:rsidRPr="00B70950">
        <w:rPr>
          <w:szCs w:val="24"/>
        </w:rPr>
        <w:t>disposition</w:t>
      </w:r>
      <w:r w:rsidRPr="00B70950">
        <w:rPr>
          <w:szCs w:val="24"/>
        </w:rPr>
        <w:t>, insérée en 1947, semble démontrer qu'à cette époque le législateur entendait manifestement ancrer l'Union à Genève.</w:t>
      </w:r>
    </w:p>
    <w:p w:rsidR="00D429F6" w:rsidRPr="00B70950" w:rsidRDefault="00D429F6" w:rsidP="00CF16D0">
      <w:pPr>
        <w:keepLines/>
        <w:rPr>
          <w:szCs w:val="24"/>
        </w:rPr>
      </w:pPr>
      <w:r w:rsidRPr="00B70950">
        <w:rPr>
          <w:szCs w:val="24"/>
        </w:rPr>
        <w:t>8.36</w:t>
      </w:r>
      <w:r w:rsidRPr="00B70950">
        <w:rPr>
          <w:szCs w:val="24"/>
        </w:rPr>
        <w:tab/>
        <w:t xml:space="preserve">Quoi qu'il en soit, si la décision de transférer le siège de l'Union ailleurs qu'à Genève devait être prise, elle supposerait, au préalable, d'amender l'article 30 de la Constitution. Pour ce faire, conformément au numéro 227 de la Constitution, une majorité d'au moins </w:t>
      </w:r>
      <w:r w:rsidR="004D44B1" w:rsidRPr="00B70950">
        <w:rPr>
          <w:szCs w:val="24"/>
        </w:rPr>
        <w:t>deux tiers</w:t>
      </w:r>
      <w:r w:rsidRPr="00B70950">
        <w:rPr>
          <w:szCs w:val="24"/>
        </w:rPr>
        <w:t xml:space="preserve"> des délégations accréditées à la Conférence de Plénipotentiaires et ayant le droit de vote serait requise.</w:t>
      </w:r>
    </w:p>
    <w:p w:rsidR="00D429F6" w:rsidRPr="00B70950" w:rsidRDefault="00D429F6" w:rsidP="007F1941">
      <w:pPr>
        <w:pStyle w:val="Headingb"/>
      </w:pPr>
      <w:r w:rsidRPr="00B70950">
        <w:t>b)</w:t>
      </w:r>
      <w:r w:rsidRPr="00B70950">
        <w:tab/>
        <w:t xml:space="preserve">Négociation d'un nouvel </w:t>
      </w:r>
      <w:r w:rsidR="004D44B1" w:rsidRPr="00B70950">
        <w:t>a</w:t>
      </w:r>
      <w:r w:rsidRPr="00B70950">
        <w:t>ccord de siège</w:t>
      </w:r>
    </w:p>
    <w:p w:rsidR="00D429F6" w:rsidRPr="00B70950" w:rsidRDefault="00D429F6" w:rsidP="007F1941">
      <w:pPr>
        <w:rPr>
          <w:szCs w:val="24"/>
        </w:rPr>
      </w:pPr>
      <w:r w:rsidRPr="00B70950">
        <w:rPr>
          <w:szCs w:val="24"/>
        </w:rPr>
        <w:t>8.37</w:t>
      </w:r>
      <w:r w:rsidRPr="00B70950">
        <w:rPr>
          <w:szCs w:val="24"/>
        </w:rPr>
        <w:tab/>
        <w:t xml:space="preserve">Afin de régler le statut juridique de l'UIT dans </w:t>
      </w:r>
      <w:r w:rsidR="004D44B1" w:rsidRPr="00B70950">
        <w:rPr>
          <w:szCs w:val="24"/>
        </w:rPr>
        <w:t>le pays</w:t>
      </w:r>
      <w:r w:rsidRPr="00B70950">
        <w:rPr>
          <w:szCs w:val="24"/>
        </w:rPr>
        <w:t xml:space="preserve"> hôte, quel qu'il soit, il serait impératif de négocier et de signer un nouvel </w:t>
      </w:r>
      <w:r w:rsidR="004D44B1" w:rsidRPr="00B70950">
        <w:rPr>
          <w:szCs w:val="24"/>
        </w:rPr>
        <w:t>a</w:t>
      </w:r>
      <w:r w:rsidRPr="00B70950">
        <w:rPr>
          <w:szCs w:val="24"/>
        </w:rPr>
        <w:t>ccord de siège et, le cas échéant, un arrangement administratif le complétant.</w:t>
      </w:r>
    </w:p>
    <w:p w:rsidR="00D429F6" w:rsidRPr="00B70950" w:rsidRDefault="00D429F6" w:rsidP="007F1941">
      <w:pPr>
        <w:rPr>
          <w:szCs w:val="24"/>
        </w:rPr>
      </w:pPr>
      <w:r w:rsidRPr="00B70950">
        <w:rPr>
          <w:szCs w:val="24"/>
        </w:rPr>
        <w:t>8.38</w:t>
      </w:r>
      <w:r w:rsidRPr="00B70950">
        <w:rPr>
          <w:szCs w:val="24"/>
        </w:rPr>
        <w:tab/>
        <w:t>Sans qu'il soit besoin d'entrer, à ce stade, dans le</w:t>
      </w:r>
      <w:r w:rsidR="004D44B1" w:rsidRPr="00B70950">
        <w:rPr>
          <w:szCs w:val="24"/>
        </w:rPr>
        <w:t>s</w:t>
      </w:r>
      <w:r w:rsidRPr="00B70950">
        <w:rPr>
          <w:szCs w:val="24"/>
        </w:rPr>
        <w:t xml:space="preserve"> détail</w:t>
      </w:r>
      <w:r w:rsidR="004D44B1" w:rsidRPr="00B70950">
        <w:rPr>
          <w:szCs w:val="24"/>
        </w:rPr>
        <w:t>s</w:t>
      </w:r>
      <w:r w:rsidRPr="00B70950">
        <w:rPr>
          <w:szCs w:val="24"/>
        </w:rPr>
        <w:t xml:space="preserve"> des dispositions que devrait contenir cet </w:t>
      </w:r>
      <w:r w:rsidR="004D44B1" w:rsidRPr="00B70950">
        <w:rPr>
          <w:szCs w:val="24"/>
        </w:rPr>
        <w:t>accord</w:t>
      </w:r>
      <w:r w:rsidRPr="00B70950">
        <w:rPr>
          <w:szCs w:val="24"/>
        </w:rPr>
        <w:t>, il importe d'identifier les grands axes autour desquels devra, en tout état de cause, s'articuler ledit Accord.</w:t>
      </w:r>
    </w:p>
    <w:p w:rsidR="00D429F6" w:rsidRPr="00B70950" w:rsidRDefault="00D429F6" w:rsidP="007F1941">
      <w:pPr>
        <w:rPr>
          <w:szCs w:val="24"/>
        </w:rPr>
      </w:pPr>
      <w:r w:rsidRPr="00B70950">
        <w:rPr>
          <w:szCs w:val="24"/>
        </w:rPr>
        <w:t>8.39</w:t>
      </w:r>
      <w:r w:rsidRPr="00B70950">
        <w:rPr>
          <w:szCs w:val="24"/>
        </w:rPr>
        <w:tab/>
        <w:t>Il s'agit, en tout premier lieu, de la reconnaissance de l'autonomie de l'UIT vis-à-vis d</w:t>
      </w:r>
      <w:r w:rsidR="004D44B1" w:rsidRPr="00B70950">
        <w:rPr>
          <w:szCs w:val="24"/>
        </w:rPr>
        <w:t>u pays</w:t>
      </w:r>
      <w:r w:rsidRPr="00B70950">
        <w:rPr>
          <w:szCs w:val="24"/>
        </w:rPr>
        <w:t xml:space="preserve"> hôte et, plus particulièrement, de </w:t>
      </w:r>
      <w:r w:rsidR="004D44B1" w:rsidRPr="00B70950">
        <w:rPr>
          <w:szCs w:val="24"/>
        </w:rPr>
        <w:t xml:space="preserve">son </w:t>
      </w:r>
      <w:r w:rsidRPr="00B70950">
        <w:rPr>
          <w:szCs w:val="24"/>
        </w:rPr>
        <w:t>autonomie institutionnelle et juridictionnelle.</w:t>
      </w:r>
    </w:p>
    <w:p w:rsidR="00D429F6" w:rsidRPr="00B70950" w:rsidRDefault="00D429F6" w:rsidP="00AA0684">
      <w:pPr>
        <w:rPr>
          <w:b/>
          <w:bCs/>
          <w:szCs w:val="24"/>
        </w:rPr>
      </w:pPr>
      <w:r w:rsidRPr="00B70950">
        <w:rPr>
          <w:b/>
          <w:bCs/>
          <w:szCs w:val="24"/>
        </w:rPr>
        <w:t>Autonomie institutionnelle</w:t>
      </w:r>
    </w:p>
    <w:p w:rsidR="00D429F6" w:rsidRPr="00B70950" w:rsidRDefault="00D429F6" w:rsidP="007F1941">
      <w:pPr>
        <w:rPr>
          <w:szCs w:val="24"/>
        </w:rPr>
      </w:pPr>
      <w:r w:rsidRPr="00B70950">
        <w:rPr>
          <w:szCs w:val="24"/>
        </w:rPr>
        <w:t>8.40</w:t>
      </w:r>
      <w:r w:rsidRPr="00B70950">
        <w:rPr>
          <w:szCs w:val="24"/>
        </w:rPr>
        <w:tab/>
        <w:t>L'indépendance et la liberté d'action de l'Union doivent être pleinement reconnues</w:t>
      </w:r>
      <w:r w:rsidR="004D44B1" w:rsidRPr="00B70950">
        <w:rPr>
          <w:szCs w:val="24"/>
        </w:rPr>
        <w:t>,</w:t>
      </w:r>
      <w:r w:rsidRPr="00B70950">
        <w:rPr>
          <w:szCs w:val="24"/>
        </w:rPr>
        <w:t xml:space="preserve"> de même que son absolue liberté</w:t>
      </w:r>
      <w:r w:rsidR="004D44B1" w:rsidRPr="00B70950">
        <w:rPr>
          <w:szCs w:val="24"/>
        </w:rPr>
        <w:t xml:space="preserve"> </w:t>
      </w:r>
      <w:r w:rsidRPr="00B70950">
        <w:rPr>
          <w:szCs w:val="24"/>
        </w:rPr>
        <w:t>de réunion, de discussion et de décision</w:t>
      </w:r>
      <w:r w:rsidR="004D44B1" w:rsidRPr="00B70950">
        <w:rPr>
          <w:szCs w:val="24"/>
        </w:rPr>
        <w:t>, ainsi que celle de ses Etats Membres</w:t>
      </w:r>
      <w:r w:rsidRPr="00B70950">
        <w:rPr>
          <w:szCs w:val="24"/>
        </w:rPr>
        <w:t>.</w:t>
      </w:r>
    </w:p>
    <w:p w:rsidR="00D429F6" w:rsidRPr="00B70950" w:rsidRDefault="00D429F6" w:rsidP="007F1941">
      <w:pPr>
        <w:rPr>
          <w:szCs w:val="24"/>
        </w:rPr>
      </w:pPr>
      <w:r w:rsidRPr="00B70950">
        <w:rPr>
          <w:szCs w:val="24"/>
        </w:rPr>
        <w:t>8.41</w:t>
      </w:r>
      <w:r w:rsidRPr="00B70950">
        <w:rPr>
          <w:szCs w:val="24"/>
        </w:rPr>
        <w:tab/>
        <w:t xml:space="preserve">Cette autonomie passe également par la reconnaissance par </w:t>
      </w:r>
      <w:r w:rsidR="004D44B1" w:rsidRPr="00B70950">
        <w:rPr>
          <w:szCs w:val="24"/>
        </w:rPr>
        <w:t>le pays</w:t>
      </w:r>
      <w:r w:rsidRPr="00B70950">
        <w:rPr>
          <w:szCs w:val="24"/>
        </w:rPr>
        <w:t xml:space="preserve"> hôte de la personnalité juridique de l'Union, ainsi que de sa capacité juridique (capacité de conclure des contrats, capacité d'ester en justice, capacité d'acquérir et de disposer de biens meubles et immeubles, capacité d'adopter ses propres règles, procédures et processus juridiques, etc.).</w:t>
      </w:r>
    </w:p>
    <w:p w:rsidR="00D429F6" w:rsidRPr="00B70950" w:rsidRDefault="00D429F6" w:rsidP="007F1941">
      <w:pPr>
        <w:rPr>
          <w:szCs w:val="24"/>
        </w:rPr>
      </w:pPr>
      <w:r w:rsidRPr="00B70950">
        <w:rPr>
          <w:szCs w:val="24"/>
        </w:rPr>
        <w:t>8.42</w:t>
      </w:r>
      <w:r w:rsidRPr="00B70950">
        <w:rPr>
          <w:szCs w:val="24"/>
        </w:rPr>
        <w:tab/>
        <w:t>Cette autonomie institutionnelle implique également que l'</w:t>
      </w:r>
      <w:r w:rsidR="004D44B1" w:rsidRPr="00B70950">
        <w:rPr>
          <w:szCs w:val="24"/>
        </w:rPr>
        <w:t>a</w:t>
      </w:r>
      <w:r w:rsidRPr="00B70950">
        <w:rPr>
          <w:szCs w:val="24"/>
        </w:rPr>
        <w:t>ccord de siège reconnaisse l'inviolabilité des locaux occupés par l'</w:t>
      </w:r>
      <w:r w:rsidR="004D44B1" w:rsidRPr="00B70950">
        <w:rPr>
          <w:szCs w:val="24"/>
        </w:rPr>
        <w:t>Union et</w:t>
      </w:r>
      <w:r w:rsidRPr="00B70950">
        <w:rPr>
          <w:szCs w:val="24"/>
        </w:rPr>
        <w:t xml:space="preserve"> son corollaire indispensable, à savoir la liberté pour l'Union d'assurer la police, la sécurité et la sûreté à l'intérieur de ses locaux, de même que l'inviolabilité de ses archives et de tous documents (quel qu'en soit le support) destinés à son usage officiel.</w:t>
      </w:r>
    </w:p>
    <w:p w:rsidR="00D429F6" w:rsidRPr="00B70950" w:rsidRDefault="00D429F6" w:rsidP="007F1941">
      <w:pPr>
        <w:pStyle w:val="Headingb"/>
      </w:pPr>
      <w:r w:rsidRPr="00B70950">
        <w:t>Autonomie juridictionnelle</w:t>
      </w:r>
    </w:p>
    <w:p w:rsidR="00D429F6" w:rsidRPr="00B70950" w:rsidRDefault="00D429F6" w:rsidP="007F1941">
      <w:pPr>
        <w:rPr>
          <w:szCs w:val="24"/>
        </w:rPr>
      </w:pPr>
      <w:r w:rsidRPr="00B70950">
        <w:rPr>
          <w:szCs w:val="24"/>
        </w:rPr>
        <w:t>8.43</w:t>
      </w:r>
      <w:r w:rsidRPr="00B70950">
        <w:rPr>
          <w:szCs w:val="24"/>
        </w:rPr>
        <w:tab/>
        <w:t>L'objectif ultime de toute règle concernant les organisations internationales</w:t>
      </w:r>
      <w:r w:rsidR="004D44B1" w:rsidRPr="00B70950">
        <w:rPr>
          <w:szCs w:val="24"/>
        </w:rPr>
        <w:t xml:space="preserve"> </w:t>
      </w:r>
      <w:r w:rsidRPr="00B70950">
        <w:rPr>
          <w:szCs w:val="24"/>
        </w:rPr>
        <w:t>est de leur permettre d'exercer leurs fonctions et d'atteindre leurs buts en toute indépendance. Pour ce faire, il est impératif que l'Union, en sa qualité propre d'institution internationale, jouisse d'une immunité de juridiction pénale, civile et administrative qui lui soit formellement reconnue par l'</w:t>
      </w:r>
      <w:r w:rsidR="004D44B1" w:rsidRPr="00B70950">
        <w:rPr>
          <w:szCs w:val="24"/>
        </w:rPr>
        <w:t>a</w:t>
      </w:r>
      <w:r w:rsidRPr="00B70950">
        <w:rPr>
          <w:szCs w:val="24"/>
        </w:rPr>
        <w:t>ccord de siège, et que, en parallèle, les bâtiments et espaces occupés par l'Union et les biens propriétés de l'Union ou utilisés par elle ne puissent faire l'objet d'aucune réquisition, perquisition, saisie ou mesure d'exécution. L'ensemble de ces éléments doit également figurer dans l'</w:t>
      </w:r>
      <w:r w:rsidR="004D44B1" w:rsidRPr="00B70950">
        <w:rPr>
          <w:szCs w:val="24"/>
        </w:rPr>
        <w:t>a</w:t>
      </w:r>
      <w:r w:rsidRPr="00B70950">
        <w:rPr>
          <w:szCs w:val="24"/>
        </w:rPr>
        <w:t>ccord de siège.</w:t>
      </w:r>
    </w:p>
    <w:p w:rsidR="00D429F6" w:rsidRPr="00B70950" w:rsidRDefault="00D429F6" w:rsidP="00F103FD">
      <w:pPr>
        <w:pStyle w:val="Headingb"/>
      </w:pPr>
      <w:r w:rsidRPr="00B70950">
        <w:lastRenderedPageBreak/>
        <w:t>Liberté de communication et de publication</w:t>
      </w:r>
    </w:p>
    <w:p w:rsidR="00D429F6" w:rsidRPr="00B70950" w:rsidRDefault="00D429F6" w:rsidP="00F103FD">
      <w:pPr>
        <w:keepNext/>
        <w:keepLines/>
        <w:rPr>
          <w:szCs w:val="24"/>
        </w:rPr>
      </w:pPr>
      <w:r w:rsidRPr="00B70950">
        <w:rPr>
          <w:szCs w:val="24"/>
        </w:rPr>
        <w:t>8.44</w:t>
      </w:r>
      <w:r w:rsidRPr="00B70950">
        <w:rPr>
          <w:szCs w:val="24"/>
        </w:rPr>
        <w:tab/>
        <w:t>Les publications de l'Union constituent l'un de ses modes principaux d'expression. En conséquence, le principe selon lequel les publications de l'Union ne sont soumises de la part d</w:t>
      </w:r>
      <w:r w:rsidR="00526CF6" w:rsidRPr="00B70950">
        <w:rPr>
          <w:szCs w:val="24"/>
        </w:rPr>
        <w:t>u pays</w:t>
      </w:r>
      <w:r w:rsidRPr="00B70950">
        <w:rPr>
          <w:szCs w:val="24"/>
        </w:rPr>
        <w:t xml:space="preserve"> hôte à aucune restriction</w:t>
      </w:r>
      <w:r w:rsidR="00526CF6" w:rsidRPr="00B70950">
        <w:rPr>
          <w:szCs w:val="24"/>
        </w:rPr>
        <w:t>,</w:t>
      </w:r>
      <w:r w:rsidRPr="00B70950">
        <w:rPr>
          <w:szCs w:val="24"/>
        </w:rPr>
        <w:t xml:space="preserve"> de quelque nature que ce soit</w:t>
      </w:r>
      <w:r w:rsidR="00526CF6" w:rsidRPr="00B70950">
        <w:rPr>
          <w:szCs w:val="24"/>
        </w:rPr>
        <w:t>,</w:t>
      </w:r>
      <w:r w:rsidRPr="00B70950">
        <w:rPr>
          <w:szCs w:val="24"/>
        </w:rPr>
        <w:t xml:space="preserve"> doit également être </w:t>
      </w:r>
      <w:r w:rsidR="00526CF6" w:rsidRPr="00B70950">
        <w:rPr>
          <w:szCs w:val="24"/>
        </w:rPr>
        <w:t xml:space="preserve">consacré </w:t>
      </w:r>
      <w:r w:rsidRPr="00B70950">
        <w:rPr>
          <w:szCs w:val="24"/>
        </w:rPr>
        <w:t>dans l'</w:t>
      </w:r>
      <w:r w:rsidR="00526CF6" w:rsidRPr="00B70950">
        <w:rPr>
          <w:szCs w:val="24"/>
        </w:rPr>
        <w:t>a</w:t>
      </w:r>
      <w:r w:rsidRPr="00B70950">
        <w:rPr>
          <w:szCs w:val="24"/>
        </w:rPr>
        <w:t>ccord de siège.</w:t>
      </w:r>
    </w:p>
    <w:p w:rsidR="00D429F6" w:rsidRPr="00B70950" w:rsidRDefault="00D429F6" w:rsidP="007F1941">
      <w:pPr>
        <w:rPr>
          <w:szCs w:val="24"/>
        </w:rPr>
      </w:pPr>
      <w:r w:rsidRPr="00B70950">
        <w:rPr>
          <w:szCs w:val="24"/>
        </w:rPr>
        <w:t>8.45</w:t>
      </w:r>
      <w:r w:rsidRPr="00B70950">
        <w:rPr>
          <w:szCs w:val="24"/>
        </w:rPr>
        <w:tab/>
        <w:t>De même, la nature même, par essence transfrontalière</w:t>
      </w:r>
      <w:r w:rsidR="00526CF6" w:rsidRPr="00B70950">
        <w:rPr>
          <w:szCs w:val="24"/>
        </w:rPr>
        <w:t>,</w:t>
      </w:r>
      <w:r w:rsidRPr="00B70950">
        <w:rPr>
          <w:szCs w:val="24"/>
        </w:rPr>
        <w:t xml:space="preserve"> des fonctions d'une organisation internationale et, plus particulièrement de l'UIT, impose que ses communications soient à la fois libres et efficaces. A l'heure actuelle, le statut des communications des organisations internationales, y compris de l'UIT, est défini par renvoi aux droits, privilèges et facilités octroyés à cet égard à l'ONU et, le cas échéant, aux représentations diplomatiques. C'est en effet sur ce régime qu'est actuellement </w:t>
      </w:r>
      <w:r w:rsidR="00526CF6" w:rsidRPr="00B70950">
        <w:rPr>
          <w:szCs w:val="24"/>
        </w:rPr>
        <w:t>fondée</w:t>
      </w:r>
      <w:r w:rsidRPr="00B70950">
        <w:rPr>
          <w:szCs w:val="24"/>
        </w:rPr>
        <w:t xml:space="preserve"> l'inviolabilité des communications de l'UIT. Ce régime doit impérativement être maintenu au travers d'une disposition à cet effet dans l'</w:t>
      </w:r>
      <w:r w:rsidR="00526CF6" w:rsidRPr="00B70950">
        <w:rPr>
          <w:szCs w:val="24"/>
        </w:rPr>
        <w:t>a</w:t>
      </w:r>
      <w:r w:rsidRPr="00B70950">
        <w:rPr>
          <w:szCs w:val="24"/>
        </w:rPr>
        <w:t>ccord de siège.</w:t>
      </w:r>
    </w:p>
    <w:p w:rsidR="00D429F6" w:rsidRPr="00B70950" w:rsidRDefault="00526CF6" w:rsidP="005476E1">
      <w:pPr>
        <w:rPr>
          <w:b/>
          <w:bCs/>
        </w:rPr>
      </w:pPr>
      <w:r w:rsidRPr="00B70950">
        <w:rPr>
          <w:b/>
          <w:bCs/>
        </w:rPr>
        <w:t>P</w:t>
      </w:r>
      <w:r w:rsidR="00D429F6" w:rsidRPr="00B70950">
        <w:rPr>
          <w:b/>
          <w:bCs/>
        </w:rPr>
        <w:t>rivilèges et immunités de nature fiscale, financière, d</w:t>
      </w:r>
      <w:r w:rsidRPr="00B70950">
        <w:rPr>
          <w:b/>
          <w:bCs/>
        </w:rPr>
        <w:t>ouanière et</w:t>
      </w:r>
      <w:r w:rsidR="00A47FFC" w:rsidRPr="00B70950">
        <w:rPr>
          <w:b/>
          <w:bCs/>
        </w:rPr>
        <w:t>,</w:t>
      </w:r>
      <w:r w:rsidRPr="00B70950">
        <w:rPr>
          <w:b/>
          <w:bCs/>
        </w:rPr>
        <w:t xml:space="preserve"> plus généralement, </w:t>
      </w:r>
      <w:r w:rsidR="00D429F6" w:rsidRPr="00B70950">
        <w:rPr>
          <w:b/>
          <w:bCs/>
        </w:rPr>
        <w:t>absence de restriction à la liberté de circulation des biens et des capitaux</w:t>
      </w:r>
    </w:p>
    <w:p w:rsidR="00D429F6" w:rsidRPr="00B70950" w:rsidRDefault="00D429F6" w:rsidP="007F1941">
      <w:pPr>
        <w:rPr>
          <w:szCs w:val="24"/>
        </w:rPr>
      </w:pPr>
      <w:r w:rsidRPr="00B70950">
        <w:rPr>
          <w:szCs w:val="24"/>
        </w:rPr>
        <w:t>8.46</w:t>
      </w:r>
      <w:r w:rsidRPr="00B70950">
        <w:rPr>
          <w:szCs w:val="24"/>
        </w:rPr>
        <w:tab/>
        <w:t>L'exonération pour l'Union, ses avoirs, revenus et autres biens, de tout impôt direct, qu'il soit national, régional ou communal, doit figurer dans l'</w:t>
      </w:r>
      <w:r w:rsidR="00526CF6" w:rsidRPr="00B70950">
        <w:rPr>
          <w:szCs w:val="24"/>
        </w:rPr>
        <w:t>a</w:t>
      </w:r>
      <w:r w:rsidRPr="00B70950">
        <w:rPr>
          <w:szCs w:val="24"/>
        </w:rPr>
        <w:t xml:space="preserve">ccord de siège, de même que l'exonération de tout impôt indirect, tel que la </w:t>
      </w:r>
      <w:r w:rsidR="00526CF6" w:rsidRPr="00B70950">
        <w:rPr>
          <w:szCs w:val="24"/>
        </w:rPr>
        <w:t>t</w:t>
      </w:r>
      <w:r w:rsidRPr="00B70950">
        <w:rPr>
          <w:szCs w:val="24"/>
        </w:rPr>
        <w:t xml:space="preserve">axe sur la </w:t>
      </w:r>
      <w:r w:rsidR="00EB22F2" w:rsidRPr="00B70950">
        <w:rPr>
          <w:szCs w:val="24"/>
        </w:rPr>
        <w:t>v</w:t>
      </w:r>
      <w:r w:rsidRPr="00B70950">
        <w:rPr>
          <w:szCs w:val="24"/>
        </w:rPr>
        <w:t xml:space="preserve">aleur </w:t>
      </w:r>
      <w:r w:rsidR="00EB22F2" w:rsidRPr="00B70950">
        <w:rPr>
          <w:szCs w:val="24"/>
        </w:rPr>
        <w:t>a</w:t>
      </w:r>
      <w:r w:rsidRPr="00B70950">
        <w:rPr>
          <w:szCs w:val="24"/>
        </w:rPr>
        <w:t>joutée, et des droits d'enregistrement, notamment ceux habituellement perçus à l'occasion de mutations immobilières.</w:t>
      </w:r>
    </w:p>
    <w:p w:rsidR="00D429F6" w:rsidRPr="00B70950" w:rsidRDefault="00D429F6" w:rsidP="00AA0684">
      <w:pPr>
        <w:rPr>
          <w:b/>
          <w:bCs/>
          <w:szCs w:val="24"/>
        </w:rPr>
      </w:pPr>
      <w:r w:rsidRPr="00B70950">
        <w:rPr>
          <w:b/>
          <w:bCs/>
          <w:szCs w:val="24"/>
        </w:rPr>
        <w:t>Privilèges et immunités de nature financière</w:t>
      </w:r>
    </w:p>
    <w:p w:rsidR="00D429F6" w:rsidRPr="00B70950" w:rsidRDefault="00D429F6" w:rsidP="007F1941">
      <w:pPr>
        <w:rPr>
          <w:szCs w:val="24"/>
        </w:rPr>
      </w:pPr>
      <w:r w:rsidRPr="00B70950">
        <w:rPr>
          <w:szCs w:val="24"/>
        </w:rPr>
        <w:t>8.47</w:t>
      </w:r>
      <w:r w:rsidRPr="00B70950">
        <w:rPr>
          <w:szCs w:val="24"/>
        </w:rPr>
        <w:tab/>
        <w:t xml:space="preserve">L'UIT doit jouir d'une liberté des changes étendue et, à ce titre, elle doit pouvoir librement recevoir et détenir des devises, les transférer, ou encore les convertir. Il en va de même de l'or, des numéraires et autres valeurs </w:t>
      </w:r>
      <w:proofErr w:type="gramStart"/>
      <w:r w:rsidRPr="00B70950">
        <w:rPr>
          <w:szCs w:val="24"/>
        </w:rPr>
        <w:t>mobilières;</w:t>
      </w:r>
      <w:proofErr w:type="gramEnd"/>
      <w:r w:rsidRPr="00B70950">
        <w:rPr>
          <w:szCs w:val="24"/>
        </w:rPr>
        <w:t xml:space="preserve"> autant d'éléments qui, eux aussi, doivent être reflétés dans l'</w:t>
      </w:r>
      <w:r w:rsidR="00526CF6" w:rsidRPr="00B70950">
        <w:rPr>
          <w:szCs w:val="24"/>
        </w:rPr>
        <w:t>a</w:t>
      </w:r>
      <w:r w:rsidRPr="00B70950">
        <w:rPr>
          <w:szCs w:val="24"/>
        </w:rPr>
        <w:t>ccord de siège.</w:t>
      </w:r>
    </w:p>
    <w:p w:rsidR="00D429F6" w:rsidRPr="00B70950" w:rsidRDefault="00D429F6" w:rsidP="005476E1">
      <w:pPr>
        <w:pStyle w:val="Headingb"/>
        <w:ind w:left="0" w:firstLine="0"/>
      </w:pPr>
      <w:r w:rsidRPr="00B70950">
        <w:t>Privilèges et immunités de nature douanière et absence de prohibition et restriction d'importation et d'exportation</w:t>
      </w:r>
    </w:p>
    <w:p w:rsidR="00D429F6" w:rsidRPr="00B70950" w:rsidRDefault="00D429F6" w:rsidP="007F1941">
      <w:pPr>
        <w:rPr>
          <w:szCs w:val="24"/>
        </w:rPr>
      </w:pPr>
      <w:r w:rsidRPr="00B70950">
        <w:rPr>
          <w:szCs w:val="24"/>
        </w:rPr>
        <w:t>8.48</w:t>
      </w:r>
      <w:r w:rsidRPr="00B70950">
        <w:rPr>
          <w:szCs w:val="24"/>
        </w:rPr>
        <w:tab/>
        <w:t>La libre circulation des articles de l'Union ne doit pas être entravée par une augmentation de prix d'achat qui pourrait être majorée par l'imposition de droits de douane</w:t>
      </w:r>
      <w:r w:rsidR="00526CF6" w:rsidRPr="00B70950">
        <w:rPr>
          <w:szCs w:val="24"/>
        </w:rPr>
        <w:t>,</w:t>
      </w:r>
      <w:r w:rsidRPr="00B70950">
        <w:rPr>
          <w:szCs w:val="24"/>
        </w:rPr>
        <w:t xml:space="preserve"> soit à l'importation, soit à l'exportation. En effet, dans ces conditions, la liberté de l'Union serait affectée dans la mesure où l'existence de droits de douanes pourrait conduire l'Union à être contrainte de devoir s'approvisionner </w:t>
      </w:r>
      <w:r w:rsidR="00526CF6" w:rsidRPr="00B70950">
        <w:rPr>
          <w:szCs w:val="24"/>
        </w:rPr>
        <w:t>auprès du</w:t>
      </w:r>
      <w:r w:rsidRPr="00B70950">
        <w:rPr>
          <w:szCs w:val="24"/>
        </w:rPr>
        <w:t xml:space="preserve"> pays hôte.</w:t>
      </w:r>
    </w:p>
    <w:p w:rsidR="00D429F6" w:rsidRPr="00B70950" w:rsidRDefault="00D429F6" w:rsidP="007F1941">
      <w:pPr>
        <w:rPr>
          <w:szCs w:val="24"/>
        </w:rPr>
      </w:pPr>
      <w:r w:rsidRPr="00B70950">
        <w:rPr>
          <w:szCs w:val="24"/>
        </w:rPr>
        <w:t>8.49</w:t>
      </w:r>
      <w:r w:rsidRPr="00B70950">
        <w:rPr>
          <w:szCs w:val="24"/>
        </w:rPr>
        <w:tab/>
        <w:t>De même, cette liberté ne doit pas non plus être altérée par des obstacles administratifs. La circulation des articles destinés à l'Union ne doit pas être prohibée ni même restreinte par des prescriptions administratives susceptibles de contraindre l'Union à acheter sur le marché du pays hôte.</w:t>
      </w:r>
    </w:p>
    <w:p w:rsidR="00D429F6" w:rsidRPr="00B70950" w:rsidRDefault="00D429F6" w:rsidP="007F1941">
      <w:pPr>
        <w:rPr>
          <w:szCs w:val="24"/>
        </w:rPr>
      </w:pPr>
      <w:r w:rsidRPr="00B70950">
        <w:rPr>
          <w:szCs w:val="24"/>
        </w:rPr>
        <w:t>8.50</w:t>
      </w:r>
      <w:r w:rsidRPr="00B70950">
        <w:rPr>
          <w:szCs w:val="24"/>
        </w:rPr>
        <w:tab/>
        <w:t>En conséquence, il importe que l'</w:t>
      </w:r>
      <w:r w:rsidR="00447737" w:rsidRPr="00B70950">
        <w:rPr>
          <w:szCs w:val="24"/>
        </w:rPr>
        <w:t>a</w:t>
      </w:r>
      <w:r w:rsidRPr="00B70950">
        <w:rPr>
          <w:szCs w:val="24"/>
        </w:rPr>
        <w:t>ccord de siège stipule clairement que les articles de l'Union sont exonérés de droits de douane et échappent à toute prohibition et restriction d'importation et d'exportation.</w:t>
      </w:r>
    </w:p>
    <w:p w:rsidR="00D429F6" w:rsidRPr="00B70950" w:rsidRDefault="00D429F6" w:rsidP="007F1941">
      <w:pPr>
        <w:rPr>
          <w:szCs w:val="24"/>
        </w:rPr>
      </w:pPr>
      <w:r w:rsidRPr="00B70950">
        <w:rPr>
          <w:szCs w:val="24"/>
        </w:rPr>
        <w:t>8.51</w:t>
      </w:r>
      <w:r w:rsidRPr="00B70950">
        <w:rPr>
          <w:szCs w:val="24"/>
        </w:rPr>
        <w:tab/>
        <w:t>Outre les privilèges, immunités et facilités accordés à l'UIT</w:t>
      </w:r>
      <w:r w:rsidR="00526CF6" w:rsidRPr="00B70950">
        <w:rPr>
          <w:szCs w:val="24"/>
        </w:rPr>
        <w:t xml:space="preserve"> en tant que</w:t>
      </w:r>
      <w:r w:rsidRPr="00B70950">
        <w:rPr>
          <w:szCs w:val="24"/>
        </w:rPr>
        <w:t xml:space="preserve"> personne juridique, l'</w:t>
      </w:r>
      <w:r w:rsidR="00447737" w:rsidRPr="00B70950">
        <w:rPr>
          <w:szCs w:val="24"/>
        </w:rPr>
        <w:t>a</w:t>
      </w:r>
      <w:r w:rsidRPr="00B70950">
        <w:rPr>
          <w:szCs w:val="24"/>
        </w:rPr>
        <w:t>ccord de siège doit également contenir des dispositions précises et détaillées sur les privilèges, immunités et facilités accordées aux personnes physiques qui participent à ses activités ainsi qu'à son personnel.</w:t>
      </w:r>
    </w:p>
    <w:p w:rsidR="00D429F6" w:rsidRPr="00B70950" w:rsidRDefault="00D429F6" w:rsidP="007F1941">
      <w:pPr>
        <w:pStyle w:val="Headingb"/>
      </w:pPr>
      <w:r w:rsidRPr="00B70950">
        <w:lastRenderedPageBreak/>
        <w:t>Privilèges, immunités et facilités accordés aux participants aux activités de l'Union</w:t>
      </w:r>
    </w:p>
    <w:p w:rsidR="00D429F6" w:rsidRPr="00B70950" w:rsidRDefault="00D429F6" w:rsidP="007F1941">
      <w:pPr>
        <w:rPr>
          <w:szCs w:val="24"/>
        </w:rPr>
      </w:pPr>
      <w:r w:rsidRPr="00B70950">
        <w:rPr>
          <w:szCs w:val="24"/>
        </w:rPr>
        <w:t>8.52</w:t>
      </w:r>
      <w:r w:rsidRPr="00B70950">
        <w:rPr>
          <w:szCs w:val="24"/>
        </w:rPr>
        <w:tab/>
        <w:t>A cet égard, l'Accord de siège doit identifier, à tout le moins, les privilèges, immunités et facilités octroyés aux représentants (permanents ou autres) des Etats Membres de l'Union, aux membres du RRB et aux experts en mission pour l'Union.</w:t>
      </w:r>
    </w:p>
    <w:p w:rsidR="00D429F6" w:rsidRPr="00B70950" w:rsidRDefault="00D429F6" w:rsidP="005476E1">
      <w:pPr>
        <w:keepLines/>
        <w:rPr>
          <w:szCs w:val="24"/>
        </w:rPr>
      </w:pPr>
      <w:proofErr w:type="gramStart"/>
      <w:r w:rsidRPr="00B70950">
        <w:rPr>
          <w:szCs w:val="24"/>
        </w:rPr>
        <w:t>8.53</w:t>
      </w:r>
      <w:r w:rsidRPr="00B70950">
        <w:rPr>
          <w:szCs w:val="24"/>
        </w:rPr>
        <w:tab/>
        <w:t>Sans entrer à ce stade dans le détail ni dresser une liste exhaustive, il faut rappeler qu'en substance, les représentants permanents jouissent d'immunités et de privilèges de nature diplomatique alors que les privilèges et immunités des autres représentants sont de nature fonctionnelle (immunité d'arrestation ou de détention pour les actes accomplis, les paroles prononcées ou les écrits rédigés, dans l'exercice de leurs fonctions, immunité de juridiction, inviolabilité de la personne et du lieu de résidence, exemption de mesures restrictives à l'entrée et au séjour sur le territoire, facilités douanières, facilités en ce qui concerne les r</w:t>
      </w:r>
      <w:r w:rsidR="00447737" w:rsidRPr="00B70950">
        <w:rPr>
          <w:szCs w:val="24"/>
        </w:rPr>
        <w:t>é</w:t>
      </w:r>
      <w:r w:rsidRPr="00B70950">
        <w:rPr>
          <w:szCs w:val="24"/>
        </w:rPr>
        <w:t>glemen</w:t>
      </w:r>
      <w:r w:rsidR="00526CF6" w:rsidRPr="00B70950">
        <w:rPr>
          <w:szCs w:val="24"/>
        </w:rPr>
        <w:t>tations monétaires ou de change</w:t>
      </w:r>
      <w:r w:rsidRPr="00B70950">
        <w:rPr>
          <w:szCs w:val="24"/>
        </w:rPr>
        <w:t>, etc.).</w:t>
      </w:r>
      <w:proofErr w:type="gramEnd"/>
    </w:p>
    <w:p w:rsidR="00D429F6" w:rsidRPr="00B70950" w:rsidRDefault="00D429F6" w:rsidP="007F1941">
      <w:pPr>
        <w:rPr>
          <w:szCs w:val="24"/>
        </w:rPr>
      </w:pPr>
      <w:r w:rsidRPr="00B70950">
        <w:rPr>
          <w:szCs w:val="24"/>
        </w:rPr>
        <w:t>8.54</w:t>
      </w:r>
      <w:r w:rsidRPr="00B70950">
        <w:rPr>
          <w:szCs w:val="24"/>
        </w:rPr>
        <w:tab/>
        <w:t>En ce qui concerne les membres du RRB, il convient que l'</w:t>
      </w:r>
      <w:r w:rsidR="00A47FFC" w:rsidRPr="00B70950">
        <w:rPr>
          <w:szCs w:val="24"/>
        </w:rPr>
        <w:t>a</w:t>
      </w:r>
      <w:r w:rsidRPr="00B70950">
        <w:rPr>
          <w:szCs w:val="24"/>
        </w:rPr>
        <w:t>ccord de siège contienne des dispositions en adéquation avec le numéro 142A de la Convention de l'UIT.</w:t>
      </w:r>
    </w:p>
    <w:p w:rsidR="00D429F6" w:rsidRPr="00B70950" w:rsidRDefault="00D429F6" w:rsidP="007F1941">
      <w:pPr>
        <w:rPr>
          <w:szCs w:val="24"/>
        </w:rPr>
      </w:pPr>
      <w:r w:rsidRPr="00B70950">
        <w:rPr>
          <w:szCs w:val="24"/>
        </w:rPr>
        <w:t>8.55</w:t>
      </w:r>
      <w:r w:rsidRPr="00B70950">
        <w:rPr>
          <w:szCs w:val="24"/>
        </w:rPr>
        <w:tab/>
        <w:t>Les experts qui accomplissent des missions au siège pour l'Union doivent également jouir, pendant toute la durée de leur mission, de privilèges et immunités nécessaires à l'exercice de cette mission de façon pleinement indépendante. Parmi ces privilèges et immunités reconnus par l'</w:t>
      </w:r>
      <w:r w:rsidR="00A47FFC" w:rsidRPr="00B70950">
        <w:rPr>
          <w:szCs w:val="24"/>
        </w:rPr>
        <w:t>a</w:t>
      </w:r>
      <w:r w:rsidRPr="00B70950">
        <w:rPr>
          <w:szCs w:val="24"/>
        </w:rPr>
        <w:t>ccord de siège figurent, entre autres, l'exemption de toute mesure restrictive relative à l'entrée et au séjour sur le territoire de l'Etat hôte, l'immunité d'arrestation personnelle, de détention et de saisie de bagages personnels, l'immunité juridictionnelle pour les actes accomplis, les paroles prononcées et les écrits formulés au cours des missions, l'inviolabilité de tous documents quel qu'en soit le support, des facilités en matière monétaire et de change, etc.</w:t>
      </w:r>
    </w:p>
    <w:p w:rsidR="00D429F6" w:rsidRPr="00B70950" w:rsidRDefault="00D429F6" w:rsidP="007F1941">
      <w:pPr>
        <w:pStyle w:val="Headingb"/>
      </w:pPr>
      <w:r w:rsidRPr="00B70950">
        <w:t>Privilèges, immunités et facilités accordés aux fonctionnaires de l'Union</w:t>
      </w:r>
    </w:p>
    <w:p w:rsidR="00D429F6" w:rsidRPr="00B70950" w:rsidRDefault="00D429F6" w:rsidP="00AA0684">
      <w:pPr>
        <w:rPr>
          <w:szCs w:val="24"/>
        </w:rPr>
      </w:pPr>
      <w:r w:rsidRPr="00B70950">
        <w:rPr>
          <w:szCs w:val="24"/>
        </w:rPr>
        <w:t>8.56</w:t>
      </w:r>
      <w:r w:rsidRPr="00B70950">
        <w:rPr>
          <w:szCs w:val="24"/>
        </w:rPr>
        <w:tab/>
        <w:t>Les cinq fonctionnaires élus ainsi que certaines catégories de fonctionnaires nommés (grade</w:t>
      </w:r>
      <w:r w:rsidR="00447737" w:rsidRPr="00B70950">
        <w:rPr>
          <w:szCs w:val="24"/>
        </w:rPr>
        <w:t> </w:t>
      </w:r>
      <w:r w:rsidRPr="00B70950">
        <w:rPr>
          <w:szCs w:val="24"/>
        </w:rPr>
        <w:t xml:space="preserve">P5 et supérieur) doivent bénéficier dans </w:t>
      </w:r>
      <w:r w:rsidR="00EB22F2" w:rsidRPr="00B70950">
        <w:rPr>
          <w:szCs w:val="24"/>
        </w:rPr>
        <w:t>le pays</w:t>
      </w:r>
      <w:r w:rsidRPr="00B70950">
        <w:rPr>
          <w:szCs w:val="24"/>
        </w:rPr>
        <w:t xml:space="preserve"> hôte, en vertu de l'</w:t>
      </w:r>
      <w:r w:rsidR="00447737" w:rsidRPr="00B70950">
        <w:rPr>
          <w:szCs w:val="24"/>
        </w:rPr>
        <w:t>a</w:t>
      </w:r>
      <w:r w:rsidRPr="00B70950">
        <w:rPr>
          <w:szCs w:val="24"/>
        </w:rPr>
        <w:t>ccord de siège, des privilèges, immunités, exemptions et facilités reconnus aux agents diplomatiques conformément au droit international et aux usages internationaux.</w:t>
      </w:r>
    </w:p>
    <w:p w:rsidR="00D429F6" w:rsidRPr="00B70950" w:rsidRDefault="00D429F6" w:rsidP="007F1941">
      <w:pPr>
        <w:rPr>
          <w:szCs w:val="24"/>
        </w:rPr>
      </w:pPr>
      <w:proofErr w:type="gramStart"/>
      <w:r w:rsidRPr="00B70950">
        <w:rPr>
          <w:szCs w:val="24"/>
        </w:rPr>
        <w:t>8.57</w:t>
      </w:r>
      <w:r w:rsidRPr="00B70950">
        <w:rPr>
          <w:szCs w:val="24"/>
        </w:rPr>
        <w:tab/>
        <w:t>En outre, tous les fonctionnaires, de quelque grade que ce soit et quelle que soit leur nationalité (y compris les ressortissants d</w:t>
      </w:r>
      <w:r w:rsidR="00EB22F2" w:rsidRPr="00B70950">
        <w:rPr>
          <w:szCs w:val="24"/>
        </w:rPr>
        <w:t>u pays</w:t>
      </w:r>
      <w:r w:rsidRPr="00B70950">
        <w:rPr>
          <w:szCs w:val="24"/>
        </w:rPr>
        <w:t xml:space="preserve"> hôte) doivent se voir reconnaître, au travers de l'</w:t>
      </w:r>
      <w:r w:rsidR="00447737" w:rsidRPr="00B70950">
        <w:rPr>
          <w:szCs w:val="24"/>
        </w:rPr>
        <w:t>a</w:t>
      </w:r>
      <w:r w:rsidRPr="00B70950">
        <w:rPr>
          <w:szCs w:val="24"/>
        </w:rPr>
        <w:t>ccord de siège, au minimum les privilèges, immunités et facilités suivants: immunité de juridiction pour tous les actes accomplis, les paroles prononcées et les écrits rédigés dans l'exercice de leurs fonctions; exemption de tous impôts (nationaux, régionaux, communaux) sur les traitements, émoluments, indemnités versés par l'Union, sur les prestations en capital versées par une caisse de pension ou institution de prévoyance exerçant son activité en faveur des fonctionnaires, sur toute indemnité versée à la suite de maladie ou d'accident; exemption d'obligation relative au service national dans le pays hôte (à l'exception des ressortissants dudit pays); absence de restriction quant à l'immigration et aux formalités d'enregistrement (y compris pour les conjoints et membres de la famille du fonctionnaire); facilités de change; facilités de rapatriement en cas de crise internationale (y compris pour les membres de la famille et le personnel domestique); facilités en matière douanière, etc.</w:t>
      </w:r>
      <w:proofErr w:type="gramEnd"/>
    </w:p>
    <w:p w:rsidR="00D429F6" w:rsidRPr="00B70950" w:rsidRDefault="00D429F6" w:rsidP="007F1941">
      <w:pPr>
        <w:rPr>
          <w:szCs w:val="24"/>
        </w:rPr>
      </w:pPr>
      <w:r w:rsidRPr="00B70950">
        <w:rPr>
          <w:szCs w:val="24"/>
        </w:rPr>
        <w:t>8.58</w:t>
      </w:r>
      <w:r w:rsidRPr="00B70950">
        <w:rPr>
          <w:szCs w:val="24"/>
        </w:rPr>
        <w:tab/>
        <w:t>De manière corrélative, l'</w:t>
      </w:r>
      <w:r w:rsidR="00447737" w:rsidRPr="00B70950">
        <w:rPr>
          <w:szCs w:val="24"/>
        </w:rPr>
        <w:t>a</w:t>
      </w:r>
      <w:r w:rsidRPr="00B70950">
        <w:rPr>
          <w:szCs w:val="24"/>
        </w:rPr>
        <w:t xml:space="preserve">ccord de siège doit prévoir, tant pour les participants aux activités de l'UIT que pour ses fonctionnaires, des procédures simplifiées et rapides pour la délivrance de visas, sans qu'il soit besoin d'acquitter de taxes, ainsi que la délivrance gratuite pour les fonctionnaires et les membres de leur famille d'un document valant permis de séjour dans </w:t>
      </w:r>
      <w:r w:rsidR="00EB22F2" w:rsidRPr="00B70950">
        <w:rPr>
          <w:szCs w:val="24"/>
        </w:rPr>
        <w:t xml:space="preserve">le pays </w:t>
      </w:r>
      <w:r w:rsidRPr="00B70950">
        <w:rPr>
          <w:szCs w:val="24"/>
        </w:rPr>
        <w:lastRenderedPageBreak/>
        <w:t>hôte. Enfin, des mécanismes simplifiés et non restrictifs d'accès au marché de travail dans le pays hôte pour les conjoints des fonctionnaires doivent également être inclus dans l'</w:t>
      </w:r>
      <w:r w:rsidR="00447737" w:rsidRPr="00B70950">
        <w:rPr>
          <w:szCs w:val="24"/>
        </w:rPr>
        <w:t>a</w:t>
      </w:r>
      <w:r w:rsidRPr="00B70950">
        <w:rPr>
          <w:szCs w:val="24"/>
        </w:rPr>
        <w:t>ccord de siège ou son arrangement d'exécution.</w:t>
      </w:r>
    </w:p>
    <w:p w:rsidR="00D429F6" w:rsidRPr="00B70950" w:rsidRDefault="00D429F6" w:rsidP="00DD5A77">
      <w:pPr>
        <w:keepNext/>
        <w:keepLines/>
        <w:rPr>
          <w:szCs w:val="24"/>
        </w:rPr>
      </w:pPr>
      <w:r w:rsidRPr="00B70950">
        <w:rPr>
          <w:b/>
          <w:bCs/>
          <w:szCs w:val="24"/>
        </w:rPr>
        <w:t>Prévoyance sociale</w:t>
      </w:r>
    </w:p>
    <w:p w:rsidR="00D429F6" w:rsidRPr="00B70950" w:rsidRDefault="00D429F6" w:rsidP="007F1941">
      <w:pPr>
        <w:rPr>
          <w:szCs w:val="24"/>
        </w:rPr>
      </w:pPr>
      <w:r w:rsidRPr="00B70950">
        <w:rPr>
          <w:szCs w:val="24"/>
        </w:rPr>
        <w:t>8.59</w:t>
      </w:r>
      <w:r w:rsidRPr="00B70950">
        <w:rPr>
          <w:szCs w:val="24"/>
        </w:rPr>
        <w:tab/>
        <w:t>Afin de compléter ce rapide tour d'horizon, qui ne se veut nullement exhaustif, il importe de préciser que l'</w:t>
      </w:r>
      <w:r w:rsidR="00447737" w:rsidRPr="00B70950">
        <w:rPr>
          <w:szCs w:val="24"/>
        </w:rPr>
        <w:t>a</w:t>
      </w:r>
      <w:r w:rsidRPr="00B70950">
        <w:rPr>
          <w:szCs w:val="24"/>
        </w:rPr>
        <w:t>ccord de siège doit également contenir des dispositions portant exemption pour l'Union de toutes contributions à des institutions générales de prévoyance sociale d</w:t>
      </w:r>
      <w:r w:rsidR="00EB22F2" w:rsidRPr="00B70950">
        <w:rPr>
          <w:szCs w:val="24"/>
        </w:rPr>
        <w:t xml:space="preserve">u pays </w:t>
      </w:r>
      <w:r w:rsidRPr="00B70950">
        <w:rPr>
          <w:szCs w:val="24"/>
        </w:rPr>
        <w:t>hôte.</w:t>
      </w:r>
    </w:p>
    <w:p w:rsidR="00D429F6" w:rsidRPr="00B70950" w:rsidRDefault="00D429F6" w:rsidP="007F1941">
      <w:pPr>
        <w:pStyle w:val="Headingb"/>
      </w:pPr>
      <w:r w:rsidRPr="00B70950">
        <w:t>Conclusion</w:t>
      </w:r>
    </w:p>
    <w:p w:rsidR="00D429F6" w:rsidRPr="00B70950" w:rsidRDefault="00D429F6" w:rsidP="007F1941">
      <w:pPr>
        <w:rPr>
          <w:szCs w:val="24"/>
        </w:rPr>
      </w:pPr>
      <w:r w:rsidRPr="00B70950">
        <w:rPr>
          <w:szCs w:val="24"/>
        </w:rPr>
        <w:t>8.60</w:t>
      </w:r>
      <w:r w:rsidRPr="00B70950">
        <w:rPr>
          <w:szCs w:val="24"/>
        </w:rPr>
        <w:tab/>
        <w:t xml:space="preserve">La négociation d'un </w:t>
      </w:r>
      <w:r w:rsidR="00447737" w:rsidRPr="00B70950">
        <w:rPr>
          <w:szCs w:val="24"/>
        </w:rPr>
        <w:t>a</w:t>
      </w:r>
      <w:r w:rsidRPr="00B70950">
        <w:rPr>
          <w:szCs w:val="24"/>
        </w:rPr>
        <w:t xml:space="preserve">ccord de siège est un processus qui peut s'avérer long et complexe (dépendant du cadre juridique et institutionnel et de la structure économique et sociale du pays hôte), difficultés qui peuvent être accrues si le pays hôte n'est pas partie à la Convention de 1947 sur les privilèges et immunités des </w:t>
      </w:r>
      <w:r w:rsidR="00EB22F2" w:rsidRPr="00B70950">
        <w:rPr>
          <w:szCs w:val="24"/>
        </w:rPr>
        <w:t>i</w:t>
      </w:r>
      <w:r w:rsidRPr="00B70950">
        <w:rPr>
          <w:szCs w:val="24"/>
        </w:rPr>
        <w:t>nstitutions spécialisées.</w:t>
      </w:r>
    </w:p>
    <w:p w:rsidR="00D429F6" w:rsidRPr="00B70950" w:rsidRDefault="00D429F6" w:rsidP="00AA0684">
      <w:pPr>
        <w:pStyle w:val="Headingb"/>
      </w:pPr>
      <w:r w:rsidRPr="00B70950">
        <w:t>c)</w:t>
      </w:r>
      <w:r w:rsidRPr="00B70950">
        <w:tab/>
        <w:t>Résiliation et renégociation des accords et contrats de services fournis au siège de l'Union</w:t>
      </w:r>
    </w:p>
    <w:p w:rsidR="00D429F6" w:rsidRPr="00B70950" w:rsidRDefault="00D429F6" w:rsidP="007F1941">
      <w:pPr>
        <w:rPr>
          <w:szCs w:val="24"/>
        </w:rPr>
      </w:pPr>
      <w:r w:rsidRPr="00B70950">
        <w:rPr>
          <w:szCs w:val="24"/>
        </w:rPr>
        <w:t>8.61</w:t>
      </w:r>
      <w:r w:rsidRPr="00B70950">
        <w:rPr>
          <w:szCs w:val="24"/>
        </w:rPr>
        <w:tab/>
        <w:t xml:space="preserve">Il est vraisemblable que le transfert du siège de l'Union aurait également pour conséquence </w:t>
      </w:r>
      <w:r w:rsidR="00EB22F2" w:rsidRPr="00B70950">
        <w:rPr>
          <w:szCs w:val="24"/>
        </w:rPr>
        <w:t xml:space="preserve">la nécessité de </w:t>
      </w:r>
      <w:r w:rsidRPr="00B70950">
        <w:rPr>
          <w:szCs w:val="24"/>
        </w:rPr>
        <w:t>résilier la majeure partie des contrats de services fournis au siège, de relancer tout le processus d'attribution de ces marchés conformément aux procédures internes applicables en matière de passation des marchés et de renégocier lesdits contrats avec les nouveaux adjudicataires.</w:t>
      </w:r>
    </w:p>
    <w:p w:rsidR="00D429F6" w:rsidRPr="00B70950" w:rsidRDefault="00D429F6" w:rsidP="007F1941">
      <w:pPr>
        <w:pStyle w:val="Headingb"/>
      </w:pPr>
      <w:r w:rsidRPr="00B70950">
        <w:t>d)</w:t>
      </w:r>
      <w:r w:rsidRPr="00B70950">
        <w:tab/>
        <w:t>Cession éventuelle du droit de superficie détenu par l'UIT</w:t>
      </w:r>
    </w:p>
    <w:p w:rsidR="00D429F6" w:rsidRPr="00B70950" w:rsidRDefault="00D429F6" w:rsidP="007F1941">
      <w:pPr>
        <w:rPr>
          <w:szCs w:val="24"/>
        </w:rPr>
      </w:pPr>
      <w:r w:rsidRPr="00B70950">
        <w:rPr>
          <w:szCs w:val="24"/>
        </w:rPr>
        <w:t>8.62</w:t>
      </w:r>
      <w:r w:rsidRPr="00B70950">
        <w:rPr>
          <w:szCs w:val="24"/>
        </w:rPr>
        <w:tab/>
        <w:t>Dans l'hypothèse où le siège de l'Union serait transféré en dehors de Genève, l'Union n'aurait d'autre solution que de céder le droit de superficie que lui a concédé l'Etat de Genève.</w:t>
      </w:r>
    </w:p>
    <w:p w:rsidR="00D429F6" w:rsidRPr="00B70950" w:rsidRDefault="00D429F6" w:rsidP="007F1941">
      <w:pPr>
        <w:pStyle w:val="Headingb"/>
      </w:pPr>
      <w:r w:rsidRPr="00B70950">
        <w:t>Qu'es</w:t>
      </w:r>
      <w:r w:rsidR="00EB22F2" w:rsidRPr="00B70950">
        <w:t xml:space="preserve">t-ce que le droit de </w:t>
      </w:r>
      <w:proofErr w:type="gramStart"/>
      <w:r w:rsidR="00EB22F2" w:rsidRPr="00B70950">
        <w:t>superficie</w:t>
      </w:r>
      <w:r w:rsidRPr="00B70950">
        <w:t>?</w:t>
      </w:r>
      <w:proofErr w:type="gramEnd"/>
    </w:p>
    <w:p w:rsidR="00D429F6" w:rsidRPr="00B70950" w:rsidRDefault="00D429F6" w:rsidP="007F1941">
      <w:pPr>
        <w:rPr>
          <w:szCs w:val="24"/>
        </w:rPr>
      </w:pPr>
      <w:r w:rsidRPr="00B70950">
        <w:rPr>
          <w:szCs w:val="24"/>
        </w:rPr>
        <w:t>8.63</w:t>
      </w:r>
      <w:r w:rsidRPr="00B70950">
        <w:rPr>
          <w:szCs w:val="24"/>
        </w:rPr>
        <w:tab/>
        <w:t xml:space="preserve">En substance, le droit de superficie est une servitude personnelle qui confère au </w:t>
      </w:r>
      <w:proofErr w:type="spellStart"/>
      <w:r w:rsidRPr="00B70950">
        <w:rPr>
          <w:szCs w:val="24"/>
        </w:rPr>
        <w:t>superficiaire</w:t>
      </w:r>
      <w:proofErr w:type="spellEnd"/>
      <w:r w:rsidRPr="00B70950">
        <w:rPr>
          <w:szCs w:val="24"/>
        </w:rPr>
        <w:t>, en l'espèce l'UIT, le droit d'avoir sur la parcelle de terrain grevée des constructions et installations destinées à abriter ses services.</w:t>
      </w:r>
    </w:p>
    <w:p w:rsidR="00D429F6" w:rsidRPr="00B70950" w:rsidRDefault="00D429F6" w:rsidP="007F1941">
      <w:pPr>
        <w:rPr>
          <w:szCs w:val="24"/>
        </w:rPr>
      </w:pPr>
      <w:r w:rsidRPr="00B70950">
        <w:rPr>
          <w:szCs w:val="24"/>
        </w:rPr>
        <w:t>8.64</w:t>
      </w:r>
      <w:r w:rsidRPr="00B70950">
        <w:rPr>
          <w:szCs w:val="24"/>
        </w:rPr>
        <w:tab/>
        <w:t>En d'autres termes, le droit de superficie est le droit pour l'UIT d'être propriétaire d'un ou plusieurs bâtiments construits sur le fonds (terrain) d'un tiers, en l'espèce, l'Etat de Genève.</w:t>
      </w:r>
    </w:p>
    <w:p w:rsidR="00D429F6" w:rsidRPr="00B70950" w:rsidRDefault="00D429F6" w:rsidP="007F1941">
      <w:pPr>
        <w:rPr>
          <w:szCs w:val="24"/>
        </w:rPr>
      </w:pPr>
      <w:r w:rsidRPr="00B70950">
        <w:rPr>
          <w:szCs w:val="24"/>
        </w:rPr>
        <w:t>8.65</w:t>
      </w:r>
      <w:r w:rsidRPr="00B70950">
        <w:rPr>
          <w:szCs w:val="24"/>
        </w:rPr>
        <w:tab/>
        <w:t>Ce droit a initialement été concédé à l'Union à titre gratuit par un acte authentique signé devant Notaire le 22 décembre 1967. L'assiette de ce droit a, par la suite, été modifiée à plusieurs reprises au fil de l'édification des différents bâtiments de l'Union.</w:t>
      </w:r>
    </w:p>
    <w:p w:rsidR="00D429F6" w:rsidRPr="00B70950" w:rsidRDefault="00D429F6" w:rsidP="007F1941">
      <w:pPr>
        <w:rPr>
          <w:szCs w:val="24"/>
        </w:rPr>
      </w:pPr>
      <w:r w:rsidRPr="00B70950">
        <w:rPr>
          <w:szCs w:val="24"/>
        </w:rPr>
        <w:t>8.66</w:t>
      </w:r>
      <w:r w:rsidRPr="00B70950">
        <w:rPr>
          <w:szCs w:val="24"/>
        </w:rPr>
        <w:tab/>
        <w:t>Ce droit n'est pas concédé de manière permanente, si bien qu'il échoit pour l'UIT le 31 décembre 2079. Toutefois, ce droit est renouvelable et, en outre, il est cessible.</w:t>
      </w:r>
    </w:p>
    <w:p w:rsidR="00D429F6" w:rsidRPr="00B70950" w:rsidRDefault="00D429F6" w:rsidP="007F1941">
      <w:pPr>
        <w:rPr>
          <w:szCs w:val="24"/>
        </w:rPr>
      </w:pPr>
      <w:r w:rsidRPr="00B70950">
        <w:rPr>
          <w:szCs w:val="24"/>
        </w:rPr>
        <w:t>8.67</w:t>
      </w:r>
      <w:r w:rsidRPr="00B70950">
        <w:rPr>
          <w:szCs w:val="24"/>
        </w:rPr>
        <w:tab/>
        <w:t>En cas de non-renouvellement du droit de superficie en 2079, les bâtiments édifiés sur les parcelles grevées par le droit de superficie feraient retour au propriétaire du fonds, soit l'Etat de Genève, moyennant le versement éventuel d'une indemnité si l'UIT a procédé à des travaux d'agrandissement, à des transformations ou à des rénovations des bâtiments, impliquant d'importants investissements qui ne seraient pas entièrement amortis lors de l'extinction.</w:t>
      </w:r>
    </w:p>
    <w:p w:rsidR="00D429F6" w:rsidRPr="00B70950" w:rsidRDefault="00D429F6" w:rsidP="00AA0684">
      <w:pPr>
        <w:rPr>
          <w:szCs w:val="24"/>
        </w:rPr>
      </w:pPr>
      <w:r w:rsidRPr="00B70950">
        <w:rPr>
          <w:b/>
          <w:bCs/>
          <w:szCs w:val="24"/>
        </w:rPr>
        <w:t>Procédures et conditions de cession du droit de superficie</w:t>
      </w:r>
    </w:p>
    <w:p w:rsidR="00D429F6" w:rsidRPr="00B70950" w:rsidRDefault="00D429F6" w:rsidP="007F1941">
      <w:pPr>
        <w:rPr>
          <w:szCs w:val="24"/>
        </w:rPr>
      </w:pPr>
      <w:r w:rsidRPr="00B70950">
        <w:rPr>
          <w:szCs w:val="24"/>
        </w:rPr>
        <w:t>8.68</w:t>
      </w:r>
      <w:r w:rsidRPr="00B70950">
        <w:rPr>
          <w:szCs w:val="24"/>
        </w:rPr>
        <w:tab/>
        <w:t>Tel que mentionné ci-dessus, le droit de superficie est cessible à tout moment.</w:t>
      </w:r>
    </w:p>
    <w:p w:rsidR="00D429F6" w:rsidRPr="00B70950" w:rsidRDefault="00D429F6" w:rsidP="007F1941">
      <w:pPr>
        <w:rPr>
          <w:szCs w:val="24"/>
        </w:rPr>
      </w:pPr>
      <w:r w:rsidRPr="00B70950">
        <w:rPr>
          <w:szCs w:val="24"/>
        </w:rPr>
        <w:lastRenderedPageBreak/>
        <w:t>8.69</w:t>
      </w:r>
      <w:r w:rsidRPr="00B70950">
        <w:rPr>
          <w:szCs w:val="24"/>
        </w:rPr>
        <w:tab/>
        <w:t>Ainsi, l'Union peut-elle céder son droit de superficie, autrement dit, vendre ses bâtiments à un tiers, sous réserve du droit légal de préemption dont jouit l'Etat de Genève.</w:t>
      </w:r>
    </w:p>
    <w:p w:rsidR="00D429F6" w:rsidRPr="00B70950" w:rsidRDefault="00D429F6" w:rsidP="00C82ECE">
      <w:pPr>
        <w:keepLines/>
        <w:rPr>
          <w:szCs w:val="24"/>
        </w:rPr>
      </w:pPr>
      <w:r w:rsidRPr="00B70950">
        <w:rPr>
          <w:szCs w:val="24"/>
        </w:rPr>
        <w:t>8.70</w:t>
      </w:r>
      <w:r w:rsidRPr="00B70950">
        <w:rPr>
          <w:szCs w:val="24"/>
        </w:rPr>
        <w:tab/>
        <w:t>Toutefois, il faut souligner que ce droit légal de préemption ne serait pas opposable à un acquéreur qui se trouverait être au bénéfice d'un statut juridique identique ou similaire à celui de l'Union, c'est-à-dire, une autre organisation internationale intergouvernementale ayant déjà ou établissant un siège à Genève.</w:t>
      </w:r>
    </w:p>
    <w:p w:rsidR="00D429F6" w:rsidRPr="00B70950" w:rsidRDefault="00D429F6" w:rsidP="007F1941">
      <w:pPr>
        <w:rPr>
          <w:szCs w:val="24"/>
        </w:rPr>
      </w:pPr>
      <w:r w:rsidRPr="00B70950">
        <w:rPr>
          <w:szCs w:val="24"/>
        </w:rPr>
        <w:t>8.71</w:t>
      </w:r>
      <w:r w:rsidRPr="00B70950">
        <w:rPr>
          <w:szCs w:val="24"/>
        </w:rPr>
        <w:tab/>
        <w:t>L'Etat de Genève disposerait d'un délai de six mois à compter du jour où l'UIT lui aurait notifié sa décision de céder le droit de superficie pour manifester son intention d'exercer son droit de préemption et, s'il manifestait ce droit, d'un nouveau délai de six mois pour l'exercer. En d'autre</w:t>
      </w:r>
      <w:r w:rsidR="00EB22F2" w:rsidRPr="00B70950">
        <w:rPr>
          <w:szCs w:val="24"/>
        </w:rPr>
        <w:t>s</w:t>
      </w:r>
      <w:r w:rsidRPr="00B70950">
        <w:rPr>
          <w:szCs w:val="24"/>
        </w:rPr>
        <w:t xml:space="preserve"> terme</w:t>
      </w:r>
      <w:r w:rsidR="00EB22F2" w:rsidRPr="00B70950">
        <w:rPr>
          <w:szCs w:val="24"/>
        </w:rPr>
        <w:t>s</w:t>
      </w:r>
      <w:r w:rsidRPr="00B70950">
        <w:rPr>
          <w:szCs w:val="24"/>
        </w:rPr>
        <w:t>, il est peu probable que la durée d'une éventuelle procédure de vente soit inférieure à 18 à 24 mois.</w:t>
      </w:r>
    </w:p>
    <w:p w:rsidR="00D429F6" w:rsidRPr="00B70950" w:rsidRDefault="00D429F6" w:rsidP="00A47187">
      <w:pPr>
        <w:pStyle w:val="Heading1"/>
      </w:pPr>
      <w:r w:rsidRPr="00B70950">
        <w:t>9</w:t>
      </w:r>
      <w:r w:rsidRPr="00B70950">
        <w:tab/>
      </w:r>
      <w:proofErr w:type="gramStart"/>
      <w:r w:rsidRPr="00B70950">
        <w:t>Conclusion:</w:t>
      </w:r>
      <w:proofErr w:type="gramEnd"/>
      <w:r w:rsidRPr="00B70950">
        <w:t xml:space="preserve"> vue d'ensemble et comparaison des options considérées</w:t>
      </w:r>
    </w:p>
    <w:p w:rsidR="00D429F6" w:rsidRPr="00B70950" w:rsidRDefault="00D429F6" w:rsidP="007F1941">
      <w:pPr>
        <w:rPr>
          <w:szCs w:val="24"/>
        </w:rPr>
      </w:pPr>
      <w:r w:rsidRPr="00B70950">
        <w:rPr>
          <w:szCs w:val="24"/>
        </w:rPr>
        <w:t>9.1</w:t>
      </w:r>
      <w:r w:rsidRPr="00B70950">
        <w:rPr>
          <w:szCs w:val="24"/>
        </w:rPr>
        <w:tab/>
        <w:t xml:space="preserve">Il est important de tenir compte du fait que le coût de ces différentes options n'est pas inclus dans le projet de Plan financier pour la période 2016-2019. Le choix de l'une de ces options et le calendrier de mise en </w:t>
      </w:r>
      <w:proofErr w:type="spellStart"/>
      <w:r w:rsidRPr="00B70950">
        <w:rPr>
          <w:szCs w:val="24"/>
        </w:rPr>
        <w:t>oeuvre</w:t>
      </w:r>
      <w:proofErr w:type="spellEnd"/>
      <w:r w:rsidRPr="00B70950">
        <w:rPr>
          <w:szCs w:val="24"/>
        </w:rPr>
        <w:t xml:space="preserve"> lié à l'option choisie, auront des incidences financières pour l'Union. </w:t>
      </w:r>
    </w:p>
    <w:p w:rsidR="00D429F6" w:rsidRPr="00B70950" w:rsidRDefault="00D429F6" w:rsidP="00AA0684">
      <w:pPr>
        <w:rPr>
          <w:szCs w:val="24"/>
        </w:rPr>
      </w:pPr>
      <w:r w:rsidRPr="00B70950">
        <w:rPr>
          <w:szCs w:val="24"/>
        </w:rPr>
        <w:t xml:space="preserve">Les incidences du choix de l'une des options ont été évaluées selon les critères </w:t>
      </w:r>
      <w:proofErr w:type="gramStart"/>
      <w:r w:rsidRPr="00B70950">
        <w:rPr>
          <w:szCs w:val="24"/>
        </w:rPr>
        <w:t>suivants:</w:t>
      </w:r>
      <w:proofErr w:type="gramEnd"/>
    </w:p>
    <w:p w:rsidR="00D429F6" w:rsidRPr="00B70950" w:rsidRDefault="00447737" w:rsidP="007F1941">
      <w:pPr>
        <w:pStyle w:val="enumlev1"/>
      </w:pPr>
      <w:r w:rsidRPr="00B70950">
        <w:t>–</w:t>
      </w:r>
      <w:r w:rsidRPr="00B70950">
        <w:tab/>
      </w:r>
      <w:r w:rsidR="00D429F6" w:rsidRPr="00B70950">
        <w:t xml:space="preserve">les incidences sur le fonctionnement de l'Union durant la mise en </w:t>
      </w:r>
      <w:proofErr w:type="spellStart"/>
      <w:r w:rsidR="00D429F6" w:rsidRPr="00B70950">
        <w:t>oeuvre</w:t>
      </w:r>
      <w:proofErr w:type="spellEnd"/>
      <w:r w:rsidR="00D429F6" w:rsidRPr="00B70950">
        <w:t xml:space="preserve"> de l'option </w:t>
      </w:r>
      <w:proofErr w:type="gramStart"/>
      <w:r w:rsidR="00D429F6" w:rsidRPr="00B70950">
        <w:t>choisie;</w:t>
      </w:r>
      <w:proofErr w:type="gramEnd"/>
    </w:p>
    <w:p w:rsidR="00D429F6" w:rsidRPr="00B70950" w:rsidRDefault="00447737" w:rsidP="007F1941">
      <w:pPr>
        <w:pStyle w:val="enumlev1"/>
      </w:pPr>
      <w:r w:rsidRPr="00B70950">
        <w:t>–</w:t>
      </w:r>
      <w:r w:rsidRPr="00B70950">
        <w:tab/>
      </w:r>
      <w:r w:rsidR="00D429F6" w:rsidRPr="00B70950">
        <w:t xml:space="preserve">les incidences sur le personnel et le savoir-faire acquis par le personnel </w:t>
      </w:r>
      <w:proofErr w:type="gramStart"/>
      <w:r w:rsidR="00D429F6" w:rsidRPr="00B70950">
        <w:t>existant;</w:t>
      </w:r>
      <w:proofErr w:type="gramEnd"/>
    </w:p>
    <w:p w:rsidR="00D429F6" w:rsidRPr="00B70950" w:rsidRDefault="00447737" w:rsidP="007F1941">
      <w:pPr>
        <w:pStyle w:val="enumlev1"/>
      </w:pPr>
      <w:r w:rsidRPr="00B70950">
        <w:t>–</w:t>
      </w:r>
      <w:r w:rsidRPr="00B70950">
        <w:tab/>
      </w:r>
      <w:r w:rsidR="00D429F6" w:rsidRPr="00B70950">
        <w:t xml:space="preserve">les incidences financières avec une estimation des économies à court terme et à long </w:t>
      </w:r>
      <w:proofErr w:type="gramStart"/>
      <w:r w:rsidR="00D429F6" w:rsidRPr="00B70950">
        <w:t>terme;</w:t>
      </w:r>
      <w:proofErr w:type="gramEnd"/>
    </w:p>
    <w:p w:rsidR="00D429F6" w:rsidRPr="00B70950" w:rsidRDefault="00447737" w:rsidP="007F1941">
      <w:pPr>
        <w:pStyle w:val="enumlev1"/>
      </w:pPr>
      <w:r w:rsidRPr="00B70950">
        <w:t>–</w:t>
      </w:r>
      <w:r w:rsidRPr="00B70950">
        <w:tab/>
      </w:r>
      <w:r w:rsidR="00D429F6" w:rsidRPr="00B70950">
        <w:t>les incidences globales sur l'activité et l'image de l'Union.</w:t>
      </w:r>
    </w:p>
    <w:p w:rsidR="00AE57DE" w:rsidRPr="004F7400" w:rsidRDefault="00AE57DE" w:rsidP="00AE57DE">
      <w:pPr>
        <w:keepNext/>
        <w:spacing w:before="240" w:after="240"/>
        <w:rPr>
          <w:b/>
          <w:szCs w:val="24"/>
          <w:lang w:val="fr-CH"/>
        </w:rPr>
      </w:pPr>
      <w:r w:rsidRPr="004F7400">
        <w:rPr>
          <w:b/>
          <w:szCs w:val="24"/>
          <w:lang w:val="fr-CH"/>
        </w:rPr>
        <w:t>I</w:t>
      </w:r>
      <w:r>
        <w:rPr>
          <w:b/>
          <w:szCs w:val="24"/>
          <w:lang w:val="fr-CH"/>
        </w:rPr>
        <w:t>ncidences sur le budget ordinaire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2240"/>
        <w:gridCol w:w="4536"/>
      </w:tblGrid>
      <w:tr w:rsidR="00AE57DE" w:rsidRPr="004F7400" w:rsidTr="00F00A24">
        <w:trPr>
          <w:cantSplit/>
          <w:trHeight w:val="851"/>
        </w:trPr>
        <w:tc>
          <w:tcPr>
            <w:tcW w:w="846" w:type="dxa"/>
            <w:vAlign w:val="center"/>
          </w:tcPr>
          <w:p w:rsidR="00AE57DE" w:rsidRPr="004F7400" w:rsidRDefault="00AE57DE" w:rsidP="00F00A24">
            <w:pPr>
              <w:jc w:val="center"/>
              <w:rPr>
                <w:b/>
                <w:bCs/>
                <w:sz w:val="18"/>
                <w:szCs w:val="18"/>
              </w:rPr>
            </w:pPr>
            <w:r w:rsidRPr="004F7400">
              <w:rPr>
                <w:b/>
                <w:bCs/>
                <w:sz w:val="18"/>
                <w:szCs w:val="18"/>
              </w:rPr>
              <w:t>Options</w:t>
            </w:r>
          </w:p>
        </w:tc>
        <w:tc>
          <w:tcPr>
            <w:tcW w:w="1984" w:type="dxa"/>
            <w:vAlign w:val="center"/>
          </w:tcPr>
          <w:p w:rsidR="00AE57DE" w:rsidRPr="004F7400" w:rsidRDefault="00AE57DE" w:rsidP="00F00A24">
            <w:pPr>
              <w:jc w:val="center"/>
              <w:rPr>
                <w:b/>
                <w:bCs/>
                <w:sz w:val="18"/>
                <w:szCs w:val="18"/>
              </w:rPr>
            </w:pPr>
            <w:r w:rsidRPr="004F7400">
              <w:rPr>
                <w:b/>
                <w:bCs/>
                <w:sz w:val="18"/>
                <w:szCs w:val="18"/>
              </w:rPr>
              <w:t>Coût total estimé de l</w:t>
            </w:r>
            <w:r>
              <w:rPr>
                <w:b/>
                <w:bCs/>
                <w:sz w:val="18"/>
                <w:szCs w:val="18"/>
              </w:rPr>
              <w:t>'</w:t>
            </w:r>
            <w:r w:rsidRPr="004F7400">
              <w:rPr>
                <w:b/>
                <w:bCs/>
                <w:sz w:val="18"/>
                <w:szCs w:val="18"/>
              </w:rPr>
              <w:t>option</w:t>
            </w:r>
          </w:p>
        </w:tc>
        <w:tc>
          <w:tcPr>
            <w:tcW w:w="2240" w:type="dxa"/>
            <w:vAlign w:val="center"/>
          </w:tcPr>
          <w:p w:rsidR="00AE57DE" w:rsidRPr="004F7400" w:rsidRDefault="00AE57DE" w:rsidP="00F00A24">
            <w:pPr>
              <w:jc w:val="center"/>
              <w:rPr>
                <w:b/>
                <w:bCs/>
                <w:sz w:val="18"/>
                <w:szCs w:val="18"/>
              </w:rPr>
            </w:pPr>
            <w:r w:rsidRPr="004F7400">
              <w:rPr>
                <w:b/>
                <w:bCs/>
                <w:sz w:val="18"/>
                <w:szCs w:val="18"/>
              </w:rPr>
              <w:t>I</w:t>
            </w:r>
            <w:r>
              <w:rPr>
                <w:b/>
                <w:bCs/>
                <w:sz w:val="18"/>
                <w:szCs w:val="18"/>
              </w:rPr>
              <w:t>ncidences</w:t>
            </w:r>
            <w:r w:rsidRPr="004F7400">
              <w:rPr>
                <w:b/>
                <w:bCs/>
                <w:sz w:val="18"/>
                <w:szCs w:val="18"/>
              </w:rPr>
              <w:t xml:space="preserve"> à court terme (Plan financier 2016-</w:t>
            </w:r>
            <w:r>
              <w:rPr>
                <w:b/>
                <w:bCs/>
                <w:sz w:val="18"/>
                <w:szCs w:val="18"/>
              </w:rPr>
              <w:t>20</w:t>
            </w:r>
            <w:r w:rsidRPr="004F7400">
              <w:rPr>
                <w:b/>
                <w:bCs/>
                <w:sz w:val="18"/>
                <w:szCs w:val="18"/>
              </w:rPr>
              <w:t>19)</w:t>
            </w:r>
          </w:p>
        </w:tc>
        <w:tc>
          <w:tcPr>
            <w:tcW w:w="4536" w:type="dxa"/>
            <w:vAlign w:val="center"/>
          </w:tcPr>
          <w:p w:rsidR="00AE57DE" w:rsidRPr="004F7400" w:rsidRDefault="00AE57DE" w:rsidP="00F00A24">
            <w:pPr>
              <w:jc w:val="center"/>
              <w:rPr>
                <w:b/>
                <w:bCs/>
                <w:sz w:val="18"/>
                <w:szCs w:val="18"/>
              </w:rPr>
            </w:pPr>
            <w:r w:rsidRPr="004F7400">
              <w:rPr>
                <w:b/>
                <w:bCs/>
                <w:sz w:val="18"/>
                <w:szCs w:val="18"/>
              </w:rPr>
              <w:t>I</w:t>
            </w:r>
            <w:r>
              <w:rPr>
                <w:b/>
                <w:bCs/>
                <w:sz w:val="18"/>
                <w:szCs w:val="18"/>
              </w:rPr>
              <w:t xml:space="preserve">ncidences </w:t>
            </w:r>
            <w:r w:rsidRPr="004F7400">
              <w:rPr>
                <w:b/>
                <w:bCs/>
                <w:sz w:val="18"/>
                <w:szCs w:val="18"/>
              </w:rPr>
              <w:t>financi</w:t>
            </w:r>
            <w:r>
              <w:rPr>
                <w:b/>
                <w:bCs/>
                <w:sz w:val="18"/>
                <w:szCs w:val="18"/>
              </w:rPr>
              <w:t>ères</w:t>
            </w:r>
            <w:r w:rsidRPr="004F7400">
              <w:rPr>
                <w:b/>
                <w:bCs/>
                <w:sz w:val="18"/>
                <w:szCs w:val="18"/>
              </w:rPr>
              <w:t xml:space="preserve"> à long terme</w:t>
            </w:r>
          </w:p>
        </w:tc>
      </w:tr>
      <w:tr w:rsidR="00AE57DE" w:rsidRPr="00E2564C" w:rsidTr="00F00A24">
        <w:trPr>
          <w:cantSplit/>
          <w:trHeight w:val="1435"/>
        </w:trPr>
        <w:tc>
          <w:tcPr>
            <w:tcW w:w="846" w:type="dxa"/>
            <w:textDirection w:val="btLr"/>
          </w:tcPr>
          <w:p w:rsidR="00AE57DE" w:rsidRPr="004F7400" w:rsidRDefault="00AE57DE" w:rsidP="00F00A24">
            <w:pPr>
              <w:ind w:left="113" w:right="113"/>
              <w:jc w:val="center"/>
              <w:rPr>
                <w:b/>
                <w:bCs/>
                <w:sz w:val="18"/>
                <w:szCs w:val="18"/>
              </w:rPr>
            </w:pPr>
            <w:r w:rsidRPr="004F7400">
              <w:rPr>
                <w:b/>
                <w:bCs/>
                <w:sz w:val="18"/>
                <w:szCs w:val="18"/>
              </w:rPr>
              <w:t>Remplacement</w:t>
            </w:r>
          </w:p>
        </w:tc>
        <w:tc>
          <w:tcPr>
            <w:tcW w:w="1984" w:type="dxa"/>
          </w:tcPr>
          <w:p w:rsidR="00AE57DE" w:rsidRPr="004F7400" w:rsidRDefault="00AE57DE" w:rsidP="00F00A24">
            <w:pPr>
              <w:rPr>
                <w:sz w:val="18"/>
                <w:szCs w:val="18"/>
              </w:rPr>
            </w:pPr>
            <w:r>
              <w:rPr>
                <w:sz w:val="18"/>
                <w:szCs w:val="18"/>
              </w:rPr>
              <w:t>211,2</w:t>
            </w:r>
            <w:r w:rsidRPr="004F7400">
              <w:rPr>
                <w:sz w:val="18"/>
                <w:szCs w:val="18"/>
              </w:rPr>
              <w:t>5 millions</w:t>
            </w:r>
            <w:r>
              <w:rPr>
                <w:sz w:val="18"/>
                <w:szCs w:val="18"/>
              </w:rPr>
              <w:t xml:space="preserve"> CHF</w:t>
            </w:r>
          </w:p>
        </w:tc>
        <w:tc>
          <w:tcPr>
            <w:tcW w:w="2240" w:type="dxa"/>
          </w:tcPr>
          <w:p w:rsidR="00AE57DE" w:rsidRPr="004F7400" w:rsidRDefault="00AE57DE" w:rsidP="00F00A24">
            <w:pPr>
              <w:rPr>
                <w:sz w:val="18"/>
                <w:szCs w:val="18"/>
              </w:rPr>
            </w:pPr>
            <w:r w:rsidRPr="004F7400">
              <w:rPr>
                <w:sz w:val="18"/>
                <w:szCs w:val="18"/>
              </w:rPr>
              <w:t>Aucun. Le remboursement commencera en 2021</w:t>
            </w:r>
            <w:r>
              <w:rPr>
                <w:sz w:val="18"/>
                <w:szCs w:val="18"/>
              </w:rPr>
              <w:t>.</w:t>
            </w:r>
          </w:p>
        </w:tc>
        <w:tc>
          <w:tcPr>
            <w:tcW w:w="4536" w:type="dxa"/>
          </w:tcPr>
          <w:p w:rsidR="00AE57DE" w:rsidRDefault="00AE57DE" w:rsidP="00F00A24">
            <w:pPr>
              <w:rPr>
                <w:sz w:val="18"/>
                <w:szCs w:val="18"/>
              </w:rPr>
            </w:pPr>
            <w:r w:rsidRPr="0098096F">
              <w:rPr>
                <w:b/>
                <w:sz w:val="18"/>
                <w:szCs w:val="18"/>
              </w:rPr>
              <w:t xml:space="preserve">Coûts </w:t>
            </w:r>
            <w:proofErr w:type="gramStart"/>
            <w:r w:rsidRPr="0098096F">
              <w:rPr>
                <w:b/>
                <w:sz w:val="18"/>
                <w:szCs w:val="18"/>
              </w:rPr>
              <w:t>annuels:</w:t>
            </w:r>
            <w:proofErr w:type="gramEnd"/>
            <w:r w:rsidRPr="0098096F">
              <w:rPr>
                <w:b/>
                <w:sz w:val="18"/>
                <w:szCs w:val="18"/>
              </w:rPr>
              <w:t xml:space="preserve"> </w:t>
            </w:r>
            <w:r>
              <w:rPr>
                <w:b/>
                <w:sz w:val="18"/>
                <w:szCs w:val="18"/>
              </w:rPr>
              <w:t>5,1</w:t>
            </w:r>
            <w:r w:rsidRPr="0098096F">
              <w:rPr>
                <w:b/>
                <w:sz w:val="18"/>
                <w:szCs w:val="18"/>
              </w:rPr>
              <w:t xml:space="preserve"> millions CHF</w:t>
            </w:r>
            <w:r>
              <w:rPr>
                <w:sz w:val="18"/>
                <w:szCs w:val="18"/>
              </w:rPr>
              <w:t>, dont:</w:t>
            </w:r>
          </w:p>
          <w:p w:rsidR="00AE57DE" w:rsidRPr="004F7400" w:rsidRDefault="00AE57DE" w:rsidP="00F00A24">
            <w:pPr>
              <w:tabs>
                <w:tab w:val="left" w:pos="318"/>
              </w:tabs>
              <w:spacing w:before="60" w:after="60"/>
              <w:ind w:left="318" w:hanging="318"/>
              <w:rPr>
                <w:sz w:val="18"/>
                <w:szCs w:val="18"/>
              </w:rPr>
            </w:pPr>
            <w:r w:rsidRPr="00447737">
              <w:rPr>
                <w:sz w:val="18"/>
                <w:szCs w:val="18"/>
              </w:rPr>
              <w:t>–</w:t>
            </w:r>
            <w:r>
              <w:rPr>
                <w:sz w:val="18"/>
                <w:szCs w:val="18"/>
              </w:rPr>
              <w:tab/>
            </w:r>
            <w:r w:rsidRPr="004F7400">
              <w:rPr>
                <w:sz w:val="18"/>
                <w:szCs w:val="18"/>
              </w:rPr>
              <w:t xml:space="preserve">3 millions CHF par an pendant 50 ans à </w:t>
            </w:r>
            <w:r>
              <w:rPr>
                <w:sz w:val="18"/>
                <w:szCs w:val="18"/>
              </w:rPr>
              <w:t>compter</w:t>
            </w:r>
            <w:r w:rsidRPr="004F7400">
              <w:rPr>
                <w:sz w:val="18"/>
                <w:szCs w:val="18"/>
              </w:rPr>
              <w:t xml:space="preserve"> de 2021 concernant le </w:t>
            </w:r>
            <w:proofErr w:type="gramStart"/>
            <w:r w:rsidRPr="004F7400">
              <w:rPr>
                <w:sz w:val="18"/>
                <w:szCs w:val="18"/>
              </w:rPr>
              <w:t>remplacement</w:t>
            </w:r>
            <w:r>
              <w:rPr>
                <w:sz w:val="18"/>
                <w:szCs w:val="18"/>
              </w:rPr>
              <w:t>;</w:t>
            </w:r>
            <w:proofErr w:type="gramEnd"/>
          </w:p>
          <w:p w:rsidR="00AE57DE" w:rsidRDefault="00AE57DE" w:rsidP="00F00A24">
            <w:pPr>
              <w:tabs>
                <w:tab w:val="left" w:pos="318"/>
              </w:tabs>
              <w:spacing w:before="60" w:after="60"/>
              <w:ind w:left="318" w:hanging="318"/>
              <w:rPr>
                <w:sz w:val="18"/>
                <w:szCs w:val="18"/>
              </w:rPr>
            </w:pPr>
            <w:r w:rsidRPr="00447737">
              <w:rPr>
                <w:sz w:val="18"/>
                <w:szCs w:val="18"/>
              </w:rPr>
              <w:t>–</w:t>
            </w:r>
            <w:r>
              <w:rPr>
                <w:sz w:val="18"/>
                <w:szCs w:val="18"/>
              </w:rPr>
              <w:tab/>
              <w:t>1,</w:t>
            </w:r>
            <w:r w:rsidRPr="004F7400">
              <w:rPr>
                <w:sz w:val="18"/>
                <w:szCs w:val="18"/>
              </w:rPr>
              <w:t xml:space="preserve">7 million </w:t>
            </w:r>
            <w:r>
              <w:rPr>
                <w:sz w:val="18"/>
                <w:szCs w:val="18"/>
              </w:rPr>
              <w:t>CHF</w:t>
            </w:r>
            <w:r w:rsidRPr="004F7400">
              <w:rPr>
                <w:sz w:val="18"/>
                <w:szCs w:val="18"/>
              </w:rPr>
              <w:t xml:space="preserve"> par an pendant 30 ans, plus </w:t>
            </w:r>
            <w:r>
              <w:rPr>
                <w:sz w:val="18"/>
                <w:szCs w:val="18"/>
              </w:rPr>
              <w:t xml:space="preserve">des </w:t>
            </w:r>
            <w:r w:rsidRPr="004F7400">
              <w:rPr>
                <w:sz w:val="18"/>
                <w:szCs w:val="18"/>
              </w:rPr>
              <w:t>intérêt</w:t>
            </w:r>
            <w:r>
              <w:rPr>
                <w:sz w:val="18"/>
                <w:szCs w:val="18"/>
              </w:rPr>
              <w:t>s</w:t>
            </w:r>
            <w:r w:rsidRPr="004F7400">
              <w:rPr>
                <w:sz w:val="18"/>
                <w:szCs w:val="18"/>
              </w:rPr>
              <w:t xml:space="preserve"> </w:t>
            </w:r>
            <w:r>
              <w:rPr>
                <w:sz w:val="18"/>
                <w:szCs w:val="18"/>
              </w:rPr>
              <w:t xml:space="preserve">moyens </w:t>
            </w:r>
            <w:r w:rsidRPr="004F7400">
              <w:rPr>
                <w:sz w:val="18"/>
                <w:szCs w:val="18"/>
              </w:rPr>
              <w:t>de 0</w:t>
            </w:r>
            <w:r>
              <w:rPr>
                <w:sz w:val="18"/>
                <w:szCs w:val="18"/>
              </w:rPr>
              <w:t>,4</w:t>
            </w:r>
            <w:r w:rsidRPr="004F7400">
              <w:rPr>
                <w:sz w:val="18"/>
                <w:szCs w:val="18"/>
              </w:rPr>
              <w:t xml:space="preserve"> million </w:t>
            </w:r>
            <w:r>
              <w:rPr>
                <w:sz w:val="18"/>
                <w:szCs w:val="18"/>
              </w:rPr>
              <w:t xml:space="preserve">CHF </w:t>
            </w:r>
            <w:r w:rsidRPr="004F7400">
              <w:rPr>
                <w:sz w:val="18"/>
                <w:szCs w:val="18"/>
              </w:rPr>
              <w:t xml:space="preserve">à </w:t>
            </w:r>
            <w:r>
              <w:rPr>
                <w:sz w:val="18"/>
                <w:szCs w:val="18"/>
              </w:rPr>
              <w:t>compter</w:t>
            </w:r>
            <w:r w:rsidRPr="004F7400">
              <w:rPr>
                <w:sz w:val="18"/>
                <w:szCs w:val="18"/>
              </w:rPr>
              <w:t xml:space="preserve"> de 2025</w:t>
            </w:r>
            <w:r>
              <w:rPr>
                <w:sz w:val="18"/>
                <w:szCs w:val="18"/>
              </w:rPr>
              <w:t xml:space="preserve"> (date possible)</w:t>
            </w:r>
            <w:r w:rsidRPr="004F7400">
              <w:rPr>
                <w:sz w:val="18"/>
                <w:szCs w:val="18"/>
              </w:rPr>
              <w:t xml:space="preserve"> </w:t>
            </w:r>
            <w:r>
              <w:rPr>
                <w:sz w:val="18"/>
                <w:szCs w:val="18"/>
              </w:rPr>
              <w:t>pour</w:t>
            </w:r>
            <w:r w:rsidRPr="004F7400">
              <w:rPr>
                <w:sz w:val="18"/>
                <w:szCs w:val="18"/>
              </w:rPr>
              <w:t xml:space="preserve"> les rénovations</w:t>
            </w:r>
            <w:r>
              <w:rPr>
                <w:sz w:val="18"/>
                <w:szCs w:val="18"/>
              </w:rPr>
              <w:t xml:space="preserve"> de la Tour et de </w:t>
            </w:r>
            <w:proofErr w:type="spellStart"/>
            <w:r>
              <w:rPr>
                <w:sz w:val="18"/>
                <w:szCs w:val="18"/>
              </w:rPr>
              <w:t>Montbrillant</w:t>
            </w:r>
            <w:proofErr w:type="spellEnd"/>
            <w:r>
              <w:rPr>
                <w:sz w:val="18"/>
                <w:szCs w:val="18"/>
              </w:rPr>
              <w:t>.</w:t>
            </w:r>
          </w:p>
          <w:p w:rsidR="00AE57DE" w:rsidRPr="00E2564C" w:rsidRDefault="00AE57DE" w:rsidP="00F00A24">
            <w:pPr>
              <w:spacing w:before="60" w:after="60"/>
              <w:rPr>
                <w:b/>
                <w:sz w:val="18"/>
                <w:szCs w:val="18"/>
              </w:rPr>
            </w:pPr>
            <w:proofErr w:type="gramStart"/>
            <w:r w:rsidRPr="00E2564C">
              <w:rPr>
                <w:b/>
                <w:sz w:val="18"/>
                <w:szCs w:val="18"/>
              </w:rPr>
              <w:t>Economies:</w:t>
            </w:r>
            <w:proofErr w:type="gramEnd"/>
          </w:p>
          <w:p w:rsidR="00AE57DE" w:rsidRDefault="00AE57DE" w:rsidP="00F00A24">
            <w:pPr>
              <w:tabs>
                <w:tab w:val="left" w:pos="327"/>
              </w:tabs>
              <w:spacing w:before="60" w:after="60"/>
              <w:ind w:left="327" w:hanging="327"/>
              <w:rPr>
                <w:sz w:val="18"/>
                <w:szCs w:val="18"/>
              </w:rPr>
            </w:pPr>
            <w:r w:rsidRPr="00447737">
              <w:rPr>
                <w:sz w:val="18"/>
                <w:szCs w:val="18"/>
              </w:rPr>
              <w:t>–</w:t>
            </w:r>
            <w:r>
              <w:rPr>
                <w:sz w:val="18"/>
                <w:szCs w:val="18"/>
              </w:rPr>
              <w:tab/>
            </w:r>
            <w:r w:rsidRPr="0098096F">
              <w:rPr>
                <w:sz w:val="18"/>
                <w:szCs w:val="18"/>
              </w:rPr>
              <w:t xml:space="preserve">économies de 100 000 CHF par an sur les services </w:t>
            </w:r>
            <w:r>
              <w:rPr>
                <w:sz w:val="18"/>
                <w:szCs w:val="18"/>
              </w:rPr>
              <w:t xml:space="preserve">à compter de </w:t>
            </w:r>
            <w:proofErr w:type="gramStart"/>
            <w:r>
              <w:rPr>
                <w:sz w:val="18"/>
                <w:szCs w:val="18"/>
              </w:rPr>
              <w:t>2021;</w:t>
            </w:r>
            <w:proofErr w:type="gramEnd"/>
          </w:p>
          <w:p w:rsidR="00AE57DE" w:rsidRPr="00E2564C" w:rsidRDefault="00AE57DE" w:rsidP="00F00A24">
            <w:pPr>
              <w:tabs>
                <w:tab w:val="left" w:pos="327"/>
              </w:tabs>
              <w:spacing w:before="60" w:after="60"/>
              <w:ind w:left="327" w:hanging="327"/>
              <w:rPr>
                <w:sz w:val="18"/>
                <w:szCs w:val="18"/>
              </w:rPr>
            </w:pPr>
            <w:r w:rsidRPr="00447737">
              <w:rPr>
                <w:sz w:val="18"/>
                <w:szCs w:val="18"/>
              </w:rPr>
              <w:t>–</w:t>
            </w:r>
            <w:r>
              <w:rPr>
                <w:sz w:val="18"/>
                <w:szCs w:val="18"/>
              </w:rPr>
              <w:tab/>
              <w:t xml:space="preserve">économies sur les frais réguliers de maintenance au cours de la période suivant l'inauguration de Varembé II et la rénovation de la Tour et de </w:t>
            </w:r>
            <w:proofErr w:type="spellStart"/>
            <w:r>
              <w:rPr>
                <w:sz w:val="18"/>
                <w:szCs w:val="18"/>
              </w:rPr>
              <w:t>Montbrillant</w:t>
            </w:r>
            <w:proofErr w:type="spellEnd"/>
            <w:r>
              <w:rPr>
                <w:sz w:val="18"/>
                <w:szCs w:val="18"/>
              </w:rPr>
              <w:t xml:space="preserve"> (2021</w:t>
            </w:r>
            <w:r>
              <w:rPr>
                <w:sz w:val="18"/>
                <w:szCs w:val="18"/>
              </w:rPr>
              <w:noBreakHyphen/>
              <w:t>2050), pour un montant total estimé à 30 millions CHF.</w:t>
            </w:r>
          </w:p>
        </w:tc>
      </w:tr>
      <w:tr w:rsidR="00AE57DE" w:rsidRPr="00E2564C" w:rsidTr="00F00A24">
        <w:trPr>
          <w:cantSplit/>
          <w:trHeight w:val="1134"/>
        </w:trPr>
        <w:tc>
          <w:tcPr>
            <w:tcW w:w="846" w:type="dxa"/>
            <w:textDirection w:val="btLr"/>
          </w:tcPr>
          <w:p w:rsidR="00AE57DE" w:rsidRPr="004F7400" w:rsidRDefault="00AE57DE" w:rsidP="00F00A24">
            <w:pPr>
              <w:ind w:left="113" w:right="113"/>
              <w:jc w:val="center"/>
              <w:rPr>
                <w:b/>
                <w:bCs/>
                <w:sz w:val="18"/>
                <w:szCs w:val="18"/>
              </w:rPr>
            </w:pPr>
            <w:r w:rsidRPr="004F7400">
              <w:rPr>
                <w:b/>
                <w:bCs/>
                <w:sz w:val="18"/>
                <w:szCs w:val="18"/>
              </w:rPr>
              <w:lastRenderedPageBreak/>
              <w:t>Rénovation</w:t>
            </w:r>
          </w:p>
        </w:tc>
        <w:tc>
          <w:tcPr>
            <w:tcW w:w="1984" w:type="dxa"/>
          </w:tcPr>
          <w:p w:rsidR="00AE57DE" w:rsidRPr="004F7400" w:rsidRDefault="00AE57DE" w:rsidP="00F00A24">
            <w:pPr>
              <w:rPr>
                <w:sz w:val="18"/>
                <w:szCs w:val="18"/>
              </w:rPr>
            </w:pPr>
            <w:r w:rsidRPr="004F7400">
              <w:rPr>
                <w:sz w:val="18"/>
                <w:szCs w:val="18"/>
              </w:rPr>
              <w:t>1</w:t>
            </w:r>
            <w:r>
              <w:rPr>
                <w:sz w:val="18"/>
                <w:szCs w:val="18"/>
              </w:rPr>
              <w:t>47</w:t>
            </w:r>
            <w:r w:rsidRPr="004F7400">
              <w:rPr>
                <w:sz w:val="18"/>
                <w:szCs w:val="18"/>
              </w:rPr>
              <w:t xml:space="preserve"> millions CHF</w:t>
            </w:r>
          </w:p>
        </w:tc>
        <w:tc>
          <w:tcPr>
            <w:tcW w:w="2240" w:type="dxa"/>
          </w:tcPr>
          <w:p w:rsidR="00AE57DE" w:rsidRPr="004F7400" w:rsidRDefault="00AE57DE" w:rsidP="00F00A24">
            <w:pPr>
              <w:rPr>
                <w:sz w:val="18"/>
                <w:szCs w:val="18"/>
              </w:rPr>
            </w:pPr>
            <w:r w:rsidRPr="004F7400">
              <w:rPr>
                <w:sz w:val="18"/>
                <w:szCs w:val="18"/>
              </w:rPr>
              <w:t xml:space="preserve">Selon le calendrier choisi, </w:t>
            </w:r>
            <w:r>
              <w:rPr>
                <w:sz w:val="18"/>
                <w:szCs w:val="18"/>
              </w:rPr>
              <w:t xml:space="preserve">cette option pourrait avoir des incidences sur </w:t>
            </w:r>
            <w:r w:rsidRPr="004F7400">
              <w:rPr>
                <w:sz w:val="18"/>
                <w:szCs w:val="18"/>
              </w:rPr>
              <w:t xml:space="preserve">le </w:t>
            </w:r>
            <w:r>
              <w:rPr>
                <w:sz w:val="18"/>
                <w:szCs w:val="18"/>
              </w:rPr>
              <w:t>P</w:t>
            </w:r>
            <w:r w:rsidRPr="004F7400">
              <w:rPr>
                <w:sz w:val="18"/>
                <w:szCs w:val="18"/>
              </w:rPr>
              <w:t xml:space="preserve">lan financier </w:t>
            </w:r>
            <w:r>
              <w:rPr>
                <w:sz w:val="18"/>
                <w:szCs w:val="18"/>
              </w:rPr>
              <w:t xml:space="preserve">pour la période </w:t>
            </w:r>
            <w:r w:rsidRPr="004F7400">
              <w:rPr>
                <w:sz w:val="18"/>
                <w:szCs w:val="18"/>
              </w:rPr>
              <w:t>2016-</w:t>
            </w:r>
            <w:r>
              <w:rPr>
                <w:sz w:val="18"/>
                <w:szCs w:val="18"/>
              </w:rPr>
              <w:t>20</w:t>
            </w:r>
            <w:r w:rsidRPr="004F7400">
              <w:rPr>
                <w:sz w:val="18"/>
                <w:szCs w:val="18"/>
              </w:rPr>
              <w:t>19</w:t>
            </w:r>
            <w:r>
              <w:rPr>
                <w:sz w:val="18"/>
                <w:szCs w:val="18"/>
              </w:rPr>
              <w:t>.</w:t>
            </w:r>
          </w:p>
        </w:tc>
        <w:tc>
          <w:tcPr>
            <w:tcW w:w="4536" w:type="dxa"/>
          </w:tcPr>
          <w:p w:rsidR="00AE57DE" w:rsidRDefault="00AE57DE" w:rsidP="00F00A24">
            <w:pPr>
              <w:rPr>
                <w:sz w:val="18"/>
                <w:szCs w:val="18"/>
              </w:rPr>
            </w:pPr>
            <w:r w:rsidRPr="0098096F">
              <w:rPr>
                <w:b/>
                <w:sz w:val="18"/>
                <w:szCs w:val="18"/>
              </w:rPr>
              <w:t xml:space="preserve">Coûts </w:t>
            </w:r>
            <w:proofErr w:type="gramStart"/>
            <w:r w:rsidRPr="0098096F">
              <w:rPr>
                <w:b/>
                <w:sz w:val="18"/>
                <w:szCs w:val="18"/>
              </w:rPr>
              <w:t>annuels:</w:t>
            </w:r>
            <w:proofErr w:type="gramEnd"/>
            <w:r w:rsidRPr="0098096F">
              <w:rPr>
                <w:b/>
                <w:sz w:val="18"/>
                <w:szCs w:val="18"/>
              </w:rPr>
              <w:t xml:space="preserve"> 4,9 millions CHF</w:t>
            </w:r>
            <w:r>
              <w:rPr>
                <w:sz w:val="18"/>
                <w:szCs w:val="18"/>
              </w:rPr>
              <w:t>, dont:</w:t>
            </w:r>
          </w:p>
          <w:p w:rsidR="00AE57DE" w:rsidRPr="00E2564C" w:rsidRDefault="00AE57DE" w:rsidP="00F00A24">
            <w:pPr>
              <w:tabs>
                <w:tab w:val="left" w:pos="289"/>
              </w:tabs>
              <w:spacing w:before="60" w:after="60"/>
              <w:ind w:left="289" w:hanging="289"/>
              <w:rPr>
                <w:sz w:val="18"/>
                <w:szCs w:val="18"/>
              </w:rPr>
            </w:pPr>
            <w:r w:rsidRPr="00C25FA6">
              <w:rPr>
                <w:sz w:val="18"/>
                <w:szCs w:val="18"/>
              </w:rPr>
              <w:t>–</w:t>
            </w:r>
            <w:r>
              <w:rPr>
                <w:sz w:val="18"/>
                <w:szCs w:val="18"/>
              </w:rPr>
              <w:tab/>
            </w:r>
            <w:r w:rsidRPr="004F7400">
              <w:rPr>
                <w:sz w:val="18"/>
                <w:szCs w:val="18"/>
              </w:rPr>
              <w:t>4,0 millions CHF par an pe</w:t>
            </w:r>
            <w:r>
              <w:rPr>
                <w:sz w:val="18"/>
                <w:szCs w:val="18"/>
              </w:rPr>
              <w:t>ndant 30 ans, plus des intérêts moyens de 0,9</w:t>
            </w:r>
            <w:r w:rsidRPr="004F7400">
              <w:rPr>
                <w:sz w:val="18"/>
                <w:szCs w:val="18"/>
              </w:rPr>
              <w:t xml:space="preserve"> million </w:t>
            </w:r>
            <w:r>
              <w:rPr>
                <w:sz w:val="18"/>
                <w:szCs w:val="18"/>
              </w:rPr>
              <w:t xml:space="preserve">CHF </w:t>
            </w:r>
            <w:r w:rsidRPr="004F7400">
              <w:rPr>
                <w:sz w:val="18"/>
                <w:szCs w:val="18"/>
              </w:rPr>
              <w:t xml:space="preserve">à </w:t>
            </w:r>
            <w:r>
              <w:rPr>
                <w:sz w:val="18"/>
                <w:szCs w:val="18"/>
              </w:rPr>
              <w:t>compter</w:t>
            </w:r>
            <w:r w:rsidRPr="004F7400">
              <w:rPr>
                <w:sz w:val="18"/>
                <w:szCs w:val="18"/>
              </w:rPr>
              <w:t xml:space="preserve"> de la date de </w:t>
            </w:r>
            <w:r>
              <w:rPr>
                <w:sz w:val="18"/>
                <w:szCs w:val="18"/>
              </w:rPr>
              <w:t>la fin des rénovations.</w:t>
            </w:r>
          </w:p>
          <w:p w:rsidR="00AE57DE" w:rsidRPr="0076297D" w:rsidRDefault="00AE57DE" w:rsidP="00F00A24">
            <w:pPr>
              <w:spacing w:before="60" w:after="60"/>
              <w:rPr>
                <w:b/>
                <w:sz w:val="18"/>
                <w:szCs w:val="18"/>
              </w:rPr>
            </w:pPr>
            <w:proofErr w:type="gramStart"/>
            <w:r w:rsidRPr="00E2564C">
              <w:rPr>
                <w:b/>
                <w:sz w:val="18"/>
                <w:szCs w:val="18"/>
              </w:rPr>
              <w:t>Economies:</w:t>
            </w:r>
            <w:proofErr w:type="gramEnd"/>
          </w:p>
          <w:p w:rsidR="00AE57DE" w:rsidRPr="0076297D" w:rsidRDefault="00AE57DE" w:rsidP="00F00A24">
            <w:pPr>
              <w:tabs>
                <w:tab w:val="left" w:pos="318"/>
              </w:tabs>
              <w:spacing w:before="60"/>
              <w:ind w:left="318" w:hanging="318"/>
              <w:rPr>
                <w:sz w:val="18"/>
                <w:szCs w:val="18"/>
              </w:rPr>
            </w:pPr>
            <w:r w:rsidRPr="00C25FA6">
              <w:rPr>
                <w:sz w:val="18"/>
                <w:szCs w:val="18"/>
                <w:lang w:val="fr-CH"/>
              </w:rPr>
              <w:t>–</w:t>
            </w:r>
            <w:r>
              <w:rPr>
                <w:sz w:val="18"/>
                <w:szCs w:val="18"/>
                <w:lang w:val="fr-CH"/>
              </w:rPr>
              <w:tab/>
            </w:r>
            <w:r w:rsidRPr="0076297D">
              <w:rPr>
                <w:sz w:val="18"/>
                <w:szCs w:val="18"/>
              </w:rPr>
              <w:t xml:space="preserve">économies de 100 000 CHF par an sur les services à compter de </w:t>
            </w:r>
            <w:proofErr w:type="gramStart"/>
            <w:r w:rsidRPr="0076297D">
              <w:rPr>
                <w:sz w:val="18"/>
                <w:szCs w:val="18"/>
              </w:rPr>
              <w:t>2021;</w:t>
            </w:r>
            <w:proofErr w:type="gramEnd"/>
          </w:p>
          <w:p w:rsidR="00AE57DE" w:rsidRPr="00E2564C" w:rsidRDefault="00AE57DE" w:rsidP="00F00A24">
            <w:pPr>
              <w:tabs>
                <w:tab w:val="left" w:pos="308"/>
              </w:tabs>
              <w:spacing w:before="60" w:after="60"/>
              <w:ind w:left="308" w:hanging="308"/>
              <w:rPr>
                <w:sz w:val="18"/>
                <w:szCs w:val="18"/>
                <w:lang w:val="fr-CH"/>
              </w:rPr>
            </w:pPr>
            <w:r w:rsidRPr="00C25FA6">
              <w:rPr>
                <w:sz w:val="18"/>
                <w:szCs w:val="18"/>
              </w:rPr>
              <w:t>–</w:t>
            </w:r>
            <w:r>
              <w:rPr>
                <w:sz w:val="18"/>
                <w:szCs w:val="18"/>
              </w:rPr>
              <w:tab/>
            </w:r>
            <w:r w:rsidRPr="0076297D">
              <w:rPr>
                <w:sz w:val="18"/>
                <w:szCs w:val="18"/>
              </w:rPr>
              <w:t>économie sur les frais</w:t>
            </w:r>
            <w:r>
              <w:rPr>
                <w:sz w:val="18"/>
                <w:szCs w:val="18"/>
              </w:rPr>
              <w:t xml:space="preserve"> réguliers de maintenance au cours de la </w:t>
            </w:r>
            <w:r w:rsidRPr="0076297D">
              <w:rPr>
                <w:sz w:val="18"/>
                <w:szCs w:val="18"/>
              </w:rPr>
              <w:t>période suivant la rénovation des bâtiments (2021</w:t>
            </w:r>
            <w:r>
              <w:rPr>
                <w:sz w:val="18"/>
                <w:szCs w:val="18"/>
              </w:rPr>
              <w:noBreakHyphen/>
            </w:r>
            <w:r w:rsidRPr="0076297D">
              <w:rPr>
                <w:sz w:val="18"/>
                <w:szCs w:val="18"/>
              </w:rPr>
              <w:t>2050), pour un montant total estimé à 30 millions CHF.</w:t>
            </w:r>
          </w:p>
        </w:tc>
      </w:tr>
      <w:tr w:rsidR="00AE57DE" w:rsidRPr="004F7400" w:rsidTr="00F00A24">
        <w:trPr>
          <w:cantSplit/>
          <w:trHeight w:val="1134"/>
        </w:trPr>
        <w:tc>
          <w:tcPr>
            <w:tcW w:w="846" w:type="dxa"/>
            <w:textDirection w:val="btLr"/>
          </w:tcPr>
          <w:p w:rsidR="00AE57DE" w:rsidRPr="004F7400" w:rsidRDefault="00AE57DE" w:rsidP="00F00A24">
            <w:pPr>
              <w:ind w:left="113" w:right="113"/>
              <w:jc w:val="center"/>
              <w:rPr>
                <w:b/>
                <w:bCs/>
                <w:sz w:val="18"/>
                <w:szCs w:val="18"/>
              </w:rPr>
            </w:pPr>
            <w:r w:rsidRPr="004F7400">
              <w:rPr>
                <w:b/>
                <w:bCs/>
                <w:sz w:val="18"/>
                <w:szCs w:val="18"/>
              </w:rPr>
              <w:t>Location</w:t>
            </w:r>
          </w:p>
        </w:tc>
        <w:tc>
          <w:tcPr>
            <w:tcW w:w="1984" w:type="dxa"/>
          </w:tcPr>
          <w:p w:rsidR="00AE57DE" w:rsidRPr="004F7400" w:rsidRDefault="00AE57DE" w:rsidP="00F00A24">
            <w:pPr>
              <w:rPr>
                <w:sz w:val="18"/>
                <w:szCs w:val="18"/>
              </w:rPr>
            </w:pPr>
            <w:r>
              <w:rPr>
                <w:sz w:val="18"/>
                <w:szCs w:val="18"/>
              </w:rPr>
              <w:t xml:space="preserve">Par </w:t>
            </w:r>
            <w:proofErr w:type="gramStart"/>
            <w:r>
              <w:rPr>
                <w:sz w:val="18"/>
                <w:szCs w:val="18"/>
              </w:rPr>
              <w:t>an:</w:t>
            </w:r>
            <w:proofErr w:type="gramEnd"/>
            <w:r w:rsidRPr="004F7400">
              <w:rPr>
                <w:sz w:val="18"/>
                <w:szCs w:val="18"/>
              </w:rPr>
              <w:t xml:space="preserve"> </w:t>
            </w:r>
            <w:r>
              <w:rPr>
                <w:sz w:val="18"/>
                <w:szCs w:val="18"/>
              </w:rPr>
              <w:t>4,9</w:t>
            </w:r>
            <w:r w:rsidRPr="004F7400">
              <w:rPr>
                <w:sz w:val="18"/>
                <w:szCs w:val="18"/>
              </w:rPr>
              <w:t xml:space="preserve"> millions CHF</w:t>
            </w:r>
            <w:r>
              <w:rPr>
                <w:sz w:val="18"/>
                <w:szCs w:val="18"/>
              </w:rPr>
              <w:t>,</w:t>
            </w:r>
            <w:r w:rsidRPr="004F7400">
              <w:rPr>
                <w:sz w:val="18"/>
                <w:szCs w:val="18"/>
              </w:rPr>
              <w:t xml:space="preserve"> charges</w:t>
            </w:r>
            <w:r>
              <w:rPr>
                <w:sz w:val="18"/>
                <w:szCs w:val="18"/>
              </w:rPr>
              <w:t xml:space="preserve"> comprises.</w:t>
            </w:r>
          </w:p>
          <w:p w:rsidR="00AE57DE" w:rsidRPr="004F7400" w:rsidRDefault="00AE57DE" w:rsidP="00F00A24">
            <w:pPr>
              <w:rPr>
                <w:sz w:val="18"/>
                <w:szCs w:val="18"/>
              </w:rPr>
            </w:pPr>
            <w:proofErr w:type="gramStart"/>
            <w:r w:rsidRPr="004F7400">
              <w:rPr>
                <w:sz w:val="18"/>
                <w:szCs w:val="18"/>
              </w:rPr>
              <w:t>R</w:t>
            </w:r>
            <w:r>
              <w:rPr>
                <w:sz w:val="18"/>
                <w:szCs w:val="18"/>
              </w:rPr>
              <w:t>é</w:t>
            </w:r>
            <w:r w:rsidRPr="004F7400">
              <w:rPr>
                <w:sz w:val="18"/>
                <w:szCs w:val="18"/>
              </w:rPr>
              <w:t>novation</w:t>
            </w:r>
            <w:r>
              <w:rPr>
                <w:sz w:val="18"/>
                <w:szCs w:val="18"/>
              </w:rPr>
              <w:t>:</w:t>
            </w:r>
            <w:proofErr w:type="gramEnd"/>
            <w:r w:rsidRPr="004F7400">
              <w:rPr>
                <w:sz w:val="18"/>
                <w:szCs w:val="18"/>
              </w:rPr>
              <w:t xml:space="preserve"> </w:t>
            </w:r>
            <w:r>
              <w:rPr>
                <w:sz w:val="18"/>
                <w:szCs w:val="18"/>
              </w:rPr>
              <w:br/>
            </w:r>
            <w:r w:rsidRPr="004F7400">
              <w:rPr>
                <w:sz w:val="18"/>
                <w:szCs w:val="18"/>
              </w:rPr>
              <w:t>6</w:t>
            </w:r>
            <w:r>
              <w:rPr>
                <w:sz w:val="18"/>
                <w:szCs w:val="18"/>
              </w:rPr>
              <w:t>5</w:t>
            </w:r>
            <w:r w:rsidRPr="004F7400">
              <w:rPr>
                <w:sz w:val="18"/>
                <w:szCs w:val="18"/>
              </w:rPr>
              <w:t>,</w:t>
            </w:r>
            <w:r>
              <w:rPr>
                <w:sz w:val="18"/>
                <w:szCs w:val="18"/>
              </w:rPr>
              <w:t>6</w:t>
            </w:r>
            <w:r w:rsidRPr="004F7400">
              <w:rPr>
                <w:sz w:val="18"/>
                <w:szCs w:val="18"/>
              </w:rPr>
              <w:t xml:space="preserve"> million</w:t>
            </w:r>
            <w:r>
              <w:rPr>
                <w:sz w:val="18"/>
                <w:szCs w:val="18"/>
              </w:rPr>
              <w:t>s CHF.</w:t>
            </w:r>
          </w:p>
        </w:tc>
        <w:tc>
          <w:tcPr>
            <w:tcW w:w="2240" w:type="dxa"/>
          </w:tcPr>
          <w:p w:rsidR="00AE57DE" w:rsidRPr="004F7400" w:rsidRDefault="00AE57DE" w:rsidP="00F00A24">
            <w:pPr>
              <w:rPr>
                <w:sz w:val="18"/>
                <w:szCs w:val="18"/>
              </w:rPr>
            </w:pPr>
            <w:r w:rsidRPr="004F7400">
              <w:rPr>
                <w:sz w:val="18"/>
                <w:szCs w:val="18"/>
              </w:rPr>
              <w:t xml:space="preserve">Selon le calendrier choisi, </w:t>
            </w:r>
            <w:r>
              <w:rPr>
                <w:sz w:val="18"/>
                <w:szCs w:val="18"/>
              </w:rPr>
              <w:t xml:space="preserve">cette option pourrait avoir des incidences sur </w:t>
            </w:r>
            <w:r w:rsidRPr="004F7400">
              <w:rPr>
                <w:sz w:val="18"/>
                <w:szCs w:val="18"/>
              </w:rPr>
              <w:t xml:space="preserve">le </w:t>
            </w:r>
            <w:r>
              <w:rPr>
                <w:sz w:val="18"/>
                <w:szCs w:val="18"/>
              </w:rPr>
              <w:t>P</w:t>
            </w:r>
            <w:r w:rsidRPr="004F7400">
              <w:rPr>
                <w:sz w:val="18"/>
                <w:szCs w:val="18"/>
              </w:rPr>
              <w:t xml:space="preserve">lan financier </w:t>
            </w:r>
            <w:r>
              <w:rPr>
                <w:sz w:val="18"/>
                <w:szCs w:val="18"/>
              </w:rPr>
              <w:t xml:space="preserve">pour la période </w:t>
            </w:r>
            <w:r w:rsidRPr="004F7400">
              <w:rPr>
                <w:sz w:val="18"/>
                <w:szCs w:val="18"/>
              </w:rPr>
              <w:t>2016-</w:t>
            </w:r>
            <w:r>
              <w:rPr>
                <w:sz w:val="18"/>
                <w:szCs w:val="18"/>
              </w:rPr>
              <w:t>20</w:t>
            </w:r>
            <w:r w:rsidRPr="004F7400">
              <w:rPr>
                <w:sz w:val="18"/>
                <w:szCs w:val="18"/>
              </w:rPr>
              <w:t>19</w:t>
            </w:r>
            <w:r>
              <w:rPr>
                <w:sz w:val="18"/>
                <w:szCs w:val="18"/>
              </w:rPr>
              <w:t>.</w:t>
            </w:r>
          </w:p>
        </w:tc>
        <w:tc>
          <w:tcPr>
            <w:tcW w:w="4536" w:type="dxa"/>
          </w:tcPr>
          <w:p w:rsidR="00AE57DE" w:rsidRDefault="00AE57DE" w:rsidP="00F00A24">
            <w:pPr>
              <w:rPr>
                <w:sz w:val="18"/>
                <w:szCs w:val="18"/>
              </w:rPr>
            </w:pPr>
            <w:r w:rsidRPr="0098096F">
              <w:rPr>
                <w:b/>
                <w:sz w:val="18"/>
                <w:szCs w:val="18"/>
              </w:rPr>
              <w:t xml:space="preserve">Coûts </w:t>
            </w:r>
            <w:proofErr w:type="gramStart"/>
            <w:r w:rsidRPr="0098096F">
              <w:rPr>
                <w:b/>
                <w:sz w:val="18"/>
                <w:szCs w:val="18"/>
              </w:rPr>
              <w:t>annuels:</w:t>
            </w:r>
            <w:proofErr w:type="gramEnd"/>
            <w:r w:rsidRPr="0098096F">
              <w:rPr>
                <w:b/>
                <w:sz w:val="18"/>
                <w:szCs w:val="18"/>
              </w:rPr>
              <w:t xml:space="preserve"> </w:t>
            </w:r>
            <w:r>
              <w:rPr>
                <w:b/>
                <w:sz w:val="18"/>
                <w:szCs w:val="18"/>
              </w:rPr>
              <w:t>7,1</w:t>
            </w:r>
            <w:r w:rsidRPr="0098096F">
              <w:rPr>
                <w:b/>
                <w:sz w:val="18"/>
                <w:szCs w:val="18"/>
              </w:rPr>
              <w:t xml:space="preserve"> millions CHF</w:t>
            </w:r>
            <w:r>
              <w:rPr>
                <w:sz w:val="18"/>
                <w:szCs w:val="18"/>
              </w:rPr>
              <w:t>, dont:</w:t>
            </w:r>
          </w:p>
          <w:p w:rsidR="00AE57DE" w:rsidRPr="004F7400" w:rsidRDefault="00AE57DE" w:rsidP="00F00A24">
            <w:pPr>
              <w:tabs>
                <w:tab w:val="left" w:pos="298"/>
              </w:tabs>
              <w:spacing w:before="60"/>
              <w:ind w:left="298" w:hanging="298"/>
              <w:rPr>
                <w:sz w:val="18"/>
                <w:szCs w:val="18"/>
              </w:rPr>
            </w:pPr>
            <w:r w:rsidRPr="00C25FA6">
              <w:rPr>
                <w:sz w:val="18"/>
                <w:szCs w:val="18"/>
              </w:rPr>
              <w:t>–</w:t>
            </w:r>
            <w:r>
              <w:rPr>
                <w:sz w:val="18"/>
                <w:szCs w:val="18"/>
              </w:rPr>
              <w:tab/>
              <w:t>4,9</w:t>
            </w:r>
            <w:r w:rsidRPr="004F7400">
              <w:rPr>
                <w:sz w:val="18"/>
                <w:szCs w:val="18"/>
              </w:rPr>
              <w:t xml:space="preserve"> millions CHF par an sans </w:t>
            </w:r>
            <w:r>
              <w:rPr>
                <w:sz w:val="18"/>
                <w:szCs w:val="18"/>
              </w:rPr>
              <w:t>amélioration</w:t>
            </w:r>
            <w:r w:rsidRPr="004F7400">
              <w:rPr>
                <w:sz w:val="18"/>
                <w:szCs w:val="18"/>
              </w:rPr>
              <w:t xml:space="preserve"> des actifs de l</w:t>
            </w:r>
            <w:r>
              <w:rPr>
                <w:sz w:val="18"/>
                <w:szCs w:val="18"/>
              </w:rPr>
              <w:t>'</w:t>
            </w:r>
            <w:r w:rsidRPr="004F7400">
              <w:rPr>
                <w:sz w:val="18"/>
                <w:szCs w:val="18"/>
              </w:rPr>
              <w:t>Union</w:t>
            </w:r>
            <w:r>
              <w:rPr>
                <w:sz w:val="18"/>
                <w:szCs w:val="18"/>
              </w:rPr>
              <w:t>,</w:t>
            </w:r>
            <w:r w:rsidRPr="004F7400">
              <w:rPr>
                <w:sz w:val="18"/>
                <w:szCs w:val="18"/>
              </w:rPr>
              <w:t xml:space="preserve"> </w:t>
            </w:r>
            <w:r>
              <w:rPr>
                <w:sz w:val="18"/>
                <w:szCs w:val="18"/>
              </w:rPr>
              <w:t>plus</w:t>
            </w:r>
            <w:r w:rsidRPr="004F7400">
              <w:rPr>
                <w:sz w:val="18"/>
                <w:szCs w:val="18"/>
              </w:rPr>
              <w:t xml:space="preserve"> des charges </w:t>
            </w:r>
            <w:r>
              <w:rPr>
                <w:sz w:val="18"/>
                <w:szCs w:val="18"/>
              </w:rPr>
              <w:t>sur les</w:t>
            </w:r>
            <w:r w:rsidRPr="004F7400">
              <w:rPr>
                <w:sz w:val="18"/>
                <w:szCs w:val="18"/>
              </w:rPr>
              <w:t xml:space="preserve"> bureaux </w:t>
            </w:r>
            <w:proofErr w:type="gramStart"/>
            <w:r w:rsidRPr="004F7400">
              <w:rPr>
                <w:sz w:val="18"/>
                <w:szCs w:val="18"/>
              </w:rPr>
              <w:t>loués</w:t>
            </w:r>
            <w:r>
              <w:rPr>
                <w:sz w:val="18"/>
                <w:szCs w:val="18"/>
              </w:rPr>
              <w:t>;</w:t>
            </w:r>
            <w:proofErr w:type="gramEnd"/>
          </w:p>
          <w:p w:rsidR="00AE57DE" w:rsidRPr="004F7400" w:rsidRDefault="00AE57DE" w:rsidP="00F00A24">
            <w:pPr>
              <w:tabs>
                <w:tab w:val="left" w:pos="298"/>
              </w:tabs>
              <w:spacing w:before="60"/>
              <w:ind w:left="298" w:hanging="298"/>
              <w:rPr>
                <w:sz w:val="18"/>
                <w:szCs w:val="18"/>
              </w:rPr>
            </w:pPr>
            <w:r w:rsidRPr="00C25FA6">
              <w:rPr>
                <w:sz w:val="18"/>
                <w:szCs w:val="18"/>
              </w:rPr>
              <w:t>–</w:t>
            </w:r>
            <w:r>
              <w:rPr>
                <w:sz w:val="18"/>
                <w:szCs w:val="18"/>
              </w:rPr>
              <w:tab/>
              <w:t>1,</w:t>
            </w:r>
            <w:r w:rsidRPr="004F7400">
              <w:rPr>
                <w:sz w:val="18"/>
                <w:szCs w:val="18"/>
              </w:rPr>
              <w:t>8 million CHF par an pendant 30 ans, plus</w:t>
            </w:r>
            <w:r>
              <w:rPr>
                <w:sz w:val="18"/>
                <w:szCs w:val="18"/>
              </w:rPr>
              <w:t xml:space="preserve"> des</w:t>
            </w:r>
            <w:r w:rsidRPr="004F7400">
              <w:rPr>
                <w:sz w:val="18"/>
                <w:szCs w:val="18"/>
              </w:rPr>
              <w:t xml:space="preserve"> intérêt</w:t>
            </w:r>
            <w:r>
              <w:rPr>
                <w:sz w:val="18"/>
                <w:szCs w:val="18"/>
              </w:rPr>
              <w:t>s</w:t>
            </w:r>
            <w:r w:rsidRPr="004F7400">
              <w:rPr>
                <w:sz w:val="18"/>
                <w:szCs w:val="18"/>
              </w:rPr>
              <w:t xml:space="preserve"> </w:t>
            </w:r>
            <w:r>
              <w:rPr>
                <w:sz w:val="18"/>
                <w:szCs w:val="18"/>
              </w:rPr>
              <w:t xml:space="preserve">moyens </w:t>
            </w:r>
            <w:r w:rsidRPr="004F7400">
              <w:rPr>
                <w:sz w:val="18"/>
                <w:szCs w:val="18"/>
              </w:rPr>
              <w:t>de 0</w:t>
            </w:r>
            <w:r>
              <w:rPr>
                <w:sz w:val="18"/>
                <w:szCs w:val="18"/>
              </w:rPr>
              <w:t>,4</w:t>
            </w:r>
            <w:r w:rsidRPr="004F7400">
              <w:rPr>
                <w:sz w:val="18"/>
                <w:szCs w:val="18"/>
              </w:rPr>
              <w:t xml:space="preserve"> million</w:t>
            </w:r>
            <w:r>
              <w:rPr>
                <w:sz w:val="18"/>
                <w:szCs w:val="18"/>
              </w:rPr>
              <w:t xml:space="preserve"> CHF</w:t>
            </w:r>
            <w:r w:rsidRPr="004F7400">
              <w:rPr>
                <w:sz w:val="18"/>
                <w:szCs w:val="18"/>
              </w:rPr>
              <w:t xml:space="preserve"> </w:t>
            </w:r>
            <w:r>
              <w:rPr>
                <w:sz w:val="18"/>
                <w:szCs w:val="18"/>
              </w:rPr>
              <w:t>à</w:t>
            </w:r>
            <w:r w:rsidRPr="004F7400">
              <w:rPr>
                <w:sz w:val="18"/>
                <w:szCs w:val="18"/>
              </w:rPr>
              <w:t xml:space="preserve"> </w:t>
            </w:r>
            <w:r>
              <w:rPr>
                <w:sz w:val="18"/>
                <w:szCs w:val="18"/>
              </w:rPr>
              <w:t>compter</w:t>
            </w:r>
            <w:r w:rsidRPr="004F7400">
              <w:rPr>
                <w:sz w:val="18"/>
                <w:szCs w:val="18"/>
              </w:rPr>
              <w:t xml:space="preserve"> de la date de </w:t>
            </w:r>
            <w:r>
              <w:rPr>
                <w:sz w:val="18"/>
                <w:szCs w:val="18"/>
              </w:rPr>
              <w:t xml:space="preserve">la </w:t>
            </w:r>
            <w:r w:rsidRPr="004F7400">
              <w:rPr>
                <w:sz w:val="18"/>
                <w:szCs w:val="18"/>
              </w:rPr>
              <w:t>fin</w:t>
            </w:r>
            <w:r>
              <w:rPr>
                <w:sz w:val="18"/>
                <w:szCs w:val="18"/>
              </w:rPr>
              <w:t xml:space="preserve"> </w:t>
            </w:r>
            <w:r w:rsidRPr="004F7400">
              <w:rPr>
                <w:sz w:val="18"/>
                <w:szCs w:val="18"/>
              </w:rPr>
              <w:t>des travaux</w:t>
            </w:r>
            <w:r>
              <w:rPr>
                <w:sz w:val="18"/>
                <w:szCs w:val="18"/>
              </w:rPr>
              <w:t>.</w:t>
            </w:r>
          </w:p>
        </w:tc>
      </w:tr>
      <w:tr w:rsidR="00AE57DE" w:rsidRPr="004F7400" w:rsidTr="00F00A24">
        <w:trPr>
          <w:cantSplit/>
          <w:trHeight w:val="1398"/>
        </w:trPr>
        <w:tc>
          <w:tcPr>
            <w:tcW w:w="846" w:type="dxa"/>
            <w:textDirection w:val="btLr"/>
          </w:tcPr>
          <w:p w:rsidR="00AE57DE" w:rsidRPr="004F7400" w:rsidRDefault="00AE57DE" w:rsidP="00F00A24">
            <w:pPr>
              <w:ind w:left="113" w:right="113"/>
              <w:jc w:val="center"/>
              <w:rPr>
                <w:b/>
                <w:bCs/>
                <w:sz w:val="18"/>
                <w:szCs w:val="18"/>
              </w:rPr>
            </w:pPr>
            <w:r w:rsidRPr="004F7400">
              <w:rPr>
                <w:b/>
                <w:bCs/>
                <w:sz w:val="18"/>
                <w:szCs w:val="18"/>
              </w:rPr>
              <w:t>Relocalisation</w:t>
            </w:r>
          </w:p>
        </w:tc>
        <w:tc>
          <w:tcPr>
            <w:tcW w:w="1984" w:type="dxa"/>
          </w:tcPr>
          <w:p w:rsidR="00AE57DE" w:rsidRPr="004F7400" w:rsidRDefault="00AE57DE" w:rsidP="00F00A24">
            <w:pPr>
              <w:rPr>
                <w:sz w:val="18"/>
                <w:szCs w:val="18"/>
              </w:rPr>
            </w:pPr>
            <w:r w:rsidRPr="004F7400">
              <w:rPr>
                <w:sz w:val="18"/>
                <w:szCs w:val="18"/>
              </w:rPr>
              <w:t>130 à 175 millions CHF</w:t>
            </w:r>
            <w:r>
              <w:rPr>
                <w:sz w:val="18"/>
                <w:szCs w:val="18"/>
              </w:rPr>
              <w:t xml:space="preserve"> </w:t>
            </w:r>
            <w:r>
              <w:rPr>
                <w:sz w:val="18"/>
                <w:szCs w:val="18"/>
              </w:rPr>
              <w:br/>
            </w:r>
            <w:r w:rsidRPr="004F7400">
              <w:rPr>
                <w:sz w:val="18"/>
                <w:szCs w:val="18"/>
              </w:rPr>
              <w:t>(</w:t>
            </w:r>
            <w:r>
              <w:rPr>
                <w:sz w:val="18"/>
                <w:szCs w:val="18"/>
              </w:rPr>
              <w:t>coûts de relocalisation, à l'exclusion des coûts liés à la fourniture de nouveaux bâtiments</w:t>
            </w:r>
            <w:r w:rsidRPr="004F7400">
              <w:rPr>
                <w:sz w:val="18"/>
                <w:szCs w:val="18"/>
              </w:rPr>
              <w:t>)</w:t>
            </w:r>
            <w:r>
              <w:rPr>
                <w:sz w:val="18"/>
                <w:szCs w:val="18"/>
              </w:rPr>
              <w:t>.</w:t>
            </w:r>
          </w:p>
          <w:p w:rsidR="00AE57DE" w:rsidRDefault="00AE57DE" w:rsidP="00F00A24">
            <w:pPr>
              <w:spacing w:before="60"/>
              <w:rPr>
                <w:sz w:val="18"/>
                <w:szCs w:val="18"/>
              </w:rPr>
            </w:pPr>
            <w:r w:rsidRPr="004F7400">
              <w:rPr>
                <w:sz w:val="18"/>
                <w:szCs w:val="18"/>
              </w:rPr>
              <w:t>48 million</w:t>
            </w:r>
            <w:r>
              <w:rPr>
                <w:sz w:val="18"/>
                <w:szCs w:val="18"/>
              </w:rPr>
              <w:t>s</w:t>
            </w:r>
            <w:r w:rsidRPr="004F7400">
              <w:rPr>
                <w:sz w:val="18"/>
                <w:szCs w:val="18"/>
              </w:rPr>
              <w:t xml:space="preserve"> CHF</w:t>
            </w:r>
            <w:r>
              <w:rPr>
                <w:sz w:val="18"/>
                <w:szCs w:val="18"/>
              </w:rPr>
              <w:t xml:space="preserve"> </w:t>
            </w:r>
            <w:r w:rsidRPr="004F7400">
              <w:rPr>
                <w:sz w:val="18"/>
                <w:szCs w:val="18"/>
              </w:rPr>
              <w:br/>
              <w:t>(</w:t>
            </w:r>
            <w:r>
              <w:rPr>
                <w:sz w:val="18"/>
                <w:szCs w:val="18"/>
              </w:rPr>
              <w:t>remboursement des prêts immobiliers</w:t>
            </w:r>
            <w:r w:rsidRPr="004F7400">
              <w:rPr>
                <w:sz w:val="18"/>
                <w:szCs w:val="18"/>
              </w:rPr>
              <w:t>)</w:t>
            </w:r>
            <w:r>
              <w:rPr>
                <w:sz w:val="18"/>
                <w:szCs w:val="18"/>
              </w:rPr>
              <w:t>.</w:t>
            </w:r>
          </w:p>
          <w:p w:rsidR="00AE57DE" w:rsidRPr="0017724C" w:rsidRDefault="00AE57DE" w:rsidP="00F00A24">
            <w:pPr>
              <w:spacing w:before="60"/>
              <w:rPr>
                <w:sz w:val="18"/>
                <w:szCs w:val="18"/>
              </w:rPr>
            </w:pPr>
            <w:r w:rsidRPr="00862B81">
              <w:rPr>
                <w:sz w:val="18"/>
                <w:szCs w:val="18"/>
              </w:rPr>
              <w:t>Une partie de</w:t>
            </w:r>
            <w:r>
              <w:rPr>
                <w:sz w:val="18"/>
                <w:szCs w:val="18"/>
              </w:rPr>
              <w:t xml:space="preserve"> ce</w:t>
            </w:r>
            <w:r w:rsidRPr="00862B81">
              <w:rPr>
                <w:sz w:val="18"/>
                <w:szCs w:val="18"/>
              </w:rPr>
              <w:t>s coûts sera</w:t>
            </w:r>
            <w:r>
              <w:rPr>
                <w:sz w:val="18"/>
                <w:szCs w:val="18"/>
              </w:rPr>
              <w:t>it</w:t>
            </w:r>
            <w:r w:rsidRPr="00862B81">
              <w:rPr>
                <w:sz w:val="18"/>
                <w:szCs w:val="18"/>
              </w:rPr>
              <w:t xml:space="preserve"> compensée</w:t>
            </w:r>
            <w:r>
              <w:rPr>
                <w:sz w:val="18"/>
                <w:szCs w:val="18"/>
              </w:rPr>
              <w:t xml:space="preserve"> par les recettes tirées de la vente des bâtiments du siège actuel (estimation impossible à ce stade).</w:t>
            </w:r>
          </w:p>
        </w:tc>
        <w:tc>
          <w:tcPr>
            <w:tcW w:w="2240" w:type="dxa"/>
          </w:tcPr>
          <w:p w:rsidR="00AE57DE" w:rsidRPr="004F7400" w:rsidRDefault="00AE57DE" w:rsidP="00F00A24">
            <w:pPr>
              <w:rPr>
                <w:sz w:val="18"/>
                <w:szCs w:val="18"/>
              </w:rPr>
            </w:pPr>
            <w:r w:rsidRPr="004F7400">
              <w:rPr>
                <w:sz w:val="18"/>
                <w:szCs w:val="18"/>
              </w:rPr>
              <w:t xml:space="preserve">Selon le calendrier choisi, </w:t>
            </w:r>
            <w:r>
              <w:rPr>
                <w:sz w:val="18"/>
                <w:szCs w:val="18"/>
              </w:rPr>
              <w:t xml:space="preserve">cette option pourrait avoir des incidences sur </w:t>
            </w:r>
            <w:r w:rsidRPr="004F7400">
              <w:rPr>
                <w:sz w:val="18"/>
                <w:szCs w:val="18"/>
              </w:rPr>
              <w:t xml:space="preserve">le </w:t>
            </w:r>
            <w:r>
              <w:rPr>
                <w:sz w:val="18"/>
                <w:szCs w:val="18"/>
              </w:rPr>
              <w:t>P</w:t>
            </w:r>
            <w:r w:rsidRPr="004F7400">
              <w:rPr>
                <w:sz w:val="18"/>
                <w:szCs w:val="18"/>
              </w:rPr>
              <w:t xml:space="preserve">lan financier </w:t>
            </w:r>
            <w:r>
              <w:rPr>
                <w:sz w:val="18"/>
                <w:szCs w:val="18"/>
              </w:rPr>
              <w:t xml:space="preserve">pour la période </w:t>
            </w:r>
            <w:r w:rsidRPr="004F7400">
              <w:rPr>
                <w:sz w:val="18"/>
                <w:szCs w:val="18"/>
              </w:rPr>
              <w:t>2016-</w:t>
            </w:r>
            <w:r>
              <w:rPr>
                <w:sz w:val="18"/>
                <w:szCs w:val="18"/>
              </w:rPr>
              <w:t>20</w:t>
            </w:r>
            <w:r w:rsidRPr="004F7400">
              <w:rPr>
                <w:sz w:val="18"/>
                <w:szCs w:val="18"/>
              </w:rPr>
              <w:t>19</w:t>
            </w:r>
            <w:r>
              <w:rPr>
                <w:sz w:val="18"/>
                <w:szCs w:val="18"/>
              </w:rPr>
              <w:t>.</w:t>
            </w:r>
          </w:p>
        </w:tc>
        <w:tc>
          <w:tcPr>
            <w:tcW w:w="4536" w:type="dxa"/>
          </w:tcPr>
          <w:p w:rsidR="00AE57DE" w:rsidRPr="004F7400" w:rsidRDefault="00AE57DE" w:rsidP="00F00A24">
            <w:pPr>
              <w:tabs>
                <w:tab w:val="left" w:pos="289"/>
              </w:tabs>
              <w:ind w:left="289" w:hanging="289"/>
              <w:rPr>
                <w:sz w:val="18"/>
                <w:szCs w:val="18"/>
              </w:rPr>
            </w:pPr>
            <w:r w:rsidRPr="00C25FA6">
              <w:rPr>
                <w:sz w:val="18"/>
                <w:szCs w:val="18"/>
              </w:rPr>
              <w:t>–</w:t>
            </w:r>
            <w:r>
              <w:rPr>
                <w:sz w:val="18"/>
                <w:szCs w:val="18"/>
              </w:rPr>
              <w:tab/>
              <w:t>Les coûts liés à l'utilisation de bâtiments à un nouvel emplacement devraient être pris en compte.</w:t>
            </w:r>
          </w:p>
          <w:p w:rsidR="00AE57DE" w:rsidRPr="004F7400" w:rsidRDefault="00AE57DE" w:rsidP="00F00A24">
            <w:pPr>
              <w:tabs>
                <w:tab w:val="left" w:pos="289"/>
              </w:tabs>
              <w:spacing w:before="60"/>
              <w:ind w:left="289" w:hanging="289"/>
              <w:rPr>
                <w:sz w:val="18"/>
                <w:szCs w:val="18"/>
              </w:rPr>
            </w:pPr>
            <w:r w:rsidRPr="00C25FA6">
              <w:rPr>
                <w:sz w:val="18"/>
                <w:szCs w:val="18"/>
              </w:rPr>
              <w:t>–</w:t>
            </w:r>
            <w:r>
              <w:rPr>
                <w:sz w:val="18"/>
                <w:szCs w:val="18"/>
              </w:rPr>
              <w:tab/>
            </w:r>
            <w:r w:rsidRPr="004F7400">
              <w:rPr>
                <w:sz w:val="18"/>
                <w:szCs w:val="18"/>
              </w:rPr>
              <w:t>Economie</w:t>
            </w:r>
            <w:r>
              <w:rPr>
                <w:sz w:val="18"/>
                <w:szCs w:val="18"/>
              </w:rPr>
              <w:t>s</w:t>
            </w:r>
            <w:r w:rsidRPr="004F7400">
              <w:rPr>
                <w:sz w:val="18"/>
                <w:szCs w:val="18"/>
              </w:rPr>
              <w:t xml:space="preserve"> </w:t>
            </w:r>
            <w:r>
              <w:rPr>
                <w:sz w:val="18"/>
                <w:szCs w:val="18"/>
              </w:rPr>
              <w:t>sur les dépenses</w:t>
            </w:r>
            <w:r w:rsidRPr="004F7400">
              <w:rPr>
                <w:sz w:val="18"/>
                <w:szCs w:val="18"/>
              </w:rPr>
              <w:t xml:space="preserve"> de personnel</w:t>
            </w:r>
            <w:r>
              <w:rPr>
                <w:sz w:val="18"/>
                <w:szCs w:val="18"/>
              </w:rPr>
              <w:t>,</w:t>
            </w:r>
            <w:r w:rsidRPr="004F7400">
              <w:rPr>
                <w:sz w:val="18"/>
                <w:szCs w:val="18"/>
              </w:rPr>
              <w:t xml:space="preserve"> à estimer selon le lieu de relocalisation</w:t>
            </w:r>
            <w:r>
              <w:rPr>
                <w:sz w:val="18"/>
                <w:szCs w:val="18"/>
              </w:rPr>
              <w:t>.</w:t>
            </w:r>
          </w:p>
        </w:tc>
      </w:tr>
    </w:tbl>
    <w:p w:rsidR="00AE57DE" w:rsidRPr="004F7400" w:rsidRDefault="00AE57DE" w:rsidP="00AE57DE">
      <w:pPr>
        <w:rPr>
          <w:lang w:val="fr-CH"/>
        </w:rPr>
      </w:pPr>
    </w:p>
    <w:p w:rsidR="00AE57DE" w:rsidRPr="004F7400" w:rsidRDefault="00AE57DE" w:rsidP="00AE57DE">
      <w:pPr>
        <w:keepNext/>
        <w:spacing w:after="240"/>
        <w:rPr>
          <w:lang w:val="fr-CH"/>
        </w:rPr>
      </w:pPr>
      <w:r>
        <w:rPr>
          <w:b/>
          <w:szCs w:val="24"/>
          <w:lang w:val="fr-CH"/>
        </w:rPr>
        <w:t>Considérations stratégiques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097"/>
        <w:gridCol w:w="3289"/>
        <w:gridCol w:w="1956"/>
        <w:gridCol w:w="1276"/>
      </w:tblGrid>
      <w:tr w:rsidR="00AE57DE" w:rsidRPr="004F7400" w:rsidTr="00F00A24">
        <w:trPr>
          <w:cantSplit/>
          <w:trHeight w:val="743"/>
        </w:trPr>
        <w:tc>
          <w:tcPr>
            <w:tcW w:w="846" w:type="dxa"/>
          </w:tcPr>
          <w:p w:rsidR="00AE57DE" w:rsidRPr="004F7400" w:rsidRDefault="00AE57DE" w:rsidP="00F00A24">
            <w:pPr>
              <w:rPr>
                <w:b/>
                <w:bCs/>
                <w:sz w:val="18"/>
                <w:szCs w:val="18"/>
              </w:rPr>
            </w:pPr>
            <w:r w:rsidRPr="004F7400">
              <w:rPr>
                <w:b/>
                <w:bCs/>
                <w:sz w:val="18"/>
                <w:szCs w:val="18"/>
              </w:rPr>
              <w:t>Options</w:t>
            </w:r>
          </w:p>
        </w:tc>
        <w:tc>
          <w:tcPr>
            <w:tcW w:w="2097" w:type="dxa"/>
          </w:tcPr>
          <w:p w:rsidR="00AE57DE" w:rsidRPr="004F7400" w:rsidRDefault="00AE57DE" w:rsidP="00F00A24">
            <w:pPr>
              <w:rPr>
                <w:b/>
                <w:bCs/>
                <w:sz w:val="18"/>
                <w:szCs w:val="18"/>
              </w:rPr>
            </w:pPr>
            <w:r w:rsidRPr="004F7400">
              <w:rPr>
                <w:b/>
                <w:bCs/>
                <w:sz w:val="18"/>
                <w:szCs w:val="18"/>
              </w:rPr>
              <w:t>Avantages</w:t>
            </w:r>
          </w:p>
        </w:tc>
        <w:tc>
          <w:tcPr>
            <w:tcW w:w="3289" w:type="dxa"/>
          </w:tcPr>
          <w:p w:rsidR="00AE57DE" w:rsidRPr="004F7400" w:rsidRDefault="00AE57DE" w:rsidP="00F00A24">
            <w:pPr>
              <w:jc w:val="center"/>
              <w:rPr>
                <w:b/>
                <w:bCs/>
                <w:sz w:val="18"/>
                <w:szCs w:val="18"/>
              </w:rPr>
            </w:pPr>
            <w:r w:rsidRPr="004F7400">
              <w:rPr>
                <w:b/>
                <w:bCs/>
                <w:sz w:val="18"/>
                <w:szCs w:val="18"/>
              </w:rPr>
              <w:t>Inconvénients</w:t>
            </w:r>
          </w:p>
        </w:tc>
        <w:tc>
          <w:tcPr>
            <w:tcW w:w="1956" w:type="dxa"/>
          </w:tcPr>
          <w:p w:rsidR="00AE57DE" w:rsidRPr="004F7400" w:rsidRDefault="00AE57DE" w:rsidP="00F00A24">
            <w:pPr>
              <w:rPr>
                <w:b/>
                <w:bCs/>
                <w:sz w:val="18"/>
                <w:szCs w:val="18"/>
              </w:rPr>
            </w:pPr>
            <w:r>
              <w:rPr>
                <w:b/>
                <w:bCs/>
                <w:sz w:val="18"/>
                <w:szCs w:val="18"/>
              </w:rPr>
              <w:t>E</w:t>
            </w:r>
            <w:r w:rsidRPr="004F7400">
              <w:rPr>
                <w:b/>
                <w:bCs/>
                <w:sz w:val="18"/>
                <w:szCs w:val="18"/>
              </w:rPr>
              <w:t xml:space="preserve">conomies </w:t>
            </w:r>
            <w:r>
              <w:rPr>
                <w:b/>
                <w:bCs/>
                <w:sz w:val="18"/>
                <w:szCs w:val="18"/>
              </w:rPr>
              <w:t xml:space="preserve">possibles </w:t>
            </w:r>
            <w:r w:rsidRPr="004F7400">
              <w:rPr>
                <w:b/>
                <w:bCs/>
                <w:sz w:val="18"/>
                <w:szCs w:val="18"/>
              </w:rPr>
              <w:t>à court terme</w:t>
            </w:r>
          </w:p>
        </w:tc>
        <w:tc>
          <w:tcPr>
            <w:tcW w:w="1276" w:type="dxa"/>
          </w:tcPr>
          <w:p w:rsidR="00AE57DE" w:rsidRPr="004F7400" w:rsidRDefault="00AE57DE" w:rsidP="00F00A24">
            <w:pPr>
              <w:rPr>
                <w:b/>
                <w:bCs/>
                <w:sz w:val="18"/>
                <w:szCs w:val="18"/>
              </w:rPr>
            </w:pPr>
            <w:r>
              <w:rPr>
                <w:b/>
                <w:bCs/>
                <w:sz w:val="18"/>
                <w:szCs w:val="18"/>
              </w:rPr>
              <w:t>Economies possibles</w:t>
            </w:r>
            <w:r w:rsidRPr="004F7400">
              <w:rPr>
                <w:b/>
                <w:bCs/>
                <w:sz w:val="18"/>
                <w:szCs w:val="18"/>
              </w:rPr>
              <w:t xml:space="preserve"> à long terme</w:t>
            </w:r>
          </w:p>
        </w:tc>
      </w:tr>
      <w:tr w:rsidR="00AE57DE" w:rsidRPr="004F7400" w:rsidTr="00F00A24">
        <w:trPr>
          <w:cantSplit/>
          <w:trHeight w:val="1134"/>
        </w:trPr>
        <w:tc>
          <w:tcPr>
            <w:tcW w:w="846" w:type="dxa"/>
            <w:textDirection w:val="btLr"/>
          </w:tcPr>
          <w:p w:rsidR="00AE57DE" w:rsidRPr="004F7400" w:rsidRDefault="00AE57DE" w:rsidP="00F00A24">
            <w:pPr>
              <w:ind w:left="113" w:right="113"/>
              <w:jc w:val="center"/>
              <w:rPr>
                <w:b/>
                <w:bCs/>
                <w:sz w:val="18"/>
                <w:szCs w:val="18"/>
              </w:rPr>
            </w:pPr>
            <w:r w:rsidRPr="004F7400">
              <w:rPr>
                <w:b/>
                <w:bCs/>
                <w:sz w:val="18"/>
                <w:szCs w:val="18"/>
              </w:rPr>
              <w:t>Remplacement</w:t>
            </w:r>
          </w:p>
        </w:tc>
        <w:tc>
          <w:tcPr>
            <w:tcW w:w="2097" w:type="dxa"/>
          </w:tcPr>
          <w:p w:rsidR="00AE57DE" w:rsidRPr="004F7400" w:rsidRDefault="00AE57DE" w:rsidP="00F00A24">
            <w:pPr>
              <w:tabs>
                <w:tab w:val="left" w:pos="175"/>
              </w:tabs>
              <w:ind w:left="175" w:hanging="175"/>
              <w:rPr>
                <w:sz w:val="18"/>
                <w:szCs w:val="18"/>
              </w:rPr>
            </w:pPr>
            <w:r w:rsidRPr="00C25FA6">
              <w:rPr>
                <w:sz w:val="18"/>
                <w:szCs w:val="18"/>
              </w:rPr>
              <w:t>–</w:t>
            </w:r>
            <w:r>
              <w:rPr>
                <w:sz w:val="18"/>
                <w:szCs w:val="18"/>
              </w:rPr>
              <w:tab/>
            </w:r>
            <w:r w:rsidRPr="004F7400">
              <w:rPr>
                <w:sz w:val="18"/>
                <w:szCs w:val="18"/>
              </w:rPr>
              <w:t>Le siège historique de l</w:t>
            </w:r>
            <w:r>
              <w:rPr>
                <w:sz w:val="18"/>
                <w:szCs w:val="18"/>
              </w:rPr>
              <w:t>'</w:t>
            </w:r>
            <w:r w:rsidRPr="004F7400">
              <w:rPr>
                <w:sz w:val="18"/>
                <w:szCs w:val="18"/>
              </w:rPr>
              <w:t>Union est conservé</w:t>
            </w:r>
            <w:r>
              <w:rPr>
                <w:sz w:val="18"/>
                <w:szCs w:val="18"/>
              </w:rPr>
              <w:t>.</w:t>
            </w:r>
          </w:p>
          <w:p w:rsidR="00AE57DE" w:rsidRPr="004F7400" w:rsidRDefault="00AE57DE" w:rsidP="00F00A24">
            <w:pPr>
              <w:tabs>
                <w:tab w:val="left" w:pos="175"/>
              </w:tabs>
              <w:spacing w:before="60"/>
              <w:ind w:left="175" w:hanging="175"/>
              <w:rPr>
                <w:sz w:val="18"/>
                <w:szCs w:val="18"/>
              </w:rPr>
            </w:pPr>
            <w:r w:rsidRPr="00C25FA6">
              <w:rPr>
                <w:sz w:val="18"/>
                <w:szCs w:val="18"/>
              </w:rPr>
              <w:t>–</w:t>
            </w:r>
            <w:r>
              <w:rPr>
                <w:sz w:val="18"/>
                <w:szCs w:val="18"/>
              </w:rPr>
              <w:tab/>
              <w:t>Incidences</w:t>
            </w:r>
            <w:r w:rsidRPr="004F7400">
              <w:rPr>
                <w:sz w:val="18"/>
                <w:szCs w:val="18"/>
              </w:rPr>
              <w:t xml:space="preserve"> minimal</w:t>
            </w:r>
            <w:r>
              <w:rPr>
                <w:sz w:val="18"/>
                <w:szCs w:val="18"/>
              </w:rPr>
              <w:t>es</w:t>
            </w:r>
            <w:r w:rsidRPr="004F7400">
              <w:rPr>
                <w:sz w:val="18"/>
                <w:szCs w:val="18"/>
              </w:rPr>
              <w:t xml:space="preserve"> sur l</w:t>
            </w:r>
            <w:r>
              <w:rPr>
                <w:sz w:val="18"/>
                <w:szCs w:val="18"/>
              </w:rPr>
              <w:t xml:space="preserve">es </w:t>
            </w:r>
            <w:r w:rsidRPr="004F7400">
              <w:rPr>
                <w:sz w:val="18"/>
                <w:szCs w:val="18"/>
              </w:rPr>
              <w:t>activité</w:t>
            </w:r>
            <w:r>
              <w:rPr>
                <w:sz w:val="18"/>
                <w:szCs w:val="18"/>
              </w:rPr>
              <w:t>s</w:t>
            </w:r>
            <w:r w:rsidRPr="004F7400">
              <w:rPr>
                <w:sz w:val="18"/>
                <w:szCs w:val="18"/>
              </w:rPr>
              <w:t xml:space="preserve"> de l</w:t>
            </w:r>
            <w:r>
              <w:rPr>
                <w:sz w:val="18"/>
                <w:szCs w:val="18"/>
              </w:rPr>
              <w:t>'</w:t>
            </w:r>
            <w:r w:rsidRPr="004F7400">
              <w:rPr>
                <w:sz w:val="18"/>
                <w:szCs w:val="18"/>
              </w:rPr>
              <w:t>UIT</w:t>
            </w:r>
            <w:r>
              <w:rPr>
                <w:sz w:val="18"/>
                <w:szCs w:val="18"/>
              </w:rPr>
              <w:t>.</w:t>
            </w:r>
          </w:p>
          <w:p w:rsidR="00AE57DE" w:rsidRDefault="00AE57DE" w:rsidP="00F00A24">
            <w:pPr>
              <w:tabs>
                <w:tab w:val="left" w:pos="175"/>
              </w:tabs>
              <w:spacing w:before="60"/>
              <w:ind w:left="175" w:hanging="175"/>
              <w:rPr>
                <w:sz w:val="18"/>
                <w:szCs w:val="18"/>
              </w:rPr>
            </w:pPr>
            <w:r w:rsidRPr="00C25FA6">
              <w:rPr>
                <w:sz w:val="18"/>
                <w:szCs w:val="18"/>
              </w:rPr>
              <w:t>–</w:t>
            </w:r>
            <w:r>
              <w:rPr>
                <w:sz w:val="18"/>
                <w:szCs w:val="18"/>
              </w:rPr>
              <w:tab/>
              <w:t>Possibilité de r</w:t>
            </w:r>
            <w:r w:rsidRPr="004F7400">
              <w:rPr>
                <w:sz w:val="18"/>
                <w:szCs w:val="18"/>
              </w:rPr>
              <w:t xml:space="preserve">éévaluation du bâtiment avec </w:t>
            </w:r>
            <w:r>
              <w:rPr>
                <w:sz w:val="18"/>
                <w:szCs w:val="18"/>
              </w:rPr>
              <w:t>des incidences positives</w:t>
            </w:r>
            <w:r w:rsidRPr="004F7400">
              <w:rPr>
                <w:sz w:val="18"/>
                <w:szCs w:val="18"/>
              </w:rPr>
              <w:t xml:space="preserve"> sur les actifs de l</w:t>
            </w:r>
            <w:r>
              <w:rPr>
                <w:sz w:val="18"/>
                <w:szCs w:val="18"/>
              </w:rPr>
              <w:t>'</w:t>
            </w:r>
            <w:r w:rsidRPr="004F7400">
              <w:rPr>
                <w:sz w:val="18"/>
                <w:szCs w:val="18"/>
              </w:rPr>
              <w:t>Union</w:t>
            </w:r>
            <w:r>
              <w:rPr>
                <w:sz w:val="18"/>
                <w:szCs w:val="18"/>
              </w:rPr>
              <w:t>.</w:t>
            </w:r>
          </w:p>
          <w:p w:rsidR="00AE57DE" w:rsidRPr="00AC5981" w:rsidRDefault="00AE57DE" w:rsidP="00F00A24">
            <w:pPr>
              <w:tabs>
                <w:tab w:val="left" w:pos="175"/>
              </w:tabs>
              <w:spacing w:before="60"/>
              <w:ind w:left="175" w:hanging="175"/>
            </w:pPr>
            <w:r w:rsidRPr="00C25FA6">
              <w:rPr>
                <w:sz w:val="18"/>
                <w:szCs w:val="18"/>
              </w:rPr>
              <w:t>–</w:t>
            </w:r>
            <w:r>
              <w:rPr>
                <w:sz w:val="18"/>
                <w:szCs w:val="18"/>
              </w:rPr>
              <w:tab/>
              <w:t>Augmentation de 400 places de la capacité des salles de réunion.</w:t>
            </w:r>
          </w:p>
        </w:tc>
        <w:tc>
          <w:tcPr>
            <w:tcW w:w="3289" w:type="dxa"/>
          </w:tcPr>
          <w:p w:rsidR="00AE57DE" w:rsidRPr="004F7400" w:rsidRDefault="00AE57DE" w:rsidP="00F00A24">
            <w:pPr>
              <w:tabs>
                <w:tab w:val="left" w:pos="246"/>
              </w:tabs>
              <w:ind w:left="246" w:hanging="246"/>
              <w:rPr>
                <w:sz w:val="18"/>
                <w:szCs w:val="18"/>
              </w:rPr>
            </w:pPr>
            <w:r w:rsidRPr="00C25FA6">
              <w:rPr>
                <w:sz w:val="18"/>
                <w:szCs w:val="18"/>
              </w:rPr>
              <w:t>–</w:t>
            </w:r>
            <w:r>
              <w:rPr>
                <w:sz w:val="18"/>
                <w:szCs w:val="18"/>
              </w:rPr>
              <w:tab/>
            </w:r>
            <w:r w:rsidRPr="004F7400">
              <w:rPr>
                <w:sz w:val="18"/>
                <w:szCs w:val="18"/>
              </w:rPr>
              <w:t xml:space="preserve">Coût et financement du </w:t>
            </w:r>
            <w:proofErr w:type="gramStart"/>
            <w:r w:rsidRPr="004F7400">
              <w:rPr>
                <w:sz w:val="18"/>
                <w:szCs w:val="18"/>
              </w:rPr>
              <w:t>projet</w:t>
            </w:r>
            <w:r>
              <w:rPr>
                <w:sz w:val="18"/>
                <w:szCs w:val="18"/>
              </w:rPr>
              <w:t>:</w:t>
            </w:r>
            <w:proofErr w:type="gramEnd"/>
            <w:r w:rsidRPr="004F7400">
              <w:rPr>
                <w:sz w:val="18"/>
                <w:szCs w:val="18"/>
              </w:rPr>
              <w:t xml:space="preserve"> 3</w:t>
            </w:r>
            <w:r>
              <w:rPr>
                <w:sz w:val="18"/>
                <w:szCs w:val="18"/>
              </w:rPr>
              <w:t> </w:t>
            </w:r>
            <w:r w:rsidRPr="004F7400">
              <w:rPr>
                <w:sz w:val="18"/>
                <w:szCs w:val="18"/>
              </w:rPr>
              <w:t xml:space="preserve">millions </w:t>
            </w:r>
            <w:r>
              <w:rPr>
                <w:sz w:val="18"/>
                <w:szCs w:val="18"/>
              </w:rPr>
              <w:t xml:space="preserve">CHF </w:t>
            </w:r>
            <w:r w:rsidRPr="004F7400">
              <w:rPr>
                <w:sz w:val="18"/>
                <w:szCs w:val="18"/>
              </w:rPr>
              <w:t xml:space="preserve">par an </w:t>
            </w:r>
            <w:r>
              <w:rPr>
                <w:sz w:val="18"/>
                <w:szCs w:val="18"/>
              </w:rPr>
              <w:t>pendant</w:t>
            </w:r>
            <w:r w:rsidRPr="004F7400">
              <w:rPr>
                <w:sz w:val="18"/>
                <w:szCs w:val="18"/>
              </w:rPr>
              <w:t xml:space="preserve"> 50 ans à inclure dans le budget </w:t>
            </w:r>
            <w:r>
              <w:rPr>
                <w:sz w:val="18"/>
                <w:szCs w:val="18"/>
              </w:rPr>
              <w:t>ordinaire.</w:t>
            </w:r>
          </w:p>
        </w:tc>
        <w:tc>
          <w:tcPr>
            <w:tcW w:w="1956" w:type="dxa"/>
          </w:tcPr>
          <w:p w:rsidR="00AE57DE" w:rsidRPr="00D33FAD" w:rsidRDefault="00AE57DE" w:rsidP="00F00A24">
            <w:pPr>
              <w:tabs>
                <w:tab w:val="left" w:pos="175"/>
              </w:tabs>
              <w:ind w:left="175" w:hanging="175"/>
              <w:rPr>
                <w:bCs/>
                <w:sz w:val="18"/>
                <w:szCs w:val="18"/>
              </w:rPr>
            </w:pPr>
            <w:r w:rsidRPr="00C25FA6">
              <w:rPr>
                <w:bCs/>
                <w:sz w:val="18"/>
                <w:szCs w:val="18"/>
              </w:rPr>
              <w:t>–</w:t>
            </w:r>
            <w:r>
              <w:rPr>
                <w:bCs/>
                <w:sz w:val="18"/>
                <w:szCs w:val="18"/>
              </w:rPr>
              <w:tab/>
            </w:r>
            <w:r w:rsidRPr="00D33FAD">
              <w:rPr>
                <w:bCs/>
                <w:sz w:val="18"/>
                <w:szCs w:val="18"/>
              </w:rPr>
              <w:t>Pas d</w:t>
            </w:r>
            <w:r>
              <w:rPr>
                <w:bCs/>
                <w:sz w:val="18"/>
                <w:szCs w:val="18"/>
              </w:rPr>
              <w:t>'</w:t>
            </w:r>
            <w:r w:rsidRPr="00D33FAD">
              <w:rPr>
                <w:bCs/>
                <w:sz w:val="18"/>
                <w:szCs w:val="18"/>
              </w:rPr>
              <w:t>incidences sur le Plan financier pour la période 2016-2019.</w:t>
            </w:r>
          </w:p>
          <w:p w:rsidR="00AE57DE" w:rsidRPr="004F7400" w:rsidRDefault="00AE57DE" w:rsidP="00F00A24">
            <w:pPr>
              <w:tabs>
                <w:tab w:val="left" w:pos="175"/>
              </w:tabs>
              <w:ind w:left="175" w:hanging="175"/>
              <w:rPr>
                <w:b/>
                <w:bCs/>
                <w:sz w:val="18"/>
                <w:szCs w:val="18"/>
              </w:rPr>
            </w:pPr>
            <w:r w:rsidRPr="00C25FA6">
              <w:rPr>
                <w:sz w:val="18"/>
                <w:szCs w:val="18"/>
              </w:rPr>
              <w:t>–</w:t>
            </w:r>
            <w:r>
              <w:rPr>
                <w:sz w:val="18"/>
                <w:szCs w:val="18"/>
              </w:rPr>
              <w:tab/>
              <w:t>Le remboursement commencerait en 2021.</w:t>
            </w:r>
          </w:p>
        </w:tc>
        <w:tc>
          <w:tcPr>
            <w:tcW w:w="1276" w:type="dxa"/>
          </w:tcPr>
          <w:p w:rsidR="00AE57DE" w:rsidRPr="004F7400" w:rsidRDefault="00AE57DE" w:rsidP="00F00A24">
            <w:pPr>
              <w:jc w:val="center"/>
              <w:rPr>
                <w:b/>
                <w:bCs/>
                <w:sz w:val="18"/>
                <w:szCs w:val="18"/>
              </w:rPr>
            </w:pPr>
            <w:r w:rsidRPr="004F7400">
              <w:rPr>
                <w:b/>
                <w:bCs/>
                <w:sz w:val="18"/>
                <w:szCs w:val="18"/>
              </w:rPr>
              <w:t>++</w:t>
            </w:r>
          </w:p>
        </w:tc>
      </w:tr>
      <w:tr w:rsidR="00AE57DE" w:rsidRPr="004F7400" w:rsidTr="00F00A24">
        <w:trPr>
          <w:cantSplit/>
          <w:trHeight w:val="1134"/>
        </w:trPr>
        <w:tc>
          <w:tcPr>
            <w:tcW w:w="846" w:type="dxa"/>
            <w:textDirection w:val="btLr"/>
          </w:tcPr>
          <w:p w:rsidR="00AE57DE" w:rsidRPr="004F7400" w:rsidRDefault="00AE57DE" w:rsidP="00F00A24">
            <w:pPr>
              <w:ind w:left="113" w:right="113"/>
              <w:jc w:val="center"/>
              <w:rPr>
                <w:b/>
                <w:bCs/>
                <w:sz w:val="18"/>
                <w:szCs w:val="18"/>
              </w:rPr>
            </w:pPr>
            <w:r w:rsidRPr="004F7400">
              <w:rPr>
                <w:b/>
                <w:bCs/>
                <w:sz w:val="18"/>
                <w:szCs w:val="18"/>
              </w:rPr>
              <w:lastRenderedPageBreak/>
              <w:t>Rénovation</w:t>
            </w:r>
          </w:p>
        </w:tc>
        <w:tc>
          <w:tcPr>
            <w:tcW w:w="2097" w:type="dxa"/>
          </w:tcPr>
          <w:p w:rsidR="00AE57DE" w:rsidRPr="004F7400" w:rsidRDefault="00AE57DE" w:rsidP="00F00A24">
            <w:pPr>
              <w:tabs>
                <w:tab w:val="left" w:pos="270"/>
              </w:tabs>
              <w:ind w:left="270" w:hanging="270"/>
              <w:rPr>
                <w:sz w:val="18"/>
                <w:szCs w:val="18"/>
              </w:rPr>
            </w:pPr>
            <w:r w:rsidRPr="00C25FA6">
              <w:rPr>
                <w:sz w:val="18"/>
                <w:szCs w:val="18"/>
              </w:rPr>
              <w:t>–</w:t>
            </w:r>
            <w:r>
              <w:rPr>
                <w:sz w:val="18"/>
                <w:szCs w:val="18"/>
              </w:rPr>
              <w:tab/>
              <w:t>S</w:t>
            </w:r>
            <w:r w:rsidRPr="004F7400">
              <w:rPr>
                <w:sz w:val="18"/>
                <w:szCs w:val="18"/>
              </w:rPr>
              <w:t>olution moins onéreuse que le remplacement</w:t>
            </w:r>
            <w:r>
              <w:rPr>
                <w:sz w:val="18"/>
                <w:szCs w:val="18"/>
              </w:rPr>
              <w:t>.</w:t>
            </w:r>
          </w:p>
        </w:tc>
        <w:tc>
          <w:tcPr>
            <w:tcW w:w="3289" w:type="dxa"/>
          </w:tcPr>
          <w:p w:rsidR="00AE57DE" w:rsidRPr="004F7400" w:rsidRDefault="00AE57DE" w:rsidP="00F00A24">
            <w:pPr>
              <w:tabs>
                <w:tab w:val="left" w:pos="256"/>
              </w:tabs>
              <w:ind w:left="256" w:hanging="256"/>
              <w:rPr>
                <w:sz w:val="18"/>
                <w:szCs w:val="18"/>
              </w:rPr>
            </w:pPr>
            <w:r w:rsidRPr="00C25FA6">
              <w:rPr>
                <w:sz w:val="18"/>
                <w:szCs w:val="18"/>
              </w:rPr>
              <w:t>–</w:t>
            </w:r>
            <w:r>
              <w:rPr>
                <w:sz w:val="18"/>
                <w:szCs w:val="18"/>
              </w:rPr>
              <w:tab/>
            </w:r>
            <w:r w:rsidRPr="004F7400">
              <w:rPr>
                <w:sz w:val="18"/>
                <w:szCs w:val="18"/>
              </w:rPr>
              <w:t>Solution techniquement non avantageuse car la structure du</w:t>
            </w:r>
            <w:r>
              <w:rPr>
                <w:sz w:val="18"/>
                <w:szCs w:val="18"/>
              </w:rPr>
              <w:t xml:space="preserve"> </w:t>
            </w:r>
            <w:r w:rsidRPr="004F7400">
              <w:rPr>
                <w:sz w:val="18"/>
                <w:szCs w:val="18"/>
              </w:rPr>
              <w:t>bâtiment reste celle de l</w:t>
            </w:r>
            <w:r>
              <w:rPr>
                <w:sz w:val="18"/>
                <w:szCs w:val="18"/>
              </w:rPr>
              <w:t>'ancien bâtiment.</w:t>
            </w:r>
          </w:p>
          <w:p w:rsidR="00AE57DE" w:rsidRPr="004F7400" w:rsidRDefault="00AE57DE" w:rsidP="00F00A24">
            <w:pPr>
              <w:tabs>
                <w:tab w:val="left" w:pos="256"/>
              </w:tabs>
              <w:spacing w:before="60" w:after="60"/>
              <w:ind w:left="256" w:hanging="256"/>
              <w:rPr>
                <w:sz w:val="18"/>
                <w:szCs w:val="18"/>
              </w:rPr>
            </w:pPr>
            <w:r w:rsidRPr="004F7400">
              <w:rPr>
                <w:sz w:val="18"/>
                <w:szCs w:val="18"/>
              </w:rPr>
              <w:t>-</w:t>
            </w:r>
            <w:r w:rsidRPr="00C25FA6">
              <w:rPr>
                <w:sz w:val="18"/>
                <w:szCs w:val="18"/>
              </w:rPr>
              <w:t>–</w:t>
            </w:r>
            <w:r>
              <w:rPr>
                <w:sz w:val="18"/>
                <w:szCs w:val="18"/>
              </w:rPr>
              <w:tab/>
            </w:r>
            <w:r w:rsidRPr="004F7400">
              <w:rPr>
                <w:sz w:val="18"/>
                <w:szCs w:val="18"/>
              </w:rPr>
              <w:t>Solution chère dont l</w:t>
            </w:r>
            <w:r>
              <w:rPr>
                <w:sz w:val="18"/>
                <w:szCs w:val="18"/>
              </w:rPr>
              <w:t>'</w:t>
            </w:r>
            <w:r w:rsidRPr="004F7400">
              <w:rPr>
                <w:sz w:val="18"/>
                <w:szCs w:val="18"/>
              </w:rPr>
              <w:t xml:space="preserve">enveloppe </w:t>
            </w:r>
            <w:r>
              <w:rPr>
                <w:sz w:val="18"/>
                <w:szCs w:val="18"/>
              </w:rPr>
              <w:t xml:space="preserve">totale </w:t>
            </w:r>
            <w:r w:rsidRPr="004F7400">
              <w:rPr>
                <w:sz w:val="18"/>
                <w:szCs w:val="18"/>
              </w:rPr>
              <w:t>est encore à déterminer (coûts de r</w:t>
            </w:r>
            <w:r>
              <w:rPr>
                <w:sz w:val="18"/>
                <w:szCs w:val="18"/>
              </w:rPr>
              <w:t>elogement des fonctionnaires</w:t>
            </w:r>
            <w:r w:rsidRPr="004F7400">
              <w:rPr>
                <w:sz w:val="18"/>
                <w:szCs w:val="18"/>
              </w:rPr>
              <w:t xml:space="preserve"> pendant </w:t>
            </w:r>
            <w:r>
              <w:rPr>
                <w:sz w:val="18"/>
                <w:szCs w:val="18"/>
              </w:rPr>
              <w:t xml:space="preserve">les </w:t>
            </w:r>
            <w:r w:rsidRPr="004F7400">
              <w:rPr>
                <w:sz w:val="18"/>
                <w:szCs w:val="18"/>
              </w:rPr>
              <w:t>travaux à estimer)</w:t>
            </w:r>
            <w:r>
              <w:rPr>
                <w:sz w:val="18"/>
                <w:szCs w:val="18"/>
              </w:rPr>
              <w:t>.</w:t>
            </w:r>
          </w:p>
          <w:p w:rsidR="00AE57DE" w:rsidRPr="004F7400" w:rsidRDefault="00AE57DE" w:rsidP="00F00A24">
            <w:pPr>
              <w:tabs>
                <w:tab w:val="left" w:pos="256"/>
              </w:tabs>
              <w:spacing w:before="60" w:after="60"/>
              <w:ind w:left="256" w:hanging="256"/>
              <w:rPr>
                <w:sz w:val="18"/>
                <w:szCs w:val="18"/>
              </w:rPr>
            </w:pPr>
            <w:r w:rsidRPr="00C25FA6">
              <w:rPr>
                <w:sz w:val="18"/>
                <w:szCs w:val="18"/>
              </w:rPr>
              <w:t>–</w:t>
            </w:r>
            <w:r>
              <w:rPr>
                <w:sz w:val="18"/>
                <w:szCs w:val="18"/>
              </w:rPr>
              <w:tab/>
            </w:r>
            <w:r w:rsidRPr="004F7400">
              <w:rPr>
                <w:sz w:val="18"/>
                <w:szCs w:val="18"/>
              </w:rPr>
              <w:t>Prêt à taux préférentiel et non à taux zéro</w:t>
            </w:r>
            <w:r>
              <w:rPr>
                <w:sz w:val="18"/>
                <w:szCs w:val="18"/>
              </w:rPr>
              <w:t>.</w:t>
            </w:r>
          </w:p>
          <w:p w:rsidR="00AE57DE" w:rsidRPr="004F7400" w:rsidRDefault="00AE57DE" w:rsidP="00F00A24">
            <w:pPr>
              <w:tabs>
                <w:tab w:val="left" w:pos="256"/>
              </w:tabs>
              <w:spacing w:before="60" w:after="60"/>
              <w:ind w:left="256" w:hanging="256"/>
              <w:rPr>
                <w:sz w:val="18"/>
                <w:szCs w:val="18"/>
              </w:rPr>
            </w:pPr>
            <w:r w:rsidRPr="00C25FA6">
              <w:rPr>
                <w:sz w:val="18"/>
                <w:szCs w:val="18"/>
              </w:rPr>
              <w:t>–</w:t>
            </w:r>
            <w:r>
              <w:rPr>
                <w:sz w:val="18"/>
                <w:szCs w:val="18"/>
              </w:rPr>
              <w:tab/>
              <w:t xml:space="preserve">Incidences </w:t>
            </w:r>
            <w:r w:rsidRPr="004F7400">
              <w:rPr>
                <w:sz w:val="18"/>
                <w:szCs w:val="18"/>
              </w:rPr>
              <w:t>global</w:t>
            </w:r>
            <w:r>
              <w:rPr>
                <w:sz w:val="18"/>
                <w:szCs w:val="18"/>
              </w:rPr>
              <w:t>es</w:t>
            </w:r>
            <w:r w:rsidRPr="004F7400">
              <w:rPr>
                <w:sz w:val="18"/>
                <w:szCs w:val="18"/>
              </w:rPr>
              <w:t xml:space="preserve"> du projet difficile</w:t>
            </w:r>
            <w:r>
              <w:rPr>
                <w:sz w:val="18"/>
                <w:szCs w:val="18"/>
              </w:rPr>
              <w:t>s</w:t>
            </w:r>
            <w:r w:rsidRPr="004F7400">
              <w:rPr>
                <w:sz w:val="18"/>
                <w:szCs w:val="18"/>
              </w:rPr>
              <w:t xml:space="preserve"> à chiffrer en terme</w:t>
            </w:r>
            <w:r>
              <w:rPr>
                <w:sz w:val="18"/>
                <w:szCs w:val="18"/>
              </w:rPr>
              <w:t>s</w:t>
            </w:r>
            <w:r w:rsidRPr="004F7400">
              <w:rPr>
                <w:sz w:val="18"/>
                <w:szCs w:val="18"/>
              </w:rPr>
              <w:t xml:space="preserve"> d</w:t>
            </w:r>
            <w:r>
              <w:rPr>
                <w:sz w:val="18"/>
                <w:szCs w:val="18"/>
              </w:rPr>
              <w:t>'</w:t>
            </w:r>
            <w:r w:rsidRPr="004F7400">
              <w:rPr>
                <w:sz w:val="18"/>
                <w:szCs w:val="18"/>
              </w:rPr>
              <w:t>économies</w:t>
            </w:r>
            <w:r>
              <w:rPr>
                <w:sz w:val="18"/>
                <w:szCs w:val="18"/>
              </w:rPr>
              <w:t>.</w:t>
            </w:r>
          </w:p>
          <w:p w:rsidR="00AE57DE" w:rsidRPr="004F7400" w:rsidRDefault="00AE57DE" w:rsidP="00F00A24">
            <w:pPr>
              <w:tabs>
                <w:tab w:val="left" w:pos="256"/>
              </w:tabs>
              <w:spacing w:before="60" w:after="60"/>
              <w:ind w:left="256" w:hanging="256"/>
              <w:rPr>
                <w:sz w:val="18"/>
                <w:szCs w:val="18"/>
              </w:rPr>
            </w:pPr>
            <w:r w:rsidRPr="00C25FA6">
              <w:rPr>
                <w:sz w:val="18"/>
                <w:szCs w:val="18"/>
              </w:rPr>
              <w:t>–</w:t>
            </w:r>
            <w:r>
              <w:rPr>
                <w:sz w:val="18"/>
                <w:szCs w:val="18"/>
              </w:rPr>
              <w:tab/>
              <w:t>Incidences</w:t>
            </w:r>
            <w:r w:rsidRPr="004F7400">
              <w:rPr>
                <w:sz w:val="18"/>
                <w:szCs w:val="18"/>
              </w:rPr>
              <w:t xml:space="preserve"> </w:t>
            </w:r>
            <w:r>
              <w:rPr>
                <w:sz w:val="18"/>
                <w:szCs w:val="18"/>
              </w:rPr>
              <w:t>importantes</w:t>
            </w:r>
            <w:r w:rsidRPr="004F7400">
              <w:rPr>
                <w:sz w:val="18"/>
                <w:szCs w:val="18"/>
              </w:rPr>
              <w:t xml:space="preserve"> sur le </w:t>
            </w:r>
            <w:r>
              <w:rPr>
                <w:sz w:val="18"/>
                <w:szCs w:val="18"/>
              </w:rPr>
              <w:t>fonctionnement</w:t>
            </w:r>
            <w:r w:rsidRPr="004F7400">
              <w:rPr>
                <w:sz w:val="18"/>
                <w:szCs w:val="18"/>
              </w:rPr>
              <w:t xml:space="preserve"> des services situés dans ce bâtiment pendant les travaux</w:t>
            </w:r>
            <w:r>
              <w:rPr>
                <w:sz w:val="18"/>
                <w:szCs w:val="18"/>
              </w:rPr>
              <w:t>.</w:t>
            </w:r>
          </w:p>
          <w:p w:rsidR="00AE57DE" w:rsidRPr="004F7400" w:rsidRDefault="00AE57DE" w:rsidP="00F00A24">
            <w:pPr>
              <w:tabs>
                <w:tab w:val="left" w:pos="256"/>
              </w:tabs>
              <w:spacing w:before="60" w:after="60"/>
              <w:ind w:left="256" w:hanging="256"/>
              <w:rPr>
                <w:sz w:val="18"/>
                <w:szCs w:val="18"/>
              </w:rPr>
            </w:pPr>
            <w:r w:rsidRPr="00C25FA6">
              <w:rPr>
                <w:sz w:val="18"/>
                <w:szCs w:val="18"/>
              </w:rPr>
              <w:t>–</w:t>
            </w:r>
            <w:r>
              <w:rPr>
                <w:sz w:val="18"/>
                <w:szCs w:val="18"/>
              </w:rPr>
              <w:tab/>
              <w:t>Réduct</w:t>
            </w:r>
            <w:r w:rsidRPr="004F7400">
              <w:rPr>
                <w:sz w:val="18"/>
                <w:szCs w:val="18"/>
              </w:rPr>
              <w:t xml:space="preserve">ion de la superficie utile </w:t>
            </w:r>
            <w:r>
              <w:rPr>
                <w:sz w:val="18"/>
                <w:szCs w:val="18"/>
              </w:rPr>
              <w:t>à chaque</w:t>
            </w:r>
            <w:r w:rsidRPr="004F7400">
              <w:rPr>
                <w:sz w:val="18"/>
                <w:szCs w:val="18"/>
              </w:rPr>
              <w:t xml:space="preserve"> étage</w:t>
            </w:r>
            <w:r>
              <w:rPr>
                <w:sz w:val="18"/>
                <w:szCs w:val="18"/>
              </w:rPr>
              <w:t>, concernant notamment les salles de réunion</w:t>
            </w:r>
            <w:r w:rsidRPr="004F7400">
              <w:rPr>
                <w:sz w:val="18"/>
                <w:szCs w:val="18"/>
              </w:rPr>
              <w:t xml:space="preserve"> (</w:t>
            </w:r>
            <w:r>
              <w:rPr>
                <w:sz w:val="18"/>
                <w:szCs w:val="18"/>
              </w:rPr>
              <w:t>du fait de</w:t>
            </w:r>
            <w:r w:rsidRPr="004F7400">
              <w:rPr>
                <w:sz w:val="18"/>
                <w:szCs w:val="18"/>
              </w:rPr>
              <w:t xml:space="preserve"> la mise aux normes, sécurité, feu, évacuation, accessibilité).</w:t>
            </w:r>
            <w:r w:rsidRPr="004F7400" w:rsidDel="000D766F">
              <w:rPr>
                <w:sz w:val="18"/>
                <w:szCs w:val="18"/>
              </w:rPr>
              <w:t xml:space="preserve"> </w:t>
            </w:r>
          </w:p>
        </w:tc>
        <w:tc>
          <w:tcPr>
            <w:tcW w:w="1956" w:type="dxa"/>
          </w:tcPr>
          <w:p w:rsidR="00AE57DE" w:rsidRPr="004F7400" w:rsidRDefault="00AE57DE" w:rsidP="00F00A24">
            <w:pPr>
              <w:jc w:val="center"/>
              <w:rPr>
                <w:b/>
                <w:bCs/>
                <w:sz w:val="18"/>
                <w:szCs w:val="18"/>
              </w:rPr>
            </w:pPr>
            <w:r w:rsidRPr="004F7400">
              <w:rPr>
                <w:b/>
                <w:bCs/>
                <w:sz w:val="18"/>
                <w:szCs w:val="18"/>
              </w:rPr>
              <w:t xml:space="preserve"> - </w:t>
            </w:r>
          </w:p>
        </w:tc>
        <w:tc>
          <w:tcPr>
            <w:tcW w:w="1276" w:type="dxa"/>
          </w:tcPr>
          <w:p w:rsidR="00AE57DE" w:rsidRPr="004F7400" w:rsidRDefault="00AE57DE" w:rsidP="00F00A24">
            <w:pPr>
              <w:jc w:val="center"/>
              <w:rPr>
                <w:b/>
                <w:bCs/>
                <w:sz w:val="18"/>
                <w:szCs w:val="18"/>
              </w:rPr>
            </w:pPr>
            <w:r w:rsidRPr="004F7400">
              <w:rPr>
                <w:b/>
                <w:bCs/>
                <w:sz w:val="18"/>
                <w:szCs w:val="18"/>
              </w:rPr>
              <w:t>+</w:t>
            </w:r>
          </w:p>
        </w:tc>
      </w:tr>
      <w:tr w:rsidR="00AE57DE" w:rsidRPr="004F7400" w:rsidTr="00F00A24">
        <w:trPr>
          <w:cantSplit/>
          <w:trHeight w:val="1134"/>
        </w:trPr>
        <w:tc>
          <w:tcPr>
            <w:tcW w:w="846" w:type="dxa"/>
            <w:textDirection w:val="btLr"/>
          </w:tcPr>
          <w:p w:rsidR="00AE57DE" w:rsidRPr="004F7400" w:rsidRDefault="00AE57DE" w:rsidP="00F00A24">
            <w:pPr>
              <w:ind w:left="113" w:right="113"/>
              <w:jc w:val="center"/>
              <w:rPr>
                <w:b/>
                <w:bCs/>
                <w:sz w:val="18"/>
                <w:szCs w:val="18"/>
              </w:rPr>
            </w:pPr>
            <w:r w:rsidRPr="004F7400">
              <w:rPr>
                <w:b/>
                <w:bCs/>
                <w:sz w:val="18"/>
                <w:szCs w:val="18"/>
              </w:rPr>
              <w:t>Location</w:t>
            </w:r>
          </w:p>
        </w:tc>
        <w:tc>
          <w:tcPr>
            <w:tcW w:w="2097" w:type="dxa"/>
          </w:tcPr>
          <w:p w:rsidR="00AE57DE" w:rsidRPr="004F7400" w:rsidRDefault="00AE57DE" w:rsidP="00F00A24">
            <w:pPr>
              <w:tabs>
                <w:tab w:val="left" w:pos="279"/>
              </w:tabs>
              <w:ind w:left="279" w:hanging="279"/>
              <w:rPr>
                <w:sz w:val="18"/>
                <w:szCs w:val="18"/>
              </w:rPr>
            </w:pPr>
            <w:r w:rsidRPr="00C25FA6">
              <w:rPr>
                <w:sz w:val="18"/>
                <w:szCs w:val="18"/>
              </w:rPr>
              <w:t>–</w:t>
            </w:r>
            <w:r>
              <w:rPr>
                <w:sz w:val="18"/>
                <w:szCs w:val="18"/>
              </w:rPr>
              <w:tab/>
            </w:r>
            <w:r w:rsidRPr="004F7400">
              <w:rPr>
                <w:sz w:val="18"/>
                <w:szCs w:val="18"/>
              </w:rPr>
              <w:t>Pas de travaux de maintenance, ni de dépréciations à gérer.</w:t>
            </w:r>
          </w:p>
        </w:tc>
        <w:tc>
          <w:tcPr>
            <w:tcW w:w="3289" w:type="dxa"/>
          </w:tcPr>
          <w:p w:rsidR="00AE57DE" w:rsidRPr="004F7400" w:rsidRDefault="00AE57DE" w:rsidP="00F00A24">
            <w:pPr>
              <w:tabs>
                <w:tab w:val="left" w:pos="346"/>
              </w:tabs>
              <w:ind w:left="205" w:hanging="205"/>
              <w:rPr>
                <w:sz w:val="18"/>
                <w:szCs w:val="18"/>
              </w:rPr>
            </w:pPr>
            <w:r w:rsidRPr="00C25FA6">
              <w:rPr>
                <w:sz w:val="18"/>
                <w:szCs w:val="18"/>
              </w:rPr>
              <w:t>–</w:t>
            </w:r>
            <w:r>
              <w:rPr>
                <w:sz w:val="18"/>
                <w:szCs w:val="18"/>
              </w:rPr>
              <w:tab/>
            </w:r>
            <w:r w:rsidRPr="004F7400">
              <w:rPr>
                <w:sz w:val="18"/>
                <w:szCs w:val="18"/>
              </w:rPr>
              <w:t xml:space="preserve">Solution onéreuse sans </w:t>
            </w:r>
            <w:r>
              <w:rPr>
                <w:sz w:val="18"/>
                <w:szCs w:val="18"/>
              </w:rPr>
              <w:t>possibilités</w:t>
            </w:r>
            <w:r w:rsidRPr="004F7400">
              <w:rPr>
                <w:sz w:val="18"/>
                <w:szCs w:val="18"/>
              </w:rPr>
              <w:t xml:space="preserve"> d</w:t>
            </w:r>
            <w:r>
              <w:rPr>
                <w:sz w:val="18"/>
                <w:szCs w:val="18"/>
              </w:rPr>
              <w:t>'</w:t>
            </w:r>
            <w:r w:rsidRPr="004F7400">
              <w:rPr>
                <w:sz w:val="18"/>
                <w:szCs w:val="18"/>
              </w:rPr>
              <w:t>économie à long terme</w:t>
            </w:r>
            <w:r>
              <w:rPr>
                <w:sz w:val="18"/>
                <w:szCs w:val="18"/>
              </w:rPr>
              <w:t>.</w:t>
            </w:r>
          </w:p>
          <w:p w:rsidR="00AE57DE" w:rsidRPr="004F7400" w:rsidRDefault="00AE57DE" w:rsidP="00F00A24">
            <w:pPr>
              <w:tabs>
                <w:tab w:val="left" w:pos="346"/>
              </w:tabs>
              <w:spacing w:before="60" w:after="60"/>
              <w:ind w:left="205" w:hanging="205"/>
              <w:rPr>
                <w:sz w:val="18"/>
                <w:szCs w:val="18"/>
              </w:rPr>
            </w:pPr>
            <w:r w:rsidRPr="00C25FA6">
              <w:rPr>
                <w:sz w:val="18"/>
                <w:szCs w:val="18"/>
              </w:rPr>
              <w:t>–</w:t>
            </w:r>
            <w:r>
              <w:rPr>
                <w:sz w:val="18"/>
                <w:szCs w:val="18"/>
              </w:rPr>
              <w:tab/>
            </w:r>
            <w:r w:rsidRPr="004F7400">
              <w:rPr>
                <w:sz w:val="18"/>
                <w:szCs w:val="18"/>
              </w:rPr>
              <w:t>I</w:t>
            </w:r>
            <w:r>
              <w:rPr>
                <w:sz w:val="18"/>
                <w:szCs w:val="18"/>
              </w:rPr>
              <w:t>ncidences</w:t>
            </w:r>
            <w:r w:rsidRPr="004F7400">
              <w:rPr>
                <w:sz w:val="18"/>
                <w:szCs w:val="18"/>
              </w:rPr>
              <w:t xml:space="preserve"> </w:t>
            </w:r>
            <w:r>
              <w:rPr>
                <w:sz w:val="18"/>
                <w:szCs w:val="18"/>
              </w:rPr>
              <w:t>importances</w:t>
            </w:r>
            <w:r w:rsidRPr="004F7400">
              <w:rPr>
                <w:sz w:val="18"/>
                <w:szCs w:val="18"/>
              </w:rPr>
              <w:t xml:space="preserve"> sur le </w:t>
            </w:r>
            <w:r>
              <w:rPr>
                <w:sz w:val="18"/>
                <w:szCs w:val="18"/>
              </w:rPr>
              <w:t>fonctionnement</w:t>
            </w:r>
            <w:r w:rsidRPr="004F7400">
              <w:rPr>
                <w:sz w:val="18"/>
                <w:szCs w:val="18"/>
              </w:rPr>
              <w:t xml:space="preserve"> </w:t>
            </w:r>
            <w:r>
              <w:rPr>
                <w:sz w:val="18"/>
                <w:szCs w:val="18"/>
              </w:rPr>
              <w:t>pendant et après la relocalisation des fonctionnaires</w:t>
            </w:r>
            <w:r w:rsidRPr="004F7400">
              <w:rPr>
                <w:sz w:val="18"/>
                <w:szCs w:val="18"/>
              </w:rPr>
              <w:t>.</w:t>
            </w:r>
          </w:p>
          <w:p w:rsidR="00AE57DE" w:rsidRPr="004F7400" w:rsidRDefault="00AE57DE" w:rsidP="00F00A24">
            <w:pPr>
              <w:tabs>
                <w:tab w:val="left" w:pos="346"/>
              </w:tabs>
              <w:spacing w:before="60" w:after="60"/>
              <w:ind w:left="205" w:hanging="205"/>
              <w:rPr>
                <w:sz w:val="18"/>
                <w:szCs w:val="18"/>
              </w:rPr>
            </w:pPr>
            <w:r w:rsidRPr="00C25FA6">
              <w:rPr>
                <w:sz w:val="18"/>
                <w:szCs w:val="18"/>
              </w:rPr>
              <w:t>–</w:t>
            </w:r>
            <w:r>
              <w:rPr>
                <w:sz w:val="18"/>
                <w:szCs w:val="18"/>
              </w:rPr>
              <w:tab/>
            </w:r>
            <w:r w:rsidRPr="004F7400">
              <w:rPr>
                <w:sz w:val="18"/>
                <w:szCs w:val="18"/>
              </w:rPr>
              <w:t>Aucun</w:t>
            </w:r>
            <w:r>
              <w:rPr>
                <w:sz w:val="18"/>
                <w:szCs w:val="18"/>
              </w:rPr>
              <w:t>e</w:t>
            </w:r>
            <w:r w:rsidRPr="004F7400">
              <w:rPr>
                <w:sz w:val="18"/>
                <w:szCs w:val="18"/>
              </w:rPr>
              <w:t xml:space="preserve"> </w:t>
            </w:r>
            <w:r>
              <w:rPr>
                <w:sz w:val="18"/>
                <w:szCs w:val="18"/>
              </w:rPr>
              <w:t>incidence</w:t>
            </w:r>
            <w:r w:rsidRPr="004F7400">
              <w:rPr>
                <w:sz w:val="18"/>
                <w:szCs w:val="18"/>
              </w:rPr>
              <w:t xml:space="preserve"> positi</w:t>
            </w:r>
            <w:r>
              <w:rPr>
                <w:sz w:val="18"/>
                <w:szCs w:val="18"/>
              </w:rPr>
              <w:t>ve</w:t>
            </w:r>
            <w:r w:rsidRPr="004F7400">
              <w:rPr>
                <w:sz w:val="18"/>
                <w:szCs w:val="18"/>
              </w:rPr>
              <w:t xml:space="preserve"> sur les actifs de l</w:t>
            </w:r>
            <w:r>
              <w:rPr>
                <w:sz w:val="18"/>
                <w:szCs w:val="18"/>
              </w:rPr>
              <w:t>'</w:t>
            </w:r>
            <w:r w:rsidRPr="004F7400">
              <w:rPr>
                <w:sz w:val="18"/>
                <w:szCs w:val="18"/>
              </w:rPr>
              <w:t xml:space="preserve">Union. </w:t>
            </w:r>
          </w:p>
        </w:tc>
        <w:tc>
          <w:tcPr>
            <w:tcW w:w="1956" w:type="dxa"/>
          </w:tcPr>
          <w:p w:rsidR="00AE57DE" w:rsidRPr="004F7400" w:rsidRDefault="00AE57DE" w:rsidP="00F00A24">
            <w:pPr>
              <w:jc w:val="center"/>
              <w:rPr>
                <w:b/>
                <w:bCs/>
                <w:sz w:val="18"/>
                <w:szCs w:val="18"/>
              </w:rPr>
            </w:pPr>
            <w:r w:rsidRPr="004F7400">
              <w:rPr>
                <w:b/>
                <w:bCs/>
                <w:sz w:val="18"/>
                <w:szCs w:val="18"/>
              </w:rPr>
              <w:t xml:space="preserve"> - -</w:t>
            </w:r>
          </w:p>
        </w:tc>
        <w:tc>
          <w:tcPr>
            <w:tcW w:w="1276" w:type="dxa"/>
          </w:tcPr>
          <w:p w:rsidR="00AE57DE" w:rsidRPr="004F7400" w:rsidRDefault="00AE57DE" w:rsidP="00F00A24">
            <w:pPr>
              <w:jc w:val="center"/>
              <w:rPr>
                <w:b/>
                <w:bCs/>
                <w:sz w:val="18"/>
                <w:szCs w:val="18"/>
              </w:rPr>
            </w:pPr>
            <w:r w:rsidRPr="004F7400">
              <w:rPr>
                <w:b/>
                <w:bCs/>
                <w:sz w:val="18"/>
                <w:szCs w:val="18"/>
              </w:rPr>
              <w:t xml:space="preserve"> - - -</w:t>
            </w:r>
          </w:p>
          <w:p w:rsidR="00AE57DE" w:rsidRPr="004F7400" w:rsidRDefault="00AE57DE" w:rsidP="00F00A24">
            <w:pPr>
              <w:pStyle w:val="ListParagraph"/>
              <w:jc w:val="center"/>
              <w:rPr>
                <w:b/>
                <w:bCs/>
                <w:sz w:val="18"/>
                <w:szCs w:val="18"/>
                <w:lang w:val="fr-FR"/>
              </w:rPr>
            </w:pPr>
          </w:p>
        </w:tc>
      </w:tr>
      <w:tr w:rsidR="00AE57DE" w:rsidRPr="004F7400" w:rsidTr="00F00A24">
        <w:trPr>
          <w:cantSplit/>
          <w:trHeight w:val="1134"/>
        </w:trPr>
        <w:tc>
          <w:tcPr>
            <w:tcW w:w="846" w:type="dxa"/>
            <w:textDirection w:val="btLr"/>
          </w:tcPr>
          <w:p w:rsidR="00AE57DE" w:rsidRPr="004F7400" w:rsidRDefault="00AE57DE" w:rsidP="00F00A24">
            <w:pPr>
              <w:ind w:left="113" w:right="113"/>
              <w:jc w:val="center"/>
              <w:rPr>
                <w:b/>
                <w:bCs/>
                <w:sz w:val="18"/>
                <w:szCs w:val="18"/>
              </w:rPr>
            </w:pPr>
            <w:r w:rsidRPr="004F7400">
              <w:rPr>
                <w:b/>
                <w:bCs/>
                <w:sz w:val="18"/>
                <w:szCs w:val="18"/>
              </w:rPr>
              <w:t>Relocalisation</w:t>
            </w:r>
          </w:p>
        </w:tc>
        <w:tc>
          <w:tcPr>
            <w:tcW w:w="2097" w:type="dxa"/>
          </w:tcPr>
          <w:p w:rsidR="00AE57DE" w:rsidRPr="004F7400" w:rsidRDefault="00AE57DE" w:rsidP="00F00A24">
            <w:pPr>
              <w:tabs>
                <w:tab w:val="left" w:pos="279"/>
              </w:tabs>
              <w:ind w:left="279" w:hanging="279"/>
              <w:rPr>
                <w:sz w:val="18"/>
                <w:szCs w:val="18"/>
              </w:rPr>
            </w:pPr>
            <w:r w:rsidRPr="00C25FA6">
              <w:rPr>
                <w:sz w:val="18"/>
                <w:szCs w:val="18"/>
              </w:rPr>
              <w:t>–</w:t>
            </w:r>
            <w:r>
              <w:rPr>
                <w:sz w:val="18"/>
                <w:szCs w:val="18"/>
              </w:rPr>
              <w:tab/>
              <w:t>Economies possibles</w:t>
            </w:r>
            <w:r w:rsidRPr="004F7400">
              <w:rPr>
                <w:sz w:val="18"/>
                <w:szCs w:val="18"/>
              </w:rPr>
              <w:t xml:space="preserve"> à long terme (de 5 à 10 ans) selon </w:t>
            </w:r>
            <w:r>
              <w:rPr>
                <w:sz w:val="18"/>
                <w:szCs w:val="18"/>
              </w:rPr>
              <w:t>le lieu</w:t>
            </w:r>
            <w:r w:rsidRPr="004F7400">
              <w:rPr>
                <w:sz w:val="18"/>
                <w:szCs w:val="18"/>
              </w:rPr>
              <w:t xml:space="preserve"> de la relocalisation</w:t>
            </w:r>
            <w:r>
              <w:rPr>
                <w:sz w:val="18"/>
                <w:szCs w:val="18"/>
              </w:rPr>
              <w:t>.</w:t>
            </w:r>
          </w:p>
        </w:tc>
        <w:tc>
          <w:tcPr>
            <w:tcW w:w="3289" w:type="dxa"/>
          </w:tcPr>
          <w:p w:rsidR="00AE57DE" w:rsidRPr="004F7400" w:rsidRDefault="00AE57DE" w:rsidP="00F00A24">
            <w:pPr>
              <w:tabs>
                <w:tab w:val="left" w:pos="275"/>
              </w:tabs>
              <w:spacing w:before="60" w:after="60"/>
              <w:ind w:left="275" w:hanging="275"/>
              <w:rPr>
                <w:sz w:val="18"/>
                <w:szCs w:val="18"/>
              </w:rPr>
            </w:pPr>
            <w:r w:rsidRPr="00C25FA6">
              <w:rPr>
                <w:sz w:val="18"/>
                <w:szCs w:val="18"/>
              </w:rPr>
              <w:t>–</w:t>
            </w:r>
            <w:r>
              <w:rPr>
                <w:sz w:val="18"/>
                <w:szCs w:val="18"/>
              </w:rPr>
              <w:tab/>
              <w:t>Incidences importantes</w:t>
            </w:r>
            <w:r w:rsidRPr="004F7400">
              <w:rPr>
                <w:sz w:val="18"/>
                <w:szCs w:val="18"/>
              </w:rPr>
              <w:t xml:space="preserve"> sur le </w:t>
            </w:r>
            <w:r>
              <w:rPr>
                <w:sz w:val="18"/>
                <w:szCs w:val="18"/>
              </w:rPr>
              <w:t>fonctionnement</w:t>
            </w:r>
            <w:r w:rsidRPr="004F7400">
              <w:rPr>
                <w:sz w:val="18"/>
                <w:szCs w:val="18"/>
              </w:rPr>
              <w:t xml:space="preserve"> </w:t>
            </w:r>
            <w:r>
              <w:rPr>
                <w:sz w:val="18"/>
                <w:szCs w:val="18"/>
              </w:rPr>
              <w:t>pendant et après la relocalisation.</w:t>
            </w:r>
          </w:p>
          <w:p w:rsidR="00AE57DE" w:rsidRPr="004F7400" w:rsidRDefault="00AE57DE" w:rsidP="00F00A24">
            <w:pPr>
              <w:tabs>
                <w:tab w:val="left" w:pos="275"/>
              </w:tabs>
              <w:spacing w:before="60" w:after="60"/>
              <w:ind w:left="275" w:hanging="275"/>
              <w:rPr>
                <w:sz w:val="18"/>
                <w:szCs w:val="18"/>
              </w:rPr>
            </w:pPr>
            <w:r w:rsidRPr="00C25FA6">
              <w:rPr>
                <w:sz w:val="18"/>
                <w:szCs w:val="18"/>
              </w:rPr>
              <w:t>–</w:t>
            </w:r>
            <w:r>
              <w:rPr>
                <w:sz w:val="18"/>
                <w:szCs w:val="18"/>
              </w:rPr>
              <w:tab/>
              <w:t>Incidences importantes</w:t>
            </w:r>
            <w:r w:rsidRPr="004F7400">
              <w:rPr>
                <w:sz w:val="18"/>
                <w:szCs w:val="18"/>
              </w:rPr>
              <w:t xml:space="preserve"> sur </w:t>
            </w:r>
            <w:r>
              <w:rPr>
                <w:sz w:val="18"/>
                <w:szCs w:val="18"/>
              </w:rPr>
              <w:t>le savoir-faire</w:t>
            </w:r>
            <w:r w:rsidRPr="004F7400">
              <w:rPr>
                <w:sz w:val="18"/>
                <w:szCs w:val="18"/>
              </w:rPr>
              <w:t xml:space="preserve"> </w:t>
            </w:r>
            <w:r>
              <w:rPr>
                <w:sz w:val="18"/>
                <w:szCs w:val="18"/>
              </w:rPr>
              <w:t xml:space="preserve">et </w:t>
            </w:r>
            <w:r w:rsidRPr="004F7400">
              <w:rPr>
                <w:sz w:val="18"/>
                <w:szCs w:val="18"/>
              </w:rPr>
              <w:t>la culture de l</w:t>
            </w:r>
            <w:r>
              <w:rPr>
                <w:sz w:val="18"/>
                <w:szCs w:val="18"/>
              </w:rPr>
              <w:t>'Union.</w:t>
            </w:r>
          </w:p>
          <w:p w:rsidR="00AE57DE" w:rsidRPr="004F7400" w:rsidRDefault="00AE57DE" w:rsidP="00F00A24">
            <w:pPr>
              <w:tabs>
                <w:tab w:val="left" w:pos="275"/>
              </w:tabs>
              <w:spacing w:before="60" w:after="60"/>
              <w:ind w:left="275" w:hanging="275"/>
              <w:rPr>
                <w:sz w:val="18"/>
                <w:szCs w:val="18"/>
              </w:rPr>
            </w:pPr>
            <w:r w:rsidRPr="00C25FA6">
              <w:rPr>
                <w:sz w:val="18"/>
                <w:szCs w:val="18"/>
              </w:rPr>
              <w:t>–</w:t>
            </w:r>
            <w:r>
              <w:rPr>
                <w:sz w:val="18"/>
                <w:szCs w:val="18"/>
              </w:rPr>
              <w:tab/>
              <w:t>Suivant</w:t>
            </w:r>
            <w:r w:rsidRPr="004F7400">
              <w:rPr>
                <w:sz w:val="18"/>
                <w:szCs w:val="18"/>
              </w:rPr>
              <w:t xml:space="preserve"> </w:t>
            </w:r>
            <w:r>
              <w:rPr>
                <w:sz w:val="18"/>
                <w:szCs w:val="18"/>
              </w:rPr>
              <w:t>le</w:t>
            </w:r>
            <w:r w:rsidRPr="004F7400">
              <w:rPr>
                <w:sz w:val="18"/>
                <w:szCs w:val="18"/>
              </w:rPr>
              <w:t xml:space="preserve"> lieu de relocalisation, l</w:t>
            </w:r>
            <w:r>
              <w:rPr>
                <w:sz w:val="18"/>
                <w:szCs w:val="18"/>
              </w:rPr>
              <w:t>'</w:t>
            </w:r>
            <w:r w:rsidRPr="004F7400">
              <w:rPr>
                <w:sz w:val="18"/>
                <w:szCs w:val="18"/>
              </w:rPr>
              <w:t>UIT ne bénéficierait plus de la proximité du siège européen de l</w:t>
            </w:r>
            <w:r>
              <w:rPr>
                <w:sz w:val="18"/>
                <w:szCs w:val="18"/>
              </w:rPr>
              <w:t>'</w:t>
            </w:r>
            <w:r w:rsidRPr="004F7400">
              <w:rPr>
                <w:sz w:val="18"/>
                <w:szCs w:val="18"/>
              </w:rPr>
              <w:t>ONU, de la proximité d</w:t>
            </w:r>
            <w:r>
              <w:rPr>
                <w:sz w:val="18"/>
                <w:szCs w:val="18"/>
              </w:rPr>
              <w:t>'</w:t>
            </w:r>
            <w:r w:rsidRPr="004F7400">
              <w:rPr>
                <w:sz w:val="18"/>
                <w:szCs w:val="18"/>
              </w:rPr>
              <w:t>un très grand nombre d</w:t>
            </w:r>
            <w:r>
              <w:rPr>
                <w:sz w:val="18"/>
                <w:szCs w:val="18"/>
              </w:rPr>
              <w:t>'</w:t>
            </w:r>
            <w:r w:rsidRPr="004F7400">
              <w:rPr>
                <w:sz w:val="18"/>
                <w:szCs w:val="18"/>
              </w:rPr>
              <w:t>organisations intergouvernementales et non</w:t>
            </w:r>
            <w:r>
              <w:rPr>
                <w:sz w:val="18"/>
                <w:szCs w:val="18"/>
              </w:rPr>
              <w:t xml:space="preserve"> </w:t>
            </w:r>
            <w:r w:rsidRPr="004F7400">
              <w:rPr>
                <w:sz w:val="18"/>
                <w:szCs w:val="18"/>
              </w:rPr>
              <w:t xml:space="preserve">gouvernementales et de la présence des </w:t>
            </w:r>
            <w:r>
              <w:rPr>
                <w:sz w:val="18"/>
                <w:szCs w:val="18"/>
              </w:rPr>
              <w:t>m</w:t>
            </w:r>
            <w:r w:rsidRPr="004F7400">
              <w:rPr>
                <w:sz w:val="18"/>
                <w:szCs w:val="18"/>
              </w:rPr>
              <w:t>issions diplomatiques de la plupart de ses 193 Etats Membres.</w:t>
            </w:r>
          </w:p>
        </w:tc>
        <w:tc>
          <w:tcPr>
            <w:tcW w:w="1956" w:type="dxa"/>
          </w:tcPr>
          <w:p w:rsidR="00AE57DE" w:rsidRPr="006060CC" w:rsidRDefault="00AE57DE" w:rsidP="00F00A24">
            <w:pPr>
              <w:jc w:val="center"/>
              <w:rPr>
                <w:bCs/>
                <w:sz w:val="18"/>
                <w:szCs w:val="18"/>
              </w:rPr>
            </w:pPr>
            <w:r w:rsidRPr="004F7400">
              <w:rPr>
                <w:b/>
                <w:bCs/>
                <w:sz w:val="18"/>
                <w:szCs w:val="18"/>
              </w:rPr>
              <w:t>- - -</w:t>
            </w:r>
          </w:p>
          <w:p w:rsidR="00AE57DE" w:rsidRPr="006060CC" w:rsidRDefault="00AE57DE" w:rsidP="00F00A24">
            <w:pPr>
              <w:pStyle w:val="Heading1"/>
              <w:tabs>
                <w:tab w:val="clear" w:pos="567"/>
                <w:tab w:val="left" w:pos="34"/>
              </w:tabs>
              <w:spacing w:before="0"/>
              <w:ind w:left="34" w:hanging="34"/>
              <w:rPr>
                <w:b w:val="0"/>
                <w:bCs/>
                <w:sz w:val="18"/>
                <w:szCs w:val="18"/>
              </w:rPr>
            </w:pPr>
            <w:r w:rsidRPr="006060CC">
              <w:rPr>
                <w:b w:val="0"/>
                <w:bCs/>
                <w:sz w:val="18"/>
                <w:szCs w:val="18"/>
              </w:rPr>
              <w:t>(</w:t>
            </w:r>
            <w:proofErr w:type="gramStart"/>
            <w:r w:rsidRPr="006060CC">
              <w:rPr>
                <w:b w:val="0"/>
                <w:bCs/>
                <w:sz w:val="18"/>
                <w:szCs w:val="18"/>
              </w:rPr>
              <w:t>variable</w:t>
            </w:r>
            <w:proofErr w:type="gramEnd"/>
            <w:r w:rsidRPr="006060CC">
              <w:rPr>
                <w:b w:val="0"/>
                <w:bCs/>
                <w:sz w:val="18"/>
                <w:szCs w:val="18"/>
              </w:rPr>
              <w:t xml:space="preserve"> selon les offres des pays hôtes)</w:t>
            </w:r>
          </w:p>
        </w:tc>
        <w:tc>
          <w:tcPr>
            <w:tcW w:w="1276" w:type="dxa"/>
          </w:tcPr>
          <w:p w:rsidR="00AE57DE" w:rsidRPr="006060CC" w:rsidRDefault="00AE57DE" w:rsidP="00F00A24">
            <w:pPr>
              <w:jc w:val="center"/>
              <w:rPr>
                <w:bCs/>
                <w:sz w:val="18"/>
                <w:szCs w:val="18"/>
              </w:rPr>
            </w:pPr>
            <w:r w:rsidRPr="006060CC">
              <w:rPr>
                <w:bCs/>
                <w:sz w:val="18"/>
                <w:szCs w:val="18"/>
              </w:rPr>
              <w:t>+++</w:t>
            </w:r>
          </w:p>
          <w:p w:rsidR="00AE57DE" w:rsidRPr="004F7400" w:rsidRDefault="00AE57DE" w:rsidP="00F00A24">
            <w:pPr>
              <w:pStyle w:val="Heading1"/>
              <w:tabs>
                <w:tab w:val="clear" w:pos="567"/>
                <w:tab w:val="left" w:pos="34"/>
              </w:tabs>
              <w:spacing w:before="0"/>
              <w:ind w:left="34" w:hanging="34"/>
              <w:rPr>
                <w:b w:val="0"/>
                <w:bCs/>
                <w:sz w:val="18"/>
                <w:szCs w:val="18"/>
              </w:rPr>
            </w:pPr>
            <w:r w:rsidRPr="006060CC">
              <w:rPr>
                <w:b w:val="0"/>
                <w:bCs/>
                <w:sz w:val="18"/>
                <w:szCs w:val="18"/>
              </w:rPr>
              <w:t>(</w:t>
            </w:r>
            <w:proofErr w:type="gramStart"/>
            <w:r w:rsidRPr="006060CC">
              <w:rPr>
                <w:b w:val="0"/>
                <w:bCs/>
                <w:sz w:val="18"/>
                <w:szCs w:val="18"/>
              </w:rPr>
              <w:t>variable</w:t>
            </w:r>
            <w:proofErr w:type="gramEnd"/>
            <w:r w:rsidRPr="006060CC">
              <w:rPr>
                <w:b w:val="0"/>
                <w:bCs/>
                <w:sz w:val="18"/>
                <w:szCs w:val="18"/>
              </w:rPr>
              <w:t xml:space="preserve"> selon les offres des pays hôtes)</w:t>
            </w:r>
          </w:p>
        </w:tc>
      </w:tr>
    </w:tbl>
    <w:p w:rsidR="00D429F6" w:rsidRPr="00B70950" w:rsidRDefault="00D429F6" w:rsidP="006A5E3B">
      <w:pPr>
        <w:spacing w:before="240"/>
        <w:rPr>
          <w:rFonts w:asciiTheme="minorHAnsi" w:hAnsiTheme="minorHAnsi" w:cstheme="minorBidi"/>
          <w:szCs w:val="24"/>
        </w:rPr>
      </w:pPr>
      <w:r w:rsidRPr="00B70950">
        <w:rPr>
          <w:rFonts w:asciiTheme="minorHAnsi" w:hAnsiTheme="minorHAnsi" w:cstheme="minorBidi"/>
          <w:szCs w:val="24"/>
        </w:rPr>
        <w:t>9.3</w:t>
      </w:r>
      <w:r w:rsidRPr="00B70950">
        <w:rPr>
          <w:rFonts w:asciiTheme="minorHAnsi" w:hAnsiTheme="minorHAnsi" w:cstheme="minorBidi"/>
          <w:szCs w:val="24"/>
        </w:rPr>
        <w:tab/>
        <w:t>S</w:t>
      </w:r>
      <w:r w:rsidR="00126B99" w:rsidRPr="00B70950">
        <w:rPr>
          <w:rFonts w:asciiTheme="minorHAnsi" w:hAnsiTheme="minorHAnsi" w:cstheme="minorBidi"/>
          <w:szCs w:val="24"/>
        </w:rPr>
        <w:t>'</w:t>
      </w:r>
      <w:r w:rsidRPr="00B70950">
        <w:rPr>
          <w:rFonts w:asciiTheme="minorHAnsi" w:hAnsiTheme="minorHAnsi" w:cstheme="minorBidi"/>
          <w:szCs w:val="24"/>
        </w:rPr>
        <w:t>il est possible d</w:t>
      </w:r>
      <w:r w:rsidR="00126B99" w:rsidRPr="00B70950">
        <w:rPr>
          <w:rFonts w:asciiTheme="minorHAnsi" w:hAnsiTheme="minorHAnsi" w:cstheme="minorBidi"/>
          <w:szCs w:val="24"/>
        </w:rPr>
        <w:t>'</w:t>
      </w:r>
      <w:r w:rsidRPr="00B70950">
        <w:rPr>
          <w:rFonts w:asciiTheme="minorHAnsi" w:hAnsiTheme="minorHAnsi" w:cstheme="minorBidi"/>
          <w:szCs w:val="24"/>
        </w:rPr>
        <w:t>estimer les incidences financières d</w:t>
      </w:r>
      <w:r w:rsidR="00126B99" w:rsidRPr="00B70950">
        <w:rPr>
          <w:rFonts w:asciiTheme="minorHAnsi" w:hAnsiTheme="minorHAnsi" w:cstheme="minorBidi"/>
          <w:szCs w:val="24"/>
        </w:rPr>
        <w:t>'</w:t>
      </w:r>
      <w:r w:rsidRPr="00B70950">
        <w:rPr>
          <w:rFonts w:asciiTheme="minorHAnsi" w:hAnsiTheme="minorHAnsi" w:cstheme="minorBidi"/>
          <w:szCs w:val="24"/>
        </w:rPr>
        <w:t>une éventuelle relocalisation, les incidences d</w:t>
      </w:r>
      <w:r w:rsidR="00126B99" w:rsidRPr="00B70950">
        <w:rPr>
          <w:rFonts w:asciiTheme="minorHAnsi" w:hAnsiTheme="minorHAnsi" w:cstheme="minorBidi"/>
          <w:szCs w:val="24"/>
        </w:rPr>
        <w:t>'</w:t>
      </w:r>
      <w:r w:rsidRPr="00B70950">
        <w:rPr>
          <w:rFonts w:asciiTheme="minorHAnsi" w:hAnsiTheme="minorHAnsi" w:cstheme="minorBidi"/>
          <w:szCs w:val="24"/>
        </w:rPr>
        <w:t>une telle décision sur les membres du personnel et leurs familles sont en revanche impossibles à évaluer. Les fonctionnaires qui ne pourront pas suivre la relocalisation essaieront de trouver un nouvel emploi en fonction de la situation économique de leur pays d</w:t>
      </w:r>
      <w:r w:rsidR="00126B99" w:rsidRPr="00B70950">
        <w:rPr>
          <w:rFonts w:asciiTheme="minorHAnsi" w:hAnsiTheme="minorHAnsi" w:cstheme="minorBidi"/>
          <w:szCs w:val="24"/>
        </w:rPr>
        <w:t>'</w:t>
      </w:r>
      <w:r w:rsidRPr="00B70950">
        <w:rPr>
          <w:rFonts w:asciiTheme="minorHAnsi" w:hAnsiTheme="minorHAnsi" w:cstheme="minorBidi"/>
          <w:szCs w:val="24"/>
        </w:rPr>
        <w:t>origine ou sur le marché international. Il y aura également des incidences sur les enfants qui pourraient se trouver à des stades divers de leur éducation et être contraints de changer d</w:t>
      </w:r>
      <w:r w:rsidR="00126B99" w:rsidRPr="00B70950">
        <w:rPr>
          <w:rFonts w:asciiTheme="minorHAnsi" w:hAnsiTheme="minorHAnsi" w:cstheme="minorBidi"/>
          <w:szCs w:val="24"/>
        </w:rPr>
        <w:t>'</w:t>
      </w:r>
      <w:r w:rsidRPr="00B70950">
        <w:rPr>
          <w:rFonts w:asciiTheme="minorHAnsi" w:hAnsiTheme="minorHAnsi" w:cstheme="minorBidi"/>
          <w:szCs w:val="24"/>
        </w:rPr>
        <w:t>établissement scolaire. Au vu des informations disponibles concernant les expériences d</w:t>
      </w:r>
      <w:r w:rsidR="00126B99" w:rsidRPr="00B70950">
        <w:rPr>
          <w:rFonts w:asciiTheme="minorHAnsi" w:hAnsiTheme="minorHAnsi" w:cstheme="minorBidi"/>
          <w:szCs w:val="24"/>
        </w:rPr>
        <w:t>'</w:t>
      </w:r>
      <w:r w:rsidRPr="00B70950">
        <w:rPr>
          <w:rFonts w:asciiTheme="minorHAnsi" w:hAnsiTheme="minorHAnsi" w:cstheme="minorBidi"/>
          <w:szCs w:val="24"/>
        </w:rPr>
        <w:t>autres institutions et d</w:t>
      </w:r>
      <w:r w:rsidR="00126B99" w:rsidRPr="00B70950">
        <w:rPr>
          <w:rFonts w:asciiTheme="minorHAnsi" w:hAnsiTheme="minorHAnsi" w:cstheme="minorBidi"/>
          <w:szCs w:val="24"/>
        </w:rPr>
        <w:t>'</w:t>
      </w:r>
      <w:r w:rsidRPr="00B70950">
        <w:rPr>
          <w:rFonts w:asciiTheme="minorHAnsi" w:hAnsiTheme="minorHAnsi" w:cstheme="minorBidi"/>
          <w:szCs w:val="24"/>
        </w:rPr>
        <w:t>entreprises du secteur privé ayant entrepris des relocalisations ou des délocalisations, il est à prévoir que les incidences générales d</w:t>
      </w:r>
      <w:r w:rsidR="00126B99" w:rsidRPr="00B70950">
        <w:rPr>
          <w:rFonts w:asciiTheme="minorHAnsi" w:hAnsiTheme="minorHAnsi" w:cstheme="minorBidi"/>
          <w:szCs w:val="24"/>
        </w:rPr>
        <w:t>'</w:t>
      </w:r>
      <w:r w:rsidRPr="00B70950">
        <w:rPr>
          <w:rFonts w:asciiTheme="minorHAnsi" w:hAnsiTheme="minorHAnsi" w:cstheme="minorBidi"/>
          <w:szCs w:val="24"/>
        </w:rPr>
        <w:t>une relocalisation sur le personnel seraient considérables. Une relocalisation partielle ou provisoire ne ferait qu</w:t>
      </w:r>
      <w:r w:rsidR="00126B99" w:rsidRPr="00B70950">
        <w:rPr>
          <w:rFonts w:asciiTheme="minorHAnsi" w:hAnsiTheme="minorHAnsi" w:cstheme="minorBidi"/>
          <w:szCs w:val="24"/>
        </w:rPr>
        <w:t>'</w:t>
      </w:r>
      <w:r w:rsidRPr="00B70950">
        <w:rPr>
          <w:rFonts w:asciiTheme="minorHAnsi" w:hAnsiTheme="minorHAnsi" w:cstheme="minorBidi"/>
          <w:szCs w:val="24"/>
        </w:rPr>
        <w:t>aggraver ces incidences négatives, étant donné qu</w:t>
      </w:r>
      <w:r w:rsidR="00126B99" w:rsidRPr="00B70950">
        <w:rPr>
          <w:rFonts w:asciiTheme="minorHAnsi" w:hAnsiTheme="minorHAnsi" w:cstheme="minorBidi"/>
          <w:szCs w:val="24"/>
        </w:rPr>
        <w:t>'</w:t>
      </w:r>
      <w:r w:rsidRPr="00B70950">
        <w:rPr>
          <w:rFonts w:asciiTheme="minorHAnsi" w:hAnsiTheme="minorHAnsi" w:cstheme="minorBidi"/>
          <w:szCs w:val="24"/>
        </w:rPr>
        <w:t>elle créerait une situation prolongée d</w:t>
      </w:r>
      <w:r w:rsidR="00126B99" w:rsidRPr="00B70950">
        <w:rPr>
          <w:rFonts w:asciiTheme="minorHAnsi" w:hAnsiTheme="minorHAnsi" w:cstheme="minorBidi"/>
          <w:szCs w:val="24"/>
        </w:rPr>
        <w:t>'</w:t>
      </w:r>
      <w:r w:rsidRPr="00B70950">
        <w:rPr>
          <w:rFonts w:asciiTheme="minorHAnsi" w:hAnsiTheme="minorHAnsi" w:cstheme="minorBidi"/>
          <w:szCs w:val="24"/>
        </w:rPr>
        <w:t>instabilité, dans laquelle les familles pourraient avoir à conserver deux foyers, avec les dépenses et le stress supplémentaires que cela comporte.</w:t>
      </w:r>
    </w:p>
    <w:p w:rsidR="00BD1614" w:rsidRPr="00B70950" w:rsidRDefault="00D429F6" w:rsidP="007F1941">
      <w:r w:rsidRPr="00B70950">
        <w:lastRenderedPageBreak/>
        <w:t>9.4</w:t>
      </w:r>
      <w:r w:rsidRPr="00B70950">
        <w:tab/>
        <w:t xml:space="preserve">A la lumière des informations présentées, la Conférence de plénipotentiaires est invitée à </w:t>
      </w:r>
      <w:r w:rsidRPr="00B70950">
        <w:rPr>
          <w:b/>
        </w:rPr>
        <w:t>prendre une décision</w:t>
      </w:r>
      <w:r w:rsidRPr="00B70950">
        <w:t xml:space="preserve"> concernant le choix d</w:t>
      </w:r>
      <w:r w:rsidR="00126B99" w:rsidRPr="00B70950">
        <w:t>'</w:t>
      </w:r>
      <w:r w:rsidRPr="00B70950">
        <w:t>une des quatre options exposées dans le présent document.</w:t>
      </w:r>
    </w:p>
    <w:p w:rsidR="00BD1614" w:rsidRPr="00B70950" w:rsidRDefault="00BD1614" w:rsidP="007F1941"/>
    <w:p w:rsidR="00A47187" w:rsidRPr="00B70950" w:rsidRDefault="00A47187" w:rsidP="00B70950">
      <w:pPr>
        <w:pStyle w:val="Reasons"/>
      </w:pPr>
    </w:p>
    <w:p w:rsidR="00A47187" w:rsidRPr="00B70950" w:rsidRDefault="00A47187">
      <w:pPr>
        <w:jc w:val="center"/>
      </w:pPr>
      <w:r w:rsidRPr="00B70950">
        <w:t>______________</w:t>
      </w:r>
    </w:p>
    <w:p w:rsidR="008758DF" w:rsidRPr="00B70950" w:rsidRDefault="008758DF" w:rsidP="007F1941"/>
    <w:sectPr w:rsidR="008758DF" w:rsidRPr="00B70950" w:rsidSect="003A0B7D">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A24" w:rsidRDefault="00F00A24">
      <w:r>
        <w:separator/>
      </w:r>
    </w:p>
  </w:endnote>
  <w:endnote w:type="continuationSeparator" w:id="0">
    <w:p w:rsidR="00F00A24" w:rsidRDefault="00F0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24" w:rsidRPr="0045058F" w:rsidRDefault="00F00A24" w:rsidP="004F6619">
    <w:pPr>
      <w:pStyle w:val="Footer"/>
      <w:rPr>
        <w:color w:val="FFFFFF" w:themeColor="background1"/>
      </w:rPr>
    </w:pPr>
    <w:r w:rsidRPr="0045058F">
      <w:rPr>
        <w:noProof w:val="0"/>
        <w:color w:val="FFFFFF" w:themeColor="background1"/>
        <w:sz w:val="24"/>
      </w:rPr>
      <w:fldChar w:fldCharType="begin"/>
    </w:r>
    <w:r w:rsidRPr="0045058F">
      <w:rPr>
        <w:color w:val="FFFFFF" w:themeColor="background1"/>
        <w:lang w:val="en-US"/>
      </w:rPr>
      <w:instrText xml:space="preserve"> FILENAME \p  \* MERGEFORMAT </w:instrText>
    </w:r>
    <w:r w:rsidRPr="0045058F">
      <w:rPr>
        <w:noProof w:val="0"/>
        <w:color w:val="FFFFFF" w:themeColor="background1"/>
        <w:sz w:val="24"/>
      </w:rPr>
      <w:fldChar w:fldCharType="separate"/>
    </w:r>
    <w:r w:rsidRPr="0045058F">
      <w:rPr>
        <w:color w:val="FFFFFF" w:themeColor="background1"/>
        <w:lang w:val="en-US"/>
      </w:rPr>
      <w:t>P:\FRA\SG\CONF-SG\PP14\000\057REV1F.docx</w:t>
    </w:r>
    <w:r w:rsidRPr="0045058F">
      <w:rPr>
        <w:color w:val="FFFFFF" w:themeColor="background1"/>
      </w:rPr>
      <w:fldChar w:fldCharType="end"/>
    </w:r>
    <w:r w:rsidRPr="0045058F">
      <w:rPr>
        <w:color w:val="FFFFFF" w:themeColor="background1"/>
        <w:lang w:val="en-US"/>
      </w:rPr>
      <w:t xml:space="preserve"> (370480)</w:t>
    </w:r>
    <w:r w:rsidRPr="0045058F">
      <w:rPr>
        <w:color w:val="FFFFFF" w:themeColor="background1"/>
        <w:lang w:val="en-US"/>
      </w:rPr>
      <w:tab/>
    </w:r>
    <w:r w:rsidRPr="0045058F">
      <w:rPr>
        <w:color w:val="FFFFFF" w:themeColor="background1"/>
      </w:rPr>
      <w:fldChar w:fldCharType="begin"/>
    </w:r>
    <w:r w:rsidRPr="0045058F">
      <w:rPr>
        <w:color w:val="FFFFFF" w:themeColor="background1"/>
      </w:rPr>
      <w:instrText xml:space="preserve"> SAVEDATE \@ DD.MM.YY </w:instrText>
    </w:r>
    <w:r w:rsidRPr="0045058F">
      <w:rPr>
        <w:color w:val="FFFFFF" w:themeColor="background1"/>
      </w:rPr>
      <w:fldChar w:fldCharType="separate"/>
    </w:r>
    <w:r w:rsidRPr="0045058F">
      <w:rPr>
        <w:color w:val="FFFFFF" w:themeColor="background1"/>
      </w:rPr>
      <w:t>17.10.14</w:t>
    </w:r>
    <w:r w:rsidRPr="0045058F">
      <w:rPr>
        <w:color w:val="FFFFFF" w:themeColor="background1"/>
      </w:rPr>
      <w:fldChar w:fldCharType="end"/>
    </w:r>
    <w:r w:rsidRPr="0045058F">
      <w:rPr>
        <w:color w:val="FFFFFF" w:themeColor="background1"/>
        <w:lang w:val="en-US"/>
      </w:rPr>
      <w:tab/>
    </w:r>
    <w:r w:rsidRPr="0045058F">
      <w:rPr>
        <w:color w:val="FFFFFF" w:themeColor="background1"/>
      </w:rPr>
      <w:fldChar w:fldCharType="begin"/>
    </w:r>
    <w:r w:rsidRPr="0045058F">
      <w:rPr>
        <w:color w:val="FFFFFF" w:themeColor="background1"/>
      </w:rPr>
      <w:instrText xml:space="preserve"> PRINTDATE \@ DD.MM.YY </w:instrText>
    </w:r>
    <w:r w:rsidRPr="0045058F">
      <w:rPr>
        <w:color w:val="FFFFFF" w:themeColor="background1"/>
      </w:rPr>
      <w:fldChar w:fldCharType="separate"/>
    </w:r>
    <w:r w:rsidRPr="0045058F">
      <w:rPr>
        <w:color w:val="FFFFFF" w:themeColor="background1"/>
      </w:rPr>
      <w:t>17.10.14</w:t>
    </w:r>
    <w:r w:rsidRPr="0045058F">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24" w:rsidRDefault="00F00A24"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F00A24" w:rsidRPr="007F1941" w:rsidRDefault="00F00A24">
    <w:pPr>
      <w:pStyle w:val="FirstFooter"/>
      <w:jc w:val="center"/>
      <w:rPr>
        <w:lang w:val="en-US"/>
      </w:rPr>
    </w:pPr>
  </w:p>
  <w:p w:rsidR="00F00A24" w:rsidRPr="0045058F" w:rsidRDefault="00F00A24" w:rsidP="004F6619">
    <w:pPr>
      <w:pStyle w:val="Footer"/>
      <w:rPr>
        <w:color w:val="FFFFFF" w:themeColor="background1"/>
        <w:lang w:val="en-US"/>
      </w:rPr>
    </w:pPr>
    <w:r w:rsidRPr="0045058F">
      <w:rPr>
        <w:noProof w:val="0"/>
        <w:color w:val="FFFFFF" w:themeColor="background1"/>
        <w:sz w:val="24"/>
      </w:rPr>
      <w:fldChar w:fldCharType="begin"/>
    </w:r>
    <w:r w:rsidRPr="0045058F">
      <w:rPr>
        <w:color w:val="FFFFFF" w:themeColor="background1"/>
        <w:lang w:val="en-US"/>
      </w:rPr>
      <w:instrText xml:space="preserve"> FILENAME \p  \* MERGEFORMAT </w:instrText>
    </w:r>
    <w:r w:rsidRPr="0045058F">
      <w:rPr>
        <w:noProof w:val="0"/>
        <w:color w:val="FFFFFF" w:themeColor="background1"/>
        <w:sz w:val="24"/>
      </w:rPr>
      <w:fldChar w:fldCharType="separate"/>
    </w:r>
    <w:r w:rsidRPr="0045058F">
      <w:rPr>
        <w:color w:val="FFFFFF" w:themeColor="background1"/>
        <w:lang w:val="en-US"/>
      </w:rPr>
      <w:t>P:\FRA\SG\CONF-SG\PP14\000\057REV1F.docx</w:t>
    </w:r>
    <w:r w:rsidRPr="0045058F">
      <w:rPr>
        <w:color w:val="FFFFFF" w:themeColor="background1"/>
      </w:rPr>
      <w:fldChar w:fldCharType="end"/>
    </w:r>
    <w:r w:rsidRPr="0045058F">
      <w:rPr>
        <w:color w:val="FFFFFF" w:themeColor="background1"/>
        <w:lang w:val="en-US"/>
      </w:rPr>
      <w:t xml:space="preserve"> (370480)</w:t>
    </w:r>
    <w:r w:rsidRPr="0045058F">
      <w:rPr>
        <w:color w:val="FFFFFF" w:themeColor="background1"/>
        <w:lang w:val="en-US"/>
      </w:rPr>
      <w:tab/>
    </w:r>
    <w:r w:rsidRPr="0045058F">
      <w:rPr>
        <w:color w:val="FFFFFF" w:themeColor="background1"/>
      </w:rPr>
      <w:fldChar w:fldCharType="begin"/>
    </w:r>
    <w:r w:rsidRPr="0045058F">
      <w:rPr>
        <w:color w:val="FFFFFF" w:themeColor="background1"/>
      </w:rPr>
      <w:instrText xml:space="preserve"> SAVEDATE \@ DD.MM.YY </w:instrText>
    </w:r>
    <w:r w:rsidRPr="0045058F">
      <w:rPr>
        <w:color w:val="FFFFFF" w:themeColor="background1"/>
      </w:rPr>
      <w:fldChar w:fldCharType="separate"/>
    </w:r>
    <w:r w:rsidRPr="0045058F">
      <w:rPr>
        <w:color w:val="FFFFFF" w:themeColor="background1"/>
      </w:rPr>
      <w:t>17.10.14</w:t>
    </w:r>
    <w:r w:rsidRPr="0045058F">
      <w:rPr>
        <w:color w:val="FFFFFF" w:themeColor="background1"/>
      </w:rPr>
      <w:fldChar w:fldCharType="end"/>
    </w:r>
    <w:r w:rsidRPr="0045058F">
      <w:rPr>
        <w:color w:val="FFFFFF" w:themeColor="background1"/>
        <w:lang w:val="en-US"/>
      </w:rPr>
      <w:tab/>
    </w:r>
    <w:r w:rsidRPr="0045058F">
      <w:rPr>
        <w:color w:val="FFFFFF" w:themeColor="background1"/>
      </w:rPr>
      <w:fldChar w:fldCharType="begin"/>
    </w:r>
    <w:r w:rsidRPr="0045058F">
      <w:rPr>
        <w:color w:val="FFFFFF" w:themeColor="background1"/>
      </w:rPr>
      <w:instrText xml:space="preserve"> PRINTDATE \@ DD.MM.YY </w:instrText>
    </w:r>
    <w:r w:rsidRPr="0045058F">
      <w:rPr>
        <w:color w:val="FFFFFF" w:themeColor="background1"/>
      </w:rPr>
      <w:fldChar w:fldCharType="separate"/>
    </w:r>
    <w:r w:rsidRPr="0045058F">
      <w:rPr>
        <w:color w:val="FFFFFF" w:themeColor="background1"/>
      </w:rPr>
      <w:t>17.10.14</w:t>
    </w:r>
    <w:r w:rsidRPr="0045058F">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A24" w:rsidRDefault="00F00A24">
      <w:r>
        <w:t>____________________</w:t>
      </w:r>
    </w:p>
  </w:footnote>
  <w:footnote w:type="continuationSeparator" w:id="0">
    <w:p w:rsidR="00F00A24" w:rsidRDefault="00F00A24">
      <w:r>
        <w:continuationSeparator/>
      </w:r>
    </w:p>
  </w:footnote>
  <w:footnote w:id="1">
    <w:p w:rsidR="00F00A24" w:rsidRPr="00A467F6" w:rsidRDefault="00F00A24">
      <w:pPr>
        <w:pStyle w:val="FootnoteText"/>
        <w:rPr>
          <w:lang w:val="fr-CH"/>
        </w:rPr>
      </w:pPr>
      <w:r>
        <w:rPr>
          <w:rStyle w:val="FootnoteReference"/>
        </w:rPr>
        <w:footnoteRef/>
      </w:r>
      <w:r>
        <w:t xml:space="preserve"> </w:t>
      </w:r>
      <w:r>
        <w:rPr>
          <w:lang w:val="fr-CH"/>
        </w:rPr>
        <w:tab/>
      </w:r>
      <w:r w:rsidRPr="00126B99">
        <w:t>Terme juridique spécialisé du pays hôte.</w:t>
      </w:r>
      <w:r>
        <w:t xml:space="preserve"> </w:t>
      </w:r>
      <w:r>
        <w:rPr>
          <w:color w:val="000000"/>
        </w:rPr>
        <w:t>Pour plus de précisions, voir les paragraphes 8.63 à 8.67.</w:t>
      </w:r>
    </w:p>
  </w:footnote>
  <w:footnote w:id="2">
    <w:p w:rsidR="00F00A24" w:rsidRPr="00600225" w:rsidRDefault="00F00A24">
      <w:pPr>
        <w:pStyle w:val="FootnoteText"/>
        <w:rPr>
          <w:lang w:val="fr-CH"/>
        </w:rPr>
      </w:pPr>
      <w:r>
        <w:rPr>
          <w:rStyle w:val="FootnoteReference"/>
        </w:rPr>
        <w:footnoteRef/>
      </w:r>
      <w:r>
        <w:t xml:space="preserve"> </w:t>
      </w:r>
      <w:r>
        <w:rPr>
          <w:lang w:val="fr-CH"/>
        </w:rPr>
        <w:tab/>
      </w:r>
      <w:r w:rsidRPr="00126B99">
        <w:t>En 2009, une étude externe a été commandée auprès d'une société de conseil spécialisée (Brodbeck-Roulet), laquelle a rendu un rapport en 2010 sur le rendement et les possibilités d'amélioration des façades de Varembé.</w:t>
      </w:r>
    </w:p>
  </w:footnote>
  <w:footnote w:id="3">
    <w:p w:rsidR="00F00A24" w:rsidRPr="00940425" w:rsidRDefault="00F00A24">
      <w:pPr>
        <w:pStyle w:val="FootnoteText"/>
      </w:pPr>
      <w:r>
        <w:rPr>
          <w:rStyle w:val="FootnoteReference"/>
        </w:rPr>
        <w:footnoteRef/>
      </w:r>
      <w:r>
        <w:t xml:space="preserve"> </w:t>
      </w:r>
      <w:r>
        <w:tab/>
      </w:r>
      <w:r w:rsidRPr="00126B99">
        <w:t xml:space="preserve">Fondation des immeubles pour les organisations internationales (site </w:t>
      </w:r>
      <w:proofErr w:type="gramStart"/>
      <w:r w:rsidRPr="00126B99">
        <w:t>web:</w:t>
      </w:r>
      <w:proofErr w:type="gramEnd"/>
      <w:r w:rsidRPr="00126B99">
        <w:t xml:space="preserve"> </w:t>
      </w:r>
      <w:hyperlink r:id="rId1" w:history="1">
        <w:r w:rsidRPr="00654444">
          <w:rPr>
            <w:rStyle w:val="Hyperlink"/>
          </w:rPr>
          <w:t>www.fipoi.ch</w:t>
        </w:r>
      </w:hyperlink>
      <w:r w:rsidRPr="00126B99">
        <w:t>)</w:t>
      </w:r>
      <w:r>
        <w:t>.</w:t>
      </w:r>
    </w:p>
  </w:footnote>
  <w:footnote w:id="4">
    <w:p w:rsidR="00F00A24" w:rsidRPr="00FB1328" w:rsidRDefault="00F00A24">
      <w:pPr>
        <w:pStyle w:val="FootnoteText"/>
      </w:pPr>
      <w:r>
        <w:rPr>
          <w:rStyle w:val="FootnoteReference"/>
        </w:rPr>
        <w:footnoteRef/>
      </w:r>
      <w:r>
        <w:t xml:space="preserve"> </w:t>
      </w:r>
      <w:r>
        <w:tab/>
      </w:r>
      <w:r w:rsidRPr="00126B99">
        <w:t xml:space="preserve">Norme d'accessibilité </w:t>
      </w:r>
      <w:proofErr w:type="gramStart"/>
      <w:r w:rsidRPr="00126B99">
        <w:t>suisse:</w:t>
      </w:r>
      <w:proofErr w:type="gramEnd"/>
      <w:r w:rsidRPr="00126B99">
        <w:t xml:space="preserve"> SIA 500:2009 – Constructions sans obstacles.</w:t>
      </w:r>
    </w:p>
  </w:footnote>
  <w:footnote w:id="5">
    <w:p w:rsidR="00F00A24" w:rsidRPr="00FB1328" w:rsidRDefault="00F00A24">
      <w:pPr>
        <w:pStyle w:val="FootnoteText"/>
        <w:rPr>
          <w:lang w:val="fr-CH"/>
        </w:rPr>
      </w:pPr>
      <w:r>
        <w:rPr>
          <w:rStyle w:val="FootnoteReference"/>
        </w:rPr>
        <w:footnoteRef/>
      </w:r>
      <w:r>
        <w:t xml:space="preserve"> </w:t>
      </w:r>
      <w:r>
        <w:rPr>
          <w:lang w:val="fr-CH"/>
        </w:rPr>
        <w:tab/>
      </w:r>
      <w:r w:rsidRPr="00FB1328">
        <w:t>A titre d'information, les dépenses administratives à engager pour toute affaire portée devant le TAOIT, que le bien</w:t>
      </w:r>
      <w:r w:rsidRPr="00FB1328">
        <w:noBreakHyphen/>
        <w:t>fondé de cette affaire soit reconnu ou non, s'élèvent à 20 000 CHF.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24" w:rsidRDefault="00F00A24" w:rsidP="00407795">
    <w:pPr>
      <w:pStyle w:val="Header"/>
    </w:pPr>
    <w:r>
      <w:fldChar w:fldCharType="begin"/>
    </w:r>
    <w:r>
      <w:instrText xml:space="preserve"> PAGE </w:instrText>
    </w:r>
    <w:r>
      <w:fldChar w:fldCharType="separate"/>
    </w:r>
    <w:r w:rsidR="0045058F">
      <w:rPr>
        <w:noProof/>
      </w:rPr>
      <w:t>22</w:t>
    </w:r>
    <w:r>
      <w:fldChar w:fldCharType="end"/>
    </w:r>
  </w:p>
  <w:p w:rsidR="00F00A24" w:rsidRPr="00407795" w:rsidRDefault="00F00A24" w:rsidP="00E30487">
    <w:pPr>
      <w:pStyle w:val="Header"/>
    </w:pPr>
    <w:r>
      <w:t>PP14/57(Rév.1)-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21EA2"/>
    <w:multiLevelType w:val="hybridMultilevel"/>
    <w:tmpl w:val="B60C65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E4267"/>
    <w:multiLevelType w:val="hybridMultilevel"/>
    <w:tmpl w:val="7D3A9EFC"/>
    <w:lvl w:ilvl="0" w:tplc="7778C942">
      <w:start w:val="31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494FB5"/>
    <w:multiLevelType w:val="hybridMultilevel"/>
    <w:tmpl w:val="52842C4A"/>
    <w:lvl w:ilvl="0" w:tplc="A636E8B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1972FB"/>
    <w:multiLevelType w:val="hybridMultilevel"/>
    <w:tmpl w:val="1A24333E"/>
    <w:lvl w:ilvl="0" w:tplc="A636E8B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075AF"/>
    <w:rsid w:val="00033827"/>
    <w:rsid w:val="00060538"/>
    <w:rsid w:val="00072D5C"/>
    <w:rsid w:val="00084308"/>
    <w:rsid w:val="00097041"/>
    <w:rsid w:val="000A207C"/>
    <w:rsid w:val="000B14B6"/>
    <w:rsid w:val="000C01B2"/>
    <w:rsid w:val="000C2F3C"/>
    <w:rsid w:val="000C467B"/>
    <w:rsid w:val="000D15FB"/>
    <w:rsid w:val="000E106D"/>
    <w:rsid w:val="000F0F6D"/>
    <w:rsid w:val="000F4849"/>
    <w:rsid w:val="001051E4"/>
    <w:rsid w:val="001147AD"/>
    <w:rsid w:val="00126B99"/>
    <w:rsid w:val="001354EA"/>
    <w:rsid w:val="00136FCE"/>
    <w:rsid w:val="0014329E"/>
    <w:rsid w:val="00153BA4"/>
    <w:rsid w:val="00155954"/>
    <w:rsid w:val="00185E89"/>
    <w:rsid w:val="00190BCE"/>
    <w:rsid w:val="001941AD"/>
    <w:rsid w:val="00196F3F"/>
    <w:rsid w:val="001A0682"/>
    <w:rsid w:val="001C27C4"/>
    <w:rsid w:val="001E1B9B"/>
    <w:rsid w:val="001F174E"/>
    <w:rsid w:val="001F6233"/>
    <w:rsid w:val="0022273E"/>
    <w:rsid w:val="00223948"/>
    <w:rsid w:val="00230403"/>
    <w:rsid w:val="002559E6"/>
    <w:rsid w:val="00274EF9"/>
    <w:rsid w:val="002A18B4"/>
    <w:rsid w:val="002B3034"/>
    <w:rsid w:val="002C1059"/>
    <w:rsid w:val="002C2F9C"/>
    <w:rsid w:val="002F0432"/>
    <w:rsid w:val="003059D2"/>
    <w:rsid w:val="00312D0C"/>
    <w:rsid w:val="00316823"/>
    <w:rsid w:val="003A0B7D"/>
    <w:rsid w:val="003A45C2"/>
    <w:rsid w:val="003A4ED7"/>
    <w:rsid w:val="003C4BE2"/>
    <w:rsid w:val="003D147D"/>
    <w:rsid w:val="00407795"/>
    <w:rsid w:val="00430015"/>
    <w:rsid w:val="00447737"/>
    <w:rsid w:val="0045058F"/>
    <w:rsid w:val="004678D0"/>
    <w:rsid w:val="00467B3B"/>
    <w:rsid w:val="00471BF7"/>
    <w:rsid w:val="004808B8"/>
    <w:rsid w:val="00482954"/>
    <w:rsid w:val="004A57D2"/>
    <w:rsid w:val="004D0DDB"/>
    <w:rsid w:val="004D44B1"/>
    <w:rsid w:val="004F6619"/>
    <w:rsid w:val="00524001"/>
    <w:rsid w:val="00526CF6"/>
    <w:rsid w:val="00533405"/>
    <w:rsid w:val="0053738A"/>
    <w:rsid w:val="005476E1"/>
    <w:rsid w:val="00564B63"/>
    <w:rsid w:val="00575DC7"/>
    <w:rsid w:val="005836C2"/>
    <w:rsid w:val="005932E2"/>
    <w:rsid w:val="005A4EFD"/>
    <w:rsid w:val="005A5ABE"/>
    <w:rsid w:val="005B16DA"/>
    <w:rsid w:val="005C2ECC"/>
    <w:rsid w:val="005C527C"/>
    <w:rsid w:val="005E27FA"/>
    <w:rsid w:val="005E419E"/>
    <w:rsid w:val="00600225"/>
    <w:rsid w:val="00611CF1"/>
    <w:rsid w:val="006201D9"/>
    <w:rsid w:val="006277DB"/>
    <w:rsid w:val="00635B7B"/>
    <w:rsid w:val="00642704"/>
    <w:rsid w:val="006472E9"/>
    <w:rsid w:val="00652FAB"/>
    <w:rsid w:val="006548C0"/>
    <w:rsid w:val="00655B98"/>
    <w:rsid w:val="00676DF2"/>
    <w:rsid w:val="00686973"/>
    <w:rsid w:val="006A5E3B"/>
    <w:rsid w:val="006A6342"/>
    <w:rsid w:val="006B6C9C"/>
    <w:rsid w:val="006C7AE3"/>
    <w:rsid w:val="006D55E8"/>
    <w:rsid w:val="006E1921"/>
    <w:rsid w:val="006F36F9"/>
    <w:rsid w:val="00704F1F"/>
    <w:rsid w:val="0070576B"/>
    <w:rsid w:val="00712A54"/>
    <w:rsid w:val="00713335"/>
    <w:rsid w:val="00724740"/>
    <w:rsid w:val="00725211"/>
    <w:rsid w:val="00727C2F"/>
    <w:rsid w:val="00735F13"/>
    <w:rsid w:val="007717F2"/>
    <w:rsid w:val="0078134C"/>
    <w:rsid w:val="007A5830"/>
    <w:rsid w:val="007B7F38"/>
    <w:rsid w:val="007F1941"/>
    <w:rsid w:val="00801256"/>
    <w:rsid w:val="008703CB"/>
    <w:rsid w:val="008758DF"/>
    <w:rsid w:val="00897CB5"/>
    <w:rsid w:val="008C33C2"/>
    <w:rsid w:val="008C6137"/>
    <w:rsid w:val="008E2DB4"/>
    <w:rsid w:val="00901DD5"/>
    <w:rsid w:val="0090735B"/>
    <w:rsid w:val="00912D5E"/>
    <w:rsid w:val="009163C1"/>
    <w:rsid w:val="00934340"/>
    <w:rsid w:val="00940425"/>
    <w:rsid w:val="0094325F"/>
    <w:rsid w:val="0094464B"/>
    <w:rsid w:val="00944919"/>
    <w:rsid w:val="00953C40"/>
    <w:rsid w:val="00956906"/>
    <w:rsid w:val="00966CD3"/>
    <w:rsid w:val="00980395"/>
    <w:rsid w:val="0098661E"/>
    <w:rsid w:val="00987A20"/>
    <w:rsid w:val="009A0E15"/>
    <w:rsid w:val="009B744B"/>
    <w:rsid w:val="009F0592"/>
    <w:rsid w:val="00A019AA"/>
    <w:rsid w:val="00A20E72"/>
    <w:rsid w:val="00A246DC"/>
    <w:rsid w:val="00A466B8"/>
    <w:rsid w:val="00A467F6"/>
    <w:rsid w:val="00A47187"/>
    <w:rsid w:val="00A47BAF"/>
    <w:rsid w:val="00A47FFC"/>
    <w:rsid w:val="00A520C1"/>
    <w:rsid w:val="00A5784F"/>
    <w:rsid w:val="00A60216"/>
    <w:rsid w:val="00A72422"/>
    <w:rsid w:val="00A8436E"/>
    <w:rsid w:val="00A901D5"/>
    <w:rsid w:val="00A95B66"/>
    <w:rsid w:val="00AA0684"/>
    <w:rsid w:val="00AA4849"/>
    <w:rsid w:val="00AD5DBA"/>
    <w:rsid w:val="00AE0667"/>
    <w:rsid w:val="00AE09D6"/>
    <w:rsid w:val="00AE27A9"/>
    <w:rsid w:val="00AE2FCD"/>
    <w:rsid w:val="00AE57DE"/>
    <w:rsid w:val="00AF2A16"/>
    <w:rsid w:val="00B10DDB"/>
    <w:rsid w:val="00B41E0A"/>
    <w:rsid w:val="00B56DE0"/>
    <w:rsid w:val="00B70950"/>
    <w:rsid w:val="00B71F12"/>
    <w:rsid w:val="00B95181"/>
    <w:rsid w:val="00B96B1E"/>
    <w:rsid w:val="00BB2A6F"/>
    <w:rsid w:val="00BB2ACF"/>
    <w:rsid w:val="00BD1614"/>
    <w:rsid w:val="00BD76F6"/>
    <w:rsid w:val="00BE3F9C"/>
    <w:rsid w:val="00BE5991"/>
    <w:rsid w:val="00BF2015"/>
    <w:rsid w:val="00BF6943"/>
    <w:rsid w:val="00BF7D25"/>
    <w:rsid w:val="00C010C0"/>
    <w:rsid w:val="00C04C64"/>
    <w:rsid w:val="00C114FD"/>
    <w:rsid w:val="00C227C8"/>
    <w:rsid w:val="00C2328A"/>
    <w:rsid w:val="00C232BA"/>
    <w:rsid w:val="00C25FA6"/>
    <w:rsid w:val="00C31222"/>
    <w:rsid w:val="00C54CE6"/>
    <w:rsid w:val="00C575E2"/>
    <w:rsid w:val="00C7368B"/>
    <w:rsid w:val="00C82ECE"/>
    <w:rsid w:val="00C92746"/>
    <w:rsid w:val="00CA459F"/>
    <w:rsid w:val="00CB0F49"/>
    <w:rsid w:val="00CC4DC5"/>
    <w:rsid w:val="00CC4FF1"/>
    <w:rsid w:val="00CC6735"/>
    <w:rsid w:val="00CD1324"/>
    <w:rsid w:val="00CE1A7C"/>
    <w:rsid w:val="00CF16D0"/>
    <w:rsid w:val="00D06BE0"/>
    <w:rsid w:val="00D12C74"/>
    <w:rsid w:val="00D429F6"/>
    <w:rsid w:val="00D56483"/>
    <w:rsid w:val="00D56AD6"/>
    <w:rsid w:val="00D70019"/>
    <w:rsid w:val="00D74B58"/>
    <w:rsid w:val="00D80896"/>
    <w:rsid w:val="00D82ABE"/>
    <w:rsid w:val="00DA685B"/>
    <w:rsid w:val="00DA742B"/>
    <w:rsid w:val="00DD5A77"/>
    <w:rsid w:val="00DF25C1"/>
    <w:rsid w:val="00DF48F7"/>
    <w:rsid w:val="00DF4964"/>
    <w:rsid w:val="00DF4D73"/>
    <w:rsid w:val="00DF5811"/>
    <w:rsid w:val="00DF79B0"/>
    <w:rsid w:val="00E02901"/>
    <w:rsid w:val="00E1047D"/>
    <w:rsid w:val="00E238DA"/>
    <w:rsid w:val="00E30487"/>
    <w:rsid w:val="00E443FA"/>
    <w:rsid w:val="00E54FCE"/>
    <w:rsid w:val="00E93D35"/>
    <w:rsid w:val="00EA0443"/>
    <w:rsid w:val="00EA073B"/>
    <w:rsid w:val="00EA45DB"/>
    <w:rsid w:val="00EB22F2"/>
    <w:rsid w:val="00EC7575"/>
    <w:rsid w:val="00ED0177"/>
    <w:rsid w:val="00ED2CD9"/>
    <w:rsid w:val="00F00A24"/>
    <w:rsid w:val="00F103FD"/>
    <w:rsid w:val="00F25AA4"/>
    <w:rsid w:val="00F41595"/>
    <w:rsid w:val="00F564C1"/>
    <w:rsid w:val="00F77E00"/>
    <w:rsid w:val="00F77FA2"/>
    <w:rsid w:val="00F8357A"/>
    <w:rsid w:val="00FA1B77"/>
    <w:rsid w:val="00FB1328"/>
    <w:rsid w:val="00FB13DC"/>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5A9A202-3719-4570-9028-F1420CD1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9F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D429F6"/>
    <w:pPr>
      <w:keepNext/>
      <w:keepLines/>
      <w:spacing w:before="480"/>
      <w:ind w:left="567" w:hanging="567"/>
      <w:outlineLvl w:val="0"/>
    </w:pPr>
    <w:rPr>
      <w:b/>
      <w:sz w:val="28"/>
    </w:rPr>
  </w:style>
  <w:style w:type="paragraph" w:styleId="Heading2">
    <w:name w:val="heading 2"/>
    <w:basedOn w:val="Heading1"/>
    <w:next w:val="Normal"/>
    <w:qFormat/>
    <w:rsid w:val="00D429F6"/>
    <w:pPr>
      <w:spacing w:before="320"/>
      <w:outlineLvl w:val="1"/>
    </w:pPr>
    <w:rPr>
      <w:sz w:val="24"/>
    </w:rPr>
  </w:style>
  <w:style w:type="paragraph" w:styleId="Heading3">
    <w:name w:val="heading 3"/>
    <w:basedOn w:val="Heading1"/>
    <w:next w:val="Normal"/>
    <w:qFormat/>
    <w:rsid w:val="00D429F6"/>
    <w:pPr>
      <w:spacing w:before="200"/>
      <w:outlineLvl w:val="2"/>
    </w:pPr>
    <w:rPr>
      <w:sz w:val="24"/>
    </w:rPr>
  </w:style>
  <w:style w:type="paragraph" w:styleId="Heading4">
    <w:name w:val="heading 4"/>
    <w:basedOn w:val="Heading3"/>
    <w:next w:val="Normal"/>
    <w:qFormat/>
    <w:rsid w:val="00D429F6"/>
    <w:pPr>
      <w:ind w:left="1134" w:hanging="1134"/>
      <w:outlineLvl w:val="3"/>
    </w:pPr>
  </w:style>
  <w:style w:type="paragraph" w:styleId="Heading5">
    <w:name w:val="heading 5"/>
    <w:basedOn w:val="Heading4"/>
    <w:next w:val="Normal"/>
    <w:qFormat/>
    <w:rsid w:val="00D429F6"/>
    <w:pPr>
      <w:outlineLvl w:val="4"/>
    </w:pPr>
  </w:style>
  <w:style w:type="paragraph" w:styleId="Heading6">
    <w:name w:val="heading 6"/>
    <w:basedOn w:val="Heading4"/>
    <w:next w:val="Normal"/>
    <w:qFormat/>
    <w:rsid w:val="00D429F6"/>
    <w:pPr>
      <w:outlineLvl w:val="5"/>
    </w:pPr>
  </w:style>
  <w:style w:type="paragraph" w:styleId="Heading7">
    <w:name w:val="heading 7"/>
    <w:basedOn w:val="Heading4"/>
    <w:next w:val="Normal"/>
    <w:qFormat/>
    <w:rsid w:val="00D429F6"/>
    <w:pPr>
      <w:ind w:left="1701" w:hanging="1701"/>
      <w:outlineLvl w:val="6"/>
    </w:pPr>
  </w:style>
  <w:style w:type="paragraph" w:styleId="Heading8">
    <w:name w:val="heading 8"/>
    <w:basedOn w:val="Heading4"/>
    <w:next w:val="Normal"/>
    <w:qFormat/>
    <w:rsid w:val="00D429F6"/>
    <w:pPr>
      <w:ind w:left="1701" w:hanging="1701"/>
      <w:outlineLvl w:val="7"/>
    </w:pPr>
  </w:style>
  <w:style w:type="paragraph" w:styleId="Heading9">
    <w:name w:val="heading 9"/>
    <w:basedOn w:val="Heading4"/>
    <w:next w:val="Normal"/>
    <w:qFormat/>
    <w:rsid w:val="00D429F6"/>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D429F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D429F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D429F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D429F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D429F6"/>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D429F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D429F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D429F6"/>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D429F6"/>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D429F6"/>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D429F6"/>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D429F6"/>
    <w:rPr>
      <w:rFonts w:ascii="Calibri" w:hAnsi="Calibri"/>
      <w:position w:val="6"/>
      <w:sz w:val="16"/>
    </w:rPr>
  </w:style>
  <w:style w:type="paragraph" w:styleId="FootnoteText">
    <w:name w:val="footnote text"/>
    <w:basedOn w:val="Normal"/>
    <w:link w:val="FootnoteTextChar"/>
    <w:rsid w:val="00D429F6"/>
    <w:pPr>
      <w:keepLines/>
      <w:tabs>
        <w:tab w:val="left" w:pos="256"/>
      </w:tabs>
      <w:ind w:left="256" w:hanging="256"/>
    </w:pPr>
  </w:style>
  <w:style w:type="paragraph" w:styleId="NormalIndent">
    <w:name w:val="Normal Indent"/>
    <w:basedOn w:val="Normal"/>
    <w:rsid w:val="00D429F6"/>
    <w:pPr>
      <w:ind w:left="567"/>
    </w:pPr>
  </w:style>
  <w:style w:type="paragraph" w:customStyle="1" w:styleId="Tablelegend">
    <w:name w:val="Table_legend"/>
    <w:basedOn w:val="Tabletext"/>
    <w:rsid w:val="00D429F6"/>
    <w:pPr>
      <w:spacing w:before="120"/>
    </w:pPr>
  </w:style>
  <w:style w:type="paragraph" w:customStyle="1" w:styleId="Tabletext">
    <w:name w:val="Table_text"/>
    <w:basedOn w:val="Normal"/>
    <w:rsid w:val="00D429F6"/>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D429F6"/>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D429F6"/>
    <w:pPr>
      <w:keepNext/>
      <w:spacing w:before="560" w:after="120"/>
      <w:jc w:val="center"/>
    </w:pPr>
    <w:rPr>
      <w:caps/>
    </w:rPr>
  </w:style>
  <w:style w:type="paragraph" w:customStyle="1" w:styleId="enumlev1">
    <w:name w:val="enumlev1"/>
    <w:basedOn w:val="Normal"/>
    <w:link w:val="enumlev1Char"/>
    <w:rsid w:val="00D429F6"/>
    <w:pPr>
      <w:spacing w:before="86"/>
      <w:ind w:left="567" w:hanging="567"/>
    </w:pPr>
  </w:style>
  <w:style w:type="paragraph" w:customStyle="1" w:styleId="enumlev2">
    <w:name w:val="enumlev2"/>
    <w:basedOn w:val="enumlev1"/>
    <w:rsid w:val="00D429F6"/>
    <w:pPr>
      <w:ind w:left="1134"/>
    </w:pPr>
  </w:style>
  <w:style w:type="paragraph" w:customStyle="1" w:styleId="enumlev3">
    <w:name w:val="enumlev3"/>
    <w:basedOn w:val="enumlev2"/>
    <w:rsid w:val="00D429F6"/>
    <w:pPr>
      <w:ind w:left="1701"/>
    </w:pPr>
  </w:style>
  <w:style w:type="paragraph" w:customStyle="1" w:styleId="Tablehead">
    <w:name w:val="Table_head"/>
    <w:basedOn w:val="Tabletext"/>
    <w:rsid w:val="00D429F6"/>
    <w:pPr>
      <w:spacing w:before="120" w:after="120"/>
      <w:jc w:val="center"/>
    </w:pPr>
    <w:rPr>
      <w:b/>
    </w:rPr>
  </w:style>
  <w:style w:type="paragraph" w:customStyle="1" w:styleId="Normalaftertitle">
    <w:name w:val="Normal after title"/>
    <w:basedOn w:val="Normal"/>
    <w:next w:val="Normal"/>
    <w:rsid w:val="00D429F6"/>
    <w:pPr>
      <w:spacing w:before="240"/>
    </w:pPr>
  </w:style>
  <w:style w:type="paragraph" w:customStyle="1" w:styleId="AnnexNo">
    <w:name w:val="Annex_No"/>
    <w:basedOn w:val="Normal"/>
    <w:next w:val="Annexref"/>
    <w:rsid w:val="00D429F6"/>
    <w:pPr>
      <w:spacing w:before="720"/>
      <w:jc w:val="center"/>
    </w:pPr>
    <w:rPr>
      <w:caps/>
      <w:sz w:val="28"/>
    </w:rPr>
  </w:style>
  <w:style w:type="paragraph" w:customStyle="1" w:styleId="Annexref">
    <w:name w:val="Annex_ref"/>
    <w:basedOn w:val="Normal"/>
    <w:next w:val="Annextitle"/>
    <w:rsid w:val="00D429F6"/>
    <w:pPr>
      <w:jc w:val="center"/>
    </w:pPr>
    <w:rPr>
      <w:sz w:val="28"/>
    </w:rPr>
  </w:style>
  <w:style w:type="paragraph" w:customStyle="1" w:styleId="Annextitle">
    <w:name w:val="Annex_title"/>
    <w:basedOn w:val="Normal"/>
    <w:next w:val="Normal"/>
    <w:rsid w:val="00D429F6"/>
    <w:pPr>
      <w:spacing w:before="240" w:after="240"/>
      <w:jc w:val="center"/>
    </w:pPr>
    <w:rPr>
      <w:b/>
      <w:sz w:val="28"/>
    </w:rPr>
  </w:style>
  <w:style w:type="paragraph" w:customStyle="1" w:styleId="AppendixNo">
    <w:name w:val="Appendix_No"/>
    <w:basedOn w:val="AnnexNo"/>
    <w:next w:val="Appendixref"/>
    <w:rsid w:val="00D429F6"/>
  </w:style>
  <w:style w:type="paragraph" w:customStyle="1" w:styleId="Appendixref">
    <w:name w:val="Appendix_ref"/>
    <w:basedOn w:val="Annexref"/>
    <w:next w:val="Appendixtitle"/>
    <w:rsid w:val="00D429F6"/>
  </w:style>
  <w:style w:type="paragraph" w:customStyle="1" w:styleId="Appendixtitle">
    <w:name w:val="Appendix_title"/>
    <w:basedOn w:val="Annextitle"/>
    <w:next w:val="Normal"/>
    <w:rsid w:val="00D429F6"/>
  </w:style>
  <w:style w:type="paragraph" w:customStyle="1" w:styleId="Reftitle">
    <w:name w:val="Ref_title"/>
    <w:basedOn w:val="Normal"/>
    <w:next w:val="Reftext"/>
    <w:rsid w:val="00D429F6"/>
    <w:pPr>
      <w:spacing w:before="480"/>
      <w:jc w:val="center"/>
    </w:pPr>
    <w:rPr>
      <w:caps/>
      <w:sz w:val="28"/>
    </w:rPr>
  </w:style>
  <w:style w:type="paragraph" w:customStyle="1" w:styleId="Reftext">
    <w:name w:val="Ref_text"/>
    <w:basedOn w:val="Normal"/>
    <w:rsid w:val="00D429F6"/>
    <w:pPr>
      <w:ind w:left="567" w:hanging="567"/>
    </w:pPr>
  </w:style>
  <w:style w:type="paragraph" w:customStyle="1" w:styleId="Rectitle">
    <w:name w:val="Rec_title"/>
    <w:basedOn w:val="Normal"/>
    <w:next w:val="Heading1"/>
    <w:rsid w:val="00D429F6"/>
    <w:pPr>
      <w:spacing w:before="240"/>
      <w:jc w:val="center"/>
    </w:pPr>
    <w:rPr>
      <w:b/>
      <w:sz w:val="28"/>
    </w:rPr>
  </w:style>
  <w:style w:type="paragraph" w:customStyle="1" w:styleId="Call">
    <w:name w:val="Call"/>
    <w:basedOn w:val="Normal"/>
    <w:next w:val="Normal"/>
    <w:link w:val="CallChar"/>
    <w:rsid w:val="00D429F6"/>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D429F6"/>
    <w:pPr>
      <w:spacing w:before="720"/>
      <w:jc w:val="center"/>
    </w:pPr>
    <w:rPr>
      <w:caps/>
      <w:sz w:val="28"/>
    </w:rPr>
  </w:style>
  <w:style w:type="paragraph" w:customStyle="1" w:styleId="toc0">
    <w:name w:val="toc 0"/>
    <w:basedOn w:val="Normal"/>
    <w:next w:val="TOC1"/>
    <w:rsid w:val="00D429F6"/>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D429F6"/>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D429F6"/>
    <w:pPr>
      <w:tabs>
        <w:tab w:val="clear" w:pos="567"/>
        <w:tab w:val="left" w:pos="851"/>
      </w:tabs>
    </w:pPr>
  </w:style>
  <w:style w:type="paragraph" w:customStyle="1" w:styleId="MinusFootnote">
    <w:name w:val="MinusFootnote"/>
    <w:basedOn w:val="Normal"/>
    <w:rsid w:val="00D429F6"/>
    <w:pPr>
      <w:ind w:left="-1701" w:hanging="284"/>
    </w:pPr>
  </w:style>
  <w:style w:type="paragraph" w:customStyle="1" w:styleId="Title3">
    <w:name w:val="Title 3"/>
    <w:basedOn w:val="Title2"/>
    <w:next w:val="Normalaftertitle"/>
    <w:rsid w:val="00D429F6"/>
    <w:rPr>
      <w:caps w:val="0"/>
    </w:rPr>
  </w:style>
  <w:style w:type="paragraph" w:customStyle="1" w:styleId="Title2">
    <w:name w:val="Title 2"/>
    <w:basedOn w:val="Source"/>
    <w:next w:val="Title3"/>
    <w:rsid w:val="00D429F6"/>
    <w:pPr>
      <w:spacing w:before="240"/>
    </w:pPr>
    <w:rPr>
      <w:b w:val="0"/>
      <w:caps/>
    </w:rPr>
  </w:style>
  <w:style w:type="paragraph" w:customStyle="1" w:styleId="Source">
    <w:name w:val="Source"/>
    <w:basedOn w:val="Normal"/>
    <w:next w:val="Title1"/>
    <w:rsid w:val="00D429F6"/>
    <w:pPr>
      <w:spacing w:before="840"/>
      <w:jc w:val="center"/>
    </w:pPr>
    <w:rPr>
      <w:b/>
      <w:sz w:val="28"/>
    </w:rPr>
  </w:style>
  <w:style w:type="paragraph" w:customStyle="1" w:styleId="Title1">
    <w:name w:val="Title 1"/>
    <w:basedOn w:val="Source"/>
    <w:next w:val="Title2"/>
    <w:rsid w:val="00D429F6"/>
    <w:pPr>
      <w:spacing w:before="240"/>
    </w:pPr>
    <w:rPr>
      <w:b w:val="0"/>
      <w:caps/>
    </w:rPr>
  </w:style>
  <w:style w:type="paragraph" w:customStyle="1" w:styleId="ArtNo">
    <w:name w:val="Art_No"/>
    <w:basedOn w:val="Normal"/>
    <w:next w:val="Arttitle"/>
    <w:rsid w:val="00D429F6"/>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D429F6"/>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D429F6"/>
  </w:style>
  <w:style w:type="paragraph" w:customStyle="1" w:styleId="Chaptitle">
    <w:name w:val="Chap_title"/>
    <w:basedOn w:val="Arttitle"/>
    <w:next w:val="Normal"/>
    <w:rsid w:val="00D429F6"/>
  </w:style>
  <w:style w:type="paragraph" w:customStyle="1" w:styleId="Reasons">
    <w:name w:val="Reasons"/>
    <w:basedOn w:val="Normal"/>
    <w:qFormat/>
    <w:rsid w:val="00D429F6"/>
  </w:style>
  <w:style w:type="paragraph" w:customStyle="1" w:styleId="ResNo">
    <w:name w:val="Res_No"/>
    <w:basedOn w:val="AnnexNo"/>
    <w:next w:val="Restitle"/>
    <w:rsid w:val="00D429F6"/>
  </w:style>
  <w:style w:type="paragraph" w:customStyle="1" w:styleId="Restitle">
    <w:name w:val="Res_title"/>
    <w:basedOn w:val="Annextitle"/>
    <w:next w:val="Normal"/>
    <w:rsid w:val="00D429F6"/>
  </w:style>
  <w:style w:type="paragraph" w:customStyle="1" w:styleId="AnnexNoS2">
    <w:name w:val="Annex_No_S2"/>
    <w:basedOn w:val="AnnexNo"/>
    <w:next w:val="AnnexrefS2"/>
    <w:rsid w:val="00D429F6"/>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D429F6"/>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D429F6"/>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D429F6"/>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D429F6"/>
    <w:rPr>
      <w:caps w:val="0"/>
    </w:rPr>
  </w:style>
  <w:style w:type="paragraph" w:customStyle="1" w:styleId="Section2">
    <w:name w:val="Section 2"/>
    <w:basedOn w:val="Section1"/>
    <w:next w:val="Normal"/>
    <w:rsid w:val="00D429F6"/>
    <w:pPr>
      <w:spacing w:before="240"/>
    </w:pPr>
    <w:rPr>
      <w:b/>
      <w:i/>
    </w:rPr>
  </w:style>
  <w:style w:type="paragraph" w:customStyle="1" w:styleId="AppendixNoS2">
    <w:name w:val="Appendix_No_S2"/>
    <w:basedOn w:val="AppendixNo"/>
    <w:next w:val="AppendixrefS2"/>
    <w:rsid w:val="00D429F6"/>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D429F6"/>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D429F6"/>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D429F6"/>
    <w:pPr>
      <w:tabs>
        <w:tab w:val="left" w:pos="851"/>
      </w:tabs>
      <w:jc w:val="left"/>
    </w:pPr>
    <w:rPr>
      <w:b/>
      <w:sz w:val="24"/>
    </w:rPr>
  </w:style>
  <w:style w:type="paragraph" w:customStyle="1" w:styleId="ArttitleS2">
    <w:name w:val="Art_title_S2"/>
    <w:basedOn w:val="Arttitle"/>
    <w:next w:val="NormalS2"/>
    <w:rsid w:val="00D429F6"/>
    <w:pPr>
      <w:tabs>
        <w:tab w:val="left" w:pos="851"/>
      </w:tabs>
      <w:jc w:val="left"/>
    </w:pPr>
    <w:rPr>
      <w:sz w:val="24"/>
    </w:rPr>
  </w:style>
  <w:style w:type="paragraph" w:customStyle="1" w:styleId="ChapNoS2">
    <w:name w:val="Chap_No_S2"/>
    <w:basedOn w:val="ChapNo"/>
    <w:next w:val="ChaptitleS2"/>
    <w:rsid w:val="00D429F6"/>
    <w:pPr>
      <w:tabs>
        <w:tab w:val="left" w:pos="851"/>
      </w:tabs>
      <w:jc w:val="left"/>
    </w:pPr>
    <w:rPr>
      <w:b/>
      <w:sz w:val="24"/>
    </w:rPr>
  </w:style>
  <w:style w:type="paragraph" w:customStyle="1" w:styleId="ChaptitleS2">
    <w:name w:val="Chap_title_S2"/>
    <w:basedOn w:val="Chaptitle"/>
    <w:next w:val="NormalS2"/>
    <w:rsid w:val="00D429F6"/>
    <w:pPr>
      <w:tabs>
        <w:tab w:val="left" w:pos="851"/>
      </w:tabs>
      <w:jc w:val="left"/>
    </w:pPr>
    <w:rPr>
      <w:sz w:val="24"/>
    </w:rPr>
  </w:style>
  <w:style w:type="paragraph" w:customStyle="1" w:styleId="enumlev1S2">
    <w:name w:val="enumlev1_S2"/>
    <w:basedOn w:val="enumlev1"/>
    <w:rsid w:val="00D429F6"/>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D429F6"/>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D429F6"/>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D429F6"/>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D429F6"/>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D429F6"/>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D429F6"/>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D429F6"/>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D429F6"/>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D429F6"/>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D429F6"/>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D429F6"/>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D429F6"/>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D429F6"/>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D429F6"/>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D429F6"/>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D429F6"/>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D429F6"/>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D429F6"/>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D429F6"/>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D429F6"/>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D429F6"/>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D429F6"/>
    <w:pPr>
      <w:tabs>
        <w:tab w:val="left" w:pos="851"/>
      </w:tabs>
      <w:jc w:val="left"/>
    </w:pPr>
    <w:rPr>
      <w:caps/>
      <w:sz w:val="24"/>
    </w:rPr>
  </w:style>
  <w:style w:type="paragraph" w:customStyle="1" w:styleId="Section2S2">
    <w:name w:val="Section 2_S2"/>
    <w:basedOn w:val="Section2"/>
    <w:next w:val="NormalS2"/>
    <w:rsid w:val="00D429F6"/>
    <w:pPr>
      <w:tabs>
        <w:tab w:val="left" w:pos="851"/>
      </w:tabs>
      <w:jc w:val="left"/>
    </w:pPr>
    <w:rPr>
      <w:sz w:val="24"/>
    </w:rPr>
  </w:style>
  <w:style w:type="paragraph" w:customStyle="1" w:styleId="TableNoS2">
    <w:name w:val="Table_No_S2"/>
    <w:basedOn w:val="TableNo"/>
    <w:next w:val="TabletitleS2"/>
    <w:rsid w:val="00D429F6"/>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D429F6"/>
    <w:pPr>
      <w:keepNext w:val="0"/>
      <w:tabs>
        <w:tab w:val="clear" w:pos="2948"/>
        <w:tab w:val="clear" w:pos="4082"/>
        <w:tab w:val="left" w:pos="851"/>
      </w:tabs>
      <w:jc w:val="left"/>
    </w:pPr>
  </w:style>
  <w:style w:type="paragraph" w:customStyle="1" w:styleId="TabletextS2">
    <w:name w:val="Table_text_S2"/>
    <w:basedOn w:val="Tabletext"/>
    <w:rsid w:val="00D429F6"/>
    <w:pPr>
      <w:tabs>
        <w:tab w:val="left" w:pos="851"/>
      </w:tabs>
    </w:pPr>
    <w:rPr>
      <w:b/>
    </w:rPr>
  </w:style>
  <w:style w:type="paragraph" w:customStyle="1" w:styleId="TablelegendS2">
    <w:name w:val="Table_legend_S2"/>
    <w:basedOn w:val="Tablelegend"/>
    <w:rsid w:val="00D429F6"/>
    <w:pPr>
      <w:tabs>
        <w:tab w:val="left" w:pos="851"/>
      </w:tabs>
      <w:spacing w:after="0"/>
    </w:pPr>
    <w:rPr>
      <w:b/>
    </w:rPr>
  </w:style>
  <w:style w:type="paragraph" w:customStyle="1" w:styleId="FooterS2">
    <w:name w:val="Footer_S2"/>
    <w:basedOn w:val="Footer"/>
    <w:rsid w:val="00D429F6"/>
    <w:pPr>
      <w:tabs>
        <w:tab w:val="clear" w:pos="5954"/>
        <w:tab w:val="clear" w:pos="9639"/>
        <w:tab w:val="left" w:pos="3686"/>
        <w:tab w:val="right" w:pos="7655"/>
      </w:tabs>
      <w:ind w:left="-1985"/>
    </w:pPr>
  </w:style>
  <w:style w:type="paragraph" w:customStyle="1" w:styleId="HeaderS2">
    <w:name w:val="Header_S2"/>
    <w:basedOn w:val="Normal"/>
    <w:rsid w:val="00D429F6"/>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D429F6"/>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D429F6"/>
    <w:pPr>
      <w:tabs>
        <w:tab w:val="left" w:pos="851"/>
      </w:tabs>
      <w:jc w:val="left"/>
    </w:pPr>
  </w:style>
  <w:style w:type="paragraph" w:customStyle="1" w:styleId="NoteS2">
    <w:name w:val="Note_S2"/>
    <w:basedOn w:val="Note"/>
    <w:rsid w:val="00D429F6"/>
    <w:pPr>
      <w:tabs>
        <w:tab w:val="clear" w:pos="1134"/>
        <w:tab w:val="clear" w:pos="1701"/>
        <w:tab w:val="clear" w:pos="2268"/>
        <w:tab w:val="clear" w:pos="2835"/>
      </w:tabs>
    </w:pPr>
    <w:rPr>
      <w:b/>
    </w:rPr>
  </w:style>
  <w:style w:type="paragraph" w:customStyle="1" w:styleId="Heading1c">
    <w:name w:val="Heading 1c"/>
    <w:basedOn w:val="Heading1"/>
    <w:next w:val="Normal"/>
    <w:rsid w:val="00D429F6"/>
    <w:pPr>
      <w:ind w:left="0" w:firstLine="0"/>
      <w:jc w:val="center"/>
      <w:outlineLvl w:val="9"/>
    </w:pPr>
  </w:style>
  <w:style w:type="paragraph" w:customStyle="1" w:styleId="Heading2i">
    <w:name w:val="Heading 2i"/>
    <w:basedOn w:val="Heading2"/>
    <w:next w:val="Normal"/>
    <w:rsid w:val="00D429F6"/>
    <w:rPr>
      <w:b w:val="0"/>
      <w:i/>
    </w:rPr>
  </w:style>
  <w:style w:type="paragraph" w:customStyle="1" w:styleId="Heading1cS2">
    <w:name w:val="Heading 1c_S2"/>
    <w:basedOn w:val="Heading1c"/>
    <w:next w:val="NormalS2"/>
    <w:rsid w:val="00D429F6"/>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D429F6"/>
    <w:rPr>
      <w:caps w:val="0"/>
    </w:rPr>
  </w:style>
  <w:style w:type="paragraph" w:customStyle="1" w:styleId="Headingb">
    <w:name w:val="Heading_b"/>
    <w:basedOn w:val="Heading3"/>
    <w:next w:val="Normal"/>
    <w:rsid w:val="00D429F6"/>
    <w:pPr>
      <w:spacing w:before="160"/>
      <w:outlineLvl w:val="0"/>
    </w:pPr>
  </w:style>
  <w:style w:type="paragraph" w:styleId="TOC9">
    <w:name w:val="toc 9"/>
    <w:basedOn w:val="Normal"/>
    <w:next w:val="Normal"/>
    <w:rsid w:val="00D429F6"/>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D429F6"/>
    <w:pPr>
      <w:spacing w:before="160"/>
      <w:outlineLvl w:val="0"/>
    </w:pPr>
    <w:rPr>
      <w:b w:val="0"/>
      <w:i/>
    </w:rPr>
  </w:style>
  <w:style w:type="paragraph" w:customStyle="1" w:styleId="HeadingbS2">
    <w:name w:val="Headingb_S2"/>
    <w:basedOn w:val="Headingb"/>
    <w:next w:val="NormalS2"/>
    <w:rsid w:val="00D429F6"/>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D429F6"/>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D429F6"/>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D429F6"/>
    <w:rPr>
      <w:rFonts w:ascii="Calibri" w:hAnsi="Calibri"/>
    </w:rPr>
  </w:style>
  <w:style w:type="character" w:styleId="Hyperlink">
    <w:name w:val="Hyperlink"/>
    <w:basedOn w:val="DefaultParagraphFont"/>
    <w:uiPriority w:val="99"/>
    <w:rsid w:val="00D429F6"/>
    <w:rPr>
      <w:rFonts w:ascii="Calibri" w:hAnsi="Calibri"/>
      <w:color w:val="0000FF"/>
      <w:u w:val="single"/>
    </w:rPr>
  </w:style>
  <w:style w:type="paragraph" w:customStyle="1" w:styleId="firstfooter0">
    <w:name w:val="firstfooter"/>
    <w:basedOn w:val="Normal"/>
    <w:rsid w:val="00D429F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D429F6"/>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D429F6"/>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D429F6"/>
    <w:pPr>
      <w:spacing w:before="320"/>
      <w:outlineLvl w:val="1"/>
    </w:pPr>
    <w:rPr>
      <w:sz w:val="24"/>
    </w:rPr>
  </w:style>
  <w:style w:type="paragraph" w:customStyle="1" w:styleId="Heading3pv">
    <w:name w:val="Heading 3pv"/>
    <w:basedOn w:val="Heading1pv"/>
    <w:next w:val="Normalpv"/>
    <w:rsid w:val="00D429F6"/>
    <w:pPr>
      <w:spacing w:before="200"/>
      <w:outlineLvl w:val="2"/>
    </w:pPr>
    <w:rPr>
      <w:sz w:val="24"/>
    </w:rPr>
  </w:style>
  <w:style w:type="paragraph" w:customStyle="1" w:styleId="NormalendS2">
    <w:name w:val="Normal_end_S2"/>
    <w:basedOn w:val="Normal"/>
    <w:qFormat/>
    <w:rsid w:val="00D429F6"/>
  </w:style>
  <w:style w:type="paragraph" w:customStyle="1" w:styleId="Dectitle">
    <w:name w:val="Dec_title"/>
    <w:basedOn w:val="Restitle"/>
    <w:next w:val="Normalaftertitle"/>
    <w:qFormat/>
    <w:rsid w:val="00D429F6"/>
  </w:style>
  <w:style w:type="paragraph" w:customStyle="1" w:styleId="DecNo">
    <w:name w:val="Dec_No"/>
    <w:basedOn w:val="ResNo"/>
    <w:next w:val="Dectitle"/>
    <w:qFormat/>
    <w:rsid w:val="00D429F6"/>
  </w:style>
  <w:style w:type="paragraph" w:customStyle="1" w:styleId="DectitleS2">
    <w:name w:val="Dec_title_S2"/>
    <w:basedOn w:val="RestitleS2"/>
    <w:next w:val="Normal"/>
    <w:qFormat/>
    <w:rsid w:val="00D429F6"/>
  </w:style>
  <w:style w:type="paragraph" w:customStyle="1" w:styleId="DecNoS2">
    <w:name w:val="Dec_No_S2"/>
    <w:basedOn w:val="ResNoS2"/>
    <w:next w:val="DectitleS2"/>
    <w:qFormat/>
    <w:rsid w:val="00D429F6"/>
  </w:style>
  <w:style w:type="paragraph" w:customStyle="1" w:styleId="SectionNo">
    <w:name w:val="Section_No"/>
    <w:basedOn w:val="ArtNo"/>
    <w:next w:val="Normal"/>
    <w:qFormat/>
    <w:rsid w:val="00D429F6"/>
    <w:rPr>
      <w:lang w:val="en-GB"/>
    </w:rPr>
  </w:style>
  <w:style w:type="paragraph" w:customStyle="1" w:styleId="SectionNoS2">
    <w:name w:val="Section_No_S2"/>
    <w:basedOn w:val="ArtNoS2"/>
    <w:next w:val="Normal"/>
    <w:qFormat/>
    <w:rsid w:val="00D429F6"/>
    <w:rPr>
      <w:lang w:val="en-GB"/>
    </w:rPr>
  </w:style>
  <w:style w:type="paragraph" w:customStyle="1" w:styleId="Sectiontitle">
    <w:name w:val="Section_title"/>
    <w:basedOn w:val="Arttitle"/>
    <w:next w:val="Normalaftertitle"/>
    <w:qFormat/>
    <w:rsid w:val="00D429F6"/>
    <w:rPr>
      <w:lang w:val="en-GB"/>
    </w:rPr>
  </w:style>
  <w:style w:type="paragraph" w:customStyle="1" w:styleId="SectiontitleS2">
    <w:name w:val="Section_title_S2"/>
    <w:basedOn w:val="ArttitleS2"/>
    <w:next w:val="Normal"/>
    <w:qFormat/>
    <w:rsid w:val="00D429F6"/>
    <w:rPr>
      <w:lang w:val="en-GB"/>
    </w:rPr>
  </w:style>
  <w:style w:type="paragraph" w:customStyle="1" w:styleId="Proposal">
    <w:name w:val="Proposal"/>
    <w:basedOn w:val="Normal"/>
    <w:next w:val="Normal"/>
    <w:rsid w:val="00D429F6"/>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D429F6"/>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D429F6"/>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D429F6"/>
    <w:rPr>
      <w:rFonts w:ascii="Calibri" w:hAnsi="Calibri"/>
      <w:sz w:val="18"/>
      <w:lang w:val="fr-FR" w:eastAsia="en-US"/>
    </w:rPr>
  </w:style>
  <w:style w:type="paragraph" w:styleId="BalloonText">
    <w:name w:val="Balloon Text"/>
    <w:basedOn w:val="Normal"/>
    <w:link w:val="BalloonTextChar"/>
    <w:rsid w:val="00D429F6"/>
    <w:pPr>
      <w:spacing w:before="0"/>
    </w:pPr>
    <w:rPr>
      <w:rFonts w:ascii="Tahoma" w:hAnsi="Tahoma" w:cs="Tahoma"/>
      <w:sz w:val="16"/>
      <w:szCs w:val="16"/>
    </w:rPr>
  </w:style>
  <w:style w:type="character" w:customStyle="1" w:styleId="BalloonTextChar">
    <w:name w:val="Balloon Text Char"/>
    <w:basedOn w:val="DefaultParagraphFont"/>
    <w:link w:val="BalloonText"/>
    <w:rsid w:val="00D429F6"/>
    <w:rPr>
      <w:rFonts w:ascii="Tahoma" w:hAnsi="Tahoma" w:cs="Tahoma"/>
      <w:sz w:val="16"/>
      <w:szCs w:val="16"/>
      <w:lang w:val="fr-FR" w:eastAsia="en-US"/>
    </w:rPr>
  </w:style>
  <w:style w:type="character" w:customStyle="1" w:styleId="CallChar">
    <w:name w:val="Call Char"/>
    <w:basedOn w:val="DefaultParagraphFont"/>
    <w:link w:val="Call"/>
    <w:rsid w:val="00D429F6"/>
    <w:rPr>
      <w:rFonts w:ascii="Calibri" w:hAnsi="Calibri"/>
      <w:i/>
      <w:sz w:val="24"/>
      <w:lang w:val="fr-FR" w:eastAsia="en-US"/>
    </w:rPr>
  </w:style>
  <w:style w:type="character" w:customStyle="1" w:styleId="enumlev1Char">
    <w:name w:val="enumlev1 Char"/>
    <w:basedOn w:val="DefaultParagraphFont"/>
    <w:link w:val="enumlev1"/>
    <w:rsid w:val="00D429F6"/>
    <w:rPr>
      <w:rFonts w:ascii="Calibri" w:hAnsi="Calibri"/>
      <w:sz w:val="24"/>
      <w:lang w:val="fr-FR" w:eastAsia="en-US"/>
    </w:rPr>
  </w:style>
  <w:style w:type="character" w:customStyle="1" w:styleId="FootnoteTextChar">
    <w:name w:val="Footnote Text Char"/>
    <w:basedOn w:val="DefaultParagraphFont"/>
    <w:link w:val="FootnoteText"/>
    <w:rsid w:val="00D429F6"/>
    <w:rPr>
      <w:rFonts w:ascii="Calibri" w:hAnsi="Calibri"/>
      <w:sz w:val="24"/>
      <w:lang w:val="fr-FR" w:eastAsia="en-US"/>
    </w:rPr>
  </w:style>
  <w:style w:type="paragraph" w:customStyle="1" w:styleId="Headingb0">
    <w:name w:val="Heading b"/>
    <w:basedOn w:val="Normal"/>
    <w:rsid w:val="00D429F6"/>
    <w:pPr>
      <w:keepNext/>
      <w:keepLines/>
    </w:pPr>
    <w:rPr>
      <w:b/>
      <w:sz w:val="22"/>
      <w:szCs w:val="22"/>
    </w:rPr>
  </w:style>
  <w:style w:type="paragraph" w:styleId="ListParagraph">
    <w:name w:val="List Paragraph"/>
    <w:basedOn w:val="Normal"/>
    <w:uiPriority w:val="34"/>
    <w:qFormat/>
    <w:rsid w:val="00D429F6"/>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EastAsia" w:hAnsiTheme="minorHAnsi" w:cstheme="minorBidi"/>
      <w:szCs w:val="24"/>
      <w:lang w:val="en-US"/>
    </w:rPr>
  </w:style>
  <w:style w:type="paragraph" w:customStyle="1" w:styleId="Table">
    <w:name w:val="Table_#"/>
    <w:basedOn w:val="Normal"/>
    <w:next w:val="Normal"/>
    <w:rsid w:val="00B70950"/>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4-CL-C-0075/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4-CL-C-0050/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S14-CL-C-0092/en" TargetMode="External"/><Relationship Id="rId4" Type="http://schemas.openxmlformats.org/officeDocument/2006/relationships/settings" Target="settings.xml"/><Relationship Id="rId9" Type="http://schemas.openxmlformats.org/officeDocument/2006/relationships/hyperlink" Target="http://www.itu.int/md/S13-CL-INF-0018/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file:///\\blue\dfs\refinfo\REFTXT\REFTXT2014\SG\CONF-SG\PP14\000\www.fipoi.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e\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6B66-C2F9-40E8-960C-1F76108C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1</TotalTime>
  <Pages>29</Pages>
  <Words>11530</Words>
  <Characters>62684</Characters>
  <Application>Microsoft Office Word</Application>
  <DocSecurity>4</DocSecurity>
  <Lines>522</Lines>
  <Paragraphs>148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74066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Sane, Marie Henriette</dc:creator>
  <cp:keywords>PP-06</cp:keywords>
  <dc:description>PF_PP14.dotx  For: _x000d_Document date: _x000d_Saved by ITU51009317 at 10:31:32 on 19/03/2013</dc:description>
  <cp:lastModifiedBy>Brouard, Ricarda</cp:lastModifiedBy>
  <cp:revision>2</cp:revision>
  <cp:lastPrinted>2014-10-17T13:24:00Z</cp:lastPrinted>
  <dcterms:created xsi:type="dcterms:W3CDTF">2014-10-18T00:39:00Z</dcterms:created>
  <dcterms:modified xsi:type="dcterms:W3CDTF">2014-10-18T00:39:00Z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