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38018E">
        <w:trPr>
          <w:cantSplit/>
        </w:trPr>
        <w:tc>
          <w:tcPr>
            <w:tcW w:w="6911" w:type="dxa"/>
          </w:tcPr>
          <w:p w:rsidR="00C710E5" w:rsidRPr="00566240" w:rsidRDefault="00C710E5" w:rsidP="00717537">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717537">
            <w:bookmarkStart w:id="2" w:name="ditulogo"/>
            <w:bookmarkEnd w:id="2"/>
            <w:r w:rsidRPr="00622560">
              <w:rPr>
                <w:noProof/>
                <w:lang w:val="en-US" w:eastAsia="zh-CN"/>
              </w:rPr>
              <w:drawing>
                <wp:inline distT="0" distB="0" distL="0" distR="0" wp14:anchorId="097AE065" wp14:editId="49FF387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38018E">
        <w:trPr>
          <w:cantSplit/>
        </w:trPr>
        <w:tc>
          <w:tcPr>
            <w:tcW w:w="6911" w:type="dxa"/>
            <w:tcBorders>
              <w:bottom w:val="single" w:sz="12" w:space="0" w:color="auto"/>
            </w:tcBorders>
          </w:tcPr>
          <w:p w:rsidR="00C710E5" w:rsidRPr="00617BE4" w:rsidRDefault="00C710E5" w:rsidP="00717537">
            <w:pPr>
              <w:spacing w:after="48"/>
              <w:rPr>
                <w:b/>
                <w:smallCaps/>
                <w:szCs w:val="24"/>
              </w:rPr>
            </w:pPr>
            <w:bookmarkStart w:id="3" w:name="dhead"/>
          </w:p>
        </w:tc>
        <w:tc>
          <w:tcPr>
            <w:tcW w:w="3120" w:type="dxa"/>
            <w:tcBorders>
              <w:bottom w:val="single" w:sz="12" w:space="0" w:color="auto"/>
            </w:tcBorders>
          </w:tcPr>
          <w:p w:rsidR="00C710E5" w:rsidRPr="00622560" w:rsidRDefault="00C710E5" w:rsidP="00717537">
            <w:pPr>
              <w:spacing w:before="0"/>
              <w:rPr>
                <w:rFonts w:ascii="Verdana" w:hAnsi="Verdana"/>
                <w:sz w:val="20"/>
                <w:szCs w:val="24"/>
              </w:rPr>
            </w:pPr>
          </w:p>
        </w:tc>
      </w:tr>
      <w:tr w:rsidR="00C710E5" w:rsidRPr="00C324A8" w:rsidTr="0038018E">
        <w:trPr>
          <w:cantSplit/>
        </w:trPr>
        <w:tc>
          <w:tcPr>
            <w:tcW w:w="6911" w:type="dxa"/>
            <w:tcBorders>
              <w:top w:val="single" w:sz="12" w:space="0" w:color="auto"/>
            </w:tcBorders>
          </w:tcPr>
          <w:p w:rsidR="00C710E5" w:rsidRPr="00CB4E5A" w:rsidRDefault="00C710E5" w:rsidP="00717537">
            <w:pPr>
              <w:rPr>
                <w:rFonts w:ascii="Verdana" w:hAnsi="Verdana"/>
                <w:b/>
                <w:bCs/>
                <w:sz w:val="20"/>
              </w:rPr>
            </w:pPr>
          </w:p>
        </w:tc>
        <w:tc>
          <w:tcPr>
            <w:tcW w:w="3120" w:type="dxa"/>
            <w:tcBorders>
              <w:top w:val="single" w:sz="12" w:space="0" w:color="auto"/>
            </w:tcBorders>
          </w:tcPr>
          <w:p w:rsidR="00C710E5" w:rsidRPr="00CB4E5A" w:rsidRDefault="00C710E5" w:rsidP="00717537">
            <w:pPr>
              <w:rPr>
                <w:rFonts w:ascii="Verdana" w:hAnsi="Verdana"/>
                <w:b/>
                <w:bCs/>
                <w:sz w:val="20"/>
              </w:rPr>
            </w:pPr>
          </w:p>
        </w:tc>
      </w:tr>
      <w:tr w:rsidR="00C710E5" w:rsidRPr="00C324A8" w:rsidTr="0038018E">
        <w:trPr>
          <w:cantSplit/>
          <w:trHeight w:val="23"/>
        </w:trPr>
        <w:tc>
          <w:tcPr>
            <w:tcW w:w="6911" w:type="dxa"/>
          </w:tcPr>
          <w:p w:rsidR="00C710E5" w:rsidRPr="007F0374" w:rsidRDefault="00811D55" w:rsidP="00717537">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811D55" w:rsidP="00717537">
            <w:pPr>
              <w:spacing w:before="0"/>
              <w:rPr>
                <w:rFonts w:cstheme="minorHAnsi"/>
                <w:szCs w:val="24"/>
              </w:rPr>
            </w:pPr>
            <w:proofErr w:type="spellStart"/>
            <w:r>
              <w:rPr>
                <w:rFonts w:cstheme="minorHAnsi"/>
                <w:b/>
                <w:szCs w:val="24"/>
              </w:rPr>
              <w:t>文件</w:t>
            </w:r>
            <w:proofErr w:type="spellEnd"/>
            <w:r w:rsidR="00BC0922">
              <w:rPr>
                <w:rFonts w:cstheme="minorHAnsi"/>
                <w:b/>
                <w:szCs w:val="24"/>
              </w:rPr>
              <w:t xml:space="preserve"> 59</w:t>
            </w:r>
            <w:r>
              <w:rPr>
                <w:rFonts w:cstheme="minorHAnsi"/>
                <w:b/>
                <w:szCs w:val="24"/>
              </w:rPr>
              <w:t>-C</w:t>
            </w:r>
          </w:p>
        </w:tc>
      </w:tr>
      <w:tr w:rsidR="00C710E5" w:rsidRPr="00C324A8" w:rsidTr="0038018E">
        <w:trPr>
          <w:cantSplit/>
          <w:trHeight w:val="23"/>
        </w:trPr>
        <w:tc>
          <w:tcPr>
            <w:tcW w:w="6911" w:type="dxa"/>
          </w:tcPr>
          <w:p w:rsidR="00C710E5" w:rsidRPr="007F0374" w:rsidRDefault="00C710E5" w:rsidP="00717537">
            <w:pPr>
              <w:spacing w:before="0"/>
              <w:rPr>
                <w:rFonts w:cstheme="minorHAnsi"/>
                <w:b/>
                <w:bCs/>
                <w:szCs w:val="24"/>
              </w:rPr>
            </w:pPr>
          </w:p>
        </w:tc>
        <w:tc>
          <w:tcPr>
            <w:tcW w:w="3120" w:type="dxa"/>
          </w:tcPr>
          <w:p w:rsidR="00C710E5" w:rsidRPr="007F0374" w:rsidRDefault="00BC0922" w:rsidP="00717537">
            <w:pPr>
              <w:spacing w:before="0"/>
              <w:rPr>
                <w:rFonts w:cstheme="minorHAnsi"/>
                <w:szCs w:val="24"/>
              </w:rPr>
            </w:pPr>
            <w:r>
              <w:rPr>
                <w:rFonts w:cstheme="minorHAnsi"/>
                <w:b/>
                <w:bCs/>
                <w:szCs w:val="24"/>
              </w:rPr>
              <w:t>2014</w:t>
            </w:r>
            <w:r w:rsidR="00811D55" w:rsidRPr="007F0374">
              <w:rPr>
                <w:rFonts w:cstheme="minorHAnsi"/>
                <w:b/>
                <w:bCs/>
                <w:szCs w:val="24"/>
              </w:rPr>
              <w:t>年</w:t>
            </w:r>
            <w:r>
              <w:rPr>
                <w:rFonts w:cstheme="minorHAnsi"/>
                <w:b/>
                <w:bCs/>
                <w:szCs w:val="24"/>
              </w:rPr>
              <w:t>7</w:t>
            </w:r>
            <w:r w:rsidR="00811D55" w:rsidRPr="007F0374">
              <w:rPr>
                <w:rFonts w:cstheme="minorHAnsi"/>
                <w:b/>
                <w:bCs/>
                <w:szCs w:val="24"/>
              </w:rPr>
              <w:t>月</w:t>
            </w:r>
            <w:r>
              <w:rPr>
                <w:rFonts w:cstheme="minorHAnsi"/>
                <w:b/>
                <w:bCs/>
                <w:szCs w:val="24"/>
              </w:rPr>
              <w:t>31</w:t>
            </w:r>
            <w:r w:rsidR="00811D55" w:rsidRPr="007F0374">
              <w:rPr>
                <w:rFonts w:cstheme="minorHAnsi"/>
                <w:b/>
                <w:bCs/>
                <w:szCs w:val="24"/>
              </w:rPr>
              <w:t>日</w:t>
            </w:r>
          </w:p>
        </w:tc>
      </w:tr>
      <w:tr w:rsidR="00C710E5" w:rsidRPr="00C324A8" w:rsidTr="0038018E">
        <w:trPr>
          <w:cantSplit/>
          <w:trHeight w:val="23"/>
        </w:trPr>
        <w:tc>
          <w:tcPr>
            <w:tcW w:w="6911" w:type="dxa"/>
          </w:tcPr>
          <w:p w:rsidR="00C710E5" w:rsidRPr="007F0374" w:rsidRDefault="00C710E5" w:rsidP="00717537">
            <w:pPr>
              <w:spacing w:before="0"/>
              <w:rPr>
                <w:rFonts w:cstheme="minorHAnsi"/>
                <w:b/>
                <w:bCs/>
                <w:szCs w:val="24"/>
              </w:rPr>
            </w:pPr>
          </w:p>
        </w:tc>
        <w:tc>
          <w:tcPr>
            <w:tcW w:w="3120" w:type="dxa"/>
          </w:tcPr>
          <w:p w:rsidR="00C710E5" w:rsidRPr="007F0374" w:rsidRDefault="00811D55" w:rsidP="00717537">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38018E">
        <w:trPr>
          <w:cantSplit/>
          <w:trHeight w:val="23"/>
        </w:trPr>
        <w:tc>
          <w:tcPr>
            <w:tcW w:w="10031" w:type="dxa"/>
            <w:gridSpan w:val="2"/>
          </w:tcPr>
          <w:p w:rsidR="00C710E5" w:rsidRDefault="00C710E5" w:rsidP="00717537">
            <w:pPr>
              <w:spacing w:before="0"/>
              <w:rPr>
                <w:rFonts w:ascii="Verdana" w:hAnsi="Verdana"/>
                <w:b/>
                <w:bCs/>
                <w:sz w:val="20"/>
              </w:rPr>
            </w:pPr>
          </w:p>
        </w:tc>
      </w:tr>
      <w:tr w:rsidR="00C710E5" w:rsidTr="0038018E">
        <w:trPr>
          <w:cantSplit/>
        </w:trPr>
        <w:tc>
          <w:tcPr>
            <w:tcW w:w="10031" w:type="dxa"/>
            <w:gridSpan w:val="2"/>
          </w:tcPr>
          <w:p w:rsidR="00C710E5" w:rsidRDefault="00BC0922" w:rsidP="00717537">
            <w:pPr>
              <w:pStyle w:val="Source"/>
            </w:pPr>
            <w:bookmarkStart w:id="4" w:name="dsource" w:colFirst="0" w:colLast="0"/>
            <w:bookmarkEnd w:id="1"/>
            <w:bookmarkEnd w:id="3"/>
            <w:r>
              <w:rPr>
                <w:rFonts w:hint="eastAsia"/>
                <w:lang w:eastAsia="zh-CN"/>
              </w:rPr>
              <w:t>秘书长</w:t>
            </w:r>
            <w:r>
              <w:rPr>
                <w:lang w:eastAsia="zh-CN"/>
              </w:rPr>
              <w:t>的说明</w:t>
            </w:r>
          </w:p>
        </w:tc>
      </w:tr>
      <w:tr w:rsidR="00C710E5" w:rsidTr="0038018E">
        <w:trPr>
          <w:cantSplit/>
        </w:trPr>
        <w:tc>
          <w:tcPr>
            <w:tcW w:w="10031" w:type="dxa"/>
            <w:gridSpan w:val="2"/>
          </w:tcPr>
          <w:p w:rsidR="00C710E5" w:rsidRDefault="00AC246A" w:rsidP="00717537">
            <w:pPr>
              <w:pStyle w:val="Title1"/>
              <w:rPr>
                <w:lang w:eastAsia="zh-CN"/>
              </w:rPr>
            </w:pPr>
            <w:bookmarkStart w:id="5" w:name="dtitle1" w:colFirst="0" w:colLast="0"/>
            <w:bookmarkEnd w:id="4"/>
            <w:r>
              <w:rPr>
                <w:rFonts w:hint="eastAsia"/>
                <w:lang w:eastAsia="zh-CN"/>
              </w:rPr>
              <w:t>关于国际电联信息</w:t>
            </w:r>
            <w:r>
              <w:rPr>
                <w:rFonts w:hint="eastAsia"/>
                <w:lang w:eastAsia="zh-CN"/>
              </w:rPr>
              <w:t>/</w:t>
            </w:r>
            <w:r>
              <w:rPr>
                <w:rFonts w:hint="eastAsia"/>
                <w:lang w:eastAsia="zh-CN"/>
              </w:rPr>
              <w:t>文件获取的进一步研究</w:t>
            </w:r>
          </w:p>
        </w:tc>
      </w:tr>
      <w:tr w:rsidR="00C710E5" w:rsidTr="0038018E">
        <w:trPr>
          <w:cantSplit/>
        </w:trPr>
        <w:tc>
          <w:tcPr>
            <w:tcW w:w="10031" w:type="dxa"/>
            <w:gridSpan w:val="2"/>
          </w:tcPr>
          <w:p w:rsidR="00C710E5" w:rsidRDefault="00C710E5" w:rsidP="00717537">
            <w:pPr>
              <w:pStyle w:val="Title2"/>
              <w:rPr>
                <w:lang w:eastAsia="zh-CN"/>
              </w:rPr>
            </w:pPr>
            <w:bookmarkStart w:id="6" w:name="dtitle2" w:colFirst="0" w:colLast="0"/>
            <w:bookmarkEnd w:id="5"/>
          </w:p>
        </w:tc>
      </w:tr>
      <w:tr w:rsidR="00C710E5" w:rsidTr="0038018E">
        <w:trPr>
          <w:cantSplit/>
        </w:trPr>
        <w:tc>
          <w:tcPr>
            <w:tcW w:w="10031" w:type="dxa"/>
            <w:gridSpan w:val="2"/>
          </w:tcPr>
          <w:p w:rsidR="00C710E5" w:rsidRDefault="00C710E5" w:rsidP="00717537">
            <w:pPr>
              <w:pStyle w:val="Agendaitem"/>
            </w:pPr>
            <w:bookmarkStart w:id="7" w:name="dtitle3" w:colFirst="0" w:colLast="0"/>
            <w:bookmarkEnd w:id="6"/>
          </w:p>
        </w:tc>
      </w:tr>
      <w:bookmarkEnd w:id="7"/>
    </w:tbl>
    <w:p w:rsidR="00BC0922" w:rsidRDefault="00BC0922" w:rsidP="00717537">
      <w:pPr>
        <w:overflowPunct/>
        <w:autoSpaceDE/>
        <w:autoSpaceDN/>
        <w:adjustRightInd/>
        <w:spacing w:before="0" w:after="200"/>
        <w:jc w:val="center"/>
        <w:textAlignment w:val="auto"/>
        <w:rPr>
          <w:rFonts w:asciiTheme="minorHAnsi" w:eastAsiaTheme="minorEastAsia" w:hAnsiTheme="minorHAnsi" w:cstheme="minorBidi"/>
          <w:b/>
          <w:sz w:val="22"/>
          <w:szCs w:val="22"/>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C0922" w:rsidRPr="00B90876" w:rsidTr="0038018E">
        <w:trPr>
          <w:trHeight w:val="2677"/>
        </w:trPr>
        <w:tc>
          <w:tcPr>
            <w:tcW w:w="8080" w:type="dxa"/>
            <w:tcBorders>
              <w:top w:val="single" w:sz="12" w:space="0" w:color="auto"/>
              <w:left w:val="single" w:sz="12" w:space="0" w:color="auto"/>
              <w:bottom w:val="single" w:sz="12" w:space="0" w:color="auto"/>
              <w:right w:val="single" w:sz="12" w:space="0" w:color="auto"/>
            </w:tcBorders>
          </w:tcPr>
          <w:p w:rsidR="00BC0922" w:rsidRPr="002E6F58" w:rsidRDefault="00BC0922" w:rsidP="00717537">
            <w:pPr>
              <w:pStyle w:val="Headingb"/>
              <w:spacing w:before="120" w:after="120"/>
              <w:rPr>
                <w:rFonts w:asciiTheme="minorHAnsi" w:hAnsiTheme="minorHAnsi" w:cstheme="minorHAnsi"/>
                <w:sz w:val="22"/>
                <w:szCs w:val="22"/>
                <w:lang w:eastAsia="zh-CN"/>
              </w:rPr>
            </w:pPr>
            <w:r>
              <w:rPr>
                <w:rFonts w:asciiTheme="minorHAnsi" w:hAnsiTheme="minorHAnsi" w:cstheme="minorHAnsi" w:hint="eastAsia"/>
                <w:sz w:val="22"/>
                <w:szCs w:val="22"/>
                <w:lang w:eastAsia="zh-CN"/>
              </w:rPr>
              <w:t>摘要</w:t>
            </w:r>
          </w:p>
          <w:p w:rsidR="00BC0922" w:rsidRPr="00687D92" w:rsidRDefault="00AC246A" w:rsidP="00DB136B">
            <w:pPr>
              <w:spacing w:after="120"/>
              <w:ind w:firstLineChars="200" w:firstLine="480"/>
              <w:rPr>
                <w:szCs w:val="24"/>
                <w:lang w:eastAsia="zh-CN"/>
              </w:rPr>
            </w:pPr>
            <w:r>
              <w:rPr>
                <w:rFonts w:hint="eastAsia"/>
                <w:szCs w:val="24"/>
                <w:lang w:eastAsia="zh-CN"/>
              </w:rPr>
              <w:t>2014</w:t>
            </w:r>
            <w:r>
              <w:rPr>
                <w:rFonts w:hint="eastAsia"/>
                <w:szCs w:val="24"/>
                <w:lang w:eastAsia="zh-CN"/>
              </w:rPr>
              <w:t>年理事会要求</w:t>
            </w:r>
            <w:r w:rsidR="00BC0922">
              <w:rPr>
                <w:rFonts w:hint="eastAsia"/>
                <w:szCs w:val="24"/>
                <w:lang w:eastAsia="zh-CN"/>
              </w:rPr>
              <w:t>秘书处</w:t>
            </w:r>
            <w:r>
              <w:rPr>
                <w:rFonts w:hint="eastAsia"/>
                <w:szCs w:val="24"/>
                <w:lang w:eastAsia="zh-CN"/>
              </w:rPr>
              <w:t>对国际电联文件的获取问题进一步研究并</w:t>
            </w:r>
            <w:r w:rsidR="00BC0922">
              <w:rPr>
                <w:rFonts w:hint="eastAsia"/>
                <w:szCs w:val="24"/>
                <w:lang w:eastAsia="zh-CN"/>
              </w:rPr>
              <w:t>将适当文件和理事会有关该议项的讨论摘要提交全权代表大会，以便做出决定。</w:t>
            </w:r>
          </w:p>
          <w:p w:rsidR="00BC0922" w:rsidRPr="00B90876" w:rsidRDefault="0018424F" w:rsidP="00DB136B">
            <w:pPr>
              <w:pStyle w:val="Headingb"/>
              <w:spacing w:before="120" w:after="120"/>
              <w:ind w:left="0" w:firstLineChars="200" w:firstLine="480"/>
              <w:rPr>
                <w:rFonts w:asciiTheme="minorHAnsi" w:hAnsiTheme="minorHAnsi" w:cstheme="minorHAnsi"/>
                <w:szCs w:val="24"/>
                <w:lang w:eastAsia="zh-CN"/>
              </w:rPr>
            </w:pPr>
            <w:r>
              <w:rPr>
                <w:rFonts w:asciiTheme="minorHAnsi" w:hAnsiTheme="minorHAnsi" w:cstheme="minorHAnsi" w:hint="eastAsia"/>
                <w:b w:val="0"/>
                <w:bCs/>
                <w:szCs w:val="24"/>
                <w:lang w:eastAsia="zh-CN"/>
              </w:rPr>
              <w:t>本文件进一步介绍国际通行的信息获取政策要素。文件所述内容不代表秘书处对未来走向的观点。这是一份事实文件，提交全权代表大会供讨论此问题用。</w:t>
            </w:r>
          </w:p>
        </w:tc>
      </w:tr>
    </w:tbl>
    <w:p w:rsidR="00BC0922" w:rsidRDefault="00BC0922" w:rsidP="00717537">
      <w:pPr>
        <w:overflowPunct/>
        <w:autoSpaceDE/>
        <w:autoSpaceDN/>
        <w:adjustRightInd/>
        <w:spacing w:before="0" w:after="200"/>
        <w:jc w:val="center"/>
        <w:textAlignment w:val="auto"/>
        <w:rPr>
          <w:rFonts w:asciiTheme="minorHAnsi" w:eastAsiaTheme="minorEastAsia" w:hAnsiTheme="minorHAnsi" w:cstheme="minorBidi"/>
          <w:b/>
          <w:sz w:val="22"/>
          <w:szCs w:val="22"/>
          <w:lang w:val="en-US" w:eastAsia="zh-CN"/>
        </w:rPr>
      </w:pPr>
    </w:p>
    <w:p w:rsidR="00BC0922" w:rsidRDefault="00E9509A" w:rsidP="00E9509A">
      <w:pPr>
        <w:pStyle w:val="Heading1"/>
        <w:rPr>
          <w:lang w:eastAsia="zh-CN"/>
        </w:rPr>
      </w:pPr>
      <w:r>
        <w:rPr>
          <w:lang w:eastAsia="zh-CN"/>
        </w:rPr>
        <w:t>1</w:t>
      </w:r>
      <w:r w:rsidR="00BC0922">
        <w:rPr>
          <w:lang w:eastAsia="zh-CN"/>
        </w:rPr>
        <w:tab/>
      </w:r>
      <w:r w:rsidR="0018424F">
        <w:rPr>
          <w:rFonts w:hint="eastAsia"/>
          <w:lang w:eastAsia="zh-CN"/>
        </w:rPr>
        <w:t>背景</w:t>
      </w:r>
    </w:p>
    <w:p w:rsidR="00BC0922" w:rsidRDefault="00DB136B" w:rsidP="00717537">
      <w:pPr>
        <w:tabs>
          <w:tab w:val="clear" w:pos="567"/>
          <w:tab w:val="clear" w:pos="1134"/>
          <w:tab w:val="clear" w:pos="1701"/>
          <w:tab w:val="clear" w:pos="2268"/>
          <w:tab w:val="clear" w:pos="2835"/>
        </w:tabs>
        <w:snapToGrid w:val="0"/>
        <w:spacing w:after="120"/>
        <w:rPr>
          <w:szCs w:val="24"/>
          <w:lang w:eastAsia="zh-CN"/>
        </w:rPr>
      </w:pPr>
      <w:r>
        <w:rPr>
          <w:szCs w:val="24"/>
          <w:lang w:eastAsia="zh-CN"/>
        </w:rPr>
        <w:t>1.1</w:t>
      </w:r>
      <w:r w:rsidR="00BC0922">
        <w:rPr>
          <w:szCs w:val="24"/>
          <w:lang w:eastAsia="zh-CN"/>
        </w:rPr>
        <w:tab/>
      </w:r>
      <w:r w:rsidR="0018424F">
        <w:rPr>
          <w:rFonts w:hint="eastAsia"/>
          <w:szCs w:val="24"/>
          <w:lang w:eastAsia="zh-CN"/>
        </w:rPr>
        <w:t>理事会在</w:t>
      </w:r>
      <w:r w:rsidR="0018424F">
        <w:rPr>
          <w:rFonts w:hint="eastAsia"/>
          <w:szCs w:val="24"/>
          <w:lang w:eastAsia="zh-CN"/>
        </w:rPr>
        <w:t>2014</w:t>
      </w:r>
      <w:r w:rsidR="0018424F">
        <w:rPr>
          <w:rFonts w:hint="eastAsia"/>
          <w:szCs w:val="24"/>
          <w:lang w:eastAsia="zh-CN"/>
        </w:rPr>
        <w:t>年会议上审议了秘书处起草的关于获取国际电联文件的背景文件（</w:t>
      </w:r>
      <w:r w:rsidR="00912E46">
        <w:fldChar w:fldCharType="begin"/>
      </w:r>
      <w:r w:rsidR="00912E46">
        <w:rPr>
          <w:lang w:eastAsia="zh-CN"/>
        </w:rPr>
        <w:instrText xml:space="preserve"> HYPERLINK "http://www.itu.int/md/S14-CL-INF-0020/en" </w:instrText>
      </w:r>
      <w:r w:rsidR="00912E46">
        <w:fldChar w:fldCharType="separate"/>
      </w:r>
      <w:r w:rsidR="00E9509A" w:rsidRPr="009506E7">
        <w:rPr>
          <w:rStyle w:val="Hyperlink"/>
          <w:szCs w:val="24"/>
          <w:lang w:eastAsia="zh-CN"/>
        </w:rPr>
        <w:t>C14/INF/20</w:t>
      </w:r>
      <w:r w:rsidR="00912E46">
        <w:rPr>
          <w:rStyle w:val="Hyperlink"/>
          <w:szCs w:val="24"/>
          <w:lang w:eastAsia="zh-CN"/>
        </w:rPr>
        <w:fldChar w:fldCharType="end"/>
      </w:r>
      <w:r w:rsidR="0018424F">
        <w:rPr>
          <w:rFonts w:hint="eastAsia"/>
          <w:szCs w:val="24"/>
          <w:lang w:eastAsia="zh-CN"/>
        </w:rPr>
        <w:t>号文件）。文件就文件制作、出版、信息等关键术语给出了定义，并概述了联合国及其专门机构以及国际电联的普遍做法。</w:t>
      </w:r>
    </w:p>
    <w:p w:rsidR="00BC0922" w:rsidRDefault="0018424F" w:rsidP="00E9509A">
      <w:pPr>
        <w:tabs>
          <w:tab w:val="clear" w:pos="567"/>
          <w:tab w:val="clear" w:pos="1134"/>
          <w:tab w:val="clear" w:pos="1701"/>
          <w:tab w:val="clear" w:pos="2268"/>
          <w:tab w:val="clear" w:pos="2835"/>
        </w:tabs>
        <w:snapToGrid w:val="0"/>
        <w:spacing w:after="120"/>
        <w:ind w:firstLineChars="200" w:firstLine="480"/>
        <w:rPr>
          <w:szCs w:val="24"/>
          <w:lang w:eastAsia="zh-CN"/>
        </w:rPr>
      </w:pPr>
      <w:r>
        <w:rPr>
          <w:rFonts w:hint="eastAsia"/>
          <w:szCs w:val="24"/>
          <w:lang w:eastAsia="zh-CN"/>
        </w:rPr>
        <w:t>理事会要求</w:t>
      </w:r>
      <w:r w:rsidR="00BC0922">
        <w:rPr>
          <w:rFonts w:hint="eastAsia"/>
          <w:szCs w:val="24"/>
          <w:lang w:eastAsia="zh-CN"/>
        </w:rPr>
        <w:t>秘书处进一步研究</w:t>
      </w:r>
      <w:r>
        <w:rPr>
          <w:rFonts w:hint="eastAsia"/>
          <w:szCs w:val="24"/>
          <w:lang w:eastAsia="zh-CN"/>
        </w:rPr>
        <w:t>国际电联文件获取问题，并</w:t>
      </w:r>
      <w:r w:rsidR="00BC0922">
        <w:rPr>
          <w:rFonts w:hint="eastAsia"/>
          <w:szCs w:val="24"/>
          <w:lang w:eastAsia="zh-CN"/>
        </w:rPr>
        <w:t>将适当文件和理事会有关该议项的讨论摘要提交全权代表大会，以便做出决定。</w:t>
      </w:r>
    </w:p>
    <w:p w:rsidR="00BC0922" w:rsidRDefault="00DB136B" w:rsidP="00717537">
      <w:pPr>
        <w:tabs>
          <w:tab w:val="clear" w:pos="567"/>
          <w:tab w:val="clear" w:pos="1134"/>
          <w:tab w:val="clear" w:pos="1701"/>
          <w:tab w:val="clear" w:pos="2268"/>
          <w:tab w:val="clear" w:pos="2835"/>
        </w:tabs>
        <w:snapToGrid w:val="0"/>
        <w:spacing w:after="120"/>
        <w:rPr>
          <w:szCs w:val="24"/>
          <w:lang w:eastAsia="zh-CN"/>
        </w:rPr>
      </w:pPr>
      <w:r>
        <w:rPr>
          <w:szCs w:val="24"/>
          <w:lang w:eastAsia="zh-CN"/>
        </w:rPr>
        <w:t>1.2</w:t>
      </w:r>
      <w:r w:rsidR="00BC0922">
        <w:rPr>
          <w:szCs w:val="24"/>
          <w:lang w:eastAsia="zh-CN"/>
        </w:rPr>
        <w:tab/>
      </w:r>
      <w:r w:rsidR="0018424F">
        <w:rPr>
          <w:rFonts w:hint="eastAsia"/>
          <w:szCs w:val="24"/>
          <w:lang w:eastAsia="zh-CN"/>
        </w:rPr>
        <w:t>理事会有关此议题的讨论概要，见</w:t>
      </w:r>
      <w:r w:rsidR="00912E46">
        <w:fldChar w:fldCharType="begin"/>
      </w:r>
      <w:r w:rsidR="00912E46">
        <w:rPr>
          <w:lang w:eastAsia="zh-CN"/>
        </w:rPr>
        <w:instrText xml:space="preserve"> HYPERLINK \l "Annex1" </w:instrText>
      </w:r>
      <w:r w:rsidR="00912E46">
        <w:fldChar w:fldCharType="separate"/>
      </w:r>
      <w:r w:rsidR="0018424F">
        <w:rPr>
          <w:rStyle w:val="Hyperlink"/>
          <w:rFonts w:hint="eastAsia"/>
          <w:szCs w:val="24"/>
          <w:lang w:eastAsia="zh-CN"/>
        </w:rPr>
        <w:t>附件</w:t>
      </w:r>
      <w:r w:rsidR="00BC0922" w:rsidRPr="005527D2">
        <w:rPr>
          <w:rStyle w:val="Hyperlink"/>
          <w:szCs w:val="24"/>
          <w:lang w:eastAsia="zh-CN"/>
        </w:rPr>
        <w:t>1</w:t>
      </w:r>
      <w:r w:rsidR="00912E46">
        <w:rPr>
          <w:rStyle w:val="Hyperlink"/>
          <w:szCs w:val="24"/>
          <w:lang w:eastAsia="zh-CN"/>
        </w:rPr>
        <w:fldChar w:fldCharType="end"/>
      </w:r>
      <w:r w:rsidR="0018424F">
        <w:rPr>
          <w:rFonts w:hint="eastAsia"/>
          <w:szCs w:val="24"/>
          <w:lang w:eastAsia="zh-CN"/>
        </w:rPr>
        <w:t>。</w:t>
      </w:r>
    </w:p>
    <w:p w:rsidR="00BC0922" w:rsidRPr="00EF3122" w:rsidRDefault="00BC0922" w:rsidP="00E9509A">
      <w:pPr>
        <w:pStyle w:val="Heading1"/>
        <w:rPr>
          <w:lang w:eastAsia="zh-CN"/>
        </w:rPr>
      </w:pPr>
      <w:r>
        <w:rPr>
          <w:lang w:eastAsia="zh-CN"/>
        </w:rPr>
        <w:lastRenderedPageBreak/>
        <w:t>2</w:t>
      </w:r>
      <w:r>
        <w:rPr>
          <w:lang w:eastAsia="zh-CN"/>
        </w:rPr>
        <w:tab/>
      </w:r>
      <w:r w:rsidR="0018424F">
        <w:rPr>
          <w:rFonts w:hint="eastAsia"/>
          <w:lang w:eastAsia="zh-CN"/>
        </w:rPr>
        <w:t>国际电联的现状</w:t>
      </w:r>
    </w:p>
    <w:p w:rsidR="00BC0922" w:rsidRDefault="00BC0922" w:rsidP="00717537">
      <w:pPr>
        <w:keepNext/>
        <w:keepLines/>
        <w:tabs>
          <w:tab w:val="clear" w:pos="567"/>
          <w:tab w:val="clear" w:pos="1134"/>
          <w:tab w:val="clear" w:pos="1701"/>
          <w:tab w:val="clear" w:pos="2268"/>
          <w:tab w:val="clear" w:pos="2835"/>
        </w:tabs>
        <w:snapToGrid w:val="0"/>
        <w:spacing w:before="160" w:after="120"/>
        <w:rPr>
          <w:szCs w:val="24"/>
          <w:lang w:eastAsia="zh-CN"/>
        </w:rPr>
      </w:pPr>
      <w:r>
        <w:rPr>
          <w:szCs w:val="24"/>
          <w:lang w:eastAsia="zh-CN"/>
        </w:rPr>
        <w:t>2.1</w:t>
      </w:r>
      <w:r>
        <w:rPr>
          <w:szCs w:val="24"/>
          <w:lang w:eastAsia="zh-CN"/>
        </w:rPr>
        <w:tab/>
      </w:r>
      <w:r w:rsidR="0018424F">
        <w:rPr>
          <w:rFonts w:hint="eastAsia"/>
          <w:szCs w:val="24"/>
          <w:lang w:eastAsia="zh-CN"/>
        </w:rPr>
        <w:t>自国际电联创立以来，收集和传播信息一直是其工作的核心。信息被定义为事实、数据或观点等知识的传播或再现，可通过数据库、文件、出版物、有声录音、电子邮件、图像等进行储存。</w:t>
      </w:r>
    </w:p>
    <w:p w:rsidR="00BC0922" w:rsidRPr="00C8447B" w:rsidRDefault="00DB136B" w:rsidP="00717537">
      <w:pPr>
        <w:keepNext/>
        <w:tabs>
          <w:tab w:val="clear" w:pos="567"/>
          <w:tab w:val="clear" w:pos="1134"/>
          <w:tab w:val="clear" w:pos="1701"/>
          <w:tab w:val="clear" w:pos="2268"/>
          <w:tab w:val="clear" w:pos="2835"/>
        </w:tabs>
        <w:snapToGrid w:val="0"/>
        <w:spacing w:before="160" w:after="120"/>
        <w:rPr>
          <w:szCs w:val="24"/>
          <w:lang w:eastAsia="zh-CN"/>
        </w:rPr>
      </w:pPr>
      <w:r>
        <w:rPr>
          <w:szCs w:val="24"/>
          <w:lang w:eastAsia="zh-CN"/>
        </w:rPr>
        <w:t>2.2</w:t>
      </w:r>
      <w:r w:rsidR="00BC0922">
        <w:rPr>
          <w:szCs w:val="24"/>
          <w:lang w:eastAsia="zh-CN"/>
        </w:rPr>
        <w:tab/>
      </w:r>
      <w:r w:rsidR="0018424F">
        <w:rPr>
          <w:rFonts w:hint="eastAsia"/>
          <w:szCs w:val="24"/>
          <w:lang w:eastAsia="zh-CN"/>
        </w:rPr>
        <w:t>当前，国际电联关于这类信息的获取和提供政策</w:t>
      </w:r>
      <w:r w:rsidR="00127730">
        <w:rPr>
          <w:rFonts w:hint="eastAsia"/>
          <w:szCs w:val="24"/>
          <w:lang w:eastAsia="zh-CN"/>
        </w:rPr>
        <w:t>体现在秘书长当时批准的两份文件中：</w:t>
      </w:r>
    </w:p>
    <w:p w:rsidR="00BC0922" w:rsidRPr="00C8447B" w:rsidRDefault="00DB136B" w:rsidP="00DB136B">
      <w:pPr>
        <w:pStyle w:val="enumlev1"/>
        <w:rPr>
          <w:lang w:eastAsia="zh-CN"/>
        </w:rPr>
      </w:pPr>
      <w:r>
        <w:rPr>
          <w:lang w:eastAsia="zh-CN"/>
        </w:rPr>
        <w:t>–</w:t>
      </w:r>
      <w:r>
        <w:rPr>
          <w:lang w:eastAsia="zh-CN"/>
        </w:rPr>
        <w:tab/>
      </w:r>
      <w:r w:rsidR="00127730">
        <w:rPr>
          <w:rFonts w:hint="eastAsia"/>
          <w:lang w:eastAsia="zh-CN"/>
        </w:rPr>
        <w:t>信息通报（</w:t>
      </w:r>
      <w:r w:rsidR="00127730">
        <w:rPr>
          <w:rFonts w:hint="eastAsia"/>
          <w:lang w:eastAsia="zh-CN"/>
        </w:rPr>
        <w:t>1982</w:t>
      </w:r>
      <w:r w:rsidR="00127730">
        <w:rPr>
          <w:rFonts w:hint="eastAsia"/>
          <w:lang w:eastAsia="zh-CN"/>
        </w:rPr>
        <w:t>年</w:t>
      </w:r>
      <w:r w:rsidR="00127730">
        <w:rPr>
          <w:rFonts w:hint="eastAsia"/>
          <w:lang w:eastAsia="zh-CN"/>
        </w:rPr>
        <w:t>11</w:t>
      </w:r>
      <w:r w:rsidR="00127730">
        <w:rPr>
          <w:rFonts w:hint="eastAsia"/>
          <w:lang w:eastAsia="zh-CN"/>
        </w:rPr>
        <w:t>月</w:t>
      </w:r>
      <w:r w:rsidR="00BC0922" w:rsidRPr="00C8447B">
        <w:rPr>
          <w:lang w:eastAsia="zh-CN"/>
        </w:rPr>
        <w:t>4</w:t>
      </w:r>
      <w:r w:rsidR="00127730">
        <w:rPr>
          <w:rFonts w:hint="eastAsia"/>
          <w:lang w:eastAsia="zh-CN"/>
        </w:rPr>
        <w:t>日）</w:t>
      </w:r>
      <w:r>
        <w:rPr>
          <w:lang w:eastAsia="zh-CN"/>
        </w:rPr>
        <w:t>–</w:t>
      </w:r>
      <w:r w:rsidR="00BC0922" w:rsidRPr="00C8447B">
        <w:rPr>
          <w:lang w:eastAsia="zh-CN"/>
        </w:rPr>
        <w:t xml:space="preserve"> </w:t>
      </w:r>
      <w:r w:rsidR="00127730">
        <w:rPr>
          <w:rFonts w:hint="eastAsia"/>
          <w:lang w:eastAsia="zh-CN"/>
        </w:rPr>
        <w:t>内部，“国际电联档案：描述和获取”。该文件阐述公众获取国际电联档案室保存的历史记录的方式。</w:t>
      </w:r>
    </w:p>
    <w:p w:rsidR="00BC0922" w:rsidRPr="00C8447B" w:rsidRDefault="00DB136B" w:rsidP="00DB136B">
      <w:pPr>
        <w:pStyle w:val="enumlev1"/>
        <w:rPr>
          <w:lang w:eastAsia="zh-CN"/>
        </w:rPr>
      </w:pPr>
      <w:r>
        <w:rPr>
          <w:lang w:eastAsia="zh-CN"/>
        </w:rPr>
        <w:t>–</w:t>
      </w:r>
      <w:r>
        <w:rPr>
          <w:lang w:eastAsia="zh-CN"/>
        </w:rPr>
        <w:tab/>
      </w:r>
      <w:r w:rsidR="00127730">
        <w:rPr>
          <w:rFonts w:hint="eastAsia"/>
          <w:lang w:eastAsia="zh-CN"/>
        </w:rPr>
        <w:t>群发函</w:t>
      </w:r>
      <w:r w:rsidR="00127730">
        <w:rPr>
          <w:rFonts w:hint="eastAsia"/>
          <w:lang w:eastAsia="zh-CN"/>
        </w:rPr>
        <w:t>DM</w:t>
      </w:r>
      <w:r w:rsidR="00BC0922" w:rsidRPr="00C8447B">
        <w:rPr>
          <w:lang w:eastAsia="zh-CN"/>
        </w:rPr>
        <w:t>-1013</w:t>
      </w:r>
      <w:r w:rsidR="00127730">
        <w:rPr>
          <w:rFonts w:hint="eastAsia"/>
          <w:lang w:eastAsia="zh-CN"/>
        </w:rPr>
        <w:t>（</w:t>
      </w:r>
      <w:r w:rsidR="00127730">
        <w:rPr>
          <w:rFonts w:hint="eastAsia"/>
          <w:lang w:eastAsia="zh-CN"/>
        </w:rPr>
        <w:t>2000</w:t>
      </w:r>
      <w:r w:rsidR="00127730">
        <w:rPr>
          <w:rFonts w:hint="eastAsia"/>
          <w:lang w:eastAsia="zh-CN"/>
        </w:rPr>
        <w:t>年</w:t>
      </w:r>
      <w:r w:rsidR="00127730">
        <w:rPr>
          <w:rFonts w:hint="eastAsia"/>
          <w:lang w:eastAsia="zh-CN"/>
        </w:rPr>
        <w:t>1</w:t>
      </w:r>
      <w:r w:rsidR="00127730">
        <w:rPr>
          <w:rFonts w:hint="eastAsia"/>
          <w:lang w:eastAsia="zh-CN"/>
        </w:rPr>
        <w:t>月</w:t>
      </w:r>
      <w:r w:rsidR="00BC0922" w:rsidRPr="00C8447B">
        <w:rPr>
          <w:lang w:eastAsia="zh-CN"/>
        </w:rPr>
        <w:t>27</w:t>
      </w:r>
      <w:r w:rsidR="00127730">
        <w:rPr>
          <w:rFonts w:hint="eastAsia"/>
          <w:lang w:eastAsia="zh-CN"/>
        </w:rPr>
        <w:t>日），“</w:t>
      </w:r>
      <w:r w:rsidR="00127730">
        <w:rPr>
          <w:rFonts w:hint="eastAsia"/>
          <w:lang w:eastAsia="zh-CN"/>
        </w:rPr>
        <w:t>TIES</w:t>
      </w:r>
      <w:r w:rsidR="00127730">
        <w:rPr>
          <w:rFonts w:hint="eastAsia"/>
          <w:lang w:eastAsia="zh-CN"/>
        </w:rPr>
        <w:t>系统访问指南”。该文件</w:t>
      </w:r>
      <w:r>
        <w:rPr>
          <w:rFonts w:hint="eastAsia"/>
          <w:lang w:eastAsia="zh-CN"/>
        </w:rPr>
        <w:t>介绍</w:t>
      </w:r>
      <w:r w:rsidR="00127730">
        <w:rPr>
          <w:rFonts w:hint="eastAsia"/>
          <w:lang w:eastAsia="zh-CN"/>
        </w:rPr>
        <w:t>成员国、部门成员和常驻代表团通过电子方式获取国际电联工作文件用于大会和会议。</w:t>
      </w:r>
    </w:p>
    <w:p w:rsidR="00BC0922" w:rsidRDefault="00127730" w:rsidP="00DB136B">
      <w:pPr>
        <w:tabs>
          <w:tab w:val="clear" w:pos="567"/>
          <w:tab w:val="clear" w:pos="1134"/>
          <w:tab w:val="clear" w:pos="1701"/>
          <w:tab w:val="clear" w:pos="2268"/>
          <w:tab w:val="clear" w:pos="2835"/>
        </w:tabs>
        <w:snapToGrid w:val="0"/>
        <w:spacing w:after="120"/>
        <w:ind w:firstLineChars="200" w:firstLine="480"/>
        <w:rPr>
          <w:szCs w:val="24"/>
          <w:lang w:eastAsia="zh-CN"/>
        </w:rPr>
      </w:pPr>
      <w:r>
        <w:rPr>
          <w:rFonts w:hint="eastAsia"/>
          <w:szCs w:val="24"/>
          <w:lang w:eastAsia="zh-CN"/>
        </w:rPr>
        <w:t>这些文件仅涉及某些信息</w:t>
      </w:r>
      <w:r w:rsidR="00DB136B">
        <w:rPr>
          <w:rFonts w:hint="eastAsia"/>
          <w:szCs w:val="24"/>
          <w:lang w:eastAsia="zh-CN"/>
        </w:rPr>
        <w:t>类型</w:t>
      </w:r>
      <w:r>
        <w:rPr>
          <w:rFonts w:hint="eastAsia"/>
          <w:szCs w:val="24"/>
          <w:lang w:eastAsia="zh-CN"/>
        </w:rPr>
        <w:t>和获取方式。自</w:t>
      </w:r>
      <w:r>
        <w:rPr>
          <w:rFonts w:hint="eastAsia"/>
          <w:szCs w:val="24"/>
          <w:lang w:eastAsia="zh-CN"/>
        </w:rPr>
        <w:t>2000</w:t>
      </w:r>
      <w:r>
        <w:rPr>
          <w:rFonts w:hint="eastAsia"/>
          <w:szCs w:val="24"/>
          <w:lang w:eastAsia="zh-CN"/>
        </w:rPr>
        <w:t>年以来未进行复审和更新。</w:t>
      </w:r>
    </w:p>
    <w:p w:rsidR="00BC0922" w:rsidRPr="007333DE" w:rsidRDefault="00BC0922" w:rsidP="00717537">
      <w:pPr>
        <w:tabs>
          <w:tab w:val="clear" w:pos="567"/>
          <w:tab w:val="clear" w:pos="1134"/>
          <w:tab w:val="clear" w:pos="1701"/>
          <w:tab w:val="clear" w:pos="2268"/>
          <w:tab w:val="clear" w:pos="2835"/>
        </w:tabs>
        <w:snapToGrid w:val="0"/>
        <w:spacing w:before="160" w:after="120"/>
        <w:rPr>
          <w:szCs w:val="24"/>
          <w:lang w:eastAsia="zh-CN"/>
        </w:rPr>
      </w:pPr>
      <w:r w:rsidRPr="007333DE">
        <w:rPr>
          <w:szCs w:val="24"/>
          <w:lang w:eastAsia="zh-CN"/>
        </w:rPr>
        <w:t>2.</w:t>
      </w:r>
      <w:r>
        <w:rPr>
          <w:szCs w:val="24"/>
          <w:lang w:eastAsia="zh-CN"/>
        </w:rPr>
        <w:t>3</w:t>
      </w:r>
      <w:r>
        <w:rPr>
          <w:szCs w:val="24"/>
          <w:lang w:eastAsia="zh-CN"/>
        </w:rPr>
        <w:tab/>
      </w:r>
      <w:r w:rsidR="00127730">
        <w:rPr>
          <w:rFonts w:hint="eastAsia"/>
          <w:szCs w:val="24"/>
          <w:lang w:eastAsia="zh-CN"/>
        </w:rPr>
        <w:t>向公众开放的信息</w:t>
      </w:r>
    </w:p>
    <w:p w:rsidR="00BC0922" w:rsidRPr="007333DE" w:rsidRDefault="003F6444" w:rsidP="00E9509A">
      <w:pPr>
        <w:tabs>
          <w:tab w:val="clear" w:pos="567"/>
          <w:tab w:val="clear" w:pos="1134"/>
          <w:tab w:val="clear" w:pos="1701"/>
          <w:tab w:val="clear" w:pos="2268"/>
          <w:tab w:val="clear" w:pos="2835"/>
        </w:tabs>
        <w:overflowPunct/>
        <w:autoSpaceDE/>
        <w:autoSpaceDN/>
        <w:adjustRightInd/>
        <w:snapToGrid w:val="0"/>
        <w:spacing w:after="120"/>
        <w:ind w:firstLineChars="200" w:firstLine="480"/>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hint="eastAsia"/>
          <w:szCs w:val="24"/>
          <w:lang w:val="en-US" w:eastAsia="zh-CN"/>
        </w:rPr>
        <w:t>国际电联历史上曾向公众公开大量信息，至今仍一以贯之。定期向公众公开的信息</w:t>
      </w:r>
      <w:r w:rsidR="00923BE4">
        <w:rPr>
          <w:rFonts w:asciiTheme="minorHAnsi" w:eastAsiaTheme="minorEastAsia" w:hAnsiTheme="minorHAnsi" w:cstheme="minorBidi"/>
          <w:szCs w:val="24"/>
          <w:lang w:val="en-US" w:eastAsia="zh-CN"/>
        </w:rPr>
        <w:t xml:space="preserve"> </w:t>
      </w:r>
      <w:r w:rsidR="00923BE4" w:rsidRPr="00923BE4">
        <w:rPr>
          <w:rFonts w:asciiTheme="minorHAnsi" w:eastAsiaTheme="minorEastAsia" w:hAnsiTheme="minorHAnsi" w:cstheme="minorBidi"/>
          <w:szCs w:val="24"/>
          <w:lang w:val="en-US" w:eastAsia="zh-CN"/>
        </w:rPr>
        <w:t>–</w:t>
      </w:r>
      <w:r w:rsidR="00923BE4">
        <w:rPr>
          <w:rFonts w:asciiTheme="minorHAnsi" w:eastAsiaTheme="minorEastAsia" w:hAnsiTheme="minorHAnsi" w:cstheme="minorBidi"/>
          <w:szCs w:val="24"/>
          <w:lang w:val="en-US" w:eastAsia="zh-CN"/>
        </w:rPr>
        <w:t xml:space="preserve"> </w:t>
      </w:r>
      <w:r>
        <w:rPr>
          <w:rFonts w:asciiTheme="minorHAnsi" w:eastAsiaTheme="minorEastAsia" w:hAnsiTheme="minorHAnsi" w:cstheme="minorBidi" w:hint="eastAsia"/>
          <w:szCs w:val="24"/>
          <w:lang w:val="en-US" w:eastAsia="zh-CN"/>
        </w:rPr>
        <w:t>销售或免费提供</w:t>
      </w:r>
      <w:r w:rsidR="00923BE4">
        <w:rPr>
          <w:rFonts w:asciiTheme="minorHAnsi" w:eastAsiaTheme="minorEastAsia" w:hAnsiTheme="minorHAnsi" w:cstheme="minorBidi"/>
          <w:szCs w:val="24"/>
          <w:lang w:val="en-US" w:eastAsia="zh-CN"/>
        </w:rPr>
        <w:t xml:space="preserve"> </w:t>
      </w:r>
      <w:r w:rsidR="00923BE4" w:rsidRPr="00923BE4">
        <w:rPr>
          <w:rFonts w:asciiTheme="minorHAnsi" w:eastAsiaTheme="minorEastAsia" w:hAnsiTheme="minorHAnsi" w:cstheme="minorBidi"/>
          <w:szCs w:val="24"/>
          <w:lang w:val="en-US" w:eastAsia="zh-CN"/>
        </w:rPr>
        <w:t>–</w:t>
      </w:r>
      <w:r w:rsidR="00923BE4">
        <w:rPr>
          <w:rFonts w:asciiTheme="minorHAnsi" w:eastAsiaTheme="minorEastAsia" w:hAnsiTheme="minorHAnsi" w:cstheme="minorBidi"/>
          <w:szCs w:val="24"/>
          <w:lang w:val="en-US" w:eastAsia="zh-CN"/>
        </w:rPr>
        <w:t xml:space="preserve"> </w:t>
      </w:r>
      <w:r>
        <w:rPr>
          <w:rFonts w:asciiTheme="minorHAnsi" w:eastAsiaTheme="minorEastAsia" w:hAnsiTheme="minorHAnsi" w:cstheme="minorBidi" w:hint="eastAsia"/>
          <w:szCs w:val="24"/>
          <w:lang w:val="en-US" w:eastAsia="zh-CN"/>
        </w:rPr>
        <w:t>包括</w:t>
      </w:r>
      <w:r w:rsidR="00DB136B">
        <w:rPr>
          <w:rFonts w:asciiTheme="minorHAnsi" w:eastAsiaTheme="minorEastAsia" w:hAnsiTheme="minorHAnsi" w:cstheme="minorBidi" w:hint="eastAsia"/>
          <w:szCs w:val="24"/>
          <w:lang w:val="en-US" w:eastAsia="zh-CN"/>
        </w:rPr>
        <w:t>下</w:t>
      </w:r>
      <w:r>
        <w:rPr>
          <w:rFonts w:asciiTheme="minorHAnsi" w:eastAsiaTheme="minorEastAsia" w:hAnsiTheme="minorHAnsi" w:cstheme="minorBidi" w:hint="eastAsia"/>
          <w:szCs w:val="24"/>
          <w:lang w:val="en-US" w:eastAsia="zh-CN"/>
        </w:rPr>
        <w:t>列资料</w:t>
      </w:r>
      <w:r w:rsidR="00BC0922">
        <w:rPr>
          <w:rStyle w:val="FootnoteReference"/>
          <w:rFonts w:eastAsiaTheme="minorEastAsia" w:cstheme="minorBidi"/>
          <w:szCs w:val="24"/>
          <w:lang w:val="en-US" w:eastAsia="zh-CN"/>
        </w:rPr>
        <w:footnoteReference w:id="1"/>
      </w:r>
      <w:r>
        <w:rPr>
          <w:rFonts w:asciiTheme="minorHAnsi" w:eastAsiaTheme="minorEastAsia" w:hAnsiTheme="minorHAnsi" w:cstheme="minorBidi" w:hint="eastAsia"/>
          <w:szCs w:val="24"/>
          <w:lang w:val="en-US" w:eastAsia="zh-CN"/>
        </w:rPr>
        <w:t>：</w:t>
      </w:r>
    </w:p>
    <w:p w:rsidR="00BC0922" w:rsidRPr="007333DE" w:rsidRDefault="00DB136B" w:rsidP="00DB136B">
      <w:pPr>
        <w:pStyle w:val="enumlev1"/>
        <w:rPr>
          <w:lang w:val="en-US" w:eastAsia="zh-CN"/>
        </w:rPr>
      </w:pPr>
      <w:r w:rsidRPr="00DB136B">
        <w:rPr>
          <w:lang w:val="en-US" w:eastAsia="zh-CN"/>
        </w:rPr>
        <w:t>–</w:t>
      </w:r>
      <w:r>
        <w:rPr>
          <w:lang w:val="en-US" w:eastAsia="zh-CN"/>
        </w:rPr>
        <w:tab/>
      </w:r>
      <w:r w:rsidR="003F6444">
        <w:rPr>
          <w:rFonts w:hint="eastAsia"/>
          <w:lang w:val="en-US" w:eastAsia="zh-CN"/>
        </w:rPr>
        <w:t>新闻稿</w:t>
      </w:r>
    </w:p>
    <w:p w:rsidR="00BC0922" w:rsidRPr="007333DE" w:rsidRDefault="00DB136B" w:rsidP="00DB136B">
      <w:pPr>
        <w:pStyle w:val="enumlev1"/>
        <w:rPr>
          <w:lang w:val="en-US" w:eastAsia="zh-CN"/>
        </w:rPr>
      </w:pPr>
      <w:r w:rsidRPr="00DB136B">
        <w:rPr>
          <w:lang w:val="en-US" w:eastAsia="zh-CN"/>
        </w:rPr>
        <w:t>–</w:t>
      </w:r>
      <w:r>
        <w:rPr>
          <w:lang w:val="en-US" w:eastAsia="zh-CN"/>
        </w:rPr>
        <w:tab/>
      </w:r>
      <w:r w:rsidR="003F6444">
        <w:rPr>
          <w:rFonts w:hint="eastAsia"/>
          <w:lang w:val="en-US" w:eastAsia="zh-CN"/>
        </w:rPr>
        <w:t>讲话稿</w:t>
      </w:r>
    </w:p>
    <w:p w:rsidR="00BC0922" w:rsidRPr="007333DE" w:rsidRDefault="00DB136B" w:rsidP="00DB136B">
      <w:pPr>
        <w:pStyle w:val="enumlev1"/>
        <w:rPr>
          <w:lang w:val="en-US" w:eastAsia="zh-CN"/>
        </w:rPr>
      </w:pPr>
      <w:r w:rsidRPr="00DB136B">
        <w:rPr>
          <w:lang w:val="en-US" w:eastAsia="zh-CN"/>
        </w:rPr>
        <w:t>–</w:t>
      </w:r>
      <w:r>
        <w:rPr>
          <w:lang w:val="en-US" w:eastAsia="zh-CN"/>
        </w:rPr>
        <w:tab/>
      </w:r>
      <w:r w:rsidR="003F6444">
        <w:rPr>
          <w:rFonts w:hint="eastAsia"/>
          <w:lang w:val="en-US" w:eastAsia="zh-CN"/>
        </w:rPr>
        <w:t>声明</w:t>
      </w:r>
    </w:p>
    <w:p w:rsidR="00BC0922" w:rsidRPr="007333DE" w:rsidRDefault="00DB136B" w:rsidP="00DB136B">
      <w:pPr>
        <w:pStyle w:val="enumlev1"/>
        <w:rPr>
          <w:lang w:val="en-US" w:eastAsia="zh-CN"/>
        </w:rPr>
      </w:pPr>
      <w:r w:rsidRPr="00DB136B">
        <w:rPr>
          <w:lang w:val="en-US" w:eastAsia="zh-CN"/>
        </w:rPr>
        <w:t>–</w:t>
      </w:r>
      <w:r>
        <w:rPr>
          <w:lang w:val="en-US" w:eastAsia="zh-CN"/>
        </w:rPr>
        <w:tab/>
      </w:r>
      <w:r w:rsidR="003F6444">
        <w:rPr>
          <w:rFonts w:hint="eastAsia"/>
          <w:lang w:val="en-US" w:eastAsia="zh-CN"/>
        </w:rPr>
        <w:t>公告</w:t>
      </w:r>
      <w:r w:rsidR="003F6444">
        <w:rPr>
          <w:rFonts w:hint="eastAsia"/>
          <w:lang w:val="en-US" w:eastAsia="zh-CN"/>
        </w:rPr>
        <w:t>/</w:t>
      </w:r>
      <w:r w:rsidR="003F6444">
        <w:rPr>
          <w:rFonts w:hint="eastAsia"/>
          <w:lang w:val="en-US" w:eastAsia="zh-CN"/>
        </w:rPr>
        <w:t>通函</w:t>
      </w:r>
      <w:r w:rsidR="00BC0922" w:rsidRPr="007333DE">
        <w:rPr>
          <w:vertAlign w:val="superscript"/>
          <w:lang w:val="en-US" w:eastAsia="zh-CN"/>
        </w:rPr>
        <w:footnoteReference w:id="2"/>
      </w:r>
    </w:p>
    <w:p w:rsidR="00BC0922" w:rsidRPr="007333DE" w:rsidRDefault="00DB136B" w:rsidP="00DB136B">
      <w:pPr>
        <w:pStyle w:val="enumlev1"/>
        <w:rPr>
          <w:lang w:val="en-US" w:eastAsia="zh-CN"/>
        </w:rPr>
      </w:pPr>
      <w:r w:rsidRPr="00DB136B">
        <w:rPr>
          <w:lang w:val="en-US" w:eastAsia="zh-CN"/>
        </w:rPr>
        <w:t>–</w:t>
      </w:r>
      <w:r>
        <w:rPr>
          <w:lang w:val="en-US" w:eastAsia="zh-CN"/>
        </w:rPr>
        <w:tab/>
      </w:r>
      <w:r w:rsidR="003F6444">
        <w:rPr>
          <w:rFonts w:hint="eastAsia"/>
          <w:lang w:val="en-US" w:eastAsia="zh-CN"/>
        </w:rPr>
        <w:t>本组织活动的一般信息（宣传册、彩页、网页、社交媒体平台）</w:t>
      </w:r>
    </w:p>
    <w:p w:rsidR="00BC0922" w:rsidRPr="007333DE" w:rsidRDefault="00DB136B" w:rsidP="00DB136B">
      <w:pPr>
        <w:pStyle w:val="enumlev1"/>
        <w:rPr>
          <w:lang w:val="en-US" w:eastAsia="zh-CN"/>
        </w:rPr>
      </w:pPr>
      <w:r w:rsidRPr="00DB136B">
        <w:rPr>
          <w:lang w:val="en-US" w:eastAsia="zh-CN"/>
        </w:rPr>
        <w:t>–</w:t>
      </w:r>
      <w:r>
        <w:rPr>
          <w:lang w:val="en-US" w:eastAsia="zh-CN"/>
        </w:rPr>
        <w:tab/>
      </w:r>
      <w:r w:rsidR="003F6444">
        <w:rPr>
          <w:rFonts w:hint="eastAsia"/>
          <w:lang w:val="en-US" w:eastAsia="zh-CN"/>
        </w:rPr>
        <w:t>国际电联活动的</w:t>
      </w:r>
      <w:r>
        <w:rPr>
          <w:rFonts w:hint="eastAsia"/>
          <w:lang w:val="en-US" w:eastAsia="zh-CN"/>
        </w:rPr>
        <w:t>影像资料</w:t>
      </w:r>
    </w:p>
    <w:p w:rsidR="00BC0922" w:rsidRPr="007333DE" w:rsidRDefault="00DB136B" w:rsidP="00DB136B">
      <w:pPr>
        <w:pStyle w:val="enumlev1"/>
        <w:rPr>
          <w:lang w:val="en-US" w:eastAsia="zh-CN"/>
        </w:rPr>
      </w:pPr>
      <w:r w:rsidRPr="00DB136B">
        <w:rPr>
          <w:lang w:val="en-US" w:eastAsia="zh-CN"/>
        </w:rPr>
        <w:t>–</w:t>
      </w:r>
      <w:r>
        <w:rPr>
          <w:lang w:val="en-US" w:eastAsia="zh-CN"/>
        </w:rPr>
        <w:tab/>
      </w:r>
      <w:r>
        <w:rPr>
          <w:rFonts w:hint="eastAsia"/>
          <w:lang w:val="en-US" w:eastAsia="zh-CN"/>
        </w:rPr>
        <w:t>回顾</w:t>
      </w:r>
      <w:r w:rsidR="003F6444">
        <w:rPr>
          <w:rFonts w:hint="eastAsia"/>
          <w:lang w:val="en-US" w:eastAsia="zh-CN"/>
        </w:rPr>
        <w:t>本组织历史的文件和信息（国际电联历史门户网站）</w:t>
      </w:r>
    </w:p>
    <w:p w:rsidR="00BC0922" w:rsidRPr="007333DE" w:rsidRDefault="00DB136B" w:rsidP="00DB136B">
      <w:pPr>
        <w:pStyle w:val="enumlev1"/>
        <w:rPr>
          <w:lang w:val="en-US" w:eastAsia="zh-CN"/>
        </w:rPr>
      </w:pPr>
      <w:r w:rsidRPr="00DB136B">
        <w:rPr>
          <w:lang w:val="en-US" w:eastAsia="zh-CN"/>
        </w:rPr>
        <w:t>–</w:t>
      </w:r>
      <w:r>
        <w:rPr>
          <w:lang w:val="en-US" w:eastAsia="zh-CN"/>
        </w:rPr>
        <w:tab/>
      </w:r>
      <w:r w:rsidR="003F6444">
        <w:rPr>
          <w:rFonts w:hint="eastAsia"/>
          <w:lang w:val="en-US" w:eastAsia="zh-CN"/>
        </w:rPr>
        <w:t>出版物，包括：</w:t>
      </w:r>
    </w:p>
    <w:p w:rsidR="00BC0922" w:rsidRPr="007333DE" w:rsidRDefault="00DB136B" w:rsidP="00DB136B">
      <w:pPr>
        <w:pStyle w:val="enumlev2"/>
        <w:rPr>
          <w:lang w:val="en-US" w:eastAsia="zh-CN"/>
        </w:rPr>
      </w:pPr>
      <w:r w:rsidRPr="00DB136B">
        <w:rPr>
          <w:lang w:val="en-US" w:eastAsia="zh-CN"/>
        </w:rPr>
        <w:t>•</w:t>
      </w:r>
      <w:r>
        <w:rPr>
          <w:lang w:val="en-US" w:eastAsia="zh-CN"/>
        </w:rPr>
        <w:tab/>
      </w:r>
      <w:r w:rsidR="003F6444">
        <w:rPr>
          <w:rFonts w:hint="eastAsia"/>
          <w:lang w:val="en-US" w:eastAsia="zh-CN"/>
        </w:rPr>
        <w:t>本组织基本文件</w:t>
      </w:r>
    </w:p>
    <w:p w:rsidR="00BC0922" w:rsidRPr="007333DE" w:rsidRDefault="00DB136B" w:rsidP="00DB136B">
      <w:pPr>
        <w:pStyle w:val="enumlev2"/>
        <w:rPr>
          <w:lang w:val="en-US" w:eastAsia="zh-CN"/>
        </w:rPr>
      </w:pPr>
      <w:r w:rsidRPr="00DB136B">
        <w:rPr>
          <w:lang w:val="en-US" w:eastAsia="zh-CN"/>
        </w:rPr>
        <w:t>•</w:t>
      </w:r>
      <w:r>
        <w:rPr>
          <w:lang w:val="en-US" w:eastAsia="zh-CN"/>
        </w:rPr>
        <w:tab/>
      </w:r>
      <w:r w:rsidR="003F6444">
        <w:rPr>
          <w:rFonts w:hint="eastAsia"/>
          <w:lang w:val="en-US" w:eastAsia="zh-CN"/>
        </w:rPr>
        <w:t>行政法规</w:t>
      </w:r>
    </w:p>
    <w:p w:rsidR="00BC0922" w:rsidRDefault="00DB136B" w:rsidP="00DB136B">
      <w:pPr>
        <w:pStyle w:val="enumlev2"/>
        <w:rPr>
          <w:lang w:val="en-US" w:eastAsia="zh-CN"/>
        </w:rPr>
      </w:pPr>
      <w:r w:rsidRPr="00DB136B">
        <w:rPr>
          <w:lang w:val="en-US" w:eastAsia="zh-CN"/>
        </w:rPr>
        <w:t>•</w:t>
      </w:r>
      <w:r>
        <w:rPr>
          <w:lang w:val="en-US" w:eastAsia="zh-CN"/>
        </w:rPr>
        <w:tab/>
      </w:r>
      <w:r w:rsidR="003F6444">
        <w:rPr>
          <w:rFonts w:hint="eastAsia"/>
          <w:lang w:val="en-US" w:eastAsia="zh-CN"/>
        </w:rPr>
        <w:t>国际电联大会最后文件</w:t>
      </w:r>
    </w:p>
    <w:p w:rsidR="00BC0922" w:rsidRPr="007333DE" w:rsidRDefault="00DB136B" w:rsidP="00DB136B">
      <w:pPr>
        <w:pStyle w:val="enumlev2"/>
        <w:rPr>
          <w:lang w:val="en-US" w:eastAsia="zh-CN"/>
        </w:rPr>
      </w:pPr>
      <w:r w:rsidRPr="00DB136B">
        <w:rPr>
          <w:lang w:val="en-US" w:eastAsia="zh-CN"/>
        </w:rPr>
        <w:t>•</w:t>
      </w:r>
      <w:r>
        <w:rPr>
          <w:lang w:val="en-US" w:eastAsia="zh-CN"/>
        </w:rPr>
        <w:tab/>
      </w:r>
      <w:r w:rsidR="003F6444">
        <w:rPr>
          <w:rFonts w:hint="eastAsia"/>
          <w:lang w:val="en-US" w:eastAsia="zh-CN"/>
        </w:rPr>
        <w:t>理事会决议和决定</w:t>
      </w:r>
    </w:p>
    <w:p w:rsidR="00BC0922" w:rsidRPr="007333DE" w:rsidRDefault="00DB136B" w:rsidP="00DB136B">
      <w:pPr>
        <w:pStyle w:val="enumlev2"/>
        <w:rPr>
          <w:lang w:val="en-US" w:eastAsia="zh-CN"/>
        </w:rPr>
      </w:pPr>
      <w:r w:rsidRPr="00DB136B">
        <w:rPr>
          <w:lang w:val="en-US" w:eastAsia="zh-CN"/>
        </w:rPr>
        <w:t>•</w:t>
      </w:r>
      <w:r>
        <w:rPr>
          <w:lang w:val="en-US" w:eastAsia="zh-CN"/>
        </w:rPr>
        <w:tab/>
      </w:r>
      <w:r w:rsidR="001B0550">
        <w:rPr>
          <w:rFonts w:hint="eastAsia"/>
          <w:lang w:val="en-US" w:eastAsia="zh-CN"/>
        </w:rPr>
        <w:t>国际电联建议书</w:t>
      </w:r>
    </w:p>
    <w:p w:rsidR="00BC0922" w:rsidRPr="007333DE" w:rsidRDefault="00DB136B" w:rsidP="00DB136B">
      <w:pPr>
        <w:pStyle w:val="enumlev2"/>
        <w:rPr>
          <w:lang w:val="en-US" w:eastAsia="zh-CN"/>
        </w:rPr>
      </w:pPr>
      <w:r w:rsidRPr="00DB136B">
        <w:rPr>
          <w:lang w:val="en-US" w:eastAsia="zh-CN"/>
        </w:rPr>
        <w:t>•</w:t>
      </w:r>
      <w:r>
        <w:rPr>
          <w:lang w:val="en-US" w:eastAsia="zh-CN"/>
        </w:rPr>
        <w:tab/>
      </w:r>
      <w:r w:rsidR="001B0550">
        <w:rPr>
          <w:rFonts w:hint="eastAsia"/>
          <w:lang w:val="en-US" w:eastAsia="zh-CN"/>
        </w:rPr>
        <w:t>手册、导则、说明、工具书</w:t>
      </w:r>
    </w:p>
    <w:p w:rsidR="00BC0922" w:rsidRPr="007333DE" w:rsidRDefault="00DB136B" w:rsidP="00DB136B">
      <w:pPr>
        <w:pStyle w:val="enumlev2"/>
        <w:rPr>
          <w:lang w:val="en-US" w:eastAsia="zh-CN"/>
        </w:rPr>
      </w:pPr>
      <w:r w:rsidRPr="00DB136B">
        <w:rPr>
          <w:lang w:val="en-US" w:eastAsia="zh-CN"/>
        </w:rPr>
        <w:t>•</w:t>
      </w:r>
      <w:r>
        <w:rPr>
          <w:lang w:val="en-US" w:eastAsia="zh-CN"/>
        </w:rPr>
        <w:tab/>
      </w:r>
      <w:r w:rsidR="001B0550">
        <w:rPr>
          <w:rFonts w:hint="eastAsia"/>
          <w:lang w:val="en-US" w:eastAsia="zh-CN"/>
        </w:rPr>
        <w:t>业务出版物（如，</w:t>
      </w:r>
      <w:r w:rsidR="001B0550" w:rsidRPr="006B0FEC">
        <w:rPr>
          <w:rFonts w:ascii="KaiTi" w:eastAsia="KaiTi" w:hAnsi="KaiTi" w:hint="eastAsia"/>
          <w:lang w:val="en-US" w:eastAsia="zh-CN"/>
        </w:rPr>
        <w:t>国际频率表</w:t>
      </w:r>
      <w:r w:rsidR="001B0550">
        <w:rPr>
          <w:rFonts w:hint="eastAsia"/>
          <w:lang w:val="en-US" w:eastAsia="zh-CN"/>
        </w:rPr>
        <w:t>，广播电台和电报站列表等）</w:t>
      </w:r>
    </w:p>
    <w:p w:rsidR="00BC0922" w:rsidRPr="007333DE" w:rsidRDefault="00DB136B" w:rsidP="00DB136B">
      <w:pPr>
        <w:pStyle w:val="enumlev2"/>
        <w:rPr>
          <w:lang w:val="en-US" w:eastAsia="zh-CN"/>
        </w:rPr>
      </w:pPr>
      <w:r w:rsidRPr="00DB136B">
        <w:rPr>
          <w:lang w:val="en-US" w:eastAsia="zh-CN"/>
        </w:rPr>
        <w:t>•</w:t>
      </w:r>
      <w:r>
        <w:rPr>
          <w:lang w:val="en-US" w:eastAsia="zh-CN"/>
        </w:rPr>
        <w:tab/>
      </w:r>
      <w:r w:rsidR="001B0550">
        <w:rPr>
          <w:rFonts w:hint="eastAsia"/>
          <w:lang w:val="en-US" w:eastAsia="zh-CN"/>
        </w:rPr>
        <w:t>主要与无线电频谱和卫星轨道管理相关的软件和数据库，以及国际电联标准化部门的一些数据库（如，国际编码资源等）</w:t>
      </w:r>
    </w:p>
    <w:p w:rsidR="00BC0922" w:rsidRPr="007333DE" w:rsidRDefault="00DB136B" w:rsidP="00DB136B">
      <w:pPr>
        <w:pStyle w:val="enumlev2"/>
        <w:rPr>
          <w:lang w:val="en-US" w:eastAsia="zh-CN"/>
        </w:rPr>
      </w:pPr>
      <w:r w:rsidRPr="00DB136B">
        <w:rPr>
          <w:lang w:val="en-US" w:eastAsia="zh-CN"/>
        </w:rPr>
        <w:t>•</w:t>
      </w:r>
      <w:r>
        <w:rPr>
          <w:lang w:val="en-US" w:eastAsia="zh-CN"/>
        </w:rPr>
        <w:tab/>
      </w:r>
      <w:r w:rsidR="001B0550">
        <w:rPr>
          <w:rFonts w:hint="eastAsia"/>
          <w:lang w:val="en-US" w:eastAsia="zh-CN"/>
        </w:rPr>
        <w:t>各类报告、分析，包括行业和信息通信技术趋势的报告</w:t>
      </w:r>
    </w:p>
    <w:p w:rsidR="00BC0922" w:rsidRPr="007333DE" w:rsidRDefault="00DB136B" w:rsidP="00DB136B">
      <w:pPr>
        <w:pStyle w:val="enumlev2"/>
        <w:rPr>
          <w:lang w:val="en-US" w:eastAsia="zh-CN"/>
        </w:rPr>
      </w:pPr>
      <w:r w:rsidRPr="00DB136B">
        <w:rPr>
          <w:lang w:val="en-US" w:eastAsia="zh-CN"/>
        </w:rPr>
        <w:t>•</w:t>
      </w:r>
      <w:r>
        <w:rPr>
          <w:lang w:val="en-US" w:eastAsia="zh-CN"/>
        </w:rPr>
        <w:tab/>
      </w:r>
      <w:r w:rsidR="001B0550">
        <w:rPr>
          <w:rFonts w:hint="eastAsia"/>
          <w:lang w:val="en-US" w:eastAsia="zh-CN"/>
        </w:rPr>
        <w:t>讲习班、研讨会和专题讲座的进程</w:t>
      </w:r>
    </w:p>
    <w:p w:rsidR="00BC0922" w:rsidRPr="007333DE" w:rsidRDefault="00DB136B" w:rsidP="00DB136B">
      <w:pPr>
        <w:pStyle w:val="enumlev2"/>
        <w:rPr>
          <w:lang w:val="en-US" w:eastAsia="zh-CN"/>
        </w:rPr>
      </w:pPr>
      <w:r w:rsidRPr="00DB136B">
        <w:rPr>
          <w:lang w:val="en-US" w:eastAsia="zh-CN"/>
        </w:rPr>
        <w:lastRenderedPageBreak/>
        <w:t>•</w:t>
      </w:r>
      <w:r>
        <w:rPr>
          <w:lang w:val="en-US" w:eastAsia="zh-CN"/>
        </w:rPr>
        <w:tab/>
      </w:r>
      <w:r w:rsidR="00BC0922">
        <w:rPr>
          <w:lang w:val="en-US" w:eastAsia="zh-CN"/>
        </w:rPr>
        <w:t>ICT</w:t>
      </w:r>
      <w:r w:rsidR="001B0550">
        <w:rPr>
          <w:rFonts w:hint="eastAsia"/>
          <w:lang w:val="en-US" w:eastAsia="zh-CN"/>
        </w:rPr>
        <w:t>数据、数字、统计解析</w:t>
      </w:r>
    </w:p>
    <w:p w:rsidR="00BC0922" w:rsidRPr="007333DE" w:rsidRDefault="00DB136B" w:rsidP="00DB136B">
      <w:pPr>
        <w:pStyle w:val="enumlev2"/>
        <w:rPr>
          <w:lang w:val="en-US" w:eastAsia="zh-CN"/>
        </w:rPr>
      </w:pPr>
      <w:r w:rsidRPr="00DB136B">
        <w:rPr>
          <w:lang w:val="en-US" w:eastAsia="zh-CN"/>
        </w:rPr>
        <w:t>•</w:t>
      </w:r>
      <w:r>
        <w:rPr>
          <w:lang w:val="en-US" w:eastAsia="zh-CN"/>
        </w:rPr>
        <w:tab/>
      </w:r>
      <w:r w:rsidR="006B0FEC">
        <w:rPr>
          <w:rFonts w:hint="eastAsia"/>
          <w:lang w:val="en-US" w:eastAsia="zh-CN"/>
        </w:rPr>
        <w:t>术语表和词汇表</w:t>
      </w:r>
    </w:p>
    <w:p w:rsidR="00BC0922" w:rsidRPr="00DB136B" w:rsidRDefault="00DB136B" w:rsidP="00DB136B">
      <w:pPr>
        <w:pStyle w:val="enumlev2"/>
        <w:rPr>
          <w:rFonts w:ascii="STKaiti" w:eastAsia="STKaiti" w:hAnsi="STKaiti"/>
          <w:lang w:val="en-US" w:eastAsia="zh-CN"/>
        </w:rPr>
      </w:pPr>
      <w:r w:rsidRPr="00DB136B">
        <w:rPr>
          <w:lang w:val="en-US" w:eastAsia="zh-CN"/>
        </w:rPr>
        <w:t>•</w:t>
      </w:r>
      <w:r>
        <w:rPr>
          <w:lang w:val="en-US" w:eastAsia="zh-CN"/>
        </w:rPr>
        <w:tab/>
      </w:r>
      <w:r w:rsidR="006B0FEC" w:rsidRPr="00DB136B">
        <w:rPr>
          <w:rFonts w:ascii="STKaiti" w:eastAsia="STKaiti" w:hAnsi="STKaiti" w:hint="eastAsia"/>
          <w:lang w:val="en-US" w:eastAsia="zh-CN"/>
        </w:rPr>
        <w:t>国际电联新闻（前身是1869</w:t>
      </w:r>
      <w:r w:rsidR="006B0FEC" w:rsidRPr="00DB136B">
        <w:rPr>
          <w:rFonts w:ascii="STKaiti" w:eastAsia="STKaiti" w:hAnsi="STKaiti"/>
          <w:lang w:val="en-US" w:eastAsia="zh-CN"/>
        </w:rPr>
        <w:t>—</w:t>
      </w:r>
      <w:r w:rsidR="006B0FEC" w:rsidRPr="00DB136B">
        <w:rPr>
          <w:rFonts w:ascii="STKaiti" w:eastAsia="STKaiti" w:hAnsi="STKaiti" w:hint="eastAsia"/>
          <w:lang w:val="en-US" w:eastAsia="zh-CN"/>
        </w:rPr>
        <w:t>1933年的电讯期刊，1934年-1993年的电信期刊）</w:t>
      </w:r>
    </w:p>
    <w:p w:rsidR="00BC0922" w:rsidRPr="007333DE" w:rsidRDefault="00BC0922" w:rsidP="00717537">
      <w:pPr>
        <w:tabs>
          <w:tab w:val="clear" w:pos="567"/>
          <w:tab w:val="clear" w:pos="1134"/>
          <w:tab w:val="clear" w:pos="1701"/>
          <w:tab w:val="clear" w:pos="2268"/>
          <w:tab w:val="clear" w:pos="2835"/>
        </w:tabs>
        <w:snapToGrid w:val="0"/>
        <w:spacing w:before="160" w:after="120"/>
        <w:rPr>
          <w:szCs w:val="24"/>
          <w:lang w:eastAsia="zh-CN"/>
        </w:rPr>
      </w:pPr>
      <w:r w:rsidRPr="007333DE">
        <w:rPr>
          <w:szCs w:val="24"/>
          <w:lang w:eastAsia="zh-CN"/>
        </w:rPr>
        <w:t>2.</w:t>
      </w:r>
      <w:r>
        <w:rPr>
          <w:szCs w:val="24"/>
          <w:lang w:eastAsia="zh-CN"/>
        </w:rPr>
        <w:t>4</w:t>
      </w:r>
      <w:r>
        <w:rPr>
          <w:szCs w:val="24"/>
          <w:lang w:eastAsia="zh-CN"/>
        </w:rPr>
        <w:tab/>
      </w:r>
      <w:r w:rsidR="006B0FEC">
        <w:rPr>
          <w:rFonts w:hint="eastAsia"/>
          <w:szCs w:val="24"/>
          <w:lang w:eastAsia="zh-CN"/>
        </w:rPr>
        <w:t>获取国际电联大会和会议信息</w:t>
      </w:r>
    </w:p>
    <w:p w:rsidR="00BC0922" w:rsidRPr="00AB457D" w:rsidRDefault="006B0FEC" w:rsidP="00717537">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en-US" w:eastAsia="zh-CN"/>
        </w:rPr>
      </w:pPr>
      <w:r w:rsidRPr="00DB136B">
        <w:rPr>
          <w:rFonts w:ascii="STKaiti" w:eastAsia="STKaiti" w:hAnsi="STKaiti" w:cstheme="minorBidi" w:hint="eastAsia"/>
          <w:szCs w:val="24"/>
          <w:lang w:val="en-US" w:eastAsia="zh-CN"/>
        </w:rPr>
        <w:t>国际电联大会</w:t>
      </w:r>
      <w:r w:rsidR="00E9509A">
        <w:rPr>
          <w:rFonts w:asciiTheme="minorHAnsi" w:eastAsiaTheme="minorEastAsia" w:hAnsiTheme="minorHAnsi" w:cstheme="minorBidi" w:hint="eastAsia"/>
          <w:szCs w:val="24"/>
          <w:lang w:val="en-US" w:eastAsia="zh-CN"/>
        </w:rPr>
        <w:t>包括</w:t>
      </w:r>
      <w:r>
        <w:rPr>
          <w:rFonts w:asciiTheme="minorHAnsi" w:eastAsiaTheme="minorEastAsia" w:hAnsiTheme="minorHAnsi" w:cstheme="minorBidi" w:hint="eastAsia"/>
          <w:szCs w:val="24"/>
          <w:lang w:val="en-US" w:eastAsia="zh-CN"/>
        </w:rPr>
        <w:t>：全权代表大会、世界国际电信大会、世界和区域无线电通信大会、世界和区域电信发展大会。</w:t>
      </w:r>
    </w:p>
    <w:p w:rsidR="00BC0922" w:rsidRPr="00AB457D" w:rsidRDefault="009D2049" w:rsidP="00717537">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en-US" w:eastAsia="zh-CN"/>
        </w:rPr>
      </w:pPr>
      <w:r w:rsidRPr="00E9509A">
        <w:rPr>
          <w:rFonts w:ascii="STKaiti" w:eastAsia="STKaiti" w:hAnsi="STKaiti" w:cstheme="minorBidi" w:hint="eastAsia"/>
          <w:szCs w:val="24"/>
          <w:lang w:val="en-US" w:eastAsia="zh-CN"/>
        </w:rPr>
        <w:t>国际电联会议</w:t>
      </w:r>
      <w:r w:rsidRPr="00E9509A">
        <w:rPr>
          <w:rFonts w:asciiTheme="minorEastAsia" w:eastAsiaTheme="minorEastAsia" w:hAnsiTheme="minorEastAsia" w:cstheme="minorBidi" w:hint="eastAsia"/>
          <w:szCs w:val="24"/>
          <w:lang w:val="en-US" w:eastAsia="zh-CN"/>
        </w:rPr>
        <w:t>主要</w:t>
      </w:r>
      <w:r w:rsidRPr="009D2049">
        <w:rPr>
          <w:rFonts w:asciiTheme="minorHAnsi" w:eastAsiaTheme="minorEastAsia" w:hAnsiTheme="minorHAnsi" w:cstheme="minorBidi" w:hint="eastAsia"/>
          <w:szCs w:val="24"/>
          <w:lang w:val="en-US" w:eastAsia="zh-CN"/>
        </w:rPr>
        <w:t>包括：</w:t>
      </w:r>
      <w:r>
        <w:rPr>
          <w:rFonts w:asciiTheme="minorHAnsi" w:eastAsiaTheme="minorEastAsia" w:hAnsiTheme="minorHAnsi" w:cstheme="minorBidi" w:hint="eastAsia"/>
          <w:szCs w:val="24"/>
          <w:lang w:val="en-US" w:eastAsia="zh-CN"/>
        </w:rPr>
        <w:t>理事会会议，国际电联标准化部门和无线电通信部门全会、研究组会议、部门顾问组会议和无线电规则委员会会议。</w:t>
      </w:r>
    </w:p>
    <w:p w:rsidR="00BC0922" w:rsidRPr="00E9509A" w:rsidRDefault="00BC0922" w:rsidP="00717537">
      <w:pPr>
        <w:tabs>
          <w:tab w:val="clear" w:pos="567"/>
          <w:tab w:val="clear" w:pos="1134"/>
          <w:tab w:val="clear" w:pos="1701"/>
          <w:tab w:val="clear" w:pos="2268"/>
          <w:tab w:val="clear" w:pos="2835"/>
        </w:tabs>
        <w:snapToGrid w:val="0"/>
        <w:spacing w:before="160" w:after="120"/>
        <w:ind w:left="1560" w:hanging="851"/>
        <w:rPr>
          <w:rFonts w:ascii="STKaiti" w:eastAsia="STKaiti" w:hAnsi="STKaiti"/>
          <w:szCs w:val="24"/>
          <w:u w:val="single"/>
          <w:lang w:eastAsia="zh-CN"/>
        </w:rPr>
      </w:pPr>
      <w:r w:rsidRPr="00E9509A">
        <w:rPr>
          <w:rFonts w:ascii="STKaiti" w:eastAsia="STKaiti" w:hAnsi="STKaiti"/>
          <w:szCs w:val="24"/>
          <w:lang w:eastAsia="zh-CN"/>
        </w:rPr>
        <w:t>2.4.1</w:t>
      </w:r>
      <w:r w:rsidRPr="00E9509A">
        <w:rPr>
          <w:rFonts w:ascii="STKaiti" w:eastAsia="STKaiti" w:hAnsi="STKaiti"/>
          <w:szCs w:val="24"/>
          <w:lang w:eastAsia="zh-CN"/>
        </w:rPr>
        <w:tab/>
      </w:r>
      <w:r w:rsidR="009D2049" w:rsidRPr="00E9509A">
        <w:rPr>
          <w:rFonts w:ascii="STKaiti" w:eastAsia="STKaiti" w:hAnsi="STKaiti" w:hint="eastAsia"/>
          <w:szCs w:val="24"/>
          <w:u w:val="single"/>
          <w:lang w:eastAsia="zh-CN"/>
        </w:rPr>
        <w:t>信息获取方式</w:t>
      </w:r>
    </w:p>
    <w:p w:rsidR="00BC0922" w:rsidRPr="00AB457D" w:rsidRDefault="002C5629" w:rsidP="00E9509A">
      <w:pPr>
        <w:tabs>
          <w:tab w:val="clear" w:pos="567"/>
          <w:tab w:val="clear" w:pos="1134"/>
          <w:tab w:val="clear" w:pos="1701"/>
          <w:tab w:val="clear" w:pos="2268"/>
          <w:tab w:val="clear" w:pos="2835"/>
        </w:tabs>
        <w:overflowPunct/>
        <w:autoSpaceDE/>
        <w:autoSpaceDN/>
        <w:adjustRightInd/>
        <w:snapToGrid w:val="0"/>
        <w:spacing w:after="120"/>
        <w:ind w:firstLineChars="200" w:firstLine="480"/>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hint="eastAsia"/>
          <w:szCs w:val="24"/>
          <w:lang w:val="en-US" w:eastAsia="zh-CN"/>
        </w:rPr>
        <w:t>国际电联的所有大会和会议文件在信息获取方面地位相同。无论日程、成员国文稿、秘书处文件、会议纪要等，只限国际电联成员使用，不向外界提供。</w:t>
      </w:r>
      <w:r>
        <w:rPr>
          <w:rFonts w:asciiTheme="minorHAnsi" w:eastAsiaTheme="minorEastAsia" w:hAnsiTheme="minorHAnsi" w:cstheme="minorBidi" w:hint="eastAsia"/>
          <w:szCs w:val="24"/>
          <w:lang w:val="en-US" w:eastAsia="zh-CN"/>
        </w:rPr>
        <w:t>WCIT-12</w:t>
      </w:r>
      <w:r w:rsidR="00DB136B">
        <w:rPr>
          <w:rFonts w:asciiTheme="minorHAnsi" w:eastAsiaTheme="minorEastAsia" w:hAnsiTheme="minorHAnsi" w:cstheme="minorBidi" w:hint="eastAsia"/>
          <w:szCs w:val="24"/>
          <w:lang w:val="en-US" w:eastAsia="zh-CN"/>
        </w:rPr>
        <w:t>是</w:t>
      </w:r>
      <w:r>
        <w:rPr>
          <w:rFonts w:asciiTheme="minorHAnsi" w:eastAsiaTheme="minorEastAsia" w:hAnsiTheme="minorHAnsi" w:cstheme="minorBidi" w:hint="eastAsia"/>
          <w:szCs w:val="24"/>
          <w:lang w:val="en-US" w:eastAsia="zh-CN"/>
        </w:rPr>
        <w:t>一次例外。大会决定成员国文稿应向公众开放，但大会的其他文件则仍然只限于</w:t>
      </w:r>
      <w:r>
        <w:rPr>
          <w:rFonts w:asciiTheme="minorHAnsi" w:eastAsiaTheme="minorEastAsia" w:hAnsiTheme="minorHAnsi" w:cstheme="minorBidi" w:hint="eastAsia"/>
          <w:szCs w:val="24"/>
          <w:lang w:val="en-US" w:eastAsia="zh-CN"/>
        </w:rPr>
        <w:t>TIES</w:t>
      </w:r>
      <w:r>
        <w:rPr>
          <w:rFonts w:asciiTheme="minorHAnsi" w:eastAsiaTheme="minorEastAsia" w:hAnsiTheme="minorHAnsi" w:cstheme="minorBidi" w:hint="eastAsia"/>
          <w:szCs w:val="24"/>
          <w:lang w:val="en-US" w:eastAsia="zh-CN"/>
        </w:rPr>
        <w:t>用户使用。</w:t>
      </w:r>
    </w:p>
    <w:p w:rsidR="00BC0922" w:rsidRPr="00E9509A" w:rsidRDefault="00BC0922" w:rsidP="00717537">
      <w:pPr>
        <w:tabs>
          <w:tab w:val="clear" w:pos="567"/>
          <w:tab w:val="clear" w:pos="1134"/>
          <w:tab w:val="clear" w:pos="1701"/>
          <w:tab w:val="clear" w:pos="2268"/>
          <w:tab w:val="clear" w:pos="2835"/>
        </w:tabs>
        <w:overflowPunct/>
        <w:autoSpaceDE/>
        <w:autoSpaceDN/>
        <w:adjustRightInd/>
        <w:snapToGrid w:val="0"/>
        <w:spacing w:before="160" w:after="120"/>
        <w:ind w:left="1560" w:hanging="851"/>
        <w:textAlignment w:val="auto"/>
        <w:rPr>
          <w:rFonts w:ascii="STKaiti" w:eastAsia="STKaiti" w:hAnsi="STKaiti" w:cstheme="minorBidi"/>
          <w:szCs w:val="24"/>
          <w:u w:val="single"/>
          <w:lang w:val="en-US" w:eastAsia="zh-CN"/>
        </w:rPr>
      </w:pPr>
      <w:r w:rsidRPr="00E9509A">
        <w:rPr>
          <w:rFonts w:ascii="STKaiti" w:eastAsia="STKaiti" w:hAnsi="STKaiti" w:cstheme="minorBidi"/>
          <w:szCs w:val="24"/>
          <w:lang w:val="en-US" w:eastAsia="zh-CN"/>
        </w:rPr>
        <w:t>2.4.2</w:t>
      </w:r>
      <w:r w:rsidRPr="00E9509A">
        <w:rPr>
          <w:rFonts w:ascii="STKaiti" w:eastAsia="STKaiti" w:hAnsi="STKaiti" w:cstheme="minorBidi"/>
          <w:szCs w:val="24"/>
          <w:lang w:val="en-US" w:eastAsia="zh-CN"/>
        </w:rPr>
        <w:tab/>
      </w:r>
      <w:r w:rsidR="002C5629" w:rsidRPr="00E9509A">
        <w:rPr>
          <w:rFonts w:ascii="STKaiti" w:eastAsia="STKaiti" w:hAnsi="STKaiti" w:cstheme="minorBidi" w:hint="eastAsia"/>
          <w:szCs w:val="24"/>
          <w:u w:val="single"/>
          <w:lang w:val="en-US" w:eastAsia="zh-CN"/>
        </w:rPr>
        <w:t>获取的时间</w:t>
      </w:r>
    </w:p>
    <w:p w:rsidR="00BC0922" w:rsidRPr="00A1056E" w:rsidRDefault="000A61AE" w:rsidP="00E9509A">
      <w:pPr>
        <w:tabs>
          <w:tab w:val="clear" w:pos="567"/>
          <w:tab w:val="clear" w:pos="1134"/>
          <w:tab w:val="clear" w:pos="1701"/>
          <w:tab w:val="clear" w:pos="2268"/>
          <w:tab w:val="clear" w:pos="2835"/>
        </w:tabs>
        <w:overflowPunct/>
        <w:autoSpaceDE/>
        <w:autoSpaceDN/>
        <w:adjustRightInd/>
        <w:snapToGrid w:val="0"/>
        <w:spacing w:after="120"/>
        <w:ind w:firstLineChars="200" w:firstLine="480"/>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hint="eastAsia"/>
          <w:szCs w:val="24"/>
          <w:lang w:val="en-US" w:eastAsia="zh-CN"/>
        </w:rPr>
        <w:t>在会前和会间，大会和会议文件不向外界提供，但会议结束后可提供会议部分或全部文件。这一做法过去很普遍，但是自</w:t>
      </w:r>
      <w:r>
        <w:rPr>
          <w:rFonts w:asciiTheme="minorHAnsi" w:eastAsiaTheme="minorEastAsia" w:hAnsiTheme="minorHAnsi" w:cstheme="minorBidi" w:hint="eastAsia"/>
          <w:szCs w:val="24"/>
          <w:lang w:val="en-US" w:eastAsia="zh-CN"/>
        </w:rPr>
        <w:t>1992</w:t>
      </w:r>
      <w:r>
        <w:rPr>
          <w:rFonts w:asciiTheme="minorHAnsi" w:eastAsiaTheme="minorEastAsia" w:hAnsiTheme="minorHAnsi" w:cstheme="minorBidi" w:hint="eastAsia"/>
          <w:szCs w:val="24"/>
          <w:lang w:val="en-US" w:eastAsia="zh-CN"/>
        </w:rPr>
        <w:t>年以后日趋严格。如今，有些情况下，会议结束后过一段时间才向外界提供大会和会议文件。</w:t>
      </w:r>
    </w:p>
    <w:p w:rsidR="00BC0922" w:rsidRPr="00A1056E" w:rsidRDefault="00E9509A" w:rsidP="00E9509A">
      <w:pPr>
        <w:pStyle w:val="enumlev1"/>
        <w:rPr>
          <w:lang w:val="en-US" w:eastAsia="zh-CN"/>
        </w:rPr>
      </w:pPr>
      <w:r w:rsidRPr="00E9509A">
        <w:rPr>
          <w:lang w:val="en-US" w:eastAsia="zh-CN"/>
        </w:rPr>
        <w:t>–</w:t>
      </w:r>
      <w:r>
        <w:rPr>
          <w:lang w:val="en-US" w:eastAsia="zh-CN"/>
        </w:rPr>
        <w:tab/>
      </w:r>
      <w:r w:rsidR="000A61AE">
        <w:rPr>
          <w:rFonts w:hint="eastAsia"/>
          <w:lang w:val="en-US" w:eastAsia="zh-CN"/>
        </w:rPr>
        <w:t>但是这一做法有两个例外：</w:t>
      </w:r>
    </w:p>
    <w:p w:rsidR="00BC0922" w:rsidRPr="00A1056E" w:rsidRDefault="00E9509A" w:rsidP="00E9509A">
      <w:pPr>
        <w:pStyle w:val="enumlev2"/>
        <w:rPr>
          <w:lang w:val="en-US" w:eastAsia="zh-CN"/>
        </w:rPr>
      </w:pPr>
      <w:r w:rsidRPr="00E9509A">
        <w:rPr>
          <w:lang w:val="en-US" w:eastAsia="zh-CN"/>
        </w:rPr>
        <w:t>•</w:t>
      </w:r>
      <w:r>
        <w:rPr>
          <w:lang w:val="en-US" w:eastAsia="zh-CN"/>
        </w:rPr>
        <w:tab/>
      </w:r>
      <w:r w:rsidR="00BC0922" w:rsidRPr="00A1056E">
        <w:rPr>
          <w:lang w:val="en-US" w:eastAsia="zh-CN"/>
        </w:rPr>
        <w:t>WCIT-12</w:t>
      </w:r>
      <w:r w:rsidR="000A61AE">
        <w:rPr>
          <w:rFonts w:hint="eastAsia"/>
          <w:lang w:val="en-US" w:eastAsia="zh-CN"/>
        </w:rPr>
        <w:t>：</w:t>
      </w:r>
      <w:r w:rsidR="0038018E">
        <w:rPr>
          <w:rFonts w:hint="eastAsia"/>
          <w:lang w:val="en-US" w:eastAsia="zh-CN"/>
        </w:rPr>
        <w:t>大会决定成员国的文稿立即向公众开放。</w:t>
      </w:r>
    </w:p>
    <w:p w:rsidR="00BC0922" w:rsidRPr="00A1056E" w:rsidRDefault="00E9509A" w:rsidP="00E9509A">
      <w:pPr>
        <w:pStyle w:val="enumlev2"/>
        <w:rPr>
          <w:lang w:val="en-US" w:eastAsia="zh-CN"/>
        </w:rPr>
      </w:pPr>
      <w:r w:rsidRPr="00E9509A">
        <w:rPr>
          <w:lang w:val="en-US" w:eastAsia="zh-CN"/>
        </w:rPr>
        <w:t>•</w:t>
      </w:r>
      <w:r>
        <w:rPr>
          <w:lang w:val="en-US" w:eastAsia="zh-CN"/>
        </w:rPr>
        <w:tab/>
      </w:r>
      <w:r w:rsidR="0038018E">
        <w:rPr>
          <w:rFonts w:hint="eastAsia"/>
          <w:lang w:val="en-US" w:eastAsia="zh-CN"/>
        </w:rPr>
        <w:t>所有</w:t>
      </w:r>
      <w:r w:rsidR="00BC0922" w:rsidRPr="00A1056E">
        <w:rPr>
          <w:lang w:val="en-US" w:eastAsia="zh-CN"/>
        </w:rPr>
        <w:t>RAG</w:t>
      </w:r>
      <w:r w:rsidR="0038018E">
        <w:rPr>
          <w:rFonts w:hint="eastAsia"/>
          <w:lang w:val="en-US" w:eastAsia="zh-CN"/>
        </w:rPr>
        <w:t>会议：所有文件立即向公众开放。</w:t>
      </w:r>
    </w:p>
    <w:p w:rsidR="00BC0922" w:rsidRDefault="00BC0922" w:rsidP="00717537">
      <w:pPr>
        <w:tabs>
          <w:tab w:val="clear" w:pos="567"/>
          <w:tab w:val="clear" w:pos="1134"/>
          <w:tab w:val="clear" w:pos="1701"/>
          <w:tab w:val="clear" w:pos="2268"/>
          <w:tab w:val="clear" w:pos="2835"/>
        </w:tabs>
        <w:snapToGrid w:val="0"/>
        <w:spacing w:before="160" w:after="120"/>
        <w:rPr>
          <w:szCs w:val="24"/>
          <w:lang w:eastAsia="zh-CN"/>
        </w:rPr>
      </w:pPr>
      <w:r w:rsidRPr="00A1056E">
        <w:rPr>
          <w:szCs w:val="24"/>
          <w:lang w:eastAsia="zh-CN"/>
        </w:rPr>
        <w:t>2.</w:t>
      </w:r>
      <w:r>
        <w:rPr>
          <w:szCs w:val="24"/>
          <w:lang w:eastAsia="zh-CN"/>
        </w:rPr>
        <w:t>5</w:t>
      </w:r>
      <w:r>
        <w:rPr>
          <w:szCs w:val="24"/>
          <w:lang w:eastAsia="zh-CN"/>
        </w:rPr>
        <w:tab/>
      </w:r>
      <w:r w:rsidR="0038018E">
        <w:rPr>
          <w:rFonts w:hint="eastAsia"/>
          <w:szCs w:val="24"/>
          <w:lang w:eastAsia="zh-CN"/>
        </w:rPr>
        <w:t>新型公开协商</w:t>
      </w:r>
    </w:p>
    <w:p w:rsidR="00BC0922" w:rsidRDefault="0038018E" w:rsidP="00E9509A">
      <w:pPr>
        <w:tabs>
          <w:tab w:val="clear" w:pos="567"/>
          <w:tab w:val="clear" w:pos="1134"/>
          <w:tab w:val="clear" w:pos="1701"/>
          <w:tab w:val="clear" w:pos="2268"/>
          <w:tab w:val="clear" w:pos="2835"/>
        </w:tabs>
        <w:snapToGrid w:val="0"/>
        <w:spacing w:after="120"/>
        <w:ind w:firstLineChars="200" w:firstLine="480"/>
        <w:rPr>
          <w:szCs w:val="24"/>
          <w:lang w:eastAsia="zh-CN"/>
        </w:rPr>
      </w:pPr>
      <w:r>
        <w:rPr>
          <w:rFonts w:hint="eastAsia"/>
          <w:szCs w:val="24"/>
          <w:lang w:eastAsia="zh-CN"/>
        </w:rPr>
        <w:t>2013</w:t>
      </w:r>
      <w:r>
        <w:rPr>
          <w:rFonts w:hint="eastAsia"/>
          <w:szCs w:val="24"/>
          <w:lang w:eastAsia="zh-CN"/>
        </w:rPr>
        <w:t>年，在制定</w:t>
      </w:r>
      <w:r>
        <w:rPr>
          <w:rFonts w:hint="eastAsia"/>
          <w:szCs w:val="24"/>
          <w:lang w:eastAsia="zh-CN"/>
        </w:rPr>
        <w:t>2016</w:t>
      </w:r>
      <w:r w:rsidR="00E9509A">
        <w:rPr>
          <w:szCs w:val="24"/>
          <w:lang w:eastAsia="zh-CN"/>
        </w:rPr>
        <w:t>-</w:t>
      </w:r>
      <w:r>
        <w:rPr>
          <w:rFonts w:hint="eastAsia"/>
          <w:szCs w:val="24"/>
          <w:lang w:eastAsia="zh-CN"/>
        </w:rPr>
        <w:t>2019</w:t>
      </w:r>
      <w:r>
        <w:rPr>
          <w:rFonts w:hint="eastAsia"/>
          <w:szCs w:val="24"/>
          <w:lang w:eastAsia="zh-CN"/>
        </w:rPr>
        <w:t>国际电联战略规划草案过程中首开先河推出了公开协商的创举</w:t>
      </w:r>
      <w:r w:rsidR="00644680">
        <w:rPr>
          <w:rFonts w:hint="eastAsia"/>
          <w:szCs w:val="24"/>
          <w:lang w:eastAsia="zh-CN"/>
        </w:rPr>
        <w:t>。共举行三次公开协商：秘书长通过新型民意平台开展一次非正式公开协商；</w:t>
      </w:r>
      <w:r w:rsidR="00912E46">
        <w:fldChar w:fldCharType="begin"/>
      </w:r>
      <w:r w:rsidR="00912E46">
        <w:rPr>
          <w:lang w:eastAsia="zh-CN"/>
        </w:rPr>
        <w:instrText xml:space="preserve"> HYPERLINK "http://www.itu.int/en/council/wg-sfp/Pages/default.aspx" </w:instrText>
      </w:r>
      <w:r w:rsidR="00912E46">
        <w:fldChar w:fldCharType="separate"/>
      </w:r>
      <w:r w:rsidR="00644680">
        <w:rPr>
          <w:rStyle w:val="Hyperlink"/>
          <w:rFonts w:cs="Segoe UI" w:hint="eastAsia"/>
          <w:lang w:eastAsia="zh-CN"/>
        </w:rPr>
        <w:t>理事会</w:t>
      </w:r>
      <w:r w:rsidR="00644680">
        <w:rPr>
          <w:rStyle w:val="Hyperlink"/>
          <w:rFonts w:cs="Segoe UI" w:hint="eastAsia"/>
          <w:lang w:eastAsia="zh-CN"/>
        </w:rPr>
        <w:t>2016</w:t>
      </w:r>
      <w:r w:rsidR="002037EE">
        <w:rPr>
          <w:rStyle w:val="Hyperlink"/>
          <w:rFonts w:cs="Segoe UI"/>
          <w:lang w:eastAsia="zh-CN"/>
        </w:rPr>
        <w:t>-</w:t>
      </w:r>
      <w:r w:rsidR="00644680">
        <w:rPr>
          <w:rStyle w:val="Hyperlink"/>
          <w:rFonts w:cs="Segoe UI" w:hint="eastAsia"/>
          <w:lang w:eastAsia="zh-CN"/>
        </w:rPr>
        <w:t>2019</w:t>
      </w:r>
      <w:r w:rsidR="00644680">
        <w:rPr>
          <w:rStyle w:val="Hyperlink"/>
          <w:rFonts w:cs="Segoe UI" w:hint="eastAsia"/>
          <w:lang w:eastAsia="zh-CN"/>
        </w:rPr>
        <w:t>国际电联战略规划和财务规划起草工作组</w:t>
      </w:r>
      <w:r w:rsidR="00912E46">
        <w:rPr>
          <w:rStyle w:val="Hyperlink"/>
          <w:rFonts w:cs="Segoe UI"/>
          <w:lang w:eastAsia="zh-CN"/>
        </w:rPr>
        <w:fldChar w:fldCharType="end"/>
      </w:r>
      <w:r w:rsidR="00644680">
        <w:rPr>
          <w:rFonts w:cs="Segoe UI" w:hint="eastAsia"/>
          <w:color w:val="000000"/>
          <w:lang w:eastAsia="zh-CN"/>
        </w:rPr>
        <w:t>就战略规划框架建议和</w:t>
      </w:r>
      <w:r w:rsidR="00644680">
        <w:rPr>
          <w:rFonts w:cs="Segoe UI" w:hint="eastAsia"/>
          <w:color w:val="000000"/>
          <w:lang w:eastAsia="zh-CN"/>
        </w:rPr>
        <w:t>2016</w:t>
      </w:r>
      <w:r w:rsidR="002037EE">
        <w:rPr>
          <w:rFonts w:cs="Segoe UI"/>
          <w:color w:val="000000"/>
          <w:lang w:eastAsia="zh-CN"/>
        </w:rPr>
        <w:t>-</w:t>
      </w:r>
      <w:r w:rsidR="00644680">
        <w:rPr>
          <w:rFonts w:cs="Segoe UI" w:hint="eastAsia"/>
          <w:color w:val="000000"/>
          <w:lang w:eastAsia="zh-CN"/>
        </w:rPr>
        <w:t>2019</w:t>
      </w:r>
      <w:r w:rsidR="00644680">
        <w:rPr>
          <w:rFonts w:cs="Segoe UI" w:hint="eastAsia"/>
          <w:color w:val="000000"/>
          <w:lang w:eastAsia="zh-CN"/>
        </w:rPr>
        <w:t>战略规划草案文本举行两次公开协商。</w:t>
      </w:r>
    </w:p>
    <w:p w:rsidR="00BC0922" w:rsidRPr="00A1056E" w:rsidRDefault="00BC0922" w:rsidP="00717537">
      <w:pPr>
        <w:tabs>
          <w:tab w:val="clear" w:pos="567"/>
          <w:tab w:val="clear" w:pos="1134"/>
          <w:tab w:val="clear" w:pos="1701"/>
          <w:tab w:val="clear" w:pos="2268"/>
          <w:tab w:val="clear" w:pos="2835"/>
        </w:tabs>
        <w:snapToGrid w:val="0"/>
        <w:spacing w:before="160" w:after="120"/>
        <w:rPr>
          <w:szCs w:val="24"/>
          <w:lang w:eastAsia="zh-CN"/>
        </w:rPr>
      </w:pPr>
      <w:r>
        <w:rPr>
          <w:szCs w:val="24"/>
          <w:lang w:eastAsia="zh-CN"/>
        </w:rPr>
        <w:t>2.6</w:t>
      </w:r>
      <w:r>
        <w:rPr>
          <w:szCs w:val="24"/>
          <w:lang w:eastAsia="zh-CN"/>
        </w:rPr>
        <w:tab/>
      </w:r>
      <w:r w:rsidR="00644680">
        <w:rPr>
          <w:rFonts w:hint="eastAsia"/>
          <w:szCs w:val="24"/>
          <w:lang w:eastAsia="zh-CN"/>
        </w:rPr>
        <w:t>有关国际电联做法的详情，见</w:t>
      </w:r>
      <w:r w:rsidR="00912E46">
        <w:fldChar w:fldCharType="begin"/>
      </w:r>
      <w:r w:rsidR="00912E46">
        <w:rPr>
          <w:lang w:eastAsia="zh-CN"/>
        </w:rPr>
        <w:instrText xml:space="preserve"> HYPERLINK "http://www.itu.int/md/S14-CL-INF-0020/en" </w:instrText>
      </w:r>
      <w:r w:rsidR="00912E46">
        <w:fldChar w:fldCharType="separate"/>
      </w:r>
      <w:r w:rsidRPr="00F7207D">
        <w:rPr>
          <w:rStyle w:val="Hyperlink"/>
          <w:szCs w:val="24"/>
          <w:lang w:eastAsia="zh-CN"/>
        </w:rPr>
        <w:t>C14/INF/20</w:t>
      </w:r>
      <w:r w:rsidR="00912E46">
        <w:rPr>
          <w:rStyle w:val="Hyperlink"/>
          <w:szCs w:val="24"/>
          <w:lang w:eastAsia="zh-CN"/>
        </w:rPr>
        <w:fldChar w:fldCharType="end"/>
      </w:r>
      <w:r w:rsidR="00E9509A">
        <w:rPr>
          <w:rFonts w:hint="eastAsia"/>
          <w:szCs w:val="24"/>
          <w:lang w:eastAsia="zh-CN"/>
        </w:rPr>
        <w:t>号文件。</w:t>
      </w:r>
    </w:p>
    <w:p w:rsidR="00BC0922" w:rsidRPr="00A1056E" w:rsidRDefault="00E9509A" w:rsidP="00E9509A">
      <w:pPr>
        <w:pStyle w:val="Heading1"/>
        <w:rPr>
          <w:lang w:eastAsia="zh-CN"/>
        </w:rPr>
      </w:pPr>
      <w:r>
        <w:rPr>
          <w:lang w:eastAsia="zh-CN"/>
        </w:rPr>
        <w:lastRenderedPageBreak/>
        <w:t>3</w:t>
      </w:r>
      <w:r w:rsidR="00BC0922" w:rsidRPr="00A1056E">
        <w:rPr>
          <w:lang w:eastAsia="zh-CN"/>
        </w:rPr>
        <w:tab/>
      </w:r>
      <w:r w:rsidR="00644680">
        <w:rPr>
          <w:rFonts w:hint="eastAsia"/>
          <w:lang w:eastAsia="zh-CN"/>
        </w:rPr>
        <w:t>国际上的现行政策和做法</w:t>
      </w:r>
    </w:p>
    <w:p w:rsidR="00BC0922" w:rsidRDefault="00BC0922" w:rsidP="00717537">
      <w:pPr>
        <w:keepNext/>
        <w:tabs>
          <w:tab w:val="clear" w:pos="567"/>
          <w:tab w:val="clear" w:pos="1134"/>
          <w:tab w:val="clear" w:pos="1701"/>
          <w:tab w:val="clear" w:pos="2268"/>
          <w:tab w:val="clear" w:pos="2835"/>
        </w:tabs>
        <w:overflowPunct/>
        <w:autoSpaceDE/>
        <w:autoSpaceDN/>
        <w:adjustRightInd/>
        <w:snapToGrid w:val="0"/>
        <w:spacing w:before="160" w:after="120"/>
        <w:textAlignment w:val="auto"/>
        <w:rPr>
          <w:rFonts w:cs="Calibri"/>
          <w:szCs w:val="24"/>
          <w:lang w:eastAsia="zh-CN"/>
        </w:rPr>
      </w:pPr>
      <w:r w:rsidRPr="00A1056E">
        <w:rPr>
          <w:rFonts w:cs="Calibri"/>
          <w:szCs w:val="24"/>
          <w:lang w:eastAsia="zh-CN"/>
        </w:rPr>
        <w:t>3.1</w:t>
      </w:r>
      <w:r>
        <w:rPr>
          <w:rFonts w:cs="Calibri"/>
          <w:szCs w:val="24"/>
          <w:lang w:eastAsia="zh-CN"/>
        </w:rPr>
        <w:tab/>
      </w:r>
      <w:r w:rsidR="007436F5">
        <w:rPr>
          <w:rFonts w:cs="Calibri" w:hint="eastAsia"/>
          <w:szCs w:val="24"/>
          <w:lang w:eastAsia="zh-CN"/>
        </w:rPr>
        <w:t>自</w:t>
      </w:r>
      <w:r w:rsidR="007436F5">
        <w:rPr>
          <w:rFonts w:cs="Calibri" w:hint="eastAsia"/>
          <w:szCs w:val="24"/>
          <w:lang w:eastAsia="zh-CN"/>
        </w:rPr>
        <w:t>2008</w:t>
      </w:r>
      <w:r w:rsidR="007436F5">
        <w:rPr>
          <w:rFonts w:cs="Calibri" w:hint="eastAsia"/>
          <w:szCs w:val="24"/>
          <w:lang w:eastAsia="zh-CN"/>
        </w:rPr>
        <w:t>年以来，越来越多的国际和政府间机构承认信息权，通过广泛披露信息政策赋予个人</w:t>
      </w:r>
      <w:r w:rsidR="00DB136B">
        <w:rPr>
          <w:rFonts w:cs="Calibri" w:hint="eastAsia"/>
          <w:szCs w:val="24"/>
          <w:lang w:eastAsia="zh-CN"/>
        </w:rPr>
        <w:t>索要</w:t>
      </w:r>
      <w:r w:rsidR="007436F5">
        <w:rPr>
          <w:rFonts w:cs="Calibri" w:hint="eastAsia"/>
          <w:szCs w:val="24"/>
          <w:lang w:eastAsia="zh-CN"/>
        </w:rPr>
        <w:t>信息和提供信息的权利。</w:t>
      </w:r>
    </w:p>
    <w:p w:rsidR="00BC0922" w:rsidRPr="00A1056E" w:rsidRDefault="00BC0922" w:rsidP="00717537">
      <w:pPr>
        <w:keepNext/>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szCs w:val="24"/>
          <w:lang w:val="en-US" w:eastAsia="zh-CN"/>
        </w:rPr>
        <w:t>3.2</w:t>
      </w:r>
      <w:r w:rsidRPr="00A1056E">
        <w:rPr>
          <w:rFonts w:asciiTheme="minorHAnsi" w:eastAsiaTheme="minorEastAsia" w:hAnsiTheme="minorHAnsi" w:cstheme="minorBidi"/>
          <w:szCs w:val="24"/>
          <w:lang w:val="en-US" w:eastAsia="zh-CN"/>
        </w:rPr>
        <w:tab/>
      </w:r>
      <w:r w:rsidR="007436F5">
        <w:rPr>
          <w:rFonts w:asciiTheme="minorHAnsi" w:eastAsiaTheme="minorEastAsia" w:hAnsiTheme="minorHAnsi" w:cstheme="minorBidi" w:hint="eastAsia"/>
          <w:szCs w:val="24"/>
          <w:lang w:val="en-US" w:eastAsia="zh-CN"/>
        </w:rPr>
        <w:t>2013</w:t>
      </w:r>
      <w:r w:rsidR="007436F5">
        <w:rPr>
          <w:rFonts w:asciiTheme="minorHAnsi" w:eastAsiaTheme="minorEastAsia" w:hAnsiTheme="minorHAnsi" w:cstheme="minorBidi" w:hint="eastAsia"/>
          <w:szCs w:val="24"/>
          <w:lang w:val="en-US" w:eastAsia="zh-CN"/>
        </w:rPr>
        <w:t>年，秘书处对粮农组织、国际民航组织、国际原子能机构、国际农发基金、国际劳工组织、联合国开发计划署、联合国教科文组织、联合国工发组织、联合</w:t>
      </w:r>
      <w:r w:rsidR="00DB136B">
        <w:rPr>
          <w:rFonts w:asciiTheme="minorHAnsi" w:eastAsiaTheme="minorEastAsia" w:hAnsiTheme="minorHAnsi" w:cstheme="minorBidi" w:hint="eastAsia"/>
          <w:szCs w:val="24"/>
          <w:lang w:val="en-US" w:eastAsia="zh-CN"/>
        </w:rPr>
        <w:t>国</w:t>
      </w:r>
      <w:r w:rsidR="007436F5">
        <w:rPr>
          <w:rFonts w:asciiTheme="minorHAnsi" w:eastAsiaTheme="minorEastAsia" w:hAnsiTheme="minorHAnsi" w:cstheme="minorBidi" w:hint="eastAsia"/>
          <w:szCs w:val="24"/>
          <w:lang w:val="en-US" w:eastAsia="zh-CN"/>
        </w:rPr>
        <w:t>儿童基金会、万国邮联、世卫组织、世界气象组织、世界知识产权组织、世界银行等</w:t>
      </w:r>
      <w:r w:rsidR="007436F5">
        <w:rPr>
          <w:rFonts w:asciiTheme="minorHAnsi" w:eastAsiaTheme="minorEastAsia" w:hAnsiTheme="minorHAnsi" w:cstheme="minorBidi" w:hint="eastAsia"/>
          <w:szCs w:val="24"/>
          <w:lang w:val="en-US" w:eastAsia="zh-CN"/>
        </w:rPr>
        <w:t>14</w:t>
      </w:r>
      <w:r w:rsidR="007436F5">
        <w:rPr>
          <w:rFonts w:asciiTheme="minorHAnsi" w:eastAsiaTheme="minorEastAsia" w:hAnsiTheme="minorHAnsi" w:cstheme="minorBidi" w:hint="eastAsia"/>
          <w:szCs w:val="24"/>
          <w:lang w:val="en-US" w:eastAsia="zh-CN"/>
        </w:rPr>
        <w:t>个联合国机构、基金和计划署进行了一项调查。</w:t>
      </w:r>
      <w:r w:rsidR="00CF24D3">
        <w:rPr>
          <w:rFonts w:asciiTheme="minorHAnsi" w:eastAsiaTheme="minorEastAsia" w:hAnsiTheme="minorHAnsi" w:cstheme="minorBidi" w:hint="eastAsia"/>
          <w:szCs w:val="24"/>
          <w:lang w:val="en-US" w:eastAsia="zh-CN"/>
        </w:rPr>
        <w:t>通过互联网进行了初步研究，</w:t>
      </w:r>
      <w:r w:rsidR="003F11AB">
        <w:rPr>
          <w:rFonts w:asciiTheme="minorHAnsi" w:eastAsiaTheme="minorEastAsia" w:hAnsiTheme="minorHAnsi" w:cstheme="minorBidi" w:hint="eastAsia"/>
          <w:szCs w:val="24"/>
          <w:lang w:val="en-US" w:eastAsia="zh-CN"/>
        </w:rPr>
        <w:t>研究</w:t>
      </w:r>
      <w:r w:rsidR="00CF24D3">
        <w:rPr>
          <w:rFonts w:asciiTheme="minorHAnsi" w:eastAsiaTheme="minorEastAsia" w:hAnsiTheme="minorHAnsi" w:cstheme="minorBidi" w:hint="eastAsia"/>
          <w:szCs w:val="24"/>
          <w:lang w:val="en-US" w:eastAsia="zh-CN"/>
        </w:rPr>
        <w:t>结果已通过联合国</w:t>
      </w:r>
      <w:r w:rsidR="00923BE4">
        <w:rPr>
          <w:rFonts w:asciiTheme="minorHAnsi" w:eastAsiaTheme="minorEastAsia" w:hAnsiTheme="minorHAnsi" w:cstheme="minorBidi" w:hint="eastAsia"/>
          <w:szCs w:val="24"/>
          <w:lang w:val="en-US" w:eastAsia="zh-CN"/>
        </w:rPr>
        <w:t>管理</w:t>
      </w:r>
      <w:r w:rsidR="00923BE4">
        <w:rPr>
          <w:rFonts w:asciiTheme="minorHAnsi" w:eastAsiaTheme="minorEastAsia" w:hAnsiTheme="minorHAnsi" w:cstheme="minorBidi"/>
          <w:szCs w:val="24"/>
          <w:lang w:val="en-US" w:eastAsia="zh-CN"/>
        </w:rPr>
        <w:t>机构秘书处小组</w:t>
      </w:r>
      <w:r w:rsidR="00CF24D3">
        <w:rPr>
          <w:rFonts w:asciiTheme="minorHAnsi" w:eastAsiaTheme="minorEastAsia" w:hAnsiTheme="minorHAnsi" w:cstheme="minorBidi" w:hint="eastAsia"/>
          <w:szCs w:val="24"/>
          <w:lang w:val="en-US" w:eastAsia="zh-CN"/>
        </w:rPr>
        <w:t>传达给各机构。</w:t>
      </w:r>
      <w:r w:rsidR="00CF24D3">
        <w:rPr>
          <w:rFonts w:asciiTheme="minorHAnsi" w:eastAsiaTheme="minorEastAsia" w:hAnsiTheme="minorHAnsi" w:cstheme="minorBidi"/>
          <w:szCs w:val="24"/>
          <w:lang w:val="en-US" w:eastAsia="zh-CN"/>
        </w:rPr>
        <w:t>粮农组织</w:t>
      </w:r>
      <w:r w:rsidR="00E9509A">
        <w:rPr>
          <w:rFonts w:asciiTheme="minorHAnsi" w:eastAsiaTheme="minorEastAsia" w:hAnsiTheme="minorHAnsi" w:cstheme="minorBidi" w:hint="eastAsia"/>
          <w:szCs w:val="24"/>
          <w:lang w:val="en-US" w:eastAsia="zh-CN"/>
        </w:rPr>
        <w:t>、</w:t>
      </w:r>
      <w:r w:rsidR="00D9674A">
        <w:rPr>
          <w:rFonts w:asciiTheme="minorHAnsi" w:eastAsiaTheme="minorEastAsia" w:hAnsiTheme="minorHAnsi" w:cstheme="minorBidi"/>
          <w:szCs w:val="24"/>
          <w:lang w:val="en-US" w:eastAsia="zh-CN"/>
        </w:rPr>
        <w:t>国际农发基金</w:t>
      </w:r>
      <w:r w:rsidR="00E9509A">
        <w:rPr>
          <w:rFonts w:asciiTheme="minorHAnsi" w:eastAsiaTheme="minorEastAsia" w:hAnsiTheme="minorHAnsi" w:cstheme="minorBidi" w:hint="eastAsia"/>
          <w:szCs w:val="24"/>
          <w:lang w:val="en-US" w:eastAsia="zh-CN"/>
        </w:rPr>
        <w:t>、</w:t>
      </w:r>
      <w:r w:rsidR="00D9674A">
        <w:rPr>
          <w:rFonts w:asciiTheme="minorHAnsi" w:eastAsiaTheme="minorEastAsia" w:hAnsiTheme="minorHAnsi" w:cstheme="minorBidi"/>
          <w:szCs w:val="24"/>
          <w:lang w:val="en-US" w:eastAsia="zh-CN"/>
        </w:rPr>
        <w:t>联合国教科文组织</w:t>
      </w:r>
      <w:r w:rsidR="00E9509A">
        <w:rPr>
          <w:rFonts w:asciiTheme="minorHAnsi" w:eastAsiaTheme="minorEastAsia" w:hAnsiTheme="minorHAnsi" w:cstheme="minorBidi" w:hint="eastAsia"/>
          <w:szCs w:val="24"/>
          <w:lang w:val="en-US" w:eastAsia="zh-CN"/>
        </w:rPr>
        <w:t>、</w:t>
      </w:r>
      <w:r w:rsidR="00D9674A">
        <w:rPr>
          <w:rFonts w:asciiTheme="minorHAnsi" w:eastAsiaTheme="minorEastAsia" w:hAnsiTheme="minorHAnsi" w:cstheme="minorBidi"/>
          <w:szCs w:val="24"/>
          <w:lang w:val="en-US" w:eastAsia="zh-CN"/>
        </w:rPr>
        <w:t>联合国工发组织</w:t>
      </w:r>
      <w:r w:rsidR="00E9509A">
        <w:rPr>
          <w:rFonts w:asciiTheme="minorHAnsi" w:eastAsiaTheme="minorEastAsia" w:hAnsiTheme="minorHAnsi" w:cstheme="minorBidi" w:hint="eastAsia"/>
          <w:szCs w:val="24"/>
          <w:lang w:val="en-US" w:eastAsia="zh-CN"/>
        </w:rPr>
        <w:t>、</w:t>
      </w:r>
      <w:r w:rsidR="00D9674A">
        <w:rPr>
          <w:rFonts w:asciiTheme="minorHAnsi" w:eastAsiaTheme="minorEastAsia" w:hAnsiTheme="minorHAnsi" w:cstheme="minorBidi"/>
          <w:szCs w:val="24"/>
          <w:lang w:val="en-US" w:eastAsia="zh-CN"/>
        </w:rPr>
        <w:t>世界知识产权组织</w:t>
      </w:r>
      <w:r w:rsidR="00CF24D3">
        <w:rPr>
          <w:rFonts w:asciiTheme="minorHAnsi" w:eastAsiaTheme="minorEastAsia" w:hAnsiTheme="minorHAnsi" w:cstheme="minorBidi" w:hint="eastAsia"/>
          <w:szCs w:val="24"/>
          <w:lang w:val="en-US" w:eastAsia="zh-CN"/>
        </w:rPr>
        <w:t>和</w:t>
      </w:r>
      <w:r w:rsidR="00D9674A">
        <w:rPr>
          <w:rFonts w:asciiTheme="minorHAnsi" w:eastAsiaTheme="minorEastAsia" w:hAnsiTheme="minorHAnsi" w:cstheme="minorBidi"/>
          <w:szCs w:val="24"/>
          <w:lang w:val="en-US" w:eastAsia="zh-CN"/>
        </w:rPr>
        <w:t>世界气象组织</w:t>
      </w:r>
      <w:r w:rsidR="00CF24D3">
        <w:rPr>
          <w:rFonts w:asciiTheme="minorHAnsi" w:eastAsiaTheme="minorEastAsia" w:hAnsiTheme="minorHAnsi" w:cstheme="minorBidi" w:hint="eastAsia"/>
          <w:szCs w:val="24"/>
          <w:lang w:val="en-US" w:eastAsia="zh-CN"/>
        </w:rPr>
        <w:t>已对信息进行了核验。</w:t>
      </w:r>
    </w:p>
    <w:p w:rsidR="00BC0922" w:rsidRPr="00A1056E" w:rsidRDefault="00BC0922" w:rsidP="00717537">
      <w:pPr>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en-US" w:eastAsia="zh-CN"/>
        </w:rPr>
      </w:pPr>
      <w:r w:rsidRPr="00A1056E">
        <w:rPr>
          <w:rFonts w:asciiTheme="minorHAnsi" w:eastAsiaTheme="minorEastAsia" w:hAnsiTheme="minorHAnsi" w:cstheme="minorBidi"/>
          <w:szCs w:val="24"/>
          <w:lang w:val="en-US" w:eastAsia="zh-CN"/>
        </w:rPr>
        <w:t>3.</w:t>
      </w:r>
      <w:r>
        <w:rPr>
          <w:rFonts w:asciiTheme="minorHAnsi" w:eastAsiaTheme="minorEastAsia" w:hAnsiTheme="minorHAnsi" w:cstheme="minorBidi"/>
          <w:szCs w:val="24"/>
          <w:lang w:val="en-US" w:eastAsia="zh-CN"/>
        </w:rPr>
        <w:t>3</w:t>
      </w:r>
      <w:r w:rsidRPr="00A1056E">
        <w:rPr>
          <w:rFonts w:asciiTheme="minorHAnsi" w:eastAsiaTheme="minorEastAsia" w:hAnsiTheme="minorHAnsi" w:cstheme="minorBidi"/>
          <w:szCs w:val="24"/>
          <w:lang w:val="en-US" w:eastAsia="zh-CN"/>
        </w:rPr>
        <w:tab/>
      </w:r>
      <w:r w:rsidR="00CF24D3">
        <w:rPr>
          <w:rFonts w:asciiTheme="minorHAnsi" w:eastAsiaTheme="minorEastAsia" w:hAnsiTheme="minorHAnsi" w:cstheme="minorBidi" w:hint="eastAsia"/>
          <w:szCs w:val="24"/>
          <w:lang w:val="en-US" w:eastAsia="zh-CN"/>
        </w:rPr>
        <w:t>几年来，为加强透明度和问责制，为伙伴和利益攸关方，包括公众，提供准确及时的信息，有些机构已制定了信息披露政策。</w:t>
      </w:r>
    </w:p>
    <w:p w:rsidR="00BC0922" w:rsidRPr="00A1056E" w:rsidRDefault="00E9509A" w:rsidP="00E9509A">
      <w:pPr>
        <w:pStyle w:val="enumlev1"/>
        <w:rPr>
          <w:lang w:val="en-US" w:eastAsia="zh-CN"/>
        </w:rPr>
      </w:pPr>
      <w:r w:rsidRPr="00E9509A">
        <w:rPr>
          <w:lang w:val="en-US" w:eastAsia="zh-CN"/>
        </w:rPr>
        <w:t>–</w:t>
      </w:r>
      <w:r>
        <w:rPr>
          <w:lang w:val="en-US" w:eastAsia="zh-CN"/>
        </w:rPr>
        <w:tab/>
      </w:r>
      <w:r w:rsidR="00CF24D3" w:rsidRPr="00E9509A">
        <w:rPr>
          <w:rFonts w:hint="eastAsia"/>
          <w:spacing w:val="4"/>
          <w:lang w:val="en-US" w:eastAsia="zh-CN"/>
        </w:rPr>
        <w:t>例如：</w:t>
      </w:r>
      <w:r w:rsidR="00DB136B" w:rsidRPr="00E9509A">
        <w:rPr>
          <w:rFonts w:hint="eastAsia"/>
          <w:spacing w:val="4"/>
          <w:lang w:val="en-US" w:eastAsia="zh-CN"/>
        </w:rPr>
        <w:t>国际劳工组织</w:t>
      </w:r>
      <w:r w:rsidR="00DB136B" w:rsidRPr="00E9509A">
        <w:rPr>
          <w:spacing w:val="4"/>
          <w:lang w:val="en-US" w:eastAsia="zh-CN"/>
        </w:rPr>
        <w:t>（</w:t>
      </w:r>
      <w:r w:rsidR="00BC0922" w:rsidRPr="00E9509A">
        <w:rPr>
          <w:spacing w:val="4"/>
          <w:lang w:val="en-US" w:eastAsia="zh-CN"/>
        </w:rPr>
        <w:t>2008</w:t>
      </w:r>
      <w:r w:rsidR="00DB136B" w:rsidRPr="00E9509A">
        <w:rPr>
          <w:rFonts w:hint="eastAsia"/>
          <w:spacing w:val="4"/>
          <w:lang w:val="en-US" w:eastAsia="zh-CN"/>
        </w:rPr>
        <w:t>年</w:t>
      </w:r>
      <w:r w:rsidR="00DB136B" w:rsidRPr="00E9509A">
        <w:rPr>
          <w:spacing w:val="4"/>
          <w:lang w:val="en-US" w:eastAsia="zh-CN"/>
        </w:rPr>
        <w:t>）、</w:t>
      </w:r>
      <w:r w:rsidR="00DB136B" w:rsidRPr="00E9509A">
        <w:rPr>
          <w:rFonts w:hint="eastAsia"/>
          <w:spacing w:val="4"/>
          <w:lang w:val="en-US" w:eastAsia="zh-CN"/>
        </w:rPr>
        <w:t>联合国开发计划署</w:t>
      </w:r>
      <w:r w:rsidR="00DB136B" w:rsidRPr="00E9509A">
        <w:rPr>
          <w:spacing w:val="4"/>
          <w:lang w:val="en-US" w:eastAsia="zh-CN"/>
        </w:rPr>
        <w:t>（</w:t>
      </w:r>
      <w:r w:rsidR="00BC0922" w:rsidRPr="00E9509A">
        <w:rPr>
          <w:spacing w:val="4"/>
          <w:lang w:val="en-US" w:eastAsia="zh-CN"/>
        </w:rPr>
        <w:t>2008</w:t>
      </w:r>
      <w:r w:rsidR="00DB136B" w:rsidRPr="00E9509A">
        <w:rPr>
          <w:rFonts w:hint="eastAsia"/>
          <w:spacing w:val="4"/>
          <w:lang w:val="en-US" w:eastAsia="zh-CN"/>
        </w:rPr>
        <w:t>年，</w:t>
      </w:r>
      <w:r w:rsidR="00BC0922" w:rsidRPr="00E9509A">
        <w:rPr>
          <w:spacing w:val="4"/>
          <w:lang w:val="en-US" w:eastAsia="zh-CN"/>
        </w:rPr>
        <w:t>2013</w:t>
      </w:r>
      <w:r w:rsidR="00DB136B" w:rsidRPr="00E9509A">
        <w:rPr>
          <w:rFonts w:hint="eastAsia"/>
          <w:spacing w:val="4"/>
          <w:lang w:val="en-US" w:eastAsia="zh-CN"/>
        </w:rPr>
        <w:t>年修订</w:t>
      </w:r>
      <w:r w:rsidR="00DB136B" w:rsidRPr="00E9509A">
        <w:rPr>
          <w:spacing w:val="4"/>
          <w:lang w:val="en-US" w:eastAsia="zh-CN"/>
        </w:rPr>
        <w:t>）、</w:t>
      </w:r>
      <w:hyperlink r:id="rId9" w:history="1">
        <w:r w:rsidR="00D9674A" w:rsidRPr="00E9509A">
          <w:rPr>
            <w:spacing w:val="4"/>
            <w:lang w:val="en-US" w:eastAsia="zh-CN"/>
          </w:rPr>
          <w:t>国际农发基金</w:t>
        </w:r>
      </w:hyperlink>
      <w:r w:rsidR="00DB136B" w:rsidRPr="00E9509A">
        <w:rPr>
          <w:spacing w:val="4"/>
          <w:lang w:val="en-US" w:eastAsia="zh-CN"/>
        </w:rPr>
        <w:t>（</w:t>
      </w:r>
      <w:r w:rsidR="00BC0922" w:rsidRPr="00E9509A">
        <w:rPr>
          <w:spacing w:val="4"/>
          <w:lang w:val="en-US" w:eastAsia="zh-CN"/>
        </w:rPr>
        <w:t>2010</w:t>
      </w:r>
      <w:r w:rsidR="00DB136B" w:rsidRPr="00E9509A">
        <w:rPr>
          <w:rFonts w:hint="eastAsia"/>
          <w:spacing w:val="4"/>
          <w:lang w:val="en-US" w:eastAsia="zh-CN"/>
        </w:rPr>
        <w:t>年</w:t>
      </w:r>
      <w:r w:rsidR="00DB136B" w:rsidRPr="00E9509A">
        <w:rPr>
          <w:spacing w:val="4"/>
          <w:lang w:val="en-US" w:eastAsia="zh-CN"/>
        </w:rPr>
        <w:t>）、</w:t>
      </w:r>
      <w:r w:rsidR="00DB136B" w:rsidRPr="00E9509A">
        <w:rPr>
          <w:rFonts w:hint="eastAsia"/>
          <w:spacing w:val="4"/>
          <w:lang w:val="en-US" w:eastAsia="zh-CN"/>
        </w:rPr>
        <w:t>联合国儿童基金会</w:t>
      </w:r>
      <w:r w:rsidR="00DB136B" w:rsidRPr="00E9509A">
        <w:rPr>
          <w:spacing w:val="4"/>
          <w:lang w:val="en-US" w:eastAsia="zh-CN"/>
        </w:rPr>
        <w:t>（</w:t>
      </w:r>
      <w:r w:rsidR="00BC0922" w:rsidRPr="00E9509A">
        <w:rPr>
          <w:spacing w:val="4"/>
          <w:lang w:val="en-US" w:eastAsia="zh-CN"/>
        </w:rPr>
        <w:t>2010</w:t>
      </w:r>
      <w:r w:rsidR="00DB136B" w:rsidRPr="00E9509A">
        <w:rPr>
          <w:rFonts w:hint="eastAsia"/>
          <w:spacing w:val="4"/>
          <w:lang w:val="en-US" w:eastAsia="zh-CN"/>
        </w:rPr>
        <w:t>年，</w:t>
      </w:r>
      <w:r w:rsidR="00BC0922" w:rsidRPr="00E9509A">
        <w:rPr>
          <w:spacing w:val="4"/>
          <w:lang w:val="en-US" w:eastAsia="zh-CN"/>
        </w:rPr>
        <w:t>2011</w:t>
      </w:r>
      <w:r w:rsidR="00DB136B" w:rsidRPr="00E9509A">
        <w:rPr>
          <w:rFonts w:hint="eastAsia"/>
          <w:spacing w:val="4"/>
          <w:lang w:val="en-US" w:eastAsia="zh-CN"/>
        </w:rPr>
        <w:t>年</w:t>
      </w:r>
      <w:r w:rsidR="00DB136B" w:rsidRPr="00E9509A">
        <w:rPr>
          <w:spacing w:val="4"/>
          <w:lang w:val="en-US" w:eastAsia="zh-CN"/>
        </w:rPr>
        <w:t>更新）、</w:t>
      </w:r>
      <w:r w:rsidR="00DB136B" w:rsidRPr="00E9509A">
        <w:rPr>
          <w:rFonts w:hint="eastAsia"/>
          <w:spacing w:val="4"/>
          <w:lang w:val="en-US" w:eastAsia="zh-CN"/>
        </w:rPr>
        <w:t>世界银行</w:t>
      </w:r>
      <w:r w:rsidR="00DB136B" w:rsidRPr="00E9509A">
        <w:rPr>
          <w:spacing w:val="4"/>
          <w:lang w:val="en-US" w:eastAsia="zh-CN"/>
        </w:rPr>
        <w:t>（</w:t>
      </w:r>
      <w:r w:rsidR="00BC0922" w:rsidRPr="00E9509A">
        <w:rPr>
          <w:spacing w:val="4"/>
          <w:lang w:val="en-US" w:eastAsia="zh-CN"/>
        </w:rPr>
        <w:t>2010</w:t>
      </w:r>
      <w:r w:rsidR="00DB136B" w:rsidRPr="00E9509A">
        <w:rPr>
          <w:rFonts w:hint="eastAsia"/>
          <w:spacing w:val="4"/>
          <w:lang w:val="en-US" w:eastAsia="zh-CN"/>
        </w:rPr>
        <w:t>年</w:t>
      </w:r>
      <w:r w:rsidR="00DB136B">
        <w:rPr>
          <w:rFonts w:hint="eastAsia"/>
          <w:lang w:val="en-US" w:eastAsia="zh-CN"/>
        </w:rPr>
        <w:t>，</w:t>
      </w:r>
      <w:r w:rsidR="00BC0922" w:rsidRPr="00A1056E">
        <w:rPr>
          <w:lang w:val="en-US" w:eastAsia="zh-CN"/>
        </w:rPr>
        <w:t>2013</w:t>
      </w:r>
      <w:r w:rsidR="00DB136B">
        <w:rPr>
          <w:rFonts w:hint="eastAsia"/>
          <w:lang w:val="en-US" w:eastAsia="zh-CN"/>
        </w:rPr>
        <w:t>年</w:t>
      </w:r>
      <w:r w:rsidR="00DB136B">
        <w:rPr>
          <w:lang w:val="en-US" w:eastAsia="zh-CN"/>
        </w:rPr>
        <w:t>修订）、</w:t>
      </w:r>
      <w:r w:rsidR="00D9674A">
        <w:rPr>
          <w:rFonts w:hint="eastAsia"/>
          <w:lang w:val="en-US" w:eastAsia="zh-CN"/>
        </w:rPr>
        <w:t>世界粮食计划署</w:t>
      </w:r>
      <w:r w:rsidR="00DB136B">
        <w:rPr>
          <w:lang w:val="en-US" w:eastAsia="zh-CN"/>
        </w:rPr>
        <w:t>（</w:t>
      </w:r>
      <w:r w:rsidR="00BC0922">
        <w:rPr>
          <w:lang w:val="en-US" w:eastAsia="zh-CN"/>
        </w:rPr>
        <w:t>2010</w:t>
      </w:r>
      <w:r w:rsidR="00DB136B">
        <w:rPr>
          <w:rFonts w:hint="eastAsia"/>
          <w:lang w:val="en-US" w:eastAsia="zh-CN"/>
        </w:rPr>
        <w:t>年</w:t>
      </w:r>
      <w:r w:rsidR="00DB136B">
        <w:rPr>
          <w:lang w:val="en-US" w:eastAsia="zh-CN"/>
        </w:rPr>
        <w:t>）、</w:t>
      </w:r>
      <w:r w:rsidR="00D9674A">
        <w:rPr>
          <w:rFonts w:hint="eastAsia"/>
          <w:lang w:val="en-US" w:eastAsia="zh-CN"/>
        </w:rPr>
        <w:t>联合国项目服务办公室</w:t>
      </w:r>
      <w:r w:rsidR="00DB136B">
        <w:rPr>
          <w:lang w:val="en-US" w:eastAsia="zh-CN"/>
        </w:rPr>
        <w:t>（</w:t>
      </w:r>
      <w:r w:rsidR="00BC0922">
        <w:rPr>
          <w:lang w:val="en-US" w:eastAsia="zh-CN"/>
        </w:rPr>
        <w:t>2012</w:t>
      </w:r>
      <w:r w:rsidR="00DB136B">
        <w:rPr>
          <w:rFonts w:hint="eastAsia"/>
          <w:lang w:val="en-US" w:eastAsia="zh-CN"/>
        </w:rPr>
        <w:t>年</w:t>
      </w:r>
      <w:r w:rsidR="00DB136B">
        <w:rPr>
          <w:lang w:val="en-US" w:eastAsia="zh-CN"/>
        </w:rPr>
        <w:t>）</w:t>
      </w:r>
      <w:r w:rsidR="00DB136B">
        <w:rPr>
          <w:rFonts w:hint="eastAsia"/>
          <w:lang w:val="en-US" w:eastAsia="zh-CN"/>
        </w:rPr>
        <w:t>。</w:t>
      </w:r>
      <w:r w:rsidR="00BC0922">
        <w:rPr>
          <w:rStyle w:val="FootnoteReference"/>
          <w:rFonts w:eastAsiaTheme="minorEastAsia" w:cstheme="minorBidi"/>
          <w:szCs w:val="24"/>
          <w:lang w:val="en-US" w:eastAsia="zh-CN"/>
        </w:rPr>
        <w:footnoteReference w:id="3"/>
      </w:r>
      <w:r w:rsidR="00BC0922" w:rsidRPr="00A1056E">
        <w:rPr>
          <w:lang w:val="en-US" w:eastAsia="zh-CN"/>
        </w:rPr>
        <w:t xml:space="preserve"> </w:t>
      </w:r>
    </w:p>
    <w:p w:rsidR="00BC0922" w:rsidRPr="00A1056E" w:rsidRDefault="003F11AB" w:rsidP="00DB136B">
      <w:pPr>
        <w:tabs>
          <w:tab w:val="clear" w:pos="567"/>
          <w:tab w:val="clear" w:pos="1134"/>
          <w:tab w:val="clear" w:pos="1701"/>
          <w:tab w:val="clear" w:pos="2268"/>
          <w:tab w:val="clear" w:pos="2835"/>
        </w:tabs>
        <w:overflowPunct/>
        <w:autoSpaceDE/>
        <w:autoSpaceDN/>
        <w:adjustRightInd/>
        <w:snapToGrid w:val="0"/>
        <w:spacing w:after="120"/>
        <w:ind w:firstLineChars="200" w:firstLine="480"/>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hint="eastAsia"/>
          <w:szCs w:val="24"/>
          <w:lang w:val="en-US" w:eastAsia="zh-CN"/>
        </w:rPr>
        <w:t>这些政策的前提是披露的所有信息和文件是本组织产生的。但是，在所有情况下，如果信息属于保密类信息则例外，因此不向外界披露。</w:t>
      </w:r>
    </w:p>
    <w:p w:rsidR="00BC0922" w:rsidRPr="00A1056E" w:rsidRDefault="00BC0922" w:rsidP="00717537">
      <w:pPr>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en-US" w:eastAsia="zh-CN"/>
        </w:rPr>
      </w:pPr>
      <w:r w:rsidRPr="00A1056E">
        <w:rPr>
          <w:rFonts w:asciiTheme="minorHAnsi" w:eastAsiaTheme="minorEastAsia" w:hAnsiTheme="minorHAnsi" w:cstheme="minorBidi"/>
          <w:szCs w:val="24"/>
          <w:lang w:val="en-US" w:eastAsia="zh-CN"/>
        </w:rPr>
        <w:t>3.</w:t>
      </w:r>
      <w:r>
        <w:rPr>
          <w:rFonts w:asciiTheme="minorHAnsi" w:eastAsiaTheme="minorEastAsia" w:hAnsiTheme="minorHAnsi" w:cstheme="minorBidi"/>
          <w:szCs w:val="24"/>
          <w:lang w:val="en-US" w:eastAsia="zh-CN"/>
        </w:rPr>
        <w:t>4</w:t>
      </w:r>
      <w:r w:rsidRPr="00A1056E">
        <w:rPr>
          <w:rFonts w:asciiTheme="minorHAnsi" w:eastAsiaTheme="minorEastAsia" w:hAnsiTheme="minorHAnsi" w:cstheme="minorBidi"/>
          <w:szCs w:val="24"/>
          <w:lang w:val="en-US" w:eastAsia="zh-CN"/>
        </w:rPr>
        <w:tab/>
      </w:r>
      <w:r w:rsidR="00DB136B">
        <w:rPr>
          <w:rFonts w:asciiTheme="minorHAnsi" w:eastAsiaTheme="minorEastAsia" w:hAnsiTheme="minorHAnsi" w:cstheme="minorBidi" w:hint="eastAsia"/>
          <w:szCs w:val="24"/>
          <w:lang w:val="en-US" w:eastAsia="zh-CN"/>
        </w:rPr>
        <w:t>其他组织虽</w:t>
      </w:r>
      <w:r w:rsidR="003F11AB">
        <w:rPr>
          <w:rFonts w:asciiTheme="minorHAnsi" w:eastAsiaTheme="minorEastAsia" w:hAnsiTheme="minorHAnsi" w:cstheme="minorBidi" w:hint="eastAsia"/>
          <w:szCs w:val="24"/>
          <w:lang w:val="en-US" w:eastAsia="zh-CN"/>
        </w:rPr>
        <w:t>没有正式的信息获取或披露政策，但是会定期向公众提供其运行和管理的相关信息。无论何种情况，都必须遵循上述</w:t>
      </w:r>
      <w:r w:rsidR="003F11AB">
        <w:rPr>
          <w:rFonts w:asciiTheme="minorHAnsi" w:eastAsiaTheme="minorEastAsia" w:hAnsiTheme="minorHAnsi" w:cstheme="minorBidi" w:hint="eastAsia"/>
          <w:szCs w:val="24"/>
          <w:lang w:val="en-US" w:eastAsia="zh-CN"/>
        </w:rPr>
        <w:t>3.2</w:t>
      </w:r>
      <w:r w:rsidR="003F11AB">
        <w:rPr>
          <w:rFonts w:asciiTheme="minorHAnsi" w:eastAsiaTheme="minorEastAsia" w:hAnsiTheme="minorHAnsi" w:cstheme="minorBidi" w:hint="eastAsia"/>
          <w:szCs w:val="24"/>
          <w:lang w:val="en-US" w:eastAsia="zh-CN"/>
        </w:rPr>
        <w:t>段所述正式信息获取</w:t>
      </w:r>
      <w:r w:rsidR="003F11AB">
        <w:rPr>
          <w:rFonts w:asciiTheme="minorHAnsi" w:eastAsiaTheme="minorEastAsia" w:hAnsiTheme="minorHAnsi" w:cstheme="minorBidi" w:hint="eastAsia"/>
          <w:szCs w:val="24"/>
          <w:lang w:val="en-US" w:eastAsia="zh-CN"/>
        </w:rPr>
        <w:t>/</w:t>
      </w:r>
      <w:r w:rsidR="003F11AB">
        <w:rPr>
          <w:rFonts w:asciiTheme="minorHAnsi" w:eastAsiaTheme="minorEastAsia" w:hAnsiTheme="minorHAnsi" w:cstheme="minorBidi" w:hint="eastAsia"/>
          <w:szCs w:val="24"/>
          <w:lang w:val="en-US" w:eastAsia="zh-CN"/>
        </w:rPr>
        <w:t>披露政策规定的例外。</w:t>
      </w:r>
    </w:p>
    <w:p w:rsidR="00BC0922" w:rsidRDefault="00E9509A" w:rsidP="00E9509A">
      <w:pPr>
        <w:pStyle w:val="enumlev1"/>
        <w:rPr>
          <w:lang w:val="en-US" w:eastAsia="zh-CN"/>
        </w:rPr>
      </w:pPr>
      <w:r w:rsidRPr="00E9509A">
        <w:rPr>
          <w:lang w:val="en-US" w:eastAsia="zh-CN"/>
        </w:rPr>
        <w:t>–</w:t>
      </w:r>
      <w:r>
        <w:rPr>
          <w:lang w:val="en-US" w:eastAsia="zh-CN"/>
        </w:rPr>
        <w:tab/>
      </w:r>
      <w:r w:rsidR="003F11AB">
        <w:rPr>
          <w:rFonts w:hint="eastAsia"/>
          <w:lang w:val="en-US" w:eastAsia="zh-CN"/>
        </w:rPr>
        <w:t>例如：</w:t>
      </w:r>
      <w:r w:rsidR="00D9674A">
        <w:rPr>
          <w:lang w:val="en-US" w:eastAsia="zh-CN"/>
        </w:rPr>
        <w:t>世界知识产权组织</w:t>
      </w:r>
      <w:r>
        <w:rPr>
          <w:lang w:val="en-US" w:eastAsia="zh-CN"/>
        </w:rPr>
        <w:t>、</w:t>
      </w:r>
      <w:r w:rsidR="00D9674A">
        <w:rPr>
          <w:lang w:val="en-US" w:eastAsia="zh-CN"/>
        </w:rPr>
        <w:t>联合国教科文组织</w:t>
      </w:r>
      <w:r>
        <w:rPr>
          <w:lang w:val="en-US" w:eastAsia="zh-CN"/>
        </w:rPr>
        <w:t>、</w:t>
      </w:r>
      <w:r w:rsidR="003F11AB">
        <w:rPr>
          <w:rFonts w:hint="eastAsia"/>
          <w:lang w:val="en-US" w:eastAsia="zh-CN"/>
        </w:rPr>
        <w:t>世卫组织、国际原子能机构、</w:t>
      </w:r>
      <w:r w:rsidR="00CF24D3">
        <w:rPr>
          <w:lang w:val="en-US" w:eastAsia="zh-CN"/>
        </w:rPr>
        <w:t>粮农组织</w:t>
      </w:r>
    </w:p>
    <w:p w:rsidR="00BC0922" w:rsidRPr="00482659" w:rsidRDefault="00BC0922" w:rsidP="00717537">
      <w:pPr>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en-US" w:eastAsia="zh-CN"/>
        </w:rPr>
      </w:pPr>
      <w:r>
        <w:rPr>
          <w:rFonts w:asciiTheme="minorHAnsi" w:eastAsiaTheme="minorEastAsia" w:hAnsiTheme="minorHAnsi" w:cstheme="minorBidi"/>
          <w:szCs w:val="24"/>
          <w:lang w:val="en-US" w:eastAsia="zh-CN"/>
        </w:rPr>
        <w:t>3.5</w:t>
      </w:r>
      <w:r>
        <w:rPr>
          <w:rFonts w:asciiTheme="minorHAnsi" w:eastAsiaTheme="minorEastAsia" w:hAnsiTheme="minorHAnsi" w:cstheme="minorBidi"/>
          <w:szCs w:val="24"/>
          <w:lang w:val="en-US" w:eastAsia="zh-CN"/>
        </w:rPr>
        <w:tab/>
      </w:r>
      <w:r w:rsidR="003F11AB">
        <w:rPr>
          <w:rFonts w:asciiTheme="minorHAnsi" w:eastAsiaTheme="minorEastAsia" w:hAnsiTheme="minorHAnsi" w:cstheme="minorBidi" w:hint="eastAsia"/>
          <w:szCs w:val="24"/>
          <w:lang w:val="en-US" w:eastAsia="zh-CN"/>
        </w:rPr>
        <w:t>2014</w:t>
      </w:r>
      <w:r w:rsidR="003F11AB">
        <w:rPr>
          <w:rFonts w:asciiTheme="minorHAnsi" w:eastAsiaTheme="minorEastAsia" w:hAnsiTheme="minorHAnsi" w:cstheme="minorBidi" w:hint="eastAsia"/>
          <w:szCs w:val="24"/>
          <w:lang w:val="en-US" w:eastAsia="zh-CN"/>
        </w:rPr>
        <w:t>年，</w:t>
      </w:r>
      <w:r w:rsidR="0079626D">
        <w:rPr>
          <w:rFonts w:asciiTheme="minorHAnsi" w:eastAsiaTheme="minorEastAsia" w:hAnsiTheme="minorHAnsi" w:cstheme="minorBidi" w:hint="eastAsia"/>
          <w:szCs w:val="24"/>
          <w:lang w:val="en-US" w:eastAsia="zh-CN"/>
        </w:rPr>
        <w:t>秘书处对</w:t>
      </w:r>
      <w:r w:rsidR="0079626D">
        <w:rPr>
          <w:rFonts w:asciiTheme="minorHAnsi" w:eastAsiaTheme="minorEastAsia" w:hAnsiTheme="minorHAnsi" w:cstheme="minorBidi" w:hint="eastAsia"/>
          <w:szCs w:val="24"/>
          <w:lang w:val="en-US" w:eastAsia="zh-CN"/>
        </w:rPr>
        <w:t>ETSI</w:t>
      </w:r>
      <w:r w:rsidR="0079626D">
        <w:rPr>
          <w:rFonts w:asciiTheme="minorHAnsi" w:eastAsiaTheme="minorEastAsia" w:hAnsiTheme="minorHAnsi" w:cstheme="minorBidi" w:hint="eastAsia"/>
          <w:szCs w:val="24"/>
          <w:lang w:val="en-US" w:eastAsia="zh-CN"/>
        </w:rPr>
        <w:t>、</w:t>
      </w:r>
      <w:r w:rsidR="0079626D">
        <w:rPr>
          <w:rFonts w:asciiTheme="minorHAnsi" w:eastAsiaTheme="minorEastAsia" w:hAnsiTheme="minorHAnsi" w:cstheme="minorBidi"/>
          <w:szCs w:val="24"/>
          <w:lang w:val="en-US" w:eastAsia="zh-CN"/>
        </w:rPr>
        <w:t>IEEE</w:t>
      </w:r>
      <w:r w:rsidR="0079626D">
        <w:rPr>
          <w:rFonts w:asciiTheme="minorHAnsi" w:eastAsiaTheme="minorEastAsia" w:hAnsiTheme="minorHAnsi" w:cstheme="minorBidi" w:hint="eastAsia"/>
          <w:szCs w:val="24"/>
          <w:lang w:val="en-US" w:eastAsia="zh-CN"/>
        </w:rPr>
        <w:t>、</w:t>
      </w:r>
      <w:r w:rsidR="0079626D">
        <w:rPr>
          <w:rFonts w:asciiTheme="minorHAnsi" w:eastAsiaTheme="minorEastAsia" w:hAnsiTheme="minorHAnsi" w:cstheme="minorBidi"/>
          <w:szCs w:val="24"/>
          <w:lang w:val="en-US" w:eastAsia="zh-CN"/>
        </w:rPr>
        <w:t>IETF</w:t>
      </w:r>
      <w:r w:rsidR="0079626D">
        <w:rPr>
          <w:rFonts w:asciiTheme="minorHAnsi" w:eastAsiaTheme="minorEastAsia" w:hAnsiTheme="minorHAnsi" w:cstheme="minorBidi" w:hint="eastAsia"/>
          <w:szCs w:val="24"/>
          <w:lang w:val="en-US" w:eastAsia="zh-CN"/>
        </w:rPr>
        <w:t>、</w:t>
      </w:r>
      <w:r w:rsidR="0079626D">
        <w:rPr>
          <w:rFonts w:asciiTheme="minorHAnsi" w:eastAsiaTheme="minorEastAsia" w:hAnsiTheme="minorHAnsi" w:cstheme="minorBidi"/>
          <w:szCs w:val="24"/>
          <w:lang w:val="en-US" w:eastAsia="zh-CN"/>
        </w:rPr>
        <w:t>ISC</w:t>
      </w:r>
      <w:r w:rsidR="0079626D">
        <w:rPr>
          <w:rFonts w:asciiTheme="minorHAnsi" w:eastAsiaTheme="minorEastAsia" w:hAnsiTheme="minorHAnsi" w:cstheme="minorBidi" w:hint="eastAsia"/>
          <w:szCs w:val="24"/>
          <w:lang w:val="en-US" w:eastAsia="zh-CN"/>
        </w:rPr>
        <w:t>和</w:t>
      </w:r>
      <w:r w:rsidR="0079626D">
        <w:rPr>
          <w:rFonts w:asciiTheme="minorHAnsi" w:eastAsiaTheme="minorEastAsia" w:hAnsiTheme="minorHAnsi" w:cstheme="minorBidi"/>
          <w:szCs w:val="24"/>
          <w:lang w:val="en-US" w:eastAsia="zh-CN"/>
        </w:rPr>
        <w:t>ISO</w:t>
      </w:r>
      <w:r w:rsidR="0079626D">
        <w:rPr>
          <w:rFonts w:asciiTheme="minorHAnsi" w:eastAsiaTheme="minorEastAsia" w:hAnsiTheme="minorHAnsi" w:cstheme="minorBidi" w:hint="eastAsia"/>
          <w:szCs w:val="24"/>
          <w:lang w:val="en-US" w:eastAsia="zh-CN"/>
        </w:rPr>
        <w:t>等</w:t>
      </w:r>
      <w:r w:rsidR="0079626D">
        <w:rPr>
          <w:rFonts w:asciiTheme="minorHAnsi" w:eastAsiaTheme="minorEastAsia" w:hAnsiTheme="minorHAnsi" w:cstheme="minorBidi" w:hint="eastAsia"/>
          <w:szCs w:val="24"/>
          <w:lang w:val="en-US" w:eastAsia="zh-CN"/>
        </w:rPr>
        <w:t>5</w:t>
      </w:r>
      <w:r w:rsidR="0079626D">
        <w:rPr>
          <w:rFonts w:asciiTheme="minorHAnsi" w:eastAsiaTheme="minorEastAsia" w:hAnsiTheme="minorHAnsi" w:cstheme="minorBidi" w:hint="eastAsia"/>
          <w:szCs w:val="24"/>
          <w:lang w:val="en-US" w:eastAsia="zh-CN"/>
        </w:rPr>
        <w:t>个标准化组织就信息披露政策和做法做了一次调查。这些组织没有正式的信息获取</w:t>
      </w:r>
      <w:r w:rsidR="0079626D">
        <w:rPr>
          <w:rFonts w:asciiTheme="minorHAnsi" w:eastAsiaTheme="minorEastAsia" w:hAnsiTheme="minorHAnsi" w:cstheme="minorBidi" w:hint="eastAsia"/>
          <w:szCs w:val="24"/>
          <w:lang w:val="en-US" w:eastAsia="zh-CN"/>
        </w:rPr>
        <w:t>/</w:t>
      </w:r>
      <w:r w:rsidR="0079626D">
        <w:rPr>
          <w:rFonts w:asciiTheme="minorHAnsi" w:eastAsiaTheme="minorEastAsia" w:hAnsiTheme="minorHAnsi" w:cstheme="minorBidi" w:hint="eastAsia"/>
          <w:szCs w:val="24"/>
          <w:lang w:val="en-US" w:eastAsia="zh-CN"/>
        </w:rPr>
        <w:t>披露政策，但都定期在其网站上发布有关该组织及其活动的各类信息。关于标准制定信息和标准制定工作组文件，则依据标准制定工作组的构成、作用和职能，</w:t>
      </w:r>
      <w:r w:rsidR="00923BE4">
        <w:rPr>
          <w:rFonts w:asciiTheme="minorHAnsi" w:eastAsiaTheme="minorEastAsia" w:hAnsiTheme="minorHAnsi" w:cstheme="minorBidi" w:hint="eastAsia"/>
          <w:szCs w:val="24"/>
          <w:lang w:val="en-US" w:eastAsia="zh-CN"/>
        </w:rPr>
        <w:t>以及外界在标准制定过程中的参与程度，向外界提供的信息数量和类型</w:t>
      </w:r>
      <w:r w:rsidR="00DB136B">
        <w:rPr>
          <w:rFonts w:asciiTheme="minorHAnsi" w:eastAsiaTheme="minorEastAsia" w:hAnsiTheme="minorHAnsi" w:cstheme="minorBidi" w:hint="eastAsia"/>
          <w:szCs w:val="24"/>
          <w:lang w:val="en-US" w:eastAsia="zh-CN"/>
        </w:rPr>
        <w:t>不尽相同</w:t>
      </w:r>
      <w:r w:rsidR="0079626D">
        <w:rPr>
          <w:rFonts w:asciiTheme="minorHAnsi" w:eastAsiaTheme="minorEastAsia" w:hAnsiTheme="minorHAnsi" w:cstheme="minorBidi" w:hint="eastAsia"/>
          <w:szCs w:val="24"/>
          <w:lang w:val="en-US" w:eastAsia="zh-CN"/>
        </w:rPr>
        <w:t>。</w:t>
      </w:r>
    </w:p>
    <w:p w:rsidR="00BC0922" w:rsidRDefault="00E9509A" w:rsidP="00E9509A">
      <w:pPr>
        <w:pStyle w:val="Heading1"/>
        <w:rPr>
          <w:lang w:eastAsia="zh-CN"/>
        </w:rPr>
      </w:pPr>
      <w:r>
        <w:rPr>
          <w:lang w:eastAsia="zh-CN"/>
        </w:rPr>
        <w:t>4</w:t>
      </w:r>
      <w:r w:rsidR="00BC0922">
        <w:rPr>
          <w:lang w:eastAsia="zh-CN"/>
        </w:rPr>
        <w:tab/>
      </w:r>
      <w:r w:rsidR="0079626D">
        <w:rPr>
          <w:rFonts w:hint="eastAsia"/>
          <w:lang w:eastAsia="zh-CN"/>
        </w:rPr>
        <w:t>信息获取政策的共同要素</w:t>
      </w:r>
    </w:p>
    <w:p w:rsidR="00BC0922" w:rsidRPr="00687D92" w:rsidRDefault="0079626D" w:rsidP="00E9509A">
      <w:pPr>
        <w:keepNext/>
        <w:keepLines/>
        <w:tabs>
          <w:tab w:val="clear" w:pos="567"/>
          <w:tab w:val="clear" w:pos="1134"/>
          <w:tab w:val="clear" w:pos="1701"/>
          <w:tab w:val="clear" w:pos="2268"/>
          <w:tab w:val="clear" w:pos="2835"/>
        </w:tabs>
        <w:snapToGrid w:val="0"/>
        <w:spacing w:after="120"/>
        <w:ind w:firstLineChars="200" w:firstLine="480"/>
        <w:rPr>
          <w:lang w:eastAsia="zh-CN"/>
        </w:rPr>
      </w:pPr>
      <w:r>
        <w:rPr>
          <w:rFonts w:hint="eastAsia"/>
          <w:lang w:eastAsia="zh-CN"/>
        </w:rPr>
        <w:t>根据对联合国和其他国际组织</w:t>
      </w:r>
      <w:r w:rsidR="002113CF">
        <w:rPr>
          <w:rFonts w:hint="eastAsia"/>
          <w:lang w:eastAsia="zh-CN"/>
        </w:rPr>
        <w:t>做法的研究，可以确定</w:t>
      </w:r>
      <w:r w:rsidR="002E3230">
        <w:rPr>
          <w:rFonts w:hint="eastAsia"/>
          <w:lang w:eastAsia="zh-CN"/>
        </w:rPr>
        <w:t>以下</w:t>
      </w:r>
      <w:r w:rsidR="002113CF">
        <w:rPr>
          <w:rFonts w:hint="eastAsia"/>
          <w:lang w:eastAsia="zh-CN"/>
        </w:rPr>
        <w:t>共同要素：</w:t>
      </w:r>
    </w:p>
    <w:p w:rsidR="00BC0922" w:rsidRPr="002B584C" w:rsidRDefault="00E9509A" w:rsidP="00E9509A">
      <w:pPr>
        <w:pStyle w:val="enumlev1"/>
        <w:rPr>
          <w:lang w:eastAsia="zh-CN"/>
        </w:rPr>
      </w:pPr>
      <w:r>
        <w:rPr>
          <w:rFonts w:hint="eastAsia"/>
          <w:lang w:eastAsia="zh-CN"/>
        </w:rPr>
        <w:t>1</w:t>
      </w:r>
      <w:r>
        <w:rPr>
          <w:rFonts w:hint="eastAsia"/>
          <w:lang w:eastAsia="zh-CN"/>
        </w:rPr>
        <w:tab/>
      </w:r>
      <w:r w:rsidR="002113CF">
        <w:rPr>
          <w:rFonts w:hint="eastAsia"/>
          <w:lang w:eastAsia="zh-CN"/>
        </w:rPr>
        <w:t>主要术语的定义</w:t>
      </w:r>
    </w:p>
    <w:p w:rsidR="00BC0922" w:rsidRPr="002B584C" w:rsidRDefault="00E9509A" w:rsidP="00E9509A">
      <w:pPr>
        <w:pStyle w:val="enumlev2"/>
        <w:rPr>
          <w:lang w:eastAsia="zh-CN"/>
        </w:rPr>
      </w:pPr>
      <w:r>
        <w:rPr>
          <w:lang w:eastAsia="zh-CN"/>
        </w:rPr>
        <w:t>•</w:t>
      </w:r>
      <w:r>
        <w:rPr>
          <w:lang w:eastAsia="zh-CN"/>
        </w:rPr>
        <w:tab/>
      </w:r>
      <w:r w:rsidR="002113CF">
        <w:rPr>
          <w:rFonts w:hint="eastAsia"/>
          <w:lang w:eastAsia="zh-CN"/>
        </w:rPr>
        <w:t>信息</w:t>
      </w:r>
    </w:p>
    <w:p w:rsidR="00BC0922" w:rsidRPr="002B584C" w:rsidRDefault="00E9509A" w:rsidP="00E9509A">
      <w:pPr>
        <w:pStyle w:val="enumlev2"/>
        <w:rPr>
          <w:lang w:eastAsia="zh-CN"/>
        </w:rPr>
      </w:pPr>
      <w:r>
        <w:rPr>
          <w:lang w:eastAsia="zh-CN"/>
        </w:rPr>
        <w:t>•</w:t>
      </w:r>
      <w:r>
        <w:rPr>
          <w:lang w:eastAsia="zh-CN"/>
        </w:rPr>
        <w:tab/>
      </w:r>
      <w:r w:rsidR="002113CF">
        <w:rPr>
          <w:rFonts w:hint="eastAsia"/>
          <w:lang w:eastAsia="zh-CN"/>
        </w:rPr>
        <w:t>文件</w:t>
      </w:r>
    </w:p>
    <w:p w:rsidR="00BC0922" w:rsidRPr="002B584C" w:rsidRDefault="00E9509A" w:rsidP="00E9509A">
      <w:pPr>
        <w:pStyle w:val="enumlev2"/>
        <w:rPr>
          <w:lang w:eastAsia="zh-CN"/>
        </w:rPr>
      </w:pPr>
      <w:r>
        <w:rPr>
          <w:lang w:eastAsia="zh-CN"/>
        </w:rPr>
        <w:t>•</w:t>
      </w:r>
      <w:r>
        <w:rPr>
          <w:lang w:eastAsia="zh-CN"/>
        </w:rPr>
        <w:tab/>
      </w:r>
      <w:r w:rsidR="002113CF">
        <w:rPr>
          <w:rFonts w:hint="eastAsia"/>
          <w:lang w:eastAsia="zh-CN"/>
        </w:rPr>
        <w:t>出版物</w:t>
      </w:r>
    </w:p>
    <w:p w:rsidR="00BC0922" w:rsidRPr="002B584C" w:rsidRDefault="00E9509A" w:rsidP="00E9509A">
      <w:pPr>
        <w:pStyle w:val="enumlev2"/>
        <w:rPr>
          <w:lang w:eastAsia="zh-CN"/>
        </w:rPr>
      </w:pPr>
      <w:r>
        <w:rPr>
          <w:lang w:eastAsia="zh-CN"/>
        </w:rPr>
        <w:t>•</w:t>
      </w:r>
      <w:r>
        <w:rPr>
          <w:lang w:eastAsia="zh-CN"/>
        </w:rPr>
        <w:tab/>
      </w:r>
      <w:r w:rsidR="002113CF">
        <w:rPr>
          <w:rFonts w:hint="eastAsia"/>
          <w:lang w:eastAsia="zh-CN"/>
        </w:rPr>
        <w:t>获取</w:t>
      </w:r>
      <w:r w:rsidR="002113CF">
        <w:rPr>
          <w:rFonts w:hint="eastAsia"/>
          <w:lang w:eastAsia="zh-CN"/>
        </w:rPr>
        <w:t>/</w:t>
      </w:r>
      <w:r w:rsidR="002113CF">
        <w:rPr>
          <w:rFonts w:hint="eastAsia"/>
          <w:lang w:eastAsia="zh-CN"/>
        </w:rPr>
        <w:t>信息披露</w:t>
      </w:r>
    </w:p>
    <w:p w:rsidR="00BC0922" w:rsidRPr="002B584C" w:rsidRDefault="00E9509A" w:rsidP="00E9509A">
      <w:pPr>
        <w:pStyle w:val="enumlev1"/>
        <w:rPr>
          <w:lang w:eastAsia="zh-CN"/>
        </w:rPr>
      </w:pPr>
      <w:r>
        <w:rPr>
          <w:rFonts w:hint="eastAsia"/>
          <w:lang w:eastAsia="zh-CN"/>
        </w:rPr>
        <w:lastRenderedPageBreak/>
        <w:t>2</w:t>
      </w:r>
      <w:r>
        <w:rPr>
          <w:rFonts w:hint="eastAsia"/>
          <w:lang w:eastAsia="zh-CN"/>
        </w:rPr>
        <w:tab/>
      </w:r>
      <w:r w:rsidR="002113CF">
        <w:rPr>
          <w:rFonts w:hint="eastAsia"/>
          <w:lang w:eastAsia="zh-CN"/>
        </w:rPr>
        <w:t>原则表述</w:t>
      </w:r>
    </w:p>
    <w:p w:rsidR="00BC0922" w:rsidRPr="002B584C" w:rsidRDefault="00E9509A" w:rsidP="00E9509A">
      <w:pPr>
        <w:pStyle w:val="enumlev2"/>
        <w:rPr>
          <w:lang w:eastAsia="zh-CN"/>
        </w:rPr>
      </w:pPr>
      <w:r>
        <w:rPr>
          <w:lang w:eastAsia="zh-CN"/>
        </w:rPr>
        <w:t>•</w:t>
      </w:r>
      <w:r>
        <w:rPr>
          <w:lang w:eastAsia="zh-CN"/>
        </w:rPr>
        <w:tab/>
      </w:r>
      <w:r w:rsidR="002113CF">
        <w:rPr>
          <w:rFonts w:hint="eastAsia"/>
          <w:lang w:eastAsia="zh-CN"/>
        </w:rPr>
        <w:t>总原则：该组织关于信息公开、透明和披露的立场（多数组织正逐渐趋向支持有条件的披露）</w:t>
      </w:r>
    </w:p>
    <w:p w:rsidR="00BC0922" w:rsidRPr="002B584C" w:rsidRDefault="00E9509A" w:rsidP="00E9509A">
      <w:pPr>
        <w:pStyle w:val="enumlev2"/>
        <w:rPr>
          <w:lang w:eastAsia="zh-CN"/>
        </w:rPr>
      </w:pPr>
      <w:r>
        <w:rPr>
          <w:lang w:eastAsia="zh-CN"/>
        </w:rPr>
        <w:t>•</w:t>
      </w:r>
      <w:r>
        <w:rPr>
          <w:lang w:eastAsia="zh-CN"/>
        </w:rPr>
        <w:tab/>
      </w:r>
      <w:r w:rsidR="002113CF">
        <w:rPr>
          <w:rFonts w:hint="eastAsia"/>
          <w:lang w:eastAsia="zh-CN"/>
        </w:rPr>
        <w:t>范围：信息获取政策应确立指导获取该组织创造、收取和使用的</w:t>
      </w:r>
      <w:r w:rsidR="002113CF" w:rsidRPr="002E3230">
        <w:rPr>
          <w:rFonts w:ascii="STKaiti" w:eastAsia="STKaiti" w:hAnsi="STKaiti" w:hint="eastAsia"/>
          <w:lang w:eastAsia="zh-CN"/>
        </w:rPr>
        <w:t>所有</w:t>
      </w:r>
      <w:r w:rsidR="002113CF">
        <w:rPr>
          <w:rFonts w:hint="eastAsia"/>
          <w:lang w:eastAsia="zh-CN"/>
        </w:rPr>
        <w:t>形式和媒介承载的</w:t>
      </w:r>
      <w:r w:rsidR="002113CF" w:rsidRPr="002E3230">
        <w:rPr>
          <w:rFonts w:ascii="STKaiti" w:eastAsia="STKaiti" w:hAnsi="STKaiti" w:hint="eastAsia"/>
          <w:lang w:eastAsia="zh-CN"/>
        </w:rPr>
        <w:t>所有</w:t>
      </w:r>
      <w:r w:rsidR="002113CF">
        <w:rPr>
          <w:rFonts w:hint="eastAsia"/>
          <w:lang w:eastAsia="zh-CN"/>
        </w:rPr>
        <w:t>类型的信息的基本原则。</w:t>
      </w:r>
    </w:p>
    <w:p w:rsidR="00BC0922" w:rsidRPr="002B584C" w:rsidRDefault="00E9509A" w:rsidP="00E9509A">
      <w:pPr>
        <w:pStyle w:val="enumlev2"/>
        <w:rPr>
          <w:lang w:eastAsia="zh-CN"/>
        </w:rPr>
      </w:pPr>
      <w:r>
        <w:rPr>
          <w:lang w:eastAsia="zh-CN"/>
        </w:rPr>
        <w:t>•</w:t>
      </w:r>
      <w:r>
        <w:rPr>
          <w:lang w:eastAsia="zh-CN"/>
        </w:rPr>
        <w:tab/>
      </w:r>
      <w:r w:rsidR="002113CF">
        <w:rPr>
          <w:rFonts w:hint="eastAsia"/>
          <w:lang w:eastAsia="zh-CN"/>
        </w:rPr>
        <w:t>目标：该组织的目标是什么？</w:t>
      </w:r>
    </w:p>
    <w:p w:rsidR="00BC0922" w:rsidRPr="000C739A" w:rsidRDefault="00E9509A" w:rsidP="00E9509A">
      <w:pPr>
        <w:pStyle w:val="enumlev2"/>
        <w:rPr>
          <w:lang w:eastAsia="zh-CN"/>
        </w:rPr>
      </w:pPr>
      <w:r>
        <w:rPr>
          <w:lang w:eastAsia="zh-CN"/>
        </w:rPr>
        <w:t>•</w:t>
      </w:r>
      <w:r>
        <w:rPr>
          <w:lang w:eastAsia="zh-CN"/>
        </w:rPr>
        <w:tab/>
      </w:r>
      <w:r w:rsidR="002113CF">
        <w:rPr>
          <w:rFonts w:hint="eastAsia"/>
          <w:lang w:eastAsia="zh-CN"/>
        </w:rPr>
        <w:t>其他国际组织</w:t>
      </w:r>
      <w:r w:rsidR="009E239D">
        <w:rPr>
          <w:rFonts w:hint="eastAsia"/>
          <w:lang w:eastAsia="zh-CN"/>
        </w:rPr>
        <w:t>具有共性的目标包括：</w:t>
      </w:r>
    </w:p>
    <w:p w:rsidR="00BC0922" w:rsidRPr="002B584C" w:rsidRDefault="00E9509A" w:rsidP="00E9509A">
      <w:pPr>
        <w:pStyle w:val="enumlev3"/>
        <w:rPr>
          <w:lang w:eastAsia="zh-CN"/>
        </w:rPr>
      </w:pPr>
      <w:r>
        <w:rPr>
          <w:lang w:eastAsia="zh-CN"/>
        </w:rPr>
        <w:t>–</w:t>
      </w:r>
      <w:r>
        <w:rPr>
          <w:lang w:eastAsia="zh-CN"/>
        </w:rPr>
        <w:tab/>
      </w:r>
      <w:r w:rsidR="009E239D">
        <w:rPr>
          <w:rFonts w:hint="eastAsia"/>
          <w:lang w:eastAsia="zh-CN"/>
        </w:rPr>
        <w:t>便于所有利益攸关方，包括广大公众参与该组织的工作</w:t>
      </w:r>
      <w:r w:rsidR="00BC0922" w:rsidRPr="002B584C">
        <w:rPr>
          <w:lang w:eastAsia="zh-CN"/>
        </w:rPr>
        <w:t xml:space="preserve"> </w:t>
      </w:r>
    </w:p>
    <w:p w:rsidR="00BC0922" w:rsidRPr="002B584C" w:rsidRDefault="00E9509A" w:rsidP="00E9509A">
      <w:pPr>
        <w:pStyle w:val="enumlev3"/>
        <w:rPr>
          <w:lang w:eastAsia="zh-CN"/>
        </w:rPr>
      </w:pPr>
      <w:r>
        <w:rPr>
          <w:lang w:eastAsia="zh-CN"/>
        </w:rPr>
        <w:t>–</w:t>
      </w:r>
      <w:r>
        <w:rPr>
          <w:lang w:eastAsia="zh-CN"/>
        </w:rPr>
        <w:tab/>
      </w:r>
      <w:r w:rsidR="009E239D">
        <w:rPr>
          <w:rFonts w:hint="eastAsia"/>
          <w:lang w:eastAsia="zh-CN"/>
        </w:rPr>
        <w:t>信息共享：以</w:t>
      </w:r>
      <w:r w:rsidR="00DB136B">
        <w:rPr>
          <w:rFonts w:hint="eastAsia"/>
          <w:lang w:eastAsia="zh-CN"/>
        </w:rPr>
        <w:t>开放</w:t>
      </w:r>
      <w:r w:rsidR="009E239D">
        <w:rPr>
          <w:rFonts w:hint="eastAsia"/>
          <w:lang w:eastAsia="zh-CN"/>
        </w:rPr>
        <w:t>和透明的方式运行，以展示对利益攸关方和公众有意义的成果，从而激发他们的信心</w:t>
      </w:r>
    </w:p>
    <w:p w:rsidR="00BC0922" w:rsidRPr="002B584C" w:rsidRDefault="00E9509A" w:rsidP="00E9509A">
      <w:pPr>
        <w:pStyle w:val="enumlev3"/>
        <w:rPr>
          <w:rFonts w:cs="Calibri"/>
          <w:lang w:eastAsia="zh-CN"/>
        </w:rPr>
      </w:pPr>
      <w:r>
        <w:rPr>
          <w:lang w:eastAsia="zh-CN"/>
        </w:rPr>
        <w:t>–</w:t>
      </w:r>
      <w:r>
        <w:rPr>
          <w:lang w:eastAsia="zh-CN"/>
        </w:rPr>
        <w:tab/>
      </w:r>
      <w:r w:rsidR="009E239D">
        <w:rPr>
          <w:rFonts w:hint="eastAsia"/>
          <w:lang w:eastAsia="zh-CN"/>
        </w:rPr>
        <w:t>公众获取信息有助于更好地认识该组织的使命和工作</w:t>
      </w:r>
    </w:p>
    <w:p w:rsidR="00BC0922" w:rsidRPr="000C739A" w:rsidRDefault="00E9509A" w:rsidP="00E9509A">
      <w:pPr>
        <w:pStyle w:val="enumlev2"/>
        <w:rPr>
          <w:lang w:eastAsia="zh-CN"/>
        </w:rPr>
      </w:pPr>
      <w:r>
        <w:rPr>
          <w:lang w:eastAsia="zh-CN"/>
        </w:rPr>
        <w:t>•</w:t>
      </w:r>
      <w:r>
        <w:rPr>
          <w:lang w:eastAsia="zh-CN"/>
        </w:rPr>
        <w:tab/>
      </w:r>
      <w:r w:rsidR="009E239D">
        <w:rPr>
          <w:rFonts w:hint="eastAsia"/>
          <w:lang w:eastAsia="zh-CN"/>
        </w:rPr>
        <w:t>对成员的裨益：信息获取是否是成员的福利？这种福利是否优先于公众的知情权？</w:t>
      </w:r>
    </w:p>
    <w:p w:rsidR="00BC0922" w:rsidRPr="002B584C" w:rsidRDefault="00E9509A" w:rsidP="00E9509A">
      <w:pPr>
        <w:pStyle w:val="enumlev1"/>
        <w:rPr>
          <w:lang w:eastAsia="zh-CN"/>
        </w:rPr>
      </w:pPr>
      <w:r>
        <w:rPr>
          <w:rFonts w:hint="eastAsia"/>
          <w:lang w:eastAsia="zh-CN"/>
        </w:rPr>
        <w:t>3</w:t>
      </w:r>
      <w:r>
        <w:rPr>
          <w:rFonts w:hint="eastAsia"/>
          <w:lang w:eastAsia="zh-CN"/>
        </w:rPr>
        <w:tab/>
      </w:r>
      <w:r w:rsidR="009E239D">
        <w:rPr>
          <w:rFonts w:hint="eastAsia"/>
          <w:lang w:eastAsia="zh-CN"/>
        </w:rPr>
        <w:t>例外</w:t>
      </w:r>
    </w:p>
    <w:p w:rsidR="00BC0922" w:rsidRPr="002B584C" w:rsidRDefault="00E9509A" w:rsidP="00E9509A">
      <w:pPr>
        <w:pStyle w:val="enumlev2"/>
        <w:rPr>
          <w:lang w:eastAsia="zh-CN"/>
        </w:rPr>
      </w:pPr>
      <w:r>
        <w:rPr>
          <w:lang w:eastAsia="zh-CN"/>
        </w:rPr>
        <w:t>•</w:t>
      </w:r>
      <w:r>
        <w:rPr>
          <w:lang w:eastAsia="zh-CN"/>
        </w:rPr>
        <w:tab/>
      </w:r>
      <w:r w:rsidR="00D55C40">
        <w:rPr>
          <w:rFonts w:hint="eastAsia"/>
          <w:lang w:eastAsia="zh-CN"/>
        </w:rPr>
        <w:t>信息不外泄应有明确和具体的理由。信息获取的例外</w:t>
      </w:r>
      <w:r w:rsidR="00D55C40">
        <w:rPr>
          <w:rFonts w:hint="eastAsia"/>
          <w:lang w:eastAsia="zh-CN"/>
        </w:rPr>
        <w:t>/</w:t>
      </w:r>
      <w:r w:rsidR="00D55C40">
        <w:rPr>
          <w:rFonts w:hint="eastAsia"/>
          <w:lang w:eastAsia="zh-CN"/>
        </w:rPr>
        <w:t>限制所涉及信息类型应该是其披露对个人或公众合法利益造成的潜在危害大于信息公开带来的利益。</w:t>
      </w:r>
    </w:p>
    <w:p w:rsidR="00BC0922" w:rsidRPr="002B584C" w:rsidRDefault="00E9509A" w:rsidP="00E9509A">
      <w:pPr>
        <w:pStyle w:val="enumlev2"/>
        <w:rPr>
          <w:lang w:eastAsia="zh-CN"/>
        </w:rPr>
      </w:pPr>
      <w:r>
        <w:rPr>
          <w:lang w:eastAsia="zh-CN"/>
        </w:rPr>
        <w:t>•</w:t>
      </w:r>
      <w:r>
        <w:rPr>
          <w:lang w:eastAsia="zh-CN"/>
        </w:rPr>
        <w:tab/>
      </w:r>
      <w:r w:rsidR="00D55C40">
        <w:rPr>
          <w:rFonts w:hint="eastAsia"/>
          <w:lang w:eastAsia="zh-CN"/>
        </w:rPr>
        <w:t>例外应基于文件的</w:t>
      </w:r>
      <w:r w:rsidR="00D55C40" w:rsidRPr="002E3230">
        <w:rPr>
          <w:rFonts w:ascii="STKaiti" w:eastAsia="STKaiti" w:hAnsi="STKaiti" w:hint="eastAsia"/>
          <w:lang w:eastAsia="zh-CN"/>
        </w:rPr>
        <w:t>内容</w:t>
      </w:r>
      <w:r w:rsidR="00D55C40">
        <w:rPr>
          <w:rFonts w:hint="eastAsia"/>
          <w:lang w:eastAsia="zh-CN"/>
        </w:rPr>
        <w:t>而非</w:t>
      </w:r>
      <w:r w:rsidR="00D55C40" w:rsidRPr="002E3230">
        <w:rPr>
          <w:rFonts w:ascii="STKaiti" w:eastAsia="STKaiti" w:hAnsi="STKaiti" w:hint="eastAsia"/>
          <w:lang w:eastAsia="zh-CN"/>
        </w:rPr>
        <w:t>类型</w:t>
      </w:r>
      <w:r w:rsidR="00D55C40">
        <w:rPr>
          <w:rFonts w:hint="eastAsia"/>
          <w:lang w:eastAsia="zh-CN"/>
        </w:rPr>
        <w:t>。</w:t>
      </w:r>
    </w:p>
    <w:p w:rsidR="00BC0922" w:rsidRPr="002B584C" w:rsidRDefault="00E9509A" w:rsidP="00E9509A">
      <w:pPr>
        <w:pStyle w:val="enumlev2"/>
        <w:rPr>
          <w:lang w:eastAsia="zh-CN"/>
        </w:rPr>
      </w:pPr>
      <w:r>
        <w:rPr>
          <w:lang w:eastAsia="zh-CN"/>
        </w:rPr>
        <w:t>•</w:t>
      </w:r>
      <w:r>
        <w:rPr>
          <w:lang w:eastAsia="zh-CN"/>
        </w:rPr>
        <w:tab/>
      </w:r>
      <w:r w:rsidR="00D55C40">
        <w:rPr>
          <w:rFonts w:hint="eastAsia"/>
          <w:lang w:eastAsia="zh-CN"/>
        </w:rPr>
        <w:t>例外应对内容类别进行一般性描述。应利用说明</w:t>
      </w:r>
      <w:r w:rsidR="00D55C40">
        <w:rPr>
          <w:rFonts w:hint="eastAsia"/>
          <w:lang w:eastAsia="zh-CN"/>
        </w:rPr>
        <w:t>/</w:t>
      </w:r>
      <w:r w:rsidR="00D55C40">
        <w:rPr>
          <w:rFonts w:hint="eastAsia"/>
          <w:lang w:eastAsia="zh-CN"/>
        </w:rPr>
        <w:t>标准</w:t>
      </w:r>
      <w:r w:rsidR="00E3129B">
        <w:rPr>
          <w:rFonts w:hint="eastAsia"/>
          <w:lang w:eastAsia="zh-CN"/>
        </w:rPr>
        <w:t>对该组织的所有文件进行评估，确定是否公开、限制或保密。可以单独制定程序，根据限制类别对组织的现有文件进行</w:t>
      </w:r>
      <w:r w:rsidR="00DB136B">
        <w:rPr>
          <w:rFonts w:hint="eastAsia"/>
          <w:lang w:eastAsia="zh-CN"/>
        </w:rPr>
        <w:t>分类</w:t>
      </w:r>
      <w:r w:rsidR="00E3129B">
        <w:rPr>
          <w:rFonts w:hint="eastAsia"/>
          <w:lang w:eastAsia="zh-CN"/>
        </w:rPr>
        <w:t>。</w:t>
      </w:r>
    </w:p>
    <w:p w:rsidR="00BC0922" w:rsidRPr="002B584C" w:rsidRDefault="00E9509A" w:rsidP="00E9509A">
      <w:pPr>
        <w:pStyle w:val="enumlev2"/>
        <w:rPr>
          <w:lang w:eastAsia="zh-CN"/>
        </w:rPr>
      </w:pPr>
      <w:r>
        <w:rPr>
          <w:lang w:eastAsia="zh-CN"/>
        </w:rPr>
        <w:t>•</w:t>
      </w:r>
      <w:r>
        <w:rPr>
          <w:lang w:eastAsia="zh-CN"/>
        </w:rPr>
        <w:tab/>
      </w:r>
      <w:r w:rsidR="00E3129B">
        <w:rPr>
          <w:rFonts w:hint="eastAsia"/>
          <w:lang w:eastAsia="zh-CN"/>
        </w:rPr>
        <w:t>在可能的情况下，例外应设有时限。获取政策中应说明限制的范围和期限（可规定一个具体时限，或具备某种具体条件）。</w:t>
      </w:r>
    </w:p>
    <w:p w:rsidR="00BC0922" w:rsidRPr="002B584C" w:rsidRDefault="00E9509A" w:rsidP="00E9509A">
      <w:pPr>
        <w:pStyle w:val="enumlev2"/>
        <w:rPr>
          <w:lang w:eastAsia="zh-CN"/>
        </w:rPr>
      </w:pPr>
      <w:r>
        <w:rPr>
          <w:lang w:eastAsia="zh-CN"/>
        </w:rPr>
        <w:t>•</w:t>
      </w:r>
      <w:r>
        <w:rPr>
          <w:lang w:eastAsia="zh-CN"/>
        </w:rPr>
        <w:tab/>
      </w:r>
      <w:r w:rsidR="00E3129B">
        <w:rPr>
          <w:rFonts w:hint="eastAsia"/>
          <w:lang w:eastAsia="zh-CN"/>
        </w:rPr>
        <w:t>通常例外类别包括：</w:t>
      </w:r>
    </w:p>
    <w:p w:rsidR="00BC0922" w:rsidRPr="002B584C" w:rsidRDefault="00BE5CDD" w:rsidP="00BE5CDD">
      <w:pPr>
        <w:pStyle w:val="enumlev3"/>
        <w:rPr>
          <w:lang w:eastAsia="zh-CN"/>
        </w:rPr>
      </w:pPr>
      <w:proofErr w:type="spellStart"/>
      <w:proofErr w:type="gramStart"/>
      <w:r>
        <w:rPr>
          <w:rFonts w:hint="eastAsia"/>
          <w:lang w:eastAsia="zh-CN"/>
        </w:rPr>
        <w:t>i</w:t>
      </w:r>
      <w:proofErr w:type="spellEnd"/>
      <w:proofErr w:type="gramEnd"/>
      <w:r>
        <w:rPr>
          <w:rFonts w:hint="eastAsia"/>
          <w:lang w:eastAsia="zh-CN"/>
        </w:rPr>
        <w:tab/>
      </w:r>
      <w:r w:rsidR="00E3129B">
        <w:rPr>
          <w:rFonts w:hint="eastAsia"/>
          <w:lang w:eastAsia="zh-CN"/>
        </w:rPr>
        <w:t>个人信息；</w:t>
      </w:r>
    </w:p>
    <w:p w:rsidR="00BC0922" w:rsidRPr="002B584C" w:rsidRDefault="00BE5CDD" w:rsidP="00BE5CDD">
      <w:pPr>
        <w:pStyle w:val="enumlev3"/>
        <w:rPr>
          <w:lang w:eastAsia="zh-CN"/>
        </w:rPr>
      </w:pPr>
      <w:proofErr w:type="gramStart"/>
      <w:r>
        <w:rPr>
          <w:rFonts w:hint="eastAsia"/>
          <w:lang w:eastAsia="zh-CN"/>
        </w:rPr>
        <w:t>ii</w:t>
      </w:r>
      <w:proofErr w:type="gramEnd"/>
      <w:r>
        <w:rPr>
          <w:rFonts w:hint="eastAsia"/>
          <w:lang w:eastAsia="zh-CN"/>
        </w:rPr>
        <w:tab/>
      </w:r>
      <w:r w:rsidR="00E3129B">
        <w:rPr>
          <w:rFonts w:hint="eastAsia"/>
          <w:lang w:eastAsia="zh-CN"/>
        </w:rPr>
        <w:t>法律、纪律或调查问题有关的信息；</w:t>
      </w:r>
    </w:p>
    <w:p w:rsidR="00BC0922" w:rsidRPr="002B584C" w:rsidRDefault="00BE5CDD" w:rsidP="00BE5CDD">
      <w:pPr>
        <w:pStyle w:val="enumlev3"/>
        <w:rPr>
          <w:lang w:eastAsia="zh-CN"/>
        </w:rPr>
      </w:pPr>
      <w:proofErr w:type="gramStart"/>
      <w:r>
        <w:rPr>
          <w:rFonts w:hint="eastAsia"/>
          <w:lang w:eastAsia="zh-CN"/>
        </w:rPr>
        <w:t>iii</w:t>
      </w:r>
      <w:proofErr w:type="gramEnd"/>
      <w:r>
        <w:rPr>
          <w:rFonts w:hint="eastAsia"/>
          <w:lang w:eastAsia="zh-CN"/>
        </w:rPr>
        <w:tab/>
      </w:r>
      <w:r w:rsidR="00E3129B">
        <w:rPr>
          <w:rFonts w:hint="eastAsia"/>
          <w:lang w:eastAsia="zh-CN"/>
        </w:rPr>
        <w:t>有损安全和保障的信息；</w:t>
      </w:r>
    </w:p>
    <w:p w:rsidR="00BC0922" w:rsidRPr="002B584C" w:rsidRDefault="00BE5CDD" w:rsidP="00BE5CDD">
      <w:pPr>
        <w:pStyle w:val="enumlev3"/>
        <w:rPr>
          <w:lang w:eastAsia="zh-CN"/>
        </w:rPr>
      </w:pPr>
      <w:proofErr w:type="gramStart"/>
      <w:r>
        <w:rPr>
          <w:rFonts w:hint="eastAsia"/>
          <w:lang w:eastAsia="zh-CN"/>
        </w:rPr>
        <w:t>iv</w:t>
      </w:r>
      <w:proofErr w:type="gramEnd"/>
      <w:r>
        <w:rPr>
          <w:rFonts w:hint="eastAsia"/>
          <w:lang w:eastAsia="zh-CN"/>
        </w:rPr>
        <w:tab/>
      </w:r>
      <w:r w:rsidR="00E3129B">
        <w:rPr>
          <w:rFonts w:hint="eastAsia"/>
          <w:lang w:eastAsia="zh-CN"/>
        </w:rPr>
        <w:t>成员国</w:t>
      </w:r>
      <w:r w:rsidR="00E3129B">
        <w:rPr>
          <w:rFonts w:hint="eastAsia"/>
          <w:lang w:eastAsia="zh-CN"/>
        </w:rPr>
        <w:t>/</w:t>
      </w:r>
      <w:r w:rsidR="00E3129B">
        <w:rPr>
          <w:rFonts w:hint="eastAsia"/>
          <w:lang w:eastAsia="zh-CN"/>
        </w:rPr>
        <w:t>成员或第三方秘密提供的信息；</w:t>
      </w:r>
    </w:p>
    <w:p w:rsidR="00BC0922" w:rsidRPr="002B584C" w:rsidRDefault="00BE5CDD" w:rsidP="00BE5CDD">
      <w:pPr>
        <w:pStyle w:val="enumlev3"/>
        <w:rPr>
          <w:lang w:eastAsia="zh-CN"/>
        </w:rPr>
      </w:pPr>
      <w:proofErr w:type="gramStart"/>
      <w:r>
        <w:rPr>
          <w:rFonts w:hint="eastAsia"/>
          <w:lang w:eastAsia="zh-CN"/>
        </w:rPr>
        <w:t>v</w:t>
      </w:r>
      <w:proofErr w:type="gramEnd"/>
      <w:r>
        <w:rPr>
          <w:rFonts w:hint="eastAsia"/>
          <w:lang w:eastAsia="zh-CN"/>
        </w:rPr>
        <w:tab/>
      </w:r>
      <w:r w:rsidR="00E3129B">
        <w:rPr>
          <w:rFonts w:hint="eastAsia"/>
          <w:lang w:eastAsia="zh-CN"/>
        </w:rPr>
        <w:t>商业</w:t>
      </w:r>
      <w:r w:rsidR="00DB136B">
        <w:rPr>
          <w:rFonts w:hint="eastAsia"/>
          <w:lang w:eastAsia="zh-CN"/>
        </w:rPr>
        <w:t>信息</w:t>
      </w:r>
      <w:r w:rsidR="00E3129B">
        <w:rPr>
          <w:rFonts w:hint="eastAsia"/>
          <w:lang w:eastAsia="zh-CN"/>
        </w:rPr>
        <w:t>；</w:t>
      </w:r>
    </w:p>
    <w:p w:rsidR="00BC0922" w:rsidRPr="002B584C" w:rsidRDefault="00BE5CDD" w:rsidP="00BE5CDD">
      <w:pPr>
        <w:pStyle w:val="enumlev3"/>
        <w:rPr>
          <w:lang w:eastAsia="zh-CN"/>
        </w:rPr>
      </w:pPr>
      <w:proofErr w:type="gramStart"/>
      <w:r>
        <w:rPr>
          <w:rFonts w:hint="eastAsia"/>
          <w:lang w:eastAsia="zh-CN"/>
        </w:rPr>
        <w:t>vi</w:t>
      </w:r>
      <w:proofErr w:type="gramEnd"/>
      <w:r>
        <w:rPr>
          <w:rFonts w:hint="eastAsia"/>
          <w:lang w:eastAsia="zh-CN"/>
        </w:rPr>
        <w:tab/>
      </w:r>
      <w:r w:rsidR="00E3129B">
        <w:rPr>
          <w:rFonts w:hint="eastAsia"/>
          <w:lang w:eastAsia="zh-CN"/>
        </w:rPr>
        <w:t>财务信息；</w:t>
      </w:r>
    </w:p>
    <w:p w:rsidR="00BC0922" w:rsidRPr="002B584C" w:rsidRDefault="00BE5CDD" w:rsidP="00BE5CDD">
      <w:pPr>
        <w:pStyle w:val="enumlev3"/>
        <w:rPr>
          <w:lang w:eastAsia="zh-CN"/>
        </w:rPr>
      </w:pPr>
      <w:proofErr w:type="gramStart"/>
      <w:r>
        <w:rPr>
          <w:rFonts w:hint="eastAsia"/>
          <w:lang w:eastAsia="zh-CN"/>
        </w:rPr>
        <w:t>vii</w:t>
      </w:r>
      <w:proofErr w:type="gramEnd"/>
      <w:r>
        <w:rPr>
          <w:rFonts w:hint="eastAsia"/>
          <w:lang w:eastAsia="zh-CN"/>
        </w:rPr>
        <w:tab/>
      </w:r>
      <w:r w:rsidR="00DB136B">
        <w:rPr>
          <w:rFonts w:hint="eastAsia"/>
          <w:lang w:eastAsia="zh-CN"/>
        </w:rPr>
        <w:t>内部审议或决策过程中</w:t>
      </w:r>
      <w:r w:rsidR="00E3129B">
        <w:rPr>
          <w:rFonts w:hint="eastAsia"/>
          <w:lang w:eastAsia="zh-CN"/>
        </w:rPr>
        <w:t>需要的信息</w:t>
      </w:r>
    </w:p>
    <w:p w:rsidR="00BC0922" w:rsidRPr="002B584C" w:rsidRDefault="00BE5CDD" w:rsidP="00BE5CDD">
      <w:pPr>
        <w:pStyle w:val="enumlev1"/>
        <w:rPr>
          <w:lang w:eastAsia="zh-CN"/>
        </w:rPr>
      </w:pPr>
      <w:r>
        <w:rPr>
          <w:rFonts w:hint="eastAsia"/>
          <w:lang w:eastAsia="zh-CN"/>
        </w:rPr>
        <w:t>4</w:t>
      </w:r>
      <w:r>
        <w:rPr>
          <w:rFonts w:hint="eastAsia"/>
          <w:lang w:eastAsia="zh-CN"/>
        </w:rPr>
        <w:tab/>
      </w:r>
      <w:r w:rsidR="00696B8F">
        <w:rPr>
          <w:rFonts w:hint="eastAsia"/>
          <w:lang w:eastAsia="zh-CN"/>
        </w:rPr>
        <w:t>执行问题</w:t>
      </w:r>
    </w:p>
    <w:p w:rsidR="00BC0922" w:rsidRPr="002B584C" w:rsidRDefault="00BE5CDD" w:rsidP="00BE5CDD">
      <w:pPr>
        <w:pStyle w:val="enumlev2"/>
        <w:rPr>
          <w:lang w:eastAsia="zh-CN"/>
        </w:rPr>
      </w:pPr>
      <w:r>
        <w:rPr>
          <w:lang w:eastAsia="zh-CN"/>
        </w:rPr>
        <w:t>•</w:t>
      </w:r>
      <w:r>
        <w:rPr>
          <w:lang w:eastAsia="zh-CN"/>
        </w:rPr>
        <w:tab/>
      </w:r>
      <w:r w:rsidR="00696B8F">
        <w:rPr>
          <w:rFonts w:hint="eastAsia"/>
          <w:lang w:eastAsia="zh-CN"/>
        </w:rPr>
        <w:t>如何向公众开放和提供信息？</w:t>
      </w:r>
    </w:p>
    <w:p w:rsidR="00BC0922" w:rsidRPr="002B584C" w:rsidRDefault="00BE5CDD" w:rsidP="00BE5CDD">
      <w:pPr>
        <w:pStyle w:val="enumlev3"/>
        <w:rPr>
          <w:lang w:eastAsia="zh-CN"/>
        </w:rPr>
      </w:pPr>
      <w:r>
        <w:rPr>
          <w:lang w:eastAsia="zh-CN"/>
        </w:rPr>
        <w:t>–</w:t>
      </w:r>
      <w:r>
        <w:rPr>
          <w:lang w:eastAsia="zh-CN"/>
        </w:rPr>
        <w:tab/>
      </w:r>
      <w:r w:rsidR="00696B8F">
        <w:rPr>
          <w:rFonts w:hint="eastAsia"/>
          <w:lang w:eastAsia="zh-CN"/>
        </w:rPr>
        <w:t>在组织网站上主动发布信息</w:t>
      </w:r>
    </w:p>
    <w:p w:rsidR="00BC0922" w:rsidRDefault="00BE5CDD" w:rsidP="00BE5CDD">
      <w:pPr>
        <w:pStyle w:val="enumlev3"/>
        <w:rPr>
          <w:lang w:eastAsia="zh-CN"/>
        </w:rPr>
      </w:pPr>
      <w:r>
        <w:rPr>
          <w:lang w:eastAsia="zh-CN"/>
        </w:rPr>
        <w:t>–</w:t>
      </w:r>
      <w:r>
        <w:rPr>
          <w:lang w:eastAsia="zh-CN"/>
        </w:rPr>
        <w:tab/>
      </w:r>
      <w:r w:rsidR="00696B8F">
        <w:rPr>
          <w:rFonts w:hint="eastAsia"/>
          <w:lang w:eastAsia="zh-CN"/>
        </w:rPr>
        <w:t>向区域信息中心发布信息</w:t>
      </w:r>
    </w:p>
    <w:p w:rsidR="00BC0922" w:rsidRPr="002B584C" w:rsidRDefault="00BE5CDD" w:rsidP="00BE5CDD">
      <w:pPr>
        <w:pStyle w:val="enumlev3"/>
        <w:rPr>
          <w:lang w:eastAsia="zh-CN"/>
        </w:rPr>
      </w:pPr>
      <w:r>
        <w:rPr>
          <w:lang w:eastAsia="zh-CN"/>
        </w:rPr>
        <w:t>–</w:t>
      </w:r>
      <w:r>
        <w:rPr>
          <w:lang w:eastAsia="zh-CN"/>
        </w:rPr>
        <w:tab/>
      </w:r>
      <w:r w:rsidR="00696B8F">
        <w:rPr>
          <w:rFonts w:hint="eastAsia"/>
          <w:lang w:eastAsia="zh-CN"/>
        </w:rPr>
        <w:t>接受个人索要信息的申请</w:t>
      </w:r>
    </w:p>
    <w:p w:rsidR="00BC0922" w:rsidRDefault="00BE5CDD" w:rsidP="00BE5CDD">
      <w:pPr>
        <w:pStyle w:val="enumlev2"/>
        <w:rPr>
          <w:lang w:eastAsia="zh-CN"/>
        </w:rPr>
      </w:pPr>
      <w:r>
        <w:rPr>
          <w:lang w:eastAsia="zh-CN"/>
        </w:rPr>
        <w:t>•</w:t>
      </w:r>
      <w:r>
        <w:rPr>
          <w:lang w:eastAsia="zh-CN"/>
        </w:rPr>
        <w:tab/>
      </w:r>
      <w:r w:rsidR="00696B8F">
        <w:rPr>
          <w:rFonts w:hint="eastAsia"/>
          <w:lang w:eastAsia="zh-CN"/>
        </w:rPr>
        <w:t>谁负责处理信息索取申请？处理信息索取申请的程序是什么？</w:t>
      </w:r>
    </w:p>
    <w:p w:rsidR="00BC0922" w:rsidRPr="000C739A" w:rsidRDefault="00BE5CDD" w:rsidP="00BE5CDD">
      <w:pPr>
        <w:pStyle w:val="enumlev2"/>
        <w:rPr>
          <w:lang w:eastAsia="zh-CN"/>
        </w:rPr>
      </w:pPr>
      <w:r>
        <w:rPr>
          <w:lang w:eastAsia="zh-CN"/>
        </w:rPr>
        <w:lastRenderedPageBreak/>
        <w:t>•</w:t>
      </w:r>
      <w:r>
        <w:rPr>
          <w:lang w:eastAsia="zh-CN"/>
        </w:rPr>
        <w:tab/>
      </w:r>
      <w:r w:rsidR="00696B8F">
        <w:rPr>
          <w:rFonts w:hint="eastAsia"/>
          <w:lang w:eastAsia="zh-CN"/>
        </w:rPr>
        <w:t>建立监督委员会</w:t>
      </w:r>
      <w:r w:rsidR="00696B8F">
        <w:rPr>
          <w:rFonts w:hint="eastAsia"/>
          <w:lang w:eastAsia="zh-CN"/>
        </w:rPr>
        <w:t>/</w:t>
      </w:r>
      <w:r w:rsidR="00696B8F">
        <w:rPr>
          <w:rFonts w:hint="eastAsia"/>
          <w:lang w:eastAsia="zh-CN"/>
        </w:rPr>
        <w:t>信息获取委员会</w:t>
      </w:r>
      <w:r w:rsidR="00BC0922" w:rsidRPr="000C739A">
        <w:rPr>
          <w:rStyle w:val="FootnoteReference"/>
          <w:szCs w:val="16"/>
        </w:rPr>
        <w:footnoteReference w:id="4"/>
      </w:r>
      <w:r w:rsidR="00696B8F">
        <w:rPr>
          <w:rFonts w:hint="eastAsia"/>
          <w:lang w:eastAsia="zh-CN"/>
        </w:rPr>
        <w:t>，负责监督下列政策的落实：</w:t>
      </w:r>
    </w:p>
    <w:p w:rsidR="00BC0922" w:rsidRPr="00512B34" w:rsidRDefault="00BE5CDD" w:rsidP="00BE5CDD">
      <w:pPr>
        <w:pStyle w:val="enumlev3"/>
        <w:rPr>
          <w:lang w:eastAsia="zh-CN"/>
        </w:rPr>
      </w:pPr>
      <w:r>
        <w:rPr>
          <w:lang w:eastAsia="zh-CN"/>
        </w:rPr>
        <w:t>–</w:t>
      </w:r>
      <w:r>
        <w:rPr>
          <w:lang w:eastAsia="zh-CN"/>
        </w:rPr>
        <w:tab/>
      </w:r>
      <w:r w:rsidR="00696B8F">
        <w:rPr>
          <w:rFonts w:hint="eastAsia"/>
          <w:lang w:eastAsia="zh-CN"/>
        </w:rPr>
        <w:t>向管理层提供有关政策运用的建议</w:t>
      </w:r>
    </w:p>
    <w:p w:rsidR="00BC0922" w:rsidRPr="00512B34" w:rsidRDefault="00BE5CDD" w:rsidP="00BE5CDD">
      <w:pPr>
        <w:pStyle w:val="enumlev3"/>
        <w:rPr>
          <w:lang w:eastAsia="zh-CN"/>
        </w:rPr>
      </w:pPr>
      <w:r>
        <w:rPr>
          <w:lang w:eastAsia="zh-CN"/>
        </w:rPr>
        <w:t>–</w:t>
      </w:r>
      <w:r>
        <w:rPr>
          <w:lang w:eastAsia="zh-CN"/>
        </w:rPr>
        <w:tab/>
      </w:r>
      <w:r w:rsidR="00696B8F">
        <w:rPr>
          <w:rFonts w:hint="eastAsia"/>
          <w:lang w:eastAsia="zh-CN"/>
        </w:rPr>
        <w:t>审议关于披露例外清单上的信息的建议</w:t>
      </w:r>
    </w:p>
    <w:p w:rsidR="00BC0922" w:rsidRPr="00512B34" w:rsidRDefault="00BE5CDD" w:rsidP="00BE5CDD">
      <w:pPr>
        <w:pStyle w:val="enumlev3"/>
        <w:rPr>
          <w:lang w:eastAsia="zh-CN"/>
        </w:rPr>
      </w:pPr>
      <w:r>
        <w:rPr>
          <w:lang w:eastAsia="zh-CN"/>
        </w:rPr>
        <w:t>–</w:t>
      </w:r>
      <w:r>
        <w:rPr>
          <w:lang w:eastAsia="zh-CN"/>
        </w:rPr>
        <w:tab/>
      </w:r>
      <w:r w:rsidR="00DB136B">
        <w:rPr>
          <w:rFonts w:hint="eastAsia"/>
          <w:lang w:eastAsia="zh-CN"/>
        </w:rPr>
        <w:t>确保政策的落实和</w:t>
      </w:r>
      <w:r w:rsidR="00696B8F">
        <w:rPr>
          <w:rFonts w:hint="eastAsia"/>
          <w:lang w:eastAsia="zh-CN"/>
        </w:rPr>
        <w:t>运用保持一致</w:t>
      </w:r>
    </w:p>
    <w:p w:rsidR="00BC0922" w:rsidRPr="00512B34" w:rsidRDefault="00BE5CDD" w:rsidP="00BE5CDD">
      <w:pPr>
        <w:pStyle w:val="enumlev3"/>
        <w:rPr>
          <w:lang w:eastAsia="zh-CN"/>
        </w:rPr>
      </w:pPr>
      <w:r>
        <w:rPr>
          <w:lang w:eastAsia="zh-CN"/>
        </w:rPr>
        <w:t>–</w:t>
      </w:r>
      <w:r>
        <w:rPr>
          <w:lang w:eastAsia="zh-CN"/>
        </w:rPr>
        <w:tab/>
      </w:r>
      <w:r w:rsidR="00696B8F">
        <w:rPr>
          <w:rFonts w:hint="eastAsia"/>
          <w:lang w:eastAsia="zh-CN"/>
        </w:rPr>
        <w:t>受理和裁决上诉申请</w:t>
      </w:r>
    </w:p>
    <w:p w:rsidR="00BC0922" w:rsidRPr="000C739A" w:rsidRDefault="00BE5CDD" w:rsidP="00BE5CDD">
      <w:pPr>
        <w:pStyle w:val="enumlev3"/>
        <w:rPr>
          <w:lang w:eastAsia="zh-CN"/>
        </w:rPr>
      </w:pPr>
      <w:r>
        <w:rPr>
          <w:lang w:eastAsia="zh-CN"/>
        </w:rPr>
        <w:t>–</w:t>
      </w:r>
      <w:r>
        <w:rPr>
          <w:lang w:eastAsia="zh-CN"/>
        </w:rPr>
        <w:tab/>
      </w:r>
      <w:r w:rsidR="00696B8F">
        <w:rPr>
          <w:rFonts w:hint="eastAsia"/>
          <w:lang w:eastAsia="zh-CN"/>
        </w:rPr>
        <w:t>向员工发布政策</w:t>
      </w:r>
      <w:r w:rsidR="00473B49">
        <w:rPr>
          <w:rFonts w:hint="eastAsia"/>
          <w:lang w:eastAsia="zh-CN"/>
        </w:rPr>
        <w:t>落实指南，包括制定</w:t>
      </w:r>
      <w:r w:rsidR="00DB136B">
        <w:rPr>
          <w:rFonts w:hint="eastAsia"/>
          <w:lang w:eastAsia="zh-CN"/>
        </w:rPr>
        <w:t>有关</w:t>
      </w:r>
      <w:r w:rsidR="00473B49">
        <w:rPr>
          <w:rFonts w:hint="eastAsia"/>
          <w:lang w:eastAsia="zh-CN"/>
        </w:rPr>
        <w:t>划分本组织限制类别的文件类型</w:t>
      </w:r>
      <w:r w:rsidR="00DB136B">
        <w:rPr>
          <w:rFonts w:hint="eastAsia"/>
          <w:lang w:eastAsia="zh-CN"/>
        </w:rPr>
        <w:t>的程序和导则</w:t>
      </w:r>
    </w:p>
    <w:p w:rsidR="00BC0922" w:rsidRPr="000C739A" w:rsidRDefault="00BE5CDD" w:rsidP="00BE5CDD">
      <w:pPr>
        <w:pStyle w:val="enumlev3"/>
        <w:rPr>
          <w:lang w:eastAsia="zh-CN"/>
        </w:rPr>
      </w:pPr>
      <w:r>
        <w:rPr>
          <w:lang w:eastAsia="zh-CN"/>
        </w:rPr>
        <w:t>–</w:t>
      </w:r>
      <w:r>
        <w:rPr>
          <w:lang w:eastAsia="zh-CN"/>
        </w:rPr>
        <w:tab/>
      </w:r>
      <w:r w:rsidR="00473B49">
        <w:rPr>
          <w:rFonts w:hint="eastAsia"/>
          <w:lang w:eastAsia="zh-CN"/>
        </w:rPr>
        <w:t>定期审查政策和程序，提出改进建议</w:t>
      </w:r>
    </w:p>
    <w:p w:rsidR="00BC0922" w:rsidRPr="002B584C" w:rsidRDefault="00BE5CDD" w:rsidP="00BE5CDD">
      <w:pPr>
        <w:pStyle w:val="enumlev1"/>
        <w:rPr>
          <w:lang w:eastAsia="zh-CN"/>
        </w:rPr>
      </w:pPr>
      <w:r>
        <w:rPr>
          <w:rFonts w:hint="eastAsia"/>
          <w:lang w:eastAsia="zh-CN"/>
        </w:rPr>
        <w:t>5</w:t>
      </w:r>
      <w:r>
        <w:rPr>
          <w:rFonts w:hint="eastAsia"/>
          <w:lang w:eastAsia="zh-CN"/>
        </w:rPr>
        <w:tab/>
      </w:r>
      <w:r w:rsidR="00473B49">
        <w:rPr>
          <w:rFonts w:hint="eastAsia"/>
          <w:lang w:eastAsia="zh-CN"/>
        </w:rPr>
        <w:t>上诉程序</w:t>
      </w:r>
    </w:p>
    <w:p w:rsidR="00BC0922" w:rsidRPr="002B584C" w:rsidRDefault="00BE5CDD" w:rsidP="00BE5CDD">
      <w:pPr>
        <w:pStyle w:val="enumlev2"/>
        <w:rPr>
          <w:lang w:eastAsia="zh-CN"/>
        </w:rPr>
      </w:pPr>
      <w:r>
        <w:rPr>
          <w:lang w:eastAsia="zh-CN"/>
        </w:rPr>
        <w:t>•</w:t>
      </w:r>
      <w:r>
        <w:rPr>
          <w:lang w:eastAsia="zh-CN"/>
        </w:rPr>
        <w:tab/>
      </w:r>
      <w:r w:rsidR="00473B49">
        <w:rPr>
          <w:rFonts w:hint="eastAsia"/>
          <w:lang w:eastAsia="zh-CN"/>
        </w:rPr>
        <w:t>个人对于获取</w:t>
      </w:r>
      <w:r w:rsidR="0089175C">
        <w:rPr>
          <w:rFonts w:hint="eastAsia"/>
          <w:lang w:eastAsia="zh-CN"/>
        </w:rPr>
        <w:t>信息</w:t>
      </w:r>
      <w:r w:rsidR="00473B49">
        <w:rPr>
          <w:rFonts w:hint="eastAsia"/>
          <w:lang w:eastAsia="zh-CN"/>
        </w:rPr>
        <w:t>申请</w:t>
      </w:r>
      <w:r w:rsidR="0089175C">
        <w:rPr>
          <w:rFonts w:hint="eastAsia"/>
          <w:lang w:eastAsia="zh-CN"/>
        </w:rPr>
        <w:t>被拒</w:t>
      </w:r>
      <w:r w:rsidR="00473B49">
        <w:rPr>
          <w:rFonts w:hint="eastAsia"/>
          <w:lang w:eastAsia="zh-CN"/>
        </w:rPr>
        <w:t>有哪些申诉权利？程序如何？谁负责处理申诉？</w:t>
      </w:r>
    </w:p>
    <w:p w:rsidR="00BC0922" w:rsidRDefault="00BC0922" w:rsidP="00EC0DFD">
      <w:pPr>
        <w:pStyle w:val="AnnexNo"/>
        <w:rPr>
          <w:lang w:eastAsia="zh-CN"/>
        </w:rPr>
      </w:pPr>
      <w:r>
        <w:rPr>
          <w:lang w:eastAsia="zh-CN"/>
        </w:rPr>
        <w:br w:type="page"/>
      </w:r>
      <w:bookmarkStart w:id="8" w:name="Annex1"/>
      <w:bookmarkStart w:id="9" w:name="_GoBack"/>
      <w:bookmarkEnd w:id="9"/>
      <w:r w:rsidR="00EC4C5F">
        <w:rPr>
          <w:rFonts w:hint="eastAsia"/>
          <w:lang w:eastAsia="zh-CN"/>
        </w:rPr>
        <w:lastRenderedPageBreak/>
        <w:t>附件</w:t>
      </w:r>
      <w:r w:rsidRPr="00426AE1">
        <w:rPr>
          <w:lang w:eastAsia="zh-CN"/>
        </w:rPr>
        <w:t>1</w:t>
      </w:r>
    </w:p>
    <w:bookmarkEnd w:id="8"/>
    <w:p w:rsidR="00BC0922" w:rsidRDefault="00BC0922" w:rsidP="00EC0DFD">
      <w:pPr>
        <w:pStyle w:val="Annextitle"/>
        <w:rPr>
          <w:lang w:eastAsia="zh-CN"/>
        </w:rPr>
      </w:pPr>
      <w:r>
        <w:rPr>
          <w:lang w:eastAsia="zh-CN"/>
        </w:rPr>
        <w:t>C14/92</w:t>
      </w:r>
      <w:r w:rsidR="00EC4C5F">
        <w:rPr>
          <w:rFonts w:hint="eastAsia"/>
          <w:lang w:eastAsia="zh-CN"/>
        </w:rPr>
        <w:t>号文件</w:t>
      </w:r>
      <w:r w:rsidR="00EC4C5F">
        <w:rPr>
          <w:lang w:eastAsia="zh-CN"/>
        </w:rPr>
        <w:t>：</w:t>
      </w:r>
      <w:r w:rsidR="00EC4C5F">
        <w:rPr>
          <w:rFonts w:hint="eastAsia"/>
          <w:szCs w:val="28"/>
          <w:lang w:eastAsia="zh-CN"/>
        </w:rPr>
        <w:t>行政和管理常设委员会主席的报告，</w:t>
      </w:r>
      <w:r w:rsidR="00EC4C5F">
        <w:rPr>
          <w:szCs w:val="28"/>
          <w:lang w:eastAsia="zh-CN"/>
        </w:rPr>
        <w:t>以及</w:t>
      </w:r>
      <w:r>
        <w:rPr>
          <w:lang w:eastAsia="zh-CN"/>
        </w:rPr>
        <w:br/>
        <w:t>C14/99</w:t>
      </w:r>
      <w:r w:rsidR="00EC4C5F">
        <w:rPr>
          <w:rFonts w:hint="eastAsia"/>
          <w:lang w:eastAsia="zh-CN"/>
        </w:rPr>
        <w:t>号文件</w:t>
      </w:r>
      <w:r w:rsidR="00EC4C5F">
        <w:rPr>
          <w:lang w:eastAsia="zh-CN"/>
        </w:rPr>
        <w:t>：</w:t>
      </w:r>
      <w:r w:rsidR="00EC4C5F">
        <w:rPr>
          <w:rFonts w:hint="eastAsia"/>
          <w:lang w:eastAsia="zh-CN"/>
        </w:rPr>
        <w:t>第九次全体会议记录</w:t>
      </w:r>
    </w:p>
    <w:p w:rsidR="0079626D" w:rsidRPr="0079626D" w:rsidRDefault="0079626D" w:rsidP="00EC0DFD">
      <w:pPr>
        <w:pStyle w:val="Annextitle"/>
        <w:rPr>
          <w:bCs/>
          <w:szCs w:val="28"/>
          <w:lang w:eastAsia="zh-CN"/>
        </w:rPr>
      </w:pPr>
      <w:r w:rsidRPr="0079626D">
        <w:rPr>
          <w:rFonts w:hint="eastAsia"/>
          <w:bCs/>
          <w:szCs w:val="28"/>
          <w:lang w:eastAsia="zh-CN"/>
        </w:rPr>
        <w:t>摘要</w:t>
      </w:r>
    </w:p>
    <w:p w:rsidR="00BC0922" w:rsidRDefault="00BC0922" w:rsidP="00717537">
      <w:pPr>
        <w:rPr>
          <w:rFonts w:asciiTheme="minorHAnsi" w:hAnsiTheme="minorHAnsi"/>
          <w:b/>
          <w:bCs/>
          <w:szCs w:val="24"/>
          <w:lang w:eastAsia="zh-CN"/>
        </w:rPr>
      </w:pPr>
      <w:r>
        <w:rPr>
          <w:rFonts w:asciiTheme="minorHAnsi" w:hAnsiTheme="minorHAnsi"/>
          <w:b/>
          <w:bCs/>
          <w:szCs w:val="24"/>
          <w:lang w:eastAsia="zh-CN"/>
        </w:rPr>
        <w:t>C14/92</w:t>
      </w:r>
      <w:r w:rsidR="009D2049">
        <w:rPr>
          <w:rFonts w:asciiTheme="minorHAnsi" w:hAnsiTheme="minorHAnsi" w:hint="eastAsia"/>
          <w:b/>
          <w:bCs/>
          <w:szCs w:val="24"/>
          <w:lang w:eastAsia="zh-CN"/>
        </w:rPr>
        <w:t>号文件摘要：</w:t>
      </w:r>
      <w:r w:rsidR="009D2049" w:rsidRPr="00EC0DFD">
        <w:rPr>
          <w:rFonts w:asciiTheme="minorHAnsi" w:hAnsiTheme="minorHAnsi" w:hint="eastAsia"/>
          <w:bCs/>
          <w:szCs w:val="24"/>
          <w:lang w:eastAsia="zh-CN"/>
        </w:rPr>
        <w:t>行政管理常设委员会主席的报告</w:t>
      </w:r>
    </w:p>
    <w:p w:rsidR="00BC0922" w:rsidRDefault="00BC0922" w:rsidP="00717537">
      <w:pPr>
        <w:jc w:val="both"/>
        <w:rPr>
          <w:rFonts w:asciiTheme="minorHAnsi" w:hAnsiTheme="minorHAnsi"/>
          <w:b/>
          <w:bCs/>
          <w:szCs w:val="24"/>
          <w:lang w:eastAsia="zh-CN"/>
        </w:rPr>
      </w:pPr>
      <w:r>
        <w:rPr>
          <w:rFonts w:asciiTheme="minorHAnsi" w:hAnsiTheme="minorHAnsi"/>
          <w:b/>
          <w:bCs/>
          <w:szCs w:val="24"/>
          <w:lang w:eastAsia="zh-CN"/>
        </w:rPr>
        <w:t>……..</w:t>
      </w:r>
    </w:p>
    <w:p w:rsidR="00A55355" w:rsidRDefault="00A55355" w:rsidP="00717537">
      <w:pPr>
        <w:pStyle w:val="Headingb"/>
        <w:spacing w:before="240"/>
        <w:rPr>
          <w:lang w:eastAsia="zh-CN"/>
        </w:rPr>
      </w:pPr>
      <w:r>
        <w:rPr>
          <w:rFonts w:hint="eastAsia"/>
          <w:lang w:eastAsia="zh-CN"/>
        </w:rPr>
        <w:t>有关获取国际电联文件的一般性政策</w:t>
      </w:r>
      <w:r>
        <w:rPr>
          <w:lang w:eastAsia="zh-CN"/>
        </w:rPr>
        <w:t>（</w:t>
      </w:r>
      <w:hyperlink r:id="rId10" w:history="1">
        <w:r>
          <w:rPr>
            <w:rStyle w:val="Hyperlink"/>
            <w:rFonts w:asciiTheme="minorHAnsi" w:hAnsiTheme="minorHAnsi"/>
            <w:bCs/>
            <w:szCs w:val="24"/>
            <w:lang w:eastAsia="zh-CN"/>
          </w:rPr>
          <w:t>C14/INF/20</w:t>
        </w:r>
      </w:hyperlink>
      <w:r>
        <w:rPr>
          <w:rFonts w:hint="eastAsia"/>
          <w:lang w:eastAsia="zh-CN"/>
        </w:rPr>
        <w:t>和</w:t>
      </w:r>
      <w:hyperlink r:id="rId11" w:history="1">
        <w:r>
          <w:rPr>
            <w:rStyle w:val="Hyperlink"/>
            <w:rFonts w:asciiTheme="minorHAnsi" w:hAnsiTheme="minorHAnsi"/>
            <w:bCs/>
            <w:szCs w:val="24"/>
            <w:lang w:eastAsia="zh-CN"/>
          </w:rPr>
          <w:t>C14/64</w:t>
        </w:r>
      </w:hyperlink>
      <w:r>
        <w:rPr>
          <w:rFonts w:hint="eastAsia"/>
          <w:lang w:eastAsia="zh-CN"/>
        </w:rPr>
        <w:t>号文件</w:t>
      </w:r>
      <w:r>
        <w:rPr>
          <w:lang w:eastAsia="zh-CN"/>
        </w:rPr>
        <w:t>）</w:t>
      </w:r>
    </w:p>
    <w:p w:rsidR="00A55355" w:rsidRPr="00296A10" w:rsidRDefault="00A55355" w:rsidP="00717537">
      <w:pPr>
        <w:rPr>
          <w:lang w:eastAsia="zh-CN"/>
        </w:rPr>
      </w:pPr>
      <w:r w:rsidRPr="00296A10">
        <w:rPr>
          <w:lang w:eastAsia="zh-CN"/>
        </w:rPr>
        <w:t>7.9</w:t>
      </w:r>
      <w:r w:rsidRPr="00296A10">
        <w:rPr>
          <w:lang w:eastAsia="zh-CN"/>
        </w:rPr>
        <w:tab/>
      </w:r>
      <w:r w:rsidRPr="00296A10">
        <w:rPr>
          <w:rFonts w:hint="eastAsia"/>
          <w:lang w:eastAsia="zh-CN"/>
        </w:rPr>
        <w:t>美国代表介绍了有关获取国际电联文件的文件，以便提高国际电联各项决定的透明度，完善决策进程并确保问责制。</w:t>
      </w:r>
    </w:p>
    <w:p w:rsidR="00A55355" w:rsidRPr="00296A10" w:rsidRDefault="00A55355" w:rsidP="00717537">
      <w:pPr>
        <w:rPr>
          <w:lang w:eastAsia="zh-CN"/>
        </w:rPr>
      </w:pPr>
      <w:r w:rsidRPr="00296A10">
        <w:rPr>
          <w:lang w:eastAsia="zh-CN"/>
        </w:rPr>
        <w:t>7.10</w:t>
      </w:r>
      <w:r w:rsidRPr="00296A10">
        <w:rPr>
          <w:lang w:eastAsia="zh-CN"/>
        </w:rPr>
        <w:tab/>
      </w:r>
      <w:r w:rsidRPr="00296A10">
        <w:rPr>
          <w:rFonts w:hint="eastAsia"/>
          <w:lang w:eastAsia="zh-CN"/>
        </w:rPr>
        <w:t>该文件</w:t>
      </w:r>
      <w:r>
        <w:rPr>
          <w:rFonts w:hint="eastAsia"/>
          <w:lang w:eastAsia="zh-CN"/>
        </w:rPr>
        <w:t>建议将</w:t>
      </w:r>
      <w:r w:rsidRPr="00296A10">
        <w:rPr>
          <w:rFonts w:hint="eastAsia"/>
          <w:lang w:eastAsia="zh-CN"/>
        </w:rPr>
        <w:t>全权代表大会的文件提供给公众。</w:t>
      </w:r>
    </w:p>
    <w:p w:rsidR="00A55355" w:rsidRPr="00296A10" w:rsidRDefault="00A55355" w:rsidP="00717537">
      <w:pPr>
        <w:rPr>
          <w:lang w:eastAsia="zh-CN"/>
        </w:rPr>
      </w:pPr>
      <w:r w:rsidRPr="00296A10">
        <w:rPr>
          <w:lang w:eastAsia="zh-CN"/>
        </w:rPr>
        <w:t>7.11</w:t>
      </w:r>
      <w:r w:rsidRPr="00296A10">
        <w:rPr>
          <w:lang w:eastAsia="zh-CN"/>
        </w:rPr>
        <w:tab/>
      </w:r>
      <w:r>
        <w:rPr>
          <w:rFonts w:hint="eastAsia"/>
          <w:lang w:eastAsia="zh-CN"/>
        </w:rPr>
        <w:t>文件获取政策应谨慎考虑</w:t>
      </w:r>
      <w:r w:rsidRPr="00296A10">
        <w:rPr>
          <w:rFonts w:hint="eastAsia"/>
          <w:lang w:eastAsia="zh-CN"/>
        </w:rPr>
        <w:t>受到保护的个人和第三方隐私、法律特权、合同、专有或商用信息以及某些管理事宜。</w:t>
      </w:r>
    </w:p>
    <w:p w:rsidR="00A55355" w:rsidRPr="00D62F79" w:rsidRDefault="00A55355" w:rsidP="00717537">
      <w:pPr>
        <w:rPr>
          <w:rFonts w:asciiTheme="minorHAnsi" w:hAnsiTheme="minorHAnsi"/>
          <w:lang w:eastAsia="zh-CN"/>
        </w:rPr>
      </w:pPr>
      <w:r w:rsidRPr="00D62F79">
        <w:rPr>
          <w:lang w:eastAsia="zh-CN"/>
        </w:rPr>
        <w:t>7.12</w:t>
      </w:r>
      <w:r w:rsidRPr="00D62F79">
        <w:rPr>
          <w:lang w:eastAsia="zh-CN"/>
        </w:rPr>
        <w:tab/>
      </w:r>
      <w:r>
        <w:rPr>
          <w:rFonts w:hint="eastAsia"/>
          <w:lang w:eastAsia="zh-CN"/>
        </w:rPr>
        <w:t>虽然许多代表对此提案表示支持，一些代表提醒委员会在对外提供文件时应谨慎行事。多数代表希望提高透明度。虽然一些代表支持向公众披露文件以提高国际电联各项决定的透明度，完善决策进程并帮助确保问责制的实施，一些代表认为，在向公众披露信息时必须谨慎行事。</w:t>
      </w:r>
    </w:p>
    <w:p w:rsidR="00A55355" w:rsidRDefault="00A55355" w:rsidP="00717537">
      <w:pPr>
        <w:spacing w:after="360"/>
        <w:rPr>
          <w:lang w:eastAsia="zh-CN"/>
        </w:rPr>
      </w:pPr>
      <w:r w:rsidRPr="00D62F79">
        <w:rPr>
          <w:lang w:eastAsia="zh-CN"/>
        </w:rPr>
        <w:t>7.13</w:t>
      </w:r>
      <w:r w:rsidRPr="00D62F79">
        <w:rPr>
          <w:lang w:eastAsia="zh-CN"/>
        </w:rPr>
        <w:tab/>
      </w:r>
      <w:r>
        <w:rPr>
          <w:rFonts w:hint="eastAsia"/>
          <w:lang w:eastAsia="zh-CN"/>
        </w:rPr>
        <w:t>国际电联法律顾问确认指出，有关获取国际电联文件的一般性政策决定必须由全权代表大会做出。</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3"/>
      </w:tblGrid>
      <w:tr w:rsidR="00A55355" w:rsidRPr="0061157D" w:rsidTr="0038018E">
        <w:tc>
          <w:tcPr>
            <w:tcW w:w="9243" w:type="dxa"/>
          </w:tcPr>
          <w:p w:rsidR="00A55355" w:rsidRPr="004F5684" w:rsidRDefault="00A55355" w:rsidP="00717537">
            <w:pPr>
              <w:spacing w:after="120"/>
              <w:rPr>
                <w:b/>
                <w:bCs/>
                <w:i/>
                <w:iCs/>
                <w:szCs w:val="24"/>
                <w:lang w:eastAsia="zh-CN"/>
              </w:rPr>
            </w:pPr>
            <w:r w:rsidRPr="004F5684">
              <w:rPr>
                <w:rFonts w:ascii="STKaiti" w:eastAsia="STKaiti" w:hAnsi="STKaiti" w:cs="SimSun" w:hint="eastAsia"/>
                <w:b/>
                <w:bCs/>
                <w:lang w:eastAsia="zh-CN"/>
              </w:rPr>
              <w:t>建议</w:t>
            </w:r>
          </w:p>
          <w:p w:rsidR="00A55355" w:rsidRPr="0061157D" w:rsidRDefault="00A55355" w:rsidP="00717537">
            <w:pPr>
              <w:spacing w:after="120"/>
              <w:rPr>
                <w:szCs w:val="24"/>
                <w:lang w:eastAsia="zh-CN"/>
              </w:rPr>
            </w:pPr>
            <w:r>
              <w:rPr>
                <w:szCs w:val="24"/>
                <w:lang w:eastAsia="zh-CN"/>
              </w:rPr>
              <w:t>7</w:t>
            </w:r>
            <w:r w:rsidRPr="0061157D">
              <w:rPr>
                <w:szCs w:val="24"/>
                <w:lang w:eastAsia="zh-CN"/>
              </w:rPr>
              <w:t>.</w:t>
            </w:r>
            <w:r>
              <w:rPr>
                <w:szCs w:val="24"/>
                <w:lang w:eastAsia="zh-CN"/>
              </w:rPr>
              <w:t>14</w:t>
            </w:r>
            <w:r>
              <w:rPr>
                <w:szCs w:val="24"/>
                <w:lang w:eastAsia="zh-CN"/>
              </w:rPr>
              <w:tab/>
            </w:r>
            <w:r>
              <w:rPr>
                <w:rFonts w:hint="eastAsia"/>
                <w:szCs w:val="24"/>
                <w:lang w:eastAsia="zh-CN"/>
              </w:rPr>
              <w:t>委员会建议秘书处进一步研究该问题并将适当文件和理事会有关该议项的讨论摘要提交全权代表大会，以便做出决定。</w:t>
            </w:r>
          </w:p>
        </w:tc>
      </w:tr>
    </w:tbl>
    <w:p w:rsidR="00BC0922" w:rsidRDefault="00BC0922" w:rsidP="00717537">
      <w:pPr>
        <w:spacing w:before="480"/>
        <w:rPr>
          <w:rFonts w:asciiTheme="minorHAnsi" w:hAnsiTheme="minorHAnsi"/>
          <w:b/>
          <w:bCs/>
          <w:i/>
          <w:iCs/>
          <w:szCs w:val="24"/>
          <w:lang w:eastAsia="zh-CN"/>
        </w:rPr>
      </w:pPr>
      <w:r>
        <w:rPr>
          <w:rFonts w:asciiTheme="minorHAnsi" w:hAnsiTheme="minorHAnsi"/>
          <w:b/>
          <w:bCs/>
          <w:i/>
          <w:iCs/>
          <w:szCs w:val="24"/>
          <w:lang w:eastAsia="zh-CN"/>
        </w:rPr>
        <w:t>---</w:t>
      </w:r>
    </w:p>
    <w:p w:rsidR="00A55355" w:rsidRDefault="00A55355" w:rsidP="00717537">
      <w:pPr>
        <w:pStyle w:val="Headingb"/>
        <w:spacing w:before="240"/>
        <w:rPr>
          <w:lang w:eastAsia="zh-CN"/>
        </w:rPr>
      </w:pPr>
      <w:r>
        <w:rPr>
          <w:rFonts w:hint="eastAsia"/>
          <w:lang w:eastAsia="zh-CN"/>
        </w:rPr>
        <w:t>获取内部审计员、独立管理顾问委员会（</w:t>
      </w:r>
      <w:r w:rsidRPr="00096124">
        <w:rPr>
          <w:lang w:eastAsia="zh-CN"/>
        </w:rPr>
        <w:t>IMAC</w:t>
      </w:r>
      <w:r>
        <w:rPr>
          <w:rFonts w:hint="eastAsia"/>
          <w:lang w:eastAsia="zh-CN"/>
        </w:rPr>
        <w:t>）和外部审计员的报告</w:t>
      </w:r>
      <w:r>
        <w:rPr>
          <w:lang w:eastAsia="zh-CN"/>
        </w:rPr>
        <w:br/>
      </w:r>
      <w:r>
        <w:rPr>
          <w:rFonts w:hint="eastAsia"/>
          <w:lang w:eastAsia="zh-CN"/>
        </w:rPr>
        <w:t>（</w:t>
      </w:r>
      <w:hyperlink r:id="rId12" w:history="1">
        <w:r w:rsidRPr="00EA3D40">
          <w:rPr>
            <w:rStyle w:val="Hyperlink"/>
            <w:rFonts w:asciiTheme="minorHAnsi" w:hAnsiTheme="minorHAnsi"/>
            <w:bCs/>
            <w:szCs w:val="24"/>
            <w:lang w:eastAsia="zh-CN"/>
          </w:rPr>
          <w:t>C14/61</w:t>
        </w:r>
      </w:hyperlink>
      <w:r>
        <w:rPr>
          <w:rFonts w:hint="eastAsia"/>
          <w:lang w:eastAsia="zh-CN"/>
        </w:rPr>
        <w:t>和</w:t>
      </w:r>
      <w:hyperlink r:id="rId13" w:history="1">
        <w:r w:rsidRPr="00EA3D40">
          <w:rPr>
            <w:rStyle w:val="Hyperlink"/>
            <w:rFonts w:asciiTheme="minorHAnsi" w:hAnsiTheme="minorHAnsi"/>
            <w:bCs/>
            <w:szCs w:val="24"/>
            <w:lang w:eastAsia="zh-CN"/>
          </w:rPr>
          <w:t>C14/62</w:t>
        </w:r>
      </w:hyperlink>
      <w:r>
        <w:rPr>
          <w:rFonts w:hint="eastAsia"/>
          <w:lang w:eastAsia="zh-CN"/>
        </w:rPr>
        <w:t>号文件）</w:t>
      </w:r>
    </w:p>
    <w:p w:rsidR="00A55355" w:rsidRDefault="00A55355" w:rsidP="00717537">
      <w:pPr>
        <w:rPr>
          <w:lang w:eastAsia="zh-CN"/>
        </w:rPr>
      </w:pPr>
      <w:r w:rsidRPr="007112DA">
        <w:rPr>
          <w:lang w:eastAsia="zh-CN"/>
        </w:rPr>
        <w:t>7.15</w:t>
      </w:r>
      <w:r w:rsidRPr="007112DA">
        <w:rPr>
          <w:lang w:eastAsia="zh-CN"/>
        </w:rPr>
        <w:tab/>
      </w:r>
      <w:r>
        <w:rPr>
          <w:rFonts w:hint="eastAsia"/>
          <w:lang w:eastAsia="zh-CN"/>
        </w:rPr>
        <w:t>获取国际电联文件并向公众披露外部</w:t>
      </w:r>
      <w:r w:rsidRPr="001A5EFB">
        <w:rPr>
          <w:rFonts w:hint="eastAsia"/>
          <w:lang w:eastAsia="zh-CN"/>
        </w:rPr>
        <w:t>审计员和内部审计员以及</w:t>
      </w:r>
      <w:r>
        <w:rPr>
          <w:rFonts w:hint="eastAsia"/>
          <w:lang w:eastAsia="zh-CN"/>
        </w:rPr>
        <w:t>IMAC</w:t>
      </w:r>
      <w:r>
        <w:rPr>
          <w:rFonts w:hint="eastAsia"/>
          <w:lang w:eastAsia="zh-CN"/>
        </w:rPr>
        <w:t>报告的问题成为长时间激烈辩论的主题，由此，代表频频发言。</w:t>
      </w:r>
    </w:p>
    <w:p w:rsidR="00A55355" w:rsidRPr="007112DA" w:rsidRDefault="00A55355" w:rsidP="00717537">
      <w:pPr>
        <w:rPr>
          <w:lang w:eastAsia="zh-CN"/>
        </w:rPr>
      </w:pPr>
      <w:r w:rsidRPr="007112DA">
        <w:rPr>
          <w:lang w:eastAsia="zh-CN"/>
        </w:rPr>
        <w:t>7.16</w:t>
      </w:r>
      <w:r w:rsidRPr="007112DA">
        <w:rPr>
          <w:lang w:eastAsia="zh-CN"/>
        </w:rPr>
        <w:tab/>
      </w:r>
      <w:r>
        <w:rPr>
          <w:rFonts w:hint="eastAsia"/>
          <w:lang w:eastAsia="zh-CN"/>
        </w:rPr>
        <w:t>多数代表希望提高透明度。虽然一些代表支持向公众披露文件以提高国际电联各项决定的透明度，完善决策进程并帮助确保问责制的实施，一些代表认为，在向公众披露信息时需</w:t>
      </w:r>
      <w:r>
        <w:rPr>
          <w:rFonts w:cs="Calibri" w:hint="eastAsia"/>
          <w:lang w:eastAsia="zh-CN"/>
        </w:rPr>
        <w:t>谨慎行事。他们认为，文件必须经过全面审议和审核，以避免形成错误结论。</w:t>
      </w:r>
    </w:p>
    <w:p w:rsidR="00EC0DFD" w:rsidRDefault="00EC0DFD">
      <w:pPr>
        <w:tabs>
          <w:tab w:val="clear" w:pos="567"/>
          <w:tab w:val="clear" w:pos="1134"/>
          <w:tab w:val="clear" w:pos="1701"/>
          <w:tab w:val="clear" w:pos="2268"/>
          <w:tab w:val="clear" w:pos="2835"/>
        </w:tabs>
        <w:overflowPunct/>
        <w:autoSpaceDE/>
        <w:autoSpaceDN/>
        <w:adjustRightInd/>
        <w:spacing w:before="0"/>
        <w:textAlignment w:val="auto"/>
        <w:rPr>
          <w:bCs/>
          <w:lang w:eastAsia="zh-CN"/>
        </w:rPr>
      </w:pPr>
      <w:r>
        <w:rPr>
          <w:bCs/>
          <w:lang w:eastAsia="zh-CN"/>
        </w:rPr>
        <w:br w:type="page"/>
      </w:r>
    </w:p>
    <w:p w:rsidR="00A55355" w:rsidRDefault="00A55355" w:rsidP="00717537">
      <w:pPr>
        <w:rPr>
          <w:lang w:eastAsia="zh-CN"/>
        </w:rPr>
      </w:pPr>
      <w:r w:rsidRPr="007112DA">
        <w:rPr>
          <w:bCs/>
          <w:lang w:eastAsia="zh-CN"/>
        </w:rPr>
        <w:lastRenderedPageBreak/>
        <w:t>7.17</w:t>
      </w:r>
      <w:r w:rsidRPr="007112DA">
        <w:rPr>
          <w:bCs/>
          <w:lang w:eastAsia="zh-CN"/>
        </w:rPr>
        <w:tab/>
      </w:r>
      <w:r>
        <w:rPr>
          <w:rFonts w:hint="eastAsia"/>
          <w:bCs/>
          <w:lang w:eastAsia="zh-CN"/>
        </w:rPr>
        <w:t>美国向委员会提交的提案建议理事会公开提供内部审计员和</w:t>
      </w:r>
      <w:r w:rsidRPr="00DC3B87">
        <w:rPr>
          <w:lang w:eastAsia="zh-CN"/>
        </w:rPr>
        <w:t>IMAC</w:t>
      </w:r>
      <w:r>
        <w:rPr>
          <w:rFonts w:hint="eastAsia"/>
          <w:lang w:eastAsia="zh-CN"/>
        </w:rPr>
        <w:t>的报告。</w:t>
      </w:r>
    </w:p>
    <w:p w:rsidR="00A55355" w:rsidRPr="007112DA" w:rsidRDefault="00A55355" w:rsidP="00717537">
      <w:pPr>
        <w:rPr>
          <w:b/>
          <w:bCs/>
          <w:lang w:eastAsia="zh-CN"/>
        </w:rPr>
      </w:pPr>
      <w:proofErr w:type="gramStart"/>
      <w:r w:rsidRPr="007112DA">
        <w:rPr>
          <w:lang w:eastAsia="zh-CN"/>
        </w:rPr>
        <w:t>7.18</w:t>
      </w:r>
      <w:r w:rsidRPr="007112DA">
        <w:rPr>
          <w:lang w:eastAsia="zh-CN"/>
        </w:rPr>
        <w:tab/>
      </w:r>
      <w:r>
        <w:rPr>
          <w:rFonts w:hint="eastAsia"/>
          <w:lang w:eastAsia="zh-CN"/>
        </w:rPr>
        <w:t>秘书处在理事会财务和人力资源工作组</w:t>
      </w:r>
      <w:r>
        <w:rPr>
          <w:lang w:eastAsia="zh-CN"/>
        </w:rPr>
        <w:t>（</w:t>
      </w:r>
      <w:r w:rsidRPr="007112DA">
        <w:rPr>
          <w:lang w:eastAsia="zh-CN"/>
        </w:rPr>
        <w:t>CWG-FHR</w:t>
      </w:r>
      <w:r>
        <w:rPr>
          <w:lang w:eastAsia="zh-CN"/>
        </w:rPr>
        <w:t>）</w:t>
      </w:r>
      <w:r>
        <w:rPr>
          <w:rFonts w:hint="eastAsia"/>
          <w:lang w:eastAsia="zh-CN"/>
        </w:rPr>
        <w:t>2014</w:t>
      </w:r>
      <w:r>
        <w:rPr>
          <w:rFonts w:hint="eastAsia"/>
          <w:lang w:eastAsia="zh-CN"/>
        </w:rPr>
        <w:t>年</w:t>
      </w:r>
      <w:r>
        <w:rPr>
          <w:rFonts w:hint="eastAsia"/>
          <w:lang w:eastAsia="zh-CN"/>
        </w:rPr>
        <w:t>3</w:t>
      </w:r>
      <w:r>
        <w:rPr>
          <w:rFonts w:hint="eastAsia"/>
          <w:lang w:eastAsia="zh-CN"/>
        </w:rPr>
        <w:t>月的会议上介绍了一份全面的有关获取国际电联文件的报告。</w:t>
      </w:r>
      <w:proofErr w:type="gramEnd"/>
      <w:r>
        <w:rPr>
          <w:rFonts w:hint="eastAsia"/>
          <w:lang w:eastAsia="zh-CN"/>
        </w:rPr>
        <w:t>当时，秘书处要求理事会进一步考虑公开提供内部和外部审计员的报告以及独立管理顾问委员会</w:t>
      </w:r>
      <w:r>
        <w:rPr>
          <w:lang w:eastAsia="zh-CN"/>
        </w:rPr>
        <w:t>（</w:t>
      </w:r>
      <w:r w:rsidRPr="007112DA">
        <w:rPr>
          <w:lang w:eastAsia="zh-CN"/>
        </w:rPr>
        <w:t>IMAC</w:t>
      </w:r>
      <w:r>
        <w:rPr>
          <w:lang w:eastAsia="zh-CN"/>
        </w:rPr>
        <w:t>）</w:t>
      </w:r>
      <w:r>
        <w:rPr>
          <w:rFonts w:hint="eastAsia"/>
          <w:lang w:eastAsia="zh-CN"/>
        </w:rPr>
        <w:t>的报告。</w:t>
      </w:r>
    </w:p>
    <w:p w:rsidR="00A55355" w:rsidRDefault="00A55355" w:rsidP="00717537">
      <w:pPr>
        <w:rPr>
          <w:lang w:eastAsia="zh-CN"/>
        </w:rPr>
      </w:pPr>
      <w:r w:rsidRPr="007112DA">
        <w:rPr>
          <w:lang w:eastAsia="zh-CN"/>
        </w:rPr>
        <w:t>7.19</w:t>
      </w:r>
      <w:r w:rsidRPr="007112DA">
        <w:rPr>
          <w:lang w:eastAsia="zh-CN"/>
        </w:rPr>
        <w:tab/>
      </w:r>
      <w:r>
        <w:rPr>
          <w:rFonts w:hint="eastAsia"/>
          <w:lang w:eastAsia="zh-CN"/>
        </w:rPr>
        <w:t>提供内部审计报告是联合国和一些联合国机构已采取的做法。文件突出了向公众披露内部审计报告对于增强国际电联的可信度、透明度和问责制的重要性。</w:t>
      </w:r>
    </w:p>
    <w:p w:rsidR="00A55355" w:rsidRPr="007112DA" w:rsidRDefault="00A55355" w:rsidP="00717537">
      <w:pPr>
        <w:rPr>
          <w:b/>
          <w:bCs/>
          <w:lang w:eastAsia="zh-CN"/>
        </w:rPr>
      </w:pPr>
      <w:r w:rsidRPr="007112DA">
        <w:rPr>
          <w:lang w:eastAsia="zh-CN"/>
        </w:rPr>
        <w:t>7.20</w:t>
      </w:r>
      <w:r w:rsidRPr="007112DA">
        <w:rPr>
          <w:lang w:eastAsia="zh-CN"/>
        </w:rPr>
        <w:tab/>
      </w:r>
      <w:r>
        <w:rPr>
          <w:rFonts w:hint="eastAsia"/>
          <w:lang w:eastAsia="zh-CN"/>
        </w:rPr>
        <w:t>在例外情况下，当信息威胁个人的安全和安危、侵犯其应有的权利或危害正在进行的法律行动时，可采取保密措施，如可为此修改内部审计报告。</w:t>
      </w:r>
    </w:p>
    <w:p w:rsidR="00A55355" w:rsidRDefault="00A55355" w:rsidP="00717537">
      <w:pPr>
        <w:rPr>
          <w:lang w:eastAsia="zh-CN"/>
        </w:rPr>
      </w:pPr>
      <w:r w:rsidRPr="007112DA">
        <w:rPr>
          <w:lang w:eastAsia="zh-CN"/>
        </w:rPr>
        <w:t>7.21</w:t>
      </w:r>
      <w:r w:rsidRPr="007112DA">
        <w:rPr>
          <w:lang w:eastAsia="zh-CN"/>
        </w:rPr>
        <w:tab/>
      </w:r>
      <w:r>
        <w:rPr>
          <w:rFonts w:hint="eastAsia"/>
          <w:lang w:eastAsia="zh-CN"/>
        </w:rPr>
        <w:t>一些代表对此提案表示支持，其他理事则提出一定的保留，许多理事希望推迟讨论，以便争取更多的赶时间用来分析和研究该问题。</w:t>
      </w:r>
    </w:p>
    <w:p w:rsidR="00A55355" w:rsidRPr="007112DA" w:rsidRDefault="00A55355" w:rsidP="00717537">
      <w:pPr>
        <w:rPr>
          <w:lang w:eastAsia="zh-CN"/>
        </w:rPr>
      </w:pPr>
      <w:r w:rsidRPr="007112DA">
        <w:rPr>
          <w:lang w:eastAsia="zh-CN"/>
        </w:rPr>
        <w:t>7.22</w:t>
      </w:r>
      <w:r w:rsidRPr="007112DA">
        <w:rPr>
          <w:lang w:eastAsia="zh-CN"/>
        </w:rPr>
        <w:tab/>
      </w:r>
      <w:r>
        <w:rPr>
          <w:rFonts w:hint="eastAsia"/>
          <w:lang w:eastAsia="zh-CN"/>
        </w:rPr>
        <w:t>美国介绍了有关将外部审计员年度报告公布在国际电联对外开放的网站上的提案，该提案符合联合国系统的最佳做法。</w:t>
      </w:r>
    </w:p>
    <w:p w:rsidR="00A55355" w:rsidRDefault="00A55355" w:rsidP="00717537">
      <w:pPr>
        <w:rPr>
          <w:lang w:eastAsia="zh-CN"/>
        </w:rPr>
      </w:pPr>
      <w:r w:rsidRPr="007112DA">
        <w:rPr>
          <w:lang w:eastAsia="zh-CN"/>
        </w:rPr>
        <w:t>7.23</w:t>
      </w:r>
      <w:r w:rsidRPr="007112DA">
        <w:rPr>
          <w:lang w:eastAsia="zh-CN"/>
        </w:rPr>
        <w:tab/>
      </w:r>
      <w:r>
        <w:rPr>
          <w:rFonts w:hint="eastAsia"/>
          <w:lang w:eastAsia="zh-CN"/>
        </w:rPr>
        <w:t>该提案突出了财务管理做法透明对于增强所有利益攸关方的信心并确保其对组织及其使命给予不断支持的重要性。</w:t>
      </w:r>
    </w:p>
    <w:p w:rsidR="00A55355" w:rsidRPr="007112DA" w:rsidRDefault="00A55355" w:rsidP="00717537">
      <w:pPr>
        <w:rPr>
          <w:b/>
          <w:bCs/>
          <w:u w:val="single"/>
          <w:lang w:eastAsia="zh-CN"/>
        </w:rPr>
      </w:pPr>
      <w:proofErr w:type="gramStart"/>
      <w:r w:rsidRPr="007112DA">
        <w:rPr>
          <w:lang w:eastAsia="zh-CN"/>
        </w:rPr>
        <w:t>7.24</w:t>
      </w:r>
      <w:r w:rsidRPr="007112DA">
        <w:rPr>
          <w:lang w:eastAsia="zh-CN"/>
        </w:rPr>
        <w:tab/>
      </w:r>
      <w:r>
        <w:rPr>
          <w:rFonts w:hint="eastAsia"/>
          <w:lang w:eastAsia="zh-CN"/>
        </w:rPr>
        <w:t>一些代表提出了案文建议，反映出各种忧虑，目的在于达成协商一致，即向理事会建议在</w:t>
      </w:r>
      <w:r w:rsidRPr="007112DA">
        <w:rPr>
          <w:lang w:eastAsia="zh-CN"/>
        </w:rPr>
        <w:t>PP-14</w:t>
      </w:r>
      <w:r>
        <w:rPr>
          <w:rFonts w:hint="eastAsia"/>
          <w:lang w:eastAsia="zh-CN"/>
        </w:rPr>
        <w:t>做出有关获取国际电联文件和公众披露的一般性政策决定之前作为例外情况暂时公开提供</w:t>
      </w:r>
      <w:r w:rsidRPr="001A5EFB">
        <w:rPr>
          <w:lang w:eastAsia="zh-CN"/>
        </w:rPr>
        <w:t>IMAC</w:t>
      </w:r>
      <w:r w:rsidRPr="001A5EFB">
        <w:rPr>
          <w:rFonts w:hint="eastAsia"/>
          <w:lang w:eastAsia="zh-CN"/>
        </w:rPr>
        <w:t>和外部审计员的报告以及内部审计员的年度报告摘要。</w:t>
      </w:r>
      <w:proofErr w:type="gramEnd"/>
      <w:r w:rsidRPr="001A5EFB">
        <w:rPr>
          <w:rFonts w:hint="eastAsia"/>
          <w:lang w:eastAsia="zh-CN"/>
        </w:rPr>
        <w:t>这种临时安排不得在</w:t>
      </w:r>
      <w:r w:rsidRPr="001A5EFB">
        <w:rPr>
          <w:lang w:eastAsia="zh-CN"/>
        </w:rPr>
        <w:t>PP-14</w:t>
      </w:r>
      <w:r>
        <w:rPr>
          <w:rFonts w:hint="eastAsia"/>
          <w:lang w:eastAsia="zh-CN"/>
        </w:rPr>
        <w:t>就此事宜酌情做出决定之前为未来在此方面的行动创造任何先例。</w:t>
      </w:r>
    </w:p>
    <w:p w:rsidR="00A55355" w:rsidRDefault="00A55355" w:rsidP="00717537">
      <w:pPr>
        <w:spacing w:after="360"/>
        <w:rPr>
          <w:lang w:eastAsia="zh-CN"/>
        </w:rPr>
      </w:pPr>
      <w:r w:rsidRPr="007112DA">
        <w:rPr>
          <w:lang w:eastAsia="zh-CN"/>
        </w:rPr>
        <w:t>7.25</w:t>
      </w:r>
      <w:r w:rsidRPr="007112DA">
        <w:rPr>
          <w:lang w:eastAsia="zh-CN"/>
        </w:rPr>
        <w:tab/>
      </w:r>
      <w:r>
        <w:rPr>
          <w:rFonts w:hint="eastAsia"/>
          <w:lang w:eastAsia="zh-CN"/>
        </w:rPr>
        <w:t>国际电联法律顾问确认指出，国际电联理事会有权就此问题做出决定。</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3"/>
      </w:tblGrid>
      <w:tr w:rsidR="00A55355" w:rsidRPr="0061157D" w:rsidTr="0038018E">
        <w:tc>
          <w:tcPr>
            <w:tcW w:w="9243" w:type="dxa"/>
          </w:tcPr>
          <w:p w:rsidR="00A55355" w:rsidRPr="00745066" w:rsidRDefault="00A55355" w:rsidP="00717537">
            <w:pPr>
              <w:spacing w:after="120"/>
              <w:rPr>
                <w:b/>
                <w:bCs/>
                <w:i/>
                <w:iCs/>
                <w:szCs w:val="24"/>
                <w:lang w:eastAsia="zh-CN"/>
              </w:rPr>
            </w:pPr>
            <w:r w:rsidRPr="00745066">
              <w:rPr>
                <w:rFonts w:ascii="STKaiti" w:eastAsia="STKaiti" w:hAnsi="STKaiti" w:cs="SimSun" w:hint="eastAsia"/>
                <w:b/>
                <w:bCs/>
                <w:lang w:eastAsia="zh-CN"/>
              </w:rPr>
              <w:t>建议</w:t>
            </w:r>
          </w:p>
          <w:p w:rsidR="00A55355" w:rsidRDefault="00A55355" w:rsidP="00717537">
            <w:pPr>
              <w:pStyle w:val="PlainText"/>
              <w:jc w:val="left"/>
              <w:rPr>
                <w:rFonts w:asciiTheme="minorHAnsi" w:eastAsiaTheme="minorEastAsia" w:hAnsiTheme="minorHAnsi"/>
                <w:sz w:val="24"/>
                <w:szCs w:val="24"/>
                <w:lang w:eastAsia="zh-CN"/>
              </w:rPr>
            </w:pPr>
            <w:r>
              <w:rPr>
                <w:rFonts w:asciiTheme="minorHAnsi" w:hAnsiTheme="minorHAnsi"/>
                <w:sz w:val="24"/>
                <w:szCs w:val="24"/>
                <w:lang w:eastAsia="zh-CN"/>
              </w:rPr>
              <w:t>7.26</w:t>
            </w:r>
            <w:r>
              <w:rPr>
                <w:rFonts w:asciiTheme="minorHAnsi" w:hAnsiTheme="minorHAnsi"/>
                <w:sz w:val="24"/>
                <w:szCs w:val="24"/>
                <w:lang w:eastAsia="zh-CN"/>
              </w:rPr>
              <w:tab/>
            </w:r>
            <w:r>
              <w:rPr>
                <w:rFonts w:asciiTheme="minorHAnsi" w:eastAsiaTheme="minorEastAsia" w:hAnsiTheme="minorHAnsi" w:hint="eastAsia"/>
                <w:sz w:val="24"/>
                <w:szCs w:val="24"/>
                <w:lang w:eastAsia="zh-CN"/>
              </w:rPr>
              <w:t>委员会建议理事会批准在</w:t>
            </w:r>
            <w:r w:rsidRPr="00BE1A11">
              <w:rPr>
                <w:rFonts w:asciiTheme="minorHAnsi" w:hAnsiTheme="minorHAnsi"/>
                <w:sz w:val="24"/>
                <w:szCs w:val="24"/>
                <w:lang w:eastAsia="zh-CN"/>
              </w:rPr>
              <w:t>PP-14</w:t>
            </w:r>
            <w:r>
              <w:rPr>
                <w:rFonts w:asciiTheme="minorHAnsi" w:eastAsiaTheme="minorEastAsia" w:hAnsiTheme="minorHAnsi" w:hint="eastAsia"/>
                <w:sz w:val="24"/>
                <w:szCs w:val="24"/>
                <w:lang w:eastAsia="zh-CN"/>
              </w:rPr>
              <w:t>就获取国际电联信息和文件的一般性政策做出决定之前作为例外暂时公布：</w:t>
            </w:r>
          </w:p>
          <w:p w:rsidR="00A55355" w:rsidRPr="00BE1A11" w:rsidRDefault="00A55355" w:rsidP="00717537">
            <w:pPr>
              <w:pStyle w:val="enumlev2"/>
              <w:rPr>
                <w:lang w:eastAsia="zh-CN"/>
              </w:rPr>
            </w:pPr>
            <w:r>
              <w:rPr>
                <w:lang w:eastAsia="zh-CN"/>
              </w:rPr>
              <w:t>–</w:t>
            </w:r>
            <w:r>
              <w:rPr>
                <w:lang w:eastAsia="zh-CN"/>
              </w:rPr>
              <w:tab/>
              <w:t>IMAC</w:t>
            </w:r>
            <w:r>
              <w:rPr>
                <w:rFonts w:eastAsiaTheme="minorEastAsia" w:hint="eastAsia"/>
                <w:lang w:eastAsia="zh-CN"/>
              </w:rPr>
              <w:t>的报告；</w:t>
            </w:r>
          </w:p>
          <w:p w:rsidR="00A55355" w:rsidRPr="00794B85" w:rsidRDefault="00A55355" w:rsidP="00717537">
            <w:pPr>
              <w:pStyle w:val="enumlev2"/>
              <w:rPr>
                <w:rFonts w:eastAsiaTheme="minorEastAsia"/>
                <w:lang w:eastAsia="zh-CN"/>
              </w:rPr>
            </w:pPr>
            <w:r>
              <w:rPr>
                <w:lang w:eastAsia="zh-CN"/>
              </w:rPr>
              <w:t>–</w:t>
            </w:r>
            <w:r>
              <w:rPr>
                <w:lang w:eastAsia="zh-CN"/>
              </w:rPr>
              <w:tab/>
            </w:r>
            <w:r>
              <w:rPr>
                <w:rFonts w:eastAsiaTheme="minorEastAsia" w:hint="eastAsia"/>
                <w:lang w:eastAsia="zh-CN"/>
              </w:rPr>
              <w:t>外部审计员的报告；及</w:t>
            </w:r>
          </w:p>
          <w:p w:rsidR="00A55355" w:rsidRPr="00794B85" w:rsidRDefault="00A55355" w:rsidP="00717537">
            <w:pPr>
              <w:pStyle w:val="enumlev2"/>
              <w:rPr>
                <w:rFonts w:eastAsiaTheme="minorEastAsia"/>
                <w:lang w:eastAsia="zh-CN"/>
              </w:rPr>
            </w:pPr>
            <w:r>
              <w:rPr>
                <w:lang w:eastAsia="zh-CN"/>
              </w:rPr>
              <w:t>–</w:t>
            </w:r>
            <w:r>
              <w:rPr>
                <w:lang w:eastAsia="zh-CN"/>
              </w:rPr>
              <w:tab/>
            </w:r>
            <w:r>
              <w:rPr>
                <w:rFonts w:eastAsiaTheme="minorEastAsia" w:hint="eastAsia"/>
                <w:lang w:eastAsia="zh-CN"/>
              </w:rPr>
              <w:t>内部审计报告的摘要。</w:t>
            </w:r>
          </w:p>
          <w:p w:rsidR="00A55355" w:rsidRPr="0061157D" w:rsidRDefault="00A55355" w:rsidP="00717537">
            <w:pPr>
              <w:pStyle w:val="PlainText"/>
              <w:spacing w:after="120"/>
              <w:ind w:firstLineChars="200" w:firstLine="480"/>
              <w:rPr>
                <w:rFonts w:ascii="Calibri" w:hAnsi="Calibri"/>
                <w:sz w:val="24"/>
                <w:szCs w:val="24"/>
                <w:lang w:eastAsia="zh-CN"/>
              </w:rPr>
            </w:pPr>
            <w:r>
              <w:rPr>
                <w:rFonts w:asciiTheme="minorHAnsi" w:eastAsiaTheme="minorEastAsia" w:hAnsiTheme="minorHAnsi" w:hint="eastAsia"/>
                <w:sz w:val="24"/>
                <w:szCs w:val="24"/>
                <w:lang w:eastAsia="zh-CN"/>
              </w:rPr>
              <w:t>在</w:t>
            </w:r>
            <w:r w:rsidRPr="00BE1A11">
              <w:rPr>
                <w:rFonts w:asciiTheme="minorHAnsi" w:hAnsiTheme="minorHAnsi"/>
                <w:sz w:val="24"/>
                <w:szCs w:val="24"/>
                <w:lang w:eastAsia="zh-CN"/>
              </w:rPr>
              <w:t>PP-14</w:t>
            </w:r>
            <w:r>
              <w:rPr>
                <w:rFonts w:asciiTheme="minorHAnsi" w:eastAsiaTheme="minorEastAsia" w:hAnsiTheme="minorHAnsi" w:hint="eastAsia"/>
                <w:sz w:val="24"/>
                <w:szCs w:val="24"/>
                <w:lang w:eastAsia="zh-CN"/>
              </w:rPr>
              <w:t>酌情就此事宜做出决定之前，这种临时安排不应给未来此方面的行动造成任何先例。</w:t>
            </w:r>
          </w:p>
        </w:tc>
      </w:tr>
    </w:tbl>
    <w:p w:rsidR="00EC0DFD" w:rsidRDefault="00EC0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Cs w:val="24"/>
          <w:lang w:eastAsia="zh-CN"/>
        </w:rPr>
      </w:pPr>
      <w:r>
        <w:rPr>
          <w:rFonts w:asciiTheme="minorHAnsi" w:hAnsiTheme="minorHAnsi"/>
          <w:b/>
          <w:bCs/>
          <w:szCs w:val="24"/>
          <w:lang w:eastAsia="zh-CN"/>
        </w:rPr>
        <w:br w:type="page"/>
      </w:r>
    </w:p>
    <w:p w:rsidR="00BC0922" w:rsidRDefault="00BC0922" w:rsidP="00717537">
      <w:pPr>
        <w:spacing w:before="480"/>
        <w:rPr>
          <w:rFonts w:asciiTheme="minorHAnsi" w:hAnsiTheme="minorHAnsi"/>
          <w:b/>
          <w:bCs/>
          <w:szCs w:val="24"/>
          <w:lang w:eastAsia="zh-CN"/>
        </w:rPr>
      </w:pPr>
    </w:p>
    <w:p w:rsidR="00BC0922" w:rsidRDefault="00BC0922" w:rsidP="00717537">
      <w:pPr>
        <w:spacing w:before="160"/>
        <w:jc w:val="both"/>
        <w:rPr>
          <w:rFonts w:asciiTheme="minorHAnsi" w:hAnsiTheme="minorHAnsi"/>
          <w:b/>
          <w:bCs/>
          <w:szCs w:val="24"/>
          <w:lang w:eastAsia="zh-CN"/>
        </w:rPr>
      </w:pPr>
      <w:r>
        <w:rPr>
          <w:rFonts w:asciiTheme="minorHAnsi" w:hAnsiTheme="minorHAnsi"/>
          <w:b/>
          <w:bCs/>
          <w:szCs w:val="24"/>
          <w:lang w:eastAsia="zh-CN"/>
        </w:rPr>
        <w:t>……..</w:t>
      </w:r>
    </w:p>
    <w:p w:rsidR="00BC0922" w:rsidRDefault="00BC0922" w:rsidP="00717537">
      <w:pPr>
        <w:jc w:val="both"/>
        <w:rPr>
          <w:rFonts w:asciiTheme="minorHAnsi" w:hAnsiTheme="minorHAnsi"/>
          <w:b/>
          <w:bCs/>
          <w:szCs w:val="24"/>
          <w:lang w:eastAsia="zh-CN"/>
        </w:rPr>
      </w:pPr>
      <w:r>
        <w:rPr>
          <w:rFonts w:asciiTheme="minorHAnsi" w:hAnsiTheme="minorHAnsi"/>
          <w:b/>
          <w:bCs/>
          <w:szCs w:val="24"/>
          <w:lang w:eastAsia="zh-CN"/>
        </w:rPr>
        <w:t>C14/99</w:t>
      </w:r>
      <w:r w:rsidR="00A55355">
        <w:rPr>
          <w:rFonts w:asciiTheme="minorHAnsi" w:hAnsiTheme="minorHAnsi" w:hint="eastAsia"/>
          <w:b/>
          <w:bCs/>
          <w:szCs w:val="24"/>
          <w:lang w:eastAsia="zh-CN"/>
        </w:rPr>
        <w:t>号文件</w:t>
      </w:r>
      <w:r w:rsidR="00A55355">
        <w:rPr>
          <w:rFonts w:asciiTheme="minorHAnsi" w:hAnsiTheme="minorHAnsi"/>
          <w:b/>
          <w:bCs/>
          <w:szCs w:val="24"/>
          <w:lang w:eastAsia="zh-CN"/>
        </w:rPr>
        <w:t>：</w:t>
      </w:r>
      <w:r w:rsidR="00A55355" w:rsidRPr="00A55355">
        <w:rPr>
          <w:rFonts w:hint="eastAsia"/>
          <w:lang w:eastAsia="zh-CN"/>
        </w:rPr>
        <w:t>第九次全体会议摘要记录</w:t>
      </w:r>
    </w:p>
    <w:p w:rsidR="00BC0922" w:rsidRDefault="00BC0922" w:rsidP="00717537">
      <w:pPr>
        <w:jc w:val="both"/>
        <w:rPr>
          <w:rFonts w:asciiTheme="minorHAnsi" w:hAnsiTheme="minorHAnsi"/>
          <w:b/>
          <w:bCs/>
          <w:szCs w:val="24"/>
          <w:lang w:eastAsia="zh-CN"/>
        </w:rPr>
      </w:pPr>
      <w:r>
        <w:rPr>
          <w:rFonts w:asciiTheme="minorHAnsi" w:hAnsiTheme="minorHAnsi"/>
          <w:b/>
          <w:bCs/>
          <w:szCs w:val="24"/>
          <w:lang w:eastAsia="zh-CN"/>
        </w:rPr>
        <w:t>……..</w:t>
      </w:r>
    </w:p>
    <w:p w:rsidR="00BC0922" w:rsidRDefault="00A55355" w:rsidP="00EC0DFD">
      <w:pPr>
        <w:rPr>
          <w:rFonts w:cs="Calibri"/>
          <w:szCs w:val="24"/>
          <w:lang w:eastAsia="zh-CN"/>
        </w:rPr>
      </w:pPr>
      <w:r w:rsidRPr="00A55355">
        <w:rPr>
          <w:rFonts w:ascii="SimSun" w:hAnsi="SimSun" w:cs="Calibri"/>
          <w:szCs w:val="24"/>
          <w:lang w:eastAsia="zh-CN"/>
        </w:rPr>
        <w:t>“</w:t>
      </w:r>
      <w:r w:rsidR="00BC0922">
        <w:rPr>
          <w:rFonts w:cs="Calibri"/>
          <w:szCs w:val="24"/>
          <w:lang w:eastAsia="zh-CN"/>
        </w:rPr>
        <w:t>..</w:t>
      </w:r>
      <w:r w:rsidR="00BC0922" w:rsidRPr="00D44E43">
        <w:rPr>
          <w:rFonts w:cs="Calibri"/>
          <w:szCs w:val="24"/>
          <w:lang w:eastAsia="zh-CN"/>
        </w:rPr>
        <w:t>1.6</w:t>
      </w:r>
      <w:r w:rsidR="00BC0922" w:rsidRPr="00D44E43">
        <w:rPr>
          <w:rFonts w:cs="Calibri"/>
          <w:szCs w:val="24"/>
          <w:lang w:eastAsia="zh-CN"/>
        </w:rPr>
        <w:tab/>
      </w:r>
      <w:r>
        <w:rPr>
          <w:rFonts w:hint="eastAsia"/>
          <w:lang w:eastAsia="zh-CN"/>
        </w:rPr>
        <w:t>一位理事说，第</w:t>
      </w:r>
      <w:r>
        <w:rPr>
          <w:rFonts w:hint="eastAsia"/>
          <w:lang w:eastAsia="zh-CN"/>
        </w:rPr>
        <w:t>7.14</w:t>
      </w:r>
      <w:r>
        <w:rPr>
          <w:rFonts w:hint="eastAsia"/>
          <w:lang w:eastAsia="zh-CN"/>
        </w:rPr>
        <w:t>段中的建议应明确提及</w:t>
      </w:r>
      <w:r>
        <w:rPr>
          <w:rFonts w:hint="eastAsia"/>
          <w:lang w:eastAsia="zh-CN"/>
        </w:rPr>
        <w:t>2014</w:t>
      </w:r>
      <w:r>
        <w:rPr>
          <w:rFonts w:hint="eastAsia"/>
          <w:lang w:eastAsia="zh-CN"/>
        </w:rPr>
        <w:t>年全权代表大会（</w:t>
      </w:r>
      <w:r>
        <w:rPr>
          <w:rFonts w:hint="eastAsia"/>
          <w:lang w:eastAsia="zh-CN"/>
        </w:rPr>
        <w:t>PP-14</w:t>
      </w:r>
      <w:r>
        <w:rPr>
          <w:rFonts w:hint="eastAsia"/>
          <w:lang w:eastAsia="zh-CN"/>
        </w:rPr>
        <w:t>）</w:t>
      </w:r>
      <w:r w:rsidR="00BC0922">
        <w:rPr>
          <w:rFonts w:cs="Calibri"/>
          <w:szCs w:val="24"/>
          <w:lang w:eastAsia="zh-CN"/>
        </w:rPr>
        <w:t>….</w:t>
      </w:r>
      <w:r w:rsidRPr="00A55355">
        <w:rPr>
          <w:rFonts w:ascii="SimSun" w:hAnsi="SimSun" w:cs="Calibri"/>
          <w:szCs w:val="24"/>
          <w:lang w:eastAsia="zh-CN"/>
        </w:rPr>
        <w:t>”</w:t>
      </w:r>
    </w:p>
    <w:p w:rsidR="00BC0922" w:rsidRDefault="00BC0922" w:rsidP="00717537">
      <w:pPr>
        <w:tabs>
          <w:tab w:val="clear" w:pos="567"/>
          <w:tab w:val="clear" w:pos="1134"/>
          <w:tab w:val="clear" w:pos="1701"/>
          <w:tab w:val="clear" w:pos="2268"/>
          <w:tab w:val="clear" w:pos="2835"/>
        </w:tabs>
        <w:rPr>
          <w:lang w:eastAsia="zh-CN"/>
        </w:rPr>
      </w:pPr>
      <w:r>
        <w:rPr>
          <w:lang w:eastAsia="zh-CN"/>
        </w:rPr>
        <w:t>..</w:t>
      </w:r>
      <w:r w:rsidR="00A55355">
        <w:rPr>
          <w:rFonts w:ascii="SimSun" w:hAnsi="SimSun"/>
          <w:lang w:eastAsia="zh-CN"/>
        </w:rPr>
        <w:t>“</w:t>
      </w:r>
      <w:r w:rsidR="00A55355">
        <w:rPr>
          <w:lang w:eastAsia="zh-CN"/>
        </w:rPr>
        <w:t>1.25</w:t>
      </w:r>
      <w:r w:rsidR="00A55355">
        <w:rPr>
          <w:lang w:eastAsia="zh-CN"/>
        </w:rPr>
        <w:tab/>
      </w:r>
      <w:r w:rsidR="00A55355">
        <w:rPr>
          <w:rFonts w:hint="eastAsia"/>
          <w:lang w:eastAsia="zh-CN"/>
        </w:rPr>
        <w:t>在遵守讨论过程中一致认可的相关修正案文的前提下，理事会批准了第</w:t>
      </w:r>
      <w:r w:rsidR="00A55355" w:rsidRPr="00186372">
        <w:rPr>
          <w:lang w:eastAsia="zh-CN"/>
        </w:rPr>
        <w:t>1.7</w:t>
      </w:r>
      <w:r w:rsidR="00A55355">
        <w:rPr>
          <w:lang w:eastAsia="zh-CN"/>
        </w:rPr>
        <w:t>、</w:t>
      </w:r>
      <w:r w:rsidR="00A55355" w:rsidRPr="00186372">
        <w:rPr>
          <w:lang w:eastAsia="zh-CN"/>
        </w:rPr>
        <w:t>2.7</w:t>
      </w:r>
      <w:r w:rsidR="00A55355">
        <w:rPr>
          <w:lang w:eastAsia="zh-CN"/>
        </w:rPr>
        <w:t>、</w:t>
      </w:r>
      <w:r w:rsidR="00A55355" w:rsidRPr="00186372">
        <w:rPr>
          <w:lang w:eastAsia="zh-CN"/>
        </w:rPr>
        <w:t>3.5</w:t>
      </w:r>
      <w:r w:rsidR="00A55355">
        <w:rPr>
          <w:lang w:eastAsia="zh-CN"/>
        </w:rPr>
        <w:t>、</w:t>
      </w:r>
      <w:r w:rsidR="00A55355" w:rsidRPr="00186372">
        <w:rPr>
          <w:lang w:eastAsia="zh-CN"/>
        </w:rPr>
        <w:t>4.7</w:t>
      </w:r>
      <w:r w:rsidR="00A55355">
        <w:rPr>
          <w:lang w:eastAsia="zh-CN"/>
        </w:rPr>
        <w:t>、</w:t>
      </w:r>
      <w:r w:rsidR="00A55355" w:rsidRPr="00186372">
        <w:rPr>
          <w:lang w:eastAsia="zh-CN"/>
        </w:rPr>
        <w:t>5.2</w:t>
      </w:r>
      <w:r w:rsidR="00A55355">
        <w:rPr>
          <w:lang w:eastAsia="zh-CN"/>
        </w:rPr>
        <w:t>、</w:t>
      </w:r>
      <w:r w:rsidR="00A55355" w:rsidRPr="00186372">
        <w:rPr>
          <w:lang w:eastAsia="zh-CN"/>
        </w:rPr>
        <w:t>6.4</w:t>
      </w:r>
      <w:r w:rsidR="00A55355">
        <w:rPr>
          <w:lang w:eastAsia="zh-CN"/>
        </w:rPr>
        <w:t>、</w:t>
      </w:r>
      <w:r w:rsidR="00A55355" w:rsidRPr="00186372">
        <w:rPr>
          <w:lang w:eastAsia="zh-CN"/>
        </w:rPr>
        <w:t>7.8</w:t>
      </w:r>
      <w:r w:rsidR="00A55355">
        <w:rPr>
          <w:lang w:eastAsia="zh-CN"/>
        </w:rPr>
        <w:t>、</w:t>
      </w:r>
      <w:r w:rsidR="00A55355" w:rsidRPr="00186372">
        <w:rPr>
          <w:lang w:eastAsia="zh-CN"/>
        </w:rPr>
        <w:t>7.14</w:t>
      </w:r>
      <w:r w:rsidR="00A55355">
        <w:rPr>
          <w:lang w:eastAsia="zh-CN"/>
        </w:rPr>
        <w:t>、</w:t>
      </w:r>
      <w:r w:rsidR="00A55355" w:rsidRPr="00186372">
        <w:rPr>
          <w:lang w:eastAsia="zh-CN"/>
        </w:rPr>
        <w:t>7.26</w:t>
      </w:r>
      <w:r w:rsidR="00A55355">
        <w:rPr>
          <w:lang w:eastAsia="zh-CN"/>
        </w:rPr>
        <w:t>、</w:t>
      </w:r>
      <w:r w:rsidR="00A55355" w:rsidRPr="00186372">
        <w:rPr>
          <w:lang w:eastAsia="zh-CN"/>
        </w:rPr>
        <w:t>7.35</w:t>
      </w:r>
      <w:r w:rsidR="00A55355">
        <w:rPr>
          <w:lang w:eastAsia="zh-CN"/>
        </w:rPr>
        <w:t>、</w:t>
      </w:r>
      <w:r w:rsidR="00A55355" w:rsidRPr="00186372">
        <w:rPr>
          <w:lang w:eastAsia="zh-CN"/>
        </w:rPr>
        <w:t>7.37</w:t>
      </w:r>
      <w:r w:rsidR="00A55355">
        <w:rPr>
          <w:lang w:eastAsia="zh-CN"/>
        </w:rPr>
        <w:t>、</w:t>
      </w:r>
      <w:r w:rsidR="00A55355" w:rsidRPr="00186372">
        <w:rPr>
          <w:lang w:eastAsia="zh-CN"/>
        </w:rPr>
        <w:t>7.43</w:t>
      </w:r>
      <w:r w:rsidR="00A55355">
        <w:rPr>
          <w:lang w:eastAsia="zh-CN"/>
        </w:rPr>
        <w:t>、</w:t>
      </w:r>
      <w:r w:rsidR="00A55355" w:rsidRPr="00186372">
        <w:rPr>
          <w:lang w:eastAsia="zh-CN"/>
        </w:rPr>
        <w:t>8.2</w:t>
      </w:r>
      <w:r w:rsidR="00A55355">
        <w:rPr>
          <w:lang w:eastAsia="zh-CN"/>
        </w:rPr>
        <w:t>、</w:t>
      </w:r>
      <w:r w:rsidR="00A55355" w:rsidRPr="00186372">
        <w:rPr>
          <w:lang w:eastAsia="zh-CN"/>
        </w:rPr>
        <w:t>9.8</w:t>
      </w:r>
      <w:r w:rsidR="00A55355">
        <w:rPr>
          <w:lang w:eastAsia="zh-CN"/>
        </w:rPr>
        <w:t>、</w:t>
      </w:r>
      <w:r w:rsidR="00A55355" w:rsidRPr="00186372">
        <w:rPr>
          <w:lang w:eastAsia="zh-CN"/>
        </w:rPr>
        <w:t>10.7</w:t>
      </w:r>
      <w:r w:rsidR="00A55355">
        <w:rPr>
          <w:lang w:eastAsia="zh-CN"/>
        </w:rPr>
        <w:t>、</w:t>
      </w:r>
      <w:r w:rsidR="00A55355" w:rsidRPr="00186372">
        <w:rPr>
          <w:lang w:eastAsia="zh-CN"/>
        </w:rPr>
        <w:t>11.5</w:t>
      </w:r>
      <w:r w:rsidR="00A55355">
        <w:rPr>
          <w:lang w:eastAsia="zh-CN"/>
        </w:rPr>
        <w:t>、</w:t>
      </w:r>
      <w:r w:rsidR="00A55355" w:rsidRPr="00186372">
        <w:rPr>
          <w:lang w:eastAsia="zh-CN"/>
        </w:rPr>
        <w:t>12.8</w:t>
      </w:r>
      <w:r w:rsidR="00A55355">
        <w:rPr>
          <w:lang w:eastAsia="zh-CN"/>
        </w:rPr>
        <w:t>、</w:t>
      </w:r>
      <w:r w:rsidR="00A55355" w:rsidRPr="00186372">
        <w:rPr>
          <w:lang w:eastAsia="zh-CN"/>
        </w:rPr>
        <w:t>13.5</w:t>
      </w:r>
      <w:r w:rsidR="00A55355">
        <w:rPr>
          <w:lang w:eastAsia="zh-CN"/>
        </w:rPr>
        <w:t>、</w:t>
      </w:r>
      <w:r w:rsidR="00A55355" w:rsidRPr="00186372">
        <w:rPr>
          <w:lang w:eastAsia="zh-CN"/>
        </w:rPr>
        <w:t>14.6</w:t>
      </w:r>
      <w:r w:rsidR="00A55355">
        <w:rPr>
          <w:lang w:eastAsia="zh-CN"/>
        </w:rPr>
        <w:t>、</w:t>
      </w:r>
      <w:r w:rsidR="00A55355" w:rsidRPr="00186372">
        <w:rPr>
          <w:lang w:eastAsia="zh-CN"/>
        </w:rPr>
        <w:t>15.4</w:t>
      </w:r>
      <w:r w:rsidR="00A55355">
        <w:rPr>
          <w:lang w:eastAsia="zh-CN"/>
        </w:rPr>
        <w:t>、</w:t>
      </w:r>
      <w:r w:rsidR="00A55355" w:rsidRPr="00186372">
        <w:rPr>
          <w:lang w:eastAsia="zh-CN"/>
        </w:rPr>
        <w:t>15.5</w:t>
      </w:r>
      <w:r w:rsidR="00A55355">
        <w:rPr>
          <w:lang w:eastAsia="zh-CN"/>
        </w:rPr>
        <w:t>、</w:t>
      </w:r>
      <w:r w:rsidR="00A55355" w:rsidRPr="00186372">
        <w:rPr>
          <w:lang w:eastAsia="zh-CN"/>
        </w:rPr>
        <w:t>18.9</w:t>
      </w:r>
      <w:r w:rsidR="00A55355">
        <w:rPr>
          <w:rFonts w:hint="eastAsia"/>
          <w:lang w:eastAsia="zh-CN"/>
        </w:rPr>
        <w:t>和</w:t>
      </w:r>
      <w:r w:rsidR="00A55355" w:rsidRPr="00186372">
        <w:rPr>
          <w:lang w:eastAsia="zh-CN"/>
        </w:rPr>
        <w:t>19.14</w:t>
      </w:r>
      <w:r w:rsidR="00A55355">
        <w:rPr>
          <w:rFonts w:hint="eastAsia"/>
          <w:lang w:eastAsia="zh-CN"/>
        </w:rPr>
        <w:t>段中的建议，从而亦酌情</w:t>
      </w:r>
      <w:r w:rsidR="00A55355" w:rsidRPr="009E6570">
        <w:rPr>
          <w:rFonts w:hint="eastAsia"/>
          <w:b/>
          <w:bCs/>
          <w:lang w:eastAsia="zh-CN"/>
        </w:rPr>
        <w:t>批准、通过、认可</w:t>
      </w:r>
      <w:r w:rsidR="00A55355" w:rsidRPr="009E6570">
        <w:rPr>
          <w:rFonts w:hint="eastAsia"/>
          <w:lang w:eastAsia="zh-CN"/>
        </w:rPr>
        <w:t>或</w:t>
      </w:r>
      <w:r w:rsidR="00A55355" w:rsidRPr="009E6570">
        <w:rPr>
          <w:rFonts w:hint="eastAsia"/>
          <w:b/>
          <w:bCs/>
          <w:lang w:eastAsia="zh-CN"/>
        </w:rPr>
        <w:t>注意到了</w:t>
      </w:r>
      <w:r w:rsidR="00A55355">
        <w:rPr>
          <w:rFonts w:hint="eastAsia"/>
          <w:lang w:eastAsia="zh-CN"/>
        </w:rPr>
        <w:t>下列案文</w:t>
      </w:r>
      <w:r w:rsidR="00A55355" w:rsidRPr="00A55355">
        <w:rPr>
          <w:rFonts w:ascii="SimSun" w:hAnsi="SimSun"/>
          <w:lang w:eastAsia="zh-CN"/>
        </w:rPr>
        <w:t>”</w:t>
      </w:r>
      <w:r w:rsidR="00A55355">
        <w:rPr>
          <w:rFonts w:hint="eastAsia"/>
          <w:lang w:eastAsia="zh-CN"/>
        </w:rPr>
        <w:t>。</w:t>
      </w:r>
    </w:p>
    <w:p w:rsidR="00A55355" w:rsidRDefault="00A55355" w:rsidP="00717537">
      <w:pPr>
        <w:pStyle w:val="Reasons"/>
        <w:rPr>
          <w:lang w:eastAsia="zh-CN"/>
        </w:rPr>
      </w:pPr>
    </w:p>
    <w:p w:rsidR="00A55355" w:rsidRDefault="00A55355" w:rsidP="00717537">
      <w:pPr>
        <w:jc w:val="center"/>
      </w:pPr>
      <w:r>
        <w:t>______________</w:t>
      </w:r>
    </w:p>
    <w:p w:rsidR="00476923" w:rsidRPr="00BC0922" w:rsidRDefault="00476923" w:rsidP="00717537">
      <w:pPr>
        <w:rPr>
          <w:lang w:eastAsia="zh-CN"/>
        </w:rPr>
      </w:pPr>
    </w:p>
    <w:sectPr w:rsidR="00476923" w:rsidRPr="00BC0922" w:rsidSect="00BA20B6">
      <w:head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8E" w:rsidRDefault="0038018E">
      <w:r>
        <w:separator/>
      </w:r>
    </w:p>
  </w:endnote>
  <w:endnote w:type="continuationSeparator" w:id="0">
    <w:p w:rsidR="0038018E" w:rsidRDefault="0038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8E" w:rsidRPr="00912E46" w:rsidRDefault="0038018E" w:rsidP="00912E4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8E" w:rsidRDefault="0038018E">
      <w:r>
        <w:t>____________________</w:t>
      </w:r>
    </w:p>
  </w:footnote>
  <w:footnote w:type="continuationSeparator" w:id="0">
    <w:p w:rsidR="0038018E" w:rsidRDefault="0038018E">
      <w:r>
        <w:continuationSeparator/>
      </w:r>
    </w:p>
  </w:footnote>
  <w:footnote w:id="1">
    <w:p w:rsidR="0038018E" w:rsidRPr="00B817AF" w:rsidRDefault="0038018E" w:rsidP="00B817AF">
      <w:pPr>
        <w:pStyle w:val="FootnoteText"/>
        <w:tabs>
          <w:tab w:val="clear" w:pos="256"/>
        </w:tabs>
        <w:ind w:left="284" w:hanging="284"/>
        <w:rPr>
          <w:sz w:val="20"/>
          <w:lang w:eastAsia="zh-CN"/>
        </w:rPr>
      </w:pPr>
      <w:r w:rsidRPr="00B817AF">
        <w:rPr>
          <w:rStyle w:val="FootnoteReference"/>
          <w:sz w:val="20"/>
        </w:rPr>
        <w:footnoteRef/>
      </w:r>
      <w:r w:rsidRPr="00B817AF">
        <w:rPr>
          <w:sz w:val="20"/>
          <w:lang w:eastAsia="zh-CN"/>
        </w:rPr>
        <w:t xml:space="preserve"> </w:t>
      </w:r>
      <w:r w:rsidRPr="00B817AF">
        <w:rPr>
          <w:sz w:val="20"/>
          <w:lang w:eastAsia="zh-CN"/>
        </w:rPr>
        <w:tab/>
      </w:r>
      <w:r w:rsidR="00B817AF" w:rsidRPr="00B817AF">
        <w:rPr>
          <w:rFonts w:hint="eastAsia"/>
          <w:sz w:val="20"/>
          <w:lang w:eastAsia="zh-CN"/>
        </w:rPr>
        <w:t>注意，信息获取的权利问题与获取成本问题是两个单独的问题。</w:t>
      </w:r>
    </w:p>
  </w:footnote>
  <w:footnote w:id="2">
    <w:p w:rsidR="0038018E" w:rsidRPr="00B817AF" w:rsidRDefault="0038018E" w:rsidP="00B817AF">
      <w:pPr>
        <w:pStyle w:val="FootnoteText"/>
        <w:tabs>
          <w:tab w:val="clear" w:pos="256"/>
        </w:tabs>
        <w:spacing w:before="0"/>
        <w:ind w:left="284" w:hanging="284"/>
        <w:rPr>
          <w:rFonts w:asciiTheme="minorHAnsi" w:hAnsiTheme="minorHAnsi"/>
          <w:sz w:val="20"/>
          <w:lang w:eastAsia="zh-CN"/>
        </w:rPr>
      </w:pPr>
      <w:r w:rsidRPr="00B817AF">
        <w:rPr>
          <w:rStyle w:val="FootnoteReference"/>
          <w:sz w:val="20"/>
        </w:rPr>
        <w:footnoteRef/>
      </w:r>
      <w:r w:rsidRPr="00B817AF">
        <w:rPr>
          <w:sz w:val="20"/>
          <w:lang w:eastAsia="zh-CN"/>
        </w:rPr>
        <w:t xml:space="preserve"> </w:t>
      </w:r>
      <w:r w:rsidRPr="00B817AF">
        <w:rPr>
          <w:sz w:val="20"/>
          <w:lang w:eastAsia="zh-CN"/>
        </w:rPr>
        <w:tab/>
      </w:r>
      <w:r w:rsidR="00B817AF" w:rsidRPr="00B817AF">
        <w:rPr>
          <w:rFonts w:hint="eastAsia"/>
          <w:sz w:val="20"/>
          <w:lang w:eastAsia="zh-CN"/>
        </w:rPr>
        <w:t>总秘书处通函仅限于</w:t>
      </w:r>
      <w:r w:rsidR="00B817AF" w:rsidRPr="00B817AF">
        <w:rPr>
          <w:rFonts w:hint="eastAsia"/>
          <w:sz w:val="20"/>
          <w:lang w:eastAsia="zh-CN"/>
        </w:rPr>
        <w:t>TIES</w:t>
      </w:r>
      <w:r w:rsidR="00B817AF" w:rsidRPr="00B817AF">
        <w:rPr>
          <w:rFonts w:hint="eastAsia"/>
          <w:sz w:val="20"/>
          <w:lang w:eastAsia="zh-CN"/>
        </w:rPr>
        <w:t>用户，但是三个部门的所有类型的通函向外界开放。</w:t>
      </w:r>
    </w:p>
  </w:footnote>
  <w:footnote w:id="3">
    <w:p w:rsidR="0038018E" w:rsidRPr="00B817AF" w:rsidRDefault="0038018E" w:rsidP="00B817AF">
      <w:pPr>
        <w:pStyle w:val="FootnoteText"/>
        <w:tabs>
          <w:tab w:val="clear" w:pos="256"/>
          <w:tab w:val="clear" w:pos="567"/>
          <w:tab w:val="clear" w:pos="1134"/>
          <w:tab w:val="clear" w:pos="1701"/>
          <w:tab w:val="clear" w:pos="2268"/>
          <w:tab w:val="clear" w:pos="2835"/>
        </w:tabs>
        <w:ind w:left="284" w:hanging="284"/>
        <w:rPr>
          <w:sz w:val="20"/>
          <w:lang w:val="en-US" w:eastAsia="zh-CN"/>
        </w:rPr>
      </w:pPr>
      <w:r w:rsidRPr="00B817AF">
        <w:rPr>
          <w:rStyle w:val="FootnoteReference"/>
          <w:sz w:val="20"/>
        </w:rPr>
        <w:footnoteRef/>
      </w:r>
      <w:r w:rsidRPr="00B817AF">
        <w:rPr>
          <w:sz w:val="20"/>
          <w:lang w:eastAsia="zh-CN"/>
        </w:rPr>
        <w:t xml:space="preserve"> </w:t>
      </w:r>
      <w:r w:rsidRPr="00B817AF">
        <w:rPr>
          <w:sz w:val="20"/>
          <w:lang w:eastAsia="zh-CN"/>
        </w:rPr>
        <w:tab/>
      </w:r>
      <w:r w:rsidR="00473B49" w:rsidRPr="00B817AF">
        <w:rPr>
          <w:rFonts w:hint="eastAsia"/>
          <w:sz w:val="20"/>
          <w:lang w:eastAsia="zh-CN"/>
        </w:rPr>
        <w:t>制定正式信息获取或披露政策的国际组织</w:t>
      </w:r>
      <w:r w:rsidR="00473B49" w:rsidRPr="00B817AF">
        <w:rPr>
          <w:rFonts w:hint="eastAsia"/>
          <w:sz w:val="20"/>
          <w:lang w:eastAsia="zh-CN"/>
        </w:rPr>
        <w:t>/</w:t>
      </w:r>
      <w:r w:rsidR="00473B49" w:rsidRPr="00B817AF">
        <w:rPr>
          <w:rFonts w:hint="eastAsia"/>
          <w:sz w:val="20"/>
          <w:lang w:eastAsia="zh-CN"/>
        </w:rPr>
        <w:t>政府间组织有：美洲开发银行（</w:t>
      </w:r>
      <w:r w:rsidR="00473B49" w:rsidRPr="00B817AF">
        <w:rPr>
          <w:rFonts w:hint="eastAsia"/>
          <w:sz w:val="20"/>
          <w:lang w:eastAsia="zh-CN"/>
        </w:rPr>
        <w:t>IADB</w:t>
      </w:r>
      <w:r w:rsidR="00473B49" w:rsidRPr="00B817AF">
        <w:rPr>
          <w:rFonts w:hint="eastAsia"/>
          <w:sz w:val="20"/>
          <w:lang w:eastAsia="zh-CN"/>
        </w:rPr>
        <w:t>）（</w:t>
      </w:r>
      <w:r w:rsidR="00473B49" w:rsidRPr="00B817AF">
        <w:rPr>
          <w:rFonts w:hint="eastAsia"/>
          <w:sz w:val="20"/>
          <w:lang w:eastAsia="zh-CN"/>
        </w:rPr>
        <w:t>2010</w:t>
      </w:r>
      <w:r w:rsidR="00473B49" w:rsidRPr="00B817AF">
        <w:rPr>
          <w:rFonts w:hint="eastAsia"/>
          <w:sz w:val="20"/>
          <w:lang w:eastAsia="zh-CN"/>
        </w:rPr>
        <w:t>），亚洲开发银行（</w:t>
      </w:r>
      <w:r w:rsidR="00473B49" w:rsidRPr="00B817AF">
        <w:rPr>
          <w:rFonts w:hint="eastAsia"/>
          <w:sz w:val="20"/>
          <w:lang w:eastAsia="zh-CN"/>
        </w:rPr>
        <w:t>2011</w:t>
      </w:r>
      <w:r w:rsidR="00473B49" w:rsidRPr="00B817AF">
        <w:rPr>
          <w:rFonts w:hint="eastAsia"/>
          <w:sz w:val="20"/>
          <w:lang w:eastAsia="zh-CN"/>
        </w:rPr>
        <w:t>）和非洲开发银行集团（</w:t>
      </w:r>
      <w:r w:rsidR="00473B49" w:rsidRPr="00B817AF">
        <w:rPr>
          <w:rFonts w:hint="eastAsia"/>
          <w:sz w:val="20"/>
          <w:lang w:eastAsia="zh-CN"/>
        </w:rPr>
        <w:t>2013</w:t>
      </w:r>
      <w:r w:rsidR="00473B49" w:rsidRPr="00B817AF">
        <w:rPr>
          <w:rFonts w:hint="eastAsia"/>
          <w:sz w:val="20"/>
          <w:lang w:eastAsia="zh-CN"/>
        </w:rPr>
        <w:t>）。</w:t>
      </w:r>
    </w:p>
  </w:footnote>
  <w:footnote w:id="4">
    <w:p w:rsidR="0038018E" w:rsidRPr="00B817AF" w:rsidRDefault="0038018E" w:rsidP="00473B49">
      <w:pPr>
        <w:pStyle w:val="FootnoteText"/>
        <w:tabs>
          <w:tab w:val="clear" w:pos="256"/>
          <w:tab w:val="clear" w:pos="567"/>
          <w:tab w:val="clear" w:pos="1134"/>
          <w:tab w:val="clear" w:pos="1701"/>
          <w:tab w:val="clear" w:pos="2268"/>
          <w:tab w:val="clear" w:pos="2835"/>
        </w:tabs>
        <w:ind w:left="284" w:hanging="284"/>
        <w:rPr>
          <w:sz w:val="20"/>
          <w:lang w:eastAsia="zh-CN"/>
        </w:rPr>
      </w:pPr>
      <w:r w:rsidRPr="00B817AF">
        <w:rPr>
          <w:rStyle w:val="FootnoteReference"/>
          <w:sz w:val="20"/>
        </w:rPr>
        <w:footnoteRef/>
      </w:r>
      <w:r w:rsidRPr="00B817AF">
        <w:rPr>
          <w:sz w:val="20"/>
          <w:lang w:eastAsia="zh-CN"/>
        </w:rPr>
        <w:t xml:space="preserve"> </w:t>
      </w:r>
      <w:r w:rsidRPr="00B817AF">
        <w:rPr>
          <w:sz w:val="20"/>
          <w:lang w:eastAsia="zh-CN"/>
        </w:rPr>
        <w:tab/>
      </w:r>
      <w:r w:rsidR="00473B49" w:rsidRPr="00B817AF">
        <w:rPr>
          <w:rFonts w:hint="eastAsia"/>
          <w:sz w:val="20"/>
          <w:lang w:eastAsia="zh-CN"/>
        </w:rPr>
        <w:t>建立监督委员会的国际组织有世界银行、联合国开发计划署（</w:t>
      </w:r>
      <w:r w:rsidR="00473B49" w:rsidRPr="00B817AF">
        <w:rPr>
          <w:rFonts w:hint="eastAsia"/>
          <w:sz w:val="20"/>
          <w:lang w:eastAsia="zh-CN"/>
        </w:rPr>
        <w:t>UNDP</w:t>
      </w:r>
      <w:r w:rsidR="00473B49" w:rsidRPr="00B817AF">
        <w:rPr>
          <w:rFonts w:hint="eastAsia"/>
          <w:sz w:val="20"/>
          <w:lang w:eastAsia="zh-CN"/>
        </w:rPr>
        <w:t>）</w:t>
      </w:r>
      <w:r w:rsidR="00473B49" w:rsidRPr="00B817AF">
        <w:rPr>
          <w:rFonts w:hint="eastAsia"/>
          <w:sz w:val="20"/>
          <w:lang w:eastAsia="zh-CN"/>
        </w:rPr>
        <w:t>、联合国项目服务办公室（</w:t>
      </w:r>
      <w:r w:rsidR="00473B49" w:rsidRPr="00B817AF">
        <w:rPr>
          <w:rFonts w:hint="eastAsia"/>
          <w:sz w:val="20"/>
          <w:lang w:eastAsia="zh-CN"/>
        </w:rPr>
        <w:t>UNOPS</w:t>
      </w:r>
      <w:r w:rsidR="00473B49" w:rsidRPr="00B817AF">
        <w:rPr>
          <w:rFonts w:hint="eastAsia"/>
          <w:sz w:val="20"/>
          <w:lang w:eastAsia="zh-CN"/>
        </w:rPr>
        <w:t>）、联合国粮食计划署（</w:t>
      </w:r>
      <w:r w:rsidR="00473B49" w:rsidRPr="00B817AF">
        <w:rPr>
          <w:rFonts w:hint="eastAsia"/>
          <w:sz w:val="20"/>
          <w:lang w:eastAsia="zh-CN"/>
        </w:rPr>
        <w:t>WFP</w:t>
      </w:r>
      <w:r w:rsidR="00473B49" w:rsidRPr="00B817AF">
        <w:rPr>
          <w:rFonts w:hint="eastAsia"/>
          <w:sz w:val="20"/>
          <w:lang w:eastAsia="zh-CN"/>
        </w:rPr>
        <w:t>）、美洲开发银行（</w:t>
      </w:r>
      <w:r w:rsidR="00473B49" w:rsidRPr="00B817AF">
        <w:rPr>
          <w:rFonts w:hint="eastAsia"/>
          <w:sz w:val="20"/>
          <w:lang w:eastAsia="zh-CN"/>
        </w:rPr>
        <w:t>IADB</w:t>
      </w:r>
      <w:r w:rsidR="00473B49" w:rsidRPr="00B817AF">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8E" w:rsidRDefault="0038018E" w:rsidP="00811D55">
    <w:pPr>
      <w:pStyle w:val="Header"/>
    </w:pPr>
    <w:r>
      <w:fldChar w:fldCharType="begin"/>
    </w:r>
    <w:r>
      <w:instrText xml:space="preserve"> PAGE </w:instrText>
    </w:r>
    <w:r>
      <w:fldChar w:fldCharType="separate"/>
    </w:r>
    <w:r w:rsidR="00912E46">
      <w:rPr>
        <w:noProof/>
      </w:rPr>
      <w:t>8</w:t>
    </w:r>
    <w:r>
      <w:fldChar w:fldCharType="end"/>
    </w:r>
    <w:r w:rsidR="00912E46">
      <w:t>/</w:t>
    </w:r>
    <w:fldSimple w:instr=" NUMPAGES   \* MERGEFORMAT ">
      <w:r w:rsidR="00912E46">
        <w:rPr>
          <w:noProof/>
        </w:rPr>
        <w:t>9</w:t>
      </w:r>
    </w:fldSimple>
  </w:p>
  <w:p w:rsidR="0038018E" w:rsidRPr="00811D55" w:rsidRDefault="0038018E" w:rsidP="00811D55">
    <w:pPr>
      <w:pStyle w:val="Header"/>
    </w:pPr>
    <w:r>
      <w:t>PP14/59-</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89F"/>
    <w:multiLevelType w:val="hybridMultilevel"/>
    <w:tmpl w:val="5B3807EC"/>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62E24"/>
    <w:multiLevelType w:val="hybridMultilevel"/>
    <w:tmpl w:val="008AFF88"/>
    <w:lvl w:ilvl="0" w:tplc="A20C4852">
      <w:start w:val="1"/>
      <w:numFmt w:val="decimal"/>
      <w:lvlText w:val="%1."/>
      <w:lvlJc w:val="left"/>
      <w:pPr>
        <w:ind w:left="360" w:hanging="360"/>
      </w:pPr>
      <w:rPr>
        <w:rFonts w:hint="default"/>
        <w:lang w:val="en-G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4C3534"/>
    <w:multiLevelType w:val="hybridMultilevel"/>
    <w:tmpl w:val="8350F8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BC7C45"/>
    <w:multiLevelType w:val="hybridMultilevel"/>
    <w:tmpl w:val="4B9E58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AE7CF1"/>
    <w:multiLevelType w:val="hybridMultilevel"/>
    <w:tmpl w:val="EB2C85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587D98"/>
    <w:multiLevelType w:val="hybridMultilevel"/>
    <w:tmpl w:val="9B987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34DB"/>
    <w:rsid w:val="00014808"/>
    <w:rsid w:val="00040A47"/>
    <w:rsid w:val="00057B6E"/>
    <w:rsid w:val="00076062"/>
    <w:rsid w:val="0009673E"/>
    <w:rsid w:val="000A61AE"/>
    <w:rsid w:val="000B5327"/>
    <w:rsid w:val="000C4701"/>
    <w:rsid w:val="000E4C7A"/>
    <w:rsid w:val="000F68C6"/>
    <w:rsid w:val="00124C8F"/>
    <w:rsid w:val="00125484"/>
    <w:rsid w:val="00126FE1"/>
    <w:rsid w:val="00127730"/>
    <w:rsid w:val="0013327E"/>
    <w:rsid w:val="00137909"/>
    <w:rsid w:val="0014254A"/>
    <w:rsid w:val="00167FD3"/>
    <w:rsid w:val="00171990"/>
    <w:rsid w:val="0018424F"/>
    <w:rsid w:val="001A0EEB"/>
    <w:rsid w:val="001A4A66"/>
    <w:rsid w:val="001B0550"/>
    <w:rsid w:val="001B25D1"/>
    <w:rsid w:val="002037EE"/>
    <w:rsid w:val="002113CF"/>
    <w:rsid w:val="002155B0"/>
    <w:rsid w:val="00231ABC"/>
    <w:rsid w:val="00241DDB"/>
    <w:rsid w:val="002578B4"/>
    <w:rsid w:val="002A0F5C"/>
    <w:rsid w:val="002A2125"/>
    <w:rsid w:val="002B39F5"/>
    <w:rsid w:val="002C5629"/>
    <w:rsid w:val="002E3230"/>
    <w:rsid w:val="002E37AF"/>
    <w:rsid w:val="00307225"/>
    <w:rsid w:val="003477D4"/>
    <w:rsid w:val="00375BBA"/>
    <w:rsid w:val="003760D8"/>
    <w:rsid w:val="0038018E"/>
    <w:rsid w:val="00383A29"/>
    <w:rsid w:val="0038484C"/>
    <w:rsid w:val="0038575F"/>
    <w:rsid w:val="00387EA2"/>
    <w:rsid w:val="003907C4"/>
    <w:rsid w:val="00395CE4"/>
    <w:rsid w:val="003F11AB"/>
    <w:rsid w:val="003F6444"/>
    <w:rsid w:val="004014B0"/>
    <w:rsid w:val="00414872"/>
    <w:rsid w:val="00426AC1"/>
    <w:rsid w:val="0045019C"/>
    <w:rsid w:val="004676C0"/>
    <w:rsid w:val="00473B49"/>
    <w:rsid w:val="00476923"/>
    <w:rsid w:val="00476CAF"/>
    <w:rsid w:val="00485E71"/>
    <w:rsid w:val="004D3182"/>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44680"/>
    <w:rsid w:val="0067125A"/>
    <w:rsid w:val="00680265"/>
    <w:rsid w:val="00696B8F"/>
    <w:rsid w:val="006A0092"/>
    <w:rsid w:val="006B0FEC"/>
    <w:rsid w:val="006E57C8"/>
    <w:rsid w:val="006E6BA4"/>
    <w:rsid w:val="006F0211"/>
    <w:rsid w:val="00717537"/>
    <w:rsid w:val="007235A4"/>
    <w:rsid w:val="0073319E"/>
    <w:rsid w:val="007436F5"/>
    <w:rsid w:val="00750829"/>
    <w:rsid w:val="00770CF8"/>
    <w:rsid w:val="007917DE"/>
    <w:rsid w:val="0079626D"/>
    <w:rsid w:val="007B558F"/>
    <w:rsid w:val="007C4DC3"/>
    <w:rsid w:val="00811D55"/>
    <w:rsid w:val="00814482"/>
    <w:rsid w:val="008160BF"/>
    <w:rsid w:val="008433E4"/>
    <w:rsid w:val="00850AEF"/>
    <w:rsid w:val="008726C7"/>
    <w:rsid w:val="0089175C"/>
    <w:rsid w:val="008B44F5"/>
    <w:rsid w:val="008D3BE2"/>
    <w:rsid w:val="008D7300"/>
    <w:rsid w:val="008E4324"/>
    <w:rsid w:val="008E45D4"/>
    <w:rsid w:val="008E6AE7"/>
    <w:rsid w:val="008E6BC6"/>
    <w:rsid w:val="00904E65"/>
    <w:rsid w:val="00905B6A"/>
    <w:rsid w:val="00912E46"/>
    <w:rsid w:val="00923BE4"/>
    <w:rsid w:val="00950E0F"/>
    <w:rsid w:val="0099173A"/>
    <w:rsid w:val="009A47A2"/>
    <w:rsid w:val="009C4B97"/>
    <w:rsid w:val="009D1E93"/>
    <w:rsid w:val="009D2049"/>
    <w:rsid w:val="009E239D"/>
    <w:rsid w:val="00A03693"/>
    <w:rsid w:val="00A23536"/>
    <w:rsid w:val="00A55355"/>
    <w:rsid w:val="00A6085C"/>
    <w:rsid w:val="00A62DA7"/>
    <w:rsid w:val="00AA7BEE"/>
    <w:rsid w:val="00AC246A"/>
    <w:rsid w:val="00AD1198"/>
    <w:rsid w:val="00AD2C62"/>
    <w:rsid w:val="00AE49B9"/>
    <w:rsid w:val="00AF2F88"/>
    <w:rsid w:val="00B04E59"/>
    <w:rsid w:val="00B05785"/>
    <w:rsid w:val="00B11373"/>
    <w:rsid w:val="00B15AF8"/>
    <w:rsid w:val="00B1733E"/>
    <w:rsid w:val="00B23943"/>
    <w:rsid w:val="00B60A63"/>
    <w:rsid w:val="00B650EC"/>
    <w:rsid w:val="00B817AF"/>
    <w:rsid w:val="00B96F78"/>
    <w:rsid w:val="00BA154E"/>
    <w:rsid w:val="00BA20B6"/>
    <w:rsid w:val="00BC0922"/>
    <w:rsid w:val="00BE5CDD"/>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CF24D3"/>
    <w:rsid w:val="00D2057D"/>
    <w:rsid w:val="00D215E8"/>
    <w:rsid w:val="00D55C40"/>
    <w:rsid w:val="00D57C64"/>
    <w:rsid w:val="00D65220"/>
    <w:rsid w:val="00D82A9F"/>
    <w:rsid w:val="00D87E74"/>
    <w:rsid w:val="00D9674A"/>
    <w:rsid w:val="00D97614"/>
    <w:rsid w:val="00DB136B"/>
    <w:rsid w:val="00DD26B1"/>
    <w:rsid w:val="00DF23FC"/>
    <w:rsid w:val="00DF39CD"/>
    <w:rsid w:val="00DF51DD"/>
    <w:rsid w:val="00E121F2"/>
    <w:rsid w:val="00E26F09"/>
    <w:rsid w:val="00E3129B"/>
    <w:rsid w:val="00E56E57"/>
    <w:rsid w:val="00E9509A"/>
    <w:rsid w:val="00EC0DFD"/>
    <w:rsid w:val="00EC4C5F"/>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6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ListParagraph">
    <w:name w:val="List Paragraph"/>
    <w:basedOn w:val="Normal"/>
    <w:uiPriority w:val="34"/>
    <w:qFormat/>
    <w:rsid w:val="00BC092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uiPriority w:val="99"/>
    <w:rsid w:val="00BC0922"/>
    <w:rPr>
      <w:rFonts w:ascii="Calibri" w:eastAsia="SimSun" w:hAnsi="Calibri"/>
      <w:sz w:val="24"/>
      <w:lang w:val="en-GB" w:eastAsia="en-US"/>
    </w:rPr>
  </w:style>
  <w:style w:type="paragraph" w:styleId="PlainText">
    <w:name w:val="Plain Text"/>
    <w:basedOn w:val="Normal"/>
    <w:link w:val="PlainTextChar"/>
    <w:uiPriority w:val="99"/>
    <w:unhideWhenUsed/>
    <w:rsid w:val="00BC0922"/>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BC0922"/>
    <w:rPr>
      <w:rFonts w:ascii="Courier New" w:eastAsia="Times New Roman" w:hAnsi="Courier New" w:cs="Courier New"/>
      <w:lang w:val="en-GB" w:eastAsia="en-US"/>
    </w:rPr>
  </w:style>
  <w:style w:type="character" w:customStyle="1" w:styleId="enumlev2Char">
    <w:name w:val="enumlev2 Char"/>
    <w:basedOn w:val="DefaultParagraphFont"/>
    <w:link w:val="enumlev2"/>
    <w:locked/>
    <w:rsid w:val="00A55355"/>
    <w:rPr>
      <w:rFonts w:ascii="Calibri" w:eastAsia="SimSun"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6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ListParagraph">
    <w:name w:val="List Paragraph"/>
    <w:basedOn w:val="Normal"/>
    <w:uiPriority w:val="34"/>
    <w:qFormat/>
    <w:rsid w:val="00BC092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uiPriority w:val="99"/>
    <w:rsid w:val="00BC0922"/>
    <w:rPr>
      <w:rFonts w:ascii="Calibri" w:eastAsia="SimSun" w:hAnsi="Calibri"/>
      <w:sz w:val="24"/>
      <w:lang w:val="en-GB" w:eastAsia="en-US"/>
    </w:rPr>
  </w:style>
  <w:style w:type="paragraph" w:styleId="PlainText">
    <w:name w:val="Plain Text"/>
    <w:basedOn w:val="Normal"/>
    <w:link w:val="PlainTextChar"/>
    <w:uiPriority w:val="99"/>
    <w:unhideWhenUsed/>
    <w:rsid w:val="00BC0922"/>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BC0922"/>
    <w:rPr>
      <w:rFonts w:ascii="Courier New" w:eastAsia="Times New Roman" w:hAnsi="Courier New" w:cs="Courier New"/>
      <w:lang w:val="en-GB" w:eastAsia="en-US"/>
    </w:rPr>
  </w:style>
  <w:style w:type="character" w:customStyle="1" w:styleId="enumlev2Char">
    <w:name w:val="enumlev2 Char"/>
    <w:basedOn w:val="DefaultParagraphFont"/>
    <w:link w:val="enumlev2"/>
    <w:locked/>
    <w:rsid w:val="00A55355"/>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CL-C-0062/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S14-CL-C-0061/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S14-CL-C-006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4-CL-INF-0020/en" TargetMode="External"/><Relationship Id="rId4" Type="http://schemas.openxmlformats.org/officeDocument/2006/relationships/settings" Target="settings.xml"/><Relationship Id="rId9" Type="http://schemas.openxmlformats.org/officeDocument/2006/relationships/hyperlink" Target="http://www.ifad.org/gbdoc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0</TotalTime>
  <Pages>9</Pages>
  <Words>4734</Words>
  <Characters>1320</Characters>
  <Application>Microsoft Office Word</Application>
  <DocSecurity>4</DocSecurity>
  <Lines>11</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6042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 Meng</dc:creator>
  <cp:keywords>PP-06</cp:keywords>
  <dc:description>PC_PP10.dotx  For: _x000d_Document date: _x000d_Saved by ITU51009317 at 11:14:59 on 19/03/2013</dc:description>
  <cp:lastModifiedBy>Brouard, Ricarda</cp:lastModifiedBy>
  <cp:revision>2</cp:revision>
  <cp:lastPrinted>2014-08-21T13:23:00Z</cp:lastPrinted>
  <dcterms:created xsi:type="dcterms:W3CDTF">2014-08-26T14:47:00Z</dcterms:created>
  <dcterms:modified xsi:type="dcterms:W3CDTF">2014-08-26T14:47:00Z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