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777803" w:rsidRPr="0092392D">
        <w:trPr>
          <w:cantSplit/>
        </w:trPr>
        <w:tc>
          <w:tcPr>
            <w:tcW w:w="6912" w:type="dxa"/>
          </w:tcPr>
          <w:p w:rsidR="00777803" w:rsidRPr="0092392D" w:rsidRDefault="002F4C0E" w:rsidP="00774E6A">
            <w:pPr>
              <w:spacing w:before="360"/>
              <w:rPr>
                <w:lang w:val="fr-CH"/>
              </w:rPr>
            </w:pPr>
            <w:bookmarkStart w:id="0" w:name="dbreak"/>
            <w:bookmarkStart w:id="1" w:name="dpp"/>
            <w:bookmarkEnd w:id="0"/>
            <w:bookmarkEnd w:id="1"/>
            <w:r w:rsidRPr="00600B60">
              <w:rPr>
                <w:rFonts w:cs="Times"/>
                <w:b/>
                <w:sz w:val="30"/>
                <w:szCs w:val="30"/>
              </w:rPr>
              <w:t>Conférence de plénipotentiaires</w:t>
            </w:r>
            <w:r w:rsidRPr="00600B60">
              <w:rPr>
                <w:b/>
                <w:smallCaps/>
                <w:sz w:val="30"/>
                <w:szCs w:val="30"/>
              </w:rPr>
              <w:t xml:space="preserve"> (PP-14</w:t>
            </w:r>
            <w:proofErr w:type="gramStart"/>
            <w:r w:rsidRPr="00600B60">
              <w:rPr>
                <w:b/>
                <w:smallCaps/>
                <w:sz w:val="30"/>
                <w:szCs w:val="30"/>
              </w:rPr>
              <w:t>)</w:t>
            </w:r>
            <w:proofErr w:type="gramEnd"/>
            <w:r w:rsidRPr="00101D1F">
              <w:rPr>
                <w:bCs/>
                <w:smallCaps/>
                <w:sz w:val="36"/>
              </w:rPr>
              <w:br/>
            </w:r>
            <w:r w:rsidRPr="004153C1">
              <w:rPr>
                <w:rFonts w:cs="Times New Roman Bold"/>
                <w:b/>
                <w:szCs w:val="24"/>
              </w:rPr>
              <w:t xml:space="preserve">Busan, 20 octobre </w:t>
            </w:r>
            <w:r w:rsidR="00E2573F">
              <w:rPr>
                <w:rFonts w:cs="Times New Roman Bold"/>
                <w:b/>
                <w:szCs w:val="24"/>
              </w:rPr>
              <w:t>–</w:t>
            </w:r>
            <w:r w:rsidRPr="004153C1">
              <w:rPr>
                <w:rFonts w:cs="Times New Roman Bold"/>
                <w:b/>
                <w:szCs w:val="24"/>
              </w:rPr>
              <w:t xml:space="preserve"> 7 novembre 2014</w:t>
            </w:r>
          </w:p>
        </w:tc>
        <w:tc>
          <w:tcPr>
            <w:tcW w:w="3261" w:type="dxa"/>
          </w:tcPr>
          <w:p w:rsidR="00777803" w:rsidRPr="0092392D" w:rsidRDefault="00777803" w:rsidP="00774E6A">
            <w:pPr>
              <w:spacing w:before="0"/>
              <w:rPr>
                <w:lang w:val="fr-CH"/>
              </w:rPr>
            </w:pPr>
            <w:bookmarkStart w:id="2" w:name="ditulogo"/>
            <w:bookmarkEnd w:id="2"/>
            <w:r w:rsidRPr="00777803">
              <w:rPr>
                <w:rFonts w:ascii="Verdana" w:hAnsi="Verdana"/>
                <w:b/>
                <w:bCs/>
                <w:noProof/>
                <w:lang w:val="en-US" w:eastAsia="zh-CN"/>
              </w:rPr>
              <w:drawing>
                <wp:inline distT="0" distB="0" distL="0" distR="0" wp14:anchorId="75FB51DC" wp14:editId="458063B3">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777803" w:rsidRPr="0092392D">
        <w:trPr>
          <w:cantSplit/>
          <w:trHeight w:val="20"/>
        </w:trPr>
        <w:tc>
          <w:tcPr>
            <w:tcW w:w="6912" w:type="dxa"/>
            <w:tcBorders>
              <w:bottom w:val="single" w:sz="12" w:space="0" w:color="auto"/>
            </w:tcBorders>
          </w:tcPr>
          <w:p w:rsidR="00777803" w:rsidRPr="0092392D" w:rsidRDefault="00777803" w:rsidP="00774E6A">
            <w:pPr>
              <w:spacing w:before="0"/>
              <w:rPr>
                <w:smallCaps/>
                <w:sz w:val="22"/>
                <w:lang w:val="fr-CH"/>
              </w:rPr>
            </w:pPr>
          </w:p>
        </w:tc>
        <w:tc>
          <w:tcPr>
            <w:tcW w:w="3261" w:type="dxa"/>
            <w:tcBorders>
              <w:bottom w:val="single" w:sz="12" w:space="0" w:color="auto"/>
            </w:tcBorders>
          </w:tcPr>
          <w:p w:rsidR="00777803" w:rsidRPr="0092392D" w:rsidRDefault="00777803" w:rsidP="00774E6A">
            <w:pPr>
              <w:spacing w:before="0"/>
              <w:rPr>
                <w:b/>
                <w:bCs/>
              </w:rPr>
            </w:pPr>
          </w:p>
        </w:tc>
      </w:tr>
      <w:tr w:rsidR="00777803" w:rsidRPr="0092392D">
        <w:trPr>
          <w:cantSplit/>
          <w:trHeight w:val="20"/>
        </w:trPr>
        <w:tc>
          <w:tcPr>
            <w:tcW w:w="6912" w:type="dxa"/>
            <w:tcBorders>
              <w:top w:val="single" w:sz="12" w:space="0" w:color="auto"/>
            </w:tcBorders>
          </w:tcPr>
          <w:p w:rsidR="00777803" w:rsidRPr="0092392D" w:rsidRDefault="00777803" w:rsidP="00774E6A">
            <w:pPr>
              <w:spacing w:before="0"/>
              <w:rPr>
                <w:smallCaps/>
                <w:sz w:val="22"/>
                <w:lang w:val="fr-CH"/>
              </w:rPr>
            </w:pPr>
          </w:p>
        </w:tc>
        <w:tc>
          <w:tcPr>
            <w:tcW w:w="3261" w:type="dxa"/>
            <w:tcBorders>
              <w:top w:val="single" w:sz="12" w:space="0" w:color="auto"/>
            </w:tcBorders>
          </w:tcPr>
          <w:p w:rsidR="00777803" w:rsidRPr="0092392D" w:rsidRDefault="00777803" w:rsidP="00774E6A">
            <w:pPr>
              <w:spacing w:before="0"/>
              <w:rPr>
                <w:b/>
                <w:bCs/>
              </w:rPr>
            </w:pPr>
          </w:p>
        </w:tc>
      </w:tr>
      <w:tr w:rsidR="00777803" w:rsidRPr="0092392D">
        <w:trPr>
          <w:cantSplit/>
          <w:trHeight w:val="20"/>
        </w:trPr>
        <w:tc>
          <w:tcPr>
            <w:tcW w:w="6912" w:type="dxa"/>
            <w:vMerge w:val="restart"/>
          </w:tcPr>
          <w:p w:rsidR="00777803" w:rsidRPr="002F4C0E" w:rsidRDefault="002F4C0E" w:rsidP="00774E6A">
            <w:pPr>
              <w:spacing w:before="0"/>
              <w:rPr>
                <w:rFonts w:cs="Calibri"/>
                <w:b/>
                <w:bCs/>
                <w:szCs w:val="24"/>
                <w:lang w:val="fr-CH"/>
              </w:rPr>
            </w:pPr>
            <w:bookmarkStart w:id="3" w:name="dnum" w:colFirst="1" w:colLast="1"/>
            <w:bookmarkStart w:id="4" w:name="dmeeting" w:colFirst="0" w:colLast="0"/>
            <w:bookmarkStart w:id="5" w:name="_GoBack"/>
            <w:bookmarkEnd w:id="5"/>
            <w:r w:rsidRPr="002F4C0E">
              <w:rPr>
                <w:b/>
                <w:bCs/>
              </w:rPr>
              <w:t>SÉANCE PLÉNIÈRE</w:t>
            </w:r>
          </w:p>
        </w:tc>
        <w:tc>
          <w:tcPr>
            <w:tcW w:w="3261" w:type="dxa"/>
          </w:tcPr>
          <w:p w:rsidR="00777803" w:rsidRPr="00777803" w:rsidRDefault="00777803" w:rsidP="00774E6A">
            <w:pPr>
              <w:spacing w:before="0"/>
              <w:rPr>
                <w:rFonts w:cs="Calibri"/>
                <w:b/>
                <w:bCs/>
              </w:rPr>
            </w:pPr>
            <w:r>
              <w:rPr>
                <w:rFonts w:cs="Calibri"/>
                <w:b/>
                <w:bCs/>
              </w:rPr>
              <w:t xml:space="preserve">Document </w:t>
            </w:r>
            <w:r w:rsidR="00E06DA1">
              <w:rPr>
                <w:rFonts w:cs="Calibri"/>
                <w:b/>
                <w:bCs/>
              </w:rPr>
              <w:t>59</w:t>
            </w:r>
            <w:r>
              <w:rPr>
                <w:rFonts w:cs="Calibri"/>
                <w:b/>
                <w:bCs/>
              </w:rPr>
              <w:t>-F</w:t>
            </w:r>
          </w:p>
        </w:tc>
      </w:tr>
      <w:tr w:rsidR="00777803" w:rsidRPr="0092392D">
        <w:trPr>
          <w:cantSplit/>
          <w:trHeight w:val="20"/>
        </w:trPr>
        <w:tc>
          <w:tcPr>
            <w:tcW w:w="6912" w:type="dxa"/>
            <w:vMerge/>
          </w:tcPr>
          <w:p w:rsidR="00777803" w:rsidRPr="0092392D" w:rsidRDefault="00777803" w:rsidP="00774E6A">
            <w:pPr>
              <w:shd w:val="solid" w:color="FFFFFF" w:fill="FFFFFF"/>
              <w:spacing w:before="180"/>
              <w:rPr>
                <w:smallCaps/>
                <w:lang w:val="fr-CH"/>
              </w:rPr>
            </w:pPr>
            <w:bookmarkStart w:id="6" w:name="ddate" w:colFirst="1" w:colLast="1"/>
            <w:bookmarkEnd w:id="3"/>
            <w:bookmarkEnd w:id="4"/>
          </w:p>
        </w:tc>
        <w:tc>
          <w:tcPr>
            <w:tcW w:w="3261" w:type="dxa"/>
          </w:tcPr>
          <w:p w:rsidR="00777803" w:rsidRPr="00777803" w:rsidRDefault="002F4C0E" w:rsidP="00774E6A">
            <w:pPr>
              <w:spacing w:before="0"/>
              <w:rPr>
                <w:rFonts w:cs="Calibri"/>
                <w:b/>
                <w:bCs/>
              </w:rPr>
            </w:pPr>
            <w:r>
              <w:rPr>
                <w:rFonts w:cs="Calibri"/>
                <w:b/>
                <w:bCs/>
              </w:rPr>
              <w:t>3</w:t>
            </w:r>
            <w:r w:rsidR="00E06DA1">
              <w:rPr>
                <w:rFonts w:cs="Calibri"/>
                <w:b/>
                <w:bCs/>
              </w:rPr>
              <w:t>1</w:t>
            </w:r>
            <w:r>
              <w:rPr>
                <w:rFonts w:cs="Calibri"/>
                <w:b/>
                <w:bCs/>
              </w:rPr>
              <w:t xml:space="preserve"> juillet</w:t>
            </w:r>
            <w:r w:rsidR="00777803">
              <w:rPr>
                <w:rFonts w:cs="Calibri"/>
                <w:b/>
                <w:bCs/>
              </w:rPr>
              <w:t xml:space="preserve"> 2014</w:t>
            </w:r>
          </w:p>
        </w:tc>
      </w:tr>
      <w:tr w:rsidR="00777803" w:rsidRPr="0092392D">
        <w:trPr>
          <w:cantSplit/>
          <w:trHeight w:val="20"/>
        </w:trPr>
        <w:tc>
          <w:tcPr>
            <w:tcW w:w="6912" w:type="dxa"/>
            <w:vMerge/>
          </w:tcPr>
          <w:p w:rsidR="00777803" w:rsidRPr="0092392D" w:rsidRDefault="00777803" w:rsidP="00774E6A">
            <w:pPr>
              <w:shd w:val="solid" w:color="FFFFFF" w:fill="FFFFFF"/>
              <w:spacing w:before="180"/>
              <w:rPr>
                <w:smallCaps/>
                <w:lang w:val="fr-CH"/>
              </w:rPr>
            </w:pPr>
            <w:bookmarkStart w:id="7" w:name="dorlang" w:colFirst="1" w:colLast="1"/>
            <w:bookmarkEnd w:id="6"/>
          </w:p>
        </w:tc>
        <w:tc>
          <w:tcPr>
            <w:tcW w:w="3261" w:type="dxa"/>
          </w:tcPr>
          <w:p w:rsidR="00777803" w:rsidRPr="00777803" w:rsidRDefault="00777803" w:rsidP="00774E6A">
            <w:pPr>
              <w:spacing w:before="0"/>
              <w:rPr>
                <w:rFonts w:cs="Calibri"/>
                <w:b/>
                <w:bCs/>
              </w:rPr>
            </w:pPr>
            <w:r>
              <w:rPr>
                <w:rFonts w:cs="Calibri"/>
                <w:b/>
                <w:bCs/>
              </w:rPr>
              <w:t>Original: anglais</w:t>
            </w:r>
          </w:p>
        </w:tc>
      </w:tr>
      <w:tr w:rsidR="00777803" w:rsidRPr="0092392D">
        <w:trPr>
          <w:cantSplit/>
        </w:trPr>
        <w:tc>
          <w:tcPr>
            <w:tcW w:w="10173" w:type="dxa"/>
            <w:gridSpan w:val="2"/>
          </w:tcPr>
          <w:p w:rsidR="00777803" w:rsidRPr="0092392D" w:rsidRDefault="002F4C0E" w:rsidP="00774E6A">
            <w:pPr>
              <w:pStyle w:val="Source"/>
            </w:pPr>
            <w:bookmarkStart w:id="8" w:name="dsource" w:colFirst="0" w:colLast="0"/>
            <w:bookmarkEnd w:id="7"/>
            <w:r w:rsidRPr="00600B60">
              <w:t>Note du Secrétaire général</w:t>
            </w:r>
          </w:p>
        </w:tc>
      </w:tr>
      <w:tr w:rsidR="00777803" w:rsidRPr="0092392D" w:rsidTr="00F21EF1">
        <w:trPr>
          <w:cantSplit/>
        </w:trPr>
        <w:tc>
          <w:tcPr>
            <w:tcW w:w="10173" w:type="dxa"/>
            <w:gridSpan w:val="2"/>
            <w:shd w:val="clear" w:color="auto" w:fill="auto"/>
          </w:tcPr>
          <w:p w:rsidR="00777803" w:rsidRPr="0092392D" w:rsidRDefault="00E06DA1" w:rsidP="00774E6A">
            <w:pPr>
              <w:pStyle w:val="Title1"/>
            </w:pPr>
            <w:bookmarkStart w:id="9" w:name="dtitle1" w:colFirst="0" w:colLast="0"/>
            <w:bookmarkEnd w:id="8"/>
            <w:r w:rsidRPr="000E601F">
              <w:t>complément d</w:t>
            </w:r>
            <w:r>
              <w:t>'</w:t>
            </w:r>
            <w:r w:rsidRPr="000E601F">
              <w:t>étude sur l</w:t>
            </w:r>
            <w:r>
              <w:t>'</w:t>
            </w:r>
            <w:r w:rsidRPr="000E601F">
              <w:t>accès aux informations/documents à l</w:t>
            </w:r>
            <w:r>
              <w:t>'</w:t>
            </w:r>
            <w:r w:rsidRPr="000E601F">
              <w:t>uit</w:t>
            </w:r>
          </w:p>
        </w:tc>
      </w:tr>
      <w:bookmarkEnd w:id="9"/>
    </w:tbl>
    <w:p w:rsidR="00E06DA1" w:rsidRPr="00AC6071" w:rsidRDefault="00E06DA1" w:rsidP="00774E6A">
      <w:pPr>
        <w:spacing w:before="360"/>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06DA1" w:rsidRPr="00D86A54" w:rsidTr="00E06DA1">
        <w:trPr>
          <w:trHeight w:val="2677"/>
        </w:trPr>
        <w:tc>
          <w:tcPr>
            <w:tcW w:w="8080" w:type="dxa"/>
            <w:tcBorders>
              <w:top w:val="single" w:sz="12" w:space="0" w:color="auto"/>
              <w:left w:val="single" w:sz="12" w:space="0" w:color="auto"/>
              <w:bottom w:val="single" w:sz="12" w:space="0" w:color="auto"/>
              <w:right w:val="single" w:sz="12" w:space="0" w:color="auto"/>
            </w:tcBorders>
          </w:tcPr>
          <w:p w:rsidR="00E06DA1" w:rsidRPr="00DE014F" w:rsidRDefault="00E06DA1" w:rsidP="00774E6A">
            <w:pPr>
              <w:pStyle w:val="Headingb"/>
              <w:spacing w:before="120" w:after="120"/>
              <w:rPr>
                <w:rFonts w:asciiTheme="minorHAnsi" w:hAnsiTheme="minorHAnsi" w:cstheme="minorHAnsi"/>
                <w:sz w:val="22"/>
                <w:szCs w:val="22"/>
                <w:lang w:val="fr-CH"/>
              </w:rPr>
            </w:pPr>
            <w:r w:rsidRPr="00DE014F">
              <w:rPr>
                <w:rFonts w:asciiTheme="minorHAnsi" w:hAnsiTheme="minorHAnsi" w:cstheme="minorHAnsi"/>
                <w:sz w:val="22"/>
                <w:szCs w:val="22"/>
                <w:lang w:val="fr-CH"/>
              </w:rPr>
              <w:t>Résumé</w:t>
            </w:r>
          </w:p>
          <w:p w:rsidR="00E06DA1" w:rsidRPr="00AC6071" w:rsidRDefault="00E06DA1" w:rsidP="00774E6A">
            <w:pPr>
              <w:spacing w:after="120"/>
              <w:rPr>
                <w:szCs w:val="24"/>
                <w:lang w:val="fr-CH"/>
              </w:rPr>
            </w:pPr>
            <w:r w:rsidRPr="00AC6071">
              <w:rPr>
                <w:szCs w:val="24"/>
                <w:lang w:val="fr-CH"/>
              </w:rPr>
              <w:t xml:space="preserve">Le Conseil, à sa session de 2014, a chargé le Secrétariat </w:t>
            </w:r>
            <w:r>
              <w:rPr>
                <w:szCs w:val="24"/>
                <w:lang w:val="fr-CH"/>
              </w:rPr>
              <w:t>d'</w:t>
            </w:r>
            <w:r w:rsidRPr="00AC6071">
              <w:rPr>
                <w:szCs w:val="24"/>
                <w:lang w:val="fr-CH"/>
              </w:rPr>
              <w:t>examine</w:t>
            </w:r>
            <w:r>
              <w:rPr>
                <w:szCs w:val="24"/>
                <w:lang w:val="fr-CH"/>
              </w:rPr>
              <w:t>r</w:t>
            </w:r>
            <w:r w:rsidRPr="00AC6071">
              <w:rPr>
                <w:szCs w:val="24"/>
                <w:lang w:val="fr-CH"/>
              </w:rPr>
              <w:t xml:space="preserve"> plus avant la question </w:t>
            </w:r>
            <w:r>
              <w:rPr>
                <w:szCs w:val="24"/>
                <w:lang w:val="fr-CH"/>
              </w:rPr>
              <w:t xml:space="preserve">de l'accès aux documents de l'UIT, </w:t>
            </w:r>
            <w:r w:rsidRPr="00AC6071">
              <w:rPr>
                <w:szCs w:val="24"/>
                <w:lang w:val="fr-CH"/>
              </w:rPr>
              <w:t xml:space="preserve">et </w:t>
            </w:r>
            <w:r>
              <w:rPr>
                <w:szCs w:val="24"/>
                <w:lang w:val="fr-CH"/>
              </w:rPr>
              <w:t xml:space="preserve">de </w:t>
            </w:r>
            <w:r w:rsidRPr="00AC6071">
              <w:rPr>
                <w:szCs w:val="24"/>
                <w:lang w:val="fr-CH"/>
              </w:rPr>
              <w:t>présente</w:t>
            </w:r>
            <w:r>
              <w:rPr>
                <w:szCs w:val="24"/>
                <w:lang w:val="fr-CH"/>
              </w:rPr>
              <w:t>r</w:t>
            </w:r>
            <w:r w:rsidRPr="00AC6071">
              <w:rPr>
                <w:szCs w:val="24"/>
                <w:lang w:val="fr-CH"/>
              </w:rPr>
              <w:t xml:space="preserve"> les documents pertinents ainsi qu</w:t>
            </w:r>
            <w:r>
              <w:rPr>
                <w:szCs w:val="24"/>
                <w:lang w:val="fr-CH"/>
              </w:rPr>
              <w:t>'</w:t>
            </w:r>
            <w:r w:rsidRPr="00AC6071">
              <w:rPr>
                <w:szCs w:val="24"/>
                <w:lang w:val="fr-CH"/>
              </w:rPr>
              <w:t>un résumé des débats du Conseil sur le sujet à la Conférence de plénipotentiaires, qui prendra</w:t>
            </w:r>
            <w:r>
              <w:rPr>
                <w:szCs w:val="24"/>
                <w:lang w:val="fr-CH"/>
              </w:rPr>
              <w:t>it</w:t>
            </w:r>
            <w:r w:rsidRPr="00AC6071">
              <w:rPr>
                <w:szCs w:val="24"/>
                <w:lang w:val="fr-CH"/>
              </w:rPr>
              <w:t xml:space="preserve"> une décision.</w:t>
            </w:r>
          </w:p>
          <w:p w:rsidR="00E06DA1" w:rsidRPr="004C3E43" w:rsidRDefault="00E06DA1" w:rsidP="00774E6A">
            <w:pPr>
              <w:pStyle w:val="Headingb"/>
              <w:spacing w:before="120" w:after="120"/>
              <w:ind w:left="0" w:firstLine="0"/>
              <w:rPr>
                <w:rFonts w:asciiTheme="minorHAnsi" w:hAnsiTheme="minorHAnsi" w:cstheme="minorHAnsi"/>
                <w:b w:val="0"/>
                <w:bCs/>
                <w:szCs w:val="24"/>
              </w:rPr>
            </w:pPr>
            <w:r>
              <w:rPr>
                <w:rFonts w:asciiTheme="minorHAnsi" w:hAnsiTheme="minorHAnsi" w:cstheme="minorHAnsi"/>
                <w:b w:val="0"/>
                <w:bCs/>
                <w:szCs w:val="24"/>
              </w:rPr>
              <w:t>On trouvera dans le</w:t>
            </w:r>
            <w:r w:rsidRPr="00AC6071">
              <w:rPr>
                <w:rFonts w:asciiTheme="minorHAnsi" w:hAnsiTheme="minorHAnsi" w:cstheme="minorHAnsi"/>
                <w:b w:val="0"/>
                <w:bCs/>
                <w:szCs w:val="24"/>
              </w:rPr>
              <w:t xml:space="preserve"> présent document </w:t>
            </w:r>
            <w:r>
              <w:rPr>
                <w:rFonts w:asciiTheme="minorHAnsi" w:hAnsiTheme="minorHAnsi" w:cstheme="minorHAnsi"/>
                <w:b w:val="0"/>
                <w:bCs/>
                <w:szCs w:val="24"/>
              </w:rPr>
              <w:t>des éléments d'information supplémentaires concernant les pratiques en vigueur au niveau international en matière de politiques d'accès aux informations. Le présent document n'expose aucune vue du Secrétariat concernant une possible voie à suivre. Il s'agit d'un document d'information soumis à la Conférence de plénipotentiaires pour faciliter l'examen de cette question.</w:t>
            </w:r>
          </w:p>
        </w:tc>
      </w:tr>
    </w:tbl>
    <w:p w:rsidR="00E06DA1" w:rsidRPr="004C3E43" w:rsidRDefault="00E06DA1" w:rsidP="00774E6A">
      <w:pPr>
        <w:pStyle w:val="Heading1"/>
        <w:rPr>
          <w:lang w:val="fr-CH"/>
        </w:rPr>
      </w:pPr>
      <w:r>
        <w:rPr>
          <w:lang w:val="fr-CH"/>
        </w:rPr>
        <w:t>1</w:t>
      </w:r>
      <w:r w:rsidRPr="004C3E43">
        <w:rPr>
          <w:lang w:val="fr-CH"/>
        </w:rPr>
        <w:tab/>
        <w:t>RAPPEL</w:t>
      </w:r>
    </w:p>
    <w:p w:rsidR="00E06DA1" w:rsidRDefault="00E06DA1" w:rsidP="00774E6A">
      <w:pPr>
        <w:tabs>
          <w:tab w:val="clear" w:pos="567"/>
          <w:tab w:val="clear" w:pos="1134"/>
          <w:tab w:val="clear" w:pos="1701"/>
          <w:tab w:val="clear" w:pos="2268"/>
          <w:tab w:val="clear" w:pos="2835"/>
        </w:tabs>
        <w:snapToGrid w:val="0"/>
        <w:spacing w:after="120"/>
        <w:rPr>
          <w:szCs w:val="24"/>
        </w:rPr>
      </w:pPr>
      <w:r>
        <w:rPr>
          <w:szCs w:val="24"/>
        </w:rPr>
        <w:t>1.1</w:t>
      </w:r>
      <w:r w:rsidRPr="004C3E43">
        <w:rPr>
          <w:szCs w:val="24"/>
        </w:rPr>
        <w:tab/>
        <w:t>A sa session de 2014, le Conseil a examiné</w:t>
      </w:r>
      <w:r>
        <w:rPr>
          <w:szCs w:val="24"/>
        </w:rPr>
        <w:t xml:space="preserve"> un document d'information élaboré par le Secrétariat concernant l'accès aux documents de l'UIT (Document </w:t>
      </w:r>
      <w:hyperlink r:id="rId10" w:history="1">
        <w:r w:rsidRPr="004C3E43">
          <w:rPr>
            <w:rStyle w:val="Hyperlink"/>
            <w:szCs w:val="24"/>
          </w:rPr>
          <w:t>C14/INF/20</w:t>
        </w:r>
      </w:hyperlink>
      <w:r>
        <w:rPr>
          <w:szCs w:val="24"/>
        </w:rPr>
        <w:t>). Ce Document comportait les définitions de termes clés tels que document, publication et information, et présentait un aperçu des pratiques en vigueur à l'ONU et dans les institutions spécialisées des Nations Unies, ainsi qu'un exposé des pratiques en vigueur à l'UIT.</w:t>
      </w:r>
    </w:p>
    <w:p w:rsidR="00E06DA1" w:rsidRDefault="00E06DA1" w:rsidP="00774E6A">
      <w:pPr>
        <w:tabs>
          <w:tab w:val="clear" w:pos="567"/>
          <w:tab w:val="clear" w:pos="1134"/>
          <w:tab w:val="clear" w:pos="1701"/>
          <w:tab w:val="clear" w:pos="2268"/>
          <w:tab w:val="clear" w:pos="2835"/>
        </w:tabs>
        <w:snapToGrid w:val="0"/>
        <w:spacing w:after="120"/>
        <w:rPr>
          <w:szCs w:val="24"/>
          <w:lang w:val="fr-CH"/>
        </w:rPr>
      </w:pPr>
      <w:r>
        <w:rPr>
          <w:szCs w:val="24"/>
        </w:rPr>
        <w:t xml:space="preserve">Le Conseil a chargé le Secrétariat </w:t>
      </w:r>
      <w:r>
        <w:rPr>
          <w:szCs w:val="24"/>
          <w:lang w:val="fr-CH"/>
        </w:rPr>
        <w:t>d'</w:t>
      </w:r>
      <w:r w:rsidRPr="00AC6071">
        <w:rPr>
          <w:szCs w:val="24"/>
          <w:lang w:val="fr-CH"/>
        </w:rPr>
        <w:t>examine</w:t>
      </w:r>
      <w:r>
        <w:rPr>
          <w:szCs w:val="24"/>
          <w:lang w:val="fr-CH"/>
        </w:rPr>
        <w:t>r</w:t>
      </w:r>
      <w:r w:rsidRPr="00AC6071">
        <w:rPr>
          <w:szCs w:val="24"/>
          <w:lang w:val="fr-CH"/>
        </w:rPr>
        <w:t xml:space="preserve"> plus avant la question </w:t>
      </w:r>
      <w:r>
        <w:rPr>
          <w:szCs w:val="24"/>
          <w:lang w:val="fr-CH"/>
        </w:rPr>
        <w:t xml:space="preserve">de l'accès aux documents de l'UIT </w:t>
      </w:r>
      <w:r w:rsidRPr="00AC6071">
        <w:rPr>
          <w:szCs w:val="24"/>
          <w:lang w:val="fr-CH"/>
        </w:rPr>
        <w:t xml:space="preserve">et </w:t>
      </w:r>
      <w:r>
        <w:rPr>
          <w:szCs w:val="24"/>
          <w:lang w:val="fr-CH"/>
        </w:rPr>
        <w:t xml:space="preserve">de </w:t>
      </w:r>
      <w:r w:rsidRPr="00AC6071">
        <w:rPr>
          <w:szCs w:val="24"/>
          <w:lang w:val="fr-CH"/>
        </w:rPr>
        <w:t>présente</w:t>
      </w:r>
      <w:r>
        <w:rPr>
          <w:szCs w:val="24"/>
          <w:lang w:val="fr-CH"/>
        </w:rPr>
        <w:t>r</w:t>
      </w:r>
      <w:r w:rsidRPr="00AC6071">
        <w:rPr>
          <w:szCs w:val="24"/>
          <w:lang w:val="fr-CH"/>
        </w:rPr>
        <w:t xml:space="preserve"> les documents pertinents, ainsi qu</w:t>
      </w:r>
      <w:r>
        <w:rPr>
          <w:szCs w:val="24"/>
          <w:lang w:val="fr-CH"/>
        </w:rPr>
        <w:t>'</w:t>
      </w:r>
      <w:r w:rsidRPr="00AC6071">
        <w:rPr>
          <w:szCs w:val="24"/>
          <w:lang w:val="fr-CH"/>
        </w:rPr>
        <w:t>un résumé des débats du Conseil sur le sujet à la Conférence de plénipotentiaires, qui prendra</w:t>
      </w:r>
      <w:r>
        <w:rPr>
          <w:szCs w:val="24"/>
          <w:lang w:val="fr-CH"/>
        </w:rPr>
        <w:t>it</w:t>
      </w:r>
      <w:r w:rsidRPr="00AC6071">
        <w:rPr>
          <w:szCs w:val="24"/>
          <w:lang w:val="fr-CH"/>
        </w:rPr>
        <w:t xml:space="preserve"> une décision.</w:t>
      </w:r>
    </w:p>
    <w:p w:rsidR="00E06DA1" w:rsidRPr="004C3E43" w:rsidRDefault="00E06DA1" w:rsidP="00774E6A">
      <w:pPr>
        <w:tabs>
          <w:tab w:val="clear" w:pos="567"/>
          <w:tab w:val="clear" w:pos="1134"/>
          <w:tab w:val="clear" w:pos="1701"/>
          <w:tab w:val="clear" w:pos="2268"/>
          <w:tab w:val="clear" w:pos="2835"/>
        </w:tabs>
        <w:snapToGrid w:val="0"/>
        <w:spacing w:after="120"/>
        <w:rPr>
          <w:szCs w:val="24"/>
        </w:rPr>
      </w:pPr>
      <w:r>
        <w:rPr>
          <w:szCs w:val="24"/>
          <w:lang w:val="fr-CH"/>
        </w:rPr>
        <w:t>1.2</w:t>
      </w:r>
      <w:r>
        <w:rPr>
          <w:szCs w:val="24"/>
          <w:lang w:val="fr-CH"/>
        </w:rPr>
        <w:tab/>
        <w:t>Le résumé des débats du Conseil sur le sujet est reproduit dans l'</w:t>
      </w:r>
      <w:hyperlink w:anchor="Annex1" w:history="1">
        <w:r w:rsidRPr="000E601F">
          <w:rPr>
            <w:rStyle w:val="Hyperlink"/>
            <w:szCs w:val="24"/>
            <w:lang w:val="fr-CH"/>
          </w:rPr>
          <w:t>Annexe 1</w:t>
        </w:r>
      </w:hyperlink>
      <w:r>
        <w:rPr>
          <w:szCs w:val="24"/>
          <w:lang w:val="fr-CH"/>
        </w:rPr>
        <w:t>.</w:t>
      </w:r>
    </w:p>
    <w:p w:rsidR="00E06DA1" w:rsidRPr="000E601F" w:rsidRDefault="00FB021B" w:rsidP="00774E6A">
      <w:pPr>
        <w:pStyle w:val="Heading1"/>
        <w:rPr>
          <w:lang w:val="fr-CH"/>
        </w:rPr>
      </w:pPr>
      <w:r>
        <w:rPr>
          <w:lang w:val="fr-CH"/>
        </w:rPr>
        <w:lastRenderedPageBreak/>
        <w:t>2</w:t>
      </w:r>
      <w:r w:rsidR="00E06DA1" w:rsidRPr="000E601F">
        <w:rPr>
          <w:lang w:val="fr-CH"/>
        </w:rPr>
        <w:tab/>
        <w:t xml:space="preserve">SITUATION ACTUELLE </w:t>
      </w:r>
      <w:r>
        <w:rPr>
          <w:lang w:val="fr-CH"/>
        </w:rPr>
        <w:t>À</w:t>
      </w:r>
      <w:r w:rsidR="00E06DA1" w:rsidRPr="000E601F">
        <w:rPr>
          <w:lang w:val="fr-CH"/>
        </w:rPr>
        <w:t xml:space="preserve"> L</w:t>
      </w:r>
      <w:r w:rsidR="00E06DA1">
        <w:rPr>
          <w:lang w:val="fr-CH"/>
        </w:rPr>
        <w:t>'</w:t>
      </w:r>
      <w:r w:rsidR="00E06DA1" w:rsidRPr="000E601F">
        <w:rPr>
          <w:lang w:val="fr-CH"/>
        </w:rPr>
        <w:t>UIT</w:t>
      </w:r>
    </w:p>
    <w:p w:rsidR="00E06DA1" w:rsidRPr="000E601F" w:rsidRDefault="00E06DA1" w:rsidP="00774E6A">
      <w:pPr>
        <w:keepNext/>
        <w:keepLines/>
        <w:tabs>
          <w:tab w:val="clear" w:pos="567"/>
          <w:tab w:val="clear" w:pos="1134"/>
          <w:tab w:val="clear" w:pos="1701"/>
          <w:tab w:val="clear" w:pos="2268"/>
          <w:tab w:val="clear" w:pos="2835"/>
        </w:tabs>
        <w:snapToGrid w:val="0"/>
        <w:spacing w:before="160" w:after="120"/>
        <w:rPr>
          <w:szCs w:val="24"/>
          <w:lang w:val="fr-CH"/>
        </w:rPr>
      </w:pPr>
      <w:r w:rsidRPr="000E601F">
        <w:rPr>
          <w:szCs w:val="24"/>
          <w:lang w:val="fr-CH"/>
        </w:rPr>
        <w:t>2.1</w:t>
      </w:r>
      <w:r w:rsidRPr="000E601F">
        <w:rPr>
          <w:szCs w:val="24"/>
          <w:lang w:val="fr-CH"/>
        </w:rPr>
        <w:tab/>
      </w:r>
      <w:r>
        <w:rPr>
          <w:szCs w:val="24"/>
          <w:lang w:val="fr-CH"/>
        </w:rPr>
        <w:t>Depuis la création de l'Union internationale des télécommunications,</w:t>
      </w:r>
      <w:r w:rsidRPr="000E601F">
        <w:rPr>
          <w:szCs w:val="24"/>
          <w:lang w:val="fr-CH"/>
        </w:rPr>
        <w:t xml:space="preserve"> </w:t>
      </w:r>
      <w:r>
        <w:rPr>
          <w:szCs w:val="24"/>
          <w:lang w:val="fr-CH"/>
        </w:rPr>
        <w:t>l</w:t>
      </w:r>
      <w:r w:rsidRPr="000E601F">
        <w:rPr>
          <w:szCs w:val="24"/>
          <w:lang w:val="fr-CH"/>
        </w:rPr>
        <w:t>a collecte et la diffusion d</w:t>
      </w:r>
      <w:r>
        <w:rPr>
          <w:szCs w:val="24"/>
          <w:lang w:val="fr-CH"/>
        </w:rPr>
        <w:t xml:space="preserve">'informations se trouvent au </w:t>
      </w:r>
      <w:r w:rsidRPr="00273986">
        <w:rPr>
          <w:szCs w:val="24"/>
          <w:lang w:val="fr-CH"/>
        </w:rPr>
        <w:t>c</w:t>
      </w:r>
      <w:r w:rsidR="00FB021B" w:rsidRPr="00273986">
        <w:rPr>
          <w:szCs w:val="24"/>
          <w:lang w:val="fr-CH"/>
        </w:rPr>
        <w:t>oe</w:t>
      </w:r>
      <w:r w:rsidRPr="00273986">
        <w:rPr>
          <w:szCs w:val="24"/>
          <w:lang w:val="fr-CH"/>
        </w:rPr>
        <w:t>ur</w:t>
      </w:r>
      <w:r>
        <w:rPr>
          <w:szCs w:val="24"/>
          <w:lang w:val="fr-CH"/>
        </w:rPr>
        <w:t xml:space="preserve"> de ses activités. L'information est définie comme la communication ou la représentation de connaissances telles que des faits, des données ou des opinions, et peut avoir pour support des bases de données, des documents, des publications, des enregistrements sonores, des courriels, des images, etc.</w:t>
      </w:r>
    </w:p>
    <w:p w:rsidR="00E06DA1" w:rsidRPr="0055111A" w:rsidRDefault="00FB021B" w:rsidP="00774E6A">
      <w:pPr>
        <w:keepNext/>
        <w:tabs>
          <w:tab w:val="clear" w:pos="567"/>
          <w:tab w:val="clear" w:pos="1134"/>
          <w:tab w:val="clear" w:pos="1701"/>
          <w:tab w:val="clear" w:pos="2268"/>
          <w:tab w:val="clear" w:pos="2835"/>
        </w:tabs>
        <w:snapToGrid w:val="0"/>
        <w:spacing w:before="160" w:after="120"/>
        <w:rPr>
          <w:szCs w:val="24"/>
          <w:lang w:val="fr-CH"/>
        </w:rPr>
      </w:pPr>
      <w:r>
        <w:rPr>
          <w:szCs w:val="24"/>
          <w:lang w:val="fr-CH"/>
        </w:rPr>
        <w:t>2.2</w:t>
      </w:r>
      <w:r w:rsidR="00E06DA1" w:rsidRPr="0055111A">
        <w:rPr>
          <w:szCs w:val="24"/>
          <w:lang w:val="fr-CH"/>
        </w:rPr>
        <w:tab/>
        <w:t>Actuellement, la politique de l</w:t>
      </w:r>
      <w:r w:rsidR="00E06DA1">
        <w:rPr>
          <w:szCs w:val="24"/>
          <w:lang w:val="fr-CH"/>
        </w:rPr>
        <w:t>'</w:t>
      </w:r>
      <w:r w:rsidR="00E06DA1" w:rsidRPr="0055111A">
        <w:rPr>
          <w:szCs w:val="24"/>
          <w:lang w:val="fr-CH"/>
        </w:rPr>
        <w:t>UIT en matière d</w:t>
      </w:r>
      <w:r w:rsidR="00E06DA1">
        <w:rPr>
          <w:szCs w:val="24"/>
          <w:lang w:val="fr-CH"/>
        </w:rPr>
        <w:t>'</w:t>
      </w:r>
      <w:r w:rsidR="00E06DA1" w:rsidRPr="0055111A">
        <w:rPr>
          <w:szCs w:val="24"/>
          <w:lang w:val="fr-CH"/>
        </w:rPr>
        <w:t>accessibilité et de disponibilité de</w:t>
      </w:r>
      <w:r w:rsidR="00E06DA1">
        <w:rPr>
          <w:szCs w:val="24"/>
          <w:lang w:val="fr-CH"/>
        </w:rPr>
        <w:t>s</w:t>
      </w:r>
      <w:r w:rsidR="00E06DA1" w:rsidRPr="0055111A">
        <w:rPr>
          <w:szCs w:val="24"/>
          <w:lang w:val="fr-CH"/>
        </w:rPr>
        <w:t xml:space="preserve"> </w:t>
      </w:r>
      <w:r w:rsidR="00E06DA1">
        <w:rPr>
          <w:szCs w:val="24"/>
          <w:lang w:val="fr-CH"/>
        </w:rPr>
        <w:t>informations fait l'objet des deux documents suivants, dont chacun a été approuvé par le Secrétaire général en place à l'époque de sa publication:</w:t>
      </w:r>
    </w:p>
    <w:p w:rsidR="00E06DA1" w:rsidRPr="0055111A" w:rsidRDefault="00FB021B" w:rsidP="00774E6A">
      <w:pPr>
        <w:pStyle w:val="enumlev1"/>
      </w:pPr>
      <w:r>
        <w:t>–</w:t>
      </w:r>
      <w:r>
        <w:tab/>
      </w:r>
      <w:r w:rsidR="00E06DA1">
        <w:t>Note</w:t>
      </w:r>
      <w:r w:rsidR="00E06DA1" w:rsidRPr="0055111A">
        <w:t xml:space="preserve"> d</w:t>
      </w:r>
      <w:r w:rsidR="00E06DA1">
        <w:t>'</w:t>
      </w:r>
      <w:r w:rsidR="00E06DA1" w:rsidRPr="0055111A">
        <w:t xml:space="preserve">information (4 novembre 1982) – interne, </w:t>
      </w:r>
      <w:r w:rsidR="00E06DA1">
        <w:t>"Archives de l'Union: description et accès". Ce document porte sur l'accès du public au fonds documentaire conservé par le Service des archives de l'UIT.</w:t>
      </w:r>
    </w:p>
    <w:p w:rsidR="00E06DA1" w:rsidRPr="00C05C94" w:rsidRDefault="00FB021B" w:rsidP="00774E6A">
      <w:pPr>
        <w:pStyle w:val="enumlev1"/>
        <w:rPr>
          <w:lang w:val="fr-CH"/>
        </w:rPr>
      </w:pPr>
      <w:r w:rsidRPr="00FB021B">
        <w:rPr>
          <w:lang w:val="fr-CH"/>
        </w:rPr>
        <w:t>–</w:t>
      </w:r>
      <w:r>
        <w:rPr>
          <w:lang w:val="fr-CH"/>
        </w:rPr>
        <w:tab/>
      </w:r>
      <w:r w:rsidR="00E06DA1" w:rsidRPr="00C05C94">
        <w:rPr>
          <w:lang w:val="fr-CH"/>
        </w:rPr>
        <w:t>Lettre à destinataires multiples DM</w:t>
      </w:r>
      <w:r w:rsidR="00E06DA1" w:rsidRPr="00C05C94">
        <w:rPr>
          <w:lang w:val="fr-CH"/>
        </w:rPr>
        <w:noBreakHyphen/>
        <w:t xml:space="preserve">1013 (27 janvier 2000), </w:t>
      </w:r>
      <w:r w:rsidR="00E06DA1">
        <w:rPr>
          <w:lang w:val="fr-CH"/>
        </w:rPr>
        <w:t>"Lignes directrices relatives à l'accès au système TIES". Ce document porte sur l'accès électronique des Etats Membres, des Membres des Secteurs et des missions permanentes aux documents de travail des conférences et des réunions de l'UIT.</w:t>
      </w:r>
    </w:p>
    <w:p w:rsidR="00E06DA1" w:rsidRPr="00046737" w:rsidRDefault="00E06DA1" w:rsidP="00774E6A">
      <w:pPr>
        <w:tabs>
          <w:tab w:val="clear" w:pos="567"/>
          <w:tab w:val="clear" w:pos="1134"/>
          <w:tab w:val="clear" w:pos="1701"/>
          <w:tab w:val="clear" w:pos="2268"/>
          <w:tab w:val="clear" w:pos="2835"/>
        </w:tabs>
        <w:snapToGrid w:val="0"/>
        <w:spacing w:after="120"/>
        <w:rPr>
          <w:szCs w:val="24"/>
          <w:lang w:val="fr-CH"/>
        </w:rPr>
      </w:pPr>
      <w:r w:rsidRPr="00046737">
        <w:rPr>
          <w:szCs w:val="24"/>
          <w:lang w:val="fr-CH"/>
        </w:rPr>
        <w:t>Ces documents concernent uniquement certains types d</w:t>
      </w:r>
      <w:r>
        <w:rPr>
          <w:szCs w:val="24"/>
          <w:lang w:val="fr-CH"/>
        </w:rPr>
        <w:t>'</w:t>
      </w:r>
      <w:r w:rsidRPr="00046737">
        <w:rPr>
          <w:szCs w:val="24"/>
          <w:lang w:val="fr-CH"/>
        </w:rPr>
        <w:t>informations et certains types d</w:t>
      </w:r>
      <w:r>
        <w:rPr>
          <w:szCs w:val="24"/>
          <w:lang w:val="fr-CH"/>
        </w:rPr>
        <w:t>'</w:t>
      </w:r>
      <w:r w:rsidRPr="00046737">
        <w:rPr>
          <w:szCs w:val="24"/>
          <w:lang w:val="fr-CH"/>
        </w:rPr>
        <w:t xml:space="preserve">accès. </w:t>
      </w:r>
      <w:r>
        <w:rPr>
          <w:szCs w:val="24"/>
          <w:lang w:val="fr-CH"/>
        </w:rPr>
        <w:t>Ils n'ont pas été revus ou mis à jour depuis 2000.</w:t>
      </w:r>
    </w:p>
    <w:p w:rsidR="00E06DA1" w:rsidRPr="00DE014F" w:rsidRDefault="00FB021B" w:rsidP="00774E6A">
      <w:pPr>
        <w:tabs>
          <w:tab w:val="clear" w:pos="567"/>
          <w:tab w:val="clear" w:pos="1134"/>
          <w:tab w:val="clear" w:pos="1701"/>
          <w:tab w:val="clear" w:pos="2268"/>
          <w:tab w:val="clear" w:pos="2835"/>
        </w:tabs>
        <w:snapToGrid w:val="0"/>
        <w:spacing w:before="160" w:after="120"/>
        <w:rPr>
          <w:szCs w:val="24"/>
        </w:rPr>
      </w:pPr>
      <w:r>
        <w:rPr>
          <w:szCs w:val="24"/>
        </w:rPr>
        <w:t>2.3</w:t>
      </w:r>
      <w:r w:rsidR="00E06DA1" w:rsidRPr="00DE014F">
        <w:rPr>
          <w:szCs w:val="24"/>
        </w:rPr>
        <w:tab/>
        <w:t>Informations accessibles au grand public</w:t>
      </w:r>
    </w:p>
    <w:p w:rsidR="00E06DA1" w:rsidRPr="00DE014F" w:rsidRDefault="00E06DA1" w:rsidP="00774E6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fr-CH" w:eastAsia="zh-CN"/>
        </w:rPr>
      </w:pPr>
      <w:r>
        <w:rPr>
          <w:rFonts w:asciiTheme="minorHAnsi" w:eastAsiaTheme="minorEastAsia" w:hAnsiTheme="minorHAnsi" w:cstheme="minorBidi"/>
          <w:szCs w:val="24"/>
          <w:lang w:eastAsia="zh-CN"/>
        </w:rPr>
        <w:t>Depuis ses débuts, l</w:t>
      </w:r>
      <w:r>
        <w:rPr>
          <w:rFonts w:asciiTheme="minorHAnsi" w:eastAsiaTheme="minorEastAsia" w:hAnsiTheme="minorHAnsi" w:cstheme="minorBidi"/>
          <w:szCs w:val="24"/>
          <w:lang w:val="fr-CH" w:eastAsia="zh-CN"/>
        </w:rPr>
        <w:t>'</w:t>
      </w:r>
      <w:r w:rsidRPr="00DE014F">
        <w:rPr>
          <w:rFonts w:asciiTheme="minorHAnsi" w:eastAsiaTheme="minorEastAsia" w:hAnsiTheme="minorHAnsi" w:cstheme="minorBidi"/>
          <w:szCs w:val="24"/>
          <w:lang w:val="fr-CH" w:eastAsia="zh-CN"/>
        </w:rPr>
        <w:t xml:space="preserve">UIT </w:t>
      </w:r>
      <w:r>
        <w:rPr>
          <w:rFonts w:asciiTheme="minorHAnsi" w:eastAsiaTheme="minorEastAsia" w:hAnsiTheme="minorHAnsi" w:cstheme="minorBidi"/>
          <w:szCs w:val="24"/>
          <w:lang w:val="fr-CH" w:eastAsia="zh-CN"/>
        </w:rPr>
        <w:t xml:space="preserve">a toujours ouvert au public l'accès à diverses informations </w:t>
      </w:r>
      <w:r w:rsidRPr="00DE014F">
        <w:rPr>
          <w:rFonts w:asciiTheme="minorHAnsi" w:eastAsiaTheme="minorEastAsia" w:hAnsiTheme="minorHAnsi" w:cstheme="minorBidi"/>
          <w:szCs w:val="24"/>
          <w:lang w:val="fr-CH" w:eastAsia="zh-CN"/>
        </w:rPr>
        <w:t>et continue de le faire aujourd</w:t>
      </w:r>
      <w:r>
        <w:rPr>
          <w:rFonts w:asciiTheme="minorHAnsi" w:eastAsiaTheme="minorEastAsia" w:hAnsiTheme="minorHAnsi" w:cstheme="minorBidi"/>
          <w:szCs w:val="24"/>
          <w:lang w:val="fr-CH" w:eastAsia="zh-CN"/>
        </w:rPr>
        <w:t>'</w:t>
      </w:r>
      <w:r w:rsidRPr="00DE014F">
        <w:rPr>
          <w:rFonts w:asciiTheme="minorHAnsi" w:eastAsiaTheme="minorEastAsia" w:hAnsiTheme="minorHAnsi" w:cstheme="minorBidi"/>
          <w:szCs w:val="24"/>
          <w:lang w:val="fr-CH" w:eastAsia="zh-CN"/>
        </w:rPr>
        <w:t>hui.</w:t>
      </w:r>
      <w:r>
        <w:rPr>
          <w:rFonts w:asciiTheme="minorHAnsi" w:eastAsiaTheme="minorEastAsia" w:hAnsiTheme="minorHAnsi" w:cstheme="minorBidi"/>
          <w:szCs w:val="24"/>
          <w:lang w:val="fr-CH" w:eastAsia="zh-CN"/>
        </w:rPr>
        <w:t xml:space="preserve"> Les informations régulièrement mises à la disposition du public – gratuitement ou à titre onéreux – sont les suivantes</w:t>
      </w:r>
      <w:r>
        <w:rPr>
          <w:rStyle w:val="FootnoteReference"/>
          <w:rFonts w:eastAsiaTheme="minorEastAsia" w:cstheme="minorBidi"/>
          <w:szCs w:val="24"/>
          <w:lang w:val="en-US" w:eastAsia="zh-CN"/>
        </w:rPr>
        <w:footnoteReference w:id="1"/>
      </w:r>
      <w:r>
        <w:rPr>
          <w:rFonts w:asciiTheme="minorHAnsi" w:eastAsiaTheme="minorEastAsia" w:hAnsiTheme="minorHAnsi" w:cstheme="minorBidi"/>
          <w:szCs w:val="24"/>
          <w:lang w:val="fr-CH" w:eastAsia="zh-CN"/>
        </w:rPr>
        <w:t>:</w:t>
      </w:r>
    </w:p>
    <w:p w:rsidR="00E06DA1" w:rsidRPr="00FB021B" w:rsidRDefault="00FB021B" w:rsidP="00774E6A">
      <w:pPr>
        <w:pStyle w:val="enumlev1"/>
      </w:pPr>
      <w:r>
        <w:t>–</w:t>
      </w:r>
      <w:r>
        <w:tab/>
      </w:r>
      <w:r w:rsidR="00E06DA1" w:rsidRPr="00FB021B">
        <w:t>Communiqués de presse</w:t>
      </w:r>
    </w:p>
    <w:p w:rsidR="00E06DA1" w:rsidRPr="00FB021B" w:rsidRDefault="00FB021B" w:rsidP="00774E6A">
      <w:pPr>
        <w:pStyle w:val="enumlev1"/>
      </w:pPr>
      <w:r>
        <w:t>–</w:t>
      </w:r>
      <w:r>
        <w:tab/>
      </w:r>
      <w:r w:rsidR="00E06DA1" w:rsidRPr="00FB021B">
        <w:t>Discours</w:t>
      </w:r>
    </w:p>
    <w:p w:rsidR="00E06DA1" w:rsidRPr="00FB021B" w:rsidRDefault="00FB021B" w:rsidP="00774E6A">
      <w:pPr>
        <w:pStyle w:val="enumlev1"/>
      </w:pPr>
      <w:r>
        <w:t>–</w:t>
      </w:r>
      <w:r>
        <w:tab/>
      </w:r>
      <w:r w:rsidR="00E06DA1" w:rsidRPr="00FB021B">
        <w:t>Déclarations</w:t>
      </w:r>
    </w:p>
    <w:p w:rsidR="00E06DA1" w:rsidRPr="00FB021B" w:rsidRDefault="00FB021B" w:rsidP="00774E6A">
      <w:pPr>
        <w:pStyle w:val="enumlev1"/>
      </w:pPr>
      <w:r>
        <w:t>–</w:t>
      </w:r>
      <w:r>
        <w:tab/>
      </w:r>
      <w:r w:rsidR="00E06DA1" w:rsidRPr="00FB021B">
        <w:t>Circulaires/Lettres circulaires</w:t>
      </w:r>
      <w:r w:rsidR="00E06DA1" w:rsidRPr="008A5449">
        <w:rPr>
          <w:vertAlign w:val="superscript"/>
        </w:rPr>
        <w:footnoteReference w:id="2"/>
      </w:r>
    </w:p>
    <w:p w:rsidR="00E06DA1" w:rsidRPr="00FB021B" w:rsidRDefault="00FB021B" w:rsidP="00774E6A">
      <w:pPr>
        <w:pStyle w:val="enumlev1"/>
      </w:pPr>
      <w:r>
        <w:t>–</w:t>
      </w:r>
      <w:r>
        <w:tab/>
      </w:r>
      <w:r w:rsidR="00E06DA1" w:rsidRPr="00FB021B">
        <w:t>Informations générales concernant les activités de l'organisation (brochures, dépliants pages web, plate</w:t>
      </w:r>
      <w:r w:rsidRPr="00FB021B">
        <w:t>s</w:t>
      </w:r>
      <w:r w:rsidR="00E06DA1" w:rsidRPr="00FB021B">
        <w:t>-formes de réseaux sociaux)</w:t>
      </w:r>
    </w:p>
    <w:p w:rsidR="00E06DA1" w:rsidRPr="00FB021B" w:rsidRDefault="00FB021B" w:rsidP="00774E6A">
      <w:pPr>
        <w:pStyle w:val="enumlev1"/>
      </w:pPr>
      <w:r>
        <w:t>–</w:t>
      </w:r>
      <w:r>
        <w:tab/>
      </w:r>
      <w:r w:rsidR="00E06DA1" w:rsidRPr="00FB021B">
        <w:t>Photos et vidéos des manifestations et des activités de l'UIT</w:t>
      </w:r>
    </w:p>
    <w:p w:rsidR="00E06DA1" w:rsidRPr="00FB021B" w:rsidRDefault="00FB021B" w:rsidP="00774E6A">
      <w:pPr>
        <w:pStyle w:val="enumlev1"/>
      </w:pPr>
      <w:r>
        <w:t>–</w:t>
      </w:r>
      <w:r>
        <w:tab/>
      </w:r>
      <w:r w:rsidR="00E06DA1" w:rsidRPr="00FB021B">
        <w:t>Documents et informations concernant l'histoire de l'organisation (portail "Histoire de l'UIT")</w:t>
      </w:r>
    </w:p>
    <w:p w:rsidR="00E06DA1" w:rsidRPr="00FB021B" w:rsidRDefault="00FB021B" w:rsidP="00774E6A">
      <w:pPr>
        <w:pStyle w:val="enumlev1"/>
      </w:pPr>
      <w:r>
        <w:t>–</w:t>
      </w:r>
      <w:r>
        <w:tab/>
      </w:r>
      <w:r w:rsidR="00E06DA1" w:rsidRPr="00FB021B">
        <w:t>Publications, y compris:</w:t>
      </w:r>
    </w:p>
    <w:p w:rsidR="00E06DA1" w:rsidRPr="00125319" w:rsidRDefault="00FB021B" w:rsidP="00774E6A">
      <w:pPr>
        <w:pStyle w:val="enumlev2"/>
        <w:rPr>
          <w:rFonts w:eastAsiaTheme="minorEastAsia"/>
          <w:lang w:eastAsia="zh-CN"/>
        </w:rPr>
      </w:pPr>
      <w:r w:rsidRPr="00FB021B">
        <w:rPr>
          <w:rFonts w:eastAsiaTheme="minorEastAsia"/>
          <w:lang w:eastAsia="zh-CN"/>
        </w:rPr>
        <w:t>•</w:t>
      </w:r>
      <w:r>
        <w:rPr>
          <w:rFonts w:eastAsiaTheme="minorEastAsia"/>
          <w:lang w:eastAsia="zh-CN"/>
        </w:rPr>
        <w:tab/>
      </w:r>
      <w:r w:rsidR="00E06DA1" w:rsidRPr="00125319">
        <w:rPr>
          <w:rFonts w:eastAsiaTheme="minorEastAsia"/>
          <w:lang w:eastAsia="zh-CN"/>
        </w:rPr>
        <w:t>Textes fondamentaux de l</w:t>
      </w:r>
      <w:r w:rsidR="00E06DA1">
        <w:rPr>
          <w:rFonts w:eastAsiaTheme="minorEastAsia"/>
          <w:lang w:eastAsia="zh-CN"/>
        </w:rPr>
        <w:t>'</w:t>
      </w:r>
      <w:r w:rsidR="00E06DA1" w:rsidRPr="00125319">
        <w:rPr>
          <w:rFonts w:eastAsiaTheme="minorEastAsia"/>
          <w:lang w:eastAsia="zh-CN"/>
        </w:rPr>
        <w:t>organisation</w:t>
      </w:r>
    </w:p>
    <w:p w:rsidR="00E06DA1" w:rsidRPr="00125319" w:rsidRDefault="00FB021B" w:rsidP="00774E6A">
      <w:pPr>
        <w:pStyle w:val="enumlev2"/>
        <w:rPr>
          <w:rFonts w:eastAsiaTheme="minorEastAsia"/>
          <w:lang w:eastAsia="zh-CN"/>
        </w:rPr>
      </w:pPr>
      <w:r w:rsidRPr="00FB021B">
        <w:rPr>
          <w:rFonts w:eastAsiaTheme="minorEastAsia"/>
          <w:lang w:eastAsia="zh-CN"/>
        </w:rPr>
        <w:t>•</w:t>
      </w:r>
      <w:r>
        <w:rPr>
          <w:rFonts w:eastAsiaTheme="minorEastAsia"/>
          <w:lang w:eastAsia="zh-CN"/>
        </w:rPr>
        <w:tab/>
      </w:r>
      <w:r w:rsidR="00E06DA1" w:rsidRPr="00125319">
        <w:rPr>
          <w:rFonts w:eastAsiaTheme="minorEastAsia"/>
          <w:lang w:eastAsia="zh-CN"/>
        </w:rPr>
        <w:t>Règlements administratifs</w:t>
      </w:r>
    </w:p>
    <w:p w:rsidR="00E06DA1" w:rsidRPr="00125319" w:rsidRDefault="00FB021B" w:rsidP="00774E6A">
      <w:pPr>
        <w:pStyle w:val="enumlev2"/>
        <w:rPr>
          <w:rFonts w:eastAsiaTheme="minorEastAsia"/>
          <w:lang w:eastAsia="zh-CN"/>
        </w:rPr>
      </w:pPr>
      <w:r w:rsidRPr="00FB021B">
        <w:rPr>
          <w:rFonts w:eastAsiaTheme="minorEastAsia"/>
          <w:lang w:eastAsia="zh-CN"/>
        </w:rPr>
        <w:t>•</w:t>
      </w:r>
      <w:r>
        <w:rPr>
          <w:rFonts w:eastAsiaTheme="minorEastAsia"/>
          <w:lang w:eastAsia="zh-CN"/>
        </w:rPr>
        <w:tab/>
      </w:r>
      <w:r w:rsidR="00E06DA1" w:rsidRPr="00125319">
        <w:rPr>
          <w:rFonts w:eastAsiaTheme="minorEastAsia"/>
          <w:lang w:eastAsia="zh-CN"/>
        </w:rPr>
        <w:t>Actes finals des conférences de l</w:t>
      </w:r>
      <w:r w:rsidR="00E06DA1">
        <w:rPr>
          <w:rFonts w:eastAsiaTheme="minorEastAsia"/>
          <w:lang w:eastAsia="zh-CN"/>
        </w:rPr>
        <w:t>'</w:t>
      </w:r>
      <w:r w:rsidR="00E06DA1" w:rsidRPr="00125319">
        <w:rPr>
          <w:rFonts w:eastAsiaTheme="minorEastAsia"/>
          <w:lang w:eastAsia="zh-CN"/>
        </w:rPr>
        <w:t>UIT</w:t>
      </w:r>
    </w:p>
    <w:p w:rsidR="00E06DA1" w:rsidRPr="00125319" w:rsidRDefault="00FB021B" w:rsidP="00774E6A">
      <w:pPr>
        <w:pStyle w:val="enumlev2"/>
        <w:rPr>
          <w:rFonts w:eastAsiaTheme="minorEastAsia"/>
          <w:lang w:eastAsia="zh-CN"/>
        </w:rPr>
      </w:pPr>
      <w:r w:rsidRPr="00FB021B">
        <w:rPr>
          <w:rFonts w:eastAsiaTheme="minorEastAsia"/>
          <w:lang w:eastAsia="zh-CN"/>
        </w:rPr>
        <w:t>•</w:t>
      </w:r>
      <w:r>
        <w:rPr>
          <w:rFonts w:eastAsiaTheme="minorEastAsia"/>
          <w:lang w:eastAsia="zh-CN"/>
        </w:rPr>
        <w:tab/>
      </w:r>
      <w:r w:rsidR="00E06DA1" w:rsidRPr="00125319">
        <w:rPr>
          <w:rFonts w:eastAsiaTheme="minorEastAsia"/>
          <w:lang w:eastAsia="zh-CN"/>
        </w:rPr>
        <w:t>Résolutions et Décisions du Conseil</w:t>
      </w:r>
    </w:p>
    <w:p w:rsidR="00E06DA1" w:rsidRPr="006E1FFC" w:rsidRDefault="00FB021B" w:rsidP="00774E6A">
      <w:pPr>
        <w:pStyle w:val="enumlev2"/>
        <w:rPr>
          <w:rFonts w:eastAsiaTheme="minorEastAsia"/>
          <w:lang w:eastAsia="zh-CN"/>
        </w:rPr>
      </w:pPr>
      <w:r w:rsidRPr="00FB021B">
        <w:rPr>
          <w:rFonts w:eastAsiaTheme="minorEastAsia"/>
          <w:lang w:eastAsia="zh-CN"/>
        </w:rPr>
        <w:lastRenderedPageBreak/>
        <w:t>•</w:t>
      </w:r>
      <w:r>
        <w:rPr>
          <w:rFonts w:eastAsiaTheme="minorEastAsia"/>
          <w:lang w:eastAsia="zh-CN"/>
        </w:rPr>
        <w:tab/>
      </w:r>
      <w:r w:rsidR="00E06DA1" w:rsidRPr="006E1FFC">
        <w:rPr>
          <w:rFonts w:eastAsiaTheme="minorEastAsia"/>
          <w:lang w:eastAsia="zh-CN"/>
        </w:rPr>
        <w:t>Recommandations de l</w:t>
      </w:r>
      <w:r w:rsidR="00E06DA1">
        <w:rPr>
          <w:rFonts w:eastAsiaTheme="minorEastAsia"/>
          <w:lang w:eastAsia="zh-CN"/>
        </w:rPr>
        <w:t>'</w:t>
      </w:r>
      <w:r w:rsidR="00E06DA1" w:rsidRPr="006E1FFC">
        <w:rPr>
          <w:rFonts w:eastAsiaTheme="minorEastAsia"/>
          <w:lang w:eastAsia="zh-CN"/>
        </w:rPr>
        <w:t>UIT</w:t>
      </w:r>
    </w:p>
    <w:p w:rsidR="00E06DA1"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sidRPr="00125319">
        <w:rPr>
          <w:rFonts w:eastAsiaTheme="minorEastAsia"/>
          <w:lang w:val="fr-CH" w:eastAsia="zh-CN"/>
        </w:rPr>
        <w:t xml:space="preserve">Manuels, lignes directrices, </w:t>
      </w:r>
      <w:r w:rsidR="00E06DA1">
        <w:rPr>
          <w:rFonts w:eastAsiaTheme="minorEastAsia"/>
          <w:lang w:val="fr-CH" w:eastAsia="zh-CN"/>
        </w:rPr>
        <w:t>guides,</w:t>
      </w:r>
      <w:r w:rsidR="00E06DA1" w:rsidRPr="00125319">
        <w:rPr>
          <w:rFonts w:eastAsiaTheme="minorEastAsia"/>
          <w:lang w:val="fr-CH" w:eastAsia="zh-CN"/>
        </w:rPr>
        <w:t xml:space="preserve"> kits pratiques</w:t>
      </w:r>
    </w:p>
    <w:p w:rsidR="00E06DA1" w:rsidRPr="00125319"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Pr>
          <w:rFonts w:eastAsiaTheme="minorEastAsia"/>
          <w:lang w:val="fr-CH" w:eastAsia="zh-CN"/>
        </w:rPr>
        <w:t xml:space="preserve">Publications de service (par exemple: </w:t>
      </w:r>
      <w:r w:rsidR="00E06DA1" w:rsidRPr="006E1FFC">
        <w:rPr>
          <w:rFonts w:eastAsiaTheme="minorEastAsia"/>
          <w:i/>
          <w:lang w:val="fr-CH" w:eastAsia="zh-CN"/>
        </w:rPr>
        <w:t>Liste internationale des fréquences</w:t>
      </w:r>
      <w:r w:rsidR="00E06DA1">
        <w:rPr>
          <w:rFonts w:eastAsiaTheme="minorEastAsia"/>
          <w:lang w:val="fr-CH" w:eastAsia="zh-CN"/>
        </w:rPr>
        <w:t>, listes des stations de radiocommunication et de télégraphie)</w:t>
      </w:r>
    </w:p>
    <w:p w:rsidR="00E06DA1" w:rsidRDefault="00FB021B" w:rsidP="00273986">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sidRPr="006E1FFC">
        <w:rPr>
          <w:rFonts w:eastAsiaTheme="minorEastAsia"/>
          <w:lang w:val="fr-CH" w:eastAsia="zh-CN"/>
        </w:rPr>
        <w:t xml:space="preserve">Logiciels et bases de données, </w:t>
      </w:r>
      <w:r w:rsidR="00E06DA1">
        <w:rPr>
          <w:rFonts w:eastAsiaTheme="minorEastAsia"/>
          <w:lang w:val="fr-CH" w:eastAsia="zh-CN"/>
        </w:rPr>
        <w:t>notamment en ce qui concerne</w:t>
      </w:r>
      <w:r w:rsidR="00E06DA1" w:rsidRPr="006E1FFC">
        <w:rPr>
          <w:rFonts w:eastAsiaTheme="minorEastAsia"/>
          <w:lang w:val="fr-CH" w:eastAsia="zh-CN"/>
        </w:rPr>
        <w:t xml:space="preserve"> la gestion du spectre des fréquences radioélectriques et des orbites de satellite, ainsi que certaines bases de données de l</w:t>
      </w:r>
      <w:r w:rsidR="00E06DA1">
        <w:rPr>
          <w:rFonts w:eastAsiaTheme="minorEastAsia"/>
          <w:lang w:val="fr-CH" w:eastAsia="zh-CN"/>
        </w:rPr>
        <w:t>'</w:t>
      </w:r>
      <w:r w:rsidR="00E06DA1" w:rsidRPr="006E1FFC">
        <w:rPr>
          <w:rFonts w:eastAsiaTheme="minorEastAsia"/>
          <w:lang w:val="fr-CH" w:eastAsia="zh-CN"/>
        </w:rPr>
        <w:t>UIT</w:t>
      </w:r>
      <w:r w:rsidR="00273986">
        <w:rPr>
          <w:rFonts w:eastAsiaTheme="minorEastAsia"/>
          <w:lang w:val="fr-CH" w:eastAsia="zh-CN"/>
        </w:rPr>
        <w:t>-</w:t>
      </w:r>
      <w:r w:rsidR="00E06DA1" w:rsidRPr="006E1FFC">
        <w:rPr>
          <w:rFonts w:eastAsiaTheme="minorEastAsia"/>
          <w:lang w:val="fr-CH" w:eastAsia="zh-CN"/>
        </w:rPr>
        <w:t>T (par exemple: Ressources international</w:t>
      </w:r>
      <w:r w:rsidR="00E06DA1">
        <w:rPr>
          <w:rFonts w:eastAsiaTheme="minorEastAsia"/>
          <w:lang w:val="fr-CH" w:eastAsia="zh-CN"/>
        </w:rPr>
        <w:t>e</w:t>
      </w:r>
      <w:r w:rsidR="00E06DA1" w:rsidRPr="006E1FFC">
        <w:rPr>
          <w:rFonts w:eastAsiaTheme="minorEastAsia"/>
          <w:lang w:val="fr-CH" w:eastAsia="zh-CN"/>
        </w:rPr>
        <w:t>s de numérotage)</w:t>
      </w:r>
    </w:p>
    <w:p w:rsidR="00E06DA1" w:rsidRPr="006E1FFC"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Pr>
          <w:rFonts w:eastAsiaTheme="minorEastAsia"/>
          <w:lang w:val="fr-CH" w:eastAsia="zh-CN"/>
        </w:rPr>
        <w:t>Divers rapports et analyses, notamment des rappo</w:t>
      </w:r>
      <w:r>
        <w:rPr>
          <w:rFonts w:eastAsiaTheme="minorEastAsia"/>
          <w:lang w:val="fr-CH" w:eastAsia="zh-CN"/>
        </w:rPr>
        <w:t>rts sur l'évolution des télécom</w:t>
      </w:r>
      <w:r w:rsidR="00E06DA1">
        <w:rPr>
          <w:rFonts w:eastAsiaTheme="minorEastAsia"/>
          <w:lang w:val="fr-CH" w:eastAsia="zh-CN"/>
        </w:rPr>
        <w:t>munications et des TIC</w:t>
      </w:r>
    </w:p>
    <w:p w:rsidR="00E06DA1"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Pr>
          <w:rFonts w:eastAsiaTheme="minorEastAsia"/>
          <w:lang w:val="fr-CH" w:eastAsia="zh-CN"/>
        </w:rPr>
        <w:t>Actes des</w:t>
      </w:r>
      <w:r w:rsidR="00E06DA1" w:rsidRPr="00D03000">
        <w:rPr>
          <w:rFonts w:eastAsiaTheme="minorEastAsia"/>
          <w:lang w:val="fr-CH" w:eastAsia="zh-CN"/>
        </w:rPr>
        <w:t xml:space="preserve"> ateliers, séminaires et colloques</w:t>
      </w:r>
    </w:p>
    <w:p w:rsidR="00E06DA1"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Pr>
          <w:rFonts w:eastAsiaTheme="minorEastAsia"/>
          <w:lang w:val="fr-CH" w:eastAsia="zh-CN"/>
        </w:rPr>
        <w:t>Données et statistiques sur les TIC et interprétations de statistiques sur les TIC</w:t>
      </w:r>
    </w:p>
    <w:p w:rsidR="00E06DA1"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Pr>
          <w:rFonts w:eastAsiaTheme="minorEastAsia"/>
          <w:lang w:val="fr-CH" w:eastAsia="zh-CN"/>
        </w:rPr>
        <w:t>Listes terminologiques et glossaires</w:t>
      </w:r>
    </w:p>
    <w:p w:rsidR="00E06DA1" w:rsidRPr="00D03000" w:rsidRDefault="00FB021B" w:rsidP="00774E6A">
      <w:pPr>
        <w:pStyle w:val="enumlev2"/>
        <w:rPr>
          <w:rFonts w:eastAsiaTheme="minorEastAsia"/>
          <w:lang w:val="fr-CH" w:eastAsia="zh-CN"/>
        </w:rPr>
      </w:pPr>
      <w:r w:rsidRPr="00FB021B">
        <w:rPr>
          <w:rFonts w:eastAsiaTheme="minorEastAsia"/>
          <w:lang w:eastAsia="zh-CN"/>
        </w:rPr>
        <w:t>•</w:t>
      </w:r>
      <w:r>
        <w:rPr>
          <w:rFonts w:eastAsiaTheme="minorEastAsia"/>
          <w:lang w:eastAsia="zh-CN"/>
        </w:rPr>
        <w:tab/>
      </w:r>
      <w:r w:rsidR="00E06DA1" w:rsidRPr="008A5449">
        <w:rPr>
          <w:rFonts w:eastAsiaTheme="minorEastAsia"/>
          <w:i/>
          <w:iCs/>
          <w:lang w:val="fr-CH" w:eastAsia="zh-CN"/>
        </w:rPr>
        <w:t>Nouvelles de l'UIT</w:t>
      </w:r>
      <w:r w:rsidR="00E06DA1">
        <w:rPr>
          <w:rFonts w:eastAsiaTheme="minorEastAsia"/>
          <w:lang w:val="fr-CH" w:eastAsia="zh-CN"/>
        </w:rPr>
        <w:t xml:space="preserve"> (anciennement </w:t>
      </w:r>
      <w:r w:rsidR="00E06DA1" w:rsidRPr="008D29C6">
        <w:rPr>
          <w:rFonts w:eastAsiaTheme="minorEastAsia"/>
          <w:i/>
          <w:lang w:val="fr-CH" w:eastAsia="zh-CN"/>
        </w:rPr>
        <w:t>Journal télégraphique</w:t>
      </w:r>
      <w:r w:rsidR="00E06DA1">
        <w:rPr>
          <w:rFonts w:eastAsiaTheme="minorEastAsia"/>
          <w:lang w:val="fr-CH" w:eastAsia="zh-CN"/>
        </w:rPr>
        <w:t xml:space="preserve">, de 1869 à 1933, et </w:t>
      </w:r>
      <w:r w:rsidR="00E06DA1" w:rsidRPr="008D29C6">
        <w:rPr>
          <w:rFonts w:eastAsiaTheme="minorEastAsia"/>
          <w:i/>
          <w:lang w:val="fr-CH" w:eastAsia="zh-CN"/>
        </w:rPr>
        <w:t>Journal des télécommunications</w:t>
      </w:r>
      <w:r w:rsidR="00E06DA1">
        <w:rPr>
          <w:rFonts w:eastAsiaTheme="minorEastAsia"/>
          <w:lang w:val="fr-CH" w:eastAsia="zh-CN"/>
        </w:rPr>
        <w:t>, de 1934 à 1993)</w:t>
      </w:r>
      <w:r>
        <w:rPr>
          <w:rFonts w:eastAsiaTheme="minorEastAsia"/>
          <w:lang w:val="fr-CH" w:eastAsia="zh-CN"/>
        </w:rPr>
        <w:t>.</w:t>
      </w:r>
    </w:p>
    <w:p w:rsidR="00E06DA1" w:rsidRDefault="00E06DA1" w:rsidP="00774E6A">
      <w:pPr>
        <w:tabs>
          <w:tab w:val="clear" w:pos="567"/>
          <w:tab w:val="clear" w:pos="1134"/>
          <w:tab w:val="clear" w:pos="1701"/>
          <w:tab w:val="clear" w:pos="2268"/>
          <w:tab w:val="clear" w:pos="2835"/>
        </w:tabs>
        <w:snapToGrid w:val="0"/>
        <w:spacing w:before="160" w:after="120"/>
        <w:rPr>
          <w:szCs w:val="24"/>
        </w:rPr>
      </w:pPr>
      <w:r w:rsidRPr="008D29C6">
        <w:rPr>
          <w:szCs w:val="24"/>
        </w:rPr>
        <w:t>2.4</w:t>
      </w:r>
      <w:r w:rsidRPr="008D29C6">
        <w:rPr>
          <w:szCs w:val="24"/>
        </w:rPr>
        <w:tab/>
        <w:t xml:space="preserve">Accès aux informations relatives aux conférences et </w:t>
      </w:r>
      <w:r>
        <w:rPr>
          <w:szCs w:val="24"/>
        </w:rPr>
        <w:t xml:space="preserve">aux </w:t>
      </w:r>
      <w:r w:rsidRPr="008D29C6">
        <w:rPr>
          <w:szCs w:val="24"/>
        </w:rPr>
        <w:t>réunions de l</w:t>
      </w:r>
      <w:r>
        <w:rPr>
          <w:szCs w:val="24"/>
        </w:rPr>
        <w:t>'</w:t>
      </w:r>
      <w:r w:rsidRPr="008D29C6">
        <w:rPr>
          <w:szCs w:val="24"/>
        </w:rPr>
        <w:t>UIT</w:t>
      </w:r>
    </w:p>
    <w:p w:rsidR="00E06DA1" w:rsidRDefault="00E06DA1" w:rsidP="00774E6A">
      <w:pPr>
        <w:tabs>
          <w:tab w:val="clear" w:pos="567"/>
          <w:tab w:val="clear" w:pos="1134"/>
          <w:tab w:val="clear" w:pos="1701"/>
          <w:tab w:val="clear" w:pos="2268"/>
          <w:tab w:val="clear" w:pos="2835"/>
        </w:tabs>
        <w:snapToGrid w:val="0"/>
        <w:spacing w:before="160" w:after="120"/>
        <w:rPr>
          <w:szCs w:val="24"/>
        </w:rPr>
      </w:pPr>
      <w:r>
        <w:rPr>
          <w:szCs w:val="24"/>
        </w:rPr>
        <w:t xml:space="preserve">Les </w:t>
      </w:r>
      <w:r w:rsidRPr="007C7883">
        <w:rPr>
          <w:i/>
          <w:szCs w:val="24"/>
        </w:rPr>
        <w:t>conférences de l</w:t>
      </w:r>
      <w:r>
        <w:rPr>
          <w:i/>
          <w:szCs w:val="24"/>
        </w:rPr>
        <w:t>'</w:t>
      </w:r>
      <w:r w:rsidRPr="007C7883">
        <w:rPr>
          <w:i/>
          <w:szCs w:val="24"/>
        </w:rPr>
        <w:t>UIT</w:t>
      </w:r>
      <w:r>
        <w:rPr>
          <w:szCs w:val="24"/>
        </w:rPr>
        <w:t xml:space="preserve"> incluent: les conférences de plénipotentiaires, les conférences mondiales </w:t>
      </w:r>
      <w:r w:rsidR="00FB021B">
        <w:rPr>
          <w:szCs w:val="24"/>
        </w:rPr>
        <w:t>d</w:t>
      </w:r>
      <w:r>
        <w:rPr>
          <w:szCs w:val="24"/>
        </w:rPr>
        <w:t>es télécommunications internationales, les conférences mondiales et régionales des radiocommunications, et les conférences mondiales et régionales de développement des télécommunications.</w:t>
      </w:r>
    </w:p>
    <w:p w:rsidR="00E06DA1" w:rsidRPr="008D29C6" w:rsidRDefault="00E06DA1" w:rsidP="00273986">
      <w:pPr>
        <w:tabs>
          <w:tab w:val="clear" w:pos="567"/>
          <w:tab w:val="clear" w:pos="1134"/>
          <w:tab w:val="clear" w:pos="1701"/>
          <w:tab w:val="clear" w:pos="2268"/>
          <w:tab w:val="clear" w:pos="2835"/>
        </w:tabs>
        <w:snapToGrid w:val="0"/>
        <w:spacing w:before="160" w:after="120"/>
        <w:rPr>
          <w:szCs w:val="24"/>
        </w:rPr>
      </w:pPr>
      <w:r>
        <w:rPr>
          <w:szCs w:val="24"/>
        </w:rPr>
        <w:t xml:space="preserve">Les </w:t>
      </w:r>
      <w:r w:rsidRPr="007C7883">
        <w:rPr>
          <w:i/>
          <w:szCs w:val="24"/>
        </w:rPr>
        <w:t>réunions de l</w:t>
      </w:r>
      <w:r>
        <w:rPr>
          <w:i/>
          <w:szCs w:val="24"/>
        </w:rPr>
        <w:t>'</w:t>
      </w:r>
      <w:r w:rsidRPr="007C7883">
        <w:rPr>
          <w:i/>
          <w:szCs w:val="24"/>
        </w:rPr>
        <w:t>UIT</w:t>
      </w:r>
      <w:r>
        <w:rPr>
          <w:szCs w:val="24"/>
        </w:rPr>
        <w:t xml:space="preserve"> incluent, entre autres: les sessions du Conseil, les assemblées des Secteurs de l'UIT</w:t>
      </w:r>
      <w:r w:rsidR="00273986">
        <w:rPr>
          <w:szCs w:val="24"/>
        </w:rPr>
        <w:t>-</w:t>
      </w:r>
      <w:r>
        <w:rPr>
          <w:szCs w:val="24"/>
        </w:rPr>
        <w:t>T et de l'UIT</w:t>
      </w:r>
      <w:r w:rsidR="00273986">
        <w:rPr>
          <w:szCs w:val="24"/>
        </w:rPr>
        <w:t>-</w:t>
      </w:r>
      <w:r>
        <w:rPr>
          <w:szCs w:val="24"/>
        </w:rPr>
        <w:t>R, les réunions des commissions d'études, les réunions des groupes consultatifs des Secteurs, et les réunions du RRB.</w:t>
      </w:r>
    </w:p>
    <w:p w:rsidR="00E06DA1" w:rsidRPr="007C7883" w:rsidRDefault="00E06DA1" w:rsidP="00774E6A">
      <w:pPr>
        <w:pStyle w:val="Heading3"/>
      </w:pPr>
      <w:r w:rsidRPr="007C7883">
        <w:t>2.4.1</w:t>
      </w:r>
      <w:r w:rsidRPr="007C7883">
        <w:tab/>
        <w:t xml:space="preserve">Accès </w:t>
      </w:r>
      <w:r>
        <w:t>par</w:t>
      </w:r>
      <w:r w:rsidRPr="007C7883">
        <w:t xml:space="preserve"> type d</w:t>
      </w:r>
      <w:r>
        <w:t>'</w:t>
      </w:r>
      <w:r w:rsidRPr="007C7883">
        <w:t>information</w:t>
      </w:r>
      <w:r>
        <w:t>s</w:t>
      </w:r>
    </w:p>
    <w:p w:rsidR="00E06DA1" w:rsidRPr="007C7883" w:rsidRDefault="00E06DA1" w:rsidP="00273986">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sidRPr="007C7883">
        <w:rPr>
          <w:rFonts w:asciiTheme="minorHAnsi" w:eastAsiaTheme="minorEastAsia" w:hAnsiTheme="minorHAnsi" w:cstheme="minorBidi"/>
          <w:szCs w:val="24"/>
          <w:lang w:eastAsia="zh-CN"/>
        </w:rPr>
        <w:t>A l</w:t>
      </w:r>
      <w:r>
        <w:rPr>
          <w:rFonts w:asciiTheme="minorHAnsi" w:eastAsiaTheme="minorEastAsia" w:hAnsiTheme="minorHAnsi" w:cstheme="minorBidi"/>
          <w:szCs w:val="24"/>
          <w:lang w:eastAsia="zh-CN"/>
        </w:rPr>
        <w:t>'</w:t>
      </w:r>
      <w:r w:rsidRPr="007C7883">
        <w:rPr>
          <w:rFonts w:asciiTheme="minorHAnsi" w:eastAsiaTheme="minorEastAsia" w:hAnsiTheme="minorHAnsi" w:cstheme="minorBidi"/>
          <w:szCs w:val="24"/>
          <w:lang w:eastAsia="zh-CN"/>
        </w:rPr>
        <w:t xml:space="preserve">UIT, </w:t>
      </w:r>
      <w:r>
        <w:rPr>
          <w:rFonts w:asciiTheme="minorHAnsi" w:eastAsiaTheme="minorEastAsia" w:hAnsiTheme="minorHAnsi" w:cstheme="minorBidi"/>
          <w:szCs w:val="24"/>
          <w:lang w:eastAsia="zh-CN"/>
        </w:rPr>
        <w:t>tous les documents de conférence et de réunion ont le même statut pour ce qui est de l'accès. Aucune distinction n'est faite entre les ordres du jour, les contributions des Etats Membres, les contributions du Secrétariat général, les procès-verbaux des réunions, etc. L'accès est réservé uniquement aux membres de l'UIT; aucun accès n'est donné au public. Une exception à cette pratique a eu lieu lors de la CMTI</w:t>
      </w:r>
      <w:r w:rsidR="00273986">
        <w:rPr>
          <w:rFonts w:asciiTheme="minorHAnsi" w:eastAsiaTheme="minorEastAsia" w:hAnsiTheme="minorHAnsi" w:cstheme="minorBidi"/>
          <w:szCs w:val="24"/>
          <w:lang w:eastAsia="zh-CN"/>
        </w:rPr>
        <w:t>-</w:t>
      </w:r>
      <w:r>
        <w:rPr>
          <w:rFonts w:asciiTheme="minorHAnsi" w:eastAsiaTheme="minorEastAsia" w:hAnsiTheme="minorHAnsi" w:cstheme="minorBidi"/>
          <w:szCs w:val="24"/>
          <w:lang w:eastAsia="zh-CN"/>
        </w:rPr>
        <w:t>12. Il a été décidé pendant la Conférence que les contributions des Etats Membres seraient rendues accessibles au public. L'accès à tous les autres documents de la Conférence est resté strictement réservé aux utilisateurs du système TIES.</w:t>
      </w:r>
    </w:p>
    <w:p w:rsidR="00E06DA1" w:rsidRPr="007C7883" w:rsidRDefault="00E06DA1" w:rsidP="00774E6A">
      <w:pPr>
        <w:pStyle w:val="Heading3"/>
        <w:rPr>
          <w:rFonts w:eastAsiaTheme="minorEastAsia"/>
          <w:lang w:eastAsia="zh-CN"/>
        </w:rPr>
      </w:pPr>
      <w:r w:rsidRPr="007C7883">
        <w:rPr>
          <w:rFonts w:eastAsiaTheme="minorEastAsia"/>
          <w:lang w:eastAsia="zh-CN"/>
        </w:rPr>
        <w:t>2.4.2</w:t>
      </w:r>
      <w:r w:rsidRPr="007C7883">
        <w:rPr>
          <w:rFonts w:eastAsiaTheme="minorEastAsia"/>
          <w:lang w:eastAsia="zh-CN"/>
        </w:rPr>
        <w:tab/>
        <w:t>Accès par période</w:t>
      </w:r>
    </w:p>
    <w:p w:rsidR="00E06DA1" w:rsidRPr="00785E79" w:rsidRDefault="00E06DA1" w:rsidP="00774E6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Le public</w:t>
      </w:r>
      <w:r w:rsidRPr="00785E79">
        <w:rPr>
          <w:rFonts w:asciiTheme="minorHAnsi" w:eastAsiaTheme="minorEastAsia" w:hAnsiTheme="minorHAnsi" w:cstheme="minorBidi"/>
          <w:szCs w:val="24"/>
          <w:lang w:eastAsia="zh-CN"/>
        </w:rPr>
        <w:t xml:space="preserve"> </w:t>
      </w:r>
      <w:r>
        <w:rPr>
          <w:rFonts w:asciiTheme="minorHAnsi" w:eastAsiaTheme="minorEastAsia" w:hAnsiTheme="minorHAnsi" w:cstheme="minorBidi"/>
          <w:szCs w:val="24"/>
          <w:lang w:eastAsia="zh-CN"/>
        </w:rPr>
        <w:t>n'a pas accès aux</w:t>
      </w:r>
      <w:r w:rsidRPr="00785E79">
        <w:rPr>
          <w:rFonts w:asciiTheme="minorHAnsi" w:eastAsiaTheme="minorEastAsia" w:hAnsiTheme="minorHAnsi" w:cstheme="minorBidi"/>
          <w:szCs w:val="24"/>
          <w:lang w:eastAsia="zh-CN"/>
        </w:rPr>
        <w:t xml:space="preserve"> documents de conférence et de </w:t>
      </w:r>
      <w:r>
        <w:rPr>
          <w:rFonts w:asciiTheme="minorHAnsi" w:eastAsiaTheme="minorEastAsia" w:hAnsiTheme="minorHAnsi" w:cstheme="minorBidi"/>
          <w:szCs w:val="24"/>
          <w:lang w:eastAsia="zh-CN"/>
        </w:rPr>
        <w:t xml:space="preserve">réunion </w:t>
      </w:r>
      <w:r w:rsidRPr="00785E79">
        <w:rPr>
          <w:rFonts w:asciiTheme="minorHAnsi" w:eastAsiaTheme="minorEastAsia" w:hAnsiTheme="minorHAnsi" w:cstheme="minorBidi"/>
          <w:i/>
          <w:szCs w:val="24"/>
          <w:lang w:eastAsia="zh-CN"/>
        </w:rPr>
        <w:t xml:space="preserve">avant et </w:t>
      </w:r>
      <w:r w:rsidR="00FB021B">
        <w:rPr>
          <w:rFonts w:asciiTheme="minorHAnsi" w:eastAsiaTheme="minorEastAsia" w:hAnsiTheme="minorHAnsi" w:cstheme="minorBidi"/>
          <w:i/>
          <w:szCs w:val="24"/>
          <w:lang w:eastAsia="zh-CN"/>
        </w:rPr>
        <w:t>pendant</w:t>
      </w:r>
      <w:r>
        <w:rPr>
          <w:rFonts w:asciiTheme="minorHAnsi" w:eastAsiaTheme="minorEastAsia" w:hAnsiTheme="minorHAnsi" w:cstheme="minorBidi"/>
          <w:szCs w:val="24"/>
          <w:lang w:eastAsia="zh-CN"/>
        </w:rPr>
        <w:t xml:space="preserve"> les réunions, mais l'accès à tout ou partie de ces documents lui a souvent été ouvert </w:t>
      </w:r>
      <w:r w:rsidRPr="00785E79">
        <w:rPr>
          <w:rFonts w:asciiTheme="minorHAnsi" w:eastAsiaTheme="minorEastAsia" w:hAnsiTheme="minorHAnsi" w:cstheme="minorBidi"/>
          <w:i/>
          <w:szCs w:val="24"/>
          <w:lang w:eastAsia="zh-CN"/>
        </w:rPr>
        <w:t>après</w:t>
      </w:r>
      <w:r>
        <w:rPr>
          <w:rFonts w:asciiTheme="minorHAnsi" w:eastAsiaTheme="minorEastAsia" w:hAnsiTheme="minorHAnsi" w:cstheme="minorBidi"/>
          <w:szCs w:val="24"/>
          <w:lang w:eastAsia="zh-CN"/>
        </w:rPr>
        <w:t xml:space="preserve"> la fin des réunions. Autrefois courante, cette pratique est devenue progressivement plus rare à partir de 1992. Il existe aujourd'hui encore de nombreux cas dans lesquels des documents de conférence et de réunion sont rendus accessibles au public après un certain délai.</w:t>
      </w:r>
    </w:p>
    <w:p w:rsidR="00FB021B" w:rsidRDefault="00FB021B" w:rsidP="00774E6A">
      <w:pPr>
        <w:pStyle w:val="enumlev1"/>
        <w:rPr>
          <w:rFonts w:eastAsiaTheme="minorEastAsia"/>
          <w:lang w:val="fr-CH" w:eastAsia="zh-CN"/>
        </w:rPr>
      </w:pPr>
      <w:r>
        <w:rPr>
          <w:rFonts w:eastAsiaTheme="minorEastAsia"/>
          <w:lang w:val="fr-CH" w:eastAsia="zh-CN"/>
        </w:rPr>
        <w:br w:type="page"/>
      </w:r>
    </w:p>
    <w:p w:rsidR="00E06DA1" w:rsidRPr="003E6754" w:rsidRDefault="00FB021B" w:rsidP="00774E6A">
      <w:pPr>
        <w:pStyle w:val="enumlev1"/>
        <w:rPr>
          <w:rFonts w:eastAsiaTheme="minorEastAsia"/>
          <w:lang w:val="fr-CH" w:eastAsia="zh-CN"/>
        </w:rPr>
      </w:pPr>
      <w:r w:rsidRPr="00FB021B">
        <w:rPr>
          <w:rFonts w:eastAsiaTheme="minorEastAsia"/>
          <w:lang w:val="fr-CH" w:eastAsia="zh-CN"/>
        </w:rPr>
        <w:lastRenderedPageBreak/>
        <w:t>–</w:t>
      </w:r>
      <w:r>
        <w:rPr>
          <w:rFonts w:eastAsiaTheme="minorEastAsia"/>
          <w:lang w:val="fr-CH" w:eastAsia="zh-CN"/>
        </w:rPr>
        <w:tab/>
      </w:r>
      <w:r w:rsidR="00E06DA1" w:rsidRPr="003E6754">
        <w:rPr>
          <w:rFonts w:eastAsiaTheme="minorEastAsia"/>
          <w:lang w:val="fr-CH" w:eastAsia="zh-CN"/>
        </w:rPr>
        <w:t xml:space="preserve">Deux exceptions à cette pratique sont: </w:t>
      </w:r>
    </w:p>
    <w:p w:rsidR="00E06DA1" w:rsidRDefault="00FB021B" w:rsidP="00273986">
      <w:pPr>
        <w:pStyle w:val="enumlev2"/>
        <w:rPr>
          <w:rFonts w:eastAsiaTheme="minorEastAsia"/>
          <w:lang w:val="fr-CH" w:eastAsia="zh-CN"/>
        </w:rPr>
      </w:pPr>
      <w:r w:rsidRPr="00FB021B">
        <w:rPr>
          <w:rFonts w:eastAsiaTheme="minorEastAsia"/>
          <w:lang w:val="fr-CH" w:eastAsia="zh-CN"/>
        </w:rPr>
        <w:t>•</w:t>
      </w:r>
      <w:r>
        <w:rPr>
          <w:rFonts w:eastAsiaTheme="minorEastAsia"/>
          <w:lang w:val="fr-CH" w:eastAsia="zh-CN"/>
        </w:rPr>
        <w:tab/>
      </w:r>
      <w:r w:rsidR="00E06DA1" w:rsidRPr="003E6754">
        <w:rPr>
          <w:rFonts w:eastAsiaTheme="minorEastAsia"/>
          <w:lang w:val="fr-CH" w:eastAsia="zh-CN"/>
        </w:rPr>
        <w:t>La CMTI</w:t>
      </w:r>
      <w:r w:rsidR="00273986">
        <w:rPr>
          <w:rFonts w:eastAsiaTheme="minorEastAsia"/>
          <w:lang w:val="fr-CH" w:eastAsia="zh-CN"/>
        </w:rPr>
        <w:t>-</w:t>
      </w:r>
      <w:r w:rsidR="00E06DA1" w:rsidRPr="003E6754">
        <w:rPr>
          <w:rFonts w:eastAsiaTheme="minorEastAsia"/>
          <w:lang w:val="fr-CH" w:eastAsia="zh-CN"/>
        </w:rPr>
        <w:t>12: Il a été décidé pendant la C</w:t>
      </w:r>
      <w:r w:rsidR="00E06DA1">
        <w:rPr>
          <w:rFonts w:eastAsiaTheme="minorEastAsia"/>
          <w:lang w:val="fr-CH" w:eastAsia="zh-CN"/>
        </w:rPr>
        <w:t>o</w:t>
      </w:r>
      <w:r w:rsidR="00E06DA1" w:rsidRPr="003E6754">
        <w:rPr>
          <w:rFonts w:eastAsiaTheme="minorEastAsia"/>
          <w:lang w:val="fr-CH" w:eastAsia="zh-CN"/>
        </w:rPr>
        <w:t>nférence que les contributions des Etats Membres seraient rendues accessibles au public immédiatement.</w:t>
      </w:r>
    </w:p>
    <w:p w:rsidR="00E06DA1" w:rsidRPr="003E6754" w:rsidRDefault="00FB021B" w:rsidP="00774E6A">
      <w:pPr>
        <w:pStyle w:val="enumlev2"/>
        <w:rPr>
          <w:rFonts w:eastAsiaTheme="minorEastAsia"/>
          <w:lang w:val="fr-CH" w:eastAsia="zh-CN"/>
        </w:rPr>
      </w:pPr>
      <w:r w:rsidRPr="00FB021B">
        <w:rPr>
          <w:rFonts w:eastAsiaTheme="minorEastAsia"/>
          <w:lang w:val="fr-CH" w:eastAsia="zh-CN"/>
        </w:rPr>
        <w:t>•</w:t>
      </w:r>
      <w:r>
        <w:rPr>
          <w:rFonts w:eastAsiaTheme="minorEastAsia"/>
          <w:lang w:val="fr-CH" w:eastAsia="zh-CN"/>
        </w:rPr>
        <w:tab/>
      </w:r>
      <w:r w:rsidR="00E06DA1">
        <w:rPr>
          <w:rFonts w:eastAsiaTheme="minorEastAsia"/>
          <w:lang w:val="fr-CH" w:eastAsia="zh-CN"/>
        </w:rPr>
        <w:t>Toutes les réunions du GCR: Tous les documents sont immédiatement mis à la disposition du public.</w:t>
      </w:r>
    </w:p>
    <w:p w:rsidR="00E06DA1" w:rsidRPr="003E6754" w:rsidRDefault="00E06DA1" w:rsidP="00774E6A">
      <w:pPr>
        <w:tabs>
          <w:tab w:val="clear" w:pos="567"/>
          <w:tab w:val="clear" w:pos="1134"/>
          <w:tab w:val="clear" w:pos="1701"/>
          <w:tab w:val="clear" w:pos="2268"/>
          <w:tab w:val="clear" w:pos="2835"/>
        </w:tabs>
        <w:snapToGrid w:val="0"/>
        <w:spacing w:before="160" w:after="120"/>
        <w:rPr>
          <w:szCs w:val="24"/>
        </w:rPr>
      </w:pPr>
      <w:r w:rsidRPr="003E6754">
        <w:rPr>
          <w:szCs w:val="24"/>
        </w:rPr>
        <w:t>2.5</w:t>
      </w:r>
      <w:r w:rsidRPr="003E6754">
        <w:rPr>
          <w:szCs w:val="24"/>
        </w:rPr>
        <w:tab/>
        <w:t>Nouvelles consultations publiques</w:t>
      </w:r>
    </w:p>
    <w:p w:rsidR="00E06DA1" w:rsidRPr="003E6754" w:rsidRDefault="00E06DA1" w:rsidP="00774E6A">
      <w:pPr>
        <w:tabs>
          <w:tab w:val="clear" w:pos="567"/>
          <w:tab w:val="clear" w:pos="1134"/>
          <w:tab w:val="clear" w:pos="1701"/>
          <w:tab w:val="clear" w:pos="2268"/>
          <w:tab w:val="clear" w:pos="2835"/>
        </w:tabs>
        <w:snapToGrid w:val="0"/>
        <w:spacing w:after="120"/>
        <w:rPr>
          <w:szCs w:val="24"/>
          <w:lang w:val="fr-CH"/>
        </w:rPr>
      </w:pPr>
      <w:r w:rsidRPr="003E6754">
        <w:rPr>
          <w:szCs w:val="24"/>
          <w:lang w:val="fr-CH"/>
        </w:rPr>
        <w:t xml:space="preserve">En 2013, </w:t>
      </w:r>
      <w:r>
        <w:rPr>
          <w:szCs w:val="24"/>
          <w:lang w:val="fr-CH"/>
        </w:rPr>
        <w:t xml:space="preserve">l'UIT a lancé une nouvelle initiative en menant des consultations publiques </w:t>
      </w:r>
      <w:r w:rsidRPr="003E6754">
        <w:rPr>
          <w:szCs w:val="24"/>
          <w:lang w:val="fr-CH"/>
        </w:rPr>
        <w:t>dans le cadre du processus d</w:t>
      </w:r>
      <w:r>
        <w:rPr>
          <w:szCs w:val="24"/>
          <w:lang w:val="fr-CH"/>
        </w:rPr>
        <w:t>'</w:t>
      </w:r>
      <w:r w:rsidRPr="003E6754">
        <w:rPr>
          <w:szCs w:val="24"/>
          <w:lang w:val="fr-CH"/>
        </w:rPr>
        <w:t xml:space="preserve">élaboration du </w:t>
      </w:r>
      <w:r>
        <w:rPr>
          <w:szCs w:val="24"/>
          <w:lang w:val="fr-CH"/>
        </w:rPr>
        <w:t xml:space="preserve">projet de </w:t>
      </w:r>
      <w:r w:rsidRPr="003E6754">
        <w:rPr>
          <w:szCs w:val="24"/>
          <w:lang w:val="fr-CH"/>
        </w:rPr>
        <w:t>Plan stratégique de l</w:t>
      </w:r>
      <w:r>
        <w:rPr>
          <w:szCs w:val="24"/>
          <w:lang w:val="fr-CH"/>
        </w:rPr>
        <w:t>'</w:t>
      </w:r>
      <w:r w:rsidRPr="003E6754">
        <w:rPr>
          <w:szCs w:val="24"/>
          <w:lang w:val="fr-CH"/>
        </w:rPr>
        <w:t>Union pour la période 2016</w:t>
      </w:r>
      <w:r w:rsidRPr="003E6754">
        <w:rPr>
          <w:szCs w:val="24"/>
          <w:lang w:val="fr-CH"/>
        </w:rPr>
        <w:noBreakHyphen/>
        <w:t>2019.</w:t>
      </w:r>
      <w:r>
        <w:rPr>
          <w:szCs w:val="24"/>
          <w:lang w:val="fr-CH"/>
        </w:rPr>
        <w:t xml:space="preserve"> Trois consultations publiques ont eu lieu: une consultation publique informelle lancée par le Secrétaire général au moyen d'une plate-forme d'externalisation ouverte novatrice, et deux consultations publiques menées par le </w:t>
      </w:r>
      <w:hyperlink r:id="rId11" w:history="1">
        <w:r w:rsidRPr="00F71C18">
          <w:rPr>
            <w:rStyle w:val="Hyperlink"/>
            <w:szCs w:val="24"/>
            <w:lang w:val="fr-CH"/>
          </w:rPr>
          <w:t>Groupe de travail du Conseil chargé d</w:t>
        </w:r>
        <w:r>
          <w:rPr>
            <w:rStyle w:val="Hyperlink"/>
            <w:szCs w:val="24"/>
            <w:lang w:val="fr-CH"/>
          </w:rPr>
          <w:t>'</w:t>
        </w:r>
        <w:r w:rsidRPr="00F71C18">
          <w:rPr>
            <w:rStyle w:val="Hyperlink"/>
            <w:szCs w:val="24"/>
            <w:lang w:val="fr-CH"/>
          </w:rPr>
          <w:t>élaborer le projet de Plan stratégique et le projet de Plan financier de l</w:t>
        </w:r>
        <w:r>
          <w:rPr>
            <w:rStyle w:val="Hyperlink"/>
            <w:szCs w:val="24"/>
            <w:lang w:val="fr-CH"/>
          </w:rPr>
          <w:t>'</w:t>
        </w:r>
        <w:r w:rsidRPr="00F71C18">
          <w:rPr>
            <w:rStyle w:val="Hyperlink"/>
            <w:szCs w:val="24"/>
            <w:lang w:val="fr-CH"/>
          </w:rPr>
          <w:t>Union pour la période 2016</w:t>
        </w:r>
        <w:r w:rsidRPr="00F71C18">
          <w:rPr>
            <w:rStyle w:val="Hyperlink"/>
            <w:szCs w:val="24"/>
            <w:lang w:val="fr-CH"/>
          </w:rPr>
          <w:noBreakHyphen/>
          <w:t>2019</w:t>
        </w:r>
      </w:hyperlink>
      <w:r>
        <w:rPr>
          <w:szCs w:val="24"/>
          <w:lang w:val="fr-CH"/>
        </w:rPr>
        <w:t xml:space="preserve"> concernant le cadre stratégique proposé et le projet de texte du Plan stratégique pour la période 2016</w:t>
      </w:r>
      <w:r>
        <w:rPr>
          <w:szCs w:val="24"/>
          <w:lang w:val="fr-CH"/>
        </w:rPr>
        <w:noBreakHyphen/>
        <w:t>2019.</w:t>
      </w:r>
    </w:p>
    <w:p w:rsidR="00E06DA1" w:rsidRPr="00F71C18" w:rsidRDefault="00E06DA1" w:rsidP="00774E6A">
      <w:pPr>
        <w:tabs>
          <w:tab w:val="clear" w:pos="567"/>
          <w:tab w:val="clear" w:pos="1134"/>
          <w:tab w:val="clear" w:pos="1701"/>
          <w:tab w:val="clear" w:pos="2268"/>
          <w:tab w:val="clear" w:pos="2835"/>
        </w:tabs>
        <w:snapToGrid w:val="0"/>
        <w:spacing w:before="160" w:after="120"/>
        <w:rPr>
          <w:szCs w:val="24"/>
          <w:lang w:val="fr-CH"/>
        </w:rPr>
      </w:pPr>
      <w:r w:rsidRPr="00F71C18">
        <w:rPr>
          <w:szCs w:val="24"/>
          <w:lang w:val="fr-CH"/>
        </w:rPr>
        <w:t>2.6</w:t>
      </w:r>
      <w:r w:rsidRPr="00F71C18">
        <w:rPr>
          <w:szCs w:val="24"/>
          <w:lang w:val="fr-CH"/>
        </w:rPr>
        <w:tab/>
        <w:t>Pour de plus amples informations concernant l</w:t>
      </w:r>
      <w:r>
        <w:rPr>
          <w:szCs w:val="24"/>
          <w:lang w:val="fr-CH"/>
        </w:rPr>
        <w:t>a</w:t>
      </w:r>
      <w:r w:rsidRPr="00F71C18">
        <w:rPr>
          <w:szCs w:val="24"/>
          <w:lang w:val="fr-CH"/>
        </w:rPr>
        <w:t xml:space="preserve"> pratique </w:t>
      </w:r>
      <w:r>
        <w:rPr>
          <w:szCs w:val="24"/>
          <w:lang w:val="fr-CH"/>
        </w:rPr>
        <w:t>de</w:t>
      </w:r>
      <w:r w:rsidRPr="00F71C18">
        <w:rPr>
          <w:szCs w:val="24"/>
          <w:lang w:val="fr-CH"/>
        </w:rPr>
        <w:t xml:space="preserve"> l</w:t>
      </w:r>
      <w:r>
        <w:rPr>
          <w:szCs w:val="24"/>
          <w:lang w:val="fr-CH"/>
        </w:rPr>
        <w:t>'</w:t>
      </w:r>
      <w:r w:rsidRPr="00F71C18">
        <w:rPr>
          <w:szCs w:val="24"/>
          <w:lang w:val="fr-CH"/>
        </w:rPr>
        <w:t xml:space="preserve">UIT, veuillez </w:t>
      </w:r>
      <w:r>
        <w:rPr>
          <w:szCs w:val="24"/>
          <w:lang w:val="fr-CH"/>
        </w:rPr>
        <w:t>consulter</w:t>
      </w:r>
      <w:r w:rsidRPr="00F71C18">
        <w:rPr>
          <w:szCs w:val="24"/>
          <w:lang w:val="fr-CH"/>
        </w:rPr>
        <w:t xml:space="preserve"> </w:t>
      </w:r>
      <w:r>
        <w:rPr>
          <w:szCs w:val="24"/>
          <w:lang w:val="fr-CH"/>
        </w:rPr>
        <w:t xml:space="preserve">le </w:t>
      </w:r>
      <w:r w:rsidRPr="00F71C18">
        <w:rPr>
          <w:szCs w:val="24"/>
          <w:lang w:val="fr-CH"/>
        </w:rPr>
        <w:t xml:space="preserve">Document </w:t>
      </w:r>
      <w:hyperlink r:id="rId12" w:history="1">
        <w:r w:rsidRPr="00F71C18">
          <w:rPr>
            <w:rStyle w:val="Hyperlink"/>
            <w:szCs w:val="24"/>
            <w:lang w:val="fr-CH"/>
          </w:rPr>
          <w:t>C14/INF/20</w:t>
        </w:r>
      </w:hyperlink>
      <w:r w:rsidRPr="00F71C18">
        <w:rPr>
          <w:szCs w:val="24"/>
          <w:lang w:val="fr-CH"/>
        </w:rPr>
        <w:t>.</w:t>
      </w:r>
    </w:p>
    <w:p w:rsidR="00E06DA1" w:rsidRPr="003E604D" w:rsidRDefault="00FB021B" w:rsidP="00774E6A">
      <w:pPr>
        <w:pStyle w:val="Heading1"/>
        <w:rPr>
          <w:lang w:val="fr-CH"/>
        </w:rPr>
      </w:pPr>
      <w:r>
        <w:rPr>
          <w:lang w:val="fr-CH"/>
        </w:rPr>
        <w:t>3</w:t>
      </w:r>
      <w:r w:rsidR="00E06DA1" w:rsidRPr="003E604D">
        <w:rPr>
          <w:lang w:val="fr-CH"/>
        </w:rPr>
        <w:tab/>
        <w:t>POLITIQUES ET PRATIQUES EXISTANTES AU NIVEAU INTERNATIONAL</w:t>
      </w:r>
    </w:p>
    <w:p w:rsidR="00E06DA1" w:rsidRPr="003E604D" w:rsidRDefault="00E06DA1" w:rsidP="00774E6A">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cs="Calibri"/>
          <w:szCs w:val="24"/>
          <w:lang w:val="fr-CH"/>
        </w:rPr>
      </w:pPr>
      <w:r w:rsidRPr="003E604D">
        <w:rPr>
          <w:rFonts w:cs="Calibri"/>
          <w:szCs w:val="24"/>
          <w:lang w:val="fr-CH"/>
        </w:rPr>
        <w:t>3.1</w:t>
      </w:r>
      <w:r w:rsidRPr="003E604D">
        <w:rPr>
          <w:rFonts w:cs="Calibri"/>
          <w:szCs w:val="24"/>
          <w:lang w:val="fr-CH"/>
        </w:rPr>
        <w:tab/>
      </w:r>
      <w:r w:rsidRPr="003E604D">
        <w:rPr>
          <w:rFonts w:cs="Calibri"/>
          <w:szCs w:val="24"/>
        </w:rPr>
        <w:t>Depuis 2008</w:t>
      </w:r>
      <w:r>
        <w:rPr>
          <w:rFonts w:cs="Calibri"/>
          <w:szCs w:val="24"/>
        </w:rPr>
        <w:t>, un nombre croissant d'institutions internationales et intergouvernementales reconnaissent le droit à l'information en adoptant des politiques générales de divulgation de l'information, en vertu desquelles les particuliers ont le droit de demander et de recevoir des informations émanant de ces institutions.</w:t>
      </w:r>
    </w:p>
    <w:p w:rsidR="00E06DA1" w:rsidRDefault="00E06DA1" w:rsidP="00774E6A">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fr-CH" w:eastAsia="zh-CN"/>
        </w:rPr>
      </w:pPr>
      <w:r w:rsidRPr="008C760C">
        <w:rPr>
          <w:rFonts w:asciiTheme="minorHAnsi" w:eastAsiaTheme="minorEastAsia" w:hAnsiTheme="minorHAnsi" w:cstheme="minorBidi"/>
          <w:szCs w:val="24"/>
          <w:lang w:val="fr-CH" w:eastAsia="zh-CN"/>
        </w:rPr>
        <w:t>3.2</w:t>
      </w:r>
      <w:r w:rsidRPr="008C760C">
        <w:rPr>
          <w:rFonts w:asciiTheme="minorHAnsi" w:eastAsiaTheme="minorEastAsia" w:hAnsiTheme="minorHAnsi" w:cstheme="minorBidi"/>
          <w:szCs w:val="24"/>
          <w:lang w:val="fr-CH" w:eastAsia="zh-CN"/>
        </w:rPr>
        <w:tab/>
        <w:t>En 2013, le Secrétariat a mené une enqu</w:t>
      </w:r>
      <w:r>
        <w:rPr>
          <w:rFonts w:asciiTheme="minorHAnsi" w:eastAsiaTheme="minorEastAsia" w:hAnsiTheme="minorHAnsi" w:cstheme="minorBidi"/>
          <w:szCs w:val="24"/>
          <w:lang w:val="fr-CH" w:eastAsia="zh-CN"/>
        </w:rPr>
        <w:t>ête concernant 14 institutions spécialisées, fonds et programmes des Nations Unies: la FAO, l'OACI, l'AIEA, le FIDA, l'OIT, le PNUD, l'UNESCO, l'ONUDI, l'UNICEF, l'UPU, l'OMS, l'OMM, l'OMPI et la Banque mondiale. Des recherches préliminaires ont été effectuées sur le web, et les résultats ont été</w:t>
      </w:r>
      <w:r w:rsidR="00FB021B">
        <w:rPr>
          <w:rFonts w:asciiTheme="minorHAnsi" w:eastAsiaTheme="minorEastAsia" w:hAnsiTheme="minorHAnsi" w:cstheme="minorBidi"/>
          <w:szCs w:val="24"/>
          <w:lang w:val="fr-CH" w:eastAsia="zh-CN"/>
        </w:rPr>
        <w:t xml:space="preserve"> communiqués à ces institutions </w:t>
      </w:r>
      <w:r>
        <w:rPr>
          <w:rFonts w:asciiTheme="minorHAnsi" w:eastAsiaTheme="minorEastAsia" w:hAnsiTheme="minorHAnsi" w:cstheme="minorBidi"/>
          <w:szCs w:val="24"/>
          <w:lang w:val="fr-CH" w:eastAsia="zh-CN"/>
        </w:rPr>
        <w:t>par l'intermédiaire du Groupe des Secrétariats des organes directeurs des organismes des Nations Unies. Les institutions suivantes ont confirmé les informations: la FAO, le FIDA, l'UNESCO, l'ONUDI, l'OMPI et l'OMM.</w:t>
      </w:r>
    </w:p>
    <w:p w:rsidR="00E06DA1" w:rsidRDefault="00E06DA1" w:rsidP="00774E6A">
      <w:pPr>
        <w:keepNext/>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val="fr-CH" w:eastAsia="zh-CN"/>
        </w:rPr>
      </w:pPr>
      <w:r>
        <w:rPr>
          <w:rFonts w:asciiTheme="minorHAnsi" w:eastAsiaTheme="minorEastAsia" w:hAnsiTheme="minorHAnsi" w:cstheme="minorBidi"/>
          <w:szCs w:val="24"/>
          <w:lang w:val="fr-CH" w:eastAsia="zh-CN"/>
        </w:rPr>
        <w:t>3.3</w:t>
      </w:r>
      <w:r>
        <w:rPr>
          <w:rFonts w:asciiTheme="minorHAnsi" w:eastAsiaTheme="minorEastAsia" w:hAnsiTheme="minorHAnsi" w:cstheme="minorBidi"/>
          <w:szCs w:val="24"/>
          <w:lang w:val="fr-CH" w:eastAsia="zh-CN"/>
        </w:rPr>
        <w:tab/>
        <w:t>En vue de promouvoir la transparence et le respect du principe de responsabilité, ainsi que de fournir, dans des délais appropriés, des informations exactes à leurs partenaires et à leurs parties prenantes – y compris le public – plusieurs institutions spécialisées ont adopté des politiques de divulgation de l'information au cours des dernières années.</w:t>
      </w:r>
    </w:p>
    <w:p w:rsidR="00E06DA1" w:rsidRDefault="00774E6A" w:rsidP="00774E6A">
      <w:pPr>
        <w:pStyle w:val="enumlev1"/>
        <w:rPr>
          <w:rFonts w:eastAsiaTheme="minorEastAsia"/>
          <w:lang w:val="fr-CH" w:eastAsia="zh-CN"/>
        </w:rPr>
      </w:pPr>
      <w:r w:rsidRPr="00774E6A">
        <w:rPr>
          <w:rFonts w:eastAsiaTheme="minorEastAsia"/>
          <w:lang w:val="fr-CH" w:eastAsia="zh-CN"/>
        </w:rPr>
        <w:t>–</w:t>
      </w:r>
      <w:r>
        <w:rPr>
          <w:rFonts w:eastAsiaTheme="minorEastAsia"/>
          <w:lang w:val="fr-CH" w:eastAsia="zh-CN"/>
        </w:rPr>
        <w:tab/>
      </w:r>
      <w:r w:rsidR="00E06DA1">
        <w:rPr>
          <w:rFonts w:eastAsiaTheme="minorEastAsia"/>
          <w:lang w:val="fr-CH" w:eastAsia="zh-CN"/>
        </w:rPr>
        <w:t>Exemples: OIT (2008), PNUD (2008, révisée en 2013), FIDA (2010), UNICEF (2010, mise à jour en 2011), Banque mondiale (2010, révisée en 2013), PAM (2010), UNOPS (2012)</w:t>
      </w:r>
      <w:r w:rsidR="00E06DA1">
        <w:rPr>
          <w:rStyle w:val="FootnoteReference"/>
          <w:rFonts w:eastAsiaTheme="minorEastAsia" w:cstheme="minorBidi"/>
          <w:szCs w:val="24"/>
          <w:lang w:val="en-US" w:eastAsia="zh-CN"/>
        </w:rPr>
        <w:footnoteReference w:id="3"/>
      </w:r>
      <w:r>
        <w:rPr>
          <w:rFonts w:eastAsiaTheme="minorEastAsia"/>
          <w:lang w:val="fr-CH" w:eastAsia="zh-CN"/>
        </w:rPr>
        <w:t>.</w:t>
      </w:r>
    </w:p>
    <w:p w:rsidR="00774E6A" w:rsidRDefault="00774E6A" w:rsidP="00774E6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fr-CH" w:eastAsia="zh-CN"/>
        </w:rPr>
      </w:pPr>
      <w:r>
        <w:rPr>
          <w:rFonts w:asciiTheme="minorHAnsi" w:eastAsiaTheme="minorEastAsia" w:hAnsiTheme="minorHAnsi" w:cstheme="minorBidi"/>
          <w:szCs w:val="24"/>
          <w:lang w:val="fr-CH" w:eastAsia="zh-CN"/>
        </w:rPr>
        <w:br w:type="page"/>
      </w:r>
    </w:p>
    <w:p w:rsidR="00E06DA1" w:rsidRDefault="00E06DA1" w:rsidP="00774E6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fr-CH" w:eastAsia="zh-CN"/>
        </w:rPr>
      </w:pPr>
      <w:r>
        <w:rPr>
          <w:rFonts w:asciiTheme="minorHAnsi" w:eastAsiaTheme="minorEastAsia" w:hAnsiTheme="minorHAnsi" w:cstheme="minorBidi"/>
          <w:szCs w:val="24"/>
          <w:lang w:val="fr-CH" w:eastAsia="zh-CN"/>
        </w:rPr>
        <w:lastRenderedPageBreak/>
        <w:t>Ces politiques reposent sur un principe de divulgation totale de toutes les informations et de tous les documents produits par l'organisation. Cependant, dans tous les cas, ce principe fait l'objet d'exceptions pour certaines catégories bien définies d'informations, qui ne sont pas mises à la disposition du public en raison de leur caractère jugé confidentiel.</w:t>
      </w:r>
    </w:p>
    <w:p w:rsidR="00E06DA1" w:rsidRPr="008C760C" w:rsidRDefault="00E06DA1" w:rsidP="00273986">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fr-CH" w:eastAsia="zh-CN"/>
        </w:rPr>
      </w:pPr>
      <w:r>
        <w:rPr>
          <w:rFonts w:asciiTheme="minorHAnsi" w:eastAsiaTheme="minorEastAsia" w:hAnsiTheme="minorHAnsi" w:cstheme="minorBidi"/>
          <w:szCs w:val="24"/>
          <w:lang w:val="fr-CH" w:eastAsia="zh-CN"/>
        </w:rPr>
        <w:t>3.4</w:t>
      </w:r>
      <w:r>
        <w:rPr>
          <w:rFonts w:asciiTheme="minorHAnsi" w:eastAsiaTheme="minorEastAsia" w:hAnsiTheme="minorHAnsi" w:cstheme="minorBidi"/>
          <w:szCs w:val="24"/>
          <w:lang w:val="fr-CH" w:eastAsia="zh-CN"/>
        </w:rPr>
        <w:tab/>
        <w:t>D'autres organisations n'ont pas de politique officielle d'accès/de divulgation, mais fournissent régulièrement au public des informations relatives à leur fonctionnement et à leur gouvernance. Dans tous les cas, l'accès est soumis aux mêmes exceptions que celles mentionnées dans le paragraphe 3.2 ci</w:t>
      </w:r>
      <w:r w:rsidR="00273986">
        <w:rPr>
          <w:rFonts w:asciiTheme="minorHAnsi" w:eastAsiaTheme="minorEastAsia" w:hAnsiTheme="minorHAnsi" w:cstheme="minorBidi"/>
          <w:szCs w:val="24"/>
          <w:lang w:val="fr-CH" w:eastAsia="zh-CN"/>
        </w:rPr>
        <w:t>-</w:t>
      </w:r>
      <w:r>
        <w:rPr>
          <w:rFonts w:asciiTheme="minorHAnsi" w:eastAsiaTheme="minorEastAsia" w:hAnsiTheme="minorHAnsi" w:cstheme="minorBidi"/>
          <w:szCs w:val="24"/>
          <w:lang w:val="fr-CH" w:eastAsia="zh-CN"/>
        </w:rPr>
        <w:t>dessus en ce qui concerne les politiques officielles d'accès/de divulgation.</w:t>
      </w:r>
    </w:p>
    <w:p w:rsidR="00E06DA1" w:rsidRPr="00774E6A" w:rsidRDefault="00774E6A" w:rsidP="00774E6A">
      <w:pPr>
        <w:pStyle w:val="enumlev1"/>
        <w:rPr>
          <w:rFonts w:eastAsiaTheme="minorEastAsia"/>
          <w:lang w:val="fr-CH" w:eastAsia="zh-CN"/>
        </w:rPr>
      </w:pPr>
      <w:r w:rsidRPr="00774E6A">
        <w:rPr>
          <w:rFonts w:eastAsiaTheme="minorEastAsia"/>
          <w:lang w:val="fr-CH" w:eastAsia="zh-CN"/>
        </w:rPr>
        <w:t>–</w:t>
      </w:r>
      <w:r>
        <w:rPr>
          <w:rFonts w:eastAsiaTheme="minorEastAsia"/>
          <w:lang w:val="fr-CH" w:eastAsia="zh-CN"/>
        </w:rPr>
        <w:tab/>
      </w:r>
      <w:r w:rsidR="00E06DA1" w:rsidRPr="00774E6A">
        <w:rPr>
          <w:rFonts w:eastAsiaTheme="minorEastAsia"/>
          <w:lang w:val="fr-CH" w:eastAsia="zh-CN"/>
        </w:rPr>
        <w:t>Exemples: OMPI, UNESCO, OMS, AIEA, FAO</w:t>
      </w:r>
    </w:p>
    <w:p w:rsidR="00E06DA1" w:rsidRPr="00B4799B" w:rsidRDefault="00E06DA1" w:rsidP="00774E6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val="fr-CH" w:eastAsia="zh-CN"/>
        </w:rPr>
      </w:pPr>
      <w:r>
        <w:rPr>
          <w:rFonts w:asciiTheme="minorHAnsi" w:eastAsiaTheme="minorEastAsia" w:hAnsiTheme="minorHAnsi" w:cstheme="minorBidi"/>
          <w:szCs w:val="24"/>
          <w:lang w:val="fr-CH" w:eastAsia="zh-CN"/>
        </w:rPr>
        <w:t>3.5</w:t>
      </w:r>
      <w:r>
        <w:rPr>
          <w:rFonts w:asciiTheme="minorHAnsi" w:eastAsiaTheme="minorEastAsia" w:hAnsiTheme="minorHAnsi" w:cstheme="minorBidi"/>
          <w:szCs w:val="24"/>
          <w:lang w:val="fr-CH" w:eastAsia="zh-CN"/>
        </w:rPr>
        <w:tab/>
        <w:t>En 2014, le Secrétariat a mené une enquête sur les politiques et les pratiques de divulgation de l'information en vigueur dans cinq organismes de normalisation: l'ETSI, l'IEEE, l'IETF, la CEI et l'ISO. Aucune de ces organisations n'est dotée de politique officielle d'accès/de divulgation, mais toutes publient régulièrement sur leur site web un large éventail d'informations concernant l'organisation et ses activités. Pour ce qui est des informations relatives à l'élaboration de normes et des documents des groupes de travail chargés d'élaborer des normes, la quantité et la nature des informations mises à la disposition du public varient considérablement en fonction de la composition, du rôle et des fonctions des groupes de travail concernés, ainsi que du niveau de participation du public au processus d'élaboration des normes.</w:t>
      </w:r>
    </w:p>
    <w:p w:rsidR="00E06DA1" w:rsidRPr="00B4799B" w:rsidRDefault="00774E6A" w:rsidP="00774E6A">
      <w:pPr>
        <w:pStyle w:val="Heading1"/>
        <w:rPr>
          <w:lang w:val="fr-CH"/>
        </w:rPr>
      </w:pPr>
      <w:r>
        <w:rPr>
          <w:lang w:val="fr-CH"/>
        </w:rPr>
        <w:t>4</w:t>
      </w:r>
      <w:r w:rsidR="00E06DA1" w:rsidRPr="00B4799B">
        <w:rPr>
          <w:lang w:val="fr-CH"/>
        </w:rPr>
        <w:tab/>
        <w:t>CARACTÉRISTIQUES COMMUNES DES POLITIQUES D</w:t>
      </w:r>
      <w:r w:rsidR="00E06DA1">
        <w:rPr>
          <w:lang w:val="fr-CH"/>
        </w:rPr>
        <w:t>'</w:t>
      </w:r>
      <w:r w:rsidR="00E06DA1" w:rsidRPr="00B4799B">
        <w:rPr>
          <w:lang w:val="fr-CH"/>
        </w:rPr>
        <w:t>ACCÈS À</w:t>
      </w:r>
      <w:r w:rsidR="00E06DA1">
        <w:rPr>
          <w:lang w:val="fr-CH"/>
        </w:rPr>
        <w:t xml:space="preserve"> L'INFORMATION</w:t>
      </w:r>
    </w:p>
    <w:p w:rsidR="00E06DA1" w:rsidRPr="009D425D" w:rsidRDefault="00E06DA1" w:rsidP="00774E6A">
      <w:pPr>
        <w:keepNext/>
        <w:keepLines/>
        <w:tabs>
          <w:tab w:val="clear" w:pos="567"/>
          <w:tab w:val="clear" w:pos="1134"/>
          <w:tab w:val="clear" w:pos="1701"/>
          <w:tab w:val="clear" w:pos="2268"/>
          <w:tab w:val="clear" w:pos="2835"/>
        </w:tabs>
        <w:snapToGrid w:val="0"/>
        <w:spacing w:after="120"/>
      </w:pPr>
      <w:r>
        <w:t>Sur la base de l'examen des pratiques en vigueur dans d'autres institutions des Nations Unies et d'autres organisations internationales, il est possible de dégager les caractéristiques communes suivantes:</w:t>
      </w:r>
    </w:p>
    <w:p w:rsidR="00E06DA1" w:rsidRPr="009D425D" w:rsidRDefault="00774E6A" w:rsidP="00774E6A">
      <w:pPr>
        <w:pStyle w:val="enumlev1"/>
      </w:pPr>
      <w:r>
        <w:t>1)</w:t>
      </w:r>
      <w:r>
        <w:tab/>
      </w:r>
      <w:r w:rsidR="00E06DA1" w:rsidRPr="009D425D">
        <w:t xml:space="preserve">Définition </w:t>
      </w:r>
      <w:r w:rsidR="00E06DA1">
        <w:t>de</w:t>
      </w:r>
      <w:r w:rsidR="00E06DA1" w:rsidRPr="009D425D">
        <w:t xml:space="preserve"> termes clés</w:t>
      </w:r>
    </w:p>
    <w:p w:rsidR="00E06DA1" w:rsidRPr="009D425D" w:rsidRDefault="00774E6A" w:rsidP="00774E6A">
      <w:pPr>
        <w:pStyle w:val="enumlev2"/>
      </w:pPr>
      <w:r>
        <w:t>•</w:t>
      </w:r>
      <w:r>
        <w:tab/>
      </w:r>
      <w:r w:rsidR="00E06DA1" w:rsidRPr="009D425D">
        <w:t>Information</w:t>
      </w:r>
    </w:p>
    <w:p w:rsidR="00E06DA1" w:rsidRPr="009D425D" w:rsidRDefault="00774E6A" w:rsidP="00774E6A">
      <w:pPr>
        <w:pStyle w:val="enumlev2"/>
      </w:pPr>
      <w:r>
        <w:t>•</w:t>
      </w:r>
      <w:r>
        <w:tab/>
      </w:r>
      <w:r w:rsidR="00E06DA1" w:rsidRPr="009D425D">
        <w:t>Document</w:t>
      </w:r>
    </w:p>
    <w:p w:rsidR="00E06DA1" w:rsidRPr="009D425D" w:rsidRDefault="00774E6A" w:rsidP="00774E6A">
      <w:pPr>
        <w:pStyle w:val="enumlev2"/>
      </w:pPr>
      <w:r>
        <w:t>•</w:t>
      </w:r>
      <w:r>
        <w:tab/>
      </w:r>
      <w:r w:rsidR="00E06DA1" w:rsidRPr="009D425D">
        <w:t>Publication</w:t>
      </w:r>
    </w:p>
    <w:p w:rsidR="00E06DA1" w:rsidRPr="009D425D" w:rsidRDefault="00774E6A" w:rsidP="00774E6A">
      <w:pPr>
        <w:pStyle w:val="enumlev2"/>
      </w:pPr>
      <w:r>
        <w:t>•</w:t>
      </w:r>
      <w:r>
        <w:tab/>
      </w:r>
      <w:r w:rsidR="00E06DA1" w:rsidRPr="009D425D">
        <w:t>Accès</w:t>
      </w:r>
      <w:r w:rsidR="00E06DA1">
        <w:t xml:space="preserve"> à</w:t>
      </w:r>
      <w:r w:rsidR="00E06DA1" w:rsidRPr="009D425D">
        <w:t>/Divulgation de l</w:t>
      </w:r>
      <w:r w:rsidR="00E06DA1">
        <w:t>'</w:t>
      </w:r>
      <w:r w:rsidR="00E06DA1" w:rsidRPr="009D425D">
        <w:t>information</w:t>
      </w:r>
    </w:p>
    <w:p w:rsidR="00E06DA1" w:rsidRPr="009D425D" w:rsidRDefault="00774E6A" w:rsidP="00774E6A">
      <w:pPr>
        <w:pStyle w:val="enumlev1"/>
      </w:pPr>
      <w:r>
        <w:t>2)</w:t>
      </w:r>
      <w:r>
        <w:tab/>
      </w:r>
      <w:r w:rsidR="00E06DA1" w:rsidRPr="009D425D">
        <w:t>Enoncé de principes</w:t>
      </w:r>
    </w:p>
    <w:p w:rsidR="00E06DA1" w:rsidRPr="00774E6A" w:rsidRDefault="00774E6A" w:rsidP="00774E6A">
      <w:pPr>
        <w:pStyle w:val="enumlev2"/>
      </w:pPr>
      <w:r>
        <w:t>•</w:t>
      </w:r>
      <w:r>
        <w:tab/>
      </w:r>
      <w:r w:rsidR="00E06DA1" w:rsidRPr="00774E6A">
        <w:t>Principe général: Position de l'organisation en ce qui concerne l'ouverture et la transparence et la divulgation de l'information (la plupart des organisations s'orientent vers une politique de divulgation générale soumise à des exceptions précises)</w:t>
      </w:r>
    </w:p>
    <w:p w:rsidR="00E06DA1" w:rsidRPr="00774E6A" w:rsidRDefault="00774E6A" w:rsidP="00774E6A">
      <w:pPr>
        <w:pStyle w:val="enumlev2"/>
      </w:pPr>
      <w:r>
        <w:t>•</w:t>
      </w:r>
      <w:r>
        <w:tab/>
      </w:r>
      <w:r w:rsidR="00E06DA1" w:rsidRPr="00774E6A">
        <w:t>Portée: Une politique d'accès devrait définir des principes de base régissant l'accès à tous les types d'information – dans tous les formats et sur tous les supports – créés, reçus et utilisés par l'organisation.</w:t>
      </w:r>
    </w:p>
    <w:p w:rsidR="00E06DA1" w:rsidRPr="00774E6A" w:rsidRDefault="00774E6A" w:rsidP="00774E6A">
      <w:pPr>
        <w:pStyle w:val="enumlev2"/>
      </w:pPr>
      <w:r>
        <w:t>•</w:t>
      </w:r>
      <w:r>
        <w:tab/>
      </w:r>
      <w:r w:rsidR="00E06DA1" w:rsidRPr="00774E6A">
        <w:t>Objectif: Quel est l'objectif de l'organisation?</w:t>
      </w:r>
    </w:p>
    <w:p w:rsidR="00E06DA1" w:rsidRPr="00774E6A" w:rsidRDefault="00774E6A" w:rsidP="00774E6A">
      <w:pPr>
        <w:pStyle w:val="enumlev2"/>
      </w:pPr>
      <w:r>
        <w:t>•</w:t>
      </w:r>
      <w:r>
        <w:tab/>
      </w:r>
      <w:r w:rsidR="00E06DA1" w:rsidRPr="00774E6A">
        <w:t>Les objectifs communs relevés dans les politiques d'autres organisations internationales incluent:</w:t>
      </w:r>
    </w:p>
    <w:p w:rsidR="00E06DA1" w:rsidRDefault="00774E6A" w:rsidP="00774E6A">
      <w:pPr>
        <w:pStyle w:val="enumlev3"/>
        <w:rPr>
          <w:lang w:val="fr-CH"/>
        </w:rPr>
      </w:pPr>
      <w:r w:rsidRPr="00774E6A">
        <w:rPr>
          <w:lang w:val="fr-CH"/>
        </w:rPr>
        <w:t>–</w:t>
      </w:r>
      <w:r>
        <w:rPr>
          <w:lang w:val="fr-CH"/>
        </w:rPr>
        <w:tab/>
      </w:r>
      <w:r w:rsidR="00E06DA1" w:rsidRPr="002D5EFC">
        <w:rPr>
          <w:lang w:val="fr-CH"/>
        </w:rPr>
        <w:t>Favoriser la participation efficace de toutes les parties prenantes, y compris le grand public, aux travaux de l</w:t>
      </w:r>
      <w:r w:rsidR="00E06DA1">
        <w:rPr>
          <w:lang w:val="fr-CH"/>
        </w:rPr>
        <w:t>'</w:t>
      </w:r>
      <w:r w:rsidR="00E06DA1" w:rsidRPr="002D5EFC">
        <w:rPr>
          <w:lang w:val="fr-CH"/>
        </w:rPr>
        <w:t>organisation</w:t>
      </w:r>
    </w:p>
    <w:p w:rsidR="00E06DA1" w:rsidRDefault="00774E6A" w:rsidP="00774E6A">
      <w:pPr>
        <w:pStyle w:val="enumlev3"/>
        <w:rPr>
          <w:lang w:val="fr-CH"/>
        </w:rPr>
      </w:pPr>
      <w:r w:rsidRPr="00774E6A">
        <w:rPr>
          <w:lang w:val="fr-CH"/>
        </w:rPr>
        <w:lastRenderedPageBreak/>
        <w:t>–</w:t>
      </w:r>
      <w:r>
        <w:rPr>
          <w:lang w:val="fr-CH"/>
        </w:rPr>
        <w:tab/>
      </w:r>
      <w:r w:rsidR="00E06DA1" w:rsidRPr="002D5EFC">
        <w:rPr>
          <w:lang w:val="fr-CH"/>
        </w:rPr>
        <w:t>Partage d</w:t>
      </w:r>
      <w:r w:rsidR="00E06DA1">
        <w:rPr>
          <w:lang w:val="fr-CH"/>
        </w:rPr>
        <w:t>'</w:t>
      </w:r>
      <w:r w:rsidR="00E06DA1" w:rsidRPr="002D5EFC">
        <w:rPr>
          <w:lang w:val="fr-CH"/>
        </w:rPr>
        <w:t xml:space="preserve">informations: </w:t>
      </w:r>
      <w:r w:rsidR="00E06DA1">
        <w:rPr>
          <w:lang w:val="fr-CH"/>
        </w:rPr>
        <w:t xml:space="preserve">adopter un </w:t>
      </w:r>
      <w:r w:rsidR="00E06DA1" w:rsidRPr="002D5EFC">
        <w:rPr>
          <w:lang w:val="fr-CH"/>
        </w:rPr>
        <w:t>fonctionne</w:t>
      </w:r>
      <w:r w:rsidR="00E06DA1">
        <w:rPr>
          <w:lang w:val="fr-CH"/>
        </w:rPr>
        <w:t>ment</w:t>
      </w:r>
      <w:r w:rsidR="00E06DA1" w:rsidRPr="002D5EFC">
        <w:rPr>
          <w:lang w:val="fr-CH"/>
        </w:rPr>
        <w:t xml:space="preserve"> ouvert et transparent afin de </w:t>
      </w:r>
      <w:r w:rsidR="00E06DA1">
        <w:rPr>
          <w:lang w:val="fr-CH"/>
        </w:rPr>
        <w:t xml:space="preserve">démontrer l'obtention de résultats significatifs </w:t>
      </w:r>
      <w:r w:rsidR="00E06DA1" w:rsidRPr="002D5EFC">
        <w:rPr>
          <w:lang w:val="fr-CH"/>
        </w:rPr>
        <w:t>et d</w:t>
      </w:r>
      <w:r w:rsidR="00E06DA1">
        <w:rPr>
          <w:lang w:val="fr-CH"/>
        </w:rPr>
        <w:t>'</w:t>
      </w:r>
      <w:r w:rsidR="00E06DA1" w:rsidRPr="002D5EFC">
        <w:rPr>
          <w:lang w:val="fr-CH"/>
        </w:rPr>
        <w:t>inspirer la confiance chez les parties prenantes et le public</w:t>
      </w:r>
    </w:p>
    <w:p w:rsidR="00E06DA1" w:rsidRPr="002D5EFC" w:rsidRDefault="00774E6A" w:rsidP="00774E6A">
      <w:pPr>
        <w:pStyle w:val="enumlev3"/>
        <w:rPr>
          <w:lang w:val="fr-CH"/>
        </w:rPr>
      </w:pPr>
      <w:r w:rsidRPr="00774E6A">
        <w:rPr>
          <w:lang w:val="fr-CH"/>
        </w:rPr>
        <w:t>–</w:t>
      </w:r>
      <w:r>
        <w:rPr>
          <w:lang w:val="fr-CH"/>
        </w:rPr>
        <w:tab/>
      </w:r>
      <w:r w:rsidR="00E06DA1">
        <w:rPr>
          <w:lang w:val="fr-CH"/>
        </w:rPr>
        <w:t>L'accès public aux informations favorise la compréhension de la mission et des travaux de l'organisation</w:t>
      </w:r>
    </w:p>
    <w:p w:rsidR="00E06DA1" w:rsidRPr="00774E6A" w:rsidRDefault="00774E6A" w:rsidP="00774E6A">
      <w:pPr>
        <w:pStyle w:val="enumlev2"/>
      </w:pPr>
      <w:r>
        <w:t>•</w:t>
      </w:r>
      <w:r>
        <w:tab/>
      </w:r>
      <w:r w:rsidR="00E06DA1" w:rsidRPr="00774E6A">
        <w:t>Intérêt des membres: L'accès aux informations va-t-il dans l'intérêt des membres, et cet intérêt l'emporte-t-il sur le droit à l'information du public?</w:t>
      </w:r>
    </w:p>
    <w:p w:rsidR="00E06DA1" w:rsidRPr="002B584C" w:rsidRDefault="00774E6A" w:rsidP="00774E6A">
      <w:pPr>
        <w:pStyle w:val="enumlev1"/>
      </w:pPr>
      <w:r>
        <w:t>3)</w:t>
      </w:r>
      <w:r>
        <w:tab/>
      </w:r>
      <w:r w:rsidR="00E06DA1" w:rsidRPr="002B584C">
        <w:t>Exceptions</w:t>
      </w:r>
    </w:p>
    <w:p w:rsidR="00E06DA1" w:rsidRPr="00774E6A" w:rsidRDefault="00774E6A" w:rsidP="00774E6A">
      <w:pPr>
        <w:pStyle w:val="enumlev2"/>
      </w:pPr>
      <w:r>
        <w:t>•</w:t>
      </w:r>
      <w:r>
        <w:tab/>
      </w:r>
      <w:r w:rsidR="00E06DA1" w:rsidRPr="00774E6A">
        <w:t xml:space="preserve">Les motifs sur lesquels se base la non-divulgation d'informations devraient être clairement et spécifiquement établis. Toutes les exceptions/restrictions relatives à l'accès devraient concerner des catégories d'informations dont la divulgation pourrait causer à des intérêts publics ou privés légitimes un préjudice que ne sauraient justifier les avantages de l'accessibilité. </w:t>
      </w:r>
    </w:p>
    <w:p w:rsidR="00E06DA1" w:rsidRPr="00774E6A" w:rsidRDefault="00774E6A" w:rsidP="00774E6A">
      <w:pPr>
        <w:pStyle w:val="enumlev2"/>
      </w:pPr>
      <w:r>
        <w:t>•</w:t>
      </w:r>
      <w:r>
        <w:tab/>
      </w:r>
      <w:r w:rsidR="00E06DA1" w:rsidRPr="00774E6A">
        <w:t xml:space="preserve">Les exceptions devraient se fonder sur le </w:t>
      </w:r>
      <w:r w:rsidR="00E06DA1" w:rsidRPr="008A5449">
        <w:rPr>
          <w:i/>
          <w:iCs/>
        </w:rPr>
        <w:t>contenu</w:t>
      </w:r>
      <w:r w:rsidR="00E06DA1" w:rsidRPr="00774E6A">
        <w:t xml:space="preserve"> plutôt que sur le </w:t>
      </w:r>
      <w:r w:rsidR="00E06DA1" w:rsidRPr="008A5449">
        <w:rPr>
          <w:i/>
          <w:iCs/>
        </w:rPr>
        <w:t>type</w:t>
      </w:r>
      <w:r w:rsidR="00E06DA1" w:rsidRPr="00774E6A">
        <w:t xml:space="preserve"> des documents.</w:t>
      </w:r>
    </w:p>
    <w:p w:rsidR="00E06DA1" w:rsidRPr="00774E6A" w:rsidRDefault="00774E6A" w:rsidP="00774E6A">
      <w:pPr>
        <w:pStyle w:val="enumlev2"/>
      </w:pPr>
      <w:r>
        <w:t>•</w:t>
      </w:r>
      <w:r>
        <w:tab/>
      </w:r>
      <w:r w:rsidR="00E06DA1" w:rsidRPr="00774E6A">
        <w:t>Les exceptions devraient décrire les catégories de contenus de façon générale. Les énoncés/critères peuvent ensuite être utilisés pour évaluer tout document émanant d'une partie quelconque de l'organisation, afin de déterminer s'il est d'accès ouvert ou restreint/confidentiel. Des procédures spécifiques peuvent être mises en place afin d'établir une correspondance entre les types de documents existants de l'organisation et les catégories soumises à des restrictions.</w:t>
      </w:r>
    </w:p>
    <w:p w:rsidR="00E06DA1" w:rsidRPr="00774E6A" w:rsidRDefault="00774E6A" w:rsidP="00774E6A">
      <w:pPr>
        <w:pStyle w:val="enumlev2"/>
      </w:pPr>
      <w:r>
        <w:t>•</w:t>
      </w:r>
      <w:r>
        <w:tab/>
      </w:r>
      <w:r w:rsidR="00E06DA1" w:rsidRPr="00774E6A">
        <w:t>Les exceptions devraient, chaque fois que cela est possible, être limitées dans le temps. La politique d'accès devrait énoncer clairement la portée et la durée des restrictions (soit pour une durée précise, soit jusqu'à ce qu'une condition précise soit remplie).</w:t>
      </w:r>
    </w:p>
    <w:p w:rsidR="00E06DA1" w:rsidRPr="00774E6A" w:rsidRDefault="00774E6A" w:rsidP="00774E6A">
      <w:pPr>
        <w:pStyle w:val="enumlev2"/>
      </w:pPr>
      <w:r>
        <w:t>•</w:t>
      </w:r>
      <w:r>
        <w:tab/>
      </w:r>
      <w:r w:rsidR="00E06DA1" w:rsidRPr="00774E6A">
        <w:t>Les catégories d'informations faisant communément l'objet d'exceptions incluent:</w:t>
      </w:r>
    </w:p>
    <w:p w:rsidR="00E06DA1" w:rsidRDefault="00774E6A" w:rsidP="00774E6A">
      <w:pPr>
        <w:pStyle w:val="enumlev3"/>
      </w:pPr>
      <w:r>
        <w:t>i)</w:t>
      </w:r>
      <w:r>
        <w:tab/>
      </w:r>
      <w:r w:rsidR="00E06DA1">
        <w:t xml:space="preserve">les </w:t>
      </w:r>
      <w:r w:rsidR="00E06DA1" w:rsidRPr="003338B8">
        <w:t>informations personnelles;</w:t>
      </w:r>
    </w:p>
    <w:p w:rsidR="00E06DA1" w:rsidRDefault="00774E6A" w:rsidP="00774E6A">
      <w:pPr>
        <w:pStyle w:val="enumlev3"/>
        <w:rPr>
          <w:lang w:val="fr-CH"/>
        </w:rPr>
      </w:pPr>
      <w:r>
        <w:t>ii)</w:t>
      </w:r>
      <w:r>
        <w:tab/>
      </w:r>
      <w:r w:rsidR="00E06DA1">
        <w:t>les</w:t>
      </w:r>
      <w:r w:rsidR="00E06DA1">
        <w:rPr>
          <w:lang w:val="fr-CH"/>
        </w:rPr>
        <w:t xml:space="preserve"> </w:t>
      </w:r>
      <w:r w:rsidR="00E06DA1" w:rsidRPr="00860EAA">
        <w:rPr>
          <w:lang w:val="fr-CH"/>
        </w:rPr>
        <w:t>informations relatives à des questions juridiques</w:t>
      </w:r>
      <w:r w:rsidR="00E06DA1">
        <w:rPr>
          <w:lang w:val="fr-CH"/>
        </w:rPr>
        <w:t xml:space="preserve"> ou</w:t>
      </w:r>
      <w:r w:rsidR="00E06DA1" w:rsidRPr="00860EAA">
        <w:rPr>
          <w:lang w:val="fr-CH"/>
        </w:rPr>
        <w:t xml:space="preserve"> disciplinaires ou</w:t>
      </w:r>
      <w:r w:rsidR="00E06DA1">
        <w:rPr>
          <w:lang w:val="fr-CH"/>
        </w:rPr>
        <w:t xml:space="preserve"> à des enquêtes;</w:t>
      </w:r>
    </w:p>
    <w:p w:rsidR="00E06DA1" w:rsidRDefault="00774E6A" w:rsidP="00774E6A">
      <w:pPr>
        <w:pStyle w:val="enumlev3"/>
        <w:rPr>
          <w:lang w:val="fr-CH"/>
        </w:rPr>
      </w:pPr>
      <w:r>
        <w:rPr>
          <w:lang w:val="fr-CH"/>
        </w:rPr>
        <w:t>iii)</w:t>
      </w:r>
      <w:r>
        <w:rPr>
          <w:lang w:val="fr-CH"/>
        </w:rPr>
        <w:tab/>
      </w:r>
      <w:r w:rsidR="00E06DA1">
        <w:rPr>
          <w:lang w:val="fr-CH"/>
        </w:rPr>
        <w:t>les informations qui compromettraient la sûreté et la sécurité;</w:t>
      </w:r>
    </w:p>
    <w:p w:rsidR="00E06DA1" w:rsidRDefault="00774E6A" w:rsidP="00774E6A">
      <w:pPr>
        <w:pStyle w:val="enumlev3"/>
        <w:rPr>
          <w:lang w:val="fr-CH"/>
        </w:rPr>
      </w:pPr>
      <w:r>
        <w:rPr>
          <w:lang w:val="fr-CH"/>
        </w:rPr>
        <w:t>iv)</w:t>
      </w:r>
      <w:r>
        <w:rPr>
          <w:lang w:val="fr-CH"/>
        </w:rPr>
        <w:tab/>
      </w:r>
      <w:r w:rsidR="00E06DA1">
        <w:rPr>
          <w:lang w:val="fr-CH"/>
        </w:rPr>
        <w:t>les informations fournies sous couvert de confidentialité par des Etats Membres/membres ou par des tiers;</w:t>
      </w:r>
    </w:p>
    <w:p w:rsidR="00E06DA1" w:rsidRDefault="00774E6A" w:rsidP="00774E6A">
      <w:pPr>
        <w:pStyle w:val="enumlev3"/>
        <w:rPr>
          <w:lang w:val="fr-CH"/>
        </w:rPr>
      </w:pPr>
      <w:r>
        <w:rPr>
          <w:lang w:val="fr-CH"/>
        </w:rPr>
        <w:t>v)</w:t>
      </w:r>
      <w:r>
        <w:rPr>
          <w:lang w:val="fr-CH"/>
        </w:rPr>
        <w:tab/>
      </w:r>
      <w:r w:rsidR="00E06DA1">
        <w:rPr>
          <w:lang w:val="fr-CH"/>
        </w:rPr>
        <w:t>les informations commerciales;</w:t>
      </w:r>
    </w:p>
    <w:p w:rsidR="00E06DA1" w:rsidRDefault="00774E6A" w:rsidP="00774E6A">
      <w:pPr>
        <w:pStyle w:val="enumlev3"/>
        <w:rPr>
          <w:lang w:val="fr-CH"/>
        </w:rPr>
      </w:pPr>
      <w:r>
        <w:rPr>
          <w:lang w:val="fr-CH"/>
        </w:rPr>
        <w:t>vi)</w:t>
      </w:r>
      <w:r>
        <w:rPr>
          <w:lang w:val="fr-CH"/>
        </w:rPr>
        <w:tab/>
      </w:r>
      <w:r w:rsidR="00E06DA1">
        <w:rPr>
          <w:lang w:val="fr-CH"/>
        </w:rPr>
        <w:t>les informations financières;</w:t>
      </w:r>
    </w:p>
    <w:p w:rsidR="00E06DA1" w:rsidRPr="00860EAA" w:rsidRDefault="00774E6A" w:rsidP="00774E6A">
      <w:pPr>
        <w:pStyle w:val="enumlev3"/>
        <w:rPr>
          <w:lang w:val="fr-CH"/>
        </w:rPr>
      </w:pPr>
      <w:r>
        <w:rPr>
          <w:lang w:val="fr-CH"/>
        </w:rPr>
        <w:t>vii)</w:t>
      </w:r>
      <w:r>
        <w:rPr>
          <w:lang w:val="fr-CH"/>
        </w:rPr>
        <w:tab/>
      </w:r>
      <w:r w:rsidR="00E06DA1">
        <w:rPr>
          <w:lang w:val="fr-CH"/>
        </w:rPr>
        <w:t>les informations nécessaires à des processus décisionnels internes dans un cadre de délibération.</w:t>
      </w:r>
    </w:p>
    <w:p w:rsidR="00E06DA1" w:rsidRPr="00860EAA" w:rsidRDefault="00774E6A" w:rsidP="00774E6A">
      <w:pPr>
        <w:pStyle w:val="enumlev1"/>
        <w:rPr>
          <w:lang w:val="fr-CH"/>
        </w:rPr>
      </w:pPr>
      <w:r>
        <w:rPr>
          <w:lang w:val="fr-CH"/>
        </w:rPr>
        <w:t>4)</w:t>
      </w:r>
      <w:r>
        <w:rPr>
          <w:lang w:val="fr-CH"/>
        </w:rPr>
        <w:tab/>
      </w:r>
      <w:r w:rsidR="00E06DA1" w:rsidRPr="00860EAA">
        <w:rPr>
          <w:lang w:val="fr-CH"/>
        </w:rPr>
        <w:t xml:space="preserve">Aspects relatifs à la mise en </w:t>
      </w:r>
      <w:proofErr w:type="spellStart"/>
      <w:r w:rsidR="00FB021B">
        <w:rPr>
          <w:lang w:val="fr-CH"/>
        </w:rPr>
        <w:t>oe</w:t>
      </w:r>
      <w:r w:rsidR="00E06DA1" w:rsidRPr="00860EAA">
        <w:rPr>
          <w:lang w:val="fr-CH"/>
        </w:rPr>
        <w:t>uvre</w:t>
      </w:r>
      <w:proofErr w:type="spellEnd"/>
    </w:p>
    <w:p w:rsidR="00E06DA1" w:rsidRPr="00754304" w:rsidRDefault="00774E6A" w:rsidP="008A5449">
      <w:pPr>
        <w:pStyle w:val="enumlev2"/>
        <w:rPr>
          <w:lang w:val="fr-CH"/>
        </w:rPr>
      </w:pPr>
      <w:r w:rsidRPr="00774E6A">
        <w:rPr>
          <w:lang w:val="fr-CH"/>
        </w:rPr>
        <w:t>•</w:t>
      </w:r>
      <w:r>
        <w:rPr>
          <w:lang w:val="fr-CH"/>
        </w:rPr>
        <w:tab/>
      </w:r>
      <w:r w:rsidR="00E06DA1">
        <w:rPr>
          <w:lang w:val="fr-CH"/>
        </w:rPr>
        <w:t>Selon quelles modalités les informations seront-elles mises à la disposition du public?</w:t>
      </w:r>
    </w:p>
    <w:p w:rsidR="00E06DA1" w:rsidRPr="00593CD6" w:rsidRDefault="00774E6A" w:rsidP="008A5449">
      <w:pPr>
        <w:pStyle w:val="enumlev3"/>
        <w:rPr>
          <w:lang w:val="fr-CH"/>
        </w:rPr>
      </w:pPr>
      <w:r w:rsidRPr="00774E6A">
        <w:rPr>
          <w:lang w:val="fr-CH"/>
        </w:rPr>
        <w:t>–</w:t>
      </w:r>
      <w:r>
        <w:rPr>
          <w:lang w:val="fr-CH"/>
        </w:rPr>
        <w:tab/>
      </w:r>
      <w:r w:rsidR="00E06DA1" w:rsidRPr="00593CD6">
        <w:rPr>
          <w:lang w:val="fr-CH"/>
        </w:rPr>
        <w:t>Publi</w:t>
      </w:r>
      <w:r w:rsidR="00E06DA1">
        <w:rPr>
          <w:lang w:val="fr-CH"/>
        </w:rPr>
        <w:t>cation</w:t>
      </w:r>
      <w:r w:rsidR="00E06DA1" w:rsidRPr="00593CD6">
        <w:rPr>
          <w:lang w:val="fr-CH"/>
        </w:rPr>
        <w:t xml:space="preserve"> </w:t>
      </w:r>
      <w:r w:rsidR="00E06DA1">
        <w:rPr>
          <w:lang w:val="fr-CH"/>
        </w:rPr>
        <w:t>volontaire d</w:t>
      </w:r>
      <w:r w:rsidR="00E06DA1" w:rsidRPr="00593CD6">
        <w:rPr>
          <w:lang w:val="fr-CH"/>
        </w:rPr>
        <w:t>es informations sur le site web de l</w:t>
      </w:r>
      <w:r w:rsidR="00E06DA1">
        <w:rPr>
          <w:lang w:val="fr-CH"/>
        </w:rPr>
        <w:t>'organisation</w:t>
      </w:r>
    </w:p>
    <w:p w:rsidR="00E06DA1" w:rsidRPr="00754304" w:rsidRDefault="00774E6A" w:rsidP="008A5449">
      <w:pPr>
        <w:pStyle w:val="enumlev3"/>
        <w:rPr>
          <w:lang w:val="fr-CH"/>
        </w:rPr>
      </w:pPr>
      <w:r w:rsidRPr="00774E6A">
        <w:rPr>
          <w:lang w:val="fr-CH"/>
        </w:rPr>
        <w:t>–</w:t>
      </w:r>
      <w:r>
        <w:rPr>
          <w:lang w:val="fr-CH"/>
        </w:rPr>
        <w:tab/>
      </w:r>
      <w:r w:rsidR="00E06DA1" w:rsidRPr="00754304">
        <w:rPr>
          <w:lang w:val="fr-CH"/>
        </w:rPr>
        <w:t>Diffus</w:t>
      </w:r>
      <w:r w:rsidR="00E06DA1">
        <w:rPr>
          <w:lang w:val="fr-CH"/>
        </w:rPr>
        <w:t>ion d</w:t>
      </w:r>
      <w:r w:rsidR="00E06DA1" w:rsidRPr="00754304">
        <w:rPr>
          <w:lang w:val="fr-CH"/>
        </w:rPr>
        <w:t>e</w:t>
      </w:r>
      <w:r w:rsidR="00E06DA1">
        <w:rPr>
          <w:lang w:val="fr-CH"/>
        </w:rPr>
        <w:t>s</w:t>
      </w:r>
      <w:r w:rsidR="00E06DA1" w:rsidRPr="00754304">
        <w:rPr>
          <w:lang w:val="fr-CH"/>
        </w:rPr>
        <w:t xml:space="preserve"> information</w:t>
      </w:r>
      <w:r w:rsidR="00E06DA1">
        <w:rPr>
          <w:lang w:val="fr-CH"/>
        </w:rPr>
        <w:t>s</w:t>
      </w:r>
      <w:r w:rsidR="00E06DA1" w:rsidRPr="00754304">
        <w:rPr>
          <w:lang w:val="fr-CH"/>
        </w:rPr>
        <w:t xml:space="preserve"> à des points régionaux d</w:t>
      </w:r>
      <w:r w:rsidR="00E06DA1">
        <w:rPr>
          <w:lang w:val="fr-CH"/>
        </w:rPr>
        <w:t>'</w:t>
      </w:r>
      <w:r w:rsidR="00E06DA1" w:rsidRPr="00754304">
        <w:rPr>
          <w:lang w:val="fr-CH"/>
        </w:rPr>
        <w:t>information</w:t>
      </w:r>
    </w:p>
    <w:p w:rsidR="00E06DA1" w:rsidRPr="00754304" w:rsidRDefault="00774E6A" w:rsidP="008A5449">
      <w:pPr>
        <w:pStyle w:val="enumlev3"/>
      </w:pPr>
      <w:r>
        <w:t>–</w:t>
      </w:r>
      <w:r>
        <w:tab/>
      </w:r>
      <w:r w:rsidR="00E06DA1">
        <w:t>Acceptation de</w:t>
      </w:r>
      <w:r w:rsidR="00E06DA1" w:rsidRPr="00754304">
        <w:t xml:space="preserve"> demandes d</w:t>
      </w:r>
      <w:r w:rsidR="00E06DA1">
        <w:t>'</w:t>
      </w:r>
      <w:r w:rsidR="00E06DA1" w:rsidRPr="00754304">
        <w:t>information individuelles</w:t>
      </w:r>
    </w:p>
    <w:p w:rsidR="00E06DA1" w:rsidRPr="00774E6A" w:rsidRDefault="00774E6A" w:rsidP="00F45710">
      <w:pPr>
        <w:pStyle w:val="enumlev2"/>
        <w:rPr>
          <w:lang w:val="fr-CH"/>
        </w:rPr>
      </w:pPr>
      <w:r w:rsidRPr="00774E6A">
        <w:rPr>
          <w:lang w:val="fr-CH"/>
        </w:rPr>
        <w:lastRenderedPageBreak/>
        <w:t>•</w:t>
      </w:r>
      <w:r>
        <w:rPr>
          <w:lang w:val="fr-CH"/>
        </w:rPr>
        <w:tab/>
      </w:r>
      <w:r w:rsidR="00E06DA1" w:rsidRPr="00774E6A">
        <w:rPr>
          <w:lang w:val="fr-CH"/>
        </w:rPr>
        <w:t>Qui est responsable de la gestion des demandes d'information? Quel est le processus à utiliser pour gérer les demandes d'information?</w:t>
      </w:r>
    </w:p>
    <w:p w:rsidR="00E06DA1" w:rsidRPr="00774E6A" w:rsidRDefault="00774E6A" w:rsidP="00F45710">
      <w:pPr>
        <w:pStyle w:val="enumlev2"/>
        <w:rPr>
          <w:lang w:val="fr-CH"/>
        </w:rPr>
      </w:pPr>
      <w:r w:rsidRPr="00774E6A">
        <w:rPr>
          <w:lang w:val="fr-CH"/>
        </w:rPr>
        <w:t>•</w:t>
      </w:r>
      <w:r>
        <w:rPr>
          <w:lang w:val="fr-CH"/>
        </w:rPr>
        <w:tab/>
      </w:r>
      <w:r w:rsidR="00E06DA1" w:rsidRPr="00774E6A">
        <w:rPr>
          <w:lang w:val="fr-CH"/>
        </w:rPr>
        <w:t>Création d'un comité de supervision/d'accès à l'information</w:t>
      </w:r>
      <w:r w:rsidR="00E06DA1" w:rsidRPr="00774E6A">
        <w:rPr>
          <w:vertAlign w:val="superscript"/>
          <w:lang w:val="fr-CH"/>
        </w:rPr>
        <w:footnoteReference w:id="4"/>
      </w:r>
      <w:r w:rsidR="00E06DA1" w:rsidRPr="00774E6A">
        <w:rPr>
          <w:lang w:val="fr-CH"/>
        </w:rPr>
        <w:t xml:space="preserve">, chargé de superviser la mise en </w:t>
      </w:r>
      <w:proofErr w:type="spellStart"/>
      <w:r w:rsidR="00FB021B" w:rsidRPr="00774E6A">
        <w:rPr>
          <w:lang w:val="fr-CH"/>
        </w:rPr>
        <w:t>oe</w:t>
      </w:r>
      <w:r w:rsidR="00E06DA1" w:rsidRPr="00774E6A">
        <w:rPr>
          <w:lang w:val="fr-CH"/>
        </w:rPr>
        <w:t>uvre</w:t>
      </w:r>
      <w:proofErr w:type="spellEnd"/>
      <w:r w:rsidR="00E06DA1" w:rsidRPr="00774E6A">
        <w:rPr>
          <w:lang w:val="fr-CH"/>
        </w:rPr>
        <w:t xml:space="preserve"> de la politique, et dont le mandat inclue les tâches suivantes:</w:t>
      </w:r>
    </w:p>
    <w:p w:rsidR="00E06DA1" w:rsidRPr="00774E6A" w:rsidRDefault="00774E6A" w:rsidP="00F45710">
      <w:pPr>
        <w:pStyle w:val="enumlev3"/>
        <w:rPr>
          <w:lang w:val="fr-CH"/>
        </w:rPr>
      </w:pPr>
      <w:r w:rsidRPr="00774E6A">
        <w:rPr>
          <w:lang w:val="fr-CH"/>
        </w:rPr>
        <w:t>–</w:t>
      </w:r>
      <w:r>
        <w:rPr>
          <w:lang w:val="fr-CH"/>
        </w:rPr>
        <w:tab/>
      </w:r>
      <w:r w:rsidR="00E06DA1" w:rsidRPr="00774E6A">
        <w:rPr>
          <w:lang w:val="fr-CH"/>
        </w:rPr>
        <w:t>Conseiller l'équipe de direction dans l'application de la politique</w:t>
      </w:r>
      <w:r>
        <w:rPr>
          <w:lang w:val="fr-CH"/>
        </w:rPr>
        <w:t>.</w:t>
      </w:r>
    </w:p>
    <w:p w:rsidR="00E06DA1" w:rsidRPr="00774E6A" w:rsidRDefault="00774E6A" w:rsidP="00F45710">
      <w:pPr>
        <w:pStyle w:val="enumlev3"/>
        <w:rPr>
          <w:lang w:val="fr-CH"/>
        </w:rPr>
      </w:pPr>
      <w:r w:rsidRPr="00774E6A">
        <w:rPr>
          <w:lang w:val="fr-CH"/>
        </w:rPr>
        <w:t>–</w:t>
      </w:r>
      <w:r>
        <w:rPr>
          <w:lang w:val="fr-CH"/>
        </w:rPr>
        <w:tab/>
      </w:r>
      <w:r w:rsidR="00E06DA1" w:rsidRPr="00774E6A">
        <w:rPr>
          <w:lang w:val="fr-CH"/>
        </w:rPr>
        <w:t>Examiner les propositions visant à divulguer des informations figurant sur la liste des exceptions</w:t>
      </w:r>
      <w:r>
        <w:rPr>
          <w:lang w:val="fr-CH"/>
        </w:rPr>
        <w:t>.</w:t>
      </w:r>
    </w:p>
    <w:p w:rsidR="00E06DA1" w:rsidRPr="00774E6A" w:rsidRDefault="00774E6A" w:rsidP="00F45710">
      <w:pPr>
        <w:pStyle w:val="enumlev3"/>
        <w:rPr>
          <w:lang w:val="fr-CH"/>
        </w:rPr>
      </w:pPr>
      <w:r w:rsidRPr="00774E6A">
        <w:rPr>
          <w:lang w:val="fr-CH"/>
        </w:rPr>
        <w:t>–</w:t>
      </w:r>
      <w:r>
        <w:rPr>
          <w:lang w:val="fr-CH"/>
        </w:rPr>
        <w:tab/>
      </w:r>
      <w:r w:rsidR="00E06DA1" w:rsidRPr="00774E6A">
        <w:rPr>
          <w:lang w:val="fr-CH"/>
        </w:rPr>
        <w:t xml:space="preserve">Garantir la cohérence de la mise en </w:t>
      </w:r>
      <w:proofErr w:type="spellStart"/>
      <w:r w:rsidR="00FB021B" w:rsidRPr="00774E6A">
        <w:rPr>
          <w:lang w:val="fr-CH"/>
        </w:rPr>
        <w:t>oe</w:t>
      </w:r>
      <w:r w:rsidR="00E06DA1" w:rsidRPr="00774E6A">
        <w:rPr>
          <w:lang w:val="fr-CH"/>
        </w:rPr>
        <w:t>uvre</w:t>
      </w:r>
      <w:proofErr w:type="spellEnd"/>
      <w:r w:rsidR="00E06DA1" w:rsidRPr="00774E6A">
        <w:rPr>
          <w:lang w:val="fr-CH"/>
        </w:rPr>
        <w:t xml:space="preserve"> et de l'application de la politique</w:t>
      </w:r>
      <w:r>
        <w:rPr>
          <w:lang w:val="fr-CH"/>
        </w:rPr>
        <w:t>.</w:t>
      </w:r>
    </w:p>
    <w:p w:rsidR="00E06DA1" w:rsidRPr="00774E6A" w:rsidRDefault="00774E6A" w:rsidP="00F45710">
      <w:pPr>
        <w:pStyle w:val="enumlev3"/>
        <w:rPr>
          <w:lang w:val="fr-CH"/>
        </w:rPr>
      </w:pPr>
      <w:r w:rsidRPr="00774E6A">
        <w:rPr>
          <w:lang w:val="fr-CH"/>
        </w:rPr>
        <w:t>–</w:t>
      </w:r>
      <w:r>
        <w:rPr>
          <w:lang w:val="fr-CH"/>
        </w:rPr>
        <w:tab/>
      </w:r>
      <w:r w:rsidR="00E06DA1" w:rsidRPr="00774E6A">
        <w:rPr>
          <w:lang w:val="fr-CH"/>
        </w:rPr>
        <w:t>Recevoir les appels et statuer sur ces derniers</w:t>
      </w:r>
      <w:r>
        <w:rPr>
          <w:lang w:val="fr-CH"/>
        </w:rPr>
        <w:t>.</w:t>
      </w:r>
    </w:p>
    <w:p w:rsidR="00E06DA1" w:rsidRPr="00774E6A" w:rsidRDefault="00774E6A" w:rsidP="00F45710">
      <w:pPr>
        <w:pStyle w:val="enumlev3"/>
        <w:rPr>
          <w:lang w:val="fr-CH"/>
        </w:rPr>
      </w:pPr>
      <w:r w:rsidRPr="00774E6A">
        <w:rPr>
          <w:lang w:val="fr-CH"/>
        </w:rPr>
        <w:t>–</w:t>
      </w:r>
      <w:r>
        <w:rPr>
          <w:lang w:val="fr-CH"/>
        </w:rPr>
        <w:tab/>
      </w:r>
      <w:r w:rsidR="00E06DA1" w:rsidRPr="00774E6A">
        <w:rPr>
          <w:lang w:val="fr-CH"/>
        </w:rPr>
        <w:t xml:space="preserve">Formuler des lignes directrices à l'intention du personnel concernant la mise en </w:t>
      </w:r>
      <w:proofErr w:type="spellStart"/>
      <w:r w:rsidR="00FB021B" w:rsidRPr="00774E6A">
        <w:rPr>
          <w:lang w:val="fr-CH"/>
        </w:rPr>
        <w:t>oe</w:t>
      </w:r>
      <w:r w:rsidR="00E06DA1" w:rsidRPr="00774E6A">
        <w:rPr>
          <w:lang w:val="fr-CH"/>
        </w:rPr>
        <w:t>uvre</w:t>
      </w:r>
      <w:proofErr w:type="spellEnd"/>
      <w:r w:rsidR="00E06DA1" w:rsidRPr="00774E6A">
        <w:rPr>
          <w:lang w:val="fr-CH"/>
        </w:rPr>
        <w:t xml:space="preserve"> de la politique, et notamment élaborer des procédures et des lignes directrices permettant d'établir une correspondance entre les types de documents existants de l'organisation et les catégories soumises à des restrictions</w:t>
      </w:r>
      <w:r>
        <w:rPr>
          <w:lang w:val="fr-CH"/>
        </w:rPr>
        <w:t>.</w:t>
      </w:r>
    </w:p>
    <w:p w:rsidR="00E06DA1" w:rsidRPr="00653455" w:rsidRDefault="00774E6A" w:rsidP="00F45710">
      <w:pPr>
        <w:pStyle w:val="enumlev3"/>
        <w:rPr>
          <w:szCs w:val="24"/>
          <w:lang w:val="fr-CH"/>
        </w:rPr>
      </w:pPr>
      <w:r w:rsidRPr="00774E6A">
        <w:rPr>
          <w:lang w:val="fr-CH"/>
        </w:rPr>
        <w:t>–</w:t>
      </w:r>
      <w:r>
        <w:rPr>
          <w:lang w:val="fr-CH"/>
        </w:rPr>
        <w:tab/>
      </w:r>
      <w:r w:rsidR="00E06DA1" w:rsidRPr="00774E6A">
        <w:rPr>
          <w:lang w:val="fr-CH"/>
        </w:rPr>
        <w:t>Revoir régulièrement la politique et les procédures correspondantes et</w:t>
      </w:r>
      <w:r w:rsidR="00E06DA1" w:rsidRPr="00653455">
        <w:rPr>
          <w:szCs w:val="24"/>
          <w:lang w:val="fr-CH"/>
        </w:rPr>
        <w:t xml:space="preserve"> formuler </w:t>
      </w:r>
      <w:r w:rsidR="00E06DA1">
        <w:rPr>
          <w:szCs w:val="24"/>
          <w:lang w:val="fr-CH"/>
        </w:rPr>
        <w:t>des recommandations concernant les modifications qu'il convient d'apporter</w:t>
      </w:r>
      <w:r>
        <w:rPr>
          <w:szCs w:val="24"/>
          <w:lang w:val="fr-CH"/>
        </w:rPr>
        <w:t>.</w:t>
      </w:r>
      <w:r w:rsidR="00E06DA1">
        <w:rPr>
          <w:szCs w:val="24"/>
          <w:lang w:val="fr-CH"/>
        </w:rPr>
        <w:t xml:space="preserve"> </w:t>
      </w:r>
    </w:p>
    <w:p w:rsidR="00E06DA1" w:rsidRPr="00A374DD" w:rsidRDefault="00774E6A" w:rsidP="00774E6A">
      <w:pPr>
        <w:pStyle w:val="enumlev1"/>
      </w:pPr>
      <w:r>
        <w:t>5)</w:t>
      </w:r>
      <w:r>
        <w:tab/>
      </w:r>
      <w:r w:rsidR="00E06DA1" w:rsidRPr="00A374DD">
        <w:t>Procédures d</w:t>
      </w:r>
      <w:r w:rsidR="00E06DA1">
        <w:t>'</w:t>
      </w:r>
      <w:r w:rsidR="00E06DA1" w:rsidRPr="00A374DD">
        <w:t>appel</w:t>
      </w:r>
    </w:p>
    <w:p w:rsidR="00E06DA1" w:rsidRPr="00774E6A" w:rsidRDefault="00774E6A" w:rsidP="00F45710">
      <w:pPr>
        <w:pStyle w:val="enumlev2"/>
        <w:rPr>
          <w:lang w:val="fr-CH"/>
        </w:rPr>
      </w:pPr>
      <w:r w:rsidRPr="00774E6A">
        <w:rPr>
          <w:lang w:val="fr-CH"/>
        </w:rPr>
        <w:t>•</w:t>
      </w:r>
      <w:r>
        <w:rPr>
          <w:lang w:val="fr-CH"/>
        </w:rPr>
        <w:tab/>
      </w:r>
      <w:r w:rsidR="00E06DA1" w:rsidRPr="00774E6A">
        <w:rPr>
          <w:lang w:val="fr-CH"/>
        </w:rPr>
        <w:t>Qu'en est-il du droit des particuliers de faire appel d'une décision leur refusant l'accès aux informations qu'ils demandent? Quelle est la procédure à appliquer? Qui est chargé de gérer l'appel?</w:t>
      </w:r>
    </w:p>
    <w:p w:rsidR="00E06DA1" w:rsidRDefault="00E06DA1" w:rsidP="00E06DA1">
      <w:pPr>
        <w:tabs>
          <w:tab w:val="clear" w:pos="567"/>
          <w:tab w:val="clear" w:pos="1134"/>
          <w:tab w:val="clear" w:pos="1701"/>
          <w:tab w:val="clear" w:pos="2268"/>
          <w:tab w:val="clear" w:pos="2835"/>
        </w:tabs>
        <w:overflowPunct/>
        <w:autoSpaceDE/>
        <w:autoSpaceDN/>
        <w:adjustRightInd/>
        <w:spacing w:before="0"/>
        <w:jc w:val="both"/>
        <w:textAlignment w:val="auto"/>
      </w:pPr>
      <w:r>
        <w:br w:type="page"/>
      </w:r>
    </w:p>
    <w:p w:rsidR="00E06DA1" w:rsidRPr="00E06DA1" w:rsidRDefault="00E06DA1" w:rsidP="00E06DA1">
      <w:pPr>
        <w:pStyle w:val="AnnexNo"/>
        <w:rPr>
          <w:lang w:val="fr-CH"/>
        </w:rPr>
      </w:pPr>
      <w:bookmarkStart w:id="10" w:name="Annex1"/>
      <w:r w:rsidRPr="00E06DA1">
        <w:rPr>
          <w:lang w:val="fr-CH"/>
        </w:rPr>
        <w:lastRenderedPageBreak/>
        <w:t>ANNEXE 1</w:t>
      </w:r>
    </w:p>
    <w:bookmarkEnd w:id="10"/>
    <w:p w:rsidR="00E06DA1" w:rsidRPr="00234889" w:rsidRDefault="00E06DA1" w:rsidP="00E06DA1">
      <w:pPr>
        <w:pStyle w:val="Annextitle"/>
      </w:pPr>
      <w:r>
        <w:t>Extraits du</w:t>
      </w:r>
    </w:p>
    <w:p w:rsidR="00E06DA1" w:rsidRDefault="00E06DA1" w:rsidP="00E06DA1">
      <w:pPr>
        <w:pStyle w:val="Annextitle"/>
        <w:rPr>
          <w:lang w:val="fr-CH"/>
        </w:rPr>
      </w:pPr>
      <w:r w:rsidRPr="00234889">
        <w:rPr>
          <w:lang w:val="fr-CH"/>
        </w:rPr>
        <w:t>Document C14/92: Rapport du Président</w:t>
      </w:r>
      <w:r w:rsidR="00F45710">
        <w:rPr>
          <w:lang w:val="fr-CH"/>
        </w:rPr>
        <w:t xml:space="preserve"> de la Commission permanente de </w:t>
      </w:r>
      <w:r w:rsidRPr="00234889">
        <w:rPr>
          <w:lang w:val="fr-CH"/>
        </w:rPr>
        <w:t>l</w:t>
      </w:r>
      <w:r>
        <w:rPr>
          <w:lang w:val="fr-CH"/>
        </w:rPr>
        <w:t>'</w:t>
      </w:r>
      <w:r w:rsidRPr="00234889">
        <w:rPr>
          <w:lang w:val="fr-CH"/>
        </w:rPr>
        <w:t>administration et de l</w:t>
      </w:r>
      <w:r>
        <w:rPr>
          <w:lang w:val="fr-CH"/>
        </w:rPr>
        <w:t xml:space="preserve">a gestion, et du </w:t>
      </w:r>
      <w:r>
        <w:rPr>
          <w:lang w:val="fr-CH"/>
        </w:rPr>
        <w:br/>
      </w:r>
      <w:r w:rsidRPr="00234889">
        <w:rPr>
          <w:lang w:val="fr-CH"/>
        </w:rPr>
        <w:t xml:space="preserve">Document C14/99: </w:t>
      </w:r>
      <w:r>
        <w:rPr>
          <w:lang w:val="fr-CH"/>
        </w:rPr>
        <w:t>Compte rendu de la neuvième séance plénière</w:t>
      </w:r>
    </w:p>
    <w:p w:rsidR="00E06DA1" w:rsidRPr="00F02445" w:rsidRDefault="00E06DA1" w:rsidP="00E06DA1">
      <w:pPr>
        <w:rPr>
          <w:rFonts w:asciiTheme="minorHAnsi" w:hAnsiTheme="minorHAnsi"/>
          <w:b/>
          <w:bCs/>
          <w:szCs w:val="24"/>
          <w:lang w:val="fr-CH"/>
        </w:rPr>
      </w:pPr>
      <w:r w:rsidRPr="00F02445">
        <w:rPr>
          <w:rFonts w:asciiTheme="minorHAnsi" w:hAnsiTheme="minorHAnsi"/>
          <w:b/>
          <w:bCs/>
          <w:szCs w:val="24"/>
          <w:lang w:val="fr-CH"/>
        </w:rPr>
        <w:t>Extra</w:t>
      </w:r>
      <w:r>
        <w:rPr>
          <w:rFonts w:asciiTheme="minorHAnsi" w:hAnsiTheme="minorHAnsi"/>
          <w:b/>
          <w:bCs/>
          <w:szCs w:val="24"/>
          <w:lang w:val="fr-CH"/>
        </w:rPr>
        <w:t>i</w:t>
      </w:r>
      <w:r w:rsidRPr="00F02445">
        <w:rPr>
          <w:rFonts w:asciiTheme="minorHAnsi" w:hAnsiTheme="minorHAnsi"/>
          <w:b/>
          <w:bCs/>
          <w:szCs w:val="24"/>
          <w:lang w:val="fr-CH"/>
        </w:rPr>
        <w:t>t du Document C14/92:</w:t>
      </w:r>
      <w:r w:rsidRPr="00F02445">
        <w:rPr>
          <w:rFonts w:asciiTheme="minorHAnsi" w:hAnsiTheme="minorHAnsi"/>
          <w:bCs/>
          <w:szCs w:val="24"/>
          <w:lang w:val="fr-CH"/>
        </w:rPr>
        <w:t xml:space="preserve"> Rapport</w:t>
      </w:r>
      <w:r>
        <w:rPr>
          <w:rFonts w:asciiTheme="minorHAnsi" w:hAnsiTheme="minorHAnsi"/>
          <w:bCs/>
          <w:szCs w:val="24"/>
          <w:lang w:val="fr-CH"/>
        </w:rPr>
        <w:t xml:space="preserve"> du Président de la Com</w:t>
      </w:r>
      <w:r w:rsidRPr="00F02445">
        <w:rPr>
          <w:rFonts w:asciiTheme="minorHAnsi" w:hAnsiTheme="minorHAnsi"/>
          <w:bCs/>
          <w:szCs w:val="24"/>
          <w:lang w:val="fr-CH"/>
        </w:rPr>
        <w:t>mission permanente de l</w:t>
      </w:r>
      <w:r>
        <w:rPr>
          <w:rFonts w:asciiTheme="minorHAnsi" w:hAnsiTheme="minorHAnsi"/>
          <w:bCs/>
          <w:szCs w:val="24"/>
          <w:lang w:val="fr-CH"/>
        </w:rPr>
        <w:t>'</w:t>
      </w:r>
      <w:r w:rsidRPr="00F02445">
        <w:rPr>
          <w:rFonts w:asciiTheme="minorHAnsi" w:hAnsiTheme="minorHAnsi"/>
          <w:bCs/>
          <w:szCs w:val="24"/>
          <w:lang w:val="fr-CH"/>
        </w:rPr>
        <w:t>administration et de la gestion</w:t>
      </w:r>
    </w:p>
    <w:p w:rsidR="00E06DA1" w:rsidRPr="002C1FC9" w:rsidRDefault="00E06DA1" w:rsidP="00E06DA1">
      <w:pPr>
        <w:jc w:val="both"/>
        <w:rPr>
          <w:rFonts w:asciiTheme="minorHAnsi" w:hAnsiTheme="minorHAnsi"/>
          <w:b/>
          <w:bCs/>
          <w:szCs w:val="24"/>
          <w:lang w:val="fr-CH"/>
        </w:rPr>
      </w:pPr>
      <w:r w:rsidRPr="002C1FC9">
        <w:rPr>
          <w:rFonts w:asciiTheme="minorHAnsi" w:hAnsiTheme="minorHAnsi"/>
          <w:b/>
          <w:bCs/>
          <w:szCs w:val="24"/>
          <w:lang w:val="fr-CH"/>
        </w:rPr>
        <w:t>……..</w:t>
      </w:r>
    </w:p>
    <w:p w:rsidR="00E06DA1" w:rsidRPr="002C1FC9" w:rsidRDefault="00E06DA1" w:rsidP="00E06DA1">
      <w:pPr>
        <w:jc w:val="both"/>
        <w:rPr>
          <w:rFonts w:asciiTheme="minorHAnsi" w:hAnsiTheme="minorHAnsi"/>
          <w:b/>
          <w:bCs/>
          <w:szCs w:val="24"/>
          <w:lang w:val="fr-CH"/>
        </w:rPr>
      </w:pPr>
      <w:r w:rsidRPr="002C1FC9">
        <w:rPr>
          <w:b/>
          <w:lang w:val="fr-CH"/>
        </w:rPr>
        <w:t>Politique générale relative à l</w:t>
      </w:r>
      <w:r>
        <w:rPr>
          <w:b/>
          <w:lang w:val="fr-CH"/>
        </w:rPr>
        <w:t>'</w:t>
      </w:r>
      <w:r w:rsidRPr="002C1FC9">
        <w:rPr>
          <w:b/>
          <w:lang w:val="fr-CH"/>
        </w:rPr>
        <w:t>accès aux documents de l</w:t>
      </w:r>
      <w:r>
        <w:rPr>
          <w:b/>
          <w:lang w:val="fr-CH"/>
        </w:rPr>
        <w:t>'</w:t>
      </w:r>
      <w:r w:rsidRPr="002C1FC9">
        <w:rPr>
          <w:b/>
          <w:lang w:val="fr-CH"/>
        </w:rPr>
        <w:t>UIT</w:t>
      </w:r>
      <w:r w:rsidRPr="002C1FC9">
        <w:rPr>
          <w:rFonts w:asciiTheme="minorHAnsi" w:hAnsiTheme="minorHAnsi"/>
          <w:b/>
          <w:bCs/>
          <w:szCs w:val="24"/>
          <w:lang w:val="fr-CH"/>
        </w:rPr>
        <w:t xml:space="preserve"> (Documents </w:t>
      </w:r>
      <w:hyperlink r:id="rId13" w:history="1">
        <w:r w:rsidRPr="002C1FC9">
          <w:rPr>
            <w:rStyle w:val="Hyperlink"/>
            <w:rFonts w:asciiTheme="minorHAnsi" w:hAnsiTheme="minorHAnsi"/>
            <w:b/>
            <w:bCs/>
            <w:szCs w:val="24"/>
            <w:lang w:val="fr-CH"/>
          </w:rPr>
          <w:t>C14/INF/20</w:t>
        </w:r>
      </w:hyperlink>
      <w:r w:rsidRPr="002C1FC9">
        <w:rPr>
          <w:rFonts w:asciiTheme="minorHAnsi" w:hAnsiTheme="minorHAnsi"/>
          <w:b/>
          <w:bCs/>
          <w:szCs w:val="24"/>
          <w:lang w:val="fr-CH"/>
        </w:rPr>
        <w:t xml:space="preserve"> et </w:t>
      </w:r>
      <w:hyperlink r:id="rId14" w:history="1">
        <w:r w:rsidRPr="002C1FC9">
          <w:rPr>
            <w:rStyle w:val="Hyperlink"/>
            <w:rFonts w:asciiTheme="minorHAnsi" w:hAnsiTheme="minorHAnsi"/>
            <w:b/>
            <w:bCs/>
            <w:szCs w:val="24"/>
            <w:lang w:val="fr-CH"/>
          </w:rPr>
          <w:t>C14/64</w:t>
        </w:r>
      </w:hyperlink>
      <w:r w:rsidRPr="002C1FC9">
        <w:rPr>
          <w:rFonts w:asciiTheme="minorHAnsi" w:hAnsiTheme="minorHAnsi"/>
          <w:b/>
          <w:bCs/>
          <w:szCs w:val="24"/>
          <w:lang w:val="fr-CH"/>
        </w:rPr>
        <w:t>)</w:t>
      </w:r>
    </w:p>
    <w:p w:rsidR="00E06DA1" w:rsidRPr="00EA5BEA" w:rsidRDefault="00E06DA1" w:rsidP="00E06DA1">
      <w:pPr>
        <w:rPr>
          <w:lang w:val="fr-CH"/>
        </w:rPr>
      </w:pPr>
      <w:r w:rsidRPr="00EA5BEA">
        <w:rPr>
          <w:lang w:val="fr-CH"/>
        </w:rPr>
        <w:t>7.9</w:t>
      </w:r>
      <w:r w:rsidRPr="00EA5BEA">
        <w:rPr>
          <w:lang w:val="fr-CH"/>
        </w:rPr>
        <w:tab/>
        <w:t>Le délégué des Etats-Unis d</w:t>
      </w:r>
      <w:r>
        <w:rPr>
          <w:lang w:val="fr-CH"/>
        </w:rPr>
        <w:t>'</w:t>
      </w:r>
      <w:r w:rsidRPr="00EA5BEA">
        <w:rPr>
          <w:lang w:val="fr-CH"/>
        </w:rPr>
        <w:t>Amérique a présenté le document sur l</w:t>
      </w:r>
      <w:r>
        <w:rPr>
          <w:lang w:val="fr-CH"/>
        </w:rPr>
        <w:t>'</w:t>
      </w:r>
      <w:r w:rsidRPr="00EA5BEA">
        <w:rPr>
          <w:lang w:val="fr-CH"/>
        </w:rPr>
        <w:t>accès aux documents de l</w:t>
      </w:r>
      <w:r>
        <w:rPr>
          <w:lang w:val="fr-CH"/>
        </w:rPr>
        <w:t>'</w:t>
      </w:r>
      <w:r w:rsidRPr="00EA5BEA">
        <w:rPr>
          <w:lang w:val="fr-CH"/>
        </w:rPr>
        <w:t>UIT, en vue de renforcer la transparence des décisions prises par l</w:t>
      </w:r>
      <w:r>
        <w:rPr>
          <w:lang w:val="fr-CH"/>
        </w:rPr>
        <w:t>'</w:t>
      </w:r>
      <w:r w:rsidRPr="00EA5BEA">
        <w:rPr>
          <w:lang w:val="fr-CH"/>
        </w:rPr>
        <w:t>Union, d</w:t>
      </w:r>
      <w:r>
        <w:rPr>
          <w:lang w:val="fr-CH"/>
        </w:rPr>
        <w:t>'</w:t>
      </w:r>
      <w:r w:rsidRPr="00EA5BEA">
        <w:rPr>
          <w:lang w:val="fr-CH"/>
        </w:rPr>
        <w:t>améliorer les processus décisionnels et de garantir le respect du principe de responsabilité.</w:t>
      </w:r>
    </w:p>
    <w:p w:rsidR="00E06DA1" w:rsidRPr="00EA5BEA" w:rsidRDefault="00E06DA1" w:rsidP="00E06DA1">
      <w:pPr>
        <w:rPr>
          <w:lang w:val="fr-CH"/>
        </w:rPr>
      </w:pPr>
      <w:r w:rsidRPr="00EA5BEA">
        <w:rPr>
          <w:lang w:val="fr-CH"/>
        </w:rPr>
        <w:t>7.10</w:t>
      </w:r>
      <w:r w:rsidRPr="00EA5BEA">
        <w:rPr>
          <w:lang w:val="fr-CH"/>
        </w:rPr>
        <w:tab/>
        <w:t xml:space="preserve">Dans ce document, il est </w:t>
      </w:r>
      <w:r w:rsidRPr="00EA5BEA">
        <w:rPr>
          <w:lang w:val="fr-CH" w:eastAsia="ja-JP"/>
        </w:rPr>
        <w:t xml:space="preserve">proposé de rendre accessibles au public les documents de la </w:t>
      </w:r>
      <w:r w:rsidRPr="00EA5BEA">
        <w:rPr>
          <w:lang w:val="fr-CH"/>
        </w:rPr>
        <w:t>Conférence de plénipotentiaires (PP</w:t>
      </w:r>
      <w:r w:rsidRPr="00EA5BEA">
        <w:rPr>
          <w:lang w:val="fr-CH"/>
        </w:rPr>
        <w:noBreakHyphen/>
        <w:t>14).</w:t>
      </w:r>
    </w:p>
    <w:p w:rsidR="00E06DA1" w:rsidRPr="00EA5BEA" w:rsidRDefault="00E06DA1" w:rsidP="00E06DA1">
      <w:pPr>
        <w:rPr>
          <w:lang w:val="fr-CH" w:eastAsia="ja-JP"/>
        </w:rPr>
      </w:pPr>
      <w:r w:rsidRPr="00EA5BEA">
        <w:rPr>
          <w:lang w:val="fr-CH"/>
        </w:rPr>
        <w:t>7.11</w:t>
      </w:r>
      <w:r w:rsidRPr="00EA5BEA">
        <w:rPr>
          <w:lang w:val="fr-CH"/>
        </w:rPr>
        <w:tab/>
      </w:r>
      <w:r w:rsidRPr="00EA5BEA">
        <w:rPr>
          <w:lang w:val="fr-CH" w:eastAsia="ja-JP"/>
        </w:rPr>
        <w:t>Cette politique d</w:t>
      </w:r>
      <w:r>
        <w:rPr>
          <w:lang w:val="fr-CH" w:eastAsia="ja-JP"/>
        </w:rPr>
        <w:t>'</w:t>
      </w:r>
      <w:r w:rsidRPr="00EA5BEA">
        <w:rPr>
          <w:lang w:val="fr-CH" w:eastAsia="ja-JP"/>
        </w:rPr>
        <w:t xml:space="preserve">accès aux documents devrait prendre soigneusement en considération la protection de la </w:t>
      </w:r>
      <w:r w:rsidRPr="00EA5BEA">
        <w:rPr>
          <w:lang w:val="fr-CH"/>
        </w:rPr>
        <w:t xml:space="preserve">vie privée </w:t>
      </w:r>
      <w:r w:rsidRPr="00EA5BEA">
        <w:rPr>
          <w:lang w:val="fr-CH" w:eastAsia="ja-JP"/>
        </w:rPr>
        <w:t>des personnes et des tiers, ainsi que le secret professionnel, les informations contractuelles, les informations de nature exclusive ou les renseignements commerciaux, et certaines questions de gouvernance interne.</w:t>
      </w:r>
    </w:p>
    <w:p w:rsidR="00E06DA1" w:rsidRPr="00EA5BEA" w:rsidRDefault="00E06DA1" w:rsidP="00E06DA1">
      <w:pPr>
        <w:rPr>
          <w:lang w:val="fr-CH"/>
        </w:rPr>
      </w:pPr>
      <w:r w:rsidRPr="00EA5BEA">
        <w:rPr>
          <w:lang w:val="fr-CH" w:eastAsia="ja-JP"/>
        </w:rPr>
        <w:t>7.12</w:t>
      </w:r>
      <w:r w:rsidRPr="00EA5BEA">
        <w:rPr>
          <w:lang w:val="fr-CH" w:eastAsia="ja-JP"/>
        </w:rPr>
        <w:tab/>
        <w:t>Tandis qu</w:t>
      </w:r>
      <w:r>
        <w:rPr>
          <w:lang w:val="fr-CH" w:eastAsia="ja-JP"/>
        </w:rPr>
        <w:t>'</w:t>
      </w:r>
      <w:r w:rsidRPr="00EA5BEA">
        <w:rPr>
          <w:lang w:val="fr-CH" w:eastAsia="ja-JP"/>
        </w:rPr>
        <w:t>un certain nombre de délégués exprimaient leur appui à cette proposition, d</w:t>
      </w:r>
      <w:r>
        <w:rPr>
          <w:lang w:val="fr-CH" w:eastAsia="ja-JP"/>
        </w:rPr>
        <w:t>'</w:t>
      </w:r>
      <w:r w:rsidRPr="00EA5BEA">
        <w:rPr>
          <w:lang w:val="fr-CH" w:eastAsia="ja-JP"/>
        </w:rPr>
        <w:t>autres ont rappelé à la Commission la nécessité de faire preuve de prudence en matière d</w:t>
      </w:r>
      <w:r>
        <w:rPr>
          <w:lang w:val="fr-CH" w:eastAsia="ja-JP"/>
        </w:rPr>
        <w:t>'</w:t>
      </w:r>
      <w:r w:rsidRPr="00EA5BEA">
        <w:rPr>
          <w:lang w:val="fr-CH" w:eastAsia="ja-JP"/>
        </w:rPr>
        <w:t>accès du public aux documents. Bon nombre de délégués ont exprimé un désir de transparence. Tandis qu</w:t>
      </w:r>
      <w:r>
        <w:rPr>
          <w:lang w:val="fr-CH" w:eastAsia="ja-JP"/>
        </w:rPr>
        <w:t>'</w:t>
      </w:r>
      <w:r w:rsidRPr="00EA5BEA">
        <w:rPr>
          <w:lang w:val="fr-CH" w:eastAsia="ja-JP"/>
        </w:rPr>
        <w:t>un certain nombre d</w:t>
      </w:r>
      <w:r>
        <w:rPr>
          <w:lang w:val="fr-CH" w:eastAsia="ja-JP"/>
        </w:rPr>
        <w:t>'</w:t>
      </w:r>
      <w:r w:rsidRPr="00EA5BEA">
        <w:rPr>
          <w:lang w:val="fr-CH" w:eastAsia="ja-JP"/>
        </w:rPr>
        <w:t>entre eux étaient favorables à la divulgation de documents afin d</w:t>
      </w:r>
      <w:r>
        <w:rPr>
          <w:lang w:val="fr-CH" w:eastAsia="ja-JP"/>
        </w:rPr>
        <w:t>'</w:t>
      </w:r>
      <w:r w:rsidRPr="00EA5BEA">
        <w:rPr>
          <w:lang w:val="fr-CH" w:eastAsia="ja-JP"/>
        </w:rPr>
        <w:t>améliorer la transparence des décisions de l</w:t>
      </w:r>
      <w:r>
        <w:rPr>
          <w:lang w:val="fr-CH" w:eastAsia="ja-JP"/>
        </w:rPr>
        <w:t>'</w:t>
      </w:r>
      <w:r w:rsidRPr="00EA5BEA">
        <w:rPr>
          <w:lang w:val="fr-CH" w:eastAsia="ja-JP"/>
        </w:rPr>
        <w:t xml:space="preserve">UIT et les processus décisionnels et de contribuer à </w:t>
      </w:r>
      <w:r w:rsidRPr="00EA5BEA">
        <w:rPr>
          <w:lang w:val="fr-CH"/>
        </w:rPr>
        <w:t>garantir le respect du principe de responsabilité, certains délégués pensent qu</w:t>
      </w:r>
      <w:r>
        <w:rPr>
          <w:lang w:val="fr-CH"/>
        </w:rPr>
        <w:t>'</w:t>
      </w:r>
      <w:r w:rsidRPr="00EA5BEA">
        <w:rPr>
          <w:lang w:val="fr-CH"/>
        </w:rPr>
        <w:t>il convient de faire preuve de prudence dans la divulgation d</w:t>
      </w:r>
      <w:r>
        <w:rPr>
          <w:lang w:val="fr-CH"/>
        </w:rPr>
        <w:t>'</w:t>
      </w:r>
      <w:r w:rsidRPr="00EA5BEA">
        <w:rPr>
          <w:lang w:val="fr-CH"/>
        </w:rPr>
        <w:t xml:space="preserve">informations au public. </w:t>
      </w:r>
    </w:p>
    <w:p w:rsidR="00E06DA1" w:rsidRPr="00EA5BEA" w:rsidRDefault="00E06DA1" w:rsidP="00E06DA1">
      <w:pPr>
        <w:tabs>
          <w:tab w:val="clear" w:pos="567"/>
          <w:tab w:val="clear" w:pos="1134"/>
          <w:tab w:val="clear" w:pos="1701"/>
          <w:tab w:val="clear" w:pos="2268"/>
          <w:tab w:val="clear" w:pos="2835"/>
        </w:tabs>
        <w:spacing w:after="160"/>
        <w:rPr>
          <w:rFonts w:asciiTheme="minorHAnsi" w:hAnsiTheme="minorHAnsi"/>
          <w:szCs w:val="24"/>
          <w:lang w:val="fr-CH"/>
        </w:rPr>
      </w:pPr>
      <w:r w:rsidRPr="00EA5BEA">
        <w:rPr>
          <w:lang w:val="fr-CH"/>
        </w:rPr>
        <w:t>7.13</w:t>
      </w:r>
      <w:r w:rsidRPr="00EA5BEA">
        <w:rPr>
          <w:lang w:val="fr-CH"/>
        </w:rPr>
        <w:tab/>
        <w:t>Le Conseiller juridique de l</w:t>
      </w:r>
      <w:r>
        <w:rPr>
          <w:lang w:val="fr-CH"/>
        </w:rPr>
        <w:t>'</w:t>
      </w:r>
      <w:r w:rsidRPr="00EA5BEA">
        <w:rPr>
          <w:lang w:val="fr-CH"/>
        </w:rPr>
        <w:t>UIT a confirmé qu</w:t>
      </w:r>
      <w:r>
        <w:rPr>
          <w:lang w:val="fr-CH"/>
        </w:rPr>
        <w:t>'</w:t>
      </w:r>
      <w:r w:rsidRPr="00EA5BEA">
        <w:rPr>
          <w:lang w:val="fr-CH"/>
        </w:rPr>
        <w:t>une décision relative à la politique générale d</w:t>
      </w:r>
      <w:r>
        <w:rPr>
          <w:lang w:val="fr-CH"/>
        </w:rPr>
        <w:t>'</w:t>
      </w:r>
      <w:r w:rsidRPr="00EA5BEA">
        <w:rPr>
          <w:lang w:val="fr-CH"/>
        </w:rPr>
        <w:t>accès aux documents de l</w:t>
      </w:r>
      <w:r>
        <w:rPr>
          <w:lang w:val="fr-CH"/>
        </w:rPr>
        <w:t>'</w:t>
      </w:r>
      <w:r w:rsidRPr="00EA5BEA">
        <w:rPr>
          <w:lang w:val="fr-CH"/>
        </w:rPr>
        <w:t>UIT devait être prise par la Conférence de plénipotentiaires.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06DA1" w:rsidRPr="00EA5BEA" w:rsidTr="00E06DA1">
        <w:tc>
          <w:tcPr>
            <w:tcW w:w="9287" w:type="dxa"/>
            <w:tcBorders>
              <w:top w:val="single" w:sz="4" w:space="0" w:color="auto"/>
              <w:left w:val="single" w:sz="4" w:space="0" w:color="auto"/>
              <w:bottom w:val="single" w:sz="4" w:space="0" w:color="auto"/>
              <w:right w:val="single" w:sz="4" w:space="0" w:color="auto"/>
            </w:tcBorders>
            <w:hideMark/>
          </w:tcPr>
          <w:p w:rsidR="00E06DA1" w:rsidRPr="00EA5BEA" w:rsidRDefault="00E06DA1" w:rsidP="00E06DA1">
            <w:pPr>
              <w:spacing w:before="60" w:after="120"/>
              <w:rPr>
                <w:b/>
                <w:bCs/>
                <w:i/>
                <w:iCs/>
                <w:szCs w:val="24"/>
                <w:lang w:val="fr-CH"/>
              </w:rPr>
            </w:pPr>
            <w:r>
              <w:rPr>
                <w:b/>
                <w:bCs/>
                <w:i/>
                <w:iCs/>
                <w:szCs w:val="24"/>
                <w:lang w:val="fr-CH"/>
              </w:rPr>
              <w:t>Recomma</w:t>
            </w:r>
            <w:r w:rsidRPr="00EA5BEA">
              <w:rPr>
                <w:b/>
                <w:bCs/>
                <w:i/>
                <w:iCs/>
                <w:szCs w:val="24"/>
                <w:lang w:val="fr-CH"/>
              </w:rPr>
              <w:t>ndation</w:t>
            </w:r>
          </w:p>
          <w:p w:rsidR="00E06DA1" w:rsidRPr="00EA5BEA" w:rsidRDefault="00E06DA1" w:rsidP="006037C0">
            <w:pPr>
              <w:spacing w:after="120"/>
              <w:rPr>
                <w:szCs w:val="24"/>
                <w:lang w:val="fr-CH"/>
              </w:rPr>
            </w:pPr>
            <w:r w:rsidRPr="00EA5BEA">
              <w:rPr>
                <w:szCs w:val="24"/>
                <w:lang w:val="fr-CH"/>
              </w:rPr>
              <w:t>7.14</w:t>
            </w:r>
            <w:r w:rsidRPr="00EA5BEA">
              <w:rPr>
                <w:szCs w:val="24"/>
                <w:lang w:val="fr-CH"/>
              </w:rPr>
              <w:tab/>
              <w:t>La Commission recommande que le Secrétariat examine plus avant la question et présente les documents pertinents, ainsi qu</w:t>
            </w:r>
            <w:r>
              <w:rPr>
                <w:szCs w:val="24"/>
                <w:lang w:val="fr-CH"/>
              </w:rPr>
              <w:t>'</w:t>
            </w:r>
            <w:r w:rsidRPr="00EA5BEA">
              <w:rPr>
                <w:szCs w:val="24"/>
                <w:lang w:val="fr-CH"/>
              </w:rPr>
              <w:t>un résumé des débats du Conseil sur le sujet à la Conférence de plénipotentiaires, qui prendra une décision.</w:t>
            </w:r>
          </w:p>
        </w:tc>
      </w:tr>
    </w:tbl>
    <w:p w:rsidR="00E06DA1" w:rsidRPr="00EA5BEA" w:rsidRDefault="00E06DA1" w:rsidP="006037C0">
      <w:pPr>
        <w:spacing w:before="360"/>
        <w:rPr>
          <w:rFonts w:asciiTheme="minorHAnsi" w:hAnsiTheme="minorHAnsi"/>
          <w:b/>
          <w:bCs/>
          <w:i/>
          <w:iCs/>
          <w:szCs w:val="24"/>
          <w:lang w:val="fr-CH"/>
        </w:rPr>
      </w:pPr>
      <w:r w:rsidRPr="00EA5BEA">
        <w:rPr>
          <w:rFonts w:asciiTheme="minorHAnsi" w:hAnsiTheme="minorHAnsi"/>
          <w:b/>
          <w:bCs/>
          <w:i/>
          <w:iCs/>
          <w:szCs w:val="24"/>
          <w:lang w:val="fr-CH"/>
        </w:rPr>
        <w:t>---</w:t>
      </w:r>
    </w:p>
    <w:p w:rsidR="00E06DA1" w:rsidRPr="00EA5BEA" w:rsidRDefault="00E06DA1" w:rsidP="006037C0">
      <w:pPr>
        <w:spacing w:before="360"/>
        <w:rPr>
          <w:rFonts w:asciiTheme="minorHAnsi" w:hAnsiTheme="minorHAnsi"/>
          <w:b/>
          <w:bCs/>
          <w:szCs w:val="24"/>
          <w:lang w:val="fr-CH"/>
        </w:rPr>
      </w:pPr>
      <w:r w:rsidRPr="00EA5BEA">
        <w:rPr>
          <w:b/>
          <w:lang w:val="fr-CH"/>
        </w:rPr>
        <w:t>Accès aux rapports de l</w:t>
      </w:r>
      <w:r>
        <w:rPr>
          <w:b/>
          <w:lang w:val="fr-CH"/>
        </w:rPr>
        <w:t>'</w:t>
      </w:r>
      <w:r w:rsidRPr="00EA5BEA">
        <w:rPr>
          <w:b/>
          <w:lang w:val="fr-CH"/>
        </w:rPr>
        <w:t>Auditeur interne, du CCIG et du Vérificateur extérieur</w:t>
      </w:r>
      <w:r w:rsidRPr="00EA5BEA">
        <w:rPr>
          <w:rFonts w:asciiTheme="minorHAnsi" w:hAnsiTheme="minorHAnsi"/>
          <w:b/>
          <w:bCs/>
          <w:szCs w:val="24"/>
          <w:lang w:val="fr-CH"/>
        </w:rPr>
        <w:t xml:space="preserve"> (Documents </w:t>
      </w:r>
      <w:hyperlink r:id="rId15" w:history="1">
        <w:r w:rsidRPr="00EA5BEA">
          <w:rPr>
            <w:rStyle w:val="Hyperlink"/>
            <w:rFonts w:asciiTheme="minorHAnsi" w:hAnsiTheme="minorHAnsi"/>
            <w:b/>
            <w:bCs/>
            <w:szCs w:val="24"/>
            <w:lang w:val="fr-CH"/>
          </w:rPr>
          <w:t>C14/61</w:t>
        </w:r>
      </w:hyperlink>
      <w:r w:rsidRPr="00EA5BEA">
        <w:rPr>
          <w:rFonts w:asciiTheme="minorHAnsi" w:hAnsiTheme="minorHAnsi"/>
          <w:b/>
          <w:bCs/>
          <w:szCs w:val="24"/>
          <w:lang w:val="fr-CH"/>
        </w:rPr>
        <w:t xml:space="preserve"> et </w:t>
      </w:r>
      <w:hyperlink r:id="rId16" w:history="1">
        <w:r w:rsidRPr="00EA5BEA">
          <w:rPr>
            <w:rStyle w:val="Hyperlink"/>
            <w:rFonts w:asciiTheme="minorHAnsi" w:hAnsiTheme="minorHAnsi"/>
            <w:b/>
            <w:bCs/>
            <w:szCs w:val="24"/>
            <w:lang w:val="fr-CH"/>
          </w:rPr>
          <w:t>C14/62</w:t>
        </w:r>
      </w:hyperlink>
      <w:r w:rsidRPr="00EA5BEA">
        <w:rPr>
          <w:rFonts w:asciiTheme="minorHAnsi" w:hAnsiTheme="minorHAnsi"/>
          <w:b/>
          <w:bCs/>
          <w:szCs w:val="24"/>
          <w:lang w:val="fr-CH"/>
        </w:rPr>
        <w:t>)</w:t>
      </w:r>
    </w:p>
    <w:p w:rsidR="00E06DA1" w:rsidRPr="00EA5BEA" w:rsidRDefault="00E06DA1" w:rsidP="006037C0">
      <w:pPr>
        <w:rPr>
          <w:lang w:val="fr-CH"/>
        </w:rPr>
      </w:pPr>
      <w:r w:rsidRPr="00EA5BEA">
        <w:rPr>
          <w:lang w:val="fr-CH"/>
        </w:rPr>
        <w:t>7.15</w:t>
      </w:r>
      <w:r w:rsidRPr="00EA5BEA">
        <w:rPr>
          <w:lang w:val="fr-CH"/>
        </w:rPr>
        <w:tab/>
        <w:t>La question de l</w:t>
      </w:r>
      <w:r>
        <w:rPr>
          <w:lang w:val="fr-CH"/>
        </w:rPr>
        <w:t>'</w:t>
      </w:r>
      <w:r w:rsidRPr="00EA5BEA">
        <w:rPr>
          <w:lang w:val="fr-CH"/>
        </w:rPr>
        <w:t>accès aux documents de l</w:t>
      </w:r>
      <w:r>
        <w:rPr>
          <w:lang w:val="fr-CH"/>
        </w:rPr>
        <w:t>'</w:t>
      </w:r>
      <w:r w:rsidRPr="00EA5BEA">
        <w:rPr>
          <w:lang w:val="fr-CH"/>
        </w:rPr>
        <w:t>UIT et de la divulgation publique des rapports de l</w:t>
      </w:r>
      <w:r>
        <w:rPr>
          <w:lang w:val="fr-CH"/>
        </w:rPr>
        <w:t>'</w:t>
      </w:r>
      <w:r w:rsidRPr="00EA5BEA">
        <w:rPr>
          <w:lang w:val="fr-CH"/>
        </w:rPr>
        <w:t>Auditeur interne, du Vérificateur extérieur et du CCIG a fait l</w:t>
      </w:r>
      <w:r>
        <w:rPr>
          <w:lang w:val="fr-CH"/>
        </w:rPr>
        <w:t>'</w:t>
      </w:r>
      <w:r w:rsidRPr="00EA5BEA">
        <w:rPr>
          <w:lang w:val="fr-CH"/>
        </w:rPr>
        <w:t>objet de débats approfondis et sérieux et a suscité de nombreuses interventions des délégués.</w:t>
      </w:r>
    </w:p>
    <w:p w:rsidR="00E06DA1" w:rsidRPr="00EA5BEA" w:rsidRDefault="00E06DA1" w:rsidP="00E06DA1">
      <w:pPr>
        <w:rPr>
          <w:lang w:val="fr-CH"/>
        </w:rPr>
      </w:pPr>
      <w:r w:rsidRPr="00EA5BEA">
        <w:rPr>
          <w:lang w:val="fr-CH"/>
        </w:rPr>
        <w:lastRenderedPageBreak/>
        <w:t>7.16</w:t>
      </w:r>
      <w:r w:rsidRPr="00EA5BEA">
        <w:rPr>
          <w:lang w:val="fr-CH"/>
        </w:rPr>
        <w:tab/>
        <w:t xml:space="preserve">Un nombre important de </w:t>
      </w:r>
      <w:r>
        <w:rPr>
          <w:lang w:val="fr-CH"/>
        </w:rPr>
        <w:t>délégués</w:t>
      </w:r>
      <w:r w:rsidRPr="00EA5BEA">
        <w:rPr>
          <w:lang w:val="fr-CH"/>
        </w:rPr>
        <w:t xml:space="preserve"> ont exprimé un souci de transparence. Tandis qu</w:t>
      </w:r>
      <w:r>
        <w:rPr>
          <w:lang w:val="fr-CH"/>
        </w:rPr>
        <w:t>'</w:t>
      </w:r>
      <w:r w:rsidRPr="00EA5BEA">
        <w:rPr>
          <w:lang w:val="fr-CH"/>
        </w:rPr>
        <w:t>un certain nombre de délégués étaient favorables à la divulgation publique de documents afin de renforcer la transparence des décisions de l</w:t>
      </w:r>
      <w:r>
        <w:rPr>
          <w:lang w:val="fr-CH"/>
        </w:rPr>
        <w:t>'</w:t>
      </w:r>
      <w:r w:rsidRPr="00EA5BEA">
        <w:rPr>
          <w:lang w:val="fr-CH"/>
        </w:rPr>
        <w:t>UIT, d</w:t>
      </w:r>
      <w:r>
        <w:rPr>
          <w:lang w:val="fr-CH"/>
        </w:rPr>
        <w:t>'</w:t>
      </w:r>
      <w:r w:rsidRPr="00EA5BEA">
        <w:rPr>
          <w:lang w:val="fr-CH"/>
        </w:rPr>
        <w:t xml:space="preserve">améliorer la prise de décisions et de </w:t>
      </w:r>
      <w:r w:rsidRPr="00EA5BEA">
        <w:rPr>
          <w:lang w:val="fr-CH" w:eastAsia="ja-JP"/>
        </w:rPr>
        <w:t xml:space="preserve">contribuer à </w:t>
      </w:r>
      <w:r w:rsidRPr="00EA5BEA">
        <w:rPr>
          <w:lang w:val="fr-CH"/>
        </w:rPr>
        <w:t>garantir le respect du principe de responsabilité, pour d</w:t>
      </w:r>
      <w:r>
        <w:rPr>
          <w:lang w:val="fr-CH"/>
        </w:rPr>
        <w:t>'</w:t>
      </w:r>
      <w:r w:rsidRPr="00EA5BEA">
        <w:rPr>
          <w:lang w:val="fr-CH"/>
        </w:rPr>
        <w:t>autres, il convient de faire preuve de prudence dans la divulgation d</w:t>
      </w:r>
      <w:r>
        <w:rPr>
          <w:lang w:val="fr-CH"/>
        </w:rPr>
        <w:t>'</w:t>
      </w:r>
      <w:r w:rsidRPr="00EA5BEA">
        <w:rPr>
          <w:lang w:val="fr-CH"/>
        </w:rPr>
        <w:t>informations au public. A leur avis, les documents doivent être examinés de près et vérifiés pour éviter que l</w:t>
      </w:r>
      <w:r>
        <w:rPr>
          <w:lang w:val="fr-CH"/>
        </w:rPr>
        <w:t>'</w:t>
      </w:r>
      <w:r w:rsidRPr="00EA5BEA">
        <w:rPr>
          <w:lang w:val="fr-CH"/>
        </w:rPr>
        <w:t>on n</w:t>
      </w:r>
      <w:r>
        <w:rPr>
          <w:lang w:val="fr-CH"/>
        </w:rPr>
        <w:t>'</w:t>
      </w:r>
      <w:r w:rsidRPr="00EA5BEA">
        <w:rPr>
          <w:lang w:val="fr-CH"/>
        </w:rPr>
        <w:t>aboutisse à des conclusions erronées.</w:t>
      </w:r>
    </w:p>
    <w:p w:rsidR="00E06DA1" w:rsidRPr="00EA5BEA" w:rsidRDefault="00E06DA1" w:rsidP="00E06DA1">
      <w:pPr>
        <w:rPr>
          <w:lang w:val="fr-CH"/>
        </w:rPr>
      </w:pPr>
      <w:r w:rsidRPr="00EA5BEA">
        <w:rPr>
          <w:lang w:val="fr-CH"/>
        </w:rPr>
        <w:t>7.17</w:t>
      </w:r>
      <w:r w:rsidRPr="00EA5BEA">
        <w:rPr>
          <w:lang w:val="fr-CH"/>
        </w:rPr>
        <w:tab/>
        <w:t>Les Etats-Unis d</w:t>
      </w:r>
      <w:r>
        <w:rPr>
          <w:lang w:val="fr-CH"/>
        </w:rPr>
        <w:t>'</w:t>
      </w:r>
      <w:r w:rsidRPr="00EA5BEA">
        <w:rPr>
          <w:lang w:val="fr-CH"/>
        </w:rPr>
        <w:t>Amérique ont présenté à la Commission une proposition en vue de recommander au Conseil de rendre accessibles au public les rapports de l</w:t>
      </w:r>
      <w:r>
        <w:rPr>
          <w:lang w:val="fr-CH"/>
        </w:rPr>
        <w:t>'</w:t>
      </w:r>
      <w:r w:rsidRPr="00EA5BEA">
        <w:rPr>
          <w:lang w:val="fr-CH"/>
        </w:rPr>
        <w:t>Auditeur interne et du CCIG.</w:t>
      </w:r>
    </w:p>
    <w:p w:rsidR="00E06DA1" w:rsidRPr="00EA5BEA" w:rsidRDefault="00E06DA1" w:rsidP="00E06DA1">
      <w:pPr>
        <w:rPr>
          <w:lang w:val="fr-CH"/>
        </w:rPr>
      </w:pPr>
      <w:r w:rsidRPr="00EA5BEA">
        <w:rPr>
          <w:lang w:val="fr-CH"/>
        </w:rPr>
        <w:t>7.18</w:t>
      </w:r>
      <w:r w:rsidRPr="00EA5BEA">
        <w:rPr>
          <w:lang w:val="fr-CH"/>
        </w:rPr>
        <w:tab/>
        <w:t>Le Secrétariat a présenté à la réunion de mars 2014 du Groupe de travail du Conseil sur les ressources financières et les ressources humaines (CWG-FHR) un rapport détaillé sur l</w:t>
      </w:r>
      <w:r>
        <w:rPr>
          <w:lang w:val="fr-CH"/>
        </w:rPr>
        <w:t>'</w:t>
      </w:r>
      <w:r w:rsidRPr="00EA5BEA">
        <w:rPr>
          <w:lang w:val="fr-CH"/>
        </w:rPr>
        <w:t>accès aux documents de l</w:t>
      </w:r>
      <w:r>
        <w:rPr>
          <w:lang w:val="fr-CH"/>
        </w:rPr>
        <w:t>'</w:t>
      </w:r>
      <w:r w:rsidRPr="00EA5BEA">
        <w:rPr>
          <w:lang w:val="fr-CH"/>
        </w:rPr>
        <w:t>UIT; à cette occasion, il avait été demandé que le Conseil envisage de rendre accessibles au public les rapports de l</w:t>
      </w:r>
      <w:r>
        <w:rPr>
          <w:lang w:val="fr-CH"/>
        </w:rPr>
        <w:t>'</w:t>
      </w:r>
      <w:r w:rsidRPr="00EA5BEA">
        <w:rPr>
          <w:lang w:val="fr-CH"/>
        </w:rPr>
        <w:t>Auditeur interne et du Vérificateur extérieur, ainsi que du Comité consultatif indépendant pour les questions de gestion</w:t>
      </w:r>
      <w:r w:rsidRPr="00EA5BEA">
        <w:rPr>
          <w:bCs/>
          <w:lang w:val="fr-CH"/>
        </w:rPr>
        <w:t xml:space="preserve"> (CCIG).</w:t>
      </w:r>
    </w:p>
    <w:p w:rsidR="00E06DA1" w:rsidRPr="00EA5BEA" w:rsidRDefault="00E06DA1" w:rsidP="00E06DA1">
      <w:pPr>
        <w:rPr>
          <w:lang w:val="fr-CH"/>
        </w:rPr>
      </w:pPr>
      <w:r w:rsidRPr="00EA5BEA">
        <w:rPr>
          <w:lang w:val="fr-CH"/>
        </w:rPr>
        <w:t>7.19</w:t>
      </w:r>
      <w:r w:rsidRPr="00EA5BEA">
        <w:rPr>
          <w:lang w:val="fr-CH"/>
        </w:rPr>
        <w:tab/>
        <w:t>L</w:t>
      </w:r>
      <w:r>
        <w:rPr>
          <w:lang w:val="fr-CH"/>
        </w:rPr>
        <w:t>'</w:t>
      </w:r>
      <w:r w:rsidRPr="00EA5BEA">
        <w:rPr>
          <w:lang w:val="fr-CH"/>
        </w:rPr>
        <w:t>accès aux rapports d</w:t>
      </w:r>
      <w:r>
        <w:rPr>
          <w:lang w:val="fr-CH"/>
        </w:rPr>
        <w:t>'</w:t>
      </w:r>
      <w:r w:rsidRPr="00EA5BEA">
        <w:rPr>
          <w:lang w:val="fr-CH"/>
        </w:rPr>
        <w:t>audit interne est déjà une réalité dans l</w:t>
      </w:r>
      <w:r>
        <w:rPr>
          <w:lang w:val="fr-CH"/>
        </w:rPr>
        <w:t>'</w:t>
      </w:r>
      <w:r w:rsidRPr="00EA5BEA">
        <w:rPr>
          <w:lang w:val="fr-CH"/>
        </w:rPr>
        <w:t>Organisation des Nations Unies et dans certaines institutions des Nations Unies. Le document souligne l</w:t>
      </w:r>
      <w:r>
        <w:rPr>
          <w:lang w:val="fr-CH"/>
        </w:rPr>
        <w:t>'</w:t>
      </w:r>
      <w:r w:rsidRPr="00EA5BEA">
        <w:rPr>
          <w:lang w:val="fr-CH"/>
        </w:rPr>
        <w:t>importance de la divulgation publique des rapports d</w:t>
      </w:r>
      <w:r>
        <w:rPr>
          <w:lang w:val="fr-CH"/>
        </w:rPr>
        <w:t>'</w:t>
      </w:r>
      <w:r w:rsidRPr="00EA5BEA">
        <w:rPr>
          <w:lang w:val="fr-CH"/>
        </w:rPr>
        <w:t>audit interne afin de renforcer la crédibilité, la transparence et la responsabilité de l</w:t>
      </w:r>
      <w:r>
        <w:rPr>
          <w:lang w:val="fr-CH"/>
        </w:rPr>
        <w:t>'</w:t>
      </w:r>
      <w:r w:rsidRPr="00EA5BEA">
        <w:rPr>
          <w:lang w:val="fr-CH"/>
        </w:rPr>
        <w:t>UIT.</w:t>
      </w:r>
    </w:p>
    <w:p w:rsidR="00E06DA1" w:rsidRPr="00EA5BEA" w:rsidRDefault="00E06DA1" w:rsidP="00E06DA1">
      <w:pPr>
        <w:spacing w:after="120"/>
        <w:rPr>
          <w:rFonts w:asciiTheme="minorHAnsi" w:hAnsiTheme="minorHAnsi"/>
          <w:b/>
          <w:bCs/>
          <w:szCs w:val="24"/>
          <w:lang w:val="fr-CH"/>
        </w:rPr>
      </w:pPr>
      <w:r w:rsidRPr="00EA5BEA">
        <w:rPr>
          <w:rFonts w:asciiTheme="minorHAnsi" w:hAnsiTheme="minorHAnsi"/>
          <w:szCs w:val="24"/>
          <w:lang w:val="fr-CH"/>
        </w:rPr>
        <w:t>7.20</w:t>
      </w:r>
      <w:r w:rsidRPr="00EA5BEA">
        <w:rPr>
          <w:rFonts w:asciiTheme="minorHAnsi" w:hAnsiTheme="minorHAnsi"/>
          <w:szCs w:val="24"/>
          <w:lang w:val="fr-CH"/>
        </w:rPr>
        <w:tab/>
        <w:t>Dans des cas exceptionnels où les informations risqueraient de nuire à la sûreté et à la sécurité d</w:t>
      </w:r>
      <w:r>
        <w:rPr>
          <w:rFonts w:asciiTheme="minorHAnsi" w:hAnsiTheme="minorHAnsi"/>
          <w:szCs w:val="24"/>
          <w:lang w:val="fr-CH"/>
        </w:rPr>
        <w:t>'</w:t>
      </w:r>
      <w:r w:rsidRPr="00EA5BEA">
        <w:rPr>
          <w:rFonts w:asciiTheme="minorHAnsi" w:hAnsiTheme="minorHAnsi"/>
          <w:szCs w:val="24"/>
          <w:lang w:val="fr-CH"/>
        </w:rPr>
        <w:t>un particulier, de violer ses droits à une procédure régulière ou de compromettre une action en justice en cours, des mesures de confidentialité peuvent être prises, par exemple le rapport d</w:t>
      </w:r>
      <w:r>
        <w:rPr>
          <w:rFonts w:asciiTheme="minorHAnsi" w:hAnsiTheme="minorHAnsi"/>
          <w:szCs w:val="24"/>
          <w:lang w:val="fr-CH"/>
        </w:rPr>
        <w:t>'</w:t>
      </w:r>
      <w:r w:rsidRPr="00EA5BEA">
        <w:rPr>
          <w:rFonts w:asciiTheme="minorHAnsi" w:hAnsiTheme="minorHAnsi"/>
          <w:szCs w:val="24"/>
          <w:lang w:val="fr-CH"/>
        </w:rPr>
        <w:t>audit interne peut être révisé à cette fin.</w:t>
      </w:r>
    </w:p>
    <w:p w:rsidR="00E06DA1" w:rsidRPr="00EA5BEA" w:rsidRDefault="00E06DA1" w:rsidP="00E06DA1">
      <w:pPr>
        <w:rPr>
          <w:b/>
          <w:bCs/>
          <w:lang w:val="fr-CH"/>
        </w:rPr>
      </w:pPr>
      <w:r w:rsidRPr="00EA5BEA">
        <w:rPr>
          <w:lang w:val="fr-CH"/>
        </w:rPr>
        <w:t>7.21</w:t>
      </w:r>
      <w:r w:rsidRPr="00EA5BEA">
        <w:rPr>
          <w:lang w:val="fr-CH"/>
        </w:rPr>
        <w:tab/>
        <w:t xml:space="preserve">Certains </w:t>
      </w:r>
      <w:r>
        <w:rPr>
          <w:lang w:val="fr-CH"/>
        </w:rPr>
        <w:t>délégués</w:t>
      </w:r>
      <w:r w:rsidRPr="00EA5BEA">
        <w:rPr>
          <w:lang w:val="fr-CH"/>
        </w:rPr>
        <w:t xml:space="preserve"> ont appuyé la proposition, d</w:t>
      </w:r>
      <w:r>
        <w:rPr>
          <w:lang w:val="fr-CH"/>
        </w:rPr>
        <w:t>'</w:t>
      </w:r>
      <w:r w:rsidRPr="00EA5BEA">
        <w:rPr>
          <w:lang w:val="fr-CH"/>
        </w:rPr>
        <w:t>autres ont formulé des réserves et d</w:t>
      </w:r>
      <w:r>
        <w:rPr>
          <w:lang w:val="fr-CH"/>
        </w:rPr>
        <w:t>'</w:t>
      </w:r>
      <w:r w:rsidRPr="00EA5BEA">
        <w:rPr>
          <w:lang w:val="fr-CH"/>
        </w:rPr>
        <w:t>autres encore ont préféré reporter la discussion afin de disposer de davantage de temps pour analyser et étudier la question.</w:t>
      </w:r>
    </w:p>
    <w:p w:rsidR="00E06DA1" w:rsidRPr="00EA5BEA" w:rsidRDefault="00E06DA1" w:rsidP="00E06DA1">
      <w:pPr>
        <w:rPr>
          <w:lang w:val="fr-CH"/>
        </w:rPr>
      </w:pPr>
      <w:r w:rsidRPr="00EA5BEA">
        <w:rPr>
          <w:lang w:val="fr-CH"/>
        </w:rPr>
        <w:t>7.22</w:t>
      </w:r>
      <w:r w:rsidRPr="00EA5BEA">
        <w:rPr>
          <w:lang w:val="fr-CH"/>
        </w:rPr>
        <w:tab/>
        <w:t>Les Etats-Unis ont présenté leur proposition concernant la publication, sur le site web de l</w:t>
      </w:r>
      <w:r>
        <w:rPr>
          <w:lang w:val="fr-CH"/>
        </w:rPr>
        <w:t>'</w:t>
      </w:r>
      <w:r w:rsidRPr="00EA5BEA">
        <w:rPr>
          <w:lang w:val="fr-CH"/>
        </w:rPr>
        <w:t>UIT accessible au public, des rapports annuels du Vérificateur extérieur des comptes, conformément aux bonnes pratiques suivies dans le système des Nations Unies.</w:t>
      </w:r>
    </w:p>
    <w:p w:rsidR="00E06DA1" w:rsidRPr="00EA5BEA" w:rsidRDefault="00E06DA1" w:rsidP="00E06DA1">
      <w:pPr>
        <w:spacing w:after="120"/>
        <w:rPr>
          <w:rFonts w:asciiTheme="minorHAnsi" w:hAnsiTheme="minorHAnsi"/>
          <w:szCs w:val="24"/>
          <w:lang w:val="fr-CH"/>
        </w:rPr>
      </w:pPr>
      <w:r w:rsidRPr="00EA5BEA">
        <w:rPr>
          <w:rFonts w:asciiTheme="minorHAnsi" w:hAnsiTheme="minorHAnsi"/>
          <w:szCs w:val="24"/>
          <w:lang w:val="fr-CH"/>
        </w:rPr>
        <w:t>7.23</w:t>
      </w:r>
      <w:r w:rsidRPr="00EA5BEA">
        <w:rPr>
          <w:rFonts w:asciiTheme="minorHAnsi" w:hAnsiTheme="minorHAnsi"/>
          <w:szCs w:val="24"/>
          <w:lang w:val="fr-CH"/>
        </w:rPr>
        <w:tab/>
        <w:t>La proposition met en lumière l</w:t>
      </w:r>
      <w:r>
        <w:rPr>
          <w:rFonts w:asciiTheme="minorHAnsi" w:hAnsiTheme="minorHAnsi"/>
          <w:szCs w:val="24"/>
          <w:lang w:val="fr-CH"/>
        </w:rPr>
        <w:t>'</w:t>
      </w:r>
      <w:r w:rsidRPr="00EA5BEA">
        <w:rPr>
          <w:rFonts w:asciiTheme="minorHAnsi" w:hAnsiTheme="minorHAnsi"/>
          <w:szCs w:val="24"/>
          <w:lang w:val="fr-CH"/>
        </w:rPr>
        <w:t>importance de la transparence des pratiques de gestion financière qui renforce la confiance de toutes les parties prenantes et permet l</w:t>
      </w:r>
      <w:r>
        <w:rPr>
          <w:rFonts w:asciiTheme="minorHAnsi" w:hAnsiTheme="minorHAnsi"/>
          <w:szCs w:val="24"/>
          <w:lang w:val="fr-CH"/>
        </w:rPr>
        <w:t>'</w:t>
      </w:r>
      <w:r w:rsidRPr="00EA5BEA">
        <w:rPr>
          <w:rFonts w:asciiTheme="minorHAnsi" w:hAnsiTheme="minorHAnsi"/>
          <w:szCs w:val="24"/>
          <w:lang w:val="fr-CH"/>
        </w:rPr>
        <w:t>organisation de bénéficier d</w:t>
      </w:r>
      <w:r>
        <w:rPr>
          <w:rFonts w:asciiTheme="minorHAnsi" w:hAnsiTheme="minorHAnsi"/>
          <w:szCs w:val="24"/>
          <w:lang w:val="fr-CH"/>
        </w:rPr>
        <w:t>'</w:t>
      </w:r>
      <w:r w:rsidRPr="00EA5BEA">
        <w:rPr>
          <w:rFonts w:asciiTheme="minorHAnsi" w:hAnsiTheme="minorHAnsi"/>
          <w:szCs w:val="24"/>
          <w:lang w:val="fr-CH"/>
        </w:rPr>
        <w:t>un appui constant dans le cadre de son mandat</w:t>
      </w:r>
      <w:r w:rsidR="006037C0">
        <w:rPr>
          <w:rFonts w:asciiTheme="minorHAnsi" w:hAnsiTheme="minorHAnsi"/>
          <w:szCs w:val="24"/>
          <w:lang w:val="fr-CH"/>
        </w:rPr>
        <w:t>.</w:t>
      </w:r>
    </w:p>
    <w:p w:rsidR="00E06DA1" w:rsidRPr="00EA5BEA" w:rsidRDefault="00E06DA1" w:rsidP="00E06DA1">
      <w:pPr>
        <w:spacing w:after="120"/>
        <w:rPr>
          <w:rFonts w:asciiTheme="minorHAnsi" w:hAnsiTheme="minorHAnsi"/>
          <w:b/>
          <w:bCs/>
          <w:szCs w:val="24"/>
          <w:u w:val="single"/>
          <w:lang w:val="fr-CH"/>
        </w:rPr>
      </w:pPr>
      <w:r w:rsidRPr="00EA5BEA">
        <w:rPr>
          <w:rFonts w:asciiTheme="minorHAnsi" w:hAnsiTheme="minorHAnsi"/>
          <w:szCs w:val="24"/>
          <w:lang w:val="fr-CH"/>
        </w:rPr>
        <w:t>7.24</w:t>
      </w:r>
      <w:r w:rsidRPr="00EA5BEA">
        <w:rPr>
          <w:rFonts w:asciiTheme="minorHAnsi" w:hAnsiTheme="minorHAnsi"/>
          <w:szCs w:val="24"/>
          <w:lang w:val="fr-CH"/>
        </w:rPr>
        <w:tab/>
        <w:t>Certains délégués ont proposé un texte qui tient compte des diverses préoccupations exprimées, l</w:t>
      </w:r>
      <w:r>
        <w:rPr>
          <w:rFonts w:asciiTheme="minorHAnsi" w:hAnsiTheme="minorHAnsi"/>
          <w:szCs w:val="24"/>
          <w:lang w:val="fr-CH"/>
        </w:rPr>
        <w:t>'</w:t>
      </w:r>
      <w:r w:rsidRPr="00EA5BEA">
        <w:rPr>
          <w:rFonts w:asciiTheme="minorHAnsi" w:hAnsiTheme="minorHAnsi"/>
          <w:szCs w:val="24"/>
          <w:lang w:val="fr-CH"/>
        </w:rPr>
        <w:t>objectif étant de parvenir à un consensus, en d</w:t>
      </w:r>
      <w:r>
        <w:rPr>
          <w:rFonts w:asciiTheme="minorHAnsi" w:hAnsiTheme="minorHAnsi"/>
          <w:szCs w:val="24"/>
          <w:lang w:val="fr-CH"/>
        </w:rPr>
        <w:t>'</w:t>
      </w:r>
      <w:r w:rsidRPr="00EA5BEA">
        <w:rPr>
          <w:rFonts w:asciiTheme="minorHAnsi" w:hAnsiTheme="minorHAnsi"/>
          <w:szCs w:val="24"/>
          <w:lang w:val="fr-CH"/>
        </w:rPr>
        <w:t>autres termes la recommandation adressée au Conseil de rendre public le rapport du CCIG et du Vérificateur extérieur des comptes ainsi que le résumé du rapport annuel de l</w:t>
      </w:r>
      <w:r>
        <w:rPr>
          <w:rFonts w:asciiTheme="minorHAnsi" w:hAnsiTheme="minorHAnsi"/>
          <w:szCs w:val="24"/>
          <w:lang w:val="fr-CH"/>
        </w:rPr>
        <w:t>'</w:t>
      </w:r>
      <w:r w:rsidRPr="00EA5BEA">
        <w:rPr>
          <w:rFonts w:asciiTheme="minorHAnsi" w:hAnsiTheme="minorHAnsi"/>
          <w:szCs w:val="24"/>
          <w:lang w:val="fr-CH"/>
        </w:rPr>
        <w:t>Auditeur interne, sur une base temporaire et à titre exceptionnel, en attendant que la Conférence de plénipotentiaires de 2014 prenne une décision concernant la politique générale en matière d</w:t>
      </w:r>
      <w:r>
        <w:rPr>
          <w:rFonts w:asciiTheme="minorHAnsi" w:hAnsiTheme="minorHAnsi"/>
          <w:szCs w:val="24"/>
          <w:lang w:val="fr-CH"/>
        </w:rPr>
        <w:t>'</w:t>
      </w:r>
      <w:r w:rsidRPr="00EA5BEA">
        <w:rPr>
          <w:rFonts w:asciiTheme="minorHAnsi" w:hAnsiTheme="minorHAnsi"/>
          <w:szCs w:val="24"/>
          <w:lang w:val="fr-CH"/>
        </w:rPr>
        <w:t>accès aux documents de l</w:t>
      </w:r>
      <w:r>
        <w:rPr>
          <w:rFonts w:asciiTheme="minorHAnsi" w:hAnsiTheme="minorHAnsi"/>
          <w:szCs w:val="24"/>
          <w:lang w:val="fr-CH"/>
        </w:rPr>
        <w:t>'</w:t>
      </w:r>
      <w:r w:rsidRPr="00EA5BEA">
        <w:rPr>
          <w:rFonts w:asciiTheme="minorHAnsi" w:hAnsiTheme="minorHAnsi"/>
          <w:szCs w:val="24"/>
          <w:lang w:val="fr-CH"/>
        </w:rPr>
        <w:t>UIT et de divulgation publique. Ces dispositions temporaires ne devraient en aucun cas prévaloir sur les mesures qui pourraient être prises dans l</w:t>
      </w:r>
      <w:r>
        <w:rPr>
          <w:rFonts w:asciiTheme="minorHAnsi" w:hAnsiTheme="minorHAnsi"/>
          <w:szCs w:val="24"/>
          <w:lang w:val="fr-CH"/>
        </w:rPr>
        <w:t>'</w:t>
      </w:r>
      <w:r w:rsidRPr="00EA5BEA">
        <w:rPr>
          <w:rFonts w:asciiTheme="minorHAnsi" w:hAnsiTheme="minorHAnsi"/>
          <w:szCs w:val="24"/>
          <w:lang w:val="fr-CH"/>
        </w:rPr>
        <w:t>avenir en la matière, en attendant que la Conférence de plénipotentiaires de 2014 prenne une décision sur cette question, le cas échéant.</w:t>
      </w:r>
    </w:p>
    <w:p w:rsidR="00E06DA1" w:rsidRPr="00EA5BEA" w:rsidRDefault="00E06DA1" w:rsidP="00E06DA1">
      <w:pPr>
        <w:spacing w:after="240"/>
        <w:rPr>
          <w:szCs w:val="24"/>
          <w:lang w:val="fr-CH"/>
        </w:rPr>
      </w:pPr>
      <w:r w:rsidRPr="00EA5BEA">
        <w:rPr>
          <w:szCs w:val="24"/>
          <w:lang w:val="fr-CH"/>
        </w:rPr>
        <w:t>7.25</w:t>
      </w:r>
      <w:r w:rsidRPr="00EA5BEA">
        <w:rPr>
          <w:szCs w:val="24"/>
          <w:lang w:val="fr-CH"/>
        </w:rPr>
        <w:tab/>
        <w:t>Le Conseiller juridique de l</w:t>
      </w:r>
      <w:r>
        <w:rPr>
          <w:szCs w:val="24"/>
          <w:lang w:val="fr-CH"/>
        </w:rPr>
        <w:t>'</w:t>
      </w:r>
      <w:r w:rsidRPr="00EA5BEA">
        <w:rPr>
          <w:szCs w:val="24"/>
          <w:lang w:val="fr-CH"/>
        </w:rPr>
        <w:t>UIT a confirmé que le Conseil de l</w:t>
      </w:r>
      <w:r>
        <w:rPr>
          <w:szCs w:val="24"/>
          <w:lang w:val="fr-CH"/>
        </w:rPr>
        <w:t>'</w:t>
      </w:r>
      <w:r w:rsidRPr="00EA5BEA">
        <w:rPr>
          <w:szCs w:val="24"/>
          <w:lang w:val="fr-CH"/>
        </w:rPr>
        <w:t>UIT était habilité à trancher cette question.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06DA1" w:rsidRPr="00EA5BEA" w:rsidTr="00E06DA1">
        <w:tc>
          <w:tcPr>
            <w:tcW w:w="9287" w:type="dxa"/>
            <w:tcBorders>
              <w:top w:val="single" w:sz="4" w:space="0" w:color="auto"/>
              <w:left w:val="single" w:sz="4" w:space="0" w:color="auto"/>
              <w:bottom w:val="single" w:sz="4" w:space="0" w:color="auto"/>
              <w:right w:val="single" w:sz="4" w:space="0" w:color="auto"/>
            </w:tcBorders>
            <w:hideMark/>
          </w:tcPr>
          <w:p w:rsidR="00E06DA1" w:rsidRPr="005E4799" w:rsidRDefault="00E06DA1" w:rsidP="00E06DA1">
            <w:pPr>
              <w:spacing w:after="120"/>
              <w:rPr>
                <w:b/>
                <w:bCs/>
                <w:i/>
                <w:iCs/>
                <w:szCs w:val="24"/>
              </w:rPr>
            </w:pPr>
            <w:r w:rsidRPr="005E4799">
              <w:rPr>
                <w:b/>
                <w:bCs/>
                <w:i/>
                <w:iCs/>
                <w:szCs w:val="24"/>
              </w:rPr>
              <w:lastRenderedPageBreak/>
              <w:t>Recommandation</w:t>
            </w:r>
          </w:p>
          <w:p w:rsidR="00E06DA1" w:rsidRPr="00095817" w:rsidRDefault="00E06DA1" w:rsidP="00E06DA1">
            <w:pPr>
              <w:pStyle w:val="PlainText"/>
              <w:spacing w:before="80" w:after="80"/>
              <w:rPr>
                <w:rFonts w:asciiTheme="minorHAnsi" w:hAnsiTheme="minorHAnsi"/>
                <w:sz w:val="24"/>
                <w:szCs w:val="24"/>
                <w:lang w:val="fr-FR"/>
              </w:rPr>
            </w:pPr>
            <w:r w:rsidRPr="00095817">
              <w:rPr>
                <w:rFonts w:asciiTheme="minorHAnsi" w:hAnsiTheme="minorHAnsi"/>
                <w:sz w:val="24"/>
                <w:szCs w:val="24"/>
                <w:lang w:val="fr-FR"/>
              </w:rPr>
              <w:t>7.26</w:t>
            </w:r>
            <w:r w:rsidRPr="00095817">
              <w:rPr>
                <w:rFonts w:asciiTheme="minorHAnsi" w:hAnsiTheme="minorHAnsi"/>
                <w:sz w:val="24"/>
                <w:szCs w:val="24"/>
                <w:lang w:val="fr-FR"/>
              </w:rPr>
              <w:tab/>
              <w:t>La Commission recommande que le Conseil approuve la publication, sur une base temporaire et à titre exceptionnel en attendant que la Conférence de plénipotentiaires de 2014 prenne une décision sur la politique générale en matière d</w:t>
            </w:r>
            <w:r>
              <w:rPr>
                <w:rFonts w:asciiTheme="minorHAnsi" w:hAnsiTheme="minorHAnsi"/>
                <w:sz w:val="24"/>
                <w:szCs w:val="24"/>
                <w:lang w:val="fr-FR"/>
              </w:rPr>
              <w:t>'</w:t>
            </w:r>
            <w:r w:rsidRPr="00095817">
              <w:rPr>
                <w:rFonts w:asciiTheme="minorHAnsi" w:hAnsiTheme="minorHAnsi"/>
                <w:sz w:val="24"/>
                <w:szCs w:val="24"/>
                <w:lang w:val="fr-FR"/>
              </w:rPr>
              <w:t>accès aux informations et aux documents de l</w:t>
            </w:r>
            <w:r>
              <w:rPr>
                <w:rFonts w:asciiTheme="minorHAnsi" w:hAnsiTheme="minorHAnsi"/>
                <w:sz w:val="24"/>
                <w:szCs w:val="24"/>
                <w:lang w:val="fr-FR"/>
              </w:rPr>
              <w:t>'</w:t>
            </w:r>
            <w:r w:rsidRPr="00095817">
              <w:rPr>
                <w:rFonts w:asciiTheme="minorHAnsi" w:hAnsiTheme="minorHAnsi"/>
                <w:sz w:val="24"/>
                <w:szCs w:val="24"/>
                <w:lang w:val="fr-FR"/>
              </w:rPr>
              <w:t xml:space="preserve">UIT, des documents suivants: </w:t>
            </w:r>
          </w:p>
          <w:p w:rsidR="00E06DA1" w:rsidRPr="00EA5BEA" w:rsidRDefault="00E06DA1" w:rsidP="00E06DA1">
            <w:pPr>
              <w:pStyle w:val="enumlev1"/>
              <w:spacing w:before="80" w:after="80"/>
              <w:rPr>
                <w:lang w:val="fr-CH"/>
              </w:rPr>
            </w:pPr>
            <w:r w:rsidRPr="00EA5BEA">
              <w:rPr>
                <w:lang w:val="fr-CH"/>
              </w:rPr>
              <w:t>–</w:t>
            </w:r>
            <w:r w:rsidRPr="00EA5BEA">
              <w:rPr>
                <w:lang w:val="fr-CH"/>
              </w:rPr>
              <w:tab/>
              <w:t>rapport du CCIG;</w:t>
            </w:r>
          </w:p>
          <w:p w:rsidR="00E06DA1" w:rsidRPr="00EA5BEA" w:rsidRDefault="00E06DA1" w:rsidP="00E06DA1">
            <w:pPr>
              <w:pStyle w:val="enumlev1"/>
              <w:spacing w:before="80" w:after="80"/>
              <w:rPr>
                <w:lang w:val="fr-CH"/>
              </w:rPr>
            </w:pPr>
            <w:r w:rsidRPr="00EA5BEA">
              <w:rPr>
                <w:lang w:val="fr-CH"/>
              </w:rPr>
              <w:t>–</w:t>
            </w:r>
            <w:r w:rsidRPr="00EA5BEA">
              <w:rPr>
                <w:lang w:val="fr-CH"/>
              </w:rPr>
              <w:tab/>
              <w:t>rapport du Vérificateur extérieur des comptes; et</w:t>
            </w:r>
          </w:p>
          <w:p w:rsidR="00E06DA1" w:rsidRPr="00EA5BEA" w:rsidRDefault="00E06DA1" w:rsidP="00E06DA1">
            <w:pPr>
              <w:pStyle w:val="enumlev1"/>
              <w:spacing w:before="80" w:after="80"/>
              <w:rPr>
                <w:lang w:val="fr-CH"/>
              </w:rPr>
            </w:pPr>
            <w:r w:rsidRPr="00EA5BEA">
              <w:rPr>
                <w:lang w:val="fr-CH"/>
              </w:rPr>
              <w:t>–</w:t>
            </w:r>
            <w:r w:rsidRPr="00EA5BEA">
              <w:rPr>
                <w:lang w:val="fr-CH"/>
              </w:rPr>
              <w:tab/>
              <w:t>résumé du rapport d</w:t>
            </w:r>
            <w:r>
              <w:rPr>
                <w:lang w:val="fr-CH"/>
              </w:rPr>
              <w:t>'</w:t>
            </w:r>
            <w:r w:rsidRPr="00EA5BEA">
              <w:rPr>
                <w:lang w:val="fr-CH"/>
              </w:rPr>
              <w:t>audit interne.</w:t>
            </w:r>
          </w:p>
          <w:p w:rsidR="00E06DA1" w:rsidRPr="00EA5BEA" w:rsidRDefault="00E06DA1" w:rsidP="006037C0">
            <w:pPr>
              <w:pStyle w:val="PlainText"/>
              <w:spacing w:after="120"/>
              <w:jc w:val="left"/>
              <w:rPr>
                <w:rFonts w:ascii="Calibri" w:hAnsi="Calibri"/>
                <w:sz w:val="24"/>
                <w:szCs w:val="24"/>
                <w:lang w:val="fr-CH"/>
              </w:rPr>
            </w:pPr>
            <w:r w:rsidRPr="00EA5BEA">
              <w:rPr>
                <w:rFonts w:asciiTheme="minorHAnsi" w:hAnsiTheme="minorHAnsi"/>
                <w:sz w:val="24"/>
                <w:szCs w:val="24"/>
                <w:lang w:val="fr-FR"/>
              </w:rPr>
              <w:t>Ces dispositions temporaires ne devraient en aucun cas prévaloir sur les mesures qui pourraient être prises dans l</w:t>
            </w:r>
            <w:r>
              <w:rPr>
                <w:rFonts w:asciiTheme="minorHAnsi" w:hAnsiTheme="minorHAnsi"/>
                <w:sz w:val="24"/>
                <w:szCs w:val="24"/>
                <w:lang w:val="fr-FR"/>
              </w:rPr>
              <w:t>'</w:t>
            </w:r>
            <w:r w:rsidRPr="00EA5BEA">
              <w:rPr>
                <w:rFonts w:asciiTheme="minorHAnsi" w:hAnsiTheme="minorHAnsi"/>
                <w:sz w:val="24"/>
                <w:szCs w:val="24"/>
                <w:lang w:val="fr-FR"/>
              </w:rPr>
              <w:t>avenir à cet égard en attendant que la Conférence de plénipotentiaires de 2014 prenne une décision sur cette question, le cas échéant.</w:t>
            </w:r>
          </w:p>
        </w:tc>
      </w:tr>
    </w:tbl>
    <w:p w:rsidR="00E06DA1" w:rsidRDefault="00E06DA1" w:rsidP="00E06DA1">
      <w:pPr>
        <w:spacing w:before="160"/>
        <w:jc w:val="both"/>
        <w:rPr>
          <w:rFonts w:asciiTheme="minorHAnsi" w:hAnsiTheme="minorHAnsi"/>
          <w:b/>
          <w:bCs/>
          <w:szCs w:val="24"/>
        </w:rPr>
      </w:pPr>
      <w:r>
        <w:rPr>
          <w:rFonts w:asciiTheme="minorHAnsi" w:hAnsiTheme="minorHAnsi"/>
          <w:b/>
          <w:bCs/>
          <w:szCs w:val="24"/>
        </w:rPr>
        <w:t>……..</w:t>
      </w:r>
    </w:p>
    <w:p w:rsidR="00E06DA1" w:rsidRPr="00EA5BEA" w:rsidRDefault="00E06DA1" w:rsidP="00E06DA1">
      <w:pPr>
        <w:jc w:val="both"/>
        <w:rPr>
          <w:rFonts w:asciiTheme="minorHAnsi" w:hAnsiTheme="minorHAnsi"/>
          <w:b/>
          <w:bCs/>
          <w:szCs w:val="24"/>
          <w:lang w:val="fr-CH"/>
        </w:rPr>
      </w:pPr>
      <w:r>
        <w:rPr>
          <w:rFonts w:asciiTheme="minorHAnsi" w:hAnsiTheme="minorHAnsi"/>
          <w:b/>
          <w:bCs/>
          <w:szCs w:val="24"/>
          <w:lang w:val="fr-CH"/>
        </w:rPr>
        <w:t xml:space="preserve">Extrait du </w:t>
      </w:r>
      <w:r w:rsidRPr="00EA5BEA">
        <w:rPr>
          <w:rFonts w:asciiTheme="minorHAnsi" w:hAnsiTheme="minorHAnsi"/>
          <w:b/>
          <w:bCs/>
          <w:szCs w:val="24"/>
          <w:lang w:val="fr-CH"/>
        </w:rPr>
        <w:t>Document C14/99:</w:t>
      </w:r>
      <w:r w:rsidRPr="00EA5BEA">
        <w:rPr>
          <w:lang w:val="fr-CH"/>
        </w:rPr>
        <w:t xml:space="preserve"> Compte rendu de la neuvième séance plénière</w:t>
      </w:r>
    </w:p>
    <w:p w:rsidR="00E06DA1" w:rsidRDefault="00E06DA1" w:rsidP="00E06DA1">
      <w:pPr>
        <w:jc w:val="both"/>
        <w:rPr>
          <w:rFonts w:asciiTheme="minorHAnsi" w:hAnsiTheme="minorHAnsi"/>
          <w:b/>
          <w:bCs/>
          <w:szCs w:val="24"/>
        </w:rPr>
      </w:pPr>
      <w:r>
        <w:rPr>
          <w:rFonts w:asciiTheme="minorHAnsi" w:hAnsiTheme="minorHAnsi"/>
          <w:b/>
          <w:bCs/>
          <w:szCs w:val="24"/>
        </w:rPr>
        <w:t>……..</w:t>
      </w:r>
    </w:p>
    <w:p w:rsidR="00E06DA1" w:rsidRPr="00EA5BEA" w:rsidRDefault="00E06DA1" w:rsidP="00E06DA1">
      <w:pPr>
        <w:pStyle w:val="ListParagraph"/>
        <w:adjustRightInd w:val="0"/>
        <w:spacing w:before="240" w:after="120" w:line="240" w:lineRule="auto"/>
        <w:ind w:left="0"/>
        <w:rPr>
          <w:rFonts w:ascii="Calibri" w:hAnsi="Calibri" w:cs="Calibri"/>
          <w:sz w:val="24"/>
          <w:szCs w:val="24"/>
          <w:lang w:val="fr-CH"/>
        </w:rPr>
      </w:pPr>
      <w:r>
        <w:rPr>
          <w:rFonts w:ascii="Calibri" w:hAnsi="Calibri" w:cs="Calibri"/>
          <w:sz w:val="24"/>
          <w:szCs w:val="24"/>
          <w:lang w:val="fr-FR"/>
        </w:rPr>
        <w:t>"</w:t>
      </w:r>
      <w:r w:rsidRPr="00EA5BEA">
        <w:rPr>
          <w:rFonts w:ascii="Calibri" w:hAnsi="Calibri" w:cs="Calibri"/>
          <w:sz w:val="24"/>
          <w:szCs w:val="24"/>
          <w:lang w:val="fr-CH"/>
        </w:rPr>
        <w:t>..1.6</w:t>
      </w:r>
      <w:r w:rsidRPr="00EA5BEA">
        <w:rPr>
          <w:rFonts w:ascii="Calibri" w:hAnsi="Calibri" w:cs="Calibri"/>
          <w:sz w:val="24"/>
          <w:szCs w:val="24"/>
          <w:lang w:val="fr-CH"/>
        </w:rPr>
        <w:tab/>
      </w:r>
      <w:r w:rsidRPr="00EA5BEA">
        <w:rPr>
          <w:rFonts w:ascii="Calibri" w:eastAsia="Times New Roman" w:hAnsi="Calibri" w:cs="Times New Roman"/>
          <w:sz w:val="24"/>
          <w:szCs w:val="20"/>
          <w:lang w:val="fr-CH" w:eastAsia="en-US"/>
        </w:rPr>
        <w:t>Un conseiller ajoute que la recommandation figurant dans le § 7.14 devrait faire expressément référence à la PP-14</w:t>
      </w:r>
      <w:r w:rsidRPr="00EA5BEA">
        <w:rPr>
          <w:rFonts w:ascii="Calibri" w:hAnsi="Calibri" w:cs="Calibri"/>
          <w:sz w:val="24"/>
          <w:szCs w:val="24"/>
          <w:lang w:val="fr-CH"/>
        </w:rPr>
        <w:t>….</w:t>
      </w:r>
      <w:r>
        <w:rPr>
          <w:rFonts w:ascii="Calibri" w:hAnsi="Calibri" w:cs="Calibri"/>
          <w:sz w:val="24"/>
          <w:szCs w:val="24"/>
          <w:lang w:val="fr-CH"/>
        </w:rPr>
        <w:t>"</w:t>
      </w:r>
    </w:p>
    <w:p w:rsidR="00E06DA1" w:rsidRDefault="00E06DA1" w:rsidP="00E06DA1">
      <w:pPr>
        <w:rPr>
          <w:lang w:val="fr-CH"/>
        </w:rPr>
      </w:pPr>
      <w:r w:rsidRPr="00EA5BEA">
        <w:rPr>
          <w:lang w:val="fr-CH"/>
        </w:rPr>
        <w:t>.</w:t>
      </w:r>
      <w:r>
        <w:rPr>
          <w:lang w:val="fr-CH"/>
        </w:rPr>
        <w:t>.</w:t>
      </w:r>
      <w:r>
        <w:rPr>
          <w:rFonts w:cs="Calibri"/>
          <w:szCs w:val="24"/>
        </w:rPr>
        <w:t>"</w:t>
      </w:r>
      <w:r w:rsidRPr="00EA5BEA">
        <w:rPr>
          <w:spacing w:val="-6"/>
          <w:lang w:val="fr-CH"/>
        </w:rPr>
        <w:t>1.25</w:t>
      </w:r>
      <w:r w:rsidRPr="00EA5BEA">
        <w:rPr>
          <w:lang w:val="fr-CH"/>
        </w:rPr>
        <w:tab/>
      </w:r>
      <w:r>
        <w:rPr>
          <w:lang w:val="fr-CH"/>
        </w:rPr>
        <w:t xml:space="preserve">Sous réserve des modifications convenues au cours des débats, le Conseil </w:t>
      </w:r>
      <w:r w:rsidRPr="00AB6F38">
        <w:rPr>
          <w:b/>
          <w:bCs/>
          <w:lang w:val="fr-CH"/>
        </w:rPr>
        <w:t>approuve</w:t>
      </w:r>
      <w:r>
        <w:rPr>
          <w:lang w:val="fr-CH"/>
        </w:rPr>
        <w:t xml:space="preserve"> les recommandations formulées aux § </w:t>
      </w:r>
      <w:r w:rsidRPr="00EA5BEA">
        <w:rPr>
          <w:lang w:val="fr-CH"/>
        </w:rPr>
        <w:t xml:space="preserve">1.7, 2.7, 3.5, 4.7, 5.2, 6.4, 7.8, 7.14, 7.26, 7.35, 7.37, 7.43, 8.2, 9.8, 10.7, 11.5, 12.8, 13.5, 14.6, 15.4, 15.5, 18.9 et 19.14; en conséquence, il </w:t>
      </w:r>
      <w:r w:rsidRPr="00EA5BEA">
        <w:rPr>
          <w:b/>
          <w:bCs/>
          <w:lang w:val="fr-CH"/>
        </w:rPr>
        <w:t>approuve</w:t>
      </w:r>
      <w:r w:rsidRPr="00EA5BEA">
        <w:rPr>
          <w:lang w:val="fr-CH"/>
        </w:rPr>
        <w:t xml:space="preserve">, </w:t>
      </w:r>
      <w:r w:rsidRPr="00EA5BEA">
        <w:rPr>
          <w:b/>
          <w:bCs/>
          <w:lang w:val="fr-CH"/>
        </w:rPr>
        <w:t>adopte</w:t>
      </w:r>
      <w:r w:rsidRPr="00EA5BEA">
        <w:rPr>
          <w:lang w:val="fr-CH"/>
        </w:rPr>
        <w:t xml:space="preserve">, </w:t>
      </w:r>
      <w:r w:rsidRPr="00EA5BEA">
        <w:rPr>
          <w:b/>
          <w:bCs/>
          <w:lang w:val="fr-CH"/>
        </w:rPr>
        <w:t>entérine</w:t>
      </w:r>
      <w:r w:rsidRPr="00EA5BEA">
        <w:rPr>
          <w:lang w:val="fr-CH"/>
        </w:rPr>
        <w:t xml:space="preserve"> les textes suivants, ou en </w:t>
      </w:r>
      <w:r w:rsidRPr="00EA5BEA">
        <w:rPr>
          <w:b/>
          <w:bCs/>
          <w:lang w:val="fr-CH"/>
        </w:rPr>
        <w:t>prend note</w:t>
      </w:r>
      <w:r w:rsidRPr="00EA5BEA">
        <w:rPr>
          <w:lang w:val="fr-CH"/>
        </w:rPr>
        <w:t>, selon les cas</w:t>
      </w:r>
      <w:r>
        <w:rPr>
          <w:lang w:val="fr-CH"/>
        </w:rPr>
        <w:t>."</w:t>
      </w:r>
    </w:p>
    <w:p w:rsidR="00E06DA1" w:rsidRPr="004D7BA5" w:rsidRDefault="00E06DA1" w:rsidP="00273986">
      <w:pPr>
        <w:spacing w:before="840"/>
        <w:jc w:val="center"/>
        <w:rPr>
          <w:b/>
          <w:bCs/>
          <w:shd w:val="pct15" w:color="auto" w:fill="FFFFFF"/>
          <w:lang w:val="fr-CH"/>
        </w:rPr>
      </w:pPr>
      <w:r>
        <w:t>______________</w:t>
      </w:r>
    </w:p>
    <w:sectPr w:rsidR="00E06DA1" w:rsidRPr="004D7BA5" w:rsidSect="005C3890">
      <w:headerReference w:type="even" r:id="rId17"/>
      <w:headerReference w:type="default" r:id="rId18"/>
      <w:footerReference w:type="even"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A1" w:rsidRDefault="00E06DA1">
      <w:r>
        <w:separator/>
      </w:r>
    </w:p>
  </w:endnote>
  <w:endnote w:type="continuationSeparator" w:id="0">
    <w:p w:rsidR="00E06DA1" w:rsidRDefault="00E0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A1" w:rsidRDefault="00756C22">
    <w:pPr>
      <w:pStyle w:val="Footer"/>
    </w:pPr>
    <w:fldSimple w:instr=" FILENAME \p \* MERGEFORMAT ">
      <w:r>
        <w:t>P:\FRA\SG\CONF-SG\PP14\000\059F.docx</w:t>
      </w:r>
    </w:fldSimple>
    <w:r w:rsidR="00E06DA1">
      <w:tab/>
    </w:r>
    <w:r w:rsidR="00E06DA1">
      <w:fldChar w:fldCharType="begin"/>
    </w:r>
    <w:r w:rsidR="00E06DA1">
      <w:instrText xml:space="preserve"> savedate \@ dd.MM.yy </w:instrText>
    </w:r>
    <w:r w:rsidR="00E06DA1">
      <w:fldChar w:fldCharType="separate"/>
    </w:r>
    <w:r w:rsidR="00273986">
      <w:t>21.08.14</w:t>
    </w:r>
    <w:r w:rsidR="00E06DA1">
      <w:fldChar w:fldCharType="end"/>
    </w:r>
    <w:r w:rsidR="00E06DA1">
      <w:tab/>
    </w:r>
    <w:r w:rsidR="00E06DA1">
      <w:fldChar w:fldCharType="begin"/>
    </w:r>
    <w:r w:rsidR="00E06DA1">
      <w:instrText xml:space="preserve"> printdate \@ dd.MM.yy </w:instrText>
    </w:r>
    <w:r w:rsidR="00E06DA1">
      <w:fldChar w:fldCharType="separate"/>
    </w:r>
    <w:r>
      <w:t>21.08.14</w:t>
    </w:r>
    <w:r w:rsidR="00E06D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A1" w:rsidRPr="00273986" w:rsidRDefault="00E06DA1" w:rsidP="00273986">
    <w:pPr>
      <w:spacing w:after="120"/>
      <w:jc w:val="center"/>
    </w:pPr>
    <w:r>
      <w:t xml:space="preserve">• </w:t>
    </w:r>
    <w:r w:rsidRPr="004C0F6D">
      <w:rPr>
        <w:rStyle w:val="Hyperlink"/>
        <w:sz w:val="22"/>
        <w:szCs w:val="22"/>
        <w:lang w:val="fr-CH"/>
      </w:rPr>
      <w:t>www.itu.int/plenipotentiary/</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A1" w:rsidRDefault="00E06DA1">
      <w:r>
        <w:t>____________________</w:t>
      </w:r>
    </w:p>
  </w:footnote>
  <w:footnote w:type="continuationSeparator" w:id="0">
    <w:p w:rsidR="00E06DA1" w:rsidRDefault="00E06DA1">
      <w:r>
        <w:continuationSeparator/>
      </w:r>
    </w:p>
  </w:footnote>
  <w:footnote w:id="1">
    <w:p w:rsidR="00E06DA1" w:rsidRPr="00FB021B" w:rsidRDefault="00E06DA1" w:rsidP="00FB021B">
      <w:pPr>
        <w:pStyle w:val="FootnoteText"/>
        <w:tabs>
          <w:tab w:val="clear" w:pos="256"/>
        </w:tabs>
        <w:ind w:left="284" w:hanging="284"/>
        <w:rPr>
          <w:szCs w:val="24"/>
        </w:rPr>
      </w:pPr>
      <w:r>
        <w:rPr>
          <w:rStyle w:val="FootnoteReference"/>
        </w:rPr>
        <w:footnoteRef/>
      </w:r>
      <w:r w:rsidRPr="00D86A54">
        <w:rPr>
          <w:lang w:val="fr-CH"/>
        </w:rPr>
        <w:t xml:space="preserve"> </w:t>
      </w:r>
      <w:r w:rsidRPr="00FB021B">
        <w:rPr>
          <w:sz w:val="32"/>
          <w:szCs w:val="24"/>
          <w:lang w:val="fr-CH"/>
        </w:rPr>
        <w:tab/>
      </w:r>
      <w:r w:rsidRPr="00273986">
        <w:rPr>
          <w:sz w:val="20"/>
          <w:lang w:val="fr-CH"/>
        </w:rPr>
        <w:t xml:space="preserve">Il convient de noter que la question du </w:t>
      </w:r>
      <w:r w:rsidR="00FB021B" w:rsidRPr="00273986">
        <w:rPr>
          <w:sz w:val="20"/>
          <w:lang w:val="fr-CH"/>
        </w:rPr>
        <w:t>"</w:t>
      </w:r>
      <w:r w:rsidRPr="00273986">
        <w:rPr>
          <w:sz w:val="20"/>
          <w:lang w:val="fr-CH"/>
        </w:rPr>
        <w:t>droit</w:t>
      </w:r>
      <w:r w:rsidR="00FB021B" w:rsidRPr="00273986">
        <w:rPr>
          <w:sz w:val="20"/>
          <w:lang w:val="fr-CH"/>
        </w:rPr>
        <w:t>"</w:t>
      </w:r>
      <w:r w:rsidRPr="00273986">
        <w:rPr>
          <w:sz w:val="20"/>
          <w:lang w:val="fr-CH"/>
        </w:rPr>
        <w:t xml:space="preserve"> de l'accès aux informations est distincte de celle du </w:t>
      </w:r>
      <w:r w:rsidR="00FB021B" w:rsidRPr="00273986">
        <w:rPr>
          <w:sz w:val="20"/>
          <w:lang w:val="fr-CH"/>
        </w:rPr>
        <w:t>"</w:t>
      </w:r>
      <w:r w:rsidRPr="00273986">
        <w:rPr>
          <w:sz w:val="20"/>
          <w:lang w:val="fr-CH"/>
        </w:rPr>
        <w:t>coût</w:t>
      </w:r>
      <w:r w:rsidR="00FB021B" w:rsidRPr="00273986">
        <w:rPr>
          <w:sz w:val="20"/>
          <w:lang w:val="fr-CH"/>
        </w:rPr>
        <w:t>"</w:t>
      </w:r>
      <w:r w:rsidRPr="00273986">
        <w:rPr>
          <w:sz w:val="20"/>
          <w:lang w:val="fr-CH"/>
        </w:rPr>
        <w:t xml:space="preserve"> de cet accès.</w:t>
      </w:r>
    </w:p>
  </w:footnote>
  <w:footnote w:id="2">
    <w:p w:rsidR="00E06DA1" w:rsidRPr="00FB021B" w:rsidRDefault="00E06DA1" w:rsidP="00273986">
      <w:pPr>
        <w:pStyle w:val="FootnoteText"/>
        <w:tabs>
          <w:tab w:val="clear" w:pos="256"/>
        </w:tabs>
        <w:spacing w:before="60"/>
        <w:ind w:left="284" w:hanging="284"/>
        <w:rPr>
          <w:rFonts w:asciiTheme="minorHAnsi" w:hAnsiTheme="minorHAnsi"/>
          <w:sz w:val="20"/>
          <w:lang w:val="fr-CH"/>
        </w:rPr>
      </w:pPr>
      <w:r>
        <w:rPr>
          <w:rStyle w:val="FootnoteReference"/>
        </w:rPr>
        <w:footnoteRef/>
      </w:r>
      <w:r w:rsidRPr="00D86A54">
        <w:rPr>
          <w:lang w:val="fr-CH"/>
        </w:rPr>
        <w:t xml:space="preserve"> </w:t>
      </w:r>
      <w:r w:rsidRPr="00D86A54">
        <w:rPr>
          <w:lang w:val="fr-CH"/>
        </w:rPr>
        <w:tab/>
      </w:r>
      <w:r w:rsidRPr="00273986">
        <w:rPr>
          <w:sz w:val="20"/>
          <w:lang w:val="fr-CH"/>
        </w:rPr>
        <w:t>L'accès aux lettres circulaires du Secrétariat général est restre</w:t>
      </w:r>
      <w:r w:rsidR="00FB021B" w:rsidRPr="00273986">
        <w:rPr>
          <w:sz w:val="20"/>
          <w:lang w:val="fr-CH"/>
        </w:rPr>
        <w:t>int aux utilisateurs du système </w:t>
      </w:r>
      <w:r w:rsidRPr="00273986">
        <w:rPr>
          <w:sz w:val="20"/>
          <w:lang w:val="fr-CH"/>
        </w:rPr>
        <w:t>TIES, mais l'accès à tous les types de lettres circulaires dans les trois Secteurs est ouvert au public.</w:t>
      </w:r>
    </w:p>
  </w:footnote>
  <w:footnote w:id="3">
    <w:p w:rsidR="00E06DA1" w:rsidRPr="00774E6A" w:rsidRDefault="00E06DA1" w:rsidP="00E06DA1">
      <w:pPr>
        <w:pStyle w:val="FootnoteText"/>
        <w:tabs>
          <w:tab w:val="clear" w:pos="256"/>
          <w:tab w:val="clear" w:pos="567"/>
          <w:tab w:val="clear" w:pos="1134"/>
          <w:tab w:val="clear" w:pos="1701"/>
          <w:tab w:val="clear" w:pos="2268"/>
          <w:tab w:val="clear" w:pos="2835"/>
        </w:tabs>
        <w:ind w:left="284" w:hanging="284"/>
        <w:rPr>
          <w:sz w:val="32"/>
          <w:szCs w:val="24"/>
          <w:lang w:val="fr-CH"/>
        </w:rPr>
      </w:pPr>
      <w:r>
        <w:rPr>
          <w:rStyle w:val="FootnoteReference"/>
        </w:rPr>
        <w:footnoteRef/>
      </w:r>
      <w:r w:rsidRPr="005229DC">
        <w:rPr>
          <w:lang w:val="fr-CH"/>
        </w:rPr>
        <w:t xml:space="preserve"> </w:t>
      </w:r>
      <w:r w:rsidRPr="005229DC">
        <w:rPr>
          <w:lang w:val="fr-CH"/>
        </w:rPr>
        <w:tab/>
      </w:r>
      <w:r w:rsidRPr="00273986">
        <w:rPr>
          <w:sz w:val="20"/>
          <w:lang w:val="fr-CH"/>
        </w:rPr>
        <w:t>D'autres organisations internationales/intergouvernementales ont adopté des politiques officielles d'accès à l'information ou de divulgation de l'information, notamment la Banque interaméricaine de développement (BID) (2010), la Banque asiatique de développement (2011) et le Groupe de la Banque africaine de développement (2013).</w:t>
      </w:r>
    </w:p>
  </w:footnote>
  <w:footnote w:id="4">
    <w:p w:rsidR="00E06DA1" w:rsidRPr="00774E6A" w:rsidRDefault="00E06DA1" w:rsidP="00E06DA1">
      <w:pPr>
        <w:pStyle w:val="FootnoteText"/>
        <w:tabs>
          <w:tab w:val="clear" w:pos="256"/>
          <w:tab w:val="clear" w:pos="567"/>
          <w:tab w:val="clear" w:pos="1134"/>
          <w:tab w:val="clear" w:pos="1701"/>
          <w:tab w:val="clear" w:pos="2268"/>
          <w:tab w:val="clear" w:pos="2835"/>
        </w:tabs>
        <w:ind w:left="284" w:hanging="284"/>
        <w:rPr>
          <w:sz w:val="32"/>
          <w:szCs w:val="24"/>
          <w:lang w:val="fr-CH"/>
        </w:rPr>
      </w:pPr>
      <w:r>
        <w:rPr>
          <w:rStyle w:val="FootnoteReference"/>
        </w:rPr>
        <w:footnoteRef/>
      </w:r>
      <w:r w:rsidRPr="00A374DD">
        <w:rPr>
          <w:lang w:val="fr-CH"/>
        </w:rPr>
        <w:t xml:space="preserve"> </w:t>
      </w:r>
      <w:r w:rsidRPr="00A374DD">
        <w:rPr>
          <w:lang w:val="fr-CH"/>
        </w:rPr>
        <w:tab/>
      </w:r>
      <w:r w:rsidRPr="00273986">
        <w:rPr>
          <w:sz w:val="20"/>
          <w:lang w:val="fr-CH"/>
        </w:rPr>
        <w:t>Les organisations internationales ayant mis en place un tel comité de supervision sont la Banque mondiale, le PNUD, l'UNOPS, le PAM et la 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A1" w:rsidRDefault="00E06DA1">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06DA1" w:rsidRDefault="00E06DA1">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A1" w:rsidRDefault="00E06DA1" w:rsidP="00475FB3">
    <w:pPr>
      <w:pStyle w:val="Header"/>
    </w:pPr>
    <w:r>
      <w:fldChar w:fldCharType="begin"/>
    </w:r>
    <w:r>
      <w:instrText>PAGE</w:instrText>
    </w:r>
    <w:r>
      <w:fldChar w:fldCharType="separate"/>
    </w:r>
    <w:r w:rsidR="00273986">
      <w:rPr>
        <w:noProof/>
      </w:rPr>
      <w:t>10</w:t>
    </w:r>
    <w:r>
      <w:rPr>
        <w:noProof/>
      </w:rPr>
      <w:fldChar w:fldCharType="end"/>
    </w:r>
    <w:r w:rsidR="00273986">
      <w:rPr>
        <w:noProof/>
      </w:rPr>
      <w:t>/</w:t>
    </w:r>
    <w:r w:rsidR="00273986">
      <w:rPr>
        <w:noProof/>
      </w:rPr>
      <w:fldChar w:fldCharType="begin"/>
    </w:r>
    <w:r w:rsidR="00273986">
      <w:rPr>
        <w:noProof/>
      </w:rPr>
      <w:instrText xml:space="preserve"> NUMPAGES   \* MERGEFORMAT </w:instrText>
    </w:r>
    <w:r w:rsidR="00273986">
      <w:rPr>
        <w:noProof/>
      </w:rPr>
      <w:fldChar w:fldCharType="separate"/>
    </w:r>
    <w:r w:rsidR="00273986">
      <w:rPr>
        <w:noProof/>
      </w:rPr>
      <w:t>10</w:t>
    </w:r>
    <w:r w:rsidR="00273986">
      <w:rPr>
        <w:noProof/>
      </w:rPr>
      <w:fldChar w:fldCharType="end"/>
    </w:r>
  </w:p>
  <w:p w:rsidR="00E06DA1" w:rsidRDefault="00E06DA1" w:rsidP="004F259E">
    <w:pPr>
      <w:pStyle w:val="Header"/>
    </w:pPr>
    <w:r>
      <w:t>PP14/59-F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89F"/>
    <w:multiLevelType w:val="hybridMultilevel"/>
    <w:tmpl w:val="5B3807EC"/>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62E24"/>
    <w:multiLevelType w:val="hybridMultilevel"/>
    <w:tmpl w:val="A7B203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4C3534"/>
    <w:multiLevelType w:val="hybridMultilevel"/>
    <w:tmpl w:val="8350F8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C7C45"/>
    <w:multiLevelType w:val="hybridMultilevel"/>
    <w:tmpl w:val="4B9E58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AE7CF1"/>
    <w:multiLevelType w:val="hybridMultilevel"/>
    <w:tmpl w:val="EB2C85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87D98"/>
    <w:multiLevelType w:val="hybridMultilevel"/>
    <w:tmpl w:val="9B987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03"/>
    <w:rsid w:val="00002925"/>
    <w:rsid w:val="0002790C"/>
    <w:rsid w:val="000572CC"/>
    <w:rsid w:val="0006317C"/>
    <w:rsid w:val="000662CE"/>
    <w:rsid w:val="00080857"/>
    <w:rsid w:val="00091222"/>
    <w:rsid w:val="000D0D0A"/>
    <w:rsid w:val="0010240B"/>
    <w:rsid w:val="00103163"/>
    <w:rsid w:val="00115D93"/>
    <w:rsid w:val="001247A8"/>
    <w:rsid w:val="001378C0"/>
    <w:rsid w:val="001858B7"/>
    <w:rsid w:val="001953C1"/>
    <w:rsid w:val="001A3287"/>
    <w:rsid w:val="001C6D5B"/>
    <w:rsid w:val="001D4C31"/>
    <w:rsid w:val="001E4D21"/>
    <w:rsid w:val="00207CD1"/>
    <w:rsid w:val="002477A2"/>
    <w:rsid w:val="00263A51"/>
    <w:rsid w:val="00273986"/>
    <w:rsid w:val="002A5D44"/>
    <w:rsid w:val="002E0FCD"/>
    <w:rsid w:val="002F1B76"/>
    <w:rsid w:val="002F4C0E"/>
    <w:rsid w:val="002F749D"/>
    <w:rsid w:val="0034094E"/>
    <w:rsid w:val="00350F08"/>
    <w:rsid w:val="00355FF5"/>
    <w:rsid w:val="00394448"/>
    <w:rsid w:val="00396F21"/>
    <w:rsid w:val="003C4909"/>
    <w:rsid w:val="003C68A0"/>
    <w:rsid w:val="003E57DE"/>
    <w:rsid w:val="003F0F6C"/>
    <w:rsid w:val="004038CB"/>
    <w:rsid w:val="0040546F"/>
    <w:rsid w:val="0042404A"/>
    <w:rsid w:val="00435135"/>
    <w:rsid w:val="0044618F"/>
    <w:rsid w:val="0046769A"/>
    <w:rsid w:val="00475FB3"/>
    <w:rsid w:val="00497550"/>
    <w:rsid w:val="004C0F6D"/>
    <w:rsid w:val="004D2563"/>
    <w:rsid w:val="004D2B7E"/>
    <w:rsid w:val="004E074C"/>
    <w:rsid w:val="004E6B2A"/>
    <w:rsid w:val="004F259E"/>
    <w:rsid w:val="0052376F"/>
    <w:rsid w:val="00540615"/>
    <w:rsid w:val="00540A6D"/>
    <w:rsid w:val="00566924"/>
    <w:rsid w:val="00575417"/>
    <w:rsid w:val="005768E1"/>
    <w:rsid w:val="00586930"/>
    <w:rsid w:val="005C1A04"/>
    <w:rsid w:val="005C3890"/>
    <w:rsid w:val="005F7BFE"/>
    <w:rsid w:val="00600017"/>
    <w:rsid w:val="006037C0"/>
    <w:rsid w:val="00615CBA"/>
    <w:rsid w:val="00622E61"/>
    <w:rsid w:val="006643AB"/>
    <w:rsid w:val="00690F73"/>
    <w:rsid w:val="00700FB5"/>
    <w:rsid w:val="00701165"/>
    <w:rsid w:val="007210CD"/>
    <w:rsid w:val="00732045"/>
    <w:rsid w:val="007369DB"/>
    <w:rsid w:val="00756C22"/>
    <w:rsid w:val="00774E6A"/>
    <w:rsid w:val="0077506B"/>
    <w:rsid w:val="00777803"/>
    <w:rsid w:val="007956C2"/>
    <w:rsid w:val="007A187E"/>
    <w:rsid w:val="007B5AEE"/>
    <w:rsid w:val="007C41F1"/>
    <w:rsid w:val="007C72C2"/>
    <w:rsid w:val="007D0462"/>
    <w:rsid w:val="007D4436"/>
    <w:rsid w:val="007E0122"/>
    <w:rsid w:val="007F257A"/>
    <w:rsid w:val="007F3665"/>
    <w:rsid w:val="00800037"/>
    <w:rsid w:val="00873A3E"/>
    <w:rsid w:val="00894466"/>
    <w:rsid w:val="008A0C5F"/>
    <w:rsid w:val="008A5449"/>
    <w:rsid w:val="008D76E6"/>
    <w:rsid w:val="0092392D"/>
    <w:rsid w:val="00977175"/>
    <w:rsid w:val="009A4625"/>
    <w:rsid w:val="009B0689"/>
    <w:rsid w:val="009C307F"/>
    <w:rsid w:val="00A23A51"/>
    <w:rsid w:val="00A25CD3"/>
    <w:rsid w:val="00A5190C"/>
    <w:rsid w:val="00A653E7"/>
    <w:rsid w:val="00A8401F"/>
    <w:rsid w:val="00A84A67"/>
    <w:rsid w:val="00AA332F"/>
    <w:rsid w:val="00AA7BBB"/>
    <w:rsid w:val="00AB64A8"/>
    <w:rsid w:val="00AC0266"/>
    <w:rsid w:val="00AD24EC"/>
    <w:rsid w:val="00AF434C"/>
    <w:rsid w:val="00B309F9"/>
    <w:rsid w:val="00B32B60"/>
    <w:rsid w:val="00B50ACC"/>
    <w:rsid w:val="00B61619"/>
    <w:rsid w:val="00B65573"/>
    <w:rsid w:val="00BA07F3"/>
    <w:rsid w:val="00BA0A5D"/>
    <w:rsid w:val="00BA4F9E"/>
    <w:rsid w:val="00BB4545"/>
    <w:rsid w:val="00BD5873"/>
    <w:rsid w:val="00BE4063"/>
    <w:rsid w:val="00C04BE3"/>
    <w:rsid w:val="00C25D29"/>
    <w:rsid w:val="00C27A7C"/>
    <w:rsid w:val="00CC1EFA"/>
    <w:rsid w:val="00CF183B"/>
    <w:rsid w:val="00D2680C"/>
    <w:rsid w:val="00D375CD"/>
    <w:rsid w:val="00D50910"/>
    <w:rsid w:val="00D55808"/>
    <w:rsid w:val="00D774D3"/>
    <w:rsid w:val="00D866FC"/>
    <w:rsid w:val="00D904E8"/>
    <w:rsid w:val="00DA08C3"/>
    <w:rsid w:val="00E06DA1"/>
    <w:rsid w:val="00E2573F"/>
    <w:rsid w:val="00EB6350"/>
    <w:rsid w:val="00EE57F4"/>
    <w:rsid w:val="00EF69D8"/>
    <w:rsid w:val="00F21EF1"/>
    <w:rsid w:val="00F427DB"/>
    <w:rsid w:val="00F45710"/>
    <w:rsid w:val="00FA7439"/>
    <w:rsid w:val="00FB021B"/>
    <w:rsid w:val="00FC4EC0"/>
    <w:rsid w:val="00FD73A8"/>
    <w:rsid w:val="00FE7A8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6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uiPriority w:val="99"/>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rsid w:val="005C1A04"/>
    <w:rPr>
      <w:rFonts w:ascii="Calibri" w:hAnsi="Calibri"/>
      <w:caps/>
      <w:noProof/>
      <w:sz w:val="16"/>
      <w:lang w:val="fr-FR" w:eastAsia="en-US"/>
    </w:rPr>
  </w:style>
  <w:style w:type="character" w:customStyle="1" w:styleId="HeaderChar">
    <w:name w:val="Header Char"/>
    <w:basedOn w:val="DefaultParagraphFont"/>
    <w:link w:val="Header"/>
    <w:rsid w:val="005C1A04"/>
    <w:rPr>
      <w:rFonts w:ascii="Calibri" w:hAnsi="Calibri"/>
      <w:sz w:val="18"/>
      <w:lang w:val="fr-FR" w:eastAsia="en-US"/>
    </w:rPr>
  </w:style>
  <w:style w:type="character" w:styleId="Strong">
    <w:name w:val="Strong"/>
    <w:basedOn w:val="DefaultParagraphFont"/>
    <w:uiPriority w:val="99"/>
    <w:qFormat/>
    <w:rsid w:val="005C1A04"/>
    <w:rPr>
      <w:b/>
      <w:bCs/>
    </w:rPr>
  </w:style>
  <w:style w:type="paragraph" w:styleId="ListParagraph">
    <w:name w:val="List Paragraph"/>
    <w:basedOn w:val="Normal"/>
    <w:uiPriority w:val="34"/>
    <w:qFormat/>
    <w:rsid w:val="00E06DA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E06DA1"/>
    <w:rPr>
      <w:rFonts w:ascii="Calibri" w:hAnsi="Calibri"/>
      <w:sz w:val="24"/>
      <w:lang w:val="fr-FR" w:eastAsia="en-US"/>
    </w:rPr>
  </w:style>
  <w:style w:type="paragraph" w:styleId="PlainText">
    <w:name w:val="Plain Text"/>
    <w:basedOn w:val="Normal"/>
    <w:link w:val="PlainTextChar"/>
    <w:uiPriority w:val="99"/>
    <w:unhideWhenUsed/>
    <w:rsid w:val="00E06DA1"/>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hAnsi="Courier New" w:cs="Courier New"/>
      <w:sz w:val="20"/>
      <w:lang w:val="en-GB"/>
    </w:rPr>
  </w:style>
  <w:style w:type="character" w:customStyle="1" w:styleId="PlainTextChar">
    <w:name w:val="Plain Text Char"/>
    <w:basedOn w:val="DefaultParagraphFont"/>
    <w:link w:val="PlainText"/>
    <w:uiPriority w:val="99"/>
    <w:rsid w:val="00E06DA1"/>
    <w:rPr>
      <w:rFonts w:ascii="Courier New" w:hAnsi="Courier New" w:cs="Courier New"/>
      <w:lang w:val="en-GB" w:eastAsia="en-US"/>
    </w:rPr>
  </w:style>
  <w:style w:type="character" w:customStyle="1" w:styleId="enumlev1Char">
    <w:name w:val="enumlev1 Char"/>
    <w:basedOn w:val="DefaultParagraphFont"/>
    <w:link w:val="enumlev1"/>
    <w:uiPriority w:val="99"/>
    <w:rsid w:val="00E06DA1"/>
    <w:rPr>
      <w:rFonts w:ascii="Calibri" w:hAnsi="Calibr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6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uiPriority w:val="99"/>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rsid w:val="005C1A04"/>
    <w:rPr>
      <w:rFonts w:ascii="Calibri" w:hAnsi="Calibri"/>
      <w:caps/>
      <w:noProof/>
      <w:sz w:val="16"/>
      <w:lang w:val="fr-FR" w:eastAsia="en-US"/>
    </w:rPr>
  </w:style>
  <w:style w:type="character" w:customStyle="1" w:styleId="HeaderChar">
    <w:name w:val="Header Char"/>
    <w:basedOn w:val="DefaultParagraphFont"/>
    <w:link w:val="Header"/>
    <w:rsid w:val="005C1A04"/>
    <w:rPr>
      <w:rFonts w:ascii="Calibri" w:hAnsi="Calibri"/>
      <w:sz w:val="18"/>
      <w:lang w:val="fr-FR" w:eastAsia="en-US"/>
    </w:rPr>
  </w:style>
  <w:style w:type="character" w:styleId="Strong">
    <w:name w:val="Strong"/>
    <w:basedOn w:val="DefaultParagraphFont"/>
    <w:uiPriority w:val="99"/>
    <w:qFormat/>
    <w:rsid w:val="005C1A04"/>
    <w:rPr>
      <w:b/>
      <w:bCs/>
    </w:rPr>
  </w:style>
  <w:style w:type="paragraph" w:styleId="ListParagraph">
    <w:name w:val="List Paragraph"/>
    <w:basedOn w:val="Normal"/>
    <w:uiPriority w:val="34"/>
    <w:qFormat/>
    <w:rsid w:val="00E06DA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E06DA1"/>
    <w:rPr>
      <w:rFonts w:ascii="Calibri" w:hAnsi="Calibri"/>
      <w:sz w:val="24"/>
      <w:lang w:val="fr-FR" w:eastAsia="en-US"/>
    </w:rPr>
  </w:style>
  <w:style w:type="paragraph" w:styleId="PlainText">
    <w:name w:val="Plain Text"/>
    <w:basedOn w:val="Normal"/>
    <w:link w:val="PlainTextChar"/>
    <w:uiPriority w:val="99"/>
    <w:unhideWhenUsed/>
    <w:rsid w:val="00E06DA1"/>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hAnsi="Courier New" w:cs="Courier New"/>
      <w:sz w:val="20"/>
      <w:lang w:val="en-GB"/>
    </w:rPr>
  </w:style>
  <w:style w:type="character" w:customStyle="1" w:styleId="PlainTextChar">
    <w:name w:val="Plain Text Char"/>
    <w:basedOn w:val="DefaultParagraphFont"/>
    <w:link w:val="PlainText"/>
    <w:uiPriority w:val="99"/>
    <w:rsid w:val="00E06DA1"/>
    <w:rPr>
      <w:rFonts w:ascii="Courier New" w:hAnsi="Courier New" w:cs="Courier New"/>
      <w:lang w:val="en-GB" w:eastAsia="en-US"/>
    </w:rPr>
  </w:style>
  <w:style w:type="character" w:customStyle="1" w:styleId="enumlev1Char">
    <w:name w:val="enumlev1 Char"/>
    <w:basedOn w:val="DefaultParagraphFont"/>
    <w:link w:val="enumlev1"/>
    <w:uiPriority w:val="99"/>
    <w:rsid w:val="00E06DA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4-CL-INF-0020/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S14-CL-INF-0020/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4-CL-C-006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council/wg-sfp/Pages/default.aspx" TargetMode="External"/><Relationship Id="rId5" Type="http://schemas.openxmlformats.org/officeDocument/2006/relationships/settings" Target="settings.xml"/><Relationship Id="rId15" Type="http://schemas.openxmlformats.org/officeDocument/2006/relationships/hyperlink" Target="http://www.itu.int/md/S14-CL-C-0061/en" TargetMode="External"/><Relationship Id="rId10" Type="http://schemas.openxmlformats.org/officeDocument/2006/relationships/hyperlink" Target="http://www.itu.int/md/S14-CL-INF-0020/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4-CL-C-0064/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rmainc\Application%20Data\Microsoft\Templates\POOL%20F%20-%20ITU\PF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4435-B3D8-492D-AF2C-0DFCCDD2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PF_C14.dotm</Template>
  <TotalTime>0</TotalTime>
  <Pages>10</Pages>
  <Words>3382</Words>
  <Characters>20281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CALENDRIER DES CONFÉRENCES, ASSEMBLÉES ET RÉUNIONS FUTURES DE L'UNION POUR LA PÉRIODE 2014-2017</vt:lpstr>
    </vt:vector>
  </TitlesOfParts>
  <Manager>Secrétariat général - Pool</Manager>
  <Company>Union internationale des télécommunications (UIT)</Company>
  <LinksUpToDate>false</LinksUpToDate>
  <CharactersWithSpaces>23616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CALENDRIER DES CONFÉRENCES, ASSEMBLÉES ET RÉUNIONS FUTURES DE L'UNION POUR LA PÉRIODE 2014-2017</dc:title>
  <dc:subject>Conférence de Plénipotentiaire (PP-14)</dc:subject>
  <dc:creator>Brouard, Ricarda</dc:creator>
  <cp:keywords>PP-14</cp:keywords>
  <cp:lastModifiedBy>Brouard, Ricarda</cp:lastModifiedBy>
  <cp:revision>2</cp:revision>
  <cp:lastPrinted>2014-08-21T12:38:00Z</cp:lastPrinted>
  <dcterms:created xsi:type="dcterms:W3CDTF">2014-08-21T14:14:00Z</dcterms:created>
  <dcterms:modified xsi:type="dcterms:W3CDTF">2014-08-21T14:14:00Z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C14/37-F</vt:lpwstr>
  </property>
  <property fmtid="{D5CDD505-2E9C-101B-9397-08002B2CF9AE}" pid="3" name="Docdate">
    <vt:lpwstr>10 mars 2014</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2.1</vt:lpwstr>
  </property>
  <property fmtid="{D5CDD505-2E9C-101B-9397-08002B2CF9AE}" pid="7" name="Docauthor">
    <vt:lpwstr>Rapport du Secrétaire général</vt:lpwstr>
  </property>
</Properties>
</file>