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46912F71" wp14:editId="4AD5D64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F51FA0" w:rsidP="00605474">
            <w:pPr>
              <w:spacing w:before="0" w:line="240" w:lineRule="atLeast"/>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59</w:t>
            </w:r>
            <w:r w:rsidR="00605474">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F51FA0" w:rsidP="00605474">
            <w:pPr>
              <w:spacing w:before="0" w:line="240" w:lineRule="atLeast"/>
              <w:rPr>
                <w:rFonts w:cstheme="minorHAnsi"/>
                <w:b/>
                <w:szCs w:val="24"/>
                <w:lang w:val="en-US"/>
              </w:rPr>
            </w:pPr>
            <w:r>
              <w:rPr>
                <w:rFonts w:cstheme="minorHAnsi"/>
                <w:b/>
                <w:szCs w:val="24"/>
                <w:lang w:val="en-US"/>
              </w:rPr>
              <w:t xml:space="preserve">31 de </w:t>
            </w:r>
            <w:proofErr w:type="spellStart"/>
            <w:r>
              <w:rPr>
                <w:rFonts w:cstheme="minorHAnsi"/>
                <w:b/>
                <w:szCs w:val="24"/>
                <w:lang w:val="en-US"/>
              </w:rPr>
              <w:t>julio</w:t>
            </w:r>
            <w:proofErr w:type="spellEnd"/>
            <w:r>
              <w:rPr>
                <w:rFonts w:cstheme="minorHAnsi"/>
                <w:b/>
                <w:szCs w:val="24"/>
                <w:lang w:val="en-US"/>
              </w:rPr>
              <w:t xml:space="preserve"> de 2014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F51FA0" w:rsidP="00605474">
            <w:pPr>
              <w:pStyle w:val="Source"/>
              <w:rPr>
                <w:lang w:val="en-US"/>
              </w:rPr>
            </w:pPr>
            <w:bookmarkStart w:id="4" w:name="dsource" w:colFirst="0" w:colLast="0"/>
            <w:r>
              <w:rPr>
                <w:lang w:val="en-US"/>
              </w:rPr>
              <w:t xml:space="preserve">Nota del </w:t>
            </w:r>
            <w:r w:rsidRPr="00927FFB">
              <w:rPr>
                <w:lang w:val="es-ES"/>
              </w:rPr>
              <w:t>Secretario</w:t>
            </w:r>
            <w:r>
              <w:rPr>
                <w:lang w:val="en-US"/>
              </w:rPr>
              <w:t xml:space="preserve"> General</w:t>
            </w:r>
            <w:bookmarkStart w:id="5" w:name="_GoBack"/>
            <w:bookmarkEnd w:id="5"/>
          </w:p>
        </w:tc>
      </w:tr>
      <w:tr w:rsidR="00605474" w:rsidRPr="0002785D" w:rsidTr="00682B62">
        <w:trPr>
          <w:cantSplit/>
        </w:trPr>
        <w:tc>
          <w:tcPr>
            <w:tcW w:w="10031" w:type="dxa"/>
            <w:gridSpan w:val="2"/>
          </w:tcPr>
          <w:p w:rsidR="00605474" w:rsidRPr="00F51FA0" w:rsidRDefault="00F51FA0" w:rsidP="00605474">
            <w:pPr>
              <w:pStyle w:val="Title1"/>
            </w:pPr>
            <w:bookmarkStart w:id="6" w:name="dtitle1" w:colFirst="0" w:colLast="0"/>
            <w:bookmarkEnd w:id="4"/>
            <w:r w:rsidRPr="00F51FA0">
              <w:t>NUEVOS ESTUDIOS SOBRE ACCESO A LA INFORMACI</w:t>
            </w:r>
            <w:r>
              <w:t xml:space="preserve">ÓN Y </w:t>
            </w:r>
            <w:r>
              <w:br/>
              <w:t>LOS DOCUMENTOS EN LA uit</w:t>
            </w:r>
          </w:p>
        </w:tc>
      </w:tr>
      <w:tr w:rsidR="00605474" w:rsidRPr="0002785D" w:rsidTr="00682B62">
        <w:trPr>
          <w:cantSplit/>
        </w:trPr>
        <w:tc>
          <w:tcPr>
            <w:tcW w:w="10031" w:type="dxa"/>
            <w:gridSpan w:val="2"/>
          </w:tcPr>
          <w:p w:rsidR="00605474" w:rsidRPr="00F51FA0" w:rsidRDefault="00605474" w:rsidP="00605474">
            <w:pPr>
              <w:pStyle w:val="Title2"/>
            </w:pPr>
            <w:bookmarkStart w:id="7" w:name="dtitle2" w:colFirst="0" w:colLast="0"/>
            <w:bookmarkEnd w:id="6"/>
          </w:p>
        </w:tc>
      </w:tr>
      <w:bookmarkEnd w:id="7"/>
    </w:tbl>
    <w:p w:rsidR="00F5724F" w:rsidRPr="00A03E7B" w:rsidRDefault="00F5724F" w:rsidP="00F5724F">
      <w:pPr>
        <w:overflowPunct/>
        <w:autoSpaceDE/>
        <w:autoSpaceDN/>
        <w:adjustRightInd/>
        <w:spacing w:before="0" w:line="276" w:lineRule="auto"/>
        <w:jc w:val="center"/>
        <w:textAlignment w:val="auto"/>
        <w:rPr>
          <w:rFonts w:asciiTheme="minorHAnsi" w:eastAsiaTheme="minorEastAsia" w:hAnsiTheme="minorHAnsi" w:cstheme="minorBidi"/>
          <w:b/>
          <w:sz w:val="22"/>
          <w:szCs w:val="22"/>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5724F" w:rsidRPr="00F41A18" w:rsidTr="0029695D">
        <w:trPr>
          <w:trHeight w:val="2677"/>
        </w:trPr>
        <w:tc>
          <w:tcPr>
            <w:tcW w:w="8080" w:type="dxa"/>
            <w:tcBorders>
              <w:top w:val="single" w:sz="12" w:space="0" w:color="auto"/>
              <w:left w:val="single" w:sz="12" w:space="0" w:color="auto"/>
              <w:bottom w:val="single" w:sz="12" w:space="0" w:color="auto"/>
              <w:right w:val="single" w:sz="12" w:space="0" w:color="auto"/>
            </w:tcBorders>
          </w:tcPr>
          <w:p w:rsidR="00F5724F" w:rsidRPr="00932B7B" w:rsidRDefault="00F5724F" w:rsidP="00927FFB">
            <w:pPr>
              <w:pStyle w:val="Headingb"/>
              <w:spacing w:before="120" w:after="120"/>
              <w:rPr>
                <w:rFonts w:asciiTheme="minorHAnsi" w:hAnsiTheme="minorHAnsi" w:cstheme="minorHAnsi"/>
                <w:sz w:val="22"/>
                <w:szCs w:val="22"/>
              </w:rPr>
            </w:pPr>
            <w:r w:rsidRPr="00932B7B">
              <w:rPr>
                <w:rFonts w:asciiTheme="minorHAnsi" w:hAnsiTheme="minorHAnsi" w:cstheme="minorHAnsi"/>
                <w:sz w:val="22"/>
                <w:szCs w:val="22"/>
              </w:rPr>
              <w:t>Resumen</w:t>
            </w:r>
          </w:p>
          <w:p w:rsidR="00F5724F" w:rsidRPr="00A03E7B" w:rsidRDefault="00F5724F" w:rsidP="00927FFB">
            <w:pPr>
              <w:spacing w:after="120"/>
              <w:rPr>
                <w:szCs w:val="24"/>
              </w:rPr>
            </w:pPr>
            <w:r>
              <w:rPr>
                <w:szCs w:val="24"/>
              </w:rPr>
              <w:t xml:space="preserve">En su reunión de 2014, el Consejo pidió a la </w:t>
            </w:r>
            <w:r w:rsidRPr="00A03E7B">
              <w:rPr>
                <w:szCs w:val="24"/>
              </w:rPr>
              <w:t>Secretaría que estudia</w:t>
            </w:r>
            <w:r>
              <w:rPr>
                <w:szCs w:val="24"/>
              </w:rPr>
              <w:t xml:space="preserve">ra más a fondo la cuestión del acceso a los documentos de la UIT </w:t>
            </w:r>
            <w:r w:rsidRPr="00A03E7B">
              <w:rPr>
                <w:szCs w:val="24"/>
              </w:rPr>
              <w:t xml:space="preserve">y </w:t>
            </w:r>
            <w:r>
              <w:rPr>
                <w:szCs w:val="24"/>
              </w:rPr>
              <w:t>presentara</w:t>
            </w:r>
            <w:r w:rsidRPr="00A03E7B">
              <w:rPr>
                <w:szCs w:val="24"/>
              </w:rPr>
              <w:t xml:space="preserve"> la documentación </w:t>
            </w:r>
            <w:r>
              <w:rPr>
                <w:szCs w:val="24"/>
              </w:rPr>
              <w:t xml:space="preserve">correspondiente </w:t>
            </w:r>
            <w:r w:rsidRPr="00A03E7B">
              <w:rPr>
                <w:szCs w:val="24"/>
              </w:rPr>
              <w:t xml:space="preserve">y </w:t>
            </w:r>
            <w:r>
              <w:rPr>
                <w:szCs w:val="24"/>
              </w:rPr>
              <w:t>un</w:t>
            </w:r>
            <w:r w:rsidRPr="00A03E7B">
              <w:rPr>
                <w:szCs w:val="24"/>
              </w:rPr>
              <w:t xml:space="preserve"> resumen de los debates </w:t>
            </w:r>
            <w:r>
              <w:rPr>
                <w:szCs w:val="24"/>
              </w:rPr>
              <w:t xml:space="preserve">sobre el tema mantenidos en el Consejo </w:t>
            </w:r>
            <w:r w:rsidRPr="00A03E7B">
              <w:rPr>
                <w:szCs w:val="24"/>
              </w:rPr>
              <w:t>a la Conferencia de Plenipotenciarios para que ésta tome una decisión al respecto</w:t>
            </w:r>
            <w:r>
              <w:rPr>
                <w:szCs w:val="24"/>
              </w:rPr>
              <w:t>.</w:t>
            </w:r>
          </w:p>
          <w:p w:rsidR="00F5724F" w:rsidRPr="00932B7B" w:rsidRDefault="00F5724F" w:rsidP="00927FFB">
            <w:pPr>
              <w:spacing w:after="120"/>
            </w:pPr>
            <w:r w:rsidRPr="00932B7B">
              <w:t>Este documento presenta nuevos elementos sobre las pr</w:t>
            </w:r>
            <w:r>
              <w:t>ácticas a nivel internacional relativas al acceso a las políticas en materia de información. El documento no contempla ninguna opinión de la Secretaría con respecto al camino a seguir. Se trata de un documento con datos objetivos que se presenta a la Conferencia de Plenipotenciarios con la intención de aportar una contribución a los debates sobre el tema.</w:t>
            </w:r>
          </w:p>
        </w:tc>
      </w:tr>
    </w:tbl>
    <w:p w:rsidR="00F5724F" w:rsidRPr="00932B7B" w:rsidRDefault="00F5724F" w:rsidP="00F5724F">
      <w:pPr>
        <w:overflowPunct/>
        <w:autoSpaceDE/>
        <w:autoSpaceDN/>
        <w:adjustRightInd/>
        <w:spacing w:before="0" w:after="200" w:line="276" w:lineRule="auto"/>
        <w:jc w:val="center"/>
        <w:textAlignment w:val="auto"/>
        <w:rPr>
          <w:rFonts w:asciiTheme="minorHAnsi" w:eastAsiaTheme="minorEastAsia" w:hAnsiTheme="minorHAnsi" w:cstheme="minorBidi"/>
          <w:b/>
          <w:sz w:val="22"/>
          <w:szCs w:val="22"/>
          <w:lang w:eastAsia="zh-CN"/>
        </w:rPr>
      </w:pPr>
    </w:p>
    <w:p w:rsidR="00F5724F" w:rsidRPr="00932B7B" w:rsidRDefault="00F5724F" w:rsidP="00927FFB">
      <w:pPr>
        <w:pStyle w:val="Heading1"/>
      </w:pPr>
      <w:r w:rsidRPr="00932B7B">
        <w:t>1</w:t>
      </w:r>
      <w:r w:rsidRPr="00932B7B">
        <w:tab/>
      </w:r>
      <w:r w:rsidR="00927FFB">
        <w:t>ANTECEDENTES</w:t>
      </w:r>
    </w:p>
    <w:p w:rsidR="00F5724F" w:rsidRPr="00174DC0" w:rsidRDefault="00F5724F" w:rsidP="00927FFB">
      <w:pPr>
        <w:tabs>
          <w:tab w:val="clear" w:pos="567"/>
          <w:tab w:val="clear" w:pos="1134"/>
          <w:tab w:val="clear" w:pos="1701"/>
          <w:tab w:val="clear" w:pos="2268"/>
          <w:tab w:val="clear" w:pos="2835"/>
        </w:tabs>
        <w:snapToGrid w:val="0"/>
        <w:spacing w:after="120"/>
        <w:rPr>
          <w:szCs w:val="24"/>
        </w:rPr>
      </w:pPr>
      <w:r w:rsidRPr="00932B7B">
        <w:rPr>
          <w:szCs w:val="24"/>
        </w:rPr>
        <w:t xml:space="preserve">1.1 </w:t>
      </w:r>
      <w:r w:rsidRPr="00932B7B">
        <w:rPr>
          <w:szCs w:val="24"/>
        </w:rPr>
        <w:tab/>
      </w:r>
      <w:r w:rsidRPr="00174DC0">
        <w:rPr>
          <w:szCs w:val="24"/>
        </w:rPr>
        <w:t>En su reunión de 2014, el Consejo examinó un documento de</w:t>
      </w:r>
      <w:r>
        <w:rPr>
          <w:szCs w:val="24"/>
        </w:rPr>
        <w:t xml:space="preserve"> antecedentes </w:t>
      </w:r>
      <w:r w:rsidRPr="00174DC0">
        <w:rPr>
          <w:szCs w:val="24"/>
        </w:rPr>
        <w:t xml:space="preserve">sobre el acceso a los documentos de la UIT (Documento </w:t>
      </w:r>
      <w:hyperlink r:id="rId9" w:history="1">
        <w:r w:rsidRPr="00174DC0">
          <w:rPr>
            <w:rStyle w:val="Hyperlink"/>
            <w:szCs w:val="24"/>
          </w:rPr>
          <w:t>C14/INF/20</w:t>
        </w:r>
      </w:hyperlink>
      <w:r w:rsidRPr="00174DC0">
        <w:rPr>
          <w:szCs w:val="24"/>
        </w:rPr>
        <w:t>)</w:t>
      </w:r>
      <w:r>
        <w:rPr>
          <w:szCs w:val="24"/>
        </w:rPr>
        <w:t xml:space="preserve"> </w:t>
      </w:r>
      <w:r w:rsidRPr="00174DC0">
        <w:rPr>
          <w:szCs w:val="24"/>
        </w:rPr>
        <w:t>preparado por la Secretaría. E</w:t>
      </w:r>
      <w:r>
        <w:rPr>
          <w:szCs w:val="24"/>
        </w:rPr>
        <w:t>n él se</w:t>
      </w:r>
      <w:r w:rsidRPr="00174DC0">
        <w:rPr>
          <w:szCs w:val="24"/>
        </w:rPr>
        <w:t xml:space="preserve"> define</w:t>
      </w:r>
      <w:r>
        <w:rPr>
          <w:szCs w:val="24"/>
        </w:rPr>
        <w:t>n</w:t>
      </w:r>
      <w:r w:rsidRPr="00174DC0">
        <w:rPr>
          <w:szCs w:val="24"/>
        </w:rPr>
        <w:t xml:space="preserve"> términos </w:t>
      </w:r>
      <w:r>
        <w:rPr>
          <w:szCs w:val="24"/>
        </w:rPr>
        <w:t>esenciales</w:t>
      </w:r>
      <w:r w:rsidRPr="00174DC0">
        <w:rPr>
          <w:szCs w:val="24"/>
        </w:rPr>
        <w:t>, como documentación, publicaciones e información, y</w:t>
      </w:r>
      <w:r>
        <w:rPr>
          <w:szCs w:val="24"/>
        </w:rPr>
        <w:t xml:space="preserve"> se</w:t>
      </w:r>
      <w:r w:rsidRPr="00174DC0">
        <w:rPr>
          <w:szCs w:val="24"/>
        </w:rPr>
        <w:t xml:space="preserve"> presenta una revisión de las prácticas </w:t>
      </w:r>
      <w:r>
        <w:rPr>
          <w:szCs w:val="24"/>
        </w:rPr>
        <w:t>de</w:t>
      </w:r>
      <w:r w:rsidRPr="00174DC0">
        <w:rPr>
          <w:szCs w:val="24"/>
        </w:rPr>
        <w:t xml:space="preserve"> las Naciones Unidas y los organismos especializados, así como una visión general de las prácticas </w:t>
      </w:r>
      <w:r>
        <w:rPr>
          <w:szCs w:val="24"/>
        </w:rPr>
        <w:t>de</w:t>
      </w:r>
      <w:r w:rsidRPr="00174DC0">
        <w:rPr>
          <w:szCs w:val="24"/>
        </w:rPr>
        <w:t xml:space="preserve"> la UIT.</w:t>
      </w:r>
    </w:p>
    <w:p w:rsidR="00F5724F" w:rsidRPr="00174DC0" w:rsidRDefault="00F5724F" w:rsidP="00927FFB">
      <w:pPr>
        <w:tabs>
          <w:tab w:val="clear" w:pos="567"/>
          <w:tab w:val="clear" w:pos="1134"/>
          <w:tab w:val="clear" w:pos="1701"/>
          <w:tab w:val="clear" w:pos="2268"/>
          <w:tab w:val="clear" w:pos="2835"/>
        </w:tabs>
        <w:snapToGrid w:val="0"/>
        <w:spacing w:after="120"/>
        <w:rPr>
          <w:szCs w:val="24"/>
        </w:rPr>
      </w:pPr>
      <w:r>
        <w:rPr>
          <w:szCs w:val="24"/>
        </w:rPr>
        <w:t xml:space="preserve">El </w:t>
      </w:r>
      <w:r w:rsidRPr="00862376">
        <w:rPr>
          <w:szCs w:val="24"/>
        </w:rPr>
        <w:t>Consejo pidió a la Secretaría que estudiara</w:t>
      </w:r>
      <w:r>
        <w:rPr>
          <w:szCs w:val="24"/>
        </w:rPr>
        <w:t xml:space="preserve"> esa cuestión</w:t>
      </w:r>
      <w:r w:rsidRPr="00862376">
        <w:rPr>
          <w:szCs w:val="24"/>
        </w:rPr>
        <w:t xml:space="preserve"> más a fondo y presentara la documentación correspondiente y un resumen de los debates sobre el tema mantenidos en el Consejo a la Conferencia de Plenipotenciarios para que ésta tome una decisión al respecto</w:t>
      </w:r>
      <w:r w:rsidRPr="00174DC0">
        <w:rPr>
          <w:szCs w:val="24"/>
        </w:rPr>
        <w:t>.</w:t>
      </w:r>
    </w:p>
    <w:p w:rsidR="00F5724F" w:rsidRPr="00862376" w:rsidRDefault="00F5724F" w:rsidP="00927FFB">
      <w:pPr>
        <w:tabs>
          <w:tab w:val="clear" w:pos="567"/>
          <w:tab w:val="clear" w:pos="1134"/>
          <w:tab w:val="clear" w:pos="1701"/>
          <w:tab w:val="clear" w:pos="2268"/>
          <w:tab w:val="clear" w:pos="2835"/>
        </w:tabs>
        <w:snapToGrid w:val="0"/>
        <w:spacing w:after="120"/>
        <w:rPr>
          <w:szCs w:val="24"/>
        </w:rPr>
      </w:pPr>
      <w:r w:rsidRPr="00862376">
        <w:rPr>
          <w:szCs w:val="24"/>
        </w:rPr>
        <w:t xml:space="preserve">1.2 </w:t>
      </w:r>
      <w:r w:rsidRPr="00862376">
        <w:rPr>
          <w:szCs w:val="24"/>
        </w:rPr>
        <w:tab/>
        <w:t xml:space="preserve">El resumen de los debates celebrados durante el Consejo sobre este tema figura en el </w:t>
      </w:r>
      <w:hyperlink w:anchor="Annex1" w:history="1">
        <w:r>
          <w:rPr>
            <w:rStyle w:val="Hyperlink"/>
            <w:szCs w:val="24"/>
          </w:rPr>
          <w:t>An</w:t>
        </w:r>
        <w:r w:rsidRPr="00862376">
          <w:rPr>
            <w:rStyle w:val="Hyperlink"/>
            <w:szCs w:val="24"/>
          </w:rPr>
          <w:t>ex</w:t>
        </w:r>
        <w:r>
          <w:rPr>
            <w:rStyle w:val="Hyperlink"/>
            <w:szCs w:val="24"/>
          </w:rPr>
          <w:t>o</w:t>
        </w:r>
        <w:r w:rsidRPr="00862376">
          <w:rPr>
            <w:rStyle w:val="Hyperlink"/>
            <w:szCs w:val="24"/>
          </w:rPr>
          <w:t xml:space="preserve"> 1</w:t>
        </w:r>
      </w:hyperlink>
      <w:r w:rsidRPr="00862376">
        <w:rPr>
          <w:szCs w:val="24"/>
        </w:rPr>
        <w:t xml:space="preserve">. </w:t>
      </w:r>
    </w:p>
    <w:p w:rsidR="00F5724F" w:rsidRPr="00E945B8" w:rsidRDefault="00611B1C" w:rsidP="00927FFB">
      <w:pPr>
        <w:pStyle w:val="Heading1"/>
      </w:pPr>
      <w:r>
        <w:lastRenderedPageBreak/>
        <w:t>2</w:t>
      </w:r>
      <w:r w:rsidR="00F5724F" w:rsidRPr="00E945B8">
        <w:tab/>
      </w:r>
      <w:r w:rsidR="00927FFB" w:rsidRPr="00E945B8">
        <w:t>SITUACIÓN ACTUAL EN LA UIT</w:t>
      </w:r>
    </w:p>
    <w:p w:rsidR="00F5724F" w:rsidRPr="00E945B8" w:rsidRDefault="00F5724F" w:rsidP="00927FFB">
      <w:pPr>
        <w:keepNext/>
        <w:keepLines/>
        <w:tabs>
          <w:tab w:val="clear" w:pos="567"/>
          <w:tab w:val="clear" w:pos="1134"/>
          <w:tab w:val="clear" w:pos="1701"/>
          <w:tab w:val="clear" w:pos="2268"/>
          <w:tab w:val="clear" w:pos="2835"/>
        </w:tabs>
        <w:snapToGrid w:val="0"/>
        <w:spacing w:before="160" w:after="120"/>
        <w:rPr>
          <w:szCs w:val="24"/>
        </w:rPr>
      </w:pPr>
      <w:r w:rsidRPr="00E945B8">
        <w:rPr>
          <w:szCs w:val="24"/>
        </w:rPr>
        <w:t>2.1</w:t>
      </w:r>
      <w:r w:rsidRPr="00E945B8">
        <w:rPr>
          <w:szCs w:val="24"/>
        </w:rPr>
        <w:tab/>
        <w:t>Desde la creación de la Unión Internacional de Telecomunicaciones, la reco</w:t>
      </w:r>
      <w:r>
        <w:rPr>
          <w:szCs w:val="24"/>
        </w:rPr>
        <w:t xml:space="preserve">pilación </w:t>
      </w:r>
      <w:r w:rsidRPr="00E945B8">
        <w:rPr>
          <w:szCs w:val="24"/>
        </w:rPr>
        <w:t xml:space="preserve">y comunicación de la información ha </w:t>
      </w:r>
      <w:r>
        <w:rPr>
          <w:szCs w:val="24"/>
        </w:rPr>
        <w:t xml:space="preserve">sido el elemento esencial de sus actividades. Se entiende por </w:t>
      </w:r>
      <w:r w:rsidRPr="00E945B8">
        <w:rPr>
          <w:szCs w:val="24"/>
        </w:rPr>
        <w:t>información una c</w:t>
      </w:r>
      <w:r>
        <w:rPr>
          <w:szCs w:val="24"/>
        </w:rPr>
        <w:t>omunicación o representación de</w:t>
      </w:r>
      <w:r w:rsidRPr="00E945B8">
        <w:rPr>
          <w:szCs w:val="24"/>
        </w:rPr>
        <w:t xml:space="preserve"> conocimiento</w:t>
      </w:r>
      <w:r>
        <w:rPr>
          <w:szCs w:val="24"/>
        </w:rPr>
        <w:t>s</w:t>
      </w:r>
      <w:r w:rsidRPr="00E945B8">
        <w:rPr>
          <w:szCs w:val="24"/>
        </w:rPr>
        <w:t xml:space="preserve"> </w:t>
      </w:r>
      <w:r>
        <w:rPr>
          <w:szCs w:val="24"/>
        </w:rPr>
        <w:t xml:space="preserve">tales </w:t>
      </w:r>
      <w:r w:rsidRPr="00E945B8">
        <w:rPr>
          <w:szCs w:val="24"/>
        </w:rPr>
        <w:t>co</w:t>
      </w:r>
      <w:r>
        <w:rPr>
          <w:szCs w:val="24"/>
        </w:rPr>
        <w:t xml:space="preserve">mo hechos, datos u opiniones, que </w:t>
      </w:r>
      <w:r w:rsidRPr="00E945B8">
        <w:rPr>
          <w:szCs w:val="24"/>
        </w:rPr>
        <w:t>puede</w:t>
      </w:r>
      <w:r>
        <w:rPr>
          <w:szCs w:val="24"/>
        </w:rPr>
        <w:t>n</w:t>
      </w:r>
      <w:r w:rsidRPr="00E945B8">
        <w:rPr>
          <w:szCs w:val="24"/>
        </w:rPr>
        <w:t xml:space="preserve"> </w:t>
      </w:r>
      <w:r>
        <w:rPr>
          <w:szCs w:val="24"/>
        </w:rPr>
        <w:t xml:space="preserve">ser registrados en </w:t>
      </w:r>
      <w:r w:rsidRPr="00E945B8">
        <w:rPr>
          <w:szCs w:val="24"/>
        </w:rPr>
        <w:t xml:space="preserve">bases de datos, documentos, publicaciones, grabaciones </w:t>
      </w:r>
      <w:r>
        <w:rPr>
          <w:szCs w:val="24"/>
        </w:rPr>
        <w:t xml:space="preserve">sonoras, </w:t>
      </w:r>
      <w:r w:rsidRPr="00E945B8">
        <w:rPr>
          <w:szCs w:val="24"/>
        </w:rPr>
        <w:t>correo electrónico, imágenes, etc</w:t>
      </w:r>
      <w:r>
        <w:rPr>
          <w:szCs w:val="24"/>
        </w:rPr>
        <w:t>.</w:t>
      </w:r>
    </w:p>
    <w:p w:rsidR="00F5724F" w:rsidRPr="00E945B8" w:rsidRDefault="00F5724F" w:rsidP="00927FFB">
      <w:pPr>
        <w:keepNext/>
        <w:tabs>
          <w:tab w:val="clear" w:pos="567"/>
          <w:tab w:val="clear" w:pos="1134"/>
          <w:tab w:val="clear" w:pos="1701"/>
          <w:tab w:val="clear" w:pos="2268"/>
          <w:tab w:val="clear" w:pos="2835"/>
        </w:tabs>
        <w:snapToGrid w:val="0"/>
        <w:spacing w:before="160" w:after="120"/>
        <w:rPr>
          <w:szCs w:val="24"/>
        </w:rPr>
      </w:pPr>
      <w:r w:rsidRPr="00A76460">
        <w:rPr>
          <w:szCs w:val="24"/>
        </w:rPr>
        <w:t xml:space="preserve">2.2 </w:t>
      </w:r>
      <w:r w:rsidRPr="00A76460">
        <w:rPr>
          <w:szCs w:val="24"/>
        </w:rPr>
        <w:tab/>
      </w:r>
      <w:r w:rsidRPr="00E945B8">
        <w:rPr>
          <w:szCs w:val="24"/>
        </w:rPr>
        <w:t xml:space="preserve">En la actualidad, la política de la UIT </w:t>
      </w:r>
      <w:r>
        <w:rPr>
          <w:szCs w:val="24"/>
        </w:rPr>
        <w:t>relativa</w:t>
      </w:r>
      <w:r w:rsidRPr="00E945B8">
        <w:rPr>
          <w:szCs w:val="24"/>
        </w:rPr>
        <w:t xml:space="preserve"> a la acces</w:t>
      </w:r>
      <w:r>
        <w:rPr>
          <w:szCs w:val="24"/>
        </w:rPr>
        <w:t>ibilidad y disponibilidad de es</w:t>
      </w:r>
      <w:r w:rsidRPr="00E945B8">
        <w:rPr>
          <w:szCs w:val="24"/>
        </w:rPr>
        <w:t xml:space="preserve">a información se </w:t>
      </w:r>
      <w:r>
        <w:rPr>
          <w:szCs w:val="24"/>
        </w:rPr>
        <w:t xml:space="preserve">contempla en </w:t>
      </w:r>
      <w:r w:rsidRPr="00E945B8">
        <w:rPr>
          <w:szCs w:val="24"/>
        </w:rPr>
        <w:t>los dos documentos siguientes, aprobad</w:t>
      </w:r>
      <w:r>
        <w:rPr>
          <w:szCs w:val="24"/>
        </w:rPr>
        <w:t>o</w:t>
      </w:r>
      <w:r w:rsidRPr="00E945B8">
        <w:rPr>
          <w:szCs w:val="24"/>
        </w:rPr>
        <w:t xml:space="preserve">s por el Secretario General </w:t>
      </w:r>
      <w:r>
        <w:rPr>
          <w:szCs w:val="24"/>
        </w:rPr>
        <w:t>en funciones en ese m</w:t>
      </w:r>
      <w:r w:rsidRPr="00E945B8">
        <w:rPr>
          <w:szCs w:val="24"/>
        </w:rPr>
        <w:t>omento:</w:t>
      </w:r>
    </w:p>
    <w:p w:rsidR="00F5724F" w:rsidRPr="00A76460" w:rsidRDefault="00611B1C" w:rsidP="00927FFB">
      <w:pPr>
        <w:pStyle w:val="enumlev1"/>
        <w:tabs>
          <w:tab w:val="clear" w:pos="567"/>
          <w:tab w:val="clear" w:pos="1134"/>
          <w:tab w:val="clear" w:pos="1701"/>
          <w:tab w:val="clear" w:pos="2268"/>
          <w:tab w:val="clear" w:pos="2835"/>
        </w:tabs>
        <w:ind w:left="709" w:hanging="425"/>
      </w:pPr>
      <w:r>
        <w:t>–</w:t>
      </w:r>
      <w:r>
        <w:tab/>
      </w:r>
      <w:r w:rsidR="00F5724F" w:rsidRPr="00A76460">
        <w:t>Circular Informativa (4 de noviembre de 1982) interna, “Archivos de la Unión: descripci</w:t>
      </w:r>
      <w:r w:rsidR="00F5724F">
        <w:t xml:space="preserve">ón y </w:t>
      </w:r>
      <w:r w:rsidR="00F5724F" w:rsidRPr="00A76460">
        <w:t>acces</w:t>
      </w:r>
      <w:r w:rsidR="00F5724F">
        <w:t>o</w:t>
      </w:r>
      <w:r w:rsidR="00F5724F" w:rsidRPr="00A76460">
        <w:t xml:space="preserve">”. Este documento </w:t>
      </w:r>
      <w:r w:rsidR="00F5724F">
        <w:t>se refiere a</w:t>
      </w:r>
      <w:r w:rsidR="00F5724F" w:rsidRPr="00A76460">
        <w:t xml:space="preserve">l acceso público a los </w:t>
      </w:r>
      <w:r w:rsidR="00F5724F">
        <w:t>documentos</w:t>
      </w:r>
      <w:r w:rsidR="00F5724F" w:rsidRPr="00A76460">
        <w:t xml:space="preserve"> hist</w:t>
      </w:r>
      <w:r w:rsidR="00F5724F">
        <w:t xml:space="preserve">óricos en poder del Servicio de Archivos de la UIT. </w:t>
      </w:r>
    </w:p>
    <w:p w:rsidR="00F5724F" w:rsidRPr="00A76460" w:rsidRDefault="00611B1C" w:rsidP="00927FFB">
      <w:pPr>
        <w:pStyle w:val="enumlev1"/>
        <w:tabs>
          <w:tab w:val="clear" w:pos="567"/>
          <w:tab w:val="clear" w:pos="1134"/>
          <w:tab w:val="clear" w:pos="1701"/>
          <w:tab w:val="clear" w:pos="2268"/>
          <w:tab w:val="clear" w:pos="2835"/>
        </w:tabs>
        <w:ind w:left="709" w:hanging="425"/>
      </w:pPr>
      <w:r>
        <w:t>–</w:t>
      </w:r>
      <w:r>
        <w:tab/>
      </w:r>
      <w:r w:rsidR="00F5724F" w:rsidRPr="00A76460">
        <w:t xml:space="preserve">Carta a numerosos destinatarios DM-1013 (27 de enero de 2000), “Directrices para el acceso a TIES”. </w:t>
      </w:r>
      <w:r w:rsidR="00F5724F">
        <w:t>Este documento se refiere al acceso electrónico de los Estados Miembros, los Miembros de Sector y las Misiones Permanentes a los documentos de trabajo de la UIT para conferencias y reuniones.</w:t>
      </w:r>
    </w:p>
    <w:p w:rsidR="00F5724F" w:rsidRPr="00AF2629" w:rsidRDefault="00F5724F" w:rsidP="00927FFB">
      <w:pPr>
        <w:tabs>
          <w:tab w:val="clear" w:pos="567"/>
          <w:tab w:val="clear" w:pos="1134"/>
          <w:tab w:val="clear" w:pos="1701"/>
          <w:tab w:val="clear" w:pos="2268"/>
          <w:tab w:val="clear" w:pos="2835"/>
        </w:tabs>
        <w:snapToGrid w:val="0"/>
        <w:spacing w:after="120"/>
        <w:rPr>
          <w:szCs w:val="24"/>
        </w:rPr>
      </w:pPr>
      <w:r w:rsidRPr="00AF2629">
        <w:rPr>
          <w:szCs w:val="24"/>
        </w:rPr>
        <w:t xml:space="preserve">Ambos documentos </w:t>
      </w:r>
      <w:r>
        <w:rPr>
          <w:szCs w:val="24"/>
        </w:rPr>
        <w:t xml:space="preserve">hacen referencia únicamente a </w:t>
      </w:r>
      <w:r w:rsidRPr="00AF2629">
        <w:rPr>
          <w:szCs w:val="24"/>
        </w:rPr>
        <w:t xml:space="preserve">ciertos tipos de información y ciertos tipos de acceso. No </w:t>
      </w:r>
      <w:r>
        <w:rPr>
          <w:szCs w:val="24"/>
        </w:rPr>
        <w:t xml:space="preserve">han sido revisados ni actualizados </w:t>
      </w:r>
      <w:r w:rsidRPr="00AF2629">
        <w:rPr>
          <w:szCs w:val="24"/>
        </w:rPr>
        <w:t>desde 2000</w:t>
      </w:r>
      <w:r>
        <w:rPr>
          <w:szCs w:val="24"/>
        </w:rPr>
        <w:t>.</w:t>
      </w:r>
    </w:p>
    <w:p w:rsidR="00F5724F" w:rsidRPr="00AF2629" w:rsidRDefault="00F5724F" w:rsidP="00927FFB">
      <w:pPr>
        <w:tabs>
          <w:tab w:val="clear" w:pos="567"/>
          <w:tab w:val="clear" w:pos="1134"/>
          <w:tab w:val="clear" w:pos="1701"/>
          <w:tab w:val="clear" w:pos="2268"/>
          <w:tab w:val="clear" w:pos="2835"/>
        </w:tabs>
        <w:snapToGrid w:val="0"/>
        <w:spacing w:after="120"/>
        <w:rPr>
          <w:szCs w:val="24"/>
        </w:rPr>
      </w:pPr>
      <w:r w:rsidRPr="00AF2629">
        <w:rPr>
          <w:szCs w:val="24"/>
        </w:rPr>
        <w:t xml:space="preserve">2.3 </w:t>
      </w:r>
      <w:r w:rsidRPr="00AF2629">
        <w:rPr>
          <w:szCs w:val="24"/>
        </w:rPr>
        <w:tab/>
        <w:t>Información a disposici</w:t>
      </w:r>
      <w:r>
        <w:rPr>
          <w:szCs w:val="24"/>
        </w:rPr>
        <w:t xml:space="preserve">ón del </w:t>
      </w:r>
      <w:r w:rsidRPr="00AF2629">
        <w:rPr>
          <w:szCs w:val="24"/>
        </w:rPr>
        <w:t>p</w:t>
      </w:r>
      <w:r>
        <w:rPr>
          <w:szCs w:val="24"/>
        </w:rPr>
        <w:t>úblico en general</w:t>
      </w:r>
    </w:p>
    <w:p w:rsidR="00F5724F" w:rsidRPr="00A02710" w:rsidRDefault="00F5724F" w:rsidP="00927FFB">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eastAsia="zh-CN"/>
        </w:rPr>
      </w:pPr>
      <w:r w:rsidRPr="00A02710">
        <w:rPr>
          <w:rFonts w:asciiTheme="minorHAnsi" w:eastAsiaTheme="minorEastAsia" w:hAnsiTheme="minorHAnsi" w:cstheme="minorBidi"/>
          <w:szCs w:val="24"/>
          <w:lang w:eastAsia="zh-CN"/>
        </w:rPr>
        <w:t>Tradicionalmente, la UIT ha puesto una variedad de información a disposición del público y sigue haciéndolo. La información facilitada con regularidad al público -en venta o gratuitamente- comprende</w:t>
      </w:r>
      <w:r>
        <w:rPr>
          <w:rStyle w:val="FootnoteReference"/>
          <w:rFonts w:eastAsiaTheme="minorEastAsia" w:cstheme="minorBidi"/>
          <w:szCs w:val="24"/>
          <w:lang w:val="en-US" w:eastAsia="zh-CN"/>
        </w:rPr>
        <w:footnoteReference w:id="1"/>
      </w:r>
      <w:r w:rsidRPr="00A02710">
        <w:rPr>
          <w:rFonts w:asciiTheme="minorHAnsi" w:eastAsiaTheme="minorEastAsia" w:hAnsiTheme="minorHAnsi" w:cstheme="minorBidi"/>
          <w:szCs w:val="24"/>
          <w:lang w:eastAsia="zh-CN"/>
        </w:rPr>
        <w:t>:</w:t>
      </w:r>
    </w:p>
    <w:p w:rsidR="00F5724F" w:rsidRPr="00801D68" w:rsidRDefault="00801D68" w:rsidP="00927FFB">
      <w:pPr>
        <w:pStyle w:val="enumlev1"/>
        <w:tabs>
          <w:tab w:val="clear" w:pos="567"/>
          <w:tab w:val="clear" w:pos="1134"/>
          <w:tab w:val="clear" w:pos="1701"/>
          <w:tab w:val="clear" w:pos="2268"/>
          <w:tab w:val="clear" w:pos="2835"/>
        </w:tabs>
        <w:ind w:left="709" w:hanging="425"/>
        <w:rPr>
          <w:rFonts w:eastAsiaTheme="minorEastAsia"/>
          <w:lang w:eastAsia="zh-CN"/>
        </w:rPr>
      </w:pPr>
      <w:r w:rsidRPr="00801D68">
        <w:rPr>
          <w:rFonts w:eastAsiaTheme="minorEastAsia"/>
          <w:lang w:eastAsia="zh-CN"/>
        </w:rPr>
        <w:t>•</w:t>
      </w:r>
      <w:r w:rsidRPr="00801D68">
        <w:rPr>
          <w:rFonts w:eastAsiaTheme="minorEastAsia"/>
          <w:lang w:eastAsia="zh-CN"/>
        </w:rPr>
        <w:tab/>
      </w:r>
      <w:r w:rsidR="00F5724F" w:rsidRPr="00801D68">
        <w:rPr>
          <w:rFonts w:eastAsiaTheme="minorEastAsia"/>
          <w:lang w:eastAsia="zh-CN"/>
        </w:rPr>
        <w:t>Comunicados de prensa</w:t>
      </w:r>
    </w:p>
    <w:p w:rsidR="00F5724F" w:rsidRPr="00801D68" w:rsidRDefault="00801D68" w:rsidP="00927FFB">
      <w:pPr>
        <w:pStyle w:val="enumlev1"/>
        <w:tabs>
          <w:tab w:val="clear" w:pos="567"/>
          <w:tab w:val="clear" w:pos="1134"/>
          <w:tab w:val="clear" w:pos="1701"/>
          <w:tab w:val="clear" w:pos="2268"/>
          <w:tab w:val="clear" w:pos="2835"/>
        </w:tabs>
        <w:ind w:left="709" w:hanging="425"/>
        <w:rPr>
          <w:rFonts w:eastAsiaTheme="minorEastAsia"/>
          <w:lang w:eastAsia="zh-CN"/>
        </w:rPr>
      </w:pPr>
      <w:r w:rsidRPr="00801D68">
        <w:rPr>
          <w:rFonts w:eastAsiaTheme="minorEastAsia"/>
          <w:lang w:eastAsia="zh-CN"/>
        </w:rPr>
        <w:t>•</w:t>
      </w:r>
      <w:r>
        <w:rPr>
          <w:rFonts w:eastAsiaTheme="minorEastAsia"/>
          <w:lang w:eastAsia="zh-CN"/>
        </w:rPr>
        <w:tab/>
      </w:r>
      <w:r w:rsidR="00F5724F" w:rsidRPr="00801D68">
        <w:rPr>
          <w:rFonts w:eastAsiaTheme="minorEastAsia"/>
          <w:lang w:eastAsia="zh-CN"/>
        </w:rPr>
        <w:t xml:space="preserve">Discursos </w:t>
      </w:r>
    </w:p>
    <w:p w:rsidR="00F5724F" w:rsidRPr="00801D68" w:rsidRDefault="00801D68" w:rsidP="00927FFB">
      <w:pPr>
        <w:pStyle w:val="enumlev1"/>
        <w:tabs>
          <w:tab w:val="clear" w:pos="567"/>
          <w:tab w:val="clear" w:pos="1134"/>
          <w:tab w:val="clear" w:pos="1701"/>
          <w:tab w:val="clear" w:pos="2268"/>
          <w:tab w:val="clear" w:pos="2835"/>
        </w:tabs>
        <w:ind w:left="709" w:hanging="425"/>
        <w:rPr>
          <w:rFonts w:eastAsiaTheme="minorEastAsia"/>
          <w:lang w:eastAsia="zh-CN"/>
        </w:rPr>
      </w:pPr>
      <w:r w:rsidRPr="00801D68">
        <w:rPr>
          <w:rFonts w:eastAsiaTheme="minorEastAsia"/>
          <w:lang w:eastAsia="zh-CN"/>
        </w:rPr>
        <w:t>•</w:t>
      </w:r>
      <w:r>
        <w:rPr>
          <w:rFonts w:eastAsiaTheme="minorEastAsia"/>
          <w:lang w:eastAsia="zh-CN"/>
        </w:rPr>
        <w:tab/>
      </w:r>
      <w:r w:rsidR="00F5724F" w:rsidRPr="00801D68">
        <w:rPr>
          <w:rFonts w:eastAsiaTheme="minorEastAsia"/>
          <w:lang w:eastAsia="zh-CN"/>
        </w:rPr>
        <w:t>Declaraciones</w:t>
      </w:r>
    </w:p>
    <w:p w:rsidR="00F5724F" w:rsidRPr="00801D68" w:rsidRDefault="00801D68" w:rsidP="00927FFB">
      <w:pPr>
        <w:pStyle w:val="enumlev1"/>
        <w:tabs>
          <w:tab w:val="clear" w:pos="567"/>
          <w:tab w:val="clear" w:pos="1134"/>
          <w:tab w:val="clear" w:pos="1701"/>
          <w:tab w:val="clear" w:pos="2268"/>
          <w:tab w:val="clear" w:pos="2835"/>
        </w:tabs>
        <w:ind w:left="709" w:hanging="425"/>
        <w:rPr>
          <w:rFonts w:eastAsiaTheme="minorEastAsia"/>
          <w:lang w:eastAsia="zh-CN"/>
        </w:rPr>
      </w:pPr>
      <w:r w:rsidRPr="00801D68">
        <w:rPr>
          <w:rFonts w:eastAsiaTheme="minorEastAsia"/>
          <w:lang w:eastAsia="zh-CN"/>
        </w:rPr>
        <w:t>•</w:t>
      </w:r>
      <w:r>
        <w:rPr>
          <w:rFonts w:eastAsiaTheme="minorEastAsia"/>
          <w:lang w:eastAsia="zh-CN"/>
        </w:rPr>
        <w:tab/>
      </w:r>
      <w:r w:rsidR="00F5724F" w:rsidRPr="00801D68">
        <w:rPr>
          <w:rFonts w:eastAsiaTheme="minorEastAsia"/>
          <w:lang w:eastAsia="zh-CN"/>
        </w:rPr>
        <w:t>Circulares/Cartas Circulares</w:t>
      </w:r>
      <w:r w:rsidR="00F5724F" w:rsidRPr="007333DE">
        <w:rPr>
          <w:rFonts w:eastAsiaTheme="minorEastAsia"/>
          <w:vertAlign w:val="superscript"/>
          <w:lang w:val="en-US" w:eastAsia="zh-CN"/>
        </w:rPr>
        <w:footnoteReference w:id="2"/>
      </w:r>
    </w:p>
    <w:p w:rsidR="00F5724F" w:rsidRPr="00AF1E8E" w:rsidRDefault="00801D68" w:rsidP="00927FFB">
      <w:pPr>
        <w:pStyle w:val="enumlev1"/>
        <w:tabs>
          <w:tab w:val="clear" w:pos="567"/>
          <w:tab w:val="clear" w:pos="1134"/>
          <w:tab w:val="clear" w:pos="1701"/>
          <w:tab w:val="clear" w:pos="2268"/>
          <w:tab w:val="clear" w:pos="2835"/>
        </w:tabs>
        <w:ind w:left="709" w:hanging="425"/>
        <w:rPr>
          <w:rFonts w:eastAsiaTheme="minorEastAsia"/>
          <w:lang w:eastAsia="zh-CN"/>
        </w:rPr>
      </w:pPr>
      <w:r w:rsidRPr="00801D68">
        <w:rPr>
          <w:rFonts w:eastAsiaTheme="minorEastAsia"/>
          <w:lang w:eastAsia="zh-CN"/>
        </w:rPr>
        <w:t>•</w:t>
      </w:r>
      <w:r>
        <w:rPr>
          <w:rFonts w:eastAsiaTheme="minorEastAsia"/>
          <w:lang w:eastAsia="zh-CN"/>
        </w:rPr>
        <w:tab/>
      </w:r>
      <w:r w:rsidR="00F5724F" w:rsidRPr="00AF1E8E">
        <w:rPr>
          <w:rFonts w:eastAsiaTheme="minorEastAsia"/>
          <w:lang w:eastAsia="zh-CN"/>
        </w:rPr>
        <w:t>Información general sobre actividades de la organización (folletos, páginas web, plataformas de medios sociales)</w:t>
      </w:r>
    </w:p>
    <w:p w:rsidR="00F5724F" w:rsidRPr="00AF1E8E" w:rsidRDefault="00801D68" w:rsidP="00927FFB">
      <w:pPr>
        <w:pStyle w:val="enumlev1"/>
        <w:tabs>
          <w:tab w:val="clear" w:pos="567"/>
          <w:tab w:val="clear" w:pos="1134"/>
          <w:tab w:val="clear" w:pos="1701"/>
          <w:tab w:val="clear" w:pos="2268"/>
          <w:tab w:val="clear" w:pos="2835"/>
        </w:tabs>
        <w:ind w:left="709" w:hanging="425"/>
        <w:rPr>
          <w:rFonts w:eastAsiaTheme="minorEastAsia"/>
          <w:lang w:eastAsia="zh-CN"/>
        </w:rPr>
      </w:pPr>
      <w:r w:rsidRPr="00801D68">
        <w:rPr>
          <w:rFonts w:eastAsiaTheme="minorEastAsia"/>
          <w:lang w:eastAsia="zh-CN"/>
        </w:rPr>
        <w:t>•</w:t>
      </w:r>
      <w:r>
        <w:rPr>
          <w:rFonts w:eastAsiaTheme="minorEastAsia"/>
          <w:lang w:eastAsia="zh-CN"/>
        </w:rPr>
        <w:tab/>
      </w:r>
      <w:r w:rsidR="00F5724F" w:rsidRPr="00AF1E8E">
        <w:rPr>
          <w:rFonts w:eastAsiaTheme="minorEastAsia"/>
          <w:lang w:eastAsia="zh-CN"/>
        </w:rPr>
        <w:t>Fotografías y videos de eventos y actividades de la UIT</w:t>
      </w:r>
    </w:p>
    <w:p w:rsidR="00F5724F" w:rsidRPr="00AF1E8E" w:rsidRDefault="00801D68" w:rsidP="00927FFB">
      <w:pPr>
        <w:pStyle w:val="enumlev1"/>
        <w:tabs>
          <w:tab w:val="clear" w:pos="567"/>
          <w:tab w:val="clear" w:pos="1134"/>
          <w:tab w:val="clear" w:pos="1701"/>
          <w:tab w:val="clear" w:pos="2268"/>
          <w:tab w:val="clear" w:pos="2835"/>
        </w:tabs>
        <w:ind w:left="709" w:hanging="425"/>
        <w:rPr>
          <w:rFonts w:eastAsiaTheme="minorEastAsia"/>
          <w:lang w:eastAsia="zh-CN"/>
        </w:rPr>
      </w:pPr>
      <w:r w:rsidRPr="00801D68">
        <w:rPr>
          <w:rFonts w:eastAsiaTheme="minorEastAsia"/>
          <w:lang w:eastAsia="zh-CN"/>
        </w:rPr>
        <w:t>•</w:t>
      </w:r>
      <w:r>
        <w:rPr>
          <w:rFonts w:eastAsiaTheme="minorEastAsia"/>
          <w:lang w:eastAsia="zh-CN"/>
        </w:rPr>
        <w:tab/>
      </w:r>
      <w:r w:rsidR="00F5724F" w:rsidRPr="00AF1E8E">
        <w:rPr>
          <w:rFonts w:eastAsiaTheme="minorEastAsia"/>
          <w:lang w:eastAsia="zh-CN"/>
        </w:rPr>
        <w:t xml:space="preserve">Documentos </w:t>
      </w:r>
      <w:r w:rsidR="00F5724F">
        <w:rPr>
          <w:rFonts w:eastAsiaTheme="minorEastAsia"/>
          <w:lang w:eastAsia="zh-CN"/>
        </w:rPr>
        <w:t>d</w:t>
      </w:r>
      <w:r w:rsidR="00F5724F" w:rsidRPr="00AF1E8E">
        <w:rPr>
          <w:rFonts w:eastAsiaTheme="minorEastAsia"/>
          <w:lang w:eastAsia="zh-CN"/>
        </w:rPr>
        <w:t>e información relativa a la historia de la organizaci</w:t>
      </w:r>
      <w:r w:rsidR="00F5724F">
        <w:rPr>
          <w:rFonts w:eastAsiaTheme="minorEastAsia"/>
          <w:lang w:eastAsia="zh-CN"/>
        </w:rPr>
        <w:t xml:space="preserve">ón </w:t>
      </w:r>
      <w:r w:rsidR="00F5724F" w:rsidRPr="00AF1E8E">
        <w:rPr>
          <w:rFonts w:eastAsiaTheme="minorEastAsia"/>
          <w:lang w:eastAsia="zh-CN"/>
        </w:rPr>
        <w:t>(</w:t>
      </w:r>
      <w:r w:rsidR="00F5724F">
        <w:rPr>
          <w:rFonts w:eastAsiaTheme="minorEastAsia"/>
          <w:lang w:eastAsia="zh-CN"/>
        </w:rPr>
        <w:t xml:space="preserve">Portal </w:t>
      </w:r>
      <w:r w:rsidR="00F5724F" w:rsidRPr="00AF1E8E">
        <w:rPr>
          <w:rFonts w:eastAsiaTheme="minorEastAsia"/>
          <w:lang w:eastAsia="zh-CN"/>
        </w:rPr>
        <w:t>Histor</w:t>
      </w:r>
      <w:r w:rsidR="00F5724F">
        <w:rPr>
          <w:rFonts w:eastAsiaTheme="minorEastAsia"/>
          <w:lang w:eastAsia="zh-CN"/>
        </w:rPr>
        <w:t xml:space="preserve">ia de la UIT) </w:t>
      </w:r>
    </w:p>
    <w:p w:rsidR="00F5724F" w:rsidRPr="00801D68" w:rsidRDefault="00801D68" w:rsidP="00927FFB">
      <w:pPr>
        <w:pStyle w:val="enumlev1"/>
        <w:tabs>
          <w:tab w:val="clear" w:pos="567"/>
          <w:tab w:val="clear" w:pos="1134"/>
          <w:tab w:val="clear" w:pos="1701"/>
          <w:tab w:val="clear" w:pos="2268"/>
          <w:tab w:val="clear" w:pos="2835"/>
        </w:tabs>
        <w:ind w:left="709" w:hanging="425"/>
        <w:rPr>
          <w:rFonts w:eastAsiaTheme="minorEastAsia"/>
          <w:lang w:eastAsia="zh-CN"/>
        </w:rPr>
      </w:pPr>
      <w:r w:rsidRPr="00801D68">
        <w:rPr>
          <w:rFonts w:eastAsiaTheme="minorEastAsia"/>
          <w:lang w:eastAsia="zh-CN"/>
        </w:rPr>
        <w:t>•</w:t>
      </w:r>
      <w:r w:rsidRPr="00801D68">
        <w:rPr>
          <w:rFonts w:eastAsiaTheme="minorEastAsia"/>
          <w:lang w:eastAsia="zh-CN"/>
        </w:rPr>
        <w:tab/>
      </w:r>
      <w:r w:rsidR="00F5724F" w:rsidRPr="00801D68">
        <w:rPr>
          <w:rFonts w:eastAsiaTheme="minorEastAsia"/>
          <w:lang w:eastAsia="zh-CN"/>
        </w:rPr>
        <w:t>Publicaciones, entre ellas:</w:t>
      </w:r>
    </w:p>
    <w:p w:rsidR="00F5724F" w:rsidRPr="00801D68"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801D68">
        <w:rPr>
          <w:rFonts w:eastAsiaTheme="minorEastAsia"/>
          <w:lang w:eastAsia="zh-CN"/>
        </w:rPr>
        <w:t xml:space="preserve">Textos Fundamentales de la organización </w:t>
      </w:r>
    </w:p>
    <w:p w:rsidR="00F5724F" w:rsidRPr="00801D68"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801D68">
        <w:rPr>
          <w:rFonts w:eastAsiaTheme="minorEastAsia"/>
          <w:lang w:eastAsia="zh-CN"/>
        </w:rPr>
        <w:t>Reglamentos Administrativos</w:t>
      </w:r>
    </w:p>
    <w:p w:rsidR="00F5724F" w:rsidRPr="00484FD1"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484FD1">
        <w:rPr>
          <w:rFonts w:eastAsiaTheme="minorEastAsia"/>
          <w:lang w:eastAsia="zh-CN"/>
        </w:rPr>
        <w:t xml:space="preserve">Actas Finales de las conferencias de la UIT </w:t>
      </w:r>
    </w:p>
    <w:p w:rsidR="00F5724F" w:rsidRPr="00801D68"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801D68">
        <w:rPr>
          <w:rFonts w:eastAsiaTheme="minorEastAsia"/>
          <w:lang w:eastAsia="zh-CN"/>
        </w:rPr>
        <w:lastRenderedPageBreak/>
        <w:t xml:space="preserve">Resoluciones y Acuerdos del Consejo </w:t>
      </w:r>
    </w:p>
    <w:p w:rsidR="00F5724F" w:rsidRPr="00801D68"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801D68">
        <w:rPr>
          <w:rFonts w:eastAsiaTheme="minorEastAsia"/>
          <w:lang w:eastAsia="zh-CN"/>
        </w:rPr>
        <w:t xml:space="preserve">Recomendaciones de la UIT </w:t>
      </w:r>
    </w:p>
    <w:p w:rsidR="00F5724F" w:rsidRPr="00B505F0"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B505F0">
        <w:rPr>
          <w:rFonts w:eastAsiaTheme="minorEastAsia"/>
          <w:lang w:eastAsia="zh-CN"/>
        </w:rPr>
        <w:t>Manuales, directrices, conjuntos de herramientas</w:t>
      </w:r>
    </w:p>
    <w:p w:rsidR="00F5724F" w:rsidRPr="00484FD1"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484FD1">
        <w:rPr>
          <w:rFonts w:eastAsiaTheme="minorEastAsia"/>
          <w:lang w:eastAsia="zh-CN"/>
        </w:rPr>
        <w:t xml:space="preserve">Publicaciones de servicio (por ejemplo, </w:t>
      </w:r>
      <w:r w:rsidRPr="00484FD1">
        <w:rPr>
          <w:rFonts w:eastAsiaTheme="minorEastAsia"/>
          <w:i/>
          <w:iCs/>
          <w:lang w:eastAsia="zh-CN"/>
        </w:rPr>
        <w:t xml:space="preserve">Lista Internacional </w:t>
      </w:r>
      <w:r>
        <w:rPr>
          <w:rFonts w:eastAsiaTheme="minorEastAsia"/>
          <w:i/>
          <w:iCs/>
          <w:lang w:eastAsia="zh-CN"/>
        </w:rPr>
        <w:t>de Frecuencias</w:t>
      </w:r>
      <w:r w:rsidRPr="00484FD1">
        <w:rPr>
          <w:rFonts w:eastAsiaTheme="minorEastAsia"/>
          <w:lang w:eastAsia="zh-CN"/>
        </w:rPr>
        <w:t>, list</w:t>
      </w:r>
      <w:r>
        <w:rPr>
          <w:rFonts w:eastAsiaTheme="minorEastAsia"/>
          <w:lang w:eastAsia="zh-CN"/>
        </w:rPr>
        <w:t>a</w:t>
      </w:r>
      <w:r w:rsidRPr="00484FD1">
        <w:rPr>
          <w:rFonts w:eastAsiaTheme="minorEastAsia"/>
          <w:lang w:eastAsia="zh-CN"/>
        </w:rPr>
        <w:t xml:space="preserve">s </w:t>
      </w:r>
      <w:r>
        <w:rPr>
          <w:rFonts w:eastAsiaTheme="minorEastAsia"/>
          <w:lang w:eastAsia="zh-CN"/>
        </w:rPr>
        <w:t>de estaciones de radiocomunicaciones y estaciones telegráficas</w:t>
      </w:r>
      <w:r w:rsidRPr="00484FD1">
        <w:rPr>
          <w:rFonts w:eastAsiaTheme="minorEastAsia"/>
          <w:lang w:eastAsia="zh-CN"/>
        </w:rPr>
        <w:t>)</w:t>
      </w:r>
    </w:p>
    <w:p w:rsidR="00F5724F" w:rsidRPr="00484FD1"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484FD1">
        <w:rPr>
          <w:rFonts w:eastAsiaTheme="minorEastAsia"/>
          <w:lang w:eastAsia="zh-CN"/>
        </w:rPr>
        <w:t>Software y bases de datos, especialmente vinculados a la gestión del espectro de frecuencias radioeléctricas y órbitas de sat</w:t>
      </w:r>
      <w:r>
        <w:rPr>
          <w:rFonts w:eastAsiaTheme="minorEastAsia"/>
          <w:lang w:eastAsia="zh-CN"/>
        </w:rPr>
        <w:t>élite, así como bases de datos del UIT-T (por ejemplo, recursos de numeración internacionales)</w:t>
      </w:r>
    </w:p>
    <w:p w:rsidR="00F5724F" w:rsidRPr="00484FD1"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484FD1">
        <w:rPr>
          <w:rFonts w:eastAsiaTheme="minorEastAsia"/>
          <w:lang w:eastAsia="zh-CN"/>
        </w:rPr>
        <w:t>Diversos Informes y análisis, en especial Informes sobre el sector privado y tendencias de las TIC</w:t>
      </w:r>
    </w:p>
    <w:p w:rsidR="00F5724F" w:rsidRPr="00484FD1"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484FD1">
        <w:rPr>
          <w:rFonts w:eastAsiaTheme="minorEastAsia"/>
          <w:lang w:eastAsia="zh-CN"/>
        </w:rPr>
        <w:t>Informes de las actividades de talleres, seminarios y coloquios</w:t>
      </w:r>
    </w:p>
    <w:p w:rsidR="00F5724F" w:rsidRPr="00484FD1"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484FD1">
        <w:rPr>
          <w:rFonts w:eastAsiaTheme="minorEastAsia"/>
          <w:lang w:eastAsia="zh-CN"/>
        </w:rPr>
        <w:t>Datos, estad</w:t>
      </w:r>
      <w:r>
        <w:rPr>
          <w:rFonts w:eastAsiaTheme="minorEastAsia"/>
          <w:lang w:eastAsia="zh-CN"/>
        </w:rPr>
        <w:t>íst</w:t>
      </w:r>
      <w:r w:rsidRPr="00484FD1">
        <w:rPr>
          <w:rFonts w:eastAsiaTheme="minorEastAsia"/>
          <w:lang w:eastAsia="zh-CN"/>
        </w:rPr>
        <w:t>icas e interpretaciones estad</w:t>
      </w:r>
      <w:r>
        <w:rPr>
          <w:rFonts w:eastAsiaTheme="minorEastAsia"/>
          <w:lang w:eastAsia="zh-CN"/>
        </w:rPr>
        <w:t>ísticas de las TIC</w:t>
      </w:r>
    </w:p>
    <w:p w:rsidR="00F5724F" w:rsidRPr="00484FD1"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484FD1">
        <w:rPr>
          <w:rFonts w:eastAsiaTheme="minorEastAsia"/>
          <w:lang w:eastAsia="zh-CN"/>
        </w:rPr>
        <w:t>Listas de terminología y glosarios</w:t>
      </w:r>
    </w:p>
    <w:p w:rsidR="00F5724F" w:rsidRPr="00B505F0" w:rsidRDefault="00F5724F" w:rsidP="00927FFB">
      <w:pPr>
        <w:pStyle w:val="enumlev2"/>
        <w:numPr>
          <w:ilvl w:val="0"/>
          <w:numId w:val="7"/>
        </w:numPr>
        <w:tabs>
          <w:tab w:val="clear" w:pos="567"/>
          <w:tab w:val="clear" w:pos="1134"/>
          <w:tab w:val="clear" w:pos="1701"/>
          <w:tab w:val="clear" w:pos="2268"/>
          <w:tab w:val="clear" w:pos="2835"/>
        </w:tabs>
        <w:rPr>
          <w:rFonts w:eastAsiaTheme="minorEastAsia"/>
          <w:lang w:eastAsia="zh-CN"/>
        </w:rPr>
      </w:pPr>
      <w:r w:rsidRPr="00B505F0">
        <w:rPr>
          <w:rFonts w:eastAsiaTheme="minorEastAsia"/>
          <w:i/>
          <w:iCs/>
          <w:lang w:eastAsia="zh-CN"/>
        </w:rPr>
        <w:t>Actualidades de la UIT</w:t>
      </w:r>
      <w:r w:rsidRPr="00B505F0">
        <w:rPr>
          <w:rFonts w:eastAsiaTheme="minorEastAsia"/>
          <w:lang w:eastAsia="zh-CN"/>
        </w:rPr>
        <w:t xml:space="preserve"> (anteriormente, </w:t>
      </w:r>
      <w:r w:rsidRPr="00B505F0">
        <w:rPr>
          <w:rFonts w:eastAsiaTheme="minorEastAsia"/>
          <w:i/>
          <w:iCs/>
          <w:lang w:eastAsia="zh-CN"/>
        </w:rPr>
        <w:t>Journal télégraphique</w:t>
      </w:r>
      <w:r w:rsidRPr="00B505F0">
        <w:rPr>
          <w:rFonts w:eastAsiaTheme="minorEastAsia"/>
          <w:lang w:eastAsia="zh-CN"/>
        </w:rPr>
        <w:t xml:space="preserve">, 1869-1933, y </w:t>
      </w:r>
      <w:r w:rsidRPr="00B505F0">
        <w:rPr>
          <w:rFonts w:eastAsiaTheme="minorEastAsia"/>
          <w:i/>
          <w:iCs/>
          <w:lang w:eastAsia="zh-CN"/>
        </w:rPr>
        <w:t>Boletín de Telecomunicaciones</w:t>
      </w:r>
      <w:r w:rsidRPr="00B505F0">
        <w:rPr>
          <w:rFonts w:eastAsiaTheme="minorEastAsia"/>
          <w:lang w:eastAsia="zh-CN"/>
        </w:rPr>
        <w:t>, 1934-1993)</w:t>
      </w:r>
    </w:p>
    <w:p w:rsidR="00F5724F" w:rsidRPr="00927FFB" w:rsidRDefault="00F5724F" w:rsidP="00927FFB">
      <w:pPr>
        <w:pStyle w:val="Heading2"/>
        <w:keepNext w:val="0"/>
        <w:keepLines w:val="0"/>
        <w:tabs>
          <w:tab w:val="clear" w:pos="567"/>
          <w:tab w:val="clear" w:pos="1134"/>
          <w:tab w:val="clear" w:pos="1701"/>
          <w:tab w:val="clear" w:pos="2268"/>
          <w:tab w:val="clear" w:pos="2835"/>
        </w:tabs>
        <w:snapToGrid w:val="0"/>
        <w:ind w:left="0" w:firstLine="0"/>
        <w:rPr>
          <w:b w:val="0"/>
          <w:bCs/>
        </w:rPr>
      </w:pPr>
      <w:r w:rsidRPr="00927FFB">
        <w:rPr>
          <w:b w:val="0"/>
          <w:bCs/>
        </w:rPr>
        <w:t>2.4</w:t>
      </w:r>
      <w:r w:rsidRPr="00927FFB">
        <w:rPr>
          <w:b w:val="0"/>
          <w:bCs/>
        </w:rPr>
        <w:tab/>
        <w:t xml:space="preserve">Acceso a la información sobre conferencias y reuniones de la UIT </w:t>
      </w:r>
    </w:p>
    <w:p w:rsidR="00F5724F" w:rsidRPr="00CA1758" w:rsidRDefault="00F5724F" w:rsidP="00927FFB">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eastAsia="zh-CN"/>
        </w:rPr>
      </w:pPr>
      <w:r w:rsidRPr="00CA1758">
        <w:rPr>
          <w:rFonts w:asciiTheme="minorHAnsi" w:eastAsiaTheme="minorEastAsia" w:hAnsiTheme="minorHAnsi" w:cstheme="minorBidi"/>
          <w:szCs w:val="24"/>
          <w:lang w:eastAsia="zh-CN"/>
        </w:rPr>
        <w:t>Las</w:t>
      </w:r>
      <w:r w:rsidRPr="00CA1758">
        <w:rPr>
          <w:rFonts w:asciiTheme="minorHAnsi" w:eastAsiaTheme="minorEastAsia" w:hAnsiTheme="minorHAnsi" w:cstheme="minorBidi"/>
          <w:i/>
          <w:iCs/>
          <w:szCs w:val="24"/>
          <w:lang w:eastAsia="zh-CN"/>
        </w:rPr>
        <w:t xml:space="preserve"> conferencias de la UIT</w:t>
      </w:r>
      <w:r w:rsidRPr="00CA1758">
        <w:rPr>
          <w:rFonts w:asciiTheme="minorHAnsi" w:eastAsiaTheme="minorEastAsia" w:hAnsiTheme="minorHAnsi" w:cstheme="minorBidi"/>
          <w:szCs w:val="24"/>
          <w:lang w:eastAsia="zh-CN"/>
        </w:rPr>
        <w:t xml:space="preserve"> incluyen: </w:t>
      </w:r>
      <w:r>
        <w:rPr>
          <w:rFonts w:asciiTheme="minorHAnsi" w:eastAsiaTheme="minorEastAsia" w:hAnsiTheme="minorHAnsi" w:cstheme="minorBidi"/>
          <w:szCs w:val="24"/>
          <w:lang w:eastAsia="zh-CN"/>
        </w:rPr>
        <w:t>conferencias de p</w:t>
      </w:r>
      <w:r w:rsidRPr="00CA1758">
        <w:rPr>
          <w:rFonts w:asciiTheme="minorHAnsi" w:eastAsiaTheme="minorEastAsia" w:hAnsiTheme="minorHAnsi" w:cstheme="minorBidi"/>
          <w:szCs w:val="24"/>
          <w:lang w:eastAsia="zh-CN"/>
        </w:rPr>
        <w:t xml:space="preserve">lenipotenciarios, conferencias mundiales </w:t>
      </w:r>
      <w:r>
        <w:rPr>
          <w:rFonts w:asciiTheme="minorHAnsi" w:eastAsiaTheme="minorEastAsia" w:hAnsiTheme="minorHAnsi" w:cstheme="minorBidi"/>
          <w:szCs w:val="24"/>
          <w:lang w:eastAsia="zh-CN"/>
        </w:rPr>
        <w:t>de telecomunicaciones i</w:t>
      </w:r>
      <w:r w:rsidRPr="00CA1758">
        <w:rPr>
          <w:rFonts w:asciiTheme="minorHAnsi" w:eastAsiaTheme="minorEastAsia" w:hAnsiTheme="minorHAnsi" w:cstheme="minorBidi"/>
          <w:szCs w:val="24"/>
          <w:lang w:eastAsia="zh-CN"/>
        </w:rPr>
        <w:t xml:space="preserve">nternacionales, </w:t>
      </w:r>
      <w:r>
        <w:rPr>
          <w:rFonts w:asciiTheme="minorHAnsi" w:eastAsiaTheme="minorEastAsia" w:hAnsiTheme="minorHAnsi" w:cstheme="minorBidi"/>
          <w:szCs w:val="24"/>
          <w:lang w:eastAsia="zh-CN"/>
        </w:rPr>
        <w:t xml:space="preserve">conferencias mundiales y regionales de radiocomunicaciones, conferencias mundiales y regionales de desarrollo de las telecomunicaciones. </w:t>
      </w:r>
    </w:p>
    <w:p w:rsidR="00F5724F" w:rsidRPr="004E1F4E" w:rsidRDefault="00F5724F" w:rsidP="00927FFB">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eastAsia="zh-CN"/>
        </w:rPr>
      </w:pPr>
      <w:r w:rsidRPr="004E1F4E">
        <w:rPr>
          <w:rFonts w:asciiTheme="minorHAnsi" w:eastAsiaTheme="minorEastAsia" w:hAnsiTheme="minorHAnsi" w:cstheme="minorBidi"/>
          <w:szCs w:val="24"/>
          <w:lang w:eastAsia="zh-CN"/>
        </w:rPr>
        <w:t xml:space="preserve">Las </w:t>
      </w:r>
      <w:r w:rsidRPr="004E1F4E">
        <w:rPr>
          <w:rFonts w:asciiTheme="minorHAnsi" w:eastAsiaTheme="minorEastAsia" w:hAnsiTheme="minorHAnsi" w:cstheme="minorBidi"/>
          <w:i/>
          <w:iCs/>
          <w:szCs w:val="24"/>
          <w:lang w:eastAsia="zh-CN"/>
        </w:rPr>
        <w:t xml:space="preserve">reuniones de la UIT </w:t>
      </w:r>
      <w:r w:rsidRPr="004E1F4E">
        <w:rPr>
          <w:rFonts w:asciiTheme="minorHAnsi" w:eastAsiaTheme="minorEastAsia" w:hAnsiTheme="minorHAnsi" w:cstheme="minorBidi"/>
          <w:szCs w:val="24"/>
          <w:lang w:eastAsia="zh-CN"/>
        </w:rPr>
        <w:t xml:space="preserve"> incluyen, entre otras: reuniones del Consejo, </w:t>
      </w:r>
      <w:r>
        <w:rPr>
          <w:rFonts w:asciiTheme="minorHAnsi" w:eastAsiaTheme="minorEastAsia" w:hAnsiTheme="minorHAnsi" w:cstheme="minorBidi"/>
          <w:szCs w:val="24"/>
          <w:lang w:eastAsia="zh-CN"/>
        </w:rPr>
        <w:t>a</w:t>
      </w:r>
      <w:r w:rsidRPr="004E1F4E">
        <w:rPr>
          <w:rFonts w:asciiTheme="minorHAnsi" w:eastAsiaTheme="minorEastAsia" w:hAnsiTheme="minorHAnsi" w:cstheme="minorBidi"/>
          <w:szCs w:val="24"/>
          <w:lang w:eastAsia="zh-CN"/>
        </w:rPr>
        <w:t>sambleas de los Sectores UIT-T y UIT-R, reuniones de las comisiones de estudio, reuniones de los grupos asesores de los Sectores y reuniones de la RRB.</w:t>
      </w:r>
      <w:r>
        <w:rPr>
          <w:rFonts w:asciiTheme="minorHAnsi" w:eastAsiaTheme="minorEastAsia" w:hAnsiTheme="minorHAnsi" w:cstheme="minorBidi"/>
          <w:szCs w:val="24"/>
          <w:lang w:eastAsia="zh-CN"/>
        </w:rPr>
        <w:t xml:space="preserve"> </w:t>
      </w:r>
      <w:r w:rsidRPr="004E1F4E">
        <w:rPr>
          <w:rFonts w:asciiTheme="minorHAnsi" w:eastAsiaTheme="minorEastAsia" w:hAnsiTheme="minorHAnsi" w:cstheme="minorBidi"/>
          <w:szCs w:val="24"/>
          <w:lang w:eastAsia="zh-CN"/>
        </w:rPr>
        <w:t xml:space="preserve"> </w:t>
      </w:r>
    </w:p>
    <w:p w:rsidR="00F5724F" w:rsidRPr="00927FFB" w:rsidRDefault="00F5724F" w:rsidP="00927FFB">
      <w:pPr>
        <w:pStyle w:val="Heading3"/>
        <w:keepNext w:val="0"/>
        <w:keepLines w:val="0"/>
        <w:tabs>
          <w:tab w:val="clear" w:pos="567"/>
          <w:tab w:val="clear" w:pos="1134"/>
          <w:tab w:val="clear" w:pos="1701"/>
          <w:tab w:val="clear" w:pos="2268"/>
          <w:tab w:val="clear" w:pos="2835"/>
        </w:tabs>
        <w:snapToGrid w:val="0"/>
        <w:ind w:left="1560" w:hanging="851"/>
        <w:rPr>
          <w:b w:val="0"/>
          <w:bCs/>
        </w:rPr>
      </w:pPr>
      <w:r w:rsidRPr="00927FFB">
        <w:rPr>
          <w:b w:val="0"/>
          <w:bCs/>
        </w:rPr>
        <w:t>2.4.1</w:t>
      </w:r>
      <w:r w:rsidRPr="00927FFB">
        <w:rPr>
          <w:b w:val="0"/>
          <w:bCs/>
        </w:rPr>
        <w:tab/>
      </w:r>
      <w:r w:rsidRPr="00927FFB">
        <w:rPr>
          <w:b w:val="0"/>
          <w:bCs/>
          <w:u w:val="single"/>
        </w:rPr>
        <w:t>Acceso por tipo de información</w:t>
      </w:r>
    </w:p>
    <w:p w:rsidR="00F5724F" w:rsidRPr="00DB7C1E" w:rsidRDefault="00F5724F" w:rsidP="00927FFB">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eastAsia="zh-CN"/>
        </w:rPr>
      </w:pPr>
      <w:r w:rsidRPr="00DB7C1E">
        <w:rPr>
          <w:rFonts w:asciiTheme="minorHAnsi" w:eastAsiaTheme="minorEastAsia" w:hAnsiTheme="minorHAnsi" w:cstheme="minorBidi"/>
          <w:szCs w:val="24"/>
          <w:lang w:eastAsia="zh-CN"/>
        </w:rPr>
        <w:t xml:space="preserve">En la UIT, todos los documentos de </w:t>
      </w:r>
      <w:r>
        <w:rPr>
          <w:rFonts w:asciiTheme="minorHAnsi" w:eastAsiaTheme="minorEastAsia" w:hAnsiTheme="minorHAnsi" w:cstheme="minorBidi"/>
          <w:szCs w:val="24"/>
          <w:lang w:eastAsia="zh-CN"/>
        </w:rPr>
        <w:t xml:space="preserve">las </w:t>
      </w:r>
      <w:r w:rsidRPr="00DB7C1E">
        <w:rPr>
          <w:rFonts w:asciiTheme="minorHAnsi" w:eastAsiaTheme="minorEastAsia" w:hAnsiTheme="minorHAnsi" w:cstheme="minorBidi"/>
          <w:szCs w:val="24"/>
          <w:lang w:eastAsia="zh-CN"/>
        </w:rPr>
        <w:t xml:space="preserve">conferencias y reuniones tienen </w:t>
      </w:r>
      <w:r>
        <w:rPr>
          <w:rFonts w:asciiTheme="minorHAnsi" w:eastAsiaTheme="minorEastAsia" w:hAnsiTheme="minorHAnsi" w:cstheme="minorBidi"/>
          <w:szCs w:val="24"/>
          <w:lang w:eastAsia="zh-CN"/>
        </w:rPr>
        <w:t xml:space="preserve">el mismo carácter cuando se trata de acceder a ellos. </w:t>
      </w:r>
      <w:r w:rsidRPr="00DB7C1E">
        <w:rPr>
          <w:rFonts w:asciiTheme="minorHAnsi" w:eastAsiaTheme="minorEastAsia" w:hAnsiTheme="minorHAnsi" w:cstheme="minorBidi"/>
          <w:szCs w:val="24"/>
          <w:lang w:eastAsia="zh-CN"/>
        </w:rPr>
        <w:t xml:space="preserve">No se hace </w:t>
      </w:r>
      <w:r>
        <w:rPr>
          <w:rFonts w:asciiTheme="minorHAnsi" w:eastAsiaTheme="minorEastAsia" w:hAnsiTheme="minorHAnsi" w:cstheme="minorBidi"/>
          <w:szCs w:val="24"/>
          <w:lang w:eastAsia="zh-CN"/>
        </w:rPr>
        <w:t xml:space="preserve">ninguna </w:t>
      </w:r>
      <w:r w:rsidRPr="00DB7C1E">
        <w:rPr>
          <w:rFonts w:asciiTheme="minorHAnsi" w:eastAsiaTheme="minorEastAsia" w:hAnsiTheme="minorHAnsi" w:cstheme="minorBidi"/>
          <w:szCs w:val="24"/>
          <w:lang w:eastAsia="zh-CN"/>
        </w:rPr>
        <w:t>distinción entre el orden del día, las</w:t>
      </w:r>
      <w:r>
        <w:rPr>
          <w:rFonts w:asciiTheme="minorHAnsi" w:eastAsiaTheme="minorEastAsia" w:hAnsiTheme="minorHAnsi" w:cstheme="minorBidi"/>
          <w:szCs w:val="24"/>
          <w:lang w:eastAsia="zh-CN"/>
        </w:rPr>
        <w:t xml:space="preserve"> contribuciones de los Estados M</w:t>
      </w:r>
      <w:r w:rsidRPr="00DB7C1E">
        <w:rPr>
          <w:rFonts w:asciiTheme="minorHAnsi" w:eastAsiaTheme="minorEastAsia" w:hAnsiTheme="minorHAnsi" w:cstheme="minorBidi"/>
          <w:szCs w:val="24"/>
          <w:lang w:eastAsia="zh-CN"/>
        </w:rPr>
        <w:t xml:space="preserve">iembros, </w:t>
      </w:r>
      <w:r>
        <w:rPr>
          <w:rFonts w:asciiTheme="minorHAnsi" w:eastAsiaTheme="minorEastAsia" w:hAnsiTheme="minorHAnsi" w:cstheme="minorBidi"/>
          <w:szCs w:val="24"/>
          <w:lang w:eastAsia="zh-CN"/>
        </w:rPr>
        <w:t xml:space="preserve">las contribuciones </w:t>
      </w:r>
      <w:r w:rsidRPr="00DB7C1E">
        <w:rPr>
          <w:rFonts w:asciiTheme="minorHAnsi" w:eastAsiaTheme="minorEastAsia" w:hAnsiTheme="minorHAnsi" w:cstheme="minorBidi"/>
          <w:szCs w:val="24"/>
          <w:lang w:eastAsia="zh-CN"/>
        </w:rPr>
        <w:t>de la Secretaría General</w:t>
      </w:r>
      <w:r>
        <w:rPr>
          <w:rFonts w:asciiTheme="minorHAnsi" w:eastAsiaTheme="minorEastAsia" w:hAnsiTheme="minorHAnsi" w:cstheme="minorBidi"/>
          <w:szCs w:val="24"/>
          <w:lang w:eastAsia="zh-CN"/>
        </w:rPr>
        <w:t>, las a</w:t>
      </w:r>
      <w:r w:rsidRPr="00DB7C1E">
        <w:rPr>
          <w:rFonts w:asciiTheme="minorHAnsi" w:eastAsiaTheme="minorEastAsia" w:hAnsiTheme="minorHAnsi" w:cstheme="minorBidi"/>
          <w:szCs w:val="24"/>
          <w:lang w:eastAsia="zh-CN"/>
        </w:rPr>
        <w:t xml:space="preserve">ctas de </w:t>
      </w:r>
      <w:r>
        <w:rPr>
          <w:rFonts w:asciiTheme="minorHAnsi" w:eastAsiaTheme="minorEastAsia" w:hAnsiTheme="minorHAnsi" w:cstheme="minorBidi"/>
          <w:szCs w:val="24"/>
          <w:lang w:eastAsia="zh-CN"/>
        </w:rPr>
        <w:t xml:space="preserve">las </w:t>
      </w:r>
      <w:r w:rsidRPr="00DB7C1E">
        <w:rPr>
          <w:rFonts w:asciiTheme="minorHAnsi" w:eastAsiaTheme="minorEastAsia" w:hAnsiTheme="minorHAnsi" w:cstheme="minorBidi"/>
          <w:szCs w:val="24"/>
          <w:lang w:eastAsia="zh-CN"/>
        </w:rPr>
        <w:t>reuniones, etc</w:t>
      </w:r>
      <w:r>
        <w:rPr>
          <w:rFonts w:asciiTheme="minorHAnsi" w:eastAsiaTheme="minorEastAsia" w:hAnsiTheme="minorHAnsi" w:cstheme="minorBidi"/>
          <w:szCs w:val="24"/>
          <w:lang w:eastAsia="zh-CN"/>
        </w:rPr>
        <w:t>.</w:t>
      </w:r>
      <w:r w:rsidRPr="00DB7C1E">
        <w:rPr>
          <w:rFonts w:asciiTheme="minorHAnsi" w:eastAsiaTheme="minorEastAsia" w:hAnsiTheme="minorHAnsi" w:cstheme="minorBidi"/>
          <w:szCs w:val="24"/>
          <w:lang w:eastAsia="zh-CN"/>
        </w:rPr>
        <w:t xml:space="preserve"> El acceso está </w:t>
      </w:r>
      <w:r>
        <w:rPr>
          <w:rFonts w:asciiTheme="minorHAnsi" w:eastAsiaTheme="minorEastAsia" w:hAnsiTheme="minorHAnsi" w:cstheme="minorBidi"/>
          <w:szCs w:val="24"/>
          <w:lang w:eastAsia="zh-CN"/>
        </w:rPr>
        <w:t xml:space="preserve">reservado únicamente a </w:t>
      </w:r>
      <w:r w:rsidRPr="00DB7C1E">
        <w:rPr>
          <w:rFonts w:asciiTheme="minorHAnsi" w:eastAsiaTheme="minorEastAsia" w:hAnsiTheme="minorHAnsi" w:cstheme="minorBidi"/>
          <w:szCs w:val="24"/>
          <w:lang w:eastAsia="zh-CN"/>
        </w:rPr>
        <w:t xml:space="preserve">los miembros de la UIT; no se </w:t>
      </w:r>
      <w:r>
        <w:rPr>
          <w:rFonts w:asciiTheme="minorHAnsi" w:eastAsiaTheme="minorEastAsia" w:hAnsiTheme="minorHAnsi" w:cstheme="minorBidi"/>
          <w:szCs w:val="24"/>
          <w:lang w:eastAsia="zh-CN"/>
        </w:rPr>
        <w:t>autoriza</w:t>
      </w:r>
      <w:r w:rsidRPr="00DB7C1E">
        <w:rPr>
          <w:rFonts w:asciiTheme="minorHAnsi" w:eastAsiaTheme="minorEastAsia" w:hAnsiTheme="minorHAnsi" w:cstheme="minorBidi"/>
          <w:szCs w:val="24"/>
          <w:lang w:eastAsia="zh-CN"/>
        </w:rPr>
        <w:t xml:space="preserve"> el acceso </w:t>
      </w:r>
      <w:r>
        <w:rPr>
          <w:rFonts w:asciiTheme="minorHAnsi" w:eastAsiaTheme="minorEastAsia" w:hAnsiTheme="minorHAnsi" w:cstheme="minorBidi"/>
          <w:szCs w:val="24"/>
          <w:lang w:eastAsia="zh-CN"/>
        </w:rPr>
        <w:t>a</w:t>
      </w:r>
      <w:r w:rsidRPr="00DB7C1E">
        <w:rPr>
          <w:rFonts w:asciiTheme="minorHAnsi" w:eastAsiaTheme="minorEastAsia" w:hAnsiTheme="minorHAnsi" w:cstheme="minorBidi"/>
          <w:szCs w:val="24"/>
          <w:lang w:eastAsia="zh-CN"/>
        </w:rPr>
        <w:t>l público. Se h</w:t>
      </w:r>
      <w:r>
        <w:rPr>
          <w:rFonts w:asciiTheme="minorHAnsi" w:eastAsiaTheme="minorEastAsia" w:hAnsiTheme="minorHAnsi" w:cstheme="minorBidi"/>
          <w:szCs w:val="24"/>
          <w:lang w:eastAsia="zh-CN"/>
        </w:rPr>
        <w:t xml:space="preserve">izo </w:t>
      </w:r>
      <w:r w:rsidRPr="00DB7C1E">
        <w:rPr>
          <w:rFonts w:asciiTheme="minorHAnsi" w:eastAsiaTheme="minorEastAsia" w:hAnsiTheme="minorHAnsi" w:cstheme="minorBidi"/>
          <w:szCs w:val="24"/>
          <w:lang w:eastAsia="zh-CN"/>
        </w:rPr>
        <w:t xml:space="preserve">una excepción a la práctica de la UIT </w:t>
      </w:r>
      <w:r>
        <w:rPr>
          <w:rFonts w:asciiTheme="minorHAnsi" w:eastAsiaTheme="minorEastAsia" w:hAnsiTheme="minorHAnsi" w:cstheme="minorBidi"/>
          <w:szCs w:val="24"/>
          <w:lang w:eastAsia="zh-CN"/>
        </w:rPr>
        <w:t xml:space="preserve">en la </w:t>
      </w:r>
      <w:r w:rsidRPr="00DB7C1E">
        <w:rPr>
          <w:rFonts w:asciiTheme="minorHAnsi" w:eastAsiaTheme="minorEastAsia" w:hAnsiTheme="minorHAnsi" w:cstheme="minorBidi"/>
          <w:szCs w:val="24"/>
          <w:lang w:eastAsia="zh-CN"/>
        </w:rPr>
        <w:t xml:space="preserve">CMTI-12. </w:t>
      </w:r>
      <w:r>
        <w:rPr>
          <w:rFonts w:asciiTheme="minorHAnsi" w:eastAsiaTheme="minorEastAsia" w:hAnsiTheme="minorHAnsi" w:cstheme="minorBidi"/>
          <w:szCs w:val="24"/>
          <w:lang w:eastAsia="zh-CN"/>
        </w:rPr>
        <w:t>En el curso de esa conferencia s</w:t>
      </w:r>
      <w:r w:rsidRPr="00DB7C1E">
        <w:rPr>
          <w:rFonts w:asciiTheme="minorHAnsi" w:eastAsiaTheme="minorEastAsia" w:hAnsiTheme="minorHAnsi" w:cstheme="minorBidi"/>
          <w:szCs w:val="24"/>
          <w:lang w:eastAsia="zh-CN"/>
        </w:rPr>
        <w:t xml:space="preserve">e decidió que las contribuciones de los Estados </w:t>
      </w:r>
      <w:r>
        <w:rPr>
          <w:rFonts w:asciiTheme="minorHAnsi" w:eastAsiaTheme="minorEastAsia" w:hAnsiTheme="minorHAnsi" w:cstheme="minorBidi"/>
          <w:szCs w:val="24"/>
          <w:lang w:eastAsia="zh-CN"/>
        </w:rPr>
        <w:t>M</w:t>
      </w:r>
      <w:r w:rsidRPr="00DB7C1E">
        <w:rPr>
          <w:rFonts w:asciiTheme="minorHAnsi" w:eastAsiaTheme="minorEastAsia" w:hAnsiTheme="minorHAnsi" w:cstheme="minorBidi"/>
          <w:szCs w:val="24"/>
          <w:lang w:eastAsia="zh-CN"/>
        </w:rPr>
        <w:t xml:space="preserve">iembros se </w:t>
      </w:r>
      <w:r>
        <w:rPr>
          <w:rFonts w:asciiTheme="minorHAnsi" w:eastAsiaTheme="minorEastAsia" w:hAnsiTheme="minorHAnsi" w:cstheme="minorBidi"/>
          <w:szCs w:val="24"/>
          <w:lang w:eastAsia="zh-CN"/>
        </w:rPr>
        <w:t xml:space="preserve">pondrían a disposición del </w:t>
      </w:r>
      <w:r w:rsidRPr="00DB7C1E">
        <w:rPr>
          <w:rFonts w:asciiTheme="minorHAnsi" w:eastAsiaTheme="minorEastAsia" w:hAnsiTheme="minorHAnsi" w:cstheme="minorBidi"/>
          <w:szCs w:val="24"/>
          <w:lang w:eastAsia="zh-CN"/>
        </w:rPr>
        <w:t xml:space="preserve">público. </w:t>
      </w:r>
      <w:r>
        <w:rPr>
          <w:rFonts w:asciiTheme="minorHAnsi" w:eastAsiaTheme="minorEastAsia" w:hAnsiTheme="minorHAnsi" w:cstheme="minorBidi"/>
          <w:szCs w:val="24"/>
          <w:lang w:eastAsia="zh-CN"/>
        </w:rPr>
        <w:t>El acceso a t</w:t>
      </w:r>
      <w:r w:rsidRPr="00DB7C1E">
        <w:rPr>
          <w:rFonts w:asciiTheme="minorHAnsi" w:eastAsiaTheme="minorEastAsia" w:hAnsiTheme="minorHAnsi" w:cstheme="minorBidi"/>
          <w:szCs w:val="24"/>
          <w:lang w:eastAsia="zh-CN"/>
        </w:rPr>
        <w:t>o</w:t>
      </w:r>
      <w:r>
        <w:rPr>
          <w:rFonts w:asciiTheme="minorHAnsi" w:eastAsiaTheme="minorEastAsia" w:hAnsiTheme="minorHAnsi" w:cstheme="minorBidi"/>
          <w:szCs w:val="24"/>
          <w:lang w:eastAsia="zh-CN"/>
        </w:rPr>
        <w:t>dos los demás documentos de la c</w:t>
      </w:r>
      <w:r w:rsidRPr="00DB7C1E">
        <w:rPr>
          <w:rFonts w:asciiTheme="minorHAnsi" w:eastAsiaTheme="minorEastAsia" w:hAnsiTheme="minorHAnsi" w:cstheme="minorBidi"/>
          <w:szCs w:val="24"/>
          <w:lang w:eastAsia="zh-CN"/>
        </w:rPr>
        <w:t>onferencia qued</w:t>
      </w:r>
      <w:r>
        <w:rPr>
          <w:rFonts w:asciiTheme="minorHAnsi" w:eastAsiaTheme="minorEastAsia" w:hAnsiTheme="minorHAnsi" w:cstheme="minorBidi"/>
          <w:szCs w:val="24"/>
          <w:lang w:eastAsia="zh-CN"/>
        </w:rPr>
        <w:t xml:space="preserve">ó limitado a </w:t>
      </w:r>
      <w:r w:rsidRPr="00DB7C1E">
        <w:rPr>
          <w:rFonts w:asciiTheme="minorHAnsi" w:eastAsiaTheme="minorEastAsia" w:hAnsiTheme="minorHAnsi" w:cstheme="minorBidi"/>
          <w:szCs w:val="24"/>
          <w:lang w:eastAsia="zh-CN"/>
        </w:rPr>
        <w:t>usuarios de TIES.</w:t>
      </w:r>
    </w:p>
    <w:p w:rsidR="00F5724F" w:rsidRPr="00927FFB" w:rsidRDefault="00F5724F" w:rsidP="00927FFB">
      <w:pPr>
        <w:pStyle w:val="Heading3"/>
        <w:keepNext w:val="0"/>
        <w:keepLines w:val="0"/>
        <w:tabs>
          <w:tab w:val="clear" w:pos="567"/>
          <w:tab w:val="clear" w:pos="1134"/>
          <w:tab w:val="clear" w:pos="1701"/>
          <w:tab w:val="clear" w:pos="2268"/>
          <w:tab w:val="clear" w:pos="2835"/>
        </w:tabs>
        <w:snapToGrid w:val="0"/>
        <w:ind w:left="1560" w:hanging="851"/>
        <w:rPr>
          <w:b w:val="0"/>
          <w:bCs/>
        </w:rPr>
      </w:pPr>
      <w:r w:rsidRPr="00927FFB">
        <w:rPr>
          <w:b w:val="0"/>
          <w:bCs/>
        </w:rPr>
        <w:t>2.4.2</w:t>
      </w:r>
      <w:r w:rsidRPr="00927FFB">
        <w:rPr>
          <w:b w:val="0"/>
          <w:bCs/>
        </w:rPr>
        <w:tab/>
      </w:r>
      <w:r w:rsidRPr="00927FFB">
        <w:rPr>
          <w:b w:val="0"/>
          <w:bCs/>
          <w:u w:val="single"/>
        </w:rPr>
        <w:t>Acceso por periodo de tiempo</w:t>
      </w:r>
    </w:p>
    <w:p w:rsidR="00F5724F" w:rsidRPr="00E01353" w:rsidRDefault="00F5724F" w:rsidP="00927FFB">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No está autorizado e</w:t>
      </w:r>
      <w:r w:rsidRPr="00E01353">
        <w:rPr>
          <w:rFonts w:asciiTheme="minorHAnsi" w:eastAsiaTheme="minorEastAsia" w:hAnsiTheme="minorHAnsi" w:cstheme="minorBidi"/>
          <w:szCs w:val="24"/>
          <w:lang w:eastAsia="zh-CN"/>
        </w:rPr>
        <w:t>l acceso público a l</w:t>
      </w:r>
      <w:r>
        <w:rPr>
          <w:rFonts w:asciiTheme="minorHAnsi" w:eastAsiaTheme="minorEastAsia" w:hAnsiTheme="minorHAnsi" w:cstheme="minorBidi"/>
          <w:szCs w:val="24"/>
          <w:lang w:eastAsia="zh-CN"/>
        </w:rPr>
        <w:t>os documentos de las</w:t>
      </w:r>
      <w:r w:rsidRPr="00E01353">
        <w:rPr>
          <w:rFonts w:asciiTheme="minorHAnsi" w:eastAsiaTheme="minorEastAsia" w:hAnsiTheme="minorHAnsi" w:cstheme="minorBidi"/>
          <w:szCs w:val="24"/>
          <w:lang w:eastAsia="zh-CN"/>
        </w:rPr>
        <w:t xml:space="preserve"> conferencia</w:t>
      </w:r>
      <w:r>
        <w:rPr>
          <w:rFonts w:asciiTheme="minorHAnsi" w:eastAsiaTheme="minorEastAsia" w:hAnsiTheme="minorHAnsi" w:cstheme="minorBidi"/>
          <w:szCs w:val="24"/>
          <w:lang w:eastAsia="zh-CN"/>
        </w:rPr>
        <w:t>s</w:t>
      </w:r>
      <w:r w:rsidRPr="00E01353">
        <w:rPr>
          <w:rFonts w:asciiTheme="minorHAnsi" w:eastAsiaTheme="minorEastAsia" w:hAnsiTheme="minorHAnsi" w:cstheme="minorBidi"/>
          <w:szCs w:val="24"/>
          <w:lang w:eastAsia="zh-CN"/>
        </w:rPr>
        <w:t xml:space="preserve"> y reuni</w:t>
      </w:r>
      <w:r>
        <w:rPr>
          <w:rFonts w:asciiTheme="minorHAnsi" w:eastAsiaTheme="minorEastAsia" w:hAnsiTheme="minorHAnsi" w:cstheme="minorBidi"/>
          <w:szCs w:val="24"/>
          <w:lang w:eastAsia="zh-CN"/>
        </w:rPr>
        <w:t>ones</w:t>
      </w:r>
      <w:r w:rsidRPr="00E01353">
        <w:rPr>
          <w:rFonts w:asciiTheme="minorHAnsi" w:eastAsiaTheme="minorEastAsia" w:hAnsiTheme="minorHAnsi" w:cstheme="minorBidi"/>
          <w:szCs w:val="24"/>
          <w:lang w:eastAsia="zh-CN"/>
        </w:rPr>
        <w:t xml:space="preserve"> </w:t>
      </w:r>
      <w:r w:rsidRPr="00E01353">
        <w:rPr>
          <w:rFonts w:asciiTheme="minorHAnsi" w:eastAsiaTheme="minorEastAsia" w:hAnsiTheme="minorHAnsi" w:cstheme="minorBidi"/>
          <w:i/>
          <w:iCs/>
          <w:szCs w:val="24"/>
          <w:lang w:eastAsia="zh-CN"/>
        </w:rPr>
        <w:t>antes y durante</w:t>
      </w:r>
      <w:r w:rsidRPr="00E01353">
        <w:rPr>
          <w:rFonts w:asciiTheme="minorHAnsi" w:eastAsiaTheme="minorEastAsia" w:hAnsiTheme="minorHAnsi" w:cstheme="minorBidi"/>
          <w:szCs w:val="24"/>
          <w:lang w:eastAsia="zh-CN"/>
        </w:rPr>
        <w:t xml:space="preserve"> </w:t>
      </w:r>
      <w:r>
        <w:rPr>
          <w:rFonts w:asciiTheme="minorHAnsi" w:eastAsiaTheme="minorEastAsia" w:hAnsiTheme="minorHAnsi" w:cstheme="minorBidi"/>
          <w:szCs w:val="24"/>
          <w:lang w:eastAsia="zh-CN"/>
        </w:rPr>
        <w:t xml:space="preserve">la celebración de </w:t>
      </w:r>
      <w:r w:rsidRPr="00E01353">
        <w:rPr>
          <w:rFonts w:asciiTheme="minorHAnsi" w:eastAsiaTheme="minorEastAsia" w:hAnsiTheme="minorHAnsi" w:cstheme="minorBidi"/>
          <w:szCs w:val="24"/>
          <w:lang w:eastAsia="zh-CN"/>
        </w:rPr>
        <w:t xml:space="preserve">las reuniones, pero </w:t>
      </w:r>
      <w:r>
        <w:rPr>
          <w:rFonts w:asciiTheme="minorHAnsi" w:eastAsiaTheme="minorEastAsia" w:hAnsiTheme="minorHAnsi" w:cstheme="minorBidi"/>
          <w:szCs w:val="24"/>
          <w:lang w:eastAsia="zh-CN"/>
        </w:rPr>
        <w:t xml:space="preserve">por lo general se facilita el acceso a </w:t>
      </w:r>
      <w:r w:rsidRPr="00E01353">
        <w:rPr>
          <w:rFonts w:asciiTheme="minorHAnsi" w:eastAsiaTheme="minorEastAsia" w:hAnsiTheme="minorHAnsi" w:cstheme="minorBidi"/>
          <w:szCs w:val="24"/>
          <w:lang w:eastAsia="zh-CN"/>
        </w:rPr>
        <w:t>la totalidad de los documentos</w:t>
      </w:r>
      <w:r>
        <w:rPr>
          <w:rFonts w:asciiTheme="minorHAnsi" w:eastAsiaTheme="minorEastAsia" w:hAnsiTheme="minorHAnsi" w:cstheme="minorBidi"/>
          <w:szCs w:val="24"/>
          <w:lang w:eastAsia="zh-CN"/>
        </w:rPr>
        <w:t xml:space="preserve"> o a una parte de ellos</w:t>
      </w:r>
      <w:r w:rsidRPr="00E01353">
        <w:rPr>
          <w:rFonts w:asciiTheme="minorHAnsi" w:eastAsiaTheme="minorEastAsia" w:hAnsiTheme="minorHAnsi" w:cstheme="minorBidi"/>
          <w:szCs w:val="24"/>
          <w:lang w:eastAsia="zh-CN"/>
        </w:rPr>
        <w:t xml:space="preserve"> </w:t>
      </w:r>
      <w:r w:rsidRPr="00E01353">
        <w:rPr>
          <w:rFonts w:asciiTheme="minorHAnsi" w:eastAsiaTheme="minorEastAsia" w:hAnsiTheme="minorHAnsi" w:cstheme="minorBidi"/>
          <w:i/>
          <w:iCs/>
          <w:szCs w:val="24"/>
          <w:lang w:eastAsia="zh-CN"/>
        </w:rPr>
        <w:t>después</w:t>
      </w:r>
      <w:r w:rsidRPr="00E01353">
        <w:rPr>
          <w:rFonts w:asciiTheme="minorHAnsi" w:eastAsiaTheme="minorEastAsia" w:hAnsiTheme="minorHAnsi" w:cstheme="minorBidi"/>
          <w:szCs w:val="24"/>
          <w:lang w:eastAsia="zh-CN"/>
        </w:rPr>
        <w:t xml:space="preserve"> de</w:t>
      </w:r>
      <w:r>
        <w:rPr>
          <w:rFonts w:asciiTheme="minorHAnsi" w:eastAsiaTheme="minorEastAsia" w:hAnsiTheme="minorHAnsi" w:cstheme="minorBidi"/>
          <w:szCs w:val="24"/>
          <w:lang w:eastAsia="zh-CN"/>
        </w:rPr>
        <w:t xml:space="preserve"> la clausura de</w:t>
      </w:r>
      <w:r w:rsidRPr="00E01353">
        <w:rPr>
          <w:rFonts w:asciiTheme="minorHAnsi" w:eastAsiaTheme="minorEastAsia" w:hAnsiTheme="minorHAnsi" w:cstheme="minorBidi"/>
          <w:szCs w:val="24"/>
          <w:lang w:eastAsia="zh-CN"/>
        </w:rPr>
        <w:t xml:space="preserve"> una reunión.</w:t>
      </w:r>
      <w:r>
        <w:rPr>
          <w:rFonts w:asciiTheme="minorHAnsi" w:eastAsiaTheme="minorEastAsia" w:hAnsiTheme="minorHAnsi" w:cstheme="minorBidi"/>
          <w:szCs w:val="24"/>
          <w:lang w:eastAsia="zh-CN"/>
        </w:rPr>
        <w:t xml:space="preserve"> Si bien es</w:t>
      </w:r>
      <w:r w:rsidRPr="00E01353">
        <w:rPr>
          <w:rFonts w:asciiTheme="minorHAnsi" w:eastAsiaTheme="minorEastAsia" w:hAnsiTheme="minorHAnsi" w:cstheme="minorBidi"/>
          <w:szCs w:val="24"/>
          <w:lang w:eastAsia="zh-CN"/>
        </w:rPr>
        <w:t xml:space="preserve">ta práctica era </w:t>
      </w:r>
      <w:r>
        <w:rPr>
          <w:rFonts w:asciiTheme="minorHAnsi" w:eastAsiaTheme="minorEastAsia" w:hAnsiTheme="minorHAnsi" w:cstheme="minorBidi"/>
          <w:szCs w:val="24"/>
          <w:lang w:eastAsia="zh-CN"/>
        </w:rPr>
        <w:t xml:space="preserve">habitual en </w:t>
      </w:r>
      <w:r w:rsidRPr="00E01353">
        <w:rPr>
          <w:rFonts w:asciiTheme="minorHAnsi" w:eastAsiaTheme="minorEastAsia" w:hAnsiTheme="minorHAnsi" w:cstheme="minorBidi"/>
          <w:szCs w:val="24"/>
          <w:lang w:eastAsia="zh-CN"/>
        </w:rPr>
        <w:t xml:space="preserve">el pasado, </w:t>
      </w:r>
      <w:r>
        <w:rPr>
          <w:rFonts w:asciiTheme="minorHAnsi" w:eastAsiaTheme="minorEastAsia" w:hAnsiTheme="minorHAnsi" w:cstheme="minorBidi"/>
          <w:szCs w:val="24"/>
          <w:lang w:eastAsia="zh-CN"/>
        </w:rPr>
        <w:t>adquirió gradualmente un carácter más limitado a partir de 1</w:t>
      </w:r>
      <w:r w:rsidRPr="00E01353">
        <w:rPr>
          <w:rFonts w:asciiTheme="minorHAnsi" w:eastAsiaTheme="minorEastAsia" w:hAnsiTheme="minorHAnsi" w:cstheme="minorBidi"/>
          <w:szCs w:val="24"/>
          <w:lang w:eastAsia="zh-CN"/>
        </w:rPr>
        <w:t>992.</w:t>
      </w:r>
      <w:r>
        <w:rPr>
          <w:rFonts w:asciiTheme="minorHAnsi" w:eastAsiaTheme="minorEastAsia" w:hAnsiTheme="minorHAnsi" w:cstheme="minorBidi"/>
          <w:szCs w:val="24"/>
          <w:lang w:eastAsia="zh-CN"/>
        </w:rPr>
        <w:t xml:space="preserve"> Sigue habiendo numerosos casos en que los</w:t>
      </w:r>
      <w:r w:rsidRPr="00E01353">
        <w:rPr>
          <w:rFonts w:asciiTheme="minorHAnsi" w:eastAsiaTheme="minorEastAsia" w:hAnsiTheme="minorHAnsi" w:cstheme="minorBidi"/>
          <w:szCs w:val="24"/>
          <w:lang w:eastAsia="zh-CN"/>
        </w:rPr>
        <w:t xml:space="preserve"> documentos </w:t>
      </w:r>
      <w:r>
        <w:rPr>
          <w:rFonts w:asciiTheme="minorHAnsi" w:eastAsiaTheme="minorEastAsia" w:hAnsiTheme="minorHAnsi" w:cstheme="minorBidi"/>
          <w:szCs w:val="24"/>
          <w:lang w:eastAsia="zh-CN"/>
        </w:rPr>
        <w:t>de</w:t>
      </w:r>
      <w:r w:rsidRPr="00E01353">
        <w:rPr>
          <w:rFonts w:asciiTheme="minorHAnsi" w:eastAsiaTheme="minorEastAsia" w:hAnsiTheme="minorHAnsi" w:cstheme="minorBidi"/>
          <w:szCs w:val="24"/>
          <w:lang w:eastAsia="zh-CN"/>
        </w:rPr>
        <w:t xml:space="preserve"> conferencias y reuniones </w:t>
      </w:r>
      <w:r>
        <w:rPr>
          <w:rFonts w:asciiTheme="minorHAnsi" w:eastAsiaTheme="minorEastAsia" w:hAnsiTheme="minorHAnsi" w:cstheme="minorBidi"/>
          <w:szCs w:val="24"/>
          <w:lang w:eastAsia="zh-CN"/>
        </w:rPr>
        <w:t xml:space="preserve">están disponibles una vez transcurrido un cierto </w:t>
      </w:r>
      <w:r w:rsidRPr="00E01353">
        <w:rPr>
          <w:rFonts w:asciiTheme="minorHAnsi" w:eastAsiaTheme="minorEastAsia" w:hAnsiTheme="minorHAnsi" w:cstheme="minorBidi"/>
          <w:szCs w:val="24"/>
          <w:lang w:eastAsia="zh-CN"/>
        </w:rPr>
        <w:t>período de tiempo.</w:t>
      </w:r>
    </w:p>
    <w:p w:rsidR="00F5724F" w:rsidRPr="0023673B" w:rsidRDefault="00801D68" w:rsidP="00927FFB">
      <w:pPr>
        <w:pStyle w:val="enumlev1"/>
        <w:tabs>
          <w:tab w:val="clear" w:pos="567"/>
          <w:tab w:val="clear" w:pos="1134"/>
          <w:tab w:val="clear" w:pos="1701"/>
          <w:tab w:val="clear" w:pos="2268"/>
          <w:tab w:val="clear" w:pos="2835"/>
        </w:tabs>
        <w:ind w:left="709" w:hanging="425"/>
        <w:rPr>
          <w:rFonts w:eastAsiaTheme="minorEastAsia"/>
          <w:lang w:eastAsia="zh-CN"/>
        </w:rPr>
      </w:pPr>
      <w:r w:rsidRPr="00801D68">
        <w:rPr>
          <w:rFonts w:eastAsiaTheme="minorEastAsia"/>
          <w:lang w:eastAsia="zh-CN"/>
        </w:rPr>
        <w:t>•</w:t>
      </w:r>
      <w:r>
        <w:rPr>
          <w:rFonts w:eastAsiaTheme="minorEastAsia"/>
          <w:lang w:eastAsia="zh-CN"/>
        </w:rPr>
        <w:tab/>
      </w:r>
      <w:r w:rsidR="00F5724F" w:rsidRPr="0023673B">
        <w:rPr>
          <w:rFonts w:eastAsiaTheme="minorEastAsia"/>
          <w:lang w:eastAsia="zh-CN"/>
        </w:rPr>
        <w:t xml:space="preserve">Hay dos excepciones a esta práctica: </w:t>
      </w:r>
    </w:p>
    <w:p w:rsidR="00F5724F" w:rsidRPr="0023673B" w:rsidRDefault="00F5724F" w:rsidP="00927FFB">
      <w:pPr>
        <w:pStyle w:val="enumlev2"/>
        <w:numPr>
          <w:ilvl w:val="0"/>
          <w:numId w:val="9"/>
        </w:numPr>
        <w:tabs>
          <w:tab w:val="clear" w:pos="567"/>
          <w:tab w:val="clear" w:pos="1134"/>
          <w:tab w:val="clear" w:pos="1701"/>
          <w:tab w:val="clear" w:pos="2268"/>
          <w:tab w:val="clear" w:pos="2835"/>
        </w:tabs>
        <w:ind w:left="1418" w:hanging="284"/>
        <w:rPr>
          <w:rFonts w:eastAsiaTheme="minorEastAsia"/>
          <w:lang w:eastAsia="zh-CN"/>
        </w:rPr>
      </w:pPr>
      <w:r w:rsidRPr="0023673B">
        <w:rPr>
          <w:rFonts w:eastAsiaTheme="minorEastAsia"/>
          <w:lang w:eastAsia="zh-CN"/>
        </w:rPr>
        <w:t>CMTI-12: Duran</w:t>
      </w:r>
      <w:r>
        <w:rPr>
          <w:rFonts w:eastAsiaTheme="minorEastAsia"/>
          <w:lang w:eastAsia="zh-CN"/>
        </w:rPr>
        <w:t>te</w:t>
      </w:r>
      <w:r w:rsidRPr="0023673B">
        <w:rPr>
          <w:rFonts w:eastAsiaTheme="minorEastAsia"/>
          <w:lang w:eastAsia="zh-CN"/>
        </w:rPr>
        <w:t xml:space="preserve"> la conferencia se decidió que las contribuciones de los Estados Miembros se pondr</w:t>
      </w:r>
      <w:r>
        <w:rPr>
          <w:rFonts w:eastAsiaTheme="minorEastAsia"/>
          <w:lang w:eastAsia="zh-CN"/>
        </w:rPr>
        <w:t xml:space="preserve">ían inmediatamente a disposición del público. </w:t>
      </w:r>
    </w:p>
    <w:p w:rsidR="00F5724F" w:rsidRPr="0023673B" w:rsidRDefault="00F5724F" w:rsidP="00927FFB">
      <w:pPr>
        <w:pStyle w:val="enumlev2"/>
        <w:numPr>
          <w:ilvl w:val="0"/>
          <w:numId w:val="9"/>
        </w:numPr>
        <w:tabs>
          <w:tab w:val="clear" w:pos="567"/>
          <w:tab w:val="clear" w:pos="1134"/>
          <w:tab w:val="clear" w:pos="1701"/>
          <w:tab w:val="clear" w:pos="2268"/>
          <w:tab w:val="clear" w:pos="2835"/>
        </w:tabs>
        <w:ind w:left="1418" w:hanging="284"/>
        <w:rPr>
          <w:rFonts w:eastAsiaTheme="minorEastAsia"/>
          <w:lang w:eastAsia="zh-CN"/>
        </w:rPr>
      </w:pPr>
      <w:r w:rsidRPr="0023673B">
        <w:rPr>
          <w:rFonts w:eastAsiaTheme="minorEastAsia"/>
          <w:lang w:eastAsia="zh-CN"/>
        </w:rPr>
        <w:lastRenderedPageBreak/>
        <w:t xml:space="preserve">Todas las reuniones del GAR: Todos los documentos </w:t>
      </w:r>
      <w:r>
        <w:rPr>
          <w:rFonts w:eastAsiaTheme="minorEastAsia"/>
          <w:lang w:eastAsia="zh-CN"/>
        </w:rPr>
        <w:t xml:space="preserve">están </w:t>
      </w:r>
      <w:r w:rsidRPr="0023673B">
        <w:rPr>
          <w:rFonts w:eastAsiaTheme="minorEastAsia"/>
          <w:lang w:eastAsia="zh-CN"/>
        </w:rPr>
        <w:t>inmediatamente a disposición del público.</w:t>
      </w:r>
    </w:p>
    <w:p w:rsidR="00F5724F" w:rsidRPr="00927FFB" w:rsidRDefault="00F5724F" w:rsidP="00927FFB">
      <w:pPr>
        <w:pStyle w:val="Heading2"/>
        <w:rPr>
          <w:b w:val="0"/>
          <w:bCs/>
        </w:rPr>
      </w:pPr>
      <w:r w:rsidRPr="00927FFB">
        <w:rPr>
          <w:b w:val="0"/>
          <w:bCs/>
        </w:rPr>
        <w:t>2.5</w:t>
      </w:r>
      <w:r w:rsidRPr="00927FFB">
        <w:rPr>
          <w:b w:val="0"/>
          <w:bCs/>
        </w:rPr>
        <w:tab/>
        <w:t xml:space="preserve">Nuevas consultas públicas </w:t>
      </w:r>
    </w:p>
    <w:p w:rsidR="00F5724F" w:rsidRPr="00B65DFB" w:rsidRDefault="00F5724F" w:rsidP="00927FFB">
      <w:pPr>
        <w:tabs>
          <w:tab w:val="clear" w:pos="567"/>
          <w:tab w:val="clear" w:pos="1134"/>
          <w:tab w:val="clear" w:pos="1701"/>
          <w:tab w:val="clear" w:pos="2268"/>
          <w:tab w:val="clear" w:pos="2835"/>
        </w:tabs>
        <w:snapToGrid w:val="0"/>
        <w:spacing w:after="120"/>
        <w:rPr>
          <w:rFonts w:cs="Segoe UI"/>
          <w:color w:val="000000"/>
        </w:rPr>
      </w:pPr>
      <w:r w:rsidRPr="00B65DFB">
        <w:rPr>
          <w:szCs w:val="24"/>
        </w:rPr>
        <w:t xml:space="preserve">En el marco de una nueva iniciativa, en 2013 se celebraron consultas públicas como parte del proceso de elaboración del proyecto de Plan Estratégico de la Unión para 2016-2019. Se llevaron a cabo tres consultas públicas: una consulta pública informal lanzada por el Secretario General mediante una plataforma innovadora de financiación colectiva por Internet y dos consultas públicas </w:t>
      </w:r>
      <w:r w:rsidRPr="008F16F8">
        <w:rPr>
          <w:szCs w:val="24"/>
        </w:rPr>
        <w:t>sobre el marco estratégico propuesto y el proyecto de texto del Plan Estratégico para 2016-2019</w:t>
      </w:r>
      <w:r>
        <w:rPr>
          <w:szCs w:val="24"/>
        </w:rPr>
        <w:t xml:space="preserve"> </w:t>
      </w:r>
      <w:r w:rsidRPr="00B65DFB">
        <w:rPr>
          <w:szCs w:val="24"/>
        </w:rPr>
        <w:t>organizadas por</w:t>
      </w:r>
      <w:r>
        <w:rPr>
          <w:szCs w:val="24"/>
        </w:rPr>
        <w:t xml:space="preserve"> el </w:t>
      </w:r>
      <w:hyperlink r:id="rId10" w:history="1">
        <w:r>
          <w:rPr>
            <w:rStyle w:val="Hyperlink"/>
            <w:rFonts w:cs="Segoe UI"/>
          </w:rPr>
          <w:t>Grupo de Trabajo del Consejo para la Elaboración del proyecto de Plan Estratégico y el proyecto de Plan Financiero de la Unión para 2016-2019</w:t>
        </w:r>
      </w:hyperlink>
      <w:r>
        <w:rPr>
          <w:rFonts w:cs="Segoe UI"/>
          <w:color w:val="000000"/>
        </w:rPr>
        <w:t xml:space="preserve">. </w:t>
      </w:r>
    </w:p>
    <w:p w:rsidR="00F5724F" w:rsidRPr="00322A1B" w:rsidRDefault="00F5724F" w:rsidP="00927FFB">
      <w:r w:rsidRPr="00322A1B">
        <w:t>2.6</w:t>
      </w:r>
      <w:r w:rsidRPr="00322A1B">
        <w:tab/>
        <w:t>Para una informaci</w:t>
      </w:r>
      <w:r>
        <w:t xml:space="preserve">ón más completa sobre las prácticas de la UIT, </w:t>
      </w:r>
      <w:r w:rsidRPr="00322A1B">
        <w:t>consultar el Documento</w:t>
      </w:r>
      <w:r w:rsidR="00801D68">
        <w:t> </w:t>
      </w:r>
      <w:hyperlink r:id="rId11" w:history="1">
        <w:r w:rsidRPr="00322A1B">
          <w:rPr>
            <w:rStyle w:val="Hyperlink"/>
            <w:szCs w:val="24"/>
          </w:rPr>
          <w:t>C14/INF/20</w:t>
        </w:r>
      </w:hyperlink>
      <w:r w:rsidR="00801D68">
        <w:rPr>
          <w:rStyle w:val="Hyperlink"/>
          <w:szCs w:val="24"/>
        </w:rPr>
        <w:t>.</w:t>
      </w:r>
    </w:p>
    <w:p w:rsidR="00F5724F" w:rsidRDefault="00927FFB" w:rsidP="00927FFB">
      <w:pPr>
        <w:pStyle w:val="Heading1"/>
        <w:tabs>
          <w:tab w:val="clear" w:pos="567"/>
          <w:tab w:val="clear" w:pos="1134"/>
          <w:tab w:val="clear" w:pos="1701"/>
          <w:tab w:val="clear" w:pos="2268"/>
          <w:tab w:val="clear" w:pos="2835"/>
        </w:tabs>
        <w:ind w:left="0" w:firstLine="0"/>
      </w:pPr>
      <w:r>
        <w:t>3</w:t>
      </w:r>
      <w:r w:rsidRPr="00521226">
        <w:tab/>
        <w:t>POLÍTICAS Y PRÁCTICAS ACTUALES A NIVEL INTERNACIONAL</w:t>
      </w:r>
    </w:p>
    <w:p w:rsidR="00F5724F" w:rsidRDefault="00F5724F" w:rsidP="00927FFB">
      <w:pPr>
        <w:tabs>
          <w:tab w:val="clear" w:pos="567"/>
          <w:tab w:val="clear" w:pos="1134"/>
          <w:tab w:val="clear" w:pos="1701"/>
          <w:tab w:val="clear" w:pos="2268"/>
          <w:tab w:val="clear" w:pos="2835"/>
        </w:tabs>
        <w:snapToGrid w:val="0"/>
        <w:spacing w:after="120"/>
        <w:rPr>
          <w:b/>
          <w:bCs/>
          <w:szCs w:val="24"/>
        </w:rPr>
      </w:pPr>
      <w:r w:rsidRPr="000165EB">
        <w:rPr>
          <w:rFonts w:cs="Calibri"/>
          <w:szCs w:val="24"/>
        </w:rPr>
        <w:t>3.1</w:t>
      </w:r>
      <w:r w:rsidRPr="000165EB">
        <w:rPr>
          <w:rFonts w:cs="Calibri"/>
          <w:szCs w:val="24"/>
        </w:rPr>
        <w:tab/>
      </w:r>
      <w:r>
        <w:rPr>
          <w:rFonts w:cs="Calibri"/>
          <w:szCs w:val="24"/>
        </w:rPr>
        <w:t>A partir de</w:t>
      </w:r>
      <w:r w:rsidRPr="005E1671">
        <w:rPr>
          <w:rFonts w:cs="Calibri"/>
          <w:szCs w:val="24"/>
        </w:rPr>
        <w:t xml:space="preserve"> 2008, un número c</w:t>
      </w:r>
      <w:r>
        <w:rPr>
          <w:rFonts w:cs="Calibri"/>
          <w:szCs w:val="24"/>
        </w:rPr>
        <w:t xml:space="preserve">ada vez más importante </w:t>
      </w:r>
      <w:r w:rsidRPr="005E1671">
        <w:rPr>
          <w:rFonts w:cs="Calibri"/>
          <w:szCs w:val="24"/>
        </w:rPr>
        <w:t>de instituciones internacionales e intergubernamentales han reconocido el derecho a la informació</w:t>
      </w:r>
      <w:r>
        <w:rPr>
          <w:rFonts w:cs="Calibri"/>
          <w:szCs w:val="24"/>
        </w:rPr>
        <w:t xml:space="preserve">n a través de </w:t>
      </w:r>
      <w:r w:rsidRPr="005E1671">
        <w:rPr>
          <w:rFonts w:cs="Calibri"/>
          <w:szCs w:val="24"/>
        </w:rPr>
        <w:t xml:space="preserve">políticas generales de divulgación de </w:t>
      </w:r>
      <w:r>
        <w:rPr>
          <w:rFonts w:cs="Calibri"/>
          <w:szCs w:val="24"/>
        </w:rPr>
        <w:t xml:space="preserve">la </w:t>
      </w:r>
      <w:r w:rsidRPr="005E1671">
        <w:rPr>
          <w:rFonts w:cs="Calibri"/>
          <w:szCs w:val="24"/>
        </w:rPr>
        <w:t xml:space="preserve">información que </w:t>
      </w:r>
      <w:r>
        <w:rPr>
          <w:rFonts w:cs="Calibri"/>
          <w:szCs w:val="24"/>
        </w:rPr>
        <w:t xml:space="preserve">otorga a </w:t>
      </w:r>
      <w:r w:rsidRPr="005E1671">
        <w:rPr>
          <w:rFonts w:cs="Calibri"/>
          <w:szCs w:val="24"/>
        </w:rPr>
        <w:t>los individuos el derecho a solicit</w:t>
      </w:r>
      <w:r>
        <w:rPr>
          <w:rFonts w:cs="Calibri"/>
          <w:szCs w:val="24"/>
        </w:rPr>
        <w:t>ar y recibir información de ella</w:t>
      </w:r>
      <w:r w:rsidRPr="005E1671">
        <w:rPr>
          <w:rFonts w:cs="Calibri"/>
          <w:szCs w:val="24"/>
        </w:rPr>
        <w:t>s.</w:t>
      </w:r>
    </w:p>
    <w:p w:rsidR="00F5724F" w:rsidRPr="000A603F" w:rsidRDefault="00F5724F" w:rsidP="00927FFB">
      <w:pPr>
        <w:tabs>
          <w:tab w:val="clear" w:pos="567"/>
          <w:tab w:val="clear" w:pos="1134"/>
          <w:tab w:val="clear" w:pos="1701"/>
          <w:tab w:val="clear" w:pos="2268"/>
          <w:tab w:val="clear" w:pos="2835"/>
        </w:tabs>
        <w:snapToGrid w:val="0"/>
        <w:spacing w:after="120"/>
        <w:rPr>
          <w:b/>
          <w:bCs/>
          <w:szCs w:val="24"/>
        </w:rPr>
      </w:pPr>
      <w:r w:rsidRPr="00F16D65">
        <w:rPr>
          <w:rFonts w:asciiTheme="minorHAnsi" w:eastAsiaTheme="minorEastAsia" w:hAnsiTheme="minorHAnsi" w:cstheme="minorBidi"/>
          <w:szCs w:val="24"/>
          <w:lang w:eastAsia="zh-CN"/>
        </w:rPr>
        <w:t>3.2</w:t>
      </w:r>
      <w:r w:rsidRPr="00F16D65">
        <w:rPr>
          <w:rFonts w:asciiTheme="minorHAnsi" w:eastAsiaTheme="minorEastAsia" w:hAnsiTheme="minorHAnsi" w:cstheme="minorBidi"/>
          <w:szCs w:val="24"/>
          <w:lang w:eastAsia="zh-CN"/>
        </w:rPr>
        <w:tab/>
      </w:r>
      <w:r w:rsidRPr="005E1671">
        <w:rPr>
          <w:rFonts w:asciiTheme="minorHAnsi" w:eastAsiaTheme="minorEastAsia" w:hAnsiTheme="minorHAnsi" w:cstheme="minorBidi"/>
          <w:szCs w:val="24"/>
          <w:lang w:eastAsia="zh-CN"/>
        </w:rPr>
        <w:t xml:space="preserve">En 2013, la Secretaría llevó a cabo una encuesta de 14 </w:t>
      </w:r>
      <w:r>
        <w:rPr>
          <w:rFonts w:asciiTheme="minorHAnsi" w:eastAsiaTheme="minorEastAsia" w:hAnsiTheme="minorHAnsi" w:cstheme="minorBidi"/>
          <w:szCs w:val="24"/>
          <w:lang w:eastAsia="zh-CN"/>
        </w:rPr>
        <w:t xml:space="preserve">organismos, fondos y programas de las Naciones Unidas, entre ellos FAO, OACI, OIEA, FIDA, OIT, PNUD, UNESCO, ONUDI, </w:t>
      </w:r>
      <w:r w:rsidRPr="005E1671">
        <w:rPr>
          <w:rFonts w:asciiTheme="minorHAnsi" w:eastAsiaTheme="minorEastAsia" w:hAnsiTheme="minorHAnsi" w:cstheme="minorBidi"/>
          <w:szCs w:val="24"/>
          <w:lang w:eastAsia="zh-CN"/>
        </w:rPr>
        <w:t xml:space="preserve">UNICEF, </w:t>
      </w:r>
      <w:r>
        <w:rPr>
          <w:rFonts w:asciiTheme="minorHAnsi" w:eastAsiaTheme="minorEastAsia" w:hAnsiTheme="minorHAnsi" w:cstheme="minorBidi"/>
          <w:szCs w:val="24"/>
          <w:lang w:eastAsia="zh-CN"/>
        </w:rPr>
        <w:t>UPU, OMS, OMM, OMPI</w:t>
      </w:r>
      <w:r w:rsidRPr="005E1671">
        <w:rPr>
          <w:rFonts w:asciiTheme="minorHAnsi" w:eastAsiaTheme="minorEastAsia" w:hAnsiTheme="minorHAnsi" w:cstheme="minorBidi"/>
          <w:szCs w:val="24"/>
          <w:lang w:eastAsia="zh-CN"/>
        </w:rPr>
        <w:t xml:space="preserve"> y Banco Mundial.</w:t>
      </w:r>
      <w:r>
        <w:rPr>
          <w:rFonts w:asciiTheme="minorHAnsi" w:eastAsiaTheme="minorEastAsia" w:hAnsiTheme="minorHAnsi" w:cstheme="minorBidi"/>
          <w:szCs w:val="24"/>
          <w:lang w:eastAsia="zh-CN"/>
        </w:rPr>
        <w:t xml:space="preserve"> Se realizó un estudio p</w:t>
      </w:r>
      <w:r w:rsidRPr="005E1671">
        <w:rPr>
          <w:rFonts w:asciiTheme="minorHAnsi" w:eastAsiaTheme="minorEastAsia" w:hAnsiTheme="minorHAnsi" w:cstheme="minorBidi"/>
          <w:szCs w:val="24"/>
          <w:lang w:eastAsia="zh-CN"/>
        </w:rPr>
        <w:t xml:space="preserve">reliminar </w:t>
      </w:r>
      <w:r>
        <w:rPr>
          <w:rFonts w:asciiTheme="minorHAnsi" w:eastAsiaTheme="minorEastAsia" w:hAnsiTheme="minorHAnsi" w:cstheme="minorBidi"/>
          <w:szCs w:val="24"/>
          <w:lang w:eastAsia="zh-CN"/>
        </w:rPr>
        <w:t>por</w:t>
      </w:r>
      <w:r w:rsidRPr="005E1671">
        <w:rPr>
          <w:rFonts w:asciiTheme="minorHAnsi" w:eastAsiaTheme="minorEastAsia" w:hAnsiTheme="minorHAnsi" w:cstheme="minorBidi"/>
          <w:szCs w:val="24"/>
          <w:lang w:eastAsia="zh-CN"/>
        </w:rPr>
        <w:t xml:space="preserve"> Internet, </w:t>
      </w:r>
      <w:r>
        <w:rPr>
          <w:rFonts w:asciiTheme="minorHAnsi" w:eastAsiaTheme="minorEastAsia" w:hAnsiTheme="minorHAnsi" w:cstheme="minorBidi"/>
          <w:szCs w:val="24"/>
          <w:lang w:eastAsia="zh-CN"/>
        </w:rPr>
        <w:t xml:space="preserve">cuyos </w:t>
      </w:r>
      <w:r w:rsidRPr="005E1671">
        <w:rPr>
          <w:rFonts w:asciiTheme="minorHAnsi" w:eastAsiaTheme="minorEastAsia" w:hAnsiTheme="minorHAnsi" w:cstheme="minorBidi"/>
          <w:szCs w:val="24"/>
          <w:lang w:eastAsia="zh-CN"/>
        </w:rPr>
        <w:t>resultados fueron comunicados a l</w:t>
      </w:r>
      <w:r>
        <w:rPr>
          <w:rFonts w:asciiTheme="minorHAnsi" w:eastAsiaTheme="minorEastAsia" w:hAnsiTheme="minorHAnsi" w:cstheme="minorBidi"/>
          <w:szCs w:val="24"/>
          <w:lang w:eastAsia="zh-CN"/>
        </w:rPr>
        <w:t xml:space="preserve">os organismos a través </w:t>
      </w:r>
      <w:r w:rsidRPr="005E1671">
        <w:rPr>
          <w:rFonts w:asciiTheme="minorHAnsi" w:eastAsiaTheme="minorEastAsia" w:hAnsiTheme="minorHAnsi" w:cstheme="minorBidi"/>
          <w:szCs w:val="24"/>
          <w:lang w:eastAsia="zh-CN"/>
        </w:rPr>
        <w:t>de</w:t>
      </w:r>
      <w:r>
        <w:rPr>
          <w:rFonts w:asciiTheme="minorHAnsi" w:eastAsiaTheme="minorEastAsia" w:hAnsiTheme="minorHAnsi" w:cstheme="minorBidi"/>
          <w:szCs w:val="24"/>
          <w:lang w:eastAsia="zh-CN"/>
        </w:rPr>
        <w:t xml:space="preserve">l Grupo de Secretarías de los Órganos Rectores </w:t>
      </w:r>
      <w:r w:rsidRPr="005E1671">
        <w:rPr>
          <w:rFonts w:asciiTheme="minorHAnsi" w:eastAsiaTheme="minorEastAsia" w:hAnsiTheme="minorHAnsi" w:cstheme="minorBidi"/>
          <w:szCs w:val="24"/>
          <w:lang w:eastAsia="zh-CN"/>
        </w:rPr>
        <w:t>de la</w:t>
      </w:r>
      <w:r>
        <w:rPr>
          <w:rFonts w:asciiTheme="minorHAnsi" w:eastAsiaTheme="minorEastAsia" w:hAnsiTheme="minorHAnsi" w:cstheme="minorBidi"/>
          <w:szCs w:val="24"/>
          <w:lang w:eastAsia="zh-CN"/>
        </w:rPr>
        <w:t>s Naciones Unidas. H</w:t>
      </w:r>
      <w:r w:rsidRPr="005E1671">
        <w:rPr>
          <w:rFonts w:asciiTheme="minorHAnsi" w:eastAsiaTheme="minorEastAsia" w:hAnsiTheme="minorHAnsi" w:cstheme="minorBidi"/>
          <w:szCs w:val="24"/>
          <w:lang w:eastAsia="zh-CN"/>
        </w:rPr>
        <w:t>an validado la información</w:t>
      </w:r>
      <w:r>
        <w:rPr>
          <w:rFonts w:asciiTheme="minorHAnsi" w:eastAsiaTheme="minorEastAsia" w:hAnsiTheme="minorHAnsi" w:cstheme="minorBidi"/>
          <w:szCs w:val="24"/>
          <w:lang w:eastAsia="zh-CN"/>
        </w:rPr>
        <w:t xml:space="preserve"> los siguientes organismos: FAO, FIDA, UNESCO, ONUDI, OMPI y </w:t>
      </w:r>
      <w:r w:rsidRPr="005E1671">
        <w:rPr>
          <w:rFonts w:asciiTheme="minorHAnsi" w:eastAsiaTheme="minorEastAsia" w:hAnsiTheme="minorHAnsi" w:cstheme="minorBidi"/>
          <w:szCs w:val="24"/>
          <w:lang w:eastAsia="zh-CN"/>
        </w:rPr>
        <w:t>OMM.</w:t>
      </w:r>
    </w:p>
    <w:p w:rsidR="00F5724F" w:rsidRPr="007B4D84" w:rsidRDefault="00F5724F" w:rsidP="00927FFB">
      <w:pPr>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eastAsia="zh-CN"/>
        </w:rPr>
      </w:pPr>
      <w:r w:rsidRPr="007B4D84">
        <w:rPr>
          <w:rFonts w:asciiTheme="minorHAnsi" w:eastAsiaTheme="minorEastAsia" w:hAnsiTheme="minorHAnsi" w:cstheme="minorBidi"/>
          <w:szCs w:val="24"/>
          <w:lang w:eastAsia="zh-CN"/>
        </w:rPr>
        <w:t>3.3</w:t>
      </w:r>
      <w:r w:rsidRPr="007B4D84">
        <w:rPr>
          <w:rFonts w:asciiTheme="minorHAnsi" w:eastAsiaTheme="minorEastAsia" w:hAnsiTheme="minorHAnsi" w:cstheme="minorBidi"/>
          <w:szCs w:val="24"/>
          <w:lang w:eastAsia="zh-CN"/>
        </w:rPr>
        <w:tab/>
      </w:r>
      <w:r w:rsidRPr="005E1671">
        <w:rPr>
          <w:rFonts w:asciiTheme="minorHAnsi" w:eastAsiaTheme="minorEastAsia" w:hAnsiTheme="minorHAnsi" w:cstheme="minorBidi"/>
          <w:szCs w:val="24"/>
          <w:lang w:eastAsia="zh-CN"/>
        </w:rPr>
        <w:t xml:space="preserve">Con </w:t>
      </w:r>
      <w:r>
        <w:rPr>
          <w:rFonts w:asciiTheme="minorHAnsi" w:eastAsiaTheme="minorEastAsia" w:hAnsiTheme="minorHAnsi" w:cstheme="minorBidi"/>
          <w:szCs w:val="24"/>
          <w:lang w:eastAsia="zh-CN"/>
        </w:rPr>
        <w:t xml:space="preserve">miras a </w:t>
      </w:r>
      <w:r w:rsidRPr="005E1671">
        <w:rPr>
          <w:rFonts w:asciiTheme="minorHAnsi" w:eastAsiaTheme="minorEastAsia" w:hAnsiTheme="minorHAnsi" w:cstheme="minorBidi"/>
          <w:szCs w:val="24"/>
          <w:lang w:eastAsia="zh-CN"/>
        </w:rPr>
        <w:t xml:space="preserve">promover la transparencia y la rendición de cuentas y a </w:t>
      </w:r>
      <w:r>
        <w:rPr>
          <w:rFonts w:asciiTheme="minorHAnsi" w:eastAsiaTheme="minorEastAsia" w:hAnsiTheme="minorHAnsi" w:cstheme="minorBidi"/>
          <w:szCs w:val="24"/>
          <w:lang w:eastAsia="zh-CN"/>
        </w:rPr>
        <w:t xml:space="preserve">facilitar </w:t>
      </w:r>
      <w:r w:rsidRPr="005E1671">
        <w:rPr>
          <w:rFonts w:asciiTheme="minorHAnsi" w:eastAsiaTheme="minorEastAsia" w:hAnsiTheme="minorHAnsi" w:cstheme="minorBidi"/>
          <w:szCs w:val="24"/>
          <w:lang w:eastAsia="zh-CN"/>
        </w:rPr>
        <w:t xml:space="preserve">información precisa y </w:t>
      </w:r>
      <w:r>
        <w:rPr>
          <w:rFonts w:asciiTheme="minorHAnsi" w:eastAsiaTheme="minorEastAsia" w:hAnsiTheme="minorHAnsi" w:cstheme="minorBidi"/>
          <w:szCs w:val="24"/>
          <w:lang w:eastAsia="zh-CN"/>
        </w:rPr>
        <w:t>en el momento indicado a</w:t>
      </w:r>
      <w:r w:rsidRPr="005E1671">
        <w:rPr>
          <w:rFonts w:asciiTheme="minorHAnsi" w:eastAsiaTheme="minorEastAsia" w:hAnsiTheme="minorHAnsi" w:cstheme="minorBidi"/>
          <w:szCs w:val="24"/>
          <w:lang w:eastAsia="zh-CN"/>
        </w:rPr>
        <w:t xml:space="preserve"> socios </w:t>
      </w:r>
      <w:r>
        <w:rPr>
          <w:rFonts w:asciiTheme="minorHAnsi" w:eastAsiaTheme="minorEastAsia" w:hAnsiTheme="minorHAnsi" w:cstheme="minorBidi"/>
          <w:szCs w:val="24"/>
          <w:lang w:eastAsia="zh-CN"/>
        </w:rPr>
        <w:t xml:space="preserve">e </w:t>
      </w:r>
      <w:r w:rsidRPr="005E1671">
        <w:rPr>
          <w:rFonts w:asciiTheme="minorHAnsi" w:eastAsiaTheme="minorEastAsia" w:hAnsiTheme="minorHAnsi" w:cstheme="minorBidi"/>
          <w:szCs w:val="24"/>
          <w:lang w:eastAsia="zh-CN"/>
        </w:rPr>
        <w:t>interesad</w:t>
      </w:r>
      <w:r>
        <w:rPr>
          <w:rFonts w:asciiTheme="minorHAnsi" w:eastAsiaTheme="minorEastAsia" w:hAnsiTheme="minorHAnsi" w:cstheme="minorBidi"/>
          <w:szCs w:val="24"/>
          <w:lang w:eastAsia="zh-CN"/>
        </w:rPr>
        <w:t>o</w:t>
      </w:r>
      <w:r w:rsidRPr="005E1671">
        <w:rPr>
          <w:rFonts w:asciiTheme="minorHAnsi" w:eastAsiaTheme="minorEastAsia" w:hAnsiTheme="minorHAnsi" w:cstheme="minorBidi"/>
          <w:szCs w:val="24"/>
          <w:lang w:eastAsia="zh-CN"/>
        </w:rPr>
        <w:t>s</w:t>
      </w:r>
      <w:r>
        <w:rPr>
          <w:rFonts w:asciiTheme="minorHAnsi" w:eastAsiaTheme="minorEastAsia" w:hAnsiTheme="minorHAnsi" w:cstheme="minorBidi"/>
          <w:szCs w:val="24"/>
          <w:lang w:eastAsia="zh-CN"/>
        </w:rPr>
        <w:t xml:space="preserve">, incluido </w:t>
      </w:r>
      <w:r w:rsidRPr="005E1671">
        <w:rPr>
          <w:rFonts w:asciiTheme="minorHAnsi" w:eastAsiaTheme="minorEastAsia" w:hAnsiTheme="minorHAnsi" w:cstheme="minorBidi"/>
          <w:szCs w:val="24"/>
          <w:lang w:eastAsia="zh-CN"/>
        </w:rPr>
        <w:t>el público</w:t>
      </w:r>
      <w:r>
        <w:rPr>
          <w:rFonts w:asciiTheme="minorHAnsi" w:eastAsiaTheme="minorEastAsia" w:hAnsiTheme="minorHAnsi" w:cstheme="minorBidi"/>
          <w:szCs w:val="24"/>
          <w:lang w:eastAsia="zh-CN"/>
        </w:rPr>
        <w:t xml:space="preserve"> en general, numerosos </w:t>
      </w:r>
      <w:r w:rsidRPr="005E1671">
        <w:rPr>
          <w:rFonts w:asciiTheme="minorHAnsi" w:eastAsiaTheme="minorEastAsia" w:hAnsiTheme="minorHAnsi" w:cstheme="minorBidi"/>
          <w:szCs w:val="24"/>
          <w:lang w:eastAsia="zh-CN"/>
        </w:rPr>
        <w:t>organismos han adoptado</w:t>
      </w:r>
      <w:r>
        <w:rPr>
          <w:rFonts w:asciiTheme="minorHAnsi" w:eastAsiaTheme="minorEastAsia" w:hAnsiTheme="minorHAnsi" w:cstheme="minorBidi"/>
          <w:szCs w:val="24"/>
          <w:lang w:eastAsia="zh-CN"/>
        </w:rPr>
        <w:t xml:space="preserve"> en los últimos años</w:t>
      </w:r>
      <w:r w:rsidRPr="005E1671">
        <w:rPr>
          <w:rFonts w:asciiTheme="minorHAnsi" w:eastAsiaTheme="minorEastAsia" w:hAnsiTheme="minorHAnsi" w:cstheme="minorBidi"/>
          <w:szCs w:val="24"/>
          <w:lang w:eastAsia="zh-CN"/>
        </w:rPr>
        <w:t xml:space="preserve"> políticas de divulgación de </w:t>
      </w:r>
      <w:r>
        <w:rPr>
          <w:rFonts w:asciiTheme="minorHAnsi" w:eastAsiaTheme="minorEastAsia" w:hAnsiTheme="minorHAnsi" w:cstheme="minorBidi"/>
          <w:szCs w:val="24"/>
          <w:lang w:eastAsia="zh-CN"/>
        </w:rPr>
        <w:t xml:space="preserve">la </w:t>
      </w:r>
      <w:r w:rsidRPr="005E1671">
        <w:rPr>
          <w:rFonts w:asciiTheme="minorHAnsi" w:eastAsiaTheme="minorEastAsia" w:hAnsiTheme="minorHAnsi" w:cstheme="minorBidi"/>
          <w:szCs w:val="24"/>
          <w:lang w:eastAsia="zh-CN"/>
        </w:rPr>
        <w:t>información</w:t>
      </w:r>
      <w:r>
        <w:rPr>
          <w:rFonts w:asciiTheme="minorHAnsi" w:eastAsiaTheme="minorEastAsia" w:hAnsiTheme="minorHAnsi" w:cstheme="minorBidi"/>
          <w:szCs w:val="24"/>
          <w:lang w:eastAsia="zh-CN"/>
        </w:rPr>
        <w:t xml:space="preserve">. </w:t>
      </w:r>
    </w:p>
    <w:p w:rsidR="00F5724F" w:rsidRPr="008926A4" w:rsidRDefault="00801D68" w:rsidP="00927FFB">
      <w:pPr>
        <w:pStyle w:val="enumlev1"/>
        <w:tabs>
          <w:tab w:val="clear" w:pos="567"/>
          <w:tab w:val="clear" w:pos="1134"/>
          <w:tab w:val="clear" w:pos="1701"/>
          <w:tab w:val="clear" w:pos="2268"/>
          <w:tab w:val="clear" w:pos="2835"/>
        </w:tabs>
        <w:ind w:left="1134" w:hanging="425"/>
        <w:rPr>
          <w:rFonts w:asciiTheme="minorHAnsi" w:eastAsiaTheme="minorEastAsia" w:hAnsiTheme="minorHAnsi" w:cstheme="minorBidi"/>
          <w:szCs w:val="24"/>
          <w:lang w:eastAsia="zh-CN"/>
        </w:rPr>
      </w:pPr>
      <w:r w:rsidRPr="00801D68">
        <w:rPr>
          <w:rFonts w:asciiTheme="minorHAnsi" w:eastAsiaTheme="minorEastAsia" w:hAnsiTheme="minorHAnsi" w:cstheme="minorBidi"/>
          <w:szCs w:val="24"/>
          <w:lang w:eastAsia="zh-CN"/>
        </w:rPr>
        <w:t>•</w:t>
      </w:r>
      <w:r>
        <w:rPr>
          <w:rFonts w:asciiTheme="minorHAnsi" w:eastAsiaTheme="minorEastAsia" w:hAnsiTheme="minorHAnsi" w:cstheme="minorBidi"/>
          <w:szCs w:val="24"/>
          <w:lang w:eastAsia="zh-CN"/>
        </w:rPr>
        <w:tab/>
      </w:r>
      <w:r w:rsidR="00F5724F" w:rsidRPr="008926A4">
        <w:rPr>
          <w:rFonts w:asciiTheme="minorHAnsi" w:eastAsiaTheme="minorEastAsia" w:hAnsiTheme="minorHAnsi" w:cstheme="minorBidi"/>
          <w:szCs w:val="24"/>
          <w:lang w:eastAsia="zh-CN"/>
        </w:rPr>
        <w:t xml:space="preserve">Ejemplos: </w:t>
      </w:r>
      <w:hyperlink r:id="rId12" w:history="1">
        <w:r w:rsidR="00F5724F" w:rsidRPr="008926A4">
          <w:rPr>
            <w:rFonts w:asciiTheme="minorHAnsi" w:eastAsiaTheme="minorEastAsia" w:hAnsiTheme="minorHAnsi" w:cstheme="minorBidi"/>
            <w:szCs w:val="24"/>
            <w:lang w:eastAsia="zh-CN"/>
          </w:rPr>
          <w:t>OIT</w:t>
        </w:r>
      </w:hyperlink>
      <w:r w:rsidR="00F5724F" w:rsidRPr="008926A4">
        <w:rPr>
          <w:rFonts w:asciiTheme="minorHAnsi" w:eastAsiaTheme="minorEastAsia" w:hAnsiTheme="minorHAnsi" w:cstheme="minorBidi"/>
          <w:szCs w:val="24"/>
          <w:lang w:eastAsia="zh-CN"/>
        </w:rPr>
        <w:t xml:space="preserve"> (2008), </w:t>
      </w:r>
      <w:hyperlink r:id="rId13" w:history="1">
        <w:r w:rsidR="00F5724F" w:rsidRPr="008926A4">
          <w:rPr>
            <w:rFonts w:asciiTheme="minorHAnsi" w:eastAsiaTheme="minorEastAsia" w:hAnsiTheme="minorHAnsi" w:cstheme="minorBidi"/>
            <w:szCs w:val="24"/>
            <w:lang w:eastAsia="zh-CN"/>
          </w:rPr>
          <w:t>PNUD</w:t>
        </w:r>
      </w:hyperlink>
      <w:r w:rsidR="00F5724F" w:rsidRPr="008926A4">
        <w:rPr>
          <w:rFonts w:asciiTheme="minorHAnsi" w:eastAsiaTheme="minorEastAsia" w:hAnsiTheme="minorHAnsi" w:cstheme="minorBidi"/>
          <w:szCs w:val="24"/>
          <w:lang w:eastAsia="zh-CN"/>
        </w:rPr>
        <w:t xml:space="preserve"> (2008, revisada 2013), </w:t>
      </w:r>
      <w:hyperlink r:id="rId14" w:history="1">
        <w:r w:rsidR="00F5724F" w:rsidRPr="008926A4">
          <w:rPr>
            <w:rFonts w:asciiTheme="minorHAnsi" w:eastAsiaTheme="minorEastAsia" w:hAnsiTheme="minorHAnsi" w:cstheme="minorBidi"/>
            <w:szCs w:val="24"/>
            <w:lang w:eastAsia="zh-CN"/>
          </w:rPr>
          <w:t>FIDA</w:t>
        </w:r>
      </w:hyperlink>
      <w:r w:rsidR="00F5724F" w:rsidRPr="008926A4">
        <w:rPr>
          <w:rFonts w:asciiTheme="minorHAnsi" w:eastAsiaTheme="minorEastAsia" w:hAnsiTheme="minorHAnsi" w:cstheme="minorBidi"/>
          <w:szCs w:val="24"/>
          <w:lang w:eastAsia="zh-CN"/>
        </w:rPr>
        <w:t xml:space="preserve"> (2010), </w:t>
      </w:r>
      <w:hyperlink r:id="rId15" w:history="1">
        <w:r w:rsidR="00F5724F" w:rsidRPr="008926A4">
          <w:rPr>
            <w:rFonts w:asciiTheme="minorHAnsi" w:eastAsiaTheme="minorEastAsia" w:hAnsiTheme="minorHAnsi" w:cstheme="minorBidi"/>
            <w:szCs w:val="24"/>
            <w:lang w:eastAsia="zh-CN"/>
          </w:rPr>
          <w:t>UNICEF</w:t>
        </w:r>
      </w:hyperlink>
      <w:r w:rsidR="00F5724F" w:rsidRPr="008926A4">
        <w:rPr>
          <w:rFonts w:asciiTheme="minorHAnsi" w:eastAsiaTheme="minorEastAsia" w:hAnsiTheme="minorHAnsi" w:cstheme="minorBidi"/>
          <w:szCs w:val="24"/>
          <w:lang w:eastAsia="zh-CN"/>
        </w:rPr>
        <w:t xml:space="preserve"> (2010, actualizada</w:t>
      </w:r>
      <w:r>
        <w:rPr>
          <w:rFonts w:asciiTheme="minorHAnsi" w:eastAsiaTheme="minorEastAsia" w:hAnsiTheme="minorHAnsi" w:cstheme="minorBidi"/>
          <w:szCs w:val="24"/>
          <w:lang w:eastAsia="zh-CN"/>
        </w:rPr>
        <w:t> </w:t>
      </w:r>
      <w:r w:rsidR="00F5724F" w:rsidRPr="008926A4">
        <w:rPr>
          <w:rFonts w:asciiTheme="minorHAnsi" w:eastAsiaTheme="minorEastAsia" w:hAnsiTheme="minorHAnsi" w:cstheme="minorBidi"/>
          <w:szCs w:val="24"/>
          <w:lang w:eastAsia="zh-CN"/>
        </w:rPr>
        <w:t xml:space="preserve">2011), </w:t>
      </w:r>
      <w:hyperlink r:id="rId16" w:history="1">
        <w:r w:rsidR="00F5724F" w:rsidRPr="008926A4">
          <w:rPr>
            <w:rFonts w:asciiTheme="minorHAnsi" w:eastAsiaTheme="minorEastAsia" w:hAnsiTheme="minorHAnsi" w:cstheme="minorBidi"/>
            <w:szCs w:val="24"/>
            <w:lang w:eastAsia="zh-CN"/>
          </w:rPr>
          <w:t>Ban</w:t>
        </w:r>
        <w:r w:rsidR="00F5724F">
          <w:rPr>
            <w:rFonts w:asciiTheme="minorHAnsi" w:eastAsiaTheme="minorEastAsia" w:hAnsiTheme="minorHAnsi" w:cstheme="minorBidi"/>
            <w:szCs w:val="24"/>
            <w:lang w:eastAsia="zh-CN"/>
          </w:rPr>
          <w:t>co Mundial</w:t>
        </w:r>
      </w:hyperlink>
      <w:r w:rsidR="00F5724F" w:rsidRPr="008926A4">
        <w:rPr>
          <w:rFonts w:asciiTheme="minorHAnsi" w:eastAsiaTheme="minorEastAsia" w:hAnsiTheme="minorHAnsi" w:cstheme="minorBidi"/>
          <w:szCs w:val="24"/>
          <w:lang w:eastAsia="zh-CN"/>
        </w:rPr>
        <w:t xml:space="preserve"> (2010, revis</w:t>
      </w:r>
      <w:r w:rsidR="00F5724F">
        <w:rPr>
          <w:rFonts w:asciiTheme="minorHAnsi" w:eastAsiaTheme="minorEastAsia" w:hAnsiTheme="minorHAnsi" w:cstheme="minorBidi"/>
          <w:szCs w:val="24"/>
          <w:lang w:eastAsia="zh-CN"/>
        </w:rPr>
        <w:t>ada</w:t>
      </w:r>
      <w:r w:rsidR="00F5724F" w:rsidRPr="008926A4">
        <w:rPr>
          <w:rFonts w:asciiTheme="minorHAnsi" w:eastAsiaTheme="minorEastAsia" w:hAnsiTheme="minorHAnsi" w:cstheme="minorBidi"/>
          <w:szCs w:val="24"/>
          <w:lang w:eastAsia="zh-CN"/>
        </w:rPr>
        <w:t xml:space="preserve"> 2013)</w:t>
      </w:r>
      <w:r w:rsidR="00F5724F">
        <w:rPr>
          <w:rFonts w:asciiTheme="minorHAnsi" w:eastAsiaTheme="minorEastAsia" w:hAnsiTheme="minorHAnsi" w:cstheme="minorBidi"/>
          <w:szCs w:val="24"/>
          <w:lang w:eastAsia="zh-CN"/>
        </w:rPr>
        <w:t>, PMA</w:t>
      </w:r>
      <w:r w:rsidR="00F5724F" w:rsidRPr="008926A4">
        <w:rPr>
          <w:rFonts w:asciiTheme="minorHAnsi" w:eastAsiaTheme="minorEastAsia" w:hAnsiTheme="minorHAnsi" w:cstheme="minorBidi"/>
          <w:szCs w:val="24"/>
          <w:lang w:eastAsia="zh-CN"/>
        </w:rPr>
        <w:t xml:space="preserve"> (2010), UNOPS (2012)</w:t>
      </w:r>
      <w:r w:rsidR="00F5724F">
        <w:rPr>
          <w:rStyle w:val="FootnoteReference"/>
          <w:rFonts w:eastAsiaTheme="minorEastAsia" w:cstheme="minorBidi"/>
          <w:szCs w:val="24"/>
          <w:lang w:val="en-US" w:eastAsia="zh-CN"/>
        </w:rPr>
        <w:footnoteReference w:id="3"/>
      </w:r>
      <w:r w:rsidR="00F5724F" w:rsidRPr="008926A4">
        <w:rPr>
          <w:rFonts w:asciiTheme="minorHAnsi" w:eastAsiaTheme="minorEastAsia" w:hAnsiTheme="minorHAnsi" w:cstheme="minorBidi"/>
          <w:szCs w:val="24"/>
          <w:lang w:eastAsia="zh-CN"/>
        </w:rPr>
        <w:t xml:space="preserve"> </w:t>
      </w:r>
    </w:p>
    <w:p w:rsidR="00F5724F" w:rsidRPr="00580775" w:rsidRDefault="00F5724F" w:rsidP="00927FFB">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Es</w:t>
      </w:r>
      <w:r w:rsidRPr="00580775">
        <w:rPr>
          <w:rFonts w:asciiTheme="minorHAnsi" w:eastAsiaTheme="minorEastAsia" w:hAnsiTheme="minorHAnsi" w:cstheme="minorBidi"/>
          <w:szCs w:val="24"/>
          <w:lang w:eastAsia="zh-CN"/>
        </w:rPr>
        <w:t xml:space="preserve">as políticas </w:t>
      </w:r>
      <w:r>
        <w:rPr>
          <w:rFonts w:asciiTheme="minorHAnsi" w:eastAsiaTheme="minorEastAsia" w:hAnsiTheme="minorHAnsi" w:cstheme="minorBidi"/>
          <w:szCs w:val="24"/>
          <w:lang w:eastAsia="zh-CN"/>
        </w:rPr>
        <w:t xml:space="preserve">parten del principio de </w:t>
      </w:r>
      <w:r w:rsidRPr="00580775">
        <w:rPr>
          <w:rFonts w:asciiTheme="minorHAnsi" w:eastAsiaTheme="minorEastAsia" w:hAnsiTheme="minorHAnsi" w:cstheme="minorBidi"/>
          <w:szCs w:val="24"/>
          <w:lang w:eastAsia="zh-CN"/>
        </w:rPr>
        <w:t xml:space="preserve">la </w:t>
      </w:r>
      <w:r w:rsidR="00FF608E">
        <w:rPr>
          <w:rFonts w:asciiTheme="minorHAnsi" w:eastAsiaTheme="minorEastAsia" w:hAnsiTheme="minorHAnsi" w:cstheme="minorBidi"/>
          <w:szCs w:val="24"/>
          <w:lang w:eastAsia="zh-CN"/>
        </w:rPr>
        <w:t>divulgación íntegra</w:t>
      </w:r>
      <w:r w:rsidRPr="00580775">
        <w:rPr>
          <w:rFonts w:asciiTheme="minorHAnsi" w:eastAsiaTheme="minorEastAsia" w:hAnsiTheme="minorHAnsi" w:cstheme="minorBidi"/>
          <w:szCs w:val="24"/>
          <w:lang w:eastAsia="zh-CN"/>
        </w:rPr>
        <w:t xml:space="preserve"> </w:t>
      </w:r>
      <w:r>
        <w:rPr>
          <w:rFonts w:asciiTheme="minorHAnsi" w:eastAsiaTheme="minorEastAsia" w:hAnsiTheme="minorHAnsi" w:cstheme="minorBidi"/>
          <w:szCs w:val="24"/>
          <w:lang w:eastAsia="zh-CN"/>
        </w:rPr>
        <w:t>de</w:t>
      </w:r>
      <w:r w:rsidRPr="00580775">
        <w:rPr>
          <w:rFonts w:asciiTheme="minorHAnsi" w:eastAsiaTheme="minorEastAsia" w:hAnsiTheme="minorHAnsi" w:cstheme="minorBidi"/>
          <w:szCs w:val="24"/>
          <w:lang w:eastAsia="zh-CN"/>
        </w:rPr>
        <w:t xml:space="preserve"> la información y los documentos generados por la organización. En t</w:t>
      </w:r>
      <w:r>
        <w:rPr>
          <w:rFonts w:asciiTheme="minorHAnsi" w:eastAsiaTheme="minorEastAsia" w:hAnsiTheme="minorHAnsi" w:cstheme="minorBidi"/>
          <w:szCs w:val="24"/>
          <w:lang w:eastAsia="zh-CN"/>
        </w:rPr>
        <w:t xml:space="preserve">odos los casos, sin embargo, ese principio </w:t>
      </w:r>
      <w:r w:rsidRPr="00580775">
        <w:rPr>
          <w:rFonts w:asciiTheme="minorHAnsi" w:eastAsiaTheme="minorEastAsia" w:hAnsiTheme="minorHAnsi" w:cstheme="minorBidi"/>
          <w:szCs w:val="24"/>
          <w:lang w:eastAsia="zh-CN"/>
        </w:rPr>
        <w:t>está sujet</w:t>
      </w:r>
      <w:r>
        <w:rPr>
          <w:rFonts w:asciiTheme="minorHAnsi" w:eastAsiaTheme="minorEastAsia" w:hAnsiTheme="minorHAnsi" w:cstheme="minorBidi"/>
          <w:szCs w:val="24"/>
          <w:lang w:eastAsia="zh-CN"/>
        </w:rPr>
        <w:t>o</w:t>
      </w:r>
      <w:r w:rsidRPr="00580775">
        <w:rPr>
          <w:rFonts w:asciiTheme="minorHAnsi" w:eastAsiaTheme="minorEastAsia" w:hAnsiTheme="minorHAnsi" w:cstheme="minorBidi"/>
          <w:szCs w:val="24"/>
          <w:lang w:eastAsia="zh-CN"/>
        </w:rPr>
        <w:t xml:space="preserve"> a excepciones </w:t>
      </w:r>
      <w:r>
        <w:rPr>
          <w:rFonts w:asciiTheme="minorHAnsi" w:eastAsiaTheme="minorEastAsia" w:hAnsiTheme="minorHAnsi" w:cstheme="minorBidi"/>
          <w:szCs w:val="24"/>
          <w:lang w:eastAsia="zh-CN"/>
        </w:rPr>
        <w:t xml:space="preserve">con respecto a </w:t>
      </w:r>
      <w:r w:rsidRPr="00580775">
        <w:rPr>
          <w:rFonts w:asciiTheme="minorHAnsi" w:eastAsiaTheme="minorEastAsia" w:hAnsiTheme="minorHAnsi" w:cstheme="minorBidi"/>
          <w:szCs w:val="24"/>
          <w:lang w:eastAsia="zh-CN"/>
        </w:rPr>
        <w:t xml:space="preserve">categorías </w:t>
      </w:r>
      <w:r>
        <w:rPr>
          <w:rFonts w:asciiTheme="minorHAnsi" w:eastAsiaTheme="minorEastAsia" w:hAnsiTheme="minorHAnsi" w:cstheme="minorBidi"/>
          <w:szCs w:val="24"/>
          <w:lang w:eastAsia="zh-CN"/>
        </w:rPr>
        <w:t xml:space="preserve">de información </w:t>
      </w:r>
      <w:r w:rsidRPr="00580775">
        <w:rPr>
          <w:rFonts w:asciiTheme="minorHAnsi" w:eastAsiaTheme="minorEastAsia" w:hAnsiTheme="minorHAnsi" w:cstheme="minorBidi"/>
          <w:szCs w:val="24"/>
          <w:lang w:eastAsia="zh-CN"/>
        </w:rPr>
        <w:t>bien definidas que se consideran confidenciales y</w:t>
      </w:r>
      <w:r>
        <w:rPr>
          <w:rFonts w:asciiTheme="minorHAnsi" w:eastAsiaTheme="minorEastAsia" w:hAnsiTheme="minorHAnsi" w:cstheme="minorBidi"/>
          <w:szCs w:val="24"/>
          <w:lang w:eastAsia="zh-CN"/>
        </w:rPr>
        <w:t>,</w:t>
      </w:r>
      <w:r w:rsidRPr="00580775">
        <w:rPr>
          <w:rFonts w:asciiTheme="minorHAnsi" w:eastAsiaTheme="minorEastAsia" w:hAnsiTheme="minorHAnsi" w:cstheme="minorBidi"/>
          <w:szCs w:val="24"/>
          <w:lang w:eastAsia="zh-CN"/>
        </w:rPr>
        <w:t xml:space="preserve"> por lo tanto</w:t>
      </w:r>
      <w:r>
        <w:rPr>
          <w:rFonts w:asciiTheme="minorHAnsi" w:eastAsiaTheme="minorEastAsia" w:hAnsiTheme="minorHAnsi" w:cstheme="minorBidi"/>
          <w:szCs w:val="24"/>
          <w:lang w:eastAsia="zh-CN"/>
        </w:rPr>
        <w:t>,</w:t>
      </w:r>
      <w:r w:rsidRPr="00580775">
        <w:rPr>
          <w:rFonts w:asciiTheme="minorHAnsi" w:eastAsiaTheme="minorEastAsia" w:hAnsiTheme="minorHAnsi" w:cstheme="minorBidi"/>
          <w:szCs w:val="24"/>
          <w:lang w:eastAsia="zh-CN"/>
        </w:rPr>
        <w:t xml:space="preserve"> no disponible</w:t>
      </w:r>
      <w:r>
        <w:rPr>
          <w:rFonts w:asciiTheme="minorHAnsi" w:eastAsiaTheme="minorEastAsia" w:hAnsiTheme="minorHAnsi" w:cstheme="minorBidi"/>
          <w:szCs w:val="24"/>
          <w:lang w:eastAsia="zh-CN"/>
        </w:rPr>
        <w:t>s</w:t>
      </w:r>
      <w:r w:rsidRPr="00580775">
        <w:rPr>
          <w:rFonts w:asciiTheme="minorHAnsi" w:eastAsiaTheme="minorEastAsia" w:hAnsiTheme="minorHAnsi" w:cstheme="minorBidi"/>
          <w:szCs w:val="24"/>
          <w:lang w:eastAsia="zh-CN"/>
        </w:rPr>
        <w:t xml:space="preserve"> </w:t>
      </w:r>
      <w:r>
        <w:rPr>
          <w:rFonts w:asciiTheme="minorHAnsi" w:eastAsiaTheme="minorEastAsia" w:hAnsiTheme="minorHAnsi" w:cstheme="minorBidi"/>
          <w:szCs w:val="24"/>
          <w:lang w:eastAsia="zh-CN"/>
        </w:rPr>
        <w:t>a</w:t>
      </w:r>
      <w:r w:rsidRPr="00580775">
        <w:rPr>
          <w:rFonts w:asciiTheme="minorHAnsi" w:eastAsiaTheme="minorEastAsia" w:hAnsiTheme="minorHAnsi" w:cstheme="minorBidi"/>
          <w:szCs w:val="24"/>
          <w:lang w:eastAsia="zh-CN"/>
        </w:rPr>
        <w:t>l público.</w:t>
      </w:r>
    </w:p>
    <w:p w:rsidR="00F5724F" w:rsidRPr="00F41A18" w:rsidRDefault="00F5724F" w:rsidP="00927FFB">
      <w:pPr>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eastAsia="zh-CN"/>
        </w:rPr>
      </w:pPr>
      <w:r w:rsidRPr="0057238A">
        <w:rPr>
          <w:rFonts w:asciiTheme="minorHAnsi" w:eastAsiaTheme="minorEastAsia" w:hAnsiTheme="minorHAnsi" w:cstheme="minorBidi"/>
          <w:szCs w:val="24"/>
          <w:lang w:eastAsia="zh-CN"/>
        </w:rPr>
        <w:t>3.4</w:t>
      </w:r>
      <w:r w:rsidRPr="0057238A">
        <w:rPr>
          <w:rFonts w:asciiTheme="minorHAnsi" w:eastAsiaTheme="minorEastAsia" w:hAnsiTheme="minorHAnsi" w:cstheme="minorBidi"/>
          <w:szCs w:val="24"/>
          <w:lang w:eastAsia="zh-CN"/>
        </w:rPr>
        <w:tab/>
        <w:t xml:space="preserve">Otras organizaciones no disponen de una política oficial de acceso/divulgación, pero facilitan regularmente al público información relativa a sus actividades y su gobernanza. </w:t>
      </w:r>
      <w:r>
        <w:rPr>
          <w:rFonts w:asciiTheme="minorHAnsi" w:eastAsiaTheme="minorEastAsia" w:hAnsiTheme="minorHAnsi" w:cstheme="minorBidi"/>
          <w:szCs w:val="24"/>
          <w:lang w:eastAsia="zh-CN"/>
        </w:rPr>
        <w:t>E</w:t>
      </w:r>
      <w:r w:rsidRPr="00580775">
        <w:rPr>
          <w:rFonts w:asciiTheme="minorHAnsi" w:eastAsiaTheme="minorEastAsia" w:hAnsiTheme="minorHAnsi" w:cstheme="minorBidi"/>
          <w:szCs w:val="24"/>
          <w:lang w:eastAsia="zh-CN"/>
        </w:rPr>
        <w:t xml:space="preserve">n todos </w:t>
      </w:r>
      <w:r w:rsidRPr="00580775">
        <w:rPr>
          <w:rFonts w:asciiTheme="minorHAnsi" w:eastAsiaTheme="minorEastAsia" w:hAnsiTheme="minorHAnsi" w:cstheme="minorBidi"/>
          <w:szCs w:val="24"/>
          <w:lang w:eastAsia="zh-CN"/>
        </w:rPr>
        <w:lastRenderedPageBreak/>
        <w:t xml:space="preserve">los casos, </w:t>
      </w:r>
      <w:r>
        <w:rPr>
          <w:rFonts w:asciiTheme="minorHAnsi" w:eastAsiaTheme="minorEastAsia" w:hAnsiTheme="minorHAnsi" w:cstheme="minorBidi"/>
          <w:szCs w:val="24"/>
          <w:lang w:eastAsia="zh-CN"/>
        </w:rPr>
        <w:t xml:space="preserve">se observan </w:t>
      </w:r>
      <w:r w:rsidRPr="00580775">
        <w:rPr>
          <w:rFonts w:asciiTheme="minorHAnsi" w:eastAsiaTheme="minorEastAsia" w:hAnsiTheme="minorHAnsi" w:cstheme="minorBidi"/>
          <w:szCs w:val="24"/>
          <w:lang w:eastAsia="zh-CN"/>
        </w:rPr>
        <w:t xml:space="preserve">las mismas excepciones </w:t>
      </w:r>
      <w:r>
        <w:rPr>
          <w:rFonts w:asciiTheme="minorHAnsi" w:eastAsiaTheme="minorEastAsia" w:hAnsiTheme="minorHAnsi" w:cstheme="minorBidi"/>
          <w:szCs w:val="24"/>
          <w:lang w:eastAsia="zh-CN"/>
        </w:rPr>
        <w:t xml:space="preserve">en materia de </w:t>
      </w:r>
      <w:r w:rsidRPr="00580775">
        <w:rPr>
          <w:rFonts w:asciiTheme="minorHAnsi" w:eastAsiaTheme="minorEastAsia" w:hAnsiTheme="minorHAnsi" w:cstheme="minorBidi"/>
          <w:szCs w:val="24"/>
          <w:lang w:eastAsia="zh-CN"/>
        </w:rPr>
        <w:t xml:space="preserve">acceso </w:t>
      </w:r>
      <w:r>
        <w:rPr>
          <w:rFonts w:asciiTheme="minorHAnsi" w:eastAsiaTheme="minorEastAsia" w:hAnsiTheme="minorHAnsi" w:cstheme="minorBidi"/>
          <w:szCs w:val="24"/>
          <w:lang w:eastAsia="zh-CN"/>
        </w:rPr>
        <w:t>q</w:t>
      </w:r>
      <w:r w:rsidRPr="00580775">
        <w:rPr>
          <w:rFonts w:asciiTheme="minorHAnsi" w:eastAsiaTheme="minorEastAsia" w:hAnsiTheme="minorHAnsi" w:cstheme="minorBidi"/>
          <w:szCs w:val="24"/>
          <w:lang w:eastAsia="zh-CN"/>
        </w:rPr>
        <w:t xml:space="preserve">ue </w:t>
      </w:r>
      <w:r>
        <w:rPr>
          <w:rFonts w:asciiTheme="minorHAnsi" w:eastAsiaTheme="minorEastAsia" w:hAnsiTheme="minorHAnsi" w:cstheme="minorBidi"/>
          <w:szCs w:val="24"/>
          <w:lang w:eastAsia="zh-CN"/>
        </w:rPr>
        <w:t>las correspondientes a las políticas oficiales de acceso</w:t>
      </w:r>
      <w:r w:rsidRPr="00580775">
        <w:rPr>
          <w:rFonts w:asciiTheme="minorHAnsi" w:eastAsiaTheme="minorEastAsia" w:hAnsiTheme="minorHAnsi" w:cstheme="minorBidi"/>
          <w:szCs w:val="24"/>
          <w:lang w:eastAsia="zh-CN"/>
        </w:rPr>
        <w:t xml:space="preserve">/divulgación </w:t>
      </w:r>
      <w:r>
        <w:rPr>
          <w:rFonts w:asciiTheme="minorHAnsi" w:eastAsiaTheme="minorEastAsia" w:hAnsiTheme="minorHAnsi" w:cstheme="minorBidi"/>
          <w:szCs w:val="24"/>
          <w:lang w:eastAsia="zh-CN"/>
        </w:rPr>
        <w:t>d</w:t>
      </w:r>
      <w:r w:rsidRPr="00580775">
        <w:rPr>
          <w:rFonts w:asciiTheme="minorHAnsi" w:eastAsiaTheme="minorEastAsia" w:hAnsiTheme="minorHAnsi" w:cstheme="minorBidi"/>
          <w:szCs w:val="24"/>
          <w:lang w:eastAsia="zh-CN"/>
        </w:rPr>
        <w:t>escrit</w:t>
      </w:r>
      <w:r>
        <w:rPr>
          <w:rFonts w:asciiTheme="minorHAnsi" w:eastAsiaTheme="minorEastAsia" w:hAnsiTheme="minorHAnsi" w:cstheme="minorBidi"/>
          <w:szCs w:val="24"/>
          <w:lang w:eastAsia="zh-CN"/>
        </w:rPr>
        <w:t>a</w:t>
      </w:r>
      <w:r w:rsidRPr="00580775">
        <w:rPr>
          <w:rFonts w:asciiTheme="minorHAnsi" w:eastAsiaTheme="minorEastAsia" w:hAnsiTheme="minorHAnsi" w:cstheme="minorBidi"/>
          <w:szCs w:val="24"/>
          <w:lang w:eastAsia="zh-CN"/>
        </w:rPr>
        <w:t xml:space="preserve">s en el punto 3.2 </w:t>
      </w:r>
      <w:r>
        <w:rPr>
          <w:rFonts w:asciiTheme="minorHAnsi" w:eastAsiaTheme="minorEastAsia" w:hAnsiTheme="minorHAnsi" w:cstheme="minorBidi"/>
          <w:i/>
          <w:iCs/>
          <w:szCs w:val="24"/>
          <w:lang w:eastAsia="zh-CN"/>
        </w:rPr>
        <w:t>supra</w:t>
      </w:r>
      <w:r>
        <w:rPr>
          <w:rFonts w:asciiTheme="minorHAnsi" w:eastAsiaTheme="minorEastAsia" w:hAnsiTheme="minorHAnsi" w:cstheme="minorBidi"/>
          <w:szCs w:val="24"/>
          <w:lang w:eastAsia="zh-CN"/>
        </w:rPr>
        <w:t xml:space="preserve">. </w:t>
      </w:r>
    </w:p>
    <w:p w:rsidR="00F5724F" w:rsidRPr="0057238A" w:rsidRDefault="00801D68" w:rsidP="00AF55F3">
      <w:pPr>
        <w:pStyle w:val="enumlev1"/>
        <w:tabs>
          <w:tab w:val="clear" w:pos="567"/>
          <w:tab w:val="clear" w:pos="1134"/>
          <w:tab w:val="clear" w:pos="1701"/>
          <w:tab w:val="clear" w:pos="2268"/>
          <w:tab w:val="clear" w:pos="2835"/>
        </w:tabs>
        <w:ind w:left="1134" w:hanging="425"/>
        <w:rPr>
          <w:rFonts w:eastAsiaTheme="minorEastAsia"/>
          <w:lang w:eastAsia="zh-CN"/>
        </w:rPr>
      </w:pPr>
      <w:r w:rsidRPr="00801D68">
        <w:rPr>
          <w:rFonts w:eastAsiaTheme="minorEastAsia"/>
          <w:lang w:eastAsia="zh-CN"/>
        </w:rPr>
        <w:t>•</w:t>
      </w:r>
      <w:r>
        <w:rPr>
          <w:rFonts w:eastAsiaTheme="minorEastAsia"/>
          <w:lang w:eastAsia="zh-CN"/>
        </w:rPr>
        <w:tab/>
      </w:r>
      <w:r w:rsidR="00F5724F" w:rsidRPr="0057238A">
        <w:rPr>
          <w:rFonts w:eastAsiaTheme="minorEastAsia"/>
          <w:lang w:eastAsia="zh-CN"/>
        </w:rPr>
        <w:t xml:space="preserve">Ejemplos: OMPI, UNESCO, OMS, OIEA, FAO </w:t>
      </w:r>
    </w:p>
    <w:p w:rsidR="00F5724F" w:rsidRPr="00F41A18" w:rsidRDefault="00F5724F" w:rsidP="00927FFB">
      <w:pPr>
        <w:tabs>
          <w:tab w:val="clear" w:pos="567"/>
          <w:tab w:val="clear" w:pos="1134"/>
          <w:tab w:val="clear" w:pos="1701"/>
          <w:tab w:val="clear" w:pos="2268"/>
          <w:tab w:val="clear" w:pos="2835"/>
        </w:tabs>
        <w:overflowPunct/>
        <w:autoSpaceDE/>
        <w:autoSpaceDN/>
        <w:adjustRightInd/>
        <w:snapToGrid w:val="0"/>
        <w:spacing w:before="160" w:after="120"/>
        <w:textAlignment w:val="auto"/>
        <w:rPr>
          <w:rFonts w:asciiTheme="minorHAnsi" w:eastAsiaTheme="minorEastAsia" w:hAnsiTheme="minorHAnsi" w:cstheme="minorBidi"/>
          <w:szCs w:val="24"/>
          <w:lang w:eastAsia="zh-CN"/>
        </w:rPr>
      </w:pPr>
      <w:r w:rsidRPr="008C7348">
        <w:rPr>
          <w:rFonts w:asciiTheme="minorHAnsi" w:eastAsiaTheme="minorEastAsia" w:hAnsiTheme="minorHAnsi" w:cstheme="minorBidi"/>
          <w:szCs w:val="24"/>
          <w:lang w:eastAsia="zh-CN"/>
        </w:rPr>
        <w:t>3.5</w:t>
      </w:r>
      <w:r w:rsidRPr="008C7348">
        <w:rPr>
          <w:rFonts w:asciiTheme="minorHAnsi" w:eastAsiaTheme="minorEastAsia" w:hAnsiTheme="minorHAnsi" w:cstheme="minorBidi"/>
          <w:szCs w:val="24"/>
          <w:lang w:eastAsia="zh-CN"/>
        </w:rPr>
        <w:tab/>
        <w:t>En 2014, la Secretaría llevó a cabo una encuesta sobre políticas y prácticas de divulgación de</w:t>
      </w:r>
      <w:r>
        <w:rPr>
          <w:rFonts w:asciiTheme="minorHAnsi" w:eastAsiaTheme="minorEastAsia" w:hAnsiTheme="minorHAnsi" w:cstheme="minorBidi"/>
          <w:szCs w:val="24"/>
          <w:lang w:eastAsia="zh-CN"/>
        </w:rPr>
        <w:t xml:space="preserve"> la</w:t>
      </w:r>
      <w:r w:rsidRPr="008C7348">
        <w:rPr>
          <w:rFonts w:asciiTheme="minorHAnsi" w:eastAsiaTheme="minorEastAsia" w:hAnsiTheme="minorHAnsi" w:cstheme="minorBidi"/>
          <w:szCs w:val="24"/>
          <w:lang w:eastAsia="zh-CN"/>
        </w:rPr>
        <w:t xml:space="preserve"> información en cinco organismos de normalización, entre ellos ETSI, IEEE, IETF, ISC e ISO. </w:t>
      </w:r>
      <w:r>
        <w:rPr>
          <w:rFonts w:asciiTheme="minorHAnsi" w:eastAsiaTheme="minorEastAsia" w:hAnsiTheme="minorHAnsi" w:cstheme="minorBidi"/>
          <w:szCs w:val="24"/>
          <w:lang w:eastAsia="zh-CN"/>
        </w:rPr>
        <w:t>Ninguna de es</w:t>
      </w:r>
      <w:r w:rsidRPr="00C47851">
        <w:rPr>
          <w:rFonts w:asciiTheme="minorHAnsi" w:eastAsiaTheme="minorEastAsia" w:hAnsiTheme="minorHAnsi" w:cstheme="minorBidi"/>
          <w:szCs w:val="24"/>
          <w:lang w:eastAsia="zh-CN"/>
        </w:rPr>
        <w:t xml:space="preserve">as organizaciones </w:t>
      </w:r>
      <w:r>
        <w:rPr>
          <w:rFonts w:asciiTheme="minorHAnsi" w:eastAsiaTheme="minorEastAsia" w:hAnsiTheme="minorHAnsi" w:cstheme="minorBidi"/>
          <w:szCs w:val="24"/>
          <w:lang w:eastAsia="zh-CN"/>
        </w:rPr>
        <w:t xml:space="preserve">cuenta con una política oficial de </w:t>
      </w:r>
      <w:r w:rsidRPr="00C47851">
        <w:rPr>
          <w:rFonts w:asciiTheme="minorHAnsi" w:eastAsiaTheme="minorEastAsia" w:hAnsiTheme="minorHAnsi" w:cstheme="minorBidi"/>
          <w:szCs w:val="24"/>
          <w:lang w:eastAsia="zh-CN"/>
        </w:rPr>
        <w:t>acceso/divulgación</w:t>
      </w:r>
      <w:r>
        <w:rPr>
          <w:rFonts w:asciiTheme="minorHAnsi" w:eastAsiaTheme="minorEastAsia" w:hAnsiTheme="minorHAnsi" w:cstheme="minorBidi"/>
          <w:szCs w:val="24"/>
          <w:lang w:eastAsia="zh-CN"/>
        </w:rPr>
        <w:t xml:space="preserve"> pero todas ella</w:t>
      </w:r>
      <w:r w:rsidRPr="00C47851">
        <w:rPr>
          <w:rFonts w:asciiTheme="minorHAnsi" w:eastAsiaTheme="minorEastAsia" w:hAnsiTheme="minorHAnsi" w:cstheme="minorBidi"/>
          <w:szCs w:val="24"/>
          <w:lang w:eastAsia="zh-CN"/>
        </w:rPr>
        <w:t>s publica</w:t>
      </w:r>
      <w:r>
        <w:rPr>
          <w:rFonts w:asciiTheme="minorHAnsi" w:eastAsiaTheme="minorEastAsia" w:hAnsiTheme="minorHAnsi" w:cstheme="minorBidi"/>
          <w:szCs w:val="24"/>
          <w:lang w:eastAsia="zh-CN"/>
        </w:rPr>
        <w:t>n</w:t>
      </w:r>
      <w:r w:rsidRPr="00C47851">
        <w:rPr>
          <w:rFonts w:asciiTheme="minorHAnsi" w:eastAsiaTheme="minorEastAsia" w:hAnsiTheme="minorHAnsi" w:cstheme="minorBidi"/>
          <w:szCs w:val="24"/>
          <w:lang w:eastAsia="zh-CN"/>
        </w:rPr>
        <w:t xml:space="preserve"> regularmente </w:t>
      </w:r>
      <w:r>
        <w:rPr>
          <w:rFonts w:asciiTheme="minorHAnsi" w:eastAsiaTheme="minorEastAsia" w:hAnsiTheme="minorHAnsi" w:cstheme="minorBidi"/>
          <w:szCs w:val="24"/>
          <w:lang w:eastAsia="zh-CN"/>
        </w:rPr>
        <w:t xml:space="preserve">en su página web </w:t>
      </w:r>
      <w:r w:rsidRPr="00C47851">
        <w:rPr>
          <w:rFonts w:asciiTheme="minorHAnsi" w:eastAsiaTheme="minorEastAsia" w:hAnsiTheme="minorHAnsi" w:cstheme="minorBidi"/>
          <w:szCs w:val="24"/>
          <w:lang w:eastAsia="zh-CN"/>
        </w:rPr>
        <w:t>una amplia variedad de información sobre la organización y sus actividades</w:t>
      </w:r>
      <w:r>
        <w:rPr>
          <w:rFonts w:asciiTheme="minorHAnsi" w:eastAsiaTheme="minorEastAsia" w:hAnsiTheme="minorHAnsi" w:cstheme="minorBidi"/>
          <w:szCs w:val="24"/>
          <w:lang w:eastAsia="zh-CN"/>
        </w:rPr>
        <w:t xml:space="preserve">. </w:t>
      </w:r>
      <w:r w:rsidRPr="00C47851">
        <w:rPr>
          <w:rFonts w:asciiTheme="minorHAnsi" w:eastAsiaTheme="minorEastAsia" w:hAnsiTheme="minorHAnsi" w:cstheme="minorBidi"/>
          <w:szCs w:val="24"/>
          <w:lang w:eastAsia="zh-CN"/>
        </w:rPr>
        <w:t>Con</w:t>
      </w:r>
      <w:r>
        <w:rPr>
          <w:rFonts w:asciiTheme="minorHAnsi" w:eastAsiaTheme="minorEastAsia" w:hAnsiTheme="minorHAnsi" w:cstheme="minorBidi"/>
          <w:szCs w:val="24"/>
          <w:lang w:eastAsia="zh-CN"/>
        </w:rPr>
        <w:t xml:space="preserve"> respecto a la información relativa a la elaboración de normas y a los </w:t>
      </w:r>
      <w:r w:rsidRPr="00C47851">
        <w:rPr>
          <w:rFonts w:asciiTheme="minorHAnsi" w:eastAsiaTheme="minorEastAsia" w:hAnsiTheme="minorHAnsi" w:cstheme="minorBidi"/>
          <w:szCs w:val="24"/>
          <w:lang w:eastAsia="zh-CN"/>
        </w:rPr>
        <w:t xml:space="preserve">documentos de </w:t>
      </w:r>
      <w:r>
        <w:rPr>
          <w:rFonts w:asciiTheme="minorHAnsi" w:eastAsiaTheme="minorEastAsia" w:hAnsiTheme="minorHAnsi" w:cstheme="minorBidi"/>
          <w:szCs w:val="24"/>
          <w:lang w:eastAsia="zh-CN"/>
        </w:rPr>
        <w:t xml:space="preserve">grupos de trabajo sobre elaboración de normas, </w:t>
      </w:r>
      <w:r w:rsidRPr="00C47851">
        <w:rPr>
          <w:rFonts w:asciiTheme="minorHAnsi" w:eastAsiaTheme="minorEastAsia" w:hAnsiTheme="minorHAnsi" w:cstheme="minorBidi"/>
          <w:szCs w:val="24"/>
          <w:lang w:eastAsia="zh-CN"/>
        </w:rPr>
        <w:t xml:space="preserve">la cantidad y </w:t>
      </w:r>
      <w:r>
        <w:rPr>
          <w:rFonts w:asciiTheme="minorHAnsi" w:eastAsiaTheme="minorEastAsia" w:hAnsiTheme="minorHAnsi" w:cstheme="minorBidi"/>
          <w:szCs w:val="24"/>
          <w:lang w:eastAsia="zh-CN"/>
        </w:rPr>
        <w:t xml:space="preserve">el </w:t>
      </w:r>
      <w:r w:rsidRPr="00C47851">
        <w:rPr>
          <w:rFonts w:asciiTheme="minorHAnsi" w:eastAsiaTheme="minorEastAsia" w:hAnsiTheme="minorHAnsi" w:cstheme="minorBidi"/>
          <w:szCs w:val="24"/>
          <w:lang w:eastAsia="zh-CN"/>
        </w:rPr>
        <w:t xml:space="preserve">tipo de información a disposición del público es muy variable, </w:t>
      </w:r>
      <w:r>
        <w:rPr>
          <w:rFonts w:asciiTheme="minorHAnsi" w:eastAsiaTheme="minorEastAsia" w:hAnsiTheme="minorHAnsi" w:cstheme="minorBidi"/>
          <w:szCs w:val="24"/>
          <w:lang w:eastAsia="zh-CN"/>
        </w:rPr>
        <w:t>según l</w:t>
      </w:r>
      <w:r w:rsidRPr="00C47851">
        <w:rPr>
          <w:rFonts w:asciiTheme="minorHAnsi" w:eastAsiaTheme="minorEastAsia" w:hAnsiTheme="minorHAnsi" w:cstheme="minorBidi"/>
          <w:szCs w:val="24"/>
          <w:lang w:eastAsia="zh-CN"/>
        </w:rPr>
        <w:t>a composición, el papel y las funciones de</w:t>
      </w:r>
      <w:r>
        <w:rPr>
          <w:rFonts w:asciiTheme="minorHAnsi" w:eastAsiaTheme="minorEastAsia" w:hAnsiTheme="minorHAnsi" w:cstheme="minorBidi"/>
          <w:szCs w:val="24"/>
          <w:lang w:eastAsia="zh-CN"/>
        </w:rPr>
        <w:t xml:space="preserve"> esos grupos y el grado de </w:t>
      </w:r>
      <w:r w:rsidRPr="00C47851">
        <w:rPr>
          <w:rFonts w:asciiTheme="minorHAnsi" w:eastAsiaTheme="minorEastAsia" w:hAnsiTheme="minorHAnsi" w:cstheme="minorBidi"/>
          <w:szCs w:val="24"/>
          <w:lang w:eastAsia="zh-CN"/>
        </w:rPr>
        <w:t xml:space="preserve">participación </w:t>
      </w:r>
      <w:r>
        <w:rPr>
          <w:rFonts w:asciiTheme="minorHAnsi" w:eastAsiaTheme="minorEastAsia" w:hAnsiTheme="minorHAnsi" w:cstheme="minorBidi"/>
          <w:szCs w:val="24"/>
          <w:lang w:eastAsia="zh-CN"/>
        </w:rPr>
        <w:t xml:space="preserve">pública en labor de elaboración de </w:t>
      </w:r>
      <w:r w:rsidRPr="00C47851">
        <w:rPr>
          <w:rFonts w:asciiTheme="minorHAnsi" w:eastAsiaTheme="minorEastAsia" w:hAnsiTheme="minorHAnsi" w:cstheme="minorBidi"/>
          <w:szCs w:val="24"/>
          <w:lang w:eastAsia="zh-CN"/>
        </w:rPr>
        <w:t>normas.</w:t>
      </w:r>
    </w:p>
    <w:p w:rsidR="00F5724F" w:rsidRPr="007E5F36" w:rsidRDefault="00AF55F3" w:rsidP="00AF55F3">
      <w:pPr>
        <w:pStyle w:val="Heading1"/>
        <w:tabs>
          <w:tab w:val="clear" w:pos="567"/>
          <w:tab w:val="clear" w:pos="1134"/>
          <w:tab w:val="clear" w:pos="1701"/>
          <w:tab w:val="clear" w:pos="2268"/>
          <w:tab w:val="clear" w:pos="2835"/>
        </w:tabs>
        <w:ind w:left="0" w:firstLine="0"/>
      </w:pPr>
      <w:r>
        <w:t>4</w:t>
      </w:r>
      <w:r w:rsidRPr="00F41A18">
        <w:t xml:space="preserve"> </w:t>
      </w:r>
      <w:r w:rsidRPr="00F41A18">
        <w:tab/>
      </w:r>
      <w:r w:rsidRPr="007E5F36">
        <w:t xml:space="preserve">ELEMENTOS COMUNES PARA </w:t>
      </w:r>
      <w:r>
        <w:t>EL</w:t>
      </w:r>
      <w:r w:rsidRPr="007E5F36">
        <w:t xml:space="preserve"> ACCESO A LA POLÍTICA DE INFORMACI</w:t>
      </w:r>
      <w:r>
        <w:t>ÓN</w:t>
      </w:r>
    </w:p>
    <w:p w:rsidR="00F5724F" w:rsidRPr="008C7348" w:rsidRDefault="00F5724F" w:rsidP="00927FFB">
      <w:pPr>
        <w:keepNext/>
        <w:keepLines/>
        <w:tabs>
          <w:tab w:val="clear" w:pos="567"/>
          <w:tab w:val="clear" w:pos="1134"/>
          <w:tab w:val="clear" w:pos="1701"/>
          <w:tab w:val="clear" w:pos="2268"/>
          <w:tab w:val="clear" w:pos="2835"/>
        </w:tabs>
        <w:snapToGrid w:val="0"/>
        <w:spacing w:after="120"/>
      </w:pPr>
      <w:r>
        <w:t xml:space="preserve">Teniendo en cuenta </w:t>
      </w:r>
      <w:r w:rsidRPr="008C7348">
        <w:t>el examen de</w:t>
      </w:r>
      <w:r>
        <w:t xml:space="preserve"> las </w:t>
      </w:r>
      <w:r w:rsidRPr="008C7348">
        <w:t xml:space="preserve">prácticas </w:t>
      </w:r>
      <w:r>
        <w:t xml:space="preserve">vigentes </w:t>
      </w:r>
      <w:r w:rsidRPr="008C7348">
        <w:t xml:space="preserve">en otros organismos </w:t>
      </w:r>
      <w:r>
        <w:t xml:space="preserve">internacionales y </w:t>
      </w:r>
      <w:r w:rsidRPr="008C7348">
        <w:t>de las Naciones Unidas</w:t>
      </w:r>
      <w:r>
        <w:t>, pueden indicarse los siguientes elementos comunes:</w:t>
      </w:r>
      <w:r w:rsidRPr="008C7348">
        <w:t xml:space="preserve"> </w:t>
      </w:r>
    </w:p>
    <w:p w:rsidR="00F5724F" w:rsidRPr="002B584C" w:rsidRDefault="00801D68" w:rsidP="00AF55F3">
      <w:pPr>
        <w:pStyle w:val="enumlev1"/>
        <w:tabs>
          <w:tab w:val="clear" w:pos="567"/>
          <w:tab w:val="clear" w:pos="1134"/>
          <w:tab w:val="clear" w:pos="1701"/>
          <w:tab w:val="clear" w:pos="2268"/>
          <w:tab w:val="clear" w:pos="2835"/>
        </w:tabs>
        <w:ind w:left="1134" w:hanging="425"/>
      </w:pPr>
      <w:r>
        <w:t>1)</w:t>
      </w:r>
      <w:r>
        <w:tab/>
      </w:r>
      <w:r w:rsidR="00F5724F" w:rsidRPr="002B584C">
        <w:t>Defin</w:t>
      </w:r>
      <w:r w:rsidR="00F5724F">
        <w:t>ición de términos esenciales</w:t>
      </w:r>
    </w:p>
    <w:p w:rsidR="00F5724F" w:rsidRPr="00801D68" w:rsidRDefault="00801D68" w:rsidP="00AF55F3">
      <w:pPr>
        <w:pStyle w:val="enumlev2"/>
        <w:tabs>
          <w:tab w:val="clear" w:pos="567"/>
          <w:tab w:val="clear" w:pos="1134"/>
          <w:tab w:val="clear" w:pos="1701"/>
          <w:tab w:val="clear" w:pos="2268"/>
          <w:tab w:val="clear" w:pos="2835"/>
        </w:tabs>
        <w:ind w:left="1560" w:hanging="426"/>
      </w:pPr>
      <w:r>
        <w:t>•</w:t>
      </w:r>
      <w:r>
        <w:tab/>
      </w:r>
      <w:r w:rsidR="00F5724F" w:rsidRPr="00801D68">
        <w:t>Información</w:t>
      </w:r>
    </w:p>
    <w:p w:rsidR="00F5724F" w:rsidRPr="00801D68" w:rsidRDefault="00801D68" w:rsidP="00AF55F3">
      <w:pPr>
        <w:pStyle w:val="enumlev2"/>
        <w:tabs>
          <w:tab w:val="clear" w:pos="567"/>
          <w:tab w:val="clear" w:pos="1134"/>
          <w:tab w:val="clear" w:pos="1701"/>
          <w:tab w:val="clear" w:pos="2268"/>
          <w:tab w:val="clear" w:pos="2835"/>
        </w:tabs>
        <w:ind w:left="1560" w:hanging="426"/>
      </w:pPr>
      <w:r>
        <w:t>•</w:t>
      </w:r>
      <w:r>
        <w:tab/>
      </w:r>
      <w:r w:rsidR="00F5724F" w:rsidRPr="00801D68">
        <w:t>Documento</w:t>
      </w:r>
    </w:p>
    <w:p w:rsidR="00F5724F" w:rsidRPr="00801D68" w:rsidRDefault="00801D68" w:rsidP="00AF55F3">
      <w:pPr>
        <w:pStyle w:val="enumlev2"/>
        <w:tabs>
          <w:tab w:val="clear" w:pos="567"/>
          <w:tab w:val="clear" w:pos="1134"/>
          <w:tab w:val="clear" w:pos="1701"/>
          <w:tab w:val="clear" w:pos="2268"/>
          <w:tab w:val="clear" w:pos="2835"/>
        </w:tabs>
        <w:ind w:left="1560" w:hanging="426"/>
      </w:pPr>
      <w:r>
        <w:t>•</w:t>
      </w:r>
      <w:r>
        <w:tab/>
      </w:r>
      <w:r w:rsidR="00F5724F" w:rsidRPr="00801D68">
        <w:t>Publicación</w:t>
      </w:r>
    </w:p>
    <w:p w:rsidR="00F5724F" w:rsidRPr="006E43B8" w:rsidRDefault="00801D68" w:rsidP="00AF55F3">
      <w:pPr>
        <w:pStyle w:val="enumlev2"/>
        <w:tabs>
          <w:tab w:val="clear" w:pos="567"/>
          <w:tab w:val="clear" w:pos="1134"/>
          <w:tab w:val="clear" w:pos="1701"/>
          <w:tab w:val="clear" w:pos="2268"/>
          <w:tab w:val="clear" w:pos="2835"/>
        </w:tabs>
        <w:ind w:left="1560" w:hanging="426"/>
      </w:pPr>
      <w:r>
        <w:t>•</w:t>
      </w:r>
      <w:r>
        <w:tab/>
      </w:r>
      <w:r w:rsidR="00F5724F" w:rsidRPr="006E43B8">
        <w:t xml:space="preserve">Acceso a la información/divulgación de la información </w:t>
      </w:r>
    </w:p>
    <w:p w:rsidR="00F5724F" w:rsidRPr="00801D68" w:rsidRDefault="00801D68" w:rsidP="00AF55F3">
      <w:pPr>
        <w:pStyle w:val="enumlev1"/>
        <w:tabs>
          <w:tab w:val="clear" w:pos="567"/>
          <w:tab w:val="clear" w:pos="1134"/>
          <w:tab w:val="clear" w:pos="1701"/>
          <w:tab w:val="clear" w:pos="2268"/>
          <w:tab w:val="clear" w:pos="2835"/>
        </w:tabs>
        <w:ind w:left="1134" w:hanging="425"/>
      </w:pPr>
      <w:r>
        <w:t>2)</w:t>
      </w:r>
      <w:r>
        <w:tab/>
      </w:r>
      <w:r w:rsidR="00F5724F" w:rsidRPr="00801D68">
        <w:t>Declaración de principios</w:t>
      </w:r>
    </w:p>
    <w:p w:rsidR="00F5724F" w:rsidRPr="006E43B8" w:rsidRDefault="00801D68" w:rsidP="00AF55F3">
      <w:pPr>
        <w:pStyle w:val="enumlev2"/>
        <w:tabs>
          <w:tab w:val="clear" w:pos="567"/>
          <w:tab w:val="clear" w:pos="1134"/>
          <w:tab w:val="clear" w:pos="1701"/>
          <w:tab w:val="clear" w:pos="2268"/>
          <w:tab w:val="clear" w:pos="2835"/>
        </w:tabs>
        <w:ind w:left="1560" w:hanging="426"/>
      </w:pPr>
      <w:r>
        <w:t>•</w:t>
      </w:r>
      <w:r>
        <w:tab/>
      </w:r>
      <w:r w:rsidR="00F5724F" w:rsidRPr="006E43B8">
        <w:t>Principio general: Posición adoptada por la organización con respecto a la apertura, transparencia y divulgación de la información (la mayoría de las organizaciones está adoptando el principio a favor de la divulgación sujeta a excepciones concretas)</w:t>
      </w:r>
      <w:r w:rsidR="00F5724F">
        <w:t>.</w:t>
      </w:r>
      <w:r w:rsidR="00F5724F" w:rsidRPr="006E43B8">
        <w:t xml:space="preserve"> </w:t>
      </w:r>
    </w:p>
    <w:p w:rsidR="00F5724F" w:rsidRPr="00DF2A4D" w:rsidRDefault="00801D68" w:rsidP="00AF55F3">
      <w:pPr>
        <w:pStyle w:val="enumlev2"/>
        <w:tabs>
          <w:tab w:val="clear" w:pos="567"/>
          <w:tab w:val="clear" w:pos="1134"/>
          <w:tab w:val="clear" w:pos="1701"/>
          <w:tab w:val="clear" w:pos="2268"/>
          <w:tab w:val="clear" w:pos="2835"/>
        </w:tabs>
        <w:ind w:left="1560" w:hanging="426"/>
      </w:pPr>
      <w:r>
        <w:t>•</w:t>
      </w:r>
      <w:r>
        <w:tab/>
      </w:r>
      <w:r w:rsidR="00F5724F" w:rsidRPr="00DF2A4D">
        <w:t>Ámbito de aplicación: Una polí</w:t>
      </w:r>
      <w:r w:rsidR="00F5724F">
        <w:t xml:space="preserve">tica de acceso debe establecer </w:t>
      </w:r>
      <w:r w:rsidR="00F5724F" w:rsidRPr="00DF2A4D">
        <w:t>principios básicos que ri</w:t>
      </w:r>
      <w:r w:rsidR="00F5724F">
        <w:t xml:space="preserve">jan </w:t>
      </w:r>
      <w:r w:rsidR="00F5724F" w:rsidRPr="00DF2A4D">
        <w:t xml:space="preserve">el acceso a </w:t>
      </w:r>
      <w:r w:rsidR="00F5724F" w:rsidRPr="00DF2A4D">
        <w:rPr>
          <w:i/>
          <w:iCs/>
        </w:rPr>
        <w:t>todo</w:t>
      </w:r>
      <w:r w:rsidR="00F5724F">
        <w:t xml:space="preserve"> tipo de información -</w:t>
      </w:r>
      <w:r w:rsidR="00F5724F" w:rsidRPr="00DF2A4D">
        <w:t xml:space="preserve">y en </w:t>
      </w:r>
      <w:r w:rsidR="00F5724F" w:rsidRPr="00DF2A4D">
        <w:rPr>
          <w:i/>
          <w:iCs/>
        </w:rPr>
        <w:t>todos</w:t>
      </w:r>
      <w:r w:rsidR="00F5724F" w:rsidRPr="00DF2A4D">
        <w:t xml:space="preserve"> los fo</w:t>
      </w:r>
      <w:r w:rsidR="00F5724F">
        <w:t>rmatos y medios de comunicación</w:t>
      </w:r>
      <w:r w:rsidR="00F5724F" w:rsidRPr="00DF2A4D">
        <w:t>- creada, recibida y utilizada por la organización.</w:t>
      </w:r>
    </w:p>
    <w:p w:rsidR="00F5724F" w:rsidRPr="00DF2A4D" w:rsidRDefault="00801D68" w:rsidP="00AF55F3">
      <w:pPr>
        <w:pStyle w:val="enumlev2"/>
        <w:tabs>
          <w:tab w:val="clear" w:pos="567"/>
          <w:tab w:val="clear" w:pos="1134"/>
          <w:tab w:val="clear" w:pos="1701"/>
          <w:tab w:val="clear" w:pos="2268"/>
          <w:tab w:val="clear" w:pos="2835"/>
        </w:tabs>
        <w:ind w:left="1560" w:hanging="426"/>
      </w:pPr>
      <w:r>
        <w:t>•</w:t>
      </w:r>
      <w:r>
        <w:tab/>
      </w:r>
      <w:r w:rsidR="00F5724F" w:rsidRPr="00DF2A4D">
        <w:t>Objetivo: ¿Cuál es el objetivo de la organización?</w:t>
      </w:r>
    </w:p>
    <w:p w:rsidR="00F5724F" w:rsidRPr="00DF2A4D" w:rsidRDefault="00801D68" w:rsidP="00AF55F3">
      <w:pPr>
        <w:pStyle w:val="enumlev2"/>
        <w:tabs>
          <w:tab w:val="clear" w:pos="567"/>
          <w:tab w:val="clear" w:pos="1134"/>
          <w:tab w:val="clear" w:pos="1701"/>
          <w:tab w:val="clear" w:pos="2268"/>
          <w:tab w:val="clear" w:pos="2835"/>
        </w:tabs>
        <w:ind w:left="1560" w:hanging="426"/>
      </w:pPr>
      <w:r>
        <w:t>•</w:t>
      </w:r>
      <w:r>
        <w:tab/>
      </w:r>
      <w:r w:rsidR="00F5724F" w:rsidRPr="00DF2A4D">
        <w:t xml:space="preserve">Los objetivos observados por lo general en las políticas de otras organizaciones internacionales </w:t>
      </w:r>
      <w:r w:rsidR="00F5724F">
        <w:t>son en especial:</w:t>
      </w:r>
    </w:p>
    <w:p w:rsidR="00F5724F" w:rsidRPr="00DF2A4D" w:rsidRDefault="00F5724F" w:rsidP="00AF55F3">
      <w:pPr>
        <w:pStyle w:val="enumlev3"/>
        <w:numPr>
          <w:ilvl w:val="0"/>
          <w:numId w:val="11"/>
        </w:numPr>
        <w:tabs>
          <w:tab w:val="clear" w:pos="567"/>
          <w:tab w:val="clear" w:pos="1134"/>
          <w:tab w:val="clear" w:pos="1701"/>
          <w:tab w:val="clear" w:pos="2268"/>
          <w:tab w:val="clear" w:pos="2835"/>
        </w:tabs>
        <w:ind w:left="1985" w:hanging="425"/>
      </w:pPr>
      <w:r w:rsidRPr="00DF2A4D">
        <w:t>Facilitar la participación efectiva de todos los interesados, incluido el público en general, en los trabajos de la organizaci</w:t>
      </w:r>
      <w:r>
        <w:t>ón.</w:t>
      </w:r>
    </w:p>
    <w:p w:rsidR="00F5724F" w:rsidRPr="00DF2A4D" w:rsidRDefault="00F5724F" w:rsidP="00AF55F3">
      <w:pPr>
        <w:pStyle w:val="enumlev3"/>
        <w:numPr>
          <w:ilvl w:val="0"/>
          <w:numId w:val="11"/>
        </w:numPr>
        <w:tabs>
          <w:tab w:val="clear" w:pos="567"/>
          <w:tab w:val="clear" w:pos="1134"/>
          <w:tab w:val="clear" w:pos="1701"/>
          <w:tab w:val="clear" w:pos="2268"/>
          <w:tab w:val="clear" w:pos="2835"/>
        </w:tabs>
        <w:ind w:left="1985" w:hanging="425"/>
      </w:pPr>
      <w:r w:rsidRPr="00DF2A4D">
        <w:t>Intercambi</w:t>
      </w:r>
      <w:r>
        <w:t>ar</w:t>
      </w:r>
      <w:r w:rsidRPr="00DF2A4D">
        <w:t xml:space="preserve"> información: llevar a cabo las actividades de forma abierta y transparente con objeto de obtener resultados que adquier</w:t>
      </w:r>
      <w:r>
        <w:t>an importancia para los interesados y el público, y les inspiren confianza.</w:t>
      </w:r>
    </w:p>
    <w:p w:rsidR="00F5724F" w:rsidRPr="00751A17" w:rsidRDefault="00F5724F" w:rsidP="00AF55F3">
      <w:pPr>
        <w:pStyle w:val="enumlev3"/>
        <w:numPr>
          <w:ilvl w:val="0"/>
          <w:numId w:val="11"/>
        </w:numPr>
        <w:tabs>
          <w:tab w:val="clear" w:pos="567"/>
          <w:tab w:val="clear" w:pos="1134"/>
          <w:tab w:val="clear" w:pos="1701"/>
          <w:tab w:val="clear" w:pos="2268"/>
          <w:tab w:val="clear" w:pos="2835"/>
        </w:tabs>
        <w:ind w:left="1985" w:hanging="425"/>
        <w:rPr>
          <w:rFonts w:cs="Calibri"/>
        </w:rPr>
      </w:pPr>
      <w:r>
        <w:rPr>
          <w:rFonts w:cs="Calibri"/>
        </w:rPr>
        <w:t>Dar acces</w:t>
      </w:r>
      <w:r w:rsidRPr="00751A17">
        <w:rPr>
          <w:rFonts w:cs="Calibri"/>
        </w:rPr>
        <w:t>o público a la información para lograr una mejor comprensión de la misi</w:t>
      </w:r>
      <w:r>
        <w:rPr>
          <w:rFonts w:cs="Calibri"/>
        </w:rPr>
        <w:t>ón y los trabajos de la organización.</w:t>
      </w:r>
    </w:p>
    <w:p w:rsidR="00FF608E" w:rsidRDefault="00801D68" w:rsidP="00AF55F3">
      <w:pPr>
        <w:pStyle w:val="enumlev2"/>
        <w:tabs>
          <w:tab w:val="clear" w:pos="567"/>
          <w:tab w:val="clear" w:pos="1134"/>
          <w:tab w:val="clear" w:pos="1701"/>
          <w:tab w:val="clear" w:pos="2268"/>
          <w:tab w:val="clear" w:pos="2835"/>
        </w:tabs>
        <w:ind w:left="1560" w:hanging="426"/>
      </w:pPr>
      <w:r>
        <w:t>•</w:t>
      </w:r>
      <w:r>
        <w:tab/>
      </w:r>
      <w:r w:rsidR="00F5724F" w:rsidRPr="001D6640">
        <w:t>Ventajas para los miembros: El acceso a la información, ¿</w:t>
      </w:r>
      <w:r w:rsidR="00F5724F">
        <w:t xml:space="preserve">aporta </w:t>
      </w:r>
      <w:r w:rsidR="00F5724F" w:rsidRPr="001D6640">
        <w:t>ventaja</w:t>
      </w:r>
      <w:r w:rsidR="00F5724F">
        <w:t>s</w:t>
      </w:r>
      <w:r w:rsidR="00F5724F" w:rsidRPr="001D6640">
        <w:t xml:space="preserve"> a los miembros</w:t>
      </w:r>
      <w:r w:rsidR="00F5724F">
        <w:t>? En ese caso, ¿</w:t>
      </w:r>
      <w:r w:rsidR="00F5724F" w:rsidRPr="001D6640">
        <w:t xml:space="preserve">esas ventajas tienen prioridad </w:t>
      </w:r>
      <w:r w:rsidR="00F5724F">
        <w:t>respecto del derecho del público a la información?</w:t>
      </w:r>
      <w:r w:rsidR="00FF608E">
        <w:br w:type="page"/>
      </w:r>
    </w:p>
    <w:p w:rsidR="00F5724F" w:rsidRPr="002B584C" w:rsidRDefault="00801D68" w:rsidP="00AF55F3">
      <w:pPr>
        <w:pStyle w:val="enumlev1"/>
        <w:tabs>
          <w:tab w:val="clear" w:pos="567"/>
          <w:tab w:val="clear" w:pos="1134"/>
          <w:tab w:val="clear" w:pos="1701"/>
          <w:tab w:val="clear" w:pos="2268"/>
          <w:tab w:val="clear" w:pos="2835"/>
        </w:tabs>
        <w:ind w:left="1134" w:hanging="425"/>
      </w:pPr>
      <w:r>
        <w:lastRenderedPageBreak/>
        <w:t>3)</w:t>
      </w:r>
      <w:r>
        <w:tab/>
      </w:r>
      <w:r w:rsidR="00F5724F" w:rsidRPr="002B584C">
        <w:t>Excep</w:t>
      </w:r>
      <w:r w:rsidR="00F5724F">
        <w:t>ciones</w:t>
      </w:r>
    </w:p>
    <w:p w:rsidR="00F5724F" w:rsidRPr="002D3AAF" w:rsidRDefault="00801D68" w:rsidP="00AF55F3">
      <w:pPr>
        <w:pStyle w:val="enumlev2"/>
        <w:tabs>
          <w:tab w:val="clear" w:pos="567"/>
          <w:tab w:val="clear" w:pos="1134"/>
          <w:tab w:val="clear" w:pos="1701"/>
          <w:tab w:val="clear" w:pos="2268"/>
          <w:tab w:val="clear" w:pos="2835"/>
        </w:tabs>
        <w:ind w:left="1560" w:hanging="426"/>
      </w:pPr>
      <w:r>
        <w:t>•</w:t>
      </w:r>
      <w:r>
        <w:tab/>
      </w:r>
      <w:r w:rsidR="00F5724F" w:rsidRPr="002D3AAF">
        <w:t>Lo</w:t>
      </w:r>
      <w:r w:rsidR="00F5724F">
        <w:t xml:space="preserve">s motivos de la retención de </w:t>
      </w:r>
      <w:r w:rsidR="00F5724F" w:rsidRPr="002D3AAF">
        <w:t>información debe</w:t>
      </w:r>
      <w:r w:rsidR="00F5724F">
        <w:t>n</w:t>
      </w:r>
      <w:r w:rsidR="00F5724F" w:rsidRPr="002D3AAF">
        <w:t xml:space="preserve"> ser clar</w:t>
      </w:r>
      <w:r w:rsidR="00F5724F">
        <w:t>os y específicamente establecido</w:t>
      </w:r>
      <w:r w:rsidR="00F5724F" w:rsidRPr="002D3AAF">
        <w:t xml:space="preserve">s. </w:t>
      </w:r>
      <w:r w:rsidR="00F5724F">
        <w:t xml:space="preserve">Ninguna </w:t>
      </w:r>
      <w:r w:rsidR="00F5724F" w:rsidRPr="002D3AAF">
        <w:t>excepci</w:t>
      </w:r>
      <w:r w:rsidR="00F5724F">
        <w:t>ón o r</w:t>
      </w:r>
      <w:r w:rsidR="00F5724F" w:rsidRPr="002D3AAF">
        <w:t>estricci</w:t>
      </w:r>
      <w:r w:rsidR="00F5724F">
        <w:t>ón relativa al</w:t>
      </w:r>
      <w:r w:rsidR="00F5724F" w:rsidRPr="002D3AAF">
        <w:t xml:space="preserve"> acceso debe </w:t>
      </w:r>
      <w:r w:rsidR="00F5724F">
        <w:t xml:space="preserve">afectar </w:t>
      </w:r>
      <w:r w:rsidR="00F5724F" w:rsidRPr="002D3AAF">
        <w:t>categorías de información cuya divulgación p</w:t>
      </w:r>
      <w:r w:rsidR="00F5724F">
        <w:t xml:space="preserve">udiera </w:t>
      </w:r>
      <w:r w:rsidR="00F5724F" w:rsidRPr="002D3AAF">
        <w:t xml:space="preserve">causar </w:t>
      </w:r>
      <w:r w:rsidR="00F5724F">
        <w:t xml:space="preserve">posibles </w:t>
      </w:r>
      <w:r w:rsidR="00F5724F" w:rsidRPr="002D3AAF">
        <w:t>daño</w:t>
      </w:r>
      <w:r w:rsidR="00F5724F">
        <w:t>s</w:t>
      </w:r>
      <w:r w:rsidR="00F5724F" w:rsidRPr="002D3AAF">
        <w:t xml:space="preserve"> a </w:t>
      </w:r>
      <w:r w:rsidR="00F5724F">
        <w:t>intere</w:t>
      </w:r>
      <w:r w:rsidR="00F5724F" w:rsidRPr="002D3AAF">
        <w:t>s</w:t>
      </w:r>
      <w:r w:rsidR="00F5724F">
        <w:t>es</w:t>
      </w:r>
      <w:r w:rsidR="00F5724F" w:rsidRPr="002D3AAF">
        <w:t xml:space="preserve"> privado</w:t>
      </w:r>
      <w:r w:rsidR="00F5724F">
        <w:t>s</w:t>
      </w:r>
      <w:r w:rsidR="00F5724F" w:rsidRPr="002D3AAF">
        <w:t xml:space="preserve"> o público</w:t>
      </w:r>
      <w:r w:rsidR="00F5724F">
        <w:t xml:space="preserve">s legítimos </w:t>
      </w:r>
      <w:r w:rsidR="00F5724F" w:rsidRPr="002D3AAF">
        <w:t xml:space="preserve">que </w:t>
      </w:r>
      <w:r w:rsidR="00F5724F">
        <w:t>contrarresten la</w:t>
      </w:r>
      <w:r w:rsidR="00F5724F" w:rsidRPr="002D3AAF">
        <w:t xml:space="preserve">s </w:t>
      </w:r>
      <w:r w:rsidR="00F5724F">
        <w:t xml:space="preserve">ventajas de </w:t>
      </w:r>
      <w:r w:rsidR="00F5724F" w:rsidRPr="002D3AAF">
        <w:t>la accesibilidad</w:t>
      </w:r>
      <w:r w:rsidR="00F5724F">
        <w:t>.</w:t>
      </w:r>
    </w:p>
    <w:p w:rsidR="00F5724F" w:rsidRPr="00D15F73" w:rsidRDefault="00801D68" w:rsidP="00AF55F3">
      <w:pPr>
        <w:pStyle w:val="enumlev2"/>
        <w:tabs>
          <w:tab w:val="clear" w:pos="567"/>
          <w:tab w:val="clear" w:pos="1134"/>
          <w:tab w:val="clear" w:pos="1701"/>
          <w:tab w:val="clear" w:pos="2268"/>
          <w:tab w:val="clear" w:pos="2835"/>
        </w:tabs>
        <w:ind w:left="1560" w:hanging="426"/>
      </w:pPr>
      <w:r>
        <w:t>•</w:t>
      </w:r>
      <w:r>
        <w:tab/>
      </w:r>
      <w:r w:rsidR="00F5724F" w:rsidRPr="00D15F73">
        <w:t xml:space="preserve">Las excepciones deben </w:t>
      </w:r>
      <w:r w:rsidR="00F5724F">
        <w:t>basars</w:t>
      </w:r>
      <w:r w:rsidR="00F5724F" w:rsidRPr="00D15F73">
        <w:t xml:space="preserve">e en el </w:t>
      </w:r>
      <w:r w:rsidR="00F5724F" w:rsidRPr="00D15F73">
        <w:rPr>
          <w:i/>
          <w:iCs/>
        </w:rPr>
        <w:t>contenido</w:t>
      </w:r>
      <w:r w:rsidR="00F5724F" w:rsidRPr="00D15F73">
        <w:t xml:space="preserve"> de los documentos y no en el </w:t>
      </w:r>
      <w:r w:rsidR="00F5724F" w:rsidRPr="00D15F73">
        <w:rPr>
          <w:i/>
          <w:iCs/>
        </w:rPr>
        <w:t>tipo</w:t>
      </w:r>
      <w:r w:rsidR="00F5724F" w:rsidRPr="00D15F73">
        <w:t xml:space="preserve"> de documentos.</w:t>
      </w:r>
    </w:p>
    <w:p w:rsidR="00F5724F" w:rsidRPr="00D15F73" w:rsidRDefault="00801D68" w:rsidP="00AF55F3">
      <w:pPr>
        <w:pStyle w:val="enumlev2"/>
        <w:tabs>
          <w:tab w:val="clear" w:pos="567"/>
          <w:tab w:val="clear" w:pos="1134"/>
          <w:tab w:val="clear" w:pos="1701"/>
          <w:tab w:val="clear" w:pos="2268"/>
          <w:tab w:val="clear" w:pos="2835"/>
        </w:tabs>
        <w:ind w:left="1560" w:hanging="426"/>
      </w:pPr>
      <w:r>
        <w:t>•</w:t>
      </w:r>
      <w:r>
        <w:tab/>
      </w:r>
      <w:r w:rsidR="00F5724F" w:rsidRPr="006517FC">
        <w:t>Las</w:t>
      </w:r>
      <w:r w:rsidR="00F5724F" w:rsidRPr="00D15F73">
        <w:t xml:space="preserve"> excepciones deben describir categorías de contenido de manera general. Las declaraciones </w:t>
      </w:r>
      <w:r w:rsidR="00F5724F">
        <w:t>y los</w:t>
      </w:r>
      <w:r w:rsidR="00F5724F" w:rsidRPr="00D15F73">
        <w:t xml:space="preserve"> criterios pueden ser utilizados para evaluar </w:t>
      </w:r>
      <w:r w:rsidR="00F5724F">
        <w:t xml:space="preserve">todo </w:t>
      </w:r>
      <w:r w:rsidR="00F5724F" w:rsidRPr="00D15F73">
        <w:t xml:space="preserve">documento </w:t>
      </w:r>
      <w:r w:rsidR="00F5724F">
        <w:t xml:space="preserve">de cualquier unidad de </w:t>
      </w:r>
      <w:r w:rsidR="00F5724F" w:rsidRPr="00D15F73">
        <w:t xml:space="preserve">la organización para determinar si </w:t>
      </w:r>
      <w:r w:rsidR="00F5724F">
        <w:t xml:space="preserve">se trata de un documento </w:t>
      </w:r>
      <w:r w:rsidR="00F5724F" w:rsidRPr="00D15F73">
        <w:t>abierto o restringido/confidencial. P</w:t>
      </w:r>
      <w:r w:rsidR="00F5724F">
        <w:t>ueden elaborase p</w:t>
      </w:r>
      <w:r w:rsidR="00F5724F" w:rsidRPr="00D15F73">
        <w:t xml:space="preserve">rocedimientos separados que </w:t>
      </w:r>
      <w:r w:rsidR="00F5724F">
        <w:t xml:space="preserve">asocien </w:t>
      </w:r>
      <w:r w:rsidR="00F5724F" w:rsidRPr="00D15F73">
        <w:t xml:space="preserve"> los tipos </w:t>
      </w:r>
      <w:r w:rsidR="00F5724F">
        <w:t xml:space="preserve">de documentos </w:t>
      </w:r>
      <w:r w:rsidR="00F5724F" w:rsidRPr="00D15F73">
        <w:t>actuales de la organización a las categorías restringidas.</w:t>
      </w:r>
    </w:p>
    <w:p w:rsidR="00F5724F" w:rsidRPr="006517FC" w:rsidRDefault="00801D68" w:rsidP="00AF55F3">
      <w:pPr>
        <w:pStyle w:val="enumlev2"/>
        <w:tabs>
          <w:tab w:val="clear" w:pos="567"/>
          <w:tab w:val="clear" w:pos="1134"/>
          <w:tab w:val="clear" w:pos="1701"/>
          <w:tab w:val="clear" w:pos="2268"/>
          <w:tab w:val="clear" w:pos="2835"/>
        </w:tabs>
        <w:ind w:left="1560" w:hanging="426"/>
      </w:pPr>
      <w:r>
        <w:t>•</w:t>
      </w:r>
      <w:r>
        <w:tab/>
      </w:r>
      <w:r w:rsidR="00F5724F">
        <w:t>L</w:t>
      </w:r>
      <w:r w:rsidR="00F5724F" w:rsidRPr="006517FC">
        <w:t>as excepciones deben</w:t>
      </w:r>
      <w:r w:rsidR="00FF608E">
        <w:t xml:space="preserve">, </w:t>
      </w:r>
      <w:r w:rsidR="00F5724F">
        <w:t>s</w:t>
      </w:r>
      <w:r w:rsidR="00F5724F" w:rsidRPr="006517FC">
        <w:t>iempre que sea posible,</w:t>
      </w:r>
      <w:r w:rsidR="00F5724F">
        <w:t xml:space="preserve"> tener</w:t>
      </w:r>
      <w:r w:rsidR="00F5724F" w:rsidRPr="006517FC">
        <w:t xml:space="preserve"> un plazo limitado. Una política de acceso </w:t>
      </w:r>
      <w:r w:rsidR="00F5724F">
        <w:t xml:space="preserve">tendría que contemplar </w:t>
      </w:r>
      <w:r w:rsidR="00F5724F" w:rsidRPr="006517FC">
        <w:t xml:space="preserve"> una declaración clara </w:t>
      </w:r>
      <w:r w:rsidR="00F5724F">
        <w:t xml:space="preserve">con respecto al ámbito de aplicación y a la </w:t>
      </w:r>
      <w:r w:rsidR="00F5724F" w:rsidRPr="006517FC">
        <w:t xml:space="preserve">duración de las restricciones (ya sea </w:t>
      </w:r>
      <w:r w:rsidR="00F5724F">
        <w:t xml:space="preserve">durante un plazo </w:t>
      </w:r>
      <w:r w:rsidR="00F5724F" w:rsidRPr="006517FC">
        <w:t xml:space="preserve">determinado o hasta que </w:t>
      </w:r>
      <w:r w:rsidR="00F5724F">
        <w:t xml:space="preserve">se cumpla </w:t>
      </w:r>
      <w:r w:rsidR="00F5724F" w:rsidRPr="006517FC">
        <w:t xml:space="preserve">una condición </w:t>
      </w:r>
      <w:r w:rsidR="00F5724F">
        <w:t xml:space="preserve">definida). </w:t>
      </w:r>
    </w:p>
    <w:p w:rsidR="00F5724F" w:rsidRPr="006517FC" w:rsidRDefault="00801D68" w:rsidP="00AF55F3">
      <w:pPr>
        <w:pStyle w:val="enumlev2"/>
        <w:tabs>
          <w:tab w:val="clear" w:pos="567"/>
          <w:tab w:val="clear" w:pos="1134"/>
          <w:tab w:val="clear" w:pos="1701"/>
          <w:tab w:val="clear" w:pos="2268"/>
          <w:tab w:val="clear" w:pos="2835"/>
        </w:tabs>
        <w:ind w:left="1560" w:hanging="426"/>
      </w:pPr>
      <w:r>
        <w:t>•</w:t>
      </w:r>
      <w:r>
        <w:tab/>
      </w:r>
      <w:r w:rsidR="00F5724F" w:rsidRPr="006517FC">
        <w:t>Entre las categorías comunes de excepci</w:t>
      </w:r>
      <w:r w:rsidR="00F5724F">
        <w:t xml:space="preserve">ón pueden indicarse las siguientes: </w:t>
      </w:r>
    </w:p>
    <w:p w:rsidR="00F5724F" w:rsidRPr="002B584C" w:rsidRDefault="002452DB" w:rsidP="00AF55F3">
      <w:pPr>
        <w:pStyle w:val="enumlev3"/>
        <w:tabs>
          <w:tab w:val="clear" w:pos="567"/>
          <w:tab w:val="clear" w:pos="1134"/>
          <w:tab w:val="clear" w:pos="1701"/>
          <w:tab w:val="clear" w:pos="2268"/>
          <w:tab w:val="clear" w:pos="2835"/>
        </w:tabs>
        <w:ind w:left="2127"/>
      </w:pPr>
      <w:r>
        <w:t>i)</w:t>
      </w:r>
      <w:r>
        <w:tab/>
      </w:r>
      <w:r w:rsidR="00F5724F">
        <w:t>información p</w:t>
      </w:r>
      <w:r w:rsidR="00F5724F" w:rsidRPr="002B584C">
        <w:t>ersonal;</w:t>
      </w:r>
    </w:p>
    <w:p w:rsidR="00F5724F" w:rsidRPr="006517FC" w:rsidRDefault="002452DB" w:rsidP="00AF55F3">
      <w:pPr>
        <w:pStyle w:val="enumlev3"/>
        <w:tabs>
          <w:tab w:val="clear" w:pos="567"/>
          <w:tab w:val="clear" w:pos="1134"/>
          <w:tab w:val="clear" w:pos="1701"/>
          <w:tab w:val="clear" w:pos="2268"/>
          <w:tab w:val="clear" w:pos="2835"/>
        </w:tabs>
        <w:ind w:left="2127"/>
      </w:pPr>
      <w:r>
        <w:t>ii)</w:t>
      </w:r>
      <w:r>
        <w:tab/>
      </w:r>
      <w:r w:rsidR="00F5724F" w:rsidRPr="006517FC">
        <w:t xml:space="preserve">información relativa a cuestiones jurídicas, disciplinarias o </w:t>
      </w:r>
      <w:r w:rsidR="00F5724F">
        <w:t>de investigación;</w:t>
      </w:r>
    </w:p>
    <w:p w:rsidR="00F5724F" w:rsidRPr="006B6224" w:rsidRDefault="002452DB" w:rsidP="00AF55F3">
      <w:pPr>
        <w:pStyle w:val="enumlev3"/>
        <w:tabs>
          <w:tab w:val="clear" w:pos="567"/>
          <w:tab w:val="clear" w:pos="1134"/>
          <w:tab w:val="clear" w:pos="1701"/>
          <w:tab w:val="clear" w:pos="2268"/>
          <w:tab w:val="clear" w:pos="2835"/>
        </w:tabs>
        <w:ind w:left="2127"/>
      </w:pPr>
      <w:r>
        <w:t>iii)</w:t>
      </w:r>
      <w:r>
        <w:tab/>
      </w:r>
      <w:r w:rsidR="00F5724F" w:rsidRPr="006B6224">
        <w:t xml:space="preserve">información que amenace la protección y la seguridad;  </w:t>
      </w:r>
    </w:p>
    <w:p w:rsidR="00F5724F" w:rsidRPr="006B6224" w:rsidRDefault="002452DB" w:rsidP="00AF55F3">
      <w:pPr>
        <w:pStyle w:val="enumlev3"/>
        <w:tabs>
          <w:tab w:val="clear" w:pos="567"/>
          <w:tab w:val="clear" w:pos="1134"/>
          <w:tab w:val="clear" w:pos="1701"/>
          <w:tab w:val="clear" w:pos="2268"/>
          <w:tab w:val="clear" w:pos="2835"/>
        </w:tabs>
        <w:ind w:left="2127"/>
      </w:pPr>
      <w:r>
        <w:t>iv)</w:t>
      </w:r>
      <w:r>
        <w:tab/>
      </w:r>
      <w:r w:rsidR="00F5724F" w:rsidRPr="006B6224">
        <w:t>información proporcionada con car</w:t>
      </w:r>
      <w:r w:rsidR="00F5724F">
        <w:t>ácter confidencial por los Esta</w:t>
      </w:r>
      <w:r w:rsidR="00F5724F" w:rsidRPr="006B6224">
        <w:t xml:space="preserve">dos Miembros, </w:t>
      </w:r>
      <w:r w:rsidR="00F5724F">
        <w:t>los miembros o terceros;</w:t>
      </w:r>
    </w:p>
    <w:p w:rsidR="00F5724F" w:rsidRPr="002B584C" w:rsidRDefault="002452DB" w:rsidP="00AF55F3">
      <w:pPr>
        <w:pStyle w:val="enumlev3"/>
        <w:tabs>
          <w:tab w:val="clear" w:pos="567"/>
          <w:tab w:val="clear" w:pos="1134"/>
          <w:tab w:val="clear" w:pos="1701"/>
          <w:tab w:val="clear" w:pos="2268"/>
          <w:tab w:val="clear" w:pos="2835"/>
        </w:tabs>
        <w:ind w:left="2127"/>
      </w:pPr>
      <w:r>
        <w:t>v)</w:t>
      </w:r>
      <w:r>
        <w:tab/>
      </w:r>
      <w:r w:rsidR="00F5724F">
        <w:t>información com</w:t>
      </w:r>
      <w:r w:rsidR="00F5724F" w:rsidRPr="002B584C">
        <w:t>ercial;</w:t>
      </w:r>
    </w:p>
    <w:p w:rsidR="00F5724F" w:rsidRPr="002B584C" w:rsidRDefault="002452DB" w:rsidP="00AF55F3">
      <w:pPr>
        <w:pStyle w:val="enumlev3"/>
        <w:tabs>
          <w:tab w:val="clear" w:pos="567"/>
          <w:tab w:val="clear" w:pos="1134"/>
          <w:tab w:val="clear" w:pos="1701"/>
          <w:tab w:val="clear" w:pos="2268"/>
          <w:tab w:val="clear" w:pos="2835"/>
        </w:tabs>
        <w:ind w:left="2127"/>
      </w:pPr>
      <w:r>
        <w:t>vi)</w:t>
      </w:r>
      <w:r>
        <w:tab/>
      </w:r>
      <w:r w:rsidR="00F5724F">
        <w:t xml:space="preserve">información </w:t>
      </w:r>
      <w:r w:rsidR="00F5724F" w:rsidRPr="002B584C">
        <w:t>financi</w:t>
      </w:r>
      <w:r w:rsidR="00F5724F">
        <w:t>era</w:t>
      </w:r>
      <w:r w:rsidR="00F5724F" w:rsidRPr="002B584C">
        <w:t>;</w:t>
      </w:r>
    </w:p>
    <w:p w:rsidR="00F5724F" w:rsidRPr="006B6224" w:rsidRDefault="002452DB" w:rsidP="00AF55F3">
      <w:pPr>
        <w:pStyle w:val="enumlev3"/>
        <w:tabs>
          <w:tab w:val="clear" w:pos="567"/>
          <w:tab w:val="clear" w:pos="1134"/>
          <w:tab w:val="clear" w:pos="1701"/>
          <w:tab w:val="clear" w:pos="2268"/>
          <w:tab w:val="clear" w:pos="2835"/>
        </w:tabs>
        <w:ind w:left="2127"/>
      </w:pPr>
      <w:r>
        <w:t>vii)</w:t>
      </w:r>
      <w:r>
        <w:tab/>
      </w:r>
      <w:r w:rsidR="00F5724F" w:rsidRPr="006B6224">
        <w:t>información necesaria para proce</w:t>
      </w:r>
      <w:r w:rsidR="00F5724F">
        <w:t xml:space="preserve">sos </w:t>
      </w:r>
      <w:r w:rsidR="00F5724F" w:rsidRPr="006B6224">
        <w:t>deliberativos o de a</w:t>
      </w:r>
      <w:r>
        <w:t>dopción de decisiones internas.</w:t>
      </w:r>
    </w:p>
    <w:p w:rsidR="00F5724F" w:rsidRPr="006B6224" w:rsidRDefault="002452DB" w:rsidP="00AF55F3">
      <w:pPr>
        <w:pStyle w:val="enumlev1"/>
        <w:tabs>
          <w:tab w:val="clear" w:pos="567"/>
          <w:tab w:val="clear" w:pos="1134"/>
          <w:tab w:val="clear" w:pos="1701"/>
          <w:tab w:val="clear" w:pos="2268"/>
          <w:tab w:val="clear" w:pos="2835"/>
        </w:tabs>
        <w:ind w:left="1134" w:hanging="425"/>
      </w:pPr>
      <w:r>
        <w:t>4)</w:t>
      </w:r>
      <w:r>
        <w:tab/>
      </w:r>
      <w:r w:rsidR="00F5724F" w:rsidRPr="006B6224">
        <w:t xml:space="preserve">Aspectos relativos a la aplicación </w:t>
      </w:r>
      <w:r w:rsidR="00F5724F">
        <w:t>de una po</w:t>
      </w:r>
      <w:r w:rsidR="00F5724F" w:rsidRPr="006B6224">
        <w:t>l</w:t>
      </w:r>
      <w:r w:rsidR="00F5724F">
        <w:t xml:space="preserve">ítica de información </w:t>
      </w:r>
    </w:p>
    <w:p w:rsidR="00F5724F" w:rsidRPr="006B6224" w:rsidRDefault="002452DB" w:rsidP="00AF55F3">
      <w:pPr>
        <w:pStyle w:val="enumlev2"/>
        <w:tabs>
          <w:tab w:val="clear" w:pos="567"/>
          <w:tab w:val="clear" w:pos="1134"/>
          <w:tab w:val="clear" w:pos="1701"/>
          <w:tab w:val="clear" w:pos="2268"/>
          <w:tab w:val="clear" w:pos="2835"/>
        </w:tabs>
        <w:ind w:left="1560" w:hanging="426"/>
      </w:pPr>
      <w:r>
        <w:t>•</w:t>
      </w:r>
      <w:r>
        <w:tab/>
      </w:r>
      <w:r w:rsidR="00F5724F" w:rsidRPr="006B6224">
        <w:t>¿De qué forma se pone</w:t>
      </w:r>
      <w:r w:rsidR="00F5724F">
        <w:t xml:space="preserve"> la información </w:t>
      </w:r>
      <w:r w:rsidR="00F5724F" w:rsidRPr="006B6224">
        <w:t>a disposición del público</w:t>
      </w:r>
      <w:r w:rsidR="00F5724F">
        <w:t>?</w:t>
      </w:r>
    </w:p>
    <w:p w:rsidR="00F5724F" w:rsidRPr="006B6224" w:rsidRDefault="00F5724F" w:rsidP="00AF55F3">
      <w:pPr>
        <w:pStyle w:val="enumlev3"/>
        <w:numPr>
          <w:ilvl w:val="0"/>
          <w:numId w:val="13"/>
        </w:numPr>
        <w:tabs>
          <w:tab w:val="clear" w:pos="567"/>
          <w:tab w:val="clear" w:pos="1134"/>
          <w:tab w:val="clear" w:pos="1701"/>
          <w:tab w:val="clear" w:pos="2268"/>
          <w:tab w:val="clear" w:pos="2835"/>
        </w:tabs>
        <w:ind w:left="1985" w:hanging="425"/>
      </w:pPr>
      <w:r w:rsidRPr="006B6224">
        <w:t>Publicación proactiva de la información en la página web de la organizaci</w:t>
      </w:r>
      <w:r>
        <w:t>ón</w:t>
      </w:r>
    </w:p>
    <w:p w:rsidR="00F5724F" w:rsidRPr="006B6224" w:rsidRDefault="00F5724F" w:rsidP="00AF55F3">
      <w:pPr>
        <w:pStyle w:val="enumlev3"/>
        <w:numPr>
          <w:ilvl w:val="0"/>
          <w:numId w:val="13"/>
        </w:numPr>
        <w:tabs>
          <w:tab w:val="clear" w:pos="567"/>
          <w:tab w:val="clear" w:pos="1134"/>
          <w:tab w:val="clear" w:pos="1701"/>
          <w:tab w:val="clear" w:pos="2268"/>
          <w:tab w:val="clear" w:pos="2835"/>
        </w:tabs>
        <w:ind w:left="1985" w:hanging="425"/>
      </w:pPr>
      <w:r w:rsidRPr="006B6224">
        <w:t xml:space="preserve">Difusión de la información a puntos de información regionales </w:t>
      </w:r>
    </w:p>
    <w:p w:rsidR="00F5724F" w:rsidRPr="006B6224" w:rsidRDefault="00F5724F" w:rsidP="00AF55F3">
      <w:pPr>
        <w:pStyle w:val="enumlev3"/>
        <w:numPr>
          <w:ilvl w:val="0"/>
          <w:numId w:val="13"/>
        </w:numPr>
        <w:tabs>
          <w:tab w:val="clear" w:pos="567"/>
          <w:tab w:val="clear" w:pos="1134"/>
          <w:tab w:val="clear" w:pos="1701"/>
          <w:tab w:val="clear" w:pos="2268"/>
          <w:tab w:val="clear" w:pos="2835"/>
        </w:tabs>
        <w:ind w:left="1985" w:hanging="425"/>
      </w:pPr>
      <w:r w:rsidRPr="006B6224">
        <w:t>Aceptación de pedidos indi</w:t>
      </w:r>
      <w:r>
        <w:t xml:space="preserve">viduales de información </w:t>
      </w:r>
    </w:p>
    <w:p w:rsidR="00F5724F" w:rsidRPr="00204F1A" w:rsidRDefault="002452DB" w:rsidP="00AF55F3">
      <w:pPr>
        <w:pStyle w:val="enumlev2"/>
        <w:tabs>
          <w:tab w:val="clear" w:pos="567"/>
          <w:tab w:val="clear" w:pos="1134"/>
          <w:tab w:val="clear" w:pos="1701"/>
          <w:tab w:val="clear" w:pos="2268"/>
          <w:tab w:val="clear" w:pos="2835"/>
        </w:tabs>
        <w:ind w:left="1560" w:hanging="426"/>
      </w:pPr>
      <w:r>
        <w:t>•</w:t>
      </w:r>
      <w:r>
        <w:tab/>
      </w:r>
      <w:r w:rsidR="00F5724F" w:rsidRPr="00204F1A">
        <w:t xml:space="preserve">¿Quién es el responsable de tratar los pedidos de información? </w:t>
      </w:r>
      <w:r w:rsidR="00F5724F">
        <w:t>¿Qué procedimiento se aplica en el tratamiento de los pedidos de información?</w:t>
      </w:r>
    </w:p>
    <w:p w:rsidR="00F5724F" w:rsidRPr="007A4CF6" w:rsidRDefault="002452DB" w:rsidP="00AF55F3">
      <w:pPr>
        <w:pStyle w:val="enumlev2"/>
        <w:tabs>
          <w:tab w:val="clear" w:pos="567"/>
          <w:tab w:val="clear" w:pos="1134"/>
          <w:tab w:val="clear" w:pos="1701"/>
          <w:tab w:val="clear" w:pos="2268"/>
          <w:tab w:val="clear" w:pos="2835"/>
        </w:tabs>
        <w:ind w:left="1560" w:hanging="426"/>
      </w:pPr>
      <w:r>
        <w:t>•</w:t>
      </w:r>
      <w:r>
        <w:tab/>
      </w:r>
      <w:r w:rsidR="00F5724F" w:rsidRPr="007A4CF6">
        <w:t>Creación de un Comité de Supervisión/Comité de Acceso a la Información</w:t>
      </w:r>
      <w:r w:rsidR="00F5724F" w:rsidRPr="000C739A">
        <w:rPr>
          <w:rStyle w:val="FootnoteReference"/>
          <w:szCs w:val="16"/>
        </w:rPr>
        <w:footnoteReference w:id="4"/>
      </w:r>
      <w:r w:rsidR="00F5724F" w:rsidRPr="007A4CF6">
        <w:t xml:space="preserve"> encargado de supervisar la aplicación de la política de acceso a la informaci</w:t>
      </w:r>
      <w:r w:rsidR="00F5724F">
        <w:t>ón, que comprende los siguientes aspectos:</w:t>
      </w:r>
    </w:p>
    <w:p w:rsidR="00F5724F" w:rsidRPr="009B5389" w:rsidRDefault="00F5724F" w:rsidP="00AF55F3">
      <w:pPr>
        <w:pStyle w:val="enumlev3"/>
        <w:numPr>
          <w:ilvl w:val="0"/>
          <w:numId w:val="15"/>
        </w:numPr>
        <w:tabs>
          <w:tab w:val="clear" w:pos="567"/>
          <w:tab w:val="clear" w:pos="1134"/>
          <w:tab w:val="clear" w:pos="1701"/>
          <w:tab w:val="clear" w:pos="2268"/>
          <w:tab w:val="clear" w:pos="2835"/>
        </w:tabs>
      </w:pPr>
      <w:r w:rsidRPr="009B5389">
        <w:lastRenderedPageBreak/>
        <w:t>Asistencia al personal directivo sobre la aplicación de la política</w:t>
      </w:r>
    </w:p>
    <w:p w:rsidR="00F5724F" w:rsidRPr="009B5389" w:rsidRDefault="00F5724F" w:rsidP="00AF55F3">
      <w:pPr>
        <w:pStyle w:val="enumlev3"/>
        <w:numPr>
          <w:ilvl w:val="0"/>
          <w:numId w:val="15"/>
        </w:numPr>
        <w:tabs>
          <w:tab w:val="clear" w:pos="567"/>
          <w:tab w:val="clear" w:pos="1134"/>
          <w:tab w:val="clear" w:pos="1701"/>
          <w:tab w:val="clear" w:pos="2268"/>
          <w:tab w:val="clear" w:pos="2835"/>
        </w:tabs>
      </w:pPr>
      <w:r w:rsidRPr="009B5389">
        <w:t>Examen de propuesta</w:t>
      </w:r>
      <w:r>
        <w:t xml:space="preserve">s destinadas a </w:t>
      </w:r>
      <w:r w:rsidRPr="009B5389">
        <w:t>revelar informaci</w:t>
      </w:r>
      <w:r>
        <w:t>ón contenida en la li</w:t>
      </w:r>
      <w:r w:rsidRPr="009B5389">
        <w:t>sta de excepciones</w:t>
      </w:r>
    </w:p>
    <w:p w:rsidR="00F5724F" w:rsidRPr="009B5389" w:rsidRDefault="00F5724F" w:rsidP="00AF55F3">
      <w:pPr>
        <w:pStyle w:val="enumlev3"/>
        <w:numPr>
          <w:ilvl w:val="0"/>
          <w:numId w:val="15"/>
        </w:numPr>
        <w:tabs>
          <w:tab w:val="clear" w:pos="567"/>
          <w:tab w:val="clear" w:pos="1134"/>
          <w:tab w:val="clear" w:pos="1701"/>
          <w:tab w:val="clear" w:pos="2268"/>
          <w:tab w:val="clear" w:pos="2835"/>
        </w:tabs>
      </w:pPr>
      <w:r w:rsidRPr="009B5389">
        <w:t>Garantía de coherencia en la realización y aplicación de la pol</w:t>
      </w:r>
      <w:r>
        <w:t xml:space="preserve">ítica </w:t>
      </w:r>
    </w:p>
    <w:p w:rsidR="00F5724F" w:rsidRPr="00065B2C" w:rsidRDefault="00F5724F" w:rsidP="00AF55F3">
      <w:pPr>
        <w:pStyle w:val="enumlev3"/>
        <w:numPr>
          <w:ilvl w:val="0"/>
          <w:numId w:val="15"/>
        </w:numPr>
        <w:tabs>
          <w:tab w:val="clear" w:pos="567"/>
          <w:tab w:val="clear" w:pos="1134"/>
          <w:tab w:val="clear" w:pos="1701"/>
          <w:tab w:val="clear" w:pos="2268"/>
          <w:tab w:val="clear" w:pos="2835"/>
        </w:tabs>
      </w:pPr>
      <w:r w:rsidRPr="00065B2C">
        <w:t xml:space="preserve">Recepción y solución de recursos </w:t>
      </w:r>
      <w:r>
        <w:t xml:space="preserve">de apelación </w:t>
      </w:r>
      <w:r w:rsidRPr="00065B2C">
        <w:t>presentados</w:t>
      </w:r>
    </w:p>
    <w:p w:rsidR="00F5724F" w:rsidRPr="00065B2C" w:rsidRDefault="00F5724F" w:rsidP="00AF55F3">
      <w:pPr>
        <w:pStyle w:val="enumlev3"/>
        <w:numPr>
          <w:ilvl w:val="0"/>
          <w:numId w:val="15"/>
        </w:numPr>
        <w:tabs>
          <w:tab w:val="clear" w:pos="567"/>
          <w:tab w:val="clear" w:pos="1134"/>
          <w:tab w:val="clear" w:pos="1701"/>
          <w:tab w:val="clear" w:pos="2268"/>
          <w:tab w:val="clear" w:pos="2835"/>
        </w:tabs>
      </w:pPr>
      <w:r w:rsidRPr="00065B2C">
        <w:t xml:space="preserve">Publicación de directrices al personal sobre la aplicación de la política, incluida la elaboración de procedimientos y </w:t>
      </w:r>
      <w:r>
        <w:t>directrice</w:t>
      </w:r>
      <w:r w:rsidRPr="00065B2C">
        <w:t>s que asocien  los tipos de documentos actuales de la organización a las categorías restringidas</w:t>
      </w:r>
    </w:p>
    <w:p w:rsidR="00F5724F" w:rsidRPr="00065B2C" w:rsidRDefault="00F5724F" w:rsidP="00AF55F3">
      <w:pPr>
        <w:pStyle w:val="enumlev3"/>
        <w:numPr>
          <w:ilvl w:val="0"/>
          <w:numId w:val="15"/>
        </w:numPr>
        <w:tabs>
          <w:tab w:val="clear" w:pos="567"/>
          <w:tab w:val="clear" w:pos="1134"/>
          <w:tab w:val="clear" w:pos="1701"/>
          <w:tab w:val="clear" w:pos="2268"/>
          <w:tab w:val="clear" w:pos="2835"/>
        </w:tabs>
      </w:pPr>
      <w:r w:rsidRPr="00065B2C">
        <w:t>Examen periódico de la política y los procedimientos, así como formulaci</w:t>
      </w:r>
      <w:r>
        <w:t>ón de recomendaciones sobre las modificaciones que</w:t>
      </w:r>
      <w:r w:rsidR="00AF55F3">
        <w:t xml:space="preserve"> convendría introducir.</w:t>
      </w:r>
    </w:p>
    <w:p w:rsidR="00F5724F" w:rsidRPr="002B584C" w:rsidRDefault="002452DB" w:rsidP="00AF55F3">
      <w:pPr>
        <w:pStyle w:val="enumlev1"/>
        <w:tabs>
          <w:tab w:val="clear" w:pos="567"/>
          <w:tab w:val="clear" w:pos="1134"/>
          <w:tab w:val="clear" w:pos="1701"/>
          <w:tab w:val="clear" w:pos="2268"/>
          <w:tab w:val="clear" w:pos="2835"/>
        </w:tabs>
        <w:ind w:left="1134" w:hanging="425"/>
      </w:pPr>
      <w:r>
        <w:t>5)</w:t>
      </w:r>
      <w:r>
        <w:tab/>
      </w:r>
      <w:r w:rsidR="00AF55F3">
        <w:t>Procesos de apelación</w:t>
      </w:r>
    </w:p>
    <w:p w:rsidR="00F5724F" w:rsidRPr="00065B2C" w:rsidRDefault="002452DB" w:rsidP="00AF55F3">
      <w:pPr>
        <w:pStyle w:val="enumlev2"/>
        <w:tabs>
          <w:tab w:val="clear" w:pos="567"/>
          <w:tab w:val="clear" w:pos="1134"/>
          <w:tab w:val="clear" w:pos="1701"/>
          <w:tab w:val="clear" w:pos="2268"/>
          <w:tab w:val="clear" w:pos="2835"/>
        </w:tabs>
        <w:ind w:left="1560" w:hanging="426"/>
      </w:pPr>
      <w:r>
        <w:t>•</w:t>
      </w:r>
      <w:r>
        <w:tab/>
      </w:r>
      <w:r w:rsidR="00F5724F" w:rsidRPr="00065B2C">
        <w:t>¿Qué derecho de apelación</w:t>
      </w:r>
      <w:r w:rsidR="00F5724F">
        <w:t xml:space="preserve"> tienen los individuos</w:t>
      </w:r>
      <w:r w:rsidR="00F5724F" w:rsidRPr="00065B2C">
        <w:t xml:space="preserve"> contra una decisi</w:t>
      </w:r>
      <w:r w:rsidR="00F5724F">
        <w:t>ón en virtud de la cual se niega el acceso a la información solicitada? ¿Cuál es el proceso a seguir? ¿Quién se encarga de tratar los recursos de apelación?</w:t>
      </w:r>
    </w:p>
    <w:p w:rsidR="00F5724F" w:rsidRPr="00065B2C" w:rsidRDefault="00F5724F" w:rsidP="00F5724F">
      <w:pPr>
        <w:tabs>
          <w:tab w:val="clear" w:pos="567"/>
          <w:tab w:val="clear" w:pos="1134"/>
          <w:tab w:val="clear" w:pos="1701"/>
          <w:tab w:val="clear" w:pos="2268"/>
          <w:tab w:val="clear" w:pos="2835"/>
        </w:tabs>
        <w:overflowPunct/>
        <w:autoSpaceDE/>
        <w:autoSpaceDN/>
        <w:adjustRightInd/>
        <w:spacing w:before="0"/>
        <w:jc w:val="both"/>
        <w:textAlignment w:val="auto"/>
      </w:pPr>
      <w:r w:rsidRPr="00065B2C">
        <w:br w:type="page"/>
      </w:r>
    </w:p>
    <w:p w:rsidR="00F5724F" w:rsidRDefault="00F5724F" w:rsidP="00611B1C">
      <w:pPr>
        <w:pStyle w:val="AnnexNo"/>
      </w:pPr>
      <w:bookmarkStart w:id="8" w:name="Annex1"/>
      <w:r>
        <w:lastRenderedPageBreak/>
        <w:t>A</w:t>
      </w:r>
      <w:r w:rsidRPr="00426AE1">
        <w:t>NEX</w:t>
      </w:r>
      <w:r>
        <w:t>O</w:t>
      </w:r>
      <w:r w:rsidRPr="00426AE1">
        <w:t xml:space="preserve"> 1</w:t>
      </w:r>
    </w:p>
    <w:bookmarkEnd w:id="8"/>
    <w:p w:rsidR="00F5724F" w:rsidRDefault="00F5724F" w:rsidP="00F5724F">
      <w:pPr>
        <w:pStyle w:val="Annextitle"/>
      </w:pPr>
      <w:r>
        <w:t>Extraído de</w:t>
      </w:r>
    </w:p>
    <w:p w:rsidR="00F5724F" w:rsidRPr="00225833" w:rsidRDefault="00F5724F" w:rsidP="00AF55F3">
      <w:pPr>
        <w:pStyle w:val="Annextitle"/>
        <w:spacing w:before="0" w:after="0"/>
      </w:pPr>
      <w:r w:rsidRPr="00831765">
        <w:t xml:space="preserve">Documento C14/92: Informe del Presidente de la Comisión Permanente sobre  Administración y Gestión </w:t>
      </w:r>
      <w:r w:rsidRPr="00225833">
        <w:t xml:space="preserve">y </w:t>
      </w:r>
      <w:r w:rsidRPr="00225833">
        <w:br/>
        <w:t>Documento C14/99: Resumen de los debates de la</w:t>
      </w:r>
      <w:r>
        <w:t xml:space="preserve"> </w:t>
      </w:r>
      <w:r w:rsidRPr="00225833">
        <w:t xml:space="preserve">novena Sesión Plenaria </w:t>
      </w:r>
    </w:p>
    <w:p w:rsidR="00F5724F" w:rsidRPr="00D7419A" w:rsidRDefault="00F5724F" w:rsidP="00AF55F3">
      <w:pPr>
        <w:spacing w:before="240"/>
        <w:rPr>
          <w:rFonts w:asciiTheme="minorHAnsi" w:hAnsiTheme="minorHAnsi"/>
          <w:b/>
          <w:bCs/>
          <w:szCs w:val="24"/>
        </w:rPr>
      </w:pPr>
      <w:r w:rsidRPr="00D7419A">
        <w:rPr>
          <w:rFonts w:asciiTheme="minorHAnsi" w:hAnsiTheme="minorHAnsi"/>
          <w:b/>
          <w:bCs/>
          <w:szCs w:val="24"/>
        </w:rPr>
        <w:t xml:space="preserve">Extraído del Documento C14/92: </w:t>
      </w:r>
      <w:r w:rsidRPr="00D7419A">
        <w:rPr>
          <w:bCs/>
        </w:rPr>
        <w:t>Informe del Presidente de la Comisión Permanente sobre  Administración y Gestión</w:t>
      </w:r>
    </w:p>
    <w:p w:rsidR="00F5724F" w:rsidRDefault="00F5724F" w:rsidP="00F5724F">
      <w:pPr>
        <w:jc w:val="both"/>
        <w:rPr>
          <w:rFonts w:asciiTheme="minorHAnsi" w:hAnsiTheme="minorHAnsi"/>
          <w:b/>
          <w:bCs/>
          <w:szCs w:val="24"/>
        </w:rPr>
      </w:pPr>
      <w:r>
        <w:rPr>
          <w:rFonts w:asciiTheme="minorHAnsi" w:hAnsiTheme="minorHAnsi"/>
          <w:b/>
          <w:bCs/>
          <w:szCs w:val="24"/>
        </w:rPr>
        <w:t>……..</w:t>
      </w:r>
    </w:p>
    <w:p w:rsidR="00F5724F" w:rsidRPr="00446BA0" w:rsidRDefault="00F5724F" w:rsidP="00F5724F">
      <w:pPr>
        <w:jc w:val="both"/>
        <w:rPr>
          <w:rFonts w:asciiTheme="minorHAnsi" w:hAnsiTheme="minorHAnsi"/>
          <w:b/>
          <w:bCs/>
          <w:szCs w:val="24"/>
        </w:rPr>
      </w:pPr>
      <w:r w:rsidRPr="00446BA0">
        <w:rPr>
          <w:rFonts w:asciiTheme="minorHAnsi" w:hAnsiTheme="minorHAnsi"/>
          <w:b/>
          <w:bCs/>
          <w:szCs w:val="24"/>
        </w:rPr>
        <w:t xml:space="preserve">Política general relativa al acceso a los documentos de la UIT (Documentos </w:t>
      </w:r>
      <w:hyperlink r:id="rId17" w:history="1">
        <w:r w:rsidRPr="00446BA0">
          <w:rPr>
            <w:rStyle w:val="Hyperlink"/>
            <w:rFonts w:asciiTheme="minorHAnsi" w:hAnsiTheme="minorHAnsi"/>
            <w:b/>
            <w:bCs/>
            <w:szCs w:val="24"/>
          </w:rPr>
          <w:t>C14/INF/20</w:t>
        </w:r>
      </w:hyperlink>
      <w:r w:rsidRPr="00446BA0">
        <w:rPr>
          <w:rFonts w:asciiTheme="minorHAnsi" w:hAnsiTheme="minorHAnsi"/>
          <w:b/>
          <w:bCs/>
          <w:szCs w:val="24"/>
        </w:rPr>
        <w:t xml:space="preserve"> y </w:t>
      </w:r>
      <w:hyperlink r:id="rId18" w:history="1">
        <w:r w:rsidRPr="00446BA0">
          <w:rPr>
            <w:rStyle w:val="Hyperlink"/>
            <w:rFonts w:asciiTheme="minorHAnsi" w:hAnsiTheme="minorHAnsi"/>
            <w:b/>
            <w:bCs/>
            <w:szCs w:val="24"/>
          </w:rPr>
          <w:t>C14/64</w:t>
        </w:r>
      </w:hyperlink>
      <w:r w:rsidRPr="00446BA0">
        <w:rPr>
          <w:rFonts w:asciiTheme="minorHAnsi" w:hAnsiTheme="minorHAnsi"/>
          <w:b/>
          <w:bCs/>
          <w:szCs w:val="24"/>
        </w:rPr>
        <w:t>)</w:t>
      </w:r>
    </w:p>
    <w:p w:rsidR="00F5724F" w:rsidRPr="00446BA0" w:rsidRDefault="00F5724F" w:rsidP="00F5724F">
      <w:pPr>
        <w:tabs>
          <w:tab w:val="clear" w:pos="567"/>
          <w:tab w:val="clear" w:pos="1134"/>
          <w:tab w:val="clear" w:pos="1701"/>
          <w:tab w:val="clear" w:pos="2268"/>
          <w:tab w:val="clear" w:pos="2835"/>
        </w:tabs>
        <w:spacing w:after="160"/>
        <w:rPr>
          <w:rFonts w:eastAsiaTheme="minorEastAsia" w:cs="Calibri"/>
          <w:szCs w:val="24"/>
          <w:lang w:eastAsia="zh-CN"/>
        </w:rPr>
      </w:pPr>
      <w:r w:rsidRPr="00446BA0">
        <w:rPr>
          <w:rFonts w:eastAsiaTheme="minorEastAsia" w:cs="Calibri"/>
          <w:szCs w:val="24"/>
          <w:lang w:eastAsia="zh-CN"/>
        </w:rPr>
        <w:t>7.9</w:t>
      </w:r>
      <w:r w:rsidRPr="00446BA0">
        <w:rPr>
          <w:rFonts w:eastAsiaTheme="minorEastAsia" w:cs="Calibri"/>
          <w:szCs w:val="24"/>
          <w:lang w:eastAsia="zh-CN"/>
        </w:rPr>
        <w:tab/>
        <w:t>La Delegación de los Estados Unidos de América presenta el documento sobre Acceso a los documentos de la UIT a fin de dotar de mayor transparencia a las decisiones de la UIT, mejorar el proceso de toma de decisiones y garantizar la obligación de rendir cuentas.</w:t>
      </w:r>
    </w:p>
    <w:p w:rsidR="00F5724F" w:rsidRPr="00446BA0" w:rsidRDefault="00F5724F" w:rsidP="00F5724F">
      <w:pPr>
        <w:tabs>
          <w:tab w:val="clear" w:pos="567"/>
          <w:tab w:val="clear" w:pos="1134"/>
          <w:tab w:val="clear" w:pos="1701"/>
          <w:tab w:val="clear" w:pos="2268"/>
          <w:tab w:val="clear" w:pos="2835"/>
        </w:tabs>
        <w:spacing w:after="160"/>
        <w:rPr>
          <w:rFonts w:eastAsiaTheme="minorEastAsia" w:cs="Calibri"/>
          <w:szCs w:val="24"/>
          <w:lang w:eastAsia="zh-CN"/>
        </w:rPr>
      </w:pPr>
      <w:r w:rsidRPr="00446BA0">
        <w:rPr>
          <w:rFonts w:eastAsiaTheme="minorEastAsia" w:cs="Calibri"/>
          <w:szCs w:val="24"/>
          <w:lang w:eastAsia="zh-CN"/>
        </w:rPr>
        <w:t>7.10</w:t>
      </w:r>
      <w:r w:rsidRPr="00446BA0">
        <w:rPr>
          <w:rFonts w:eastAsiaTheme="minorEastAsia" w:cs="Calibri"/>
          <w:szCs w:val="24"/>
          <w:lang w:eastAsia="zh-CN"/>
        </w:rPr>
        <w:tab/>
        <w:t>En el documento se propone dar acceso público a los documentos de la Conferencia de Plenipotenciarios (PP</w:t>
      </w:r>
      <w:r w:rsidRPr="00446BA0">
        <w:rPr>
          <w:rFonts w:eastAsiaTheme="minorEastAsia" w:cs="Calibri"/>
          <w:szCs w:val="24"/>
          <w:lang w:eastAsia="zh-CN"/>
        </w:rPr>
        <w:noBreakHyphen/>
        <w:t>14).</w:t>
      </w:r>
    </w:p>
    <w:p w:rsidR="00F5724F" w:rsidRPr="00446BA0" w:rsidRDefault="00F5724F" w:rsidP="00F5724F">
      <w:pPr>
        <w:tabs>
          <w:tab w:val="clear" w:pos="567"/>
          <w:tab w:val="clear" w:pos="1134"/>
          <w:tab w:val="clear" w:pos="1701"/>
          <w:tab w:val="clear" w:pos="2268"/>
          <w:tab w:val="clear" w:pos="2835"/>
        </w:tabs>
        <w:spacing w:after="160"/>
        <w:rPr>
          <w:rFonts w:eastAsiaTheme="minorEastAsia" w:cs="Calibri"/>
          <w:szCs w:val="24"/>
          <w:lang w:eastAsia="zh-CN"/>
        </w:rPr>
      </w:pPr>
      <w:r w:rsidRPr="00446BA0">
        <w:rPr>
          <w:rFonts w:eastAsiaTheme="minorEastAsia" w:cs="Calibri"/>
          <w:szCs w:val="24"/>
          <w:lang w:eastAsia="zh-CN"/>
        </w:rPr>
        <w:t xml:space="preserve">7.11 </w:t>
      </w:r>
      <w:r w:rsidRPr="00446BA0">
        <w:rPr>
          <w:rFonts w:eastAsiaTheme="minorEastAsia" w:cs="Calibri"/>
          <w:szCs w:val="24"/>
          <w:lang w:eastAsia="zh-CN"/>
        </w:rPr>
        <w:tab/>
        <w:t>La privacidad de las personas y de los terceros, los privilegios legales, la información contractual, sobre patentes o comerciales, y ciertas cuestiones de gobernanza interna deberían tomarse detenidamente en consideración en la política de acceso a los documentos.</w:t>
      </w:r>
    </w:p>
    <w:p w:rsidR="00F5724F" w:rsidRPr="00446BA0" w:rsidRDefault="00F5724F" w:rsidP="00F5724F">
      <w:pPr>
        <w:tabs>
          <w:tab w:val="clear" w:pos="567"/>
          <w:tab w:val="clear" w:pos="1134"/>
          <w:tab w:val="clear" w:pos="1701"/>
          <w:tab w:val="clear" w:pos="2268"/>
          <w:tab w:val="clear" w:pos="2835"/>
        </w:tabs>
        <w:spacing w:after="160"/>
        <w:rPr>
          <w:rFonts w:eastAsiaTheme="minorEastAsia" w:cs="Calibri"/>
          <w:szCs w:val="24"/>
          <w:lang w:eastAsia="zh-CN"/>
        </w:rPr>
      </w:pPr>
      <w:r w:rsidRPr="00446BA0">
        <w:rPr>
          <w:rFonts w:eastAsiaTheme="minorEastAsia" w:cs="Calibri"/>
          <w:szCs w:val="24"/>
          <w:lang w:eastAsia="zh-CN"/>
        </w:rPr>
        <w:t>7.12</w:t>
      </w:r>
      <w:r w:rsidRPr="00446BA0">
        <w:rPr>
          <w:rFonts w:eastAsiaTheme="minorEastAsia" w:cs="Calibri"/>
          <w:szCs w:val="24"/>
          <w:lang w:eastAsia="zh-CN"/>
        </w:rPr>
        <w:tab/>
        <w:t>Si bien varios delegados hicieron suya la propuesta, otros recordaron a la Comisión que hay que actuar con cautela a la hora de permitir el acceso del público a los documentos. Un número considerable de delegados se mostraron partidarios de la transparencia. Pese a que varios delegados apoyaron la divulgación pública de documentos, a fin de dotar de mayor transparencia a las decisiones de la UIT, mejorar el proceso de toma de decisiones y garantizar la obligación de rendir cuentas, algunos delegados consideran que hay que actuar con cautela a la hora de divulgar públicamente la información.</w:t>
      </w:r>
    </w:p>
    <w:p w:rsidR="00F5724F" w:rsidRPr="00446BA0" w:rsidRDefault="00F5724F" w:rsidP="00F5724F">
      <w:pPr>
        <w:tabs>
          <w:tab w:val="clear" w:pos="567"/>
          <w:tab w:val="clear" w:pos="1134"/>
          <w:tab w:val="clear" w:pos="1701"/>
          <w:tab w:val="clear" w:pos="2268"/>
          <w:tab w:val="clear" w:pos="2835"/>
        </w:tabs>
        <w:spacing w:after="160"/>
        <w:rPr>
          <w:rFonts w:asciiTheme="minorHAnsi" w:hAnsiTheme="minorHAnsi"/>
          <w:szCs w:val="24"/>
        </w:rPr>
      </w:pPr>
      <w:r w:rsidRPr="00446BA0">
        <w:rPr>
          <w:rFonts w:eastAsiaTheme="minorEastAsia" w:cs="Calibri"/>
          <w:szCs w:val="24"/>
          <w:lang w:eastAsia="zh-CN"/>
        </w:rPr>
        <w:t>7.13</w:t>
      </w:r>
      <w:r w:rsidRPr="00446BA0">
        <w:rPr>
          <w:rFonts w:eastAsiaTheme="minorEastAsia" w:cs="Calibri"/>
          <w:szCs w:val="24"/>
          <w:lang w:eastAsia="zh-CN"/>
        </w:rPr>
        <w:tab/>
        <w:t>El Asesor Jurídico de la UIT confirmó que la Conferencia de Plenipotenciarios debe adoptar una decisión sobre la política general de acceso a los documentos de la UIT</w:t>
      </w:r>
      <w:r w:rsidRPr="00446BA0">
        <w:rPr>
          <w:rFonts w:asciiTheme="minorHAnsi" w:hAnsiTheme="minorHAnsi"/>
          <w:szCs w:val="24"/>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F5724F" w:rsidRPr="00446BA0" w:rsidTr="0029695D">
        <w:tc>
          <w:tcPr>
            <w:tcW w:w="9287" w:type="dxa"/>
            <w:tcBorders>
              <w:top w:val="single" w:sz="4" w:space="0" w:color="auto"/>
              <w:left w:val="single" w:sz="4" w:space="0" w:color="auto"/>
              <w:bottom w:val="single" w:sz="4" w:space="0" w:color="auto"/>
              <w:right w:val="single" w:sz="4" w:space="0" w:color="auto"/>
            </w:tcBorders>
            <w:hideMark/>
          </w:tcPr>
          <w:p w:rsidR="00F5724F" w:rsidRDefault="00F5724F" w:rsidP="0029695D">
            <w:pPr>
              <w:spacing w:before="60" w:after="120"/>
              <w:rPr>
                <w:b/>
                <w:bCs/>
                <w:i/>
                <w:iCs/>
                <w:szCs w:val="24"/>
              </w:rPr>
            </w:pPr>
            <w:r>
              <w:rPr>
                <w:b/>
                <w:bCs/>
                <w:i/>
                <w:iCs/>
                <w:szCs w:val="24"/>
              </w:rPr>
              <w:t>Recomendación</w:t>
            </w:r>
          </w:p>
          <w:p w:rsidR="00F5724F" w:rsidRPr="00446BA0" w:rsidRDefault="00F5724F" w:rsidP="0029695D">
            <w:pPr>
              <w:spacing w:after="60"/>
              <w:rPr>
                <w:szCs w:val="24"/>
              </w:rPr>
            </w:pPr>
            <w:r w:rsidRPr="00446BA0">
              <w:rPr>
                <w:szCs w:val="24"/>
              </w:rPr>
              <w:t>7.14</w:t>
            </w:r>
            <w:r w:rsidRPr="00446BA0">
              <w:rPr>
                <w:szCs w:val="24"/>
              </w:rPr>
              <w:tab/>
              <w:t>La Comisión recomienda a la Secretaría que siga estudiando este asunto y presente la documentación pertinente y el resumen de los debates sobre este particular a la Conferencia de Plenipotenciarios para que ésta tome una decisión al respecto</w:t>
            </w:r>
            <w:r w:rsidRPr="00446BA0">
              <w:rPr>
                <w:rFonts w:cs="Calibri"/>
                <w:szCs w:val="24"/>
              </w:rPr>
              <w:t>.</w:t>
            </w:r>
          </w:p>
        </w:tc>
      </w:tr>
    </w:tbl>
    <w:p w:rsidR="00F5724F" w:rsidRDefault="00F5724F" w:rsidP="00FF608E">
      <w:pPr>
        <w:spacing w:before="240"/>
        <w:rPr>
          <w:rFonts w:asciiTheme="minorHAnsi" w:hAnsiTheme="minorHAnsi"/>
          <w:b/>
          <w:bCs/>
          <w:i/>
          <w:iCs/>
          <w:szCs w:val="24"/>
        </w:rPr>
      </w:pPr>
      <w:r>
        <w:rPr>
          <w:rFonts w:asciiTheme="minorHAnsi" w:hAnsiTheme="minorHAnsi"/>
          <w:b/>
          <w:bCs/>
          <w:i/>
          <w:iCs/>
          <w:szCs w:val="24"/>
        </w:rPr>
        <w:t>---</w:t>
      </w:r>
    </w:p>
    <w:p w:rsidR="00F5724F" w:rsidRPr="00127D1F" w:rsidRDefault="00F5724F" w:rsidP="00FF608E">
      <w:pPr>
        <w:spacing w:before="240"/>
        <w:rPr>
          <w:rFonts w:asciiTheme="minorHAnsi" w:hAnsiTheme="minorHAnsi"/>
          <w:b/>
          <w:bCs/>
          <w:szCs w:val="24"/>
        </w:rPr>
      </w:pPr>
      <w:r w:rsidRPr="00127D1F">
        <w:rPr>
          <w:rFonts w:asciiTheme="minorHAnsi" w:hAnsiTheme="minorHAnsi"/>
          <w:b/>
          <w:bCs/>
          <w:szCs w:val="24"/>
        </w:rPr>
        <w:t xml:space="preserve">Acceso a los Informes del Auditor Interno, del CAIG y del Auditor Externo (Documentos </w:t>
      </w:r>
      <w:hyperlink r:id="rId19" w:history="1">
        <w:r w:rsidRPr="00127D1F">
          <w:rPr>
            <w:rStyle w:val="Hyperlink"/>
            <w:rFonts w:asciiTheme="minorHAnsi" w:hAnsiTheme="minorHAnsi"/>
            <w:b/>
            <w:bCs/>
            <w:szCs w:val="24"/>
          </w:rPr>
          <w:t>C14/61</w:t>
        </w:r>
      </w:hyperlink>
      <w:r w:rsidRPr="00127D1F">
        <w:rPr>
          <w:rFonts w:asciiTheme="minorHAnsi" w:hAnsiTheme="minorHAnsi"/>
          <w:b/>
          <w:bCs/>
          <w:szCs w:val="24"/>
        </w:rPr>
        <w:t xml:space="preserve"> y </w:t>
      </w:r>
      <w:hyperlink r:id="rId20" w:history="1">
        <w:r w:rsidRPr="00127D1F">
          <w:rPr>
            <w:rStyle w:val="Hyperlink"/>
            <w:rFonts w:asciiTheme="minorHAnsi" w:hAnsiTheme="minorHAnsi"/>
            <w:b/>
            <w:bCs/>
            <w:szCs w:val="24"/>
          </w:rPr>
          <w:t>C14/62</w:t>
        </w:r>
      </w:hyperlink>
      <w:r w:rsidRPr="00127D1F">
        <w:rPr>
          <w:rFonts w:asciiTheme="minorHAnsi" w:hAnsiTheme="minorHAnsi"/>
          <w:b/>
          <w:bCs/>
          <w:szCs w:val="24"/>
        </w:rPr>
        <w:t>)</w:t>
      </w:r>
    </w:p>
    <w:p w:rsidR="00F5724F" w:rsidRPr="00F46BF1" w:rsidRDefault="00F5724F" w:rsidP="00F5724F">
      <w:pPr>
        <w:spacing w:after="240"/>
        <w:rPr>
          <w:rFonts w:asciiTheme="minorHAnsi" w:hAnsiTheme="minorHAnsi"/>
          <w:szCs w:val="24"/>
        </w:rPr>
      </w:pPr>
      <w:r w:rsidRPr="00F46BF1">
        <w:rPr>
          <w:rFonts w:asciiTheme="minorHAnsi" w:hAnsiTheme="minorHAnsi"/>
          <w:szCs w:val="24"/>
        </w:rPr>
        <w:t>7.15</w:t>
      </w:r>
      <w:r w:rsidRPr="00F46BF1">
        <w:rPr>
          <w:rFonts w:asciiTheme="minorHAnsi" w:hAnsiTheme="minorHAnsi"/>
          <w:szCs w:val="24"/>
        </w:rPr>
        <w:tab/>
        <w:t>La cuestión del acceso a los documentos de la UIT y la divulgación pública de los Informes del Auditor Interno, el Auditor Externo y el CAIG fue objeto de largos y ásperos debates, y fueron muchos los delegados que hicieron uso de la palabra.</w:t>
      </w:r>
    </w:p>
    <w:p w:rsidR="00F5724F" w:rsidRPr="00F46BF1" w:rsidRDefault="00F5724F" w:rsidP="00F5724F">
      <w:pPr>
        <w:spacing w:after="240"/>
        <w:rPr>
          <w:rFonts w:asciiTheme="minorHAnsi" w:hAnsiTheme="minorHAnsi"/>
          <w:szCs w:val="24"/>
        </w:rPr>
      </w:pPr>
      <w:r w:rsidRPr="00F46BF1">
        <w:rPr>
          <w:rFonts w:asciiTheme="minorHAnsi" w:hAnsiTheme="minorHAnsi"/>
          <w:szCs w:val="24"/>
        </w:rPr>
        <w:lastRenderedPageBreak/>
        <w:t>7.16</w:t>
      </w:r>
      <w:r w:rsidRPr="00F46BF1">
        <w:rPr>
          <w:rFonts w:asciiTheme="minorHAnsi" w:hAnsiTheme="minorHAnsi"/>
          <w:szCs w:val="24"/>
        </w:rPr>
        <w:tab/>
        <w:t>Un número considerable de delegados se mostraron a favor de la transparencia. Pese a que varios delegados apoyaron la divulgación pública de documentos, a fin de dotar de mayor transparencia a las decisiones de la UIT, mejorar el proceso de toma de decisiones y garantizar la obligación de rendir cuentas, algunos delegados consideran que hay que actuar con cautela a la hora de divulgar públicamente la información. Estiman que los documentos deben someterse a un proceso exhaustivo de examen y verificación a fin de evitar que se puedan extraer conclusiones erróneas.</w:t>
      </w:r>
    </w:p>
    <w:p w:rsidR="00F5724F" w:rsidRPr="00F46BF1" w:rsidRDefault="00F5724F" w:rsidP="00F5724F">
      <w:pPr>
        <w:spacing w:after="240"/>
        <w:rPr>
          <w:rFonts w:asciiTheme="minorHAnsi" w:hAnsiTheme="minorHAnsi"/>
          <w:szCs w:val="24"/>
        </w:rPr>
      </w:pPr>
      <w:r w:rsidRPr="00F46BF1">
        <w:rPr>
          <w:rFonts w:asciiTheme="minorHAnsi" w:hAnsiTheme="minorHAnsi"/>
          <w:szCs w:val="24"/>
        </w:rPr>
        <w:t>7.17</w:t>
      </w:r>
      <w:r w:rsidRPr="00F46BF1">
        <w:rPr>
          <w:rFonts w:asciiTheme="minorHAnsi" w:hAnsiTheme="minorHAnsi"/>
          <w:szCs w:val="24"/>
        </w:rPr>
        <w:tab/>
        <w:t>Los Estados Unidos de América presentaron a la Comisión una propuesta para que se recomendara al Consejo que los Informes del Auditor Interno y del CAIG se pusieran a disposición del público en general.</w:t>
      </w:r>
    </w:p>
    <w:p w:rsidR="00F5724F" w:rsidRPr="00F46BF1" w:rsidRDefault="00F5724F" w:rsidP="00F5724F">
      <w:pPr>
        <w:spacing w:after="240"/>
        <w:rPr>
          <w:rFonts w:asciiTheme="minorHAnsi" w:hAnsiTheme="minorHAnsi"/>
          <w:b/>
          <w:bCs/>
          <w:szCs w:val="24"/>
        </w:rPr>
      </w:pPr>
      <w:r w:rsidRPr="00F46BF1">
        <w:rPr>
          <w:rFonts w:asciiTheme="minorHAnsi" w:hAnsiTheme="minorHAnsi"/>
          <w:szCs w:val="24"/>
        </w:rPr>
        <w:t>7.18</w:t>
      </w:r>
      <w:r w:rsidRPr="00F46BF1">
        <w:rPr>
          <w:rFonts w:asciiTheme="minorHAnsi" w:hAnsiTheme="minorHAnsi"/>
          <w:szCs w:val="24"/>
        </w:rPr>
        <w:tab/>
        <w:t>En la reunión de marzo de 2014 del Grupo de Trabajo del Consejo sobre Recursos Humanos y Financieros (GTC-RHF), la Secretaría presentó un Informe exhaustivo sobre el acceso a los documentos de la UIT, en el que se solicitaba al Consejo que siguiera considerando la posibilidad de poner los Informes de los Auditores Interno y Externo así como del Comité Asesor Independiente sobre la Gestión (CAIG) a disposición del público.</w:t>
      </w:r>
    </w:p>
    <w:p w:rsidR="00F5724F" w:rsidRPr="00F46BF1" w:rsidRDefault="00F5724F" w:rsidP="00F5724F">
      <w:pPr>
        <w:spacing w:after="240"/>
        <w:rPr>
          <w:rFonts w:asciiTheme="minorHAnsi" w:hAnsiTheme="minorHAnsi"/>
          <w:szCs w:val="24"/>
        </w:rPr>
      </w:pPr>
      <w:r w:rsidRPr="00F46BF1">
        <w:rPr>
          <w:rFonts w:asciiTheme="minorHAnsi" w:hAnsiTheme="minorHAnsi"/>
          <w:szCs w:val="24"/>
        </w:rPr>
        <w:t>7.19</w:t>
      </w:r>
      <w:r w:rsidRPr="00F46BF1">
        <w:rPr>
          <w:rFonts w:asciiTheme="minorHAnsi" w:hAnsiTheme="minorHAnsi"/>
          <w:szCs w:val="24"/>
        </w:rPr>
        <w:tab/>
        <w:t>Tanto las Naciones Unidas como algunas de sus organizaciones ya permiten consultar los informes de la Auditoría Interna. En el documento se destaca la importancia de poner a disposición del público los Informes de auditoría interna como una herramienta para mejorar la credibilidad, transparencia y rendición de cuentas de la UIT.</w:t>
      </w:r>
    </w:p>
    <w:p w:rsidR="00F5724F" w:rsidRPr="00F46BF1" w:rsidRDefault="00F5724F" w:rsidP="00F5724F">
      <w:pPr>
        <w:spacing w:after="240"/>
        <w:rPr>
          <w:rFonts w:asciiTheme="minorHAnsi" w:hAnsiTheme="minorHAnsi"/>
          <w:b/>
          <w:bCs/>
          <w:szCs w:val="24"/>
        </w:rPr>
      </w:pPr>
      <w:r w:rsidRPr="00F46BF1">
        <w:rPr>
          <w:rFonts w:asciiTheme="minorHAnsi" w:hAnsiTheme="minorHAnsi"/>
          <w:szCs w:val="24"/>
        </w:rPr>
        <w:t>7.20</w:t>
      </w:r>
      <w:r w:rsidRPr="00F46BF1">
        <w:rPr>
          <w:rFonts w:asciiTheme="minorHAnsi" w:hAnsiTheme="minorHAnsi"/>
          <w:szCs w:val="24"/>
        </w:rPr>
        <w:tab/>
        <w:t>En aquellos casos excepcionales en los que la información podría poner en peligro la seguridad de cualquier persona, vulnerar los derechos de debidos procesos o comprometer acciones legales pendientes, pueden adoptarse medidas para velar por la confidencialidad, por ejemplo, analizar los Informes de Auditoría Interna para determinar si concurren estas circunstancias.</w:t>
      </w:r>
    </w:p>
    <w:p w:rsidR="00F5724F" w:rsidRPr="00F46BF1" w:rsidRDefault="00F5724F" w:rsidP="00F5724F">
      <w:pPr>
        <w:spacing w:after="240"/>
        <w:rPr>
          <w:rFonts w:asciiTheme="minorHAnsi" w:hAnsiTheme="minorHAnsi"/>
          <w:b/>
          <w:bCs/>
          <w:szCs w:val="24"/>
        </w:rPr>
      </w:pPr>
      <w:r w:rsidRPr="00F46BF1">
        <w:rPr>
          <w:rFonts w:asciiTheme="minorHAnsi" w:hAnsiTheme="minorHAnsi"/>
          <w:szCs w:val="24"/>
        </w:rPr>
        <w:t>7.21</w:t>
      </w:r>
      <w:r w:rsidRPr="00F46BF1">
        <w:rPr>
          <w:rFonts w:asciiTheme="minorHAnsi" w:hAnsiTheme="minorHAnsi"/>
          <w:szCs w:val="24"/>
        </w:rPr>
        <w:tab/>
        <w:t>Algunos delegados apoyaron la propuesta; otros manifestaron sus reservas; un tercer grupo se mostró partidario de posponer el debate a fin de disponer de tiempo suficiente para analizar y estudiar la cuestión.</w:t>
      </w:r>
    </w:p>
    <w:p w:rsidR="00F5724F" w:rsidRPr="00F46BF1" w:rsidRDefault="00F5724F" w:rsidP="00F5724F">
      <w:pPr>
        <w:spacing w:after="240"/>
        <w:rPr>
          <w:rFonts w:asciiTheme="minorHAnsi" w:hAnsiTheme="minorHAnsi"/>
          <w:szCs w:val="24"/>
        </w:rPr>
      </w:pPr>
      <w:r w:rsidRPr="00F46BF1">
        <w:rPr>
          <w:rFonts w:asciiTheme="minorHAnsi" w:hAnsiTheme="minorHAnsi"/>
          <w:szCs w:val="24"/>
        </w:rPr>
        <w:t>7.22</w:t>
      </w:r>
      <w:r w:rsidRPr="00F46BF1">
        <w:rPr>
          <w:rFonts w:asciiTheme="minorHAnsi" w:hAnsiTheme="minorHAnsi"/>
          <w:szCs w:val="24"/>
        </w:rPr>
        <w:tab/>
        <w:t>Los Estados Unidos de América presentaron su propuesta de publicación de los Informes Anuales del Auditor Externo en el sitio web de la UIT accesible al público, de acuerdo con las prácticas óptimas del sistema de las Naciones Unidas.</w:t>
      </w:r>
    </w:p>
    <w:p w:rsidR="00F5724F" w:rsidRPr="00F46BF1" w:rsidRDefault="00F5724F" w:rsidP="00F5724F">
      <w:pPr>
        <w:spacing w:after="240"/>
        <w:rPr>
          <w:rFonts w:asciiTheme="minorHAnsi" w:hAnsiTheme="minorHAnsi"/>
          <w:szCs w:val="24"/>
        </w:rPr>
      </w:pPr>
      <w:r w:rsidRPr="00F46BF1">
        <w:rPr>
          <w:rFonts w:asciiTheme="minorHAnsi" w:hAnsiTheme="minorHAnsi"/>
          <w:szCs w:val="24"/>
        </w:rPr>
        <w:t>7.23</w:t>
      </w:r>
      <w:r w:rsidRPr="00F46BF1">
        <w:rPr>
          <w:rFonts w:asciiTheme="minorHAnsi" w:hAnsiTheme="minorHAnsi"/>
          <w:szCs w:val="24"/>
        </w:rPr>
        <w:tab/>
        <w:t>En la propuesta se resalta la importancia de que las prácticas de gestión financiera sean transparentes, a fin de crear un clima de confianza entre todas las partes interesadas y asegurarse el apoyo continuado de la organización y sus mandatos.</w:t>
      </w:r>
    </w:p>
    <w:p w:rsidR="00F5724F" w:rsidRPr="00F46BF1" w:rsidRDefault="00F5724F" w:rsidP="00F5724F">
      <w:pPr>
        <w:spacing w:after="240"/>
        <w:rPr>
          <w:rFonts w:asciiTheme="minorHAnsi" w:hAnsiTheme="minorHAnsi"/>
          <w:b/>
          <w:bCs/>
          <w:szCs w:val="24"/>
          <w:u w:val="single"/>
        </w:rPr>
      </w:pPr>
      <w:r w:rsidRPr="00F46BF1">
        <w:rPr>
          <w:rFonts w:asciiTheme="minorHAnsi" w:hAnsiTheme="minorHAnsi"/>
          <w:szCs w:val="24"/>
        </w:rPr>
        <w:t>7.24</w:t>
      </w:r>
      <w:r w:rsidRPr="00F46BF1">
        <w:rPr>
          <w:rFonts w:asciiTheme="minorHAnsi" w:hAnsiTheme="minorHAnsi"/>
          <w:szCs w:val="24"/>
        </w:rPr>
        <w:tab/>
        <w:t>Algunos delegados propusieron un texto que se hace eco de los distintos motivos de preocupación expuestos a fin de llegar a un consenso, es decir, que se recomiende al Consejo que ponga a disposición del público, de manera transitoria y excepcional hasta que la PP-14 adopte una decisión sobre la política general de acceso a los documentos de la UIT y de divulgación pública, los Informes del CAIG y del Auditor Externo, así como el resumen del Informe Anual del Auditor Interno. Bajo ningún concepto, este arreglo transitorio debería condicionar futuras medidas, que quedarán a expensas de lo que decida la PP-14 al respecto, según convenga.</w:t>
      </w:r>
    </w:p>
    <w:p w:rsidR="00F5724F" w:rsidRPr="00F46BF1" w:rsidRDefault="00F5724F" w:rsidP="00F5724F">
      <w:pPr>
        <w:spacing w:after="240"/>
        <w:rPr>
          <w:szCs w:val="24"/>
        </w:rPr>
      </w:pPr>
      <w:r w:rsidRPr="00F46BF1">
        <w:rPr>
          <w:rFonts w:asciiTheme="minorHAnsi" w:hAnsiTheme="minorHAnsi"/>
          <w:szCs w:val="24"/>
        </w:rPr>
        <w:lastRenderedPageBreak/>
        <w:t>7.25</w:t>
      </w:r>
      <w:r w:rsidRPr="00F46BF1">
        <w:rPr>
          <w:rFonts w:asciiTheme="minorHAnsi" w:hAnsiTheme="minorHAnsi"/>
          <w:szCs w:val="24"/>
        </w:rPr>
        <w:tab/>
        <w:t>El Asesor Jurídico de la UIT confirmó que el Consejo de la UIT está facultado para tomar una decisión sobre esta cuestión</w:t>
      </w:r>
      <w:r w:rsidRPr="00F46BF1">
        <w:rPr>
          <w:szCs w:val="24"/>
        </w:rPr>
        <w:t>.</w:t>
      </w:r>
    </w:p>
    <w:p w:rsidR="00F5724F" w:rsidRPr="00F46BF1" w:rsidRDefault="00F5724F" w:rsidP="00F5724F">
      <w:pPr>
        <w:pStyle w:val="Heading1"/>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F5724F" w:rsidRPr="00F46BF1" w:rsidTr="0029695D">
        <w:tc>
          <w:tcPr>
            <w:tcW w:w="9287" w:type="dxa"/>
            <w:tcBorders>
              <w:top w:val="single" w:sz="4" w:space="0" w:color="auto"/>
              <w:left w:val="single" w:sz="4" w:space="0" w:color="auto"/>
              <w:bottom w:val="single" w:sz="4" w:space="0" w:color="auto"/>
              <w:right w:val="single" w:sz="4" w:space="0" w:color="auto"/>
            </w:tcBorders>
            <w:hideMark/>
          </w:tcPr>
          <w:p w:rsidR="00F5724F" w:rsidRPr="00F46BF1" w:rsidRDefault="00F5724F" w:rsidP="0029695D">
            <w:pPr>
              <w:spacing w:after="120"/>
              <w:rPr>
                <w:b/>
                <w:bCs/>
                <w:i/>
                <w:iCs/>
                <w:szCs w:val="24"/>
              </w:rPr>
            </w:pPr>
            <w:r w:rsidRPr="00F46BF1">
              <w:rPr>
                <w:b/>
                <w:bCs/>
                <w:i/>
                <w:iCs/>
                <w:szCs w:val="24"/>
              </w:rPr>
              <w:t>Recomendación</w:t>
            </w:r>
          </w:p>
          <w:p w:rsidR="00F5724F" w:rsidRPr="00F46BF1" w:rsidRDefault="00F5724F" w:rsidP="0029695D">
            <w:pPr>
              <w:pStyle w:val="PlainText"/>
              <w:rPr>
                <w:rFonts w:asciiTheme="minorHAnsi" w:hAnsiTheme="minorHAnsi"/>
                <w:sz w:val="24"/>
                <w:szCs w:val="24"/>
                <w:lang w:val="es-ES_tradnl"/>
              </w:rPr>
            </w:pPr>
            <w:r w:rsidRPr="00F46BF1">
              <w:rPr>
                <w:rFonts w:asciiTheme="minorHAnsi" w:hAnsiTheme="minorHAnsi"/>
                <w:sz w:val="24"/>
                <w:szCs w:val="24"/>
                <w:lang w:val="es-ES_tradnl"/>
              </w:rPr>
              <w:t>7.26</w:t>
            </w:r>
            <w:r w:rsidRPr="00F46BF1">
              <w:rPr>
                <w:rFonts w:asciiTheme="minorHAnsi" w:hAnsiTheme="minorHAnsi"/>
                <w:sz w:val="24"/>
                <w:szCs w:val="24"/>
                <w:lang w:val="es-ES_tradnl"/>
              </w:rPr>
              <w:tab/>
              <w:t xml:space="preserve">La Comisión recomienda al Consejo que apruebe la publicación, de manera transitoria y excepcionalmente hasta que la PP-14 adopte una decisión sobre la política general de acceso a los documentos y a la información de la UIT, de: </w:t>
            </w:r>
          </w:p>
          <w:p w:rsidR="00F5724F" w:rsidRPr="00F46BF1" w:rsidRDefault="00F5724F" w:rsidP="0029695D">
            <w:pPr>
              <w:pStyle w:val="PlainText"/>
              <w:rPr>
                <w:rFonts w:asciiTheme="minorHAnsi" w:hAnsiTheme="minorHAnsi"/>
                <w:sz w:val="24"/>
                <w:szCs w:val="24"/>
                <w:lang w:val="es-ES_tradnl"/>
              </w:rPr>
            </w:pPr>
            <w:r w:rsidRPr="00F46BF1">
              <w:rPr>
                <w:rFonts w:asciiTheme="minorHAnsi" w:hAnsiTheme="minorHAnsi"/>
                <w:sz w:val="24"/>
                <w:szCs w:val="24"/>
                <w:lang w:val="es-ES_tradnl"/>
              </w:rPr>
              <w:t>–</w:t>
            </w:r>
            <w:r w:rsidRPr="00F46BF1">
              <w:rPr>
                <w:rFonts w:asciiTheme="minorHAnsi" w:hAnsiTheme="minorHAnsi"/>
                <w:sz w:val="24"/>
                <w:szCs w:val="24"/>
                <w:lang w:val="es-ES_tradnl"/>
              </w:rPr>
              <w:tab/>
              <w:t>el Informe del CAIG;</w:t>
            </w:r>
          </w:p>
          <w:p w:rsidR="00F5724F" w:rsidRPr="00F46BF1" w:rsidRDefault="00F5724F" w:rsidP="0029695D">
            <w:pPr>
              <w:pStyle w:val="PlainText"/>
              <w:rPr>
                <w:rFonts w:asciiTheme="minorHAnsi" w:hAnsiTheme="minorHAnsi"/>
                <w:sz w:val="24"/>
                <w:szCs w:val="24"/>
                <w:lang w:val="es-ES_tradnl"/>
              </w:rPr>
            </w:pPr>
            <w:r w:rsidRPr="00F46BF1">
              <w:rPr>
                <w:rFonts w:asciiTheme="minorHAnsi" w:hAnsiTheme="minorHAnsi"/>
                <w:sz w:val="24"/>
                <w:szCs w:val="24"/>
                <w:lang w:val="es-ES_tradnl"/>
              </w:rPr>
              <w:t>–</w:t>
            </w:r>
            <w:r w:rsidRPr="00F46BF1">
              <w:rPr>
                <w:rFonts w:asciiTheme="minorHAnsi" w:hAnsiTheme="minorHAnsi"/>
                <w:sz w:val="24"/>
                <w:szCs w:val="24"/>
                <w:lang w:val="es-ES_tradnl"/>
              </w:rPr>
              <w:tab/>
              <w:t>el Informe del Auditor Externo; y</w:t>
            </w:r>
          </w:p>
          <w:p w:rsidR="00F5724F" w:rsidRPr="00F46BF1" w:rsidRDefault="00F5724F" w:rsidP="0029695D">
            <w:pPr>
              <w:pStyle w:val="PlainText"/>
              <w:rPr>
                <w:rFonts w:asciiTheme="minorHAnsi" w:hAnsiTheme="minorHAnsi"/>
                <w:sz w:val="24"/>
                <w:szCs w:val="24"/>
                <w:lang w:val="es-ES_tradnl"/>
              </w:rPr>
            </w:pPr>
            <w:r w:rsidRPr="00F46BF1">
              <w:rPr>
                <w:rFonts w:asciiTheme="minorHAnsi" w:hAnsiTheme="minorHAnsi"/>
                <w:sz w:val="24"/>
                <w:szCs w:val="24"/>
                <w:lang w:val="es-ES_tradnl"/>
              </w:rPr>
              <w:t>–</w:t>
            </w:r>
            <w:r w:rsidRPr="00F46BF1">
              <w:rPr>
                <w:rFonts w:asciiTheme="minorHAnsi" w:hAnsiTheme="minorHAnsi"/>
                <w:sz w:val="24"/>
                <w:szCs w:val="24"/>
                <w:lang w:val="es-ES_tradnl"/>
              </w:rPr>
              <w:tab/>
              <w:t>el resumen del informe del Auditor Interno.</w:t>
            </w:r>
          </w:p>
          <w:p w:rsidR="00F5724F" w:rsidRPr="00F46BF1" w:rsidRDefault="00F5724F" w:rsidP="0029695D">
            <w:pPr>
              <w:pStyle w:val="PlainText"/>
              <w:rPr>
                <w:rFonts w:ascii="Calibri" w:hAnsi="Calibri"/>
                <w:sz w:val="24"/>
                <w:szCs w:val="24"/>
                <w:lang w:val="es-ES_tradnl"/>
              </w:rPr>
            </w:pPr>
            <w:r w:rsidRPr="00F46BF1">
              <w:rPr>
                <w:rFonts w:asciiTheme="minorHAnsi" w:hAnsiTheme="minorHAnsi"/>
                <w:sz w:val="24"/>
                <w:szCs w:val="24"/>
                <w:lang w:val="es-ES_tradnl"/>
              </w:rPr>
              <w:t>Bajo ningún concepto, este arreglo transitorio debería condicionar futuras medidas, que quedarán a expensas de lo que decida la PP-14 al respecto, según convenga.</w:t>
            </w:r>
          </w:p>
        </w:tc>
      </w:tr>
    </w:tbl>
    <w:p w:rsidR="00F5724F" w:rsidRDefault="00F5724F" w:rsidP="00F5724F">
      <w:pPr>
        <w:spacing w:before="160"/>
        <w:jc w:val="both"/>
        <w:rPr>
          <w:rFonts w:asciiTheme="minorHAnsi" w:hAnsiTheme="minorHAnsi"/>
          <w:b/>
          <w:bCs/>
          <w:szCs w:val="24"/>
        </w:rPr>
      </w:pPr>
    </w:p>
    <w:p w:rsidR="00F5724F" w:rsidRDefault="00F5724F" w:rsidP="00F5724F">
      <w:pPr>
        <w:spacing w:before="160"/>
        <w:jc w:val="both"/>
        <w:rPr>
          <w:rFonts w:asciiTheme="minorHAnsi" w:hAnsiTheme="minorHAnsi"/>
          <w:b/>
          <w:bCs/>
          <w:szCs w:val="24"/>
        </w:rPr>
      </w:pPr>
      <w:r>
        <w:rPr>
          <w:rFonts w:asciiTheme="minorHAnsi" w:hAnsiTheme="minorHAnsi"/>
          <w:b/>
          <w:bCs/>
          <w:szCs w:val="24"/>
        </w:rPr>
        <w:t>……..</w:t>
      </w:r>
    </w:p>
    <w:p w:rsidR="00F5724F" w:rsidRPr="009448DC" w:rsidRDefault="00F5724F" w:rsidP="00F5724F">
      <w:pPr>
        <w:jc w:val="both"/>
        <w:rPr>
          <w:rFonts w:asciiTheme="minorHAnsi" w:hAnsiTheme="minorHAnsi"/>
          <w:b/>
          <w:bCs/>
          <w:szCs w:val="24"/>
        </w:rPr>
      </w:pPr>
      <w:r w:rsidRPr="009448DC">
        <w:rPr>
          <w:rFonts w:asciiTheme="minorHAnsi" w:hAnsiTheme="minorHAnsi"/>
          <w:b/>
          <w:bCs/>
          <w:szCs w:val="24"/>
        </w:rPr>
        <w:t>Documento C14/99:</w:t>
      </w:r>
      <w:r w:rsidRPr="009448DC">
        <w:t xml:space="preserve"> Resumen de los debates de la novena Sesión Plenaria</w:t>
      </w:r>
    </w:p>
    <w:p w:rsidR="00F5724F" w:rsidRDefault="00F5724F" w:rsidP="00F5724F">
      <w:pPr>
        <w:jc w:val="both"/>
        <w:rPr>
          <w:rFonts w:asciiTheme="minorHAnsi" w:hAnsiTheme="minorHAnsi"/>
          <w:b/>
          <w:bCs/>
          <w:szCs w:val="24"/>
        </w:rPr>
      </w:pPr>
      <w:r>
        <w:rPr>
          <w:rFonts w:asciiTheme="minorHAnsi" w:hAnsiTheme="minorHAnsi"/>
          <w:b/>
          <w:bCs/>
          <w:szCs w:val="24"/>
        </w:rPr>
        <w:t>……..</w:t>
      </w:r>
    </w:p>
    <w:p w:rsidR="00F5724F" w:rsidRPr="00F90939" w:rsidRDefault="00F5724F" w:rsidP="00F5724F">
      <w:pPr>
        <w:pStyle w:val="ListParagraph"/>
        <w:adjustRightInd w:val="0"/>
        <w:spacing w:before="240" w:after="120" w:line="240" w:lineRule="auto"/>
        <w:ind w:left="0"/>
        <w:rPr>
          <w:rFonts w:ascii="Calibri" w:hAnsi="Calibri" w:cs="Calibri"/>
          <w:sz w:val="24"/>
          <w:szCs w:val="24"/>
          <w:lang w:val="es-ES_tradnl"/>
        </w:rPr>
      </w:pPr>
      <w:r w:rsidRPr="00F90939">
        <w:rPr>
          <w:rFonts w:ascii="Calibri" w:hAnsi="Calibri" w:cs="Calibri"/>
          <w:sz w:val="24"/>
          <w:szCs w:val="24"/>
          <w:lang w:val="es-ES_tradnl"/>
        </w:rPr>
        <w:t>“.</w:t>
      </w:r>
      <w:r w:rsidR="00FF608E">
        <w:rPr>
          <w:rFonts w:ascii="Calibri" w:hAnsi="Calibri" w:cs="Calibri"/>
          <w:sz w:val="24"/>
          <w:szCs w:val="24"/>
          <w:lang w:val="es-ES_tradnl"/>
        </w:rPr>
        <w:t>.</w:t>
      </w:r>
      <w:r w:rsidRPr="00F90939">
        <w:rPr>
          <w:rFonts w:ascii="Calibri" w:hAnsi="Calibri" w:cs="Calibri"/>
          <w:sz w:val="24"/>
          <w:szCs w:val="24"/>
          <w:lang w:val="es-ES_tradnl"/>
        </w:rPr>
        <w:t>.</w:t>
      </w:r>
      <w:r w:rsidR="00FF608E">
        <w:rPr>
          <w:rFonts w:ascii="Calibri" w:hAnsi="Calibri" w:cs="Calibri"/>
          <w:sz w:val="24"/>
          <w:szCs w:val="24"/>
          <w:lang w:val="es-ES_tradnl"/>
        </w:rPr>
        <w:t xml:space="preserve"> </w:t>
      </w:r>
      <w:r w:rsidRPr="00F90939">
        <w:rPr>
          <w:rFonts w:ascii="Calibri" w:hAnsi="Calibri" w:cs="Calibri"/>
          <w:sz w:val="24"/>
          <w:szCs w:val="24"/>
          <w:lang w:val="es-ES_tradnl"/>
        </w:rPr>
        <w:t>1.6</w:t>
      </w:r>
      <w:r w:rsidRPr="00F90939">
        <w:rPr>
          <w:rFonts w:ascii="Calibri" w:hAnsi="Calibri" w:cs="Calibri"/>
          <w:sz w:val="24"/>
          <w:szCs w:val="24"/>
          <w:lang w:val="es-ES_tradnl"/>
        </w:rPr>
        <w:tab/>
        <w:t>Un consejero declara que debe mencionarse explícitamente la PP-14 en la recome</w:t>
      </w:r>
      <w:r w:rsidR="00FF608E">
        <w:rPr>
          <w:rFonts w:ascii="Calibri" w:hAnsi="Calibri" w:cs="Calibri"/>
          <w:sz w:val="24"/>
          <w:szCs w:val="24"/>
          <w:lang w:val="es-ES_tradnl"/>
        </w:rPr>
        <w:t>ndación que figura en el § 7.14 ..</w:t>
      </w:r>
      <w:r w:rsidRPr="00F90939">
        <w:rPr>
          <w:rFonts w:ascii="Calibri" w:hAnsi="Calibri" w:cs="Calibri"/>
          <w:sz w:val="24"/>
          <w:szCs w:val="24"/>
          <w:lang w:val="es-ES_tradnl"/>
        </w:rPr>
        <w:t>.”</w:t>
      </w:r>
    </w:p>
    <w:p w:rsidR="00F5724F" w:rsidRPr="00F90939" w:rsidRDefault="00FF608E" w:rsidP="00FF608E">
      <w:pPr>
        <w:tabs>
          <w:tab w:val="clear" w:pos="567"/>
          <w:tab w:val="clear" w:pos="1134"/>
          <w:tab w:val="clear" w:pos="1701"/>
          <w:tab w:val="clear" w:pos="2268"/>
          <w:tab w:val="clear" w:pos="2835"/>
        </w:tabs>
      </w:pPr>
      <w:r>
        <w:t>.</w:t>
      </w:r>
      <w:r w:rsidR="00F5724F" w:rsidRPr="00F90939">
        <w:t>..</w:t>
      </w:r>
      <w:r>
        <w:t xml:space="preserve"> </w:t>
      </w:r>
      <w:r w:rsidR="00F5724F" w:rsidRPr="00F90939">
        <w:t>”</w:t>
      </w:r>
      <w:r w:rsidR="00F5724F" w:rsidRPr="00F90939">
        <w:rPr>
          <w:spacing w:val="-6"/>
        </w:rPr>
        <w:t>1.25</w:t>
      </w:r>
      <w:r>
        <w:rPr>
          <w:spacing w:val="-6"/>
        </w:rPr>
        <w:t xml:space="preserve"> </w:t>
      </w:r>
      <w:r w:rsidR="00F5724F" w:rsidRPr="00F90939">
        <w:t xml:space="preserve">A reserva de las enmiendas acordadas durante el debate, el Consejo </w:t>
      </w:r>
      <w:r w:rsidR="00F5724F" w:rsidRPr="00F90939">
        <w:rPr>
          <w:b/>
        </w:rPr>
        <w:t>aprueba</w:t>
      </w:r>
      <w:r w:rsidR="00F5724F" w:rsidRPr="00F90939">
        <w:t xml:space="preserve"> las recomendaciones recogidas en los § §  1.7, 2.7, 3.5, 4.7, 5.2, 6.4, 7.8, 7.14, 7.26, 7.35, 7.37, 7.43, 8.2, 9.8, 10.7, 11.5, 12.8, 13.5, 14.6, 15.4, 15.5, 18.9</w:t>
      </w:r>
      <w:r>
        <w:t xml:space="preserve"> </w:t>
      </w:r>
      <w:r w:rsidR="00F5724F" w:rsidRPr="00F90939">
        <w:t xml:space="preserve">y 19.14 y, por lo tanto, </w:t>
      </w:r>
      <w:r w:rsidR="00F5724F" w:rsidRPr="00F90939">
        <w:rPr>
          <w:b/>
          <w:bCs/>
        </w:rPr>
        <w:t>aprueba</w:t>
      </w:r>
      <w:r w:rsidR="00F5724F" w:rsidRPr="00F90939">
        <w:t xml:space="preserve">, </w:t>
      </w:r>
      <w:r w:rsidR="00F5724F" w:rsidRPr="00F90939">
        <w:rPr>
          <w:b/>
          <w:bCs/>
        </w:rPr>
        <w:t>adopta</w:t>
      </w:r>
      <w:r w:rsidR="00F5724F" w:rsidRPr="00F90939">
        <w:t xml:space="preserve">, </w:t>
      </w:r>
      <w:r w:rsidR="00F5724F" w:rsidRPr="00F90939">
        <w:rPr>
          <w:b/>
          <w:bCs/>
        </w:rPr>
        <w:t>refrenda</w:t>
      </w:r>
      <w:r w:rsidR="00F5724F" w:rsidRPr="00F90939">
        <w:t xml:space="preserve"> o </w:t>
      </w:r>
      <w:r w:rsidR="00F5724F" w:rsidRPr="00F90939">
        <w:rPr>
          <w:b/>
          <w:bCs/>
        </w:rPr>
        <w:t>toma nota</w:t>
      </w:r>
      <w:r w:rsidR="00F5724F" w:rsidRPr="00F90939">
        <w:t>, según el caso, de los textos siguientes”.</w:t>
      </w:r>
    </w:p>
    <w:p w:rsidR="00F5724F" w:rsidRDefault="00F5724F" w:rsidP="00E22A56">
      <w:pPr>
        <w:spacing w:before="840"/>
        <w:jc w:val="center"/>
      </w:pPr>
      <w:r>
        <w:t>______________</w:t>
      </w:r>
    </w:p>
    <w:sectPr w:rsidR="00F5724F" w:rsidSect="00A70E95">
      <w:headerReference w:type="default" r:id="rId21"/>
      <w:footerReference w:type="first" r:id="rId2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A0" w:rsidRDefault="00F51FA0">
      <w:r>
        <w:separator/>
      </w:r>
    </w:p>
  </w:endnote>
  <w:endnote w:type="continuationSeparator" w:id="0">
    <w:p w:rsidR="00F51FA0" w:rsidRDefault="00F5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A0" w:rsidRDefault="00F51FA0">
      <w:r>
        <w:t>____________________</w:t>
      </w:r>
    </w:p>
  </w:footnote>
  <w:footnote w:type="continuationSeparator" w:id="0">
    <w:p w:rsidR="00F51FA0" w:rsidRDefault="00F51FA0">
      <w:r>
        <w:continuationSeparator/>
      </w:r>
    </w:p>
  </w:footnote>
  <w:footnote w:id="1">
    <w:p w:rsidR="00F5724F" w:rsidRPr="00F41A18" w:rsidRDefault="00F5724F" w:rsidP="00F5724F">
      <w:pPr>
        <w:pStyle w:val="FootnoteText"/>
        <w:tabs>
          <w:tab w:val="clear" w:pos="256"/>
        </w:tabs>
        <w:ind w:left="284" w:hanging="284"/>
        <w:rPr>
          <w:sz w:val="20"/>
        </w:rPr>
      </w:pPr>
      <w:r>
        <w:rPr>
          <w:rStyle w:val="FootnoteReference"/>
        </w:rPr>
        <w:footnoteRef/>
      </w:r>
      <w:r w:rsidRPr="00F41A18">
        <w:t xml:space="preserve"> </w:t>
      </w:r>
      <w:r w:rsidRPr="00F41A18">
        <w:tab/>
      </w:r>
      <w:r w:rsidRPr="00F41A18">
        <w:rPr>
          <w:sz w:val="20"/>
        </w:rPr>
        <w:t xml:space="preserve">Conviene tener en cuenta que el </w:t>
      </w:r>
      <w:r w:rsidRPr="00F41A18">
        <w:rPr>
          <w:i/>
          <w:iCs/>
          <w:sz w:val="20"/>
        </w:rPr>
        <w:t>derecho</w:t>
      </w:r>
      <w:r w:rsidRPr="00F41A18">
        <w:rPr>
          <w:sz w:val="20"/>
        </w:rPr>
        <w:t xml:space="preserve"> de acceso a la información y el </w:t>
      </w:r>
      <w:r w:rsidRPr="00F41A18">
        <w:rPr>
          <w:i/>
          <w:iCs/>
          <w:sz w:val="20"/>
        </w:rPr>
        <w:t>costo</w:t>
      </w:r>
      <w:r w:rsidRPr="00F41A18">
        <w:rPr>
          <w:sz w:val="20"/>
        </w:rPr>
        <w:t xml:space="preserve"> derivado de dicho acceso son cuestiones diferentes. </w:t>
      </w:r>
    </w:p>
  </w:footnote>
  <w:footnote w:id="2">
    <w:p w:rsidR="00F5724F" w:rsidRPr="005625C2" w:rsidRDefault="00F5724F" w:rsidP="00F5724F">
      <w:pPr>
        <w:pStyle w:val="FootnoteText"/>
        <w:tabs>
          <w:tab w:val="clear" w:pos="256"/>
        </w:tabs>
        <w:spacing w:before="0"/>
        <w:ind w:left="284" w:hanging="284"/>
        <w:rPr>
          <w:rFonts w:asciiTheme="minorHAnsi" w:hAnsiTheme="minorHAnsi"/>
          <w:sz w:val="16"/>
          <w:szCs w:val="16"/>
        </w:rPr>
      </w:pPr>
      <w:r>
        <w:rPr>
          <w:rStyle w:val="FootnoteReference"/>
        </w:rPr>
        <w:footnoteRef/>
      </w:r>
      <w:r w:rsidRPr="00484FD1">
        <w:t xml:space="preserve"> </w:t>
      </w:r>
      <w:r w:rsidRPr="00484FD1">
        <w:tab/>
      </w:r>
      <w:r w:rsidRPr="005625C2">
        <w:rPr>
          <w:rFonts w:asciiTheme="minorHAnsi" w:hAnsiTheme="minorHAnsi"/>
          <w:sz w:val="20"/>
        </w:rPr>
        <w:t xml:space="preserve">El </w:t>
      </w:r>
      <w:r w:rsidRPr="005625C2">
        <w:rPr>
          <w:rFonts w:asciiTheme="minorHAnsi" w:hAnsiTheme="minorHAnsi"/>
          <w:sz w:val="20"/>
        </w:rPr>
        <w:t>acceso a la</w:t>
      </w:r>
      <w:r>
        <w:rPr>
          <w:rFonts w:asciiTheme="minorHAnsi" w:hAnsiTheme="minorHAnsi"/>
          <w:sz w:val="20"/>
        </w:rPr>
        <w:t>s</w:t>
      </w:r>
      <w:r w:rsidRPr="005625C2">
        <w:rPr>
          <w:rFonts w:asciiTheme="minorHAnsi" w:hAnsiTheme="minorHAnsi"/>
          <w:sz w:val="20"/>
        </w:rPr>
        <w:t xml:space="preserve"> Cartas Circulares de las Comisiones de Estudio est</w:t>
      </w:r>
      <w:r>
        <w:rPr>
          <w:rFonts w:asciiTheme="minorHAnsi" w:hAnsiTheme="minorHAnsi"/>
          <w:sz w:val="20"/>
        </w:rPr>
        <w:t>á limitado a los usuarios de TIES, pero el acceso a todo tipo de Cartas Circulares de los tres Sectores está abierto al público.</w:t>
      </w:r>
    </w:p>
  </w:footnote>
  <w:footnote w:id="3">
    <w:p w:rsidR="00F5724F" w:rsidRPr="008926A4" w:rsidRDefault="00F5724F" w:rsidP="00F5724F">
      <w:pPr>
        <w:pStyle w:val="FootnoteText"/>
        <w:tabs>
          <w:tab w:val="clear" w:pos="256"/>
          <w:tab w:val="clear" w:pos="567"/>
          <w:tab w:val="clear" w:pos="1134"/>
          <w:tab w:val="clear" w:pos="1701"/>
          <w:tab w:val="clear" w:pos="2268"/>
          <w:tab w:val="clear" w:pos="2835"/>
        </w:tabs>
        <w:ind w:left="284" w:hanging="284"/>
      </w:pPr>
      <w:r>
        <w:rPr>
          <w:rStyle w:val="FootnoteReference"/>
        </w:rPr>
        <w:footnoteRef/>
      </w:r>
      <w:r w:rsidRPr="00580775">
        <w:t xml:space="preserve"> </w:t>
      </w:r>
      <w:r w:rsidRPr="00580775">
        <w:tab/>
      </w:r>
      <w:r>
        <w:rPr>
          <w:sz w:val="20"/>
        </w:rPr>
        <w:t>O</w:t>
      </w:r>
      <w:r w:rsidRPr="008926A4">
        <w:rPr>
          <w:sz w:val="20"/>
        </w:rPr>
        <w:t xml:space="preserve">tras </w:t>
      </w:r>
      <w:r w:rsidRPr="008926A4">
        <w:rPr>
          <w:sz w:val="20"/>
        </w:rPr>
        <w:t>organizaciones internacion</w:t>
      </w:r>
      <w:r>
        <w:rPr>
          <w:sz w:val="20"/>
        </w:rPr>
        <w:t xml:space="preserve">ales e intergubernamentales </w:t>
      </w:r>
      <w:r w:rsidRPr="008926A4">
        <w:rPr>
          <w:sz w:val="20"/>
        </w:rPr>
        <w:t xml:space="preserve">han adoptado el acceso oficial a </w:t>
      </w:r>
      <w:r>
        <w:rPr>
          <w:sz w:val="20"/>
        </w:rPr>
        <w:t xml:space="preserve">la información o a </w:t>
      </w:r>
      <w:r w:rsidRPr="008926A4">
        <w:rPr>
          <w:sz w:val="20"/>
        </w:rPr>
        <w:t>pol</w:t>
      </w:r>
      <w:r>
        <w:rPr>
          <w:sz w:val="20"/>
        </w:rPr>
        <w:t>íticas de divulgación de la información, por ejemplo: Banco Interamericano de Desarrollo (BID) (2010), Banco Asiático de Desarrollo (2011) y el Grupo del Banco Africano de Desarrollo (2013).</w:t>
      </w:r>
    </w:p>
  </w:footnote>
  <w:footnote w:id="4">
    <w:p w:rsidR="00F5724F" w:rsidRPr="005D0CBB" w:rsidRDefault="00F5724F" w:rsidP="00F5724F">
      <w:pPr>
        <w:pStyle w:val="FootnoteText"/>
        <w:tabs>
          <w:tab w:val="clear" w:pos="256"/>
          <w:tab w:val="clear" w:pos="567"/>
          <w:tab w:val="clear" w:pos="1134"/>
          <w:tab w:val="clear" w:pos="1701"/>
          <w:tab w:val="clear" w:pos="2268"/>
          <w:tab w:val="clear" w:pos="2835"/>
        </w:tabs>
        <w:ind w:left="284" w:hanging="284"/>
      </w:pPr>
      <w:r>
        <w:rPr>
          <w:rStyle w:val="FootnoteReference"/>
        </w:rPr>
        <w:footnoteRef/>
      </w:r>
      <w:r w:rsidRPr="005D0CBB">
        <w:t xml:space="preserve"> </w:t>
      </w:r>
      <w:r w:rsidRPr="005D0CBB">
        <w:tab/>
      </w:r>
      <w:r w:rsidRPr="005D0CBB">
        <w:rPr>
          <w:sz w:val="20"/>
        </w:rPr>
        <w:t xml:space="preserve">Entre </w:t>
      </w:r>
      <w:r w:rsidRPr="005D0CBB">
        <w:rPr>
          <w:sz w:val="20"/>
        </w:rPr>
        <w:t>las organizaciones internacionales que han creado ese tipo de comit</w:t>
      </w:r>
      <w:r>
        <w:rPr>
          <w:sz w:val="20"/>
        </w:rPr>
        <w:t>és de supervisión figuran el Banco Mundial, el PNUD, la UNOPS, el PMA y el 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E22A56">
      <w:rPr>
        <w:noProof/>
      </w:rPr>
      <w:t>2</w:t>
    </w:r>
    <w:r>
      <w:fldChar w:fldCharType="end"/>
    </w:r>
    <w:r w:rsidR="00E22A56">
      <w:t>/</w:t>
    </w:r>
    <w:fldSimple w:instr=" NUMPAGES   \* MERGEFORMAT ">
      <w:r w:rsidR="00E22A56">
        <w:rPr>
          <w:noProof/>
        </w:rPr>
        <w:t>10</w:t>
      </w:r>
    </w:fldSimple>
  </w:p>
  <w:p w:rsidR="00605474" w:rsidRDefault="00605474" w:rsidP="00605474">
    <w:pPr>
      <w:pStyle w:val="Header"/>
    </w:pPr>
    <w:r>
      <w:rPr>
        <w:lang w:val="en-US"/>
      </w:rPr>
      <w:t>PP14</w:t>
    </w:r>
    <w:r w:rsidR="002650A0">
      <w:t>/59</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D44"/>
    <w:multiLevelType w:val="hybridMultilevel"/>
    <w:tmpl w:val="320A004C"/>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nsid w:val="01AA789F"/>
    <w:multiLevelType w:val="hybridMultilevel"/>
    <w:tmpl w:val="5B3807EC"/>
    <w:lvl w:ilvl="0" w:tplc="A532EC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46070"/>
    <w:multiLevelType w:val="hybridMultilevel"/>
    <w:tmpl w:val="249E3FEE"/>
    <w:lvl w:ilvl="0" w:tplc="40C2E38C">
      <w:numFmt w:val="bullet"/>
      <w:lvlText w:val="•"/>
      <w:lvlJc w:val="left"/>
      <w:pPr>
        <w:ind w:left="927" w:hanging="360"/>
      </w:pPr>
      <w:rPr>
        <w:rFonts w:ascii="Calibri" w:eastAsiaTheme="minorEastAsia"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C1C0BC5"/>
    <w:multiLevelType w:val="hybridMultilevel"/>
    <w:tmpl w:val="89BECD2E"/>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D462E24"/>
    <w:multiLevelType w:val="hybridMultilevel"/>
    <w:tmpl w:val="A7B2034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5A2713"/>
    <w:multiLevelType w:val="hybridMultilevel"/>
    <w:tmpl w:val="6F8017A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6063CC3"/>
    <w:multiLevelType w:val="hybridMultilevel"/>
    <w:tmpl w:val="9FC6DFF8"/>
    <w:lvl w:ilvl="0" w:tplc="634CC09C">
      <w:numFmt w:val="bullet"/>
      <w:lvlText w:val="•"/>
      <w:lvlJc w:val="left"/>
      <w:pPr>
        <w:ind w:left="1279" w:hanging="570"/>
      </w:pPr>
      <w:rPr>
        <w:rFonts w:ascii="Calibri" w:eastAsiaTheme="minorEastAsia"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3A4C3534"/>
    <w:multiLevelType w:val="hybridMultilevel"/>
    <w:tmpl w:val="8350F8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BC7C45"/>
    <w:multiLevelType w:val="hybridMultilevel"/>
    <w:tmpl w:val="4B9E58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8A0B21"/>
    <w:multiLevelType w:val="hybridMultilevel"/>
    <w:tmpl w:val="4FE435CE"/>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5AAE7CF1"/>
    <w:multiLevelType w:val="hybridMultilevel"/>
    <w:tmpl w:val="EB2C85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E5DEF"/>
    <w:multiLevelType w:val="hybridMultilevel"/>
    <w:tmpl w:val="2C1474A6"/>
    <w:lvl w:ilvl="0" w:tplc="E22EA94A">
      <w:numFmt w:val="bullet"/>
      <w:lvlText w:val="•"/>
      <w:lvlJc w:val="left"/>
      <w:pPr>
        <w:ind w:left="1920" w:hanging="360"/>
      </w:pPr>
      <w:rPr>
        <w:rFonts w:ascii="Calibri" w:eastAsia="Times New Roman" w:hAnsi="Calibri"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2">
    <w:nsid w:val="7C4B23D0"/>
    <w:multiLevelType w:val="hybridMultilevel"/>
    <w:tmpl w:val="16EA7FF2"/>
    <w:lvl w:ilvl="0" w:tplc="C5F6F26E">
      <w:numFmt w:val="bullet"/>
      <w:lvlText w:val="•"/>
      <w:lvlJc w:val="left"/>
      <w:pPr>
        <w:ind w:left="1980" w:hanging="420"/>
      </w:pPr>
      <w:rPr>
        <w:rFonts w:ascii="Calibri" w:eastAsia="Times New Roman" w:hAnsi="Calibri"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7C587D98"/>
    <w:multiLevelType w:val="hybridMultilevel"/>
    <w:tmpl w:val="9B987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D6030F8"/>
    <w:multiLevelType w:val="hybridMultilevel"/>
    <w:tmpl w:val="A53A1BAA"/>
    <w:lvl w:ilvl="0" w:tplc="22349834">
      <w:numFmt w:val="bullet"/>
      <w:lvlText w:val="•"/>
      <w:lvlJc w:val="left"/>
      <w:pPr>
        <w:ind w:left="1980" w:hanging="420"/>
      </w:pPr>
      <w:rPr>
        <w:rFonts w:ascii="Calibri" w:eastAsia="Times New Roman" w:hAnsi="Calibri"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nsid w:val="7E4D2CCE"/>
    <w:multiLevelType w:val="hybridMultilevel"/>
    <w:tmpl w:val="37A05326"/>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4"/>
  </w:num>
  <w:num w:numId="2">
    <w:abstractNumId w:val="13"/>
  </w:num>
  <w:num w:numId="3">
    <w:abstractNumId w:val="10"/>
  </w:num>
  <w:num w:numId="4">
    <w:abstractNumId w:val="1"/>
  </w:num>
  <w:num w:numId="5">
    <w:abstractNumId w:val="7"/>
  </w:num>
  <w:num w:numId="6">
    <w:abstractNumId w:val="8"/>
  </w:num>
  <w:num w:numId="7">
    <w:abstractNumId w:val="3"/>
  </w:num>
  <w:num w:numId="8">
    <w:abstractNumId w:val="6"/>
  </w:num>
  <w:num w:numId="9">
    <w:abstractNumId w:val="5"/>
  </w:num>
  <w:num w:numId="10">
    <w:abstractNumId w:val="2"/>
  </w:num>
  <w:num w:numId="11">
    <w:abstractNumId w:val="0"/>
  </w:num>
  <w:num w:numId="12">
    <w:abstractNumId w:val="11"/>
  </w:num>
  <w:num w:numId="13">
    <w:abstractNumId w:val="15"/>
  </w:num>
  <w:num w:numId="14">
    <w:abstractNumId w:val="1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A0"/>
    <w:rsid w:val="0000188C"/>
    <w:rsid w:val="000863AB"/>
    <w:rsid w:val="000A1523"/>
    <w:rsid w:val="000B1752"/>
    <w:rsid w:val="0010546D"/>
    <w:rsid w:val="001D6EC3"/>
    <w:rsid w:val="001D787B"/>
    <w:rsid w:val="001E3D06"/>
    <w:rsid w:val="00237C17"/>
    <w:rsid w:val="00242376"/>
    <w:rsid w:val="002452DB"/>
    <w:rsid w:val="002535DD"/>
    <w:rsid w:val="00255FA1"/>
    <w:rsid w:val="002650A0"/>
    <w:rsid w:val="002C6527"/>
    <w:rsid w:val="002E44FC"/>
    <w:rsid w:val="003707E5"/>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11B1C"/>
    <w:rsid w:val="006455D2"/>
    <w:rsid w:val="006B5512"/>
    <w:rsid w:val="006B6D52"/>
    <w:rsid w:val="006C190D"/>
    <w:rsid w:val="00720686"/>
    <w:rsid w:val="00737EFF"/>
    <w:rsid w:val="00750806"/>
    <w:rsid w:val="007F6EBC"/>
    <w:rsid w:val="00801D68"/>
    <w:rsid w:val="00882773"/>
    <w:rsid w:val="008B4706"/>
    <w:rsid w:val="008B6676"/>
    <w:rsid w:val="008E51C5"/>
    <w:rsid w:val="008F7109"/>
    <w:rsid w:val="009107B0"/>
    <w:rsid w:val="009220DE"/>
    <w:rsid w:val="00927FFB"/>
    <w:rsid w:val="0099270D"/>
    <w:rsid w:val="009A1A86"/>
    <w:rsid w:val="009E0C42"/>
    <w:rsid w:val="00A70E95"/>
    <w:rsid w:val="00AA1F73"/>
    <w:rsid w:val="00AB2919"/>
    <w:rsid w:val="00AD400E"/>
    <w:rsid w:val="00AF0DC5"/>
    <w:rsid w:val="00AF55F3"/>
    <w:rsid w:val="00B73978"/>
    <w:rsid w:val="00B77C4D"/>
    <w:rsid w:val="00BB13FE"/>
    <w:rsid w:val="00BC7EE2"/>
    <w:rsid w:val="00C42D2D"/>
    <w:rsid w:val="00C61A48"/>
    <w:rsid w:val="00C80F8F"/>
    <w:rsid w:val="00C84355"/>
    <w:rsid w:val="00CD20D9"/>
    <w:rsid w:val="00CD701A"/>
    <w:rsid w:val="00D05AAE"/>
    <w:rsid w:val="00D05E6B"/>
    <w:rsid w:val="00D254A6"/>
    <w:rsid w:val="00D42B55"/>
    <w:rsid w:val="00D57D70"/>
    <w:rsid w:val="00E05D81"/>
    <w:rsid w:val="00E22A56"/>
    <w:rsid w:val="00E66FC3"/>
    <w:rsid w:val="00E677DD"/>
    <w:rsid w:val="00E77F17"/>
    <w:rsid w:val="00E921EC"/>
    <w:rsid w:val="00EC395A"/>
    <w:rsid w:val="00F01632"/>
    <w:rsid w:val="00F43D44"/>
    <w:rsid w:val="00F51FA0"/>
    <w:rsid w:val="00F5724F"/>
    <w:rsid w:val="00F80E6E"/>
    <w:rsid w:val="00FD7A16"/>
    <w:rsid w:val="00FF60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70E95"/>
    <w:rPr>
      <w:position w:val="6"/>
      <w:sz w:val="16"/>
    </w:rPr>
  </w:style>
  <w:style w:type="paragraph" w:styleId="FootnoteText">
    <w:name w:val="footnote text"/>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F5724F"/>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uiPriority w:val="99"/>
    <w:rsid w:val="00F5724F"/>
    <w:rPr>
      <w:rFonts w:ascii="Calibri" w:hAnsi="Calibri"/>
      <w:sz w:val="24"/>
      <w:lang w:val="es-ES_tradnl" w:eastAsia="en-US"/>
    </w:rPr>
  </w:style>
  <w:style w:type="paragraph" w:styleId="PlainText">
    <w:name w:val="Plain Text"/>
    <w:basedOn w:val="Normal"/>
    <w:link w:val="PlainTextChar"/>
    <w:uiPriority w:val="99"/>
    <w:unhideWhenUsed/>
    <w:rsid w:val="00F5724F"/>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Courier New" w:hAnsi="Courier New" w:cs="Courier New"/>
      <w:sz w:val="20"/>
      <w:lang w:val="en-GB"/>
    </w:rPr>
  </w:style>
  <w:style w:type="character" w:customStyle="1" w:styleId="PlainTextChar">
    <w:name w:val="Plain Text Char"/>
    <w:basedOn w:val="DefaultParagraphFont"/>
    <w:link w:val="PlainText"/>
    <w:uiPriority w:val="99"/>
    <w:rsid w:val="00F5724F"/>
    <w:rPr>
      <w:rFonts w:ascii="Courier New" w:hAnsi="Courier New" w:cs="Courier New"/>
      <w:lang w:val="en-GB" w:eastAsia="en-US"/>
    </w:rPr>
  </w:style>
  <w:style w:type="character" w:styleId="FollowedHyperlink">
    <w:name w:val="FollowedHyperlink"/>
    <w:basedOn w:val="DefaultParagraphFont"/>
    <w:semiHidden/>
    <w:unhideWhenUsed/>
    <w:rsid w:val="00611B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70E95"/>
    <w:rPr>
      <w:position w:val="6"/>
      <w:sz w:val="16"/>
    </w:rPr>
  </w:style>
  <w:style w:type="paragraph" w:styleId="FootnoteText">
    <w:name w:val="footnote text"/>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F5724F"/>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uiPriority w:val="99"/>
    <w:rsid w:val="00F5724F"/>
    <w:rPr>
      <w:rFonts w:ascii="Calibri" w:hAnsi="Calibri"/>
      <w:sz w:val="24"/>
      <w:lang w:val="es-ES_tradnl" w:eastAsia="en-US"/>
    </w:rPr>
  </w:style>
  <w:style w:type="paragraph" w:styleId="PlainText">
    <w:name w:val="Plain Text"/>
    <w:basedOn w:val="Normal"/>
    <w:link w:val="PlainTextChar"/>
    <w:uiPriority w:val="99"/>
    <w:unhideWhenUsed/>
    <w:rsid w:val="00F5724F"/>
    <w:pPr>
      <w:tabs>
        <w:tab w:val="clear" w:pos="567"/>
        <w:tab w:val="clear" w:pos="1134"/>
        <w:tab w:val="clear" w:pos="1701"/>
        <w:tab w:val="clear" w:pos="2268"/>
        <w:tab w:val="clear" w:pos="2835"/>
        <w:tab w:val="left" w:pos="794"/>
        <w:tab w:val="left" w:pos="1191"/>
        <w:tab w:val="left" w:pos="1588"/>
        <w:tab w:val="left" w:pos="1985"/>
      </w:tabs>
      <w:jc w:val="both"/>
      <w:textAlignment w:val="auto"/>
    </w:pPr>
    <w:rPr>
      <w:rFonts w:ascii="Courier New" w:hAnsi="Courier New" w:cs="Courier New"/>
      <w:sz w:val="20"/>
      <w:lang w:val="en-GB"/>
    </w:rPr>
  </w:style>
  <w:style w:type="character" w:customStyle="1" w:styleId="PlainTextChar">
    <w:name w:val="Plain Text Char"/>
    <w:basedOn w:val="DefaultParagraphFont"/>
    <w:link w:val="PlainText"/>
    <w:uiPriority w:val="99"/>
    <w:rsid w:val="00F5724F"/>
    <w:rPr>
      <w:rFonts w:ascii="Courier New" w:hAnsi="Courier New" w:cs="Courier New"/>
      <w:lang w:val="en-GB" w:eastAsia="en-US"/>
    </w:rPr>
  </w:style>
  <w:style w:type="character" w:styleId="FollowedHyperlink">
    <w:name w:val="FollowedHyperlink"/>
    <w:basedOn w:val="DefaultParagraphFont"/>
    <w:semiHidden/>
    <w:unhideWhenUsed/>
    <w:rsid w:val="00611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dp.org/content/undp/en/home/operations/transparency/information_disclosurepolicy/" TargetMode="External"/><Relationship Id="rId18" Type="http://schemas.openxmlformats.org/officeDocument/2006/relationships/hyperlink" Target="http://www.itu.int/md/S14-CL-C-0064/en"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lo.org/pardev/information-resources/publications/WCMS_191019/lang--en/index.htm" TargetMode="External"/><Relationship Id="rId17" Type="http://schemas.openxmlformats.org/officeDocument/2006/relationships/hyperlink" Target="http://www.itu.int/md/S14-CL-INF-0020/en" TargetMode="External"/><Relationship Id="rId2" Type="http://schemas.openxmlformats.org/officeDocument/2006/relationships/styles" Target="styles.xml"/><Relationship Id="rId16" Type="http://schemas.openxmlformats.org/officeDocument/2006/relationships/hyperlink" Target="http://www1.worldbank.org/operations/disclosure/policy.html" TargetMode="External"/><Relationship Id="rId20" Type="http://schemas.openxmlformats.org/officeDocument/2006/relationships/hyperlink" Target="http://www.itu.int/md/S14-CL-C-0062/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S14-CL-INF-0020/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icef.org/about/legal_disclosure.html" TargetMode="External"/><Relationship Id="rId23" Type="http://schemas.openxmlformats.org/officeDocument/2006/relationships/fontTable" Target="fontTable.xml"/><Relationship Id="rId10" Type="http://schemas.openxmlformats.org/officeDocument/2006/relationships/hyperlink" Target="http://www.itu.int/en/council/wg-sfp/Pages/default.aspx" TargetMode="External"/><Relationship Id="rId19" Type="http://schemas.openxmlformats.org/officeDocument/2006/relationships/hyperlink" Target="http://www.itu.int/md/S14-CL-C-0061/en" TargetMode="External"/><Relationship Id="rId4" Type="http://schemas.openxmlformats.org/officeDocument/2006/relationships/settings" Target="settings.xml"/><Relationship Id="rId9" Type="http://schemas.openxmlformats.org/officeDocument/2006/relationships/hyperlink" Target="http://www.itu.int/md/S14-CL-INF-0020/en" TargetMode="External"/><Relationship Id="rId14" Type="http://schemas.openxmlformats.org/officeDocument/2006/relationships/hyperlink" Target="http://www.ifad.org/gbdoc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0</TotalTime>
  <Pages>10</Pages>
  <Words>3465</Words>
  <Characters>19738</Characters>
  <Application>Microsoft Office Word</Application>
  <DocSecurity>4</DocSecurity>
  <Lines>164</Lines>
  <Paragraphs>46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23157</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(PP-14)</dc:subject>
  <dc:creator>Brouard, Ricarda</dc:creator>
  <cp:keywords>PP-14</cp:keywords>
  <dc:description>PS_PP14.dotx  For: _x000d_Document date: _x000d_Saved by ITU51009317 at 10:37:49 on 19/03/2013</dc:description>
  <cp:lastModifiedBy>Brouard, Ricarda</cp:lastModifiedBy>
  <cp:revision>2</cp:revision>
  <cp:lastPrinted>2014-08-19T07:57:00Z</cp:lastPrinted>
  <dcterms:created xsi:type="dcterms:W3CDTF">2014-08-19T14:38:00Z</dcterms:created>
  <dcterms:modified xsi:type="dcterms:W3CDTF">2014-08-19T14:38:00Z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