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CB33A1">
        <w:trPr>
          <w:cantSplit/>
        </w:trPr>
        <w:tc>
          <w:tcPr>
            <w:tcW w:w="6911" w:type="dxa"/>
          </w:tcPr>
          <w:p w:rsidR="00BD1614" w:rsidRPr="000B0BB6" w:rsidRDefault="00BD1614" w:rsidP="007D1428">
            <w:pPr>
              <w:rPr>
                <w:b/>
                <w:bCs/>
                <w:position w:val="6"/>
                <w:szCs w:val="24"/>
              </w:rPr>
            </w:pPr>
            <w:bookmarkStart w:id="0" w:name="dbreak"/>
            <w:bookmarkStart w:id="1" w:name="dpp"/>
            <w:bookmarkEnd w:id="0"/>
            <w:bookmarkEnd w:id="1"/>
            <w:r w:rsidRPr="000B0BB6">
              <w:rPr>
                <w:rFonts w:cs="Times"/>
                <w:b/>
                <w:sz w:val="30"/>
                <w:szCs w:val="30"/>
              </w:rPr>
              <w:t>Conférence de plénipotentiaires</w:t>
            </w:r>
            <w:r w:rsidRPr="000B0BB6">
              <w:rPr>
                <w:b/>
                <w:smallCaps/>
                <w:sz w:val="30"/>
                <w:szCs w:val="30"/>
              </w:rPr>
              <w:t xml:space="preserve"> (PP-14)</w:t>
            </w:r>
            <w:r w:rsidR="005B2C90">
              <w:rPr>
                <w:b/>
                <w:smallCaps/>
                <w:sz w:val="30"/>
                <w:szCs w:val="30"/>
              </w:rPr>
              <w:t xml:space="preserve"> </w:t>
            </w:r>
            <w:r w:rsidRPr="000B0BB6">
              <w:rPr>
                <w:b/>
                <w:smallCaps/>
                <w:sz w:val="36"/>
              </w:rPr>
              <w:br/>
            </w:r>
            <w:r w:rsidRPr="000B0BB6">
              <w:rPr>
                <w:rFonts w:cs="Times New Roman Bold"/>
                <w:b/>
                <w:bCs/>
                <w:szCs w:val="24"/>
              </w:rPr>
              <w:t>Busan, 20 octobre - 7 novembre 2014</w:t>
            </w:r>
          </w:p>
        </w:tc>
        <w:tc>
          <w:tcPr>
            <w:tcW w:w="3120" w:type="dxa"/>
          </w:tcPr>
          <w:p w:rsidR="00BD1614" w:rsidRPr="000B0BB6" w:rsidRDefault="00BD1614" w:rsidP="007D1428">
            <w:pPr>
              <w:spacing w:before="0"/>
              <w:rPr>
                <w:rFonts w:cstheme="minorHAnsi"/>
              </w:rPr>
            </w:pPr>
            <w:bookmarkStart w:id="2" w:name="ditulogo"/>
            <w:bookmarkEnd w:id="2"/>
            <w:r w:rsidRPr="000B0BB6">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CB33A1">
        <w:trPr>
          <w:cantSplit/>
        </w:trPr>
        <w:tc>
          <w:tcPr>
            <w:tcW w:w="6911" w:type="dxa"/>
            <w:tcBorders>
              <w:bottom w:val="single" w:sz="12" w:space="0" w:color="auto"/>
            </w:tcBorders>
          </w:tcPr>
          <w:p w:rsidR="00BD1614" w:rsidRPr="000B0BB6" w:rsidRDefault="00BD1614" w:rsidP="007D1428">
            <w:pPr>
              <w:spacing w:before="0" w:after="48"/>
              <w:rPr>
                <w:rFonts w:cstheme="minorHAnsi"/>
                <w:b/>
                <w:smallCaps/>
                <w:szCs w:val="24"/>
              </w:rPr>
            </w:pPr>
            <w:bookmarkStart w:id="3" w:name="dhead"/>
          </w:p>
        </w:tc>
        <w:tc>
          <w:tcPr>
            <w:tcW w:w="3120" w:type="dxa"/>
            <w:tcBorders>
              <w:bottom w:val="single" w:sz="12" w:space="0" w:color="auto"/>
            </w:tcBorders>
          </w:tcPr>
          <w:p w:rsidR="00BD1614" w:rsidRPr="000B0BB6" w:rsidRDefault="00BD1614" w:rsidP="007D1428">
            <w:pPr>
              <w:spacing w:before="0"/>
              <w:rPr>
                <w:rFonts w:cstheme="minorHAnsi"/>
                <w:szCs w:val="24"/>
              </w:rPr>
            </w:pPr>
          </w:p>
        </w:tc>
      </w:tr>
      <w:tr w:rsidR="00BD1614" w:rsidRPr="002A6F8F" w:rsidTr="00CB33A1">
        <w:trPr>
          <w:cantSplit/>
        </w:trPr>
        <w:tc>
          <w:tcPr>
            <w:tcW w:w="6911" w:type="dxa"/>
            <w:tcBorders>
              <w:top w:val="single" w:sz="12" w:space="0" w:color="auto"/>
            </w:tcBorders>
          </w:tcPr>
          <w:p w:rsidR="00BD1614" w:rsidRPr="000B0BB6" w:rsidRDefault="00BD1614" w:rsidP="007D1428">
            <w:pPr>
              <w:spacing w:before="0" w:after="48"/>
              <w:rPr>
                <w:rFonts w:cstheme="minorHAnsi"/>
                <w:b/>
                <w:smallCaps/>
                <w:szCs w:val="24"/>
              </w:rPr>
            </w:pPr>
          </w:p>
        </w:tc>
        <w:tc>
          <w:tcPr>
            <w:tcW w:w="3120" w:type="dxa"/>
            <w:tcBorders>
              <w:top w:val="single" w:sz="12" w:space="0" w:color="auto"/>
            </w:tcBorders>
          </w:tcPr>
          <w:p w:rsidR="00BD1614" w:rsidRPr="000B0BB6" w:rsidRDefault="00BD1614" w:rsidP="007D1428">
            <w:pPr>
              <w:spacing w:before="0"/>
              <w:rPr>
                <w:rFonts w:cstheme="minorHAnsi"/>
                <w:szCs w:val="24"/>
              </w:rPr>
            </w:pPr>
          </w:p>
        </w:tc>
      </w:tr>
      <w:tr w:rsidR="00BD1614" w:rsidRPr="002A6F8F" w:rsidTr="00CB33A1">
        <w:trPr>
          <w:cantSplit/>
        </w:trPr>
        <w:tc>
          <w:tcPr>
            <w:tcW w:w="6911" w:type="dxa"/>
          </w:tcPr>
          <w:p w:rsidR="00BD1614" w:rsidRPr="000B0BB6" w:rsidRDefault="00407795" w:rsidP="007D1428">
            <w:pPr>
              <w:pStyle w:val="Committee"/>
              <w:framePr w:hSpace="0" w:wrap="auto" w:hAnchor="text" w:yAlign="inline"/>
              <w:spacing w:line="240" w:lineRule="auto"/>
              <w:rPr>
                <w:lang w:val="fr-FR"/>
              </w:rPr>
            </w:pPr>
            <w:r w:rsidRPr="000B0BB6">
              <w:rPr>
                <w:lang w:val="fr-FR"/>
              </w:rPr>
              <w:t>SÉANCE PLÉNIÈRE</w:t>
            </w:r>
          </w:p>
        </w:tc>
        <w:tc>
          <w:tcPr>
            <w:tcW w:w="3120" w:type="dxa"/>
          </w:tcPr>
          <w:p w:rsidR="00BD1614" w:rsidRPr="000B0BB6" w:rsidRDefault="00407795" w:rsidP="007D1428">
            <w:pPr>
              <w:spacing w:before="0"/>
              <w:rPr>
                <w:rFonts w:cstheme="minorHAnsi"/>
                <w:szCs w:val="24"/>
              </w:rPr>
            </w:pPr>
            <w:r w:rsidRPr="000B0BB6">
              <w:rPr>
                <w:rFonts w:cstheme="minorHAnsi"/>
                <w:b/>
                <w:szCs w:val="24"/>
              </w:rPr>
              <w:t xml:space="preserve">Document </w:t>
            </w:r>
            <w:r w:rsidR="00896897" w:rsidRPr="000B0BB6">
              <w:rPr>
                <w:rFonts w:cstheme="minorHAnsi"/>
                <w:b/>
                <w:szCs w:val="24"/>
              </w:rPr>
              <w:t>60</w:t>
            </w:r>
            <w:r w:rsidRPr="000B0BB6">
              <w:rPr>
                <w:rFonts w:cstheme="minorHAnsi"/>
                <w:b/>
                <w:szCs w:val="24"/>
              </w:rPr>
              <w:t>-F</w:t>
            </w:r>
          </w:p>
        </w:tc>
      </w:tr>
      <w:tr w:rsidR="00BD1614" w:rsidRPr="002A6F8F" w:rsidTr="00CB33A1">
        <w:trPr>
          <w:cantSplit/>
        </w:trPr>
        <w:tc>
          <w:tcPr>
            <w:tcW w:w="6911" w:type="dxa"/>
          </w:tcPr>
          <w:p w:rsidR="00BD1614" w:rsidRPr="000B0BB6" w:rsidRDefault="00BD1614" w:rsidP="007D1428">
            <w:pPr>
              <w:spacing w:before="0" w:after="48"/>
              <w:rPr>
                <w:rFonts w:cstheme="minorHAnsi"/>
                <w:b/>
                <w:smallCaps/>
                <w:szCs w:val="24"/>
              </w:rPr>
            </w:pPr>
          </w:p>
        </w:tc>
        <w:tc>
          <w:tcPr>
            <w:tcW w:w="3120" w:type="dxa"/>
          </w:tcPr>
          <w:p w:rsidR="00BD1614" w:rsidRPr="000B0BB6" w:rsidRDefault="00896897" w:rsidP="007D1428">
            <w:pPr>
              <w:spacing w:before="0"/>
              <w:rPr>
                <w:rFonts w:cstheme="minorHAnsi"/>
                <w:b/>
                <w:szCs w:val="24"/>
              </w:rPr>
            </w:pPr>
            <w:r w:rsidRPr="000B0BB6">
              <w:rPr>
                <w:rFonts w:cstheme="minorHAnsi"/>
                <w:b/>
                <w:szCs w:val="24"/>
              </w:rPr>
              <w:t>12 août 2014</w:t>
            </w:r>
          </w:p>
        </w:tc>
      </w:tr>
      <w:tr w:rsidR="00BD1614" w:rsidRPr="002A6F8F" w:rsidTr="00CB33A1">
        <w:trPr>
          <w:cantSplit/>
        </w:trPr>
        <w:tc>
          <w:tcPr>
            <w:tcW w:w="6911" w:type="dxa"/>
          </w:tcPr>
          <w:p w:rsidR="00BD1614" w:rsidRPr="000B0BB6" w:rsidRDefault="00BD1614" w:rsidP="007D1428">
            <w:pPr>
              <w:spacing w:before="0" w:after="48"/>
              <w:rPr>
                <w:rFonts w:cstheme="minorHAnsi"/>
                <w:b/>
                <w:smallCaps/>
                <w:szCs w:val="24"/>
              </w:rPr>
            </w:pPr>
          </w:p>
        </w:tc>
        <w:tc>
          <w:tcPr>
            <w:tcW w:w="3120" w:type="dxa"/>
          </w:tcPr>
          <w:p w:rsidR="00BD1614" w:rsidRPr="000B0BB6" w:rsidRDefault="00407795" w:rsidP="007D1428">
            <w:pPr>
              <w:spacing w:before="0"/>
              <w:rPr>
                <w:rFonts w:cstheme="minorHAnsi"/>
                <w:b/>
                <w:szCs w:val="24"/>
              </w:rPr>
            </w:pPr>
            <w:r w:rsidRPr="000B0BB6">
              <w:rPr>
                <w:rFonts w:cstheme="minorHAnsi"/>
                <w:b/>
                <w:szCs w:val="24"/>
              </w:rPr>
              <w:t>Original: anglais</w:t>
            </w:r>
          </w:p>
        </w:tc>
      </w:tr>
      <w:tr w:rsidR="00BD1614" w:rsidRPr="002A6F8F" w:rsidTr="00CB33A1">
        <w:trPr>
          <w:cantSplit/>
        </w:trPr>
        <w:tc>
          <w:tcPr>
            <w:tcW w:w="10031" w:type="dxa"/>
            <w:gridSpan w:val="2"/>
          </w:tcPr>
          <w:p w:rsidR="00BD1614" w:rsidRPr="000B0BB6" w:rsidRDefault="00BD1614" w:rsidP="007D1428">
            <w:pPr>
              <w:spacing w:before="0"/>
              <w:rPr>
                <w:rFonts w:cstheme="minorHAnsi"/>
                <w:b/>
                <w:szCs w:val="24"/>
              </w:rPr>
            </w:pPr>
          </w:p>
        </w:tc>
      </w:tr>
      <w:tr w:rsidR="00BD1614" w:rsidRPr="002A6F8F" w:rsidTr="00CB33A1">
        <w:trPr>
          <w:cantSplit/>
        </w:trPr>
        <w:tc>
          <w:tcPr>
            <w:tcW w:w="10031" w:type="dxa"/>
            <w:gridSpan w:val="2"/>
          </w:tcPr>
          <w:p w:rsidR="00BD1614" w:rsidRPr="000B0BB6" w:rsidRDefault="00896897" w:rsidP="007D1428">
            <w:pPr>
              <w:pStyle w:val="Source"/>
            </w:pPr>
            <w:bookmarkStart w:id="4" w:name="dsource" w:colFirst="0" w:colLast="0"/>
            <w:bookmarkEnd w:id="3"/>
            <w:r w:rsidRPr="000B0BB6">
              <w:t>Rapport du Secrétaire général</w:t>
            </w:r>
          </w:p>
        </w:tc>
      </w:tr>
      <w:tr w:rsidR="00BD1614" w:rsidRPr="003A514D" w:rsidTr="00CB33A1">
        <w:trPr>
          <w:cantSplit/>
        </w:trPr>
        <w:tc>
          <w:tcPr>
            <w:tcW w:w="10031" w:type="dxa"/>
            <w:gridSpan w:val="2"/>
          </w:tcPr>
          <w:p w:rsidR="00BD1614" w:rsidRPr="003A514D" w:rsidRDefault="000B0BB6" w:rsidP="007D1428">
            <w:pPr>
              <w:pStyle w:val="Title1"/>
              <w:rPr>
                <w:lang w:val="fr-CH"/>
              </w:rPr>
            </w:pPr>
            <w:bookmarkStart w:id="5" w:name="dtitle1" w:colFirst="0" w:colLast="0"/>
            <w:bookmarkEnd w:id="4"/>
            <w:r>
              <w:rPr>
                <w:lang w:val="fr-CH"/>
              </w:rPr>
              <w:t>rap</w:t>
            </w:r>
            <w:bookmarkStart w:id="6" w:name="_GoBack"/>
            <w:bookmarkEnd w:id="6"/>
            <w:r>
              <w:rPr>
                <w:lang w:val="fr-CH"/>
              </w:rPr>
              <w:t xml:space="preserve">port </w:t>
            </w:r>
            <w:r w:rsidR="00832AA1">
              <w:rPr>
                <w:lang w:val="fr-CH"/>
              </w:rPr>
              <w:t>détaillé</w:t>
            </w:r>
            <w:r>
              <w:rPr>
                <w:lang w:val="fr-CH"/>
              </w:rPr>
              <w:t xml:space="preserve"> sur les droits, les o</w:t>
            </w:r>
            <w:r w:rsidR="00BF0A3F">
              <w:rPr>
                <w:lang w:val="fr-CH"/>
              </w:rPr>
              <w:t>bligations et les conditions de </w:t>
            </w:r>
            <w:r>
              <w:rPr>
                <w:lang w:val="fr-CH"/>
              </w:rPr>
              <w:t xml:space="preserve">participation des membres de secteur, des associés </w:t>
            </w:r>
            <w:r>
              <w:rPr>
                <w:lang w:val="fr-CH"/>
              </w:rPr>
              <w:br/>
              <w:t>et des établissements universitaires</w:t>
            </w:r>
          </w:p>
        </w:tc>
      </w:tr>
      <w:tr w:rsidR="00BD1614" w:rsidTr="00CB33A1">
        <w:trPr>
          <w:cantSplit/>
        </w:trPr>
        <w:tc>
          <w:tcPr>
            <w:tcW w:w="10031" w:type="dxa"/>
            <w:gridSpan w:val="2"/>
          </w:tcPr>
          <w:p w:rsidR="00BD1614" w:rsidRDefault="00BD1614" w:rsidP="007D1428">
            <w:pPr>
              <w:pStyle w:val="Agendaitem"/>
            </w:pPr>
            <w:bookmarkStart w:id="7" w:name="dtitle3" w:colFirst="0" w:colLast="0"/>
            <w:bookmarkEnd w:id="5"/>
          </w:p>
        </w:tc>
      </w:tr>
      <w:bookmarkEnd w:id="7"/>
    </w:tbl>
    <w:p w:rsidR="003C178B" w:rsidRPr="00EB226A" w:rsidRDefault="003C178B" w:rsidP="007D1428">
      <w:pPr>
        <w:jc w:val="center"/>
        <w:rPr>
          <w:b/>
          <w:bCs/>
          <w:sz w:val="8"/>
          <w:szCs w:val="8"/>
        </w:rPr>
      </w:pPr>
    </w:p>
    <w:tbl>
      <w:tblPr>
        <w:tblW w:w="8079"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9"/>
      </w:tblGrid>
      <w:tr w:rsidR="00896897" w:rsidRPr="00624A1E" w:rsidTr="003C178B">
        <w:trPr>
          <w:trHeight w:val="3372"/>
        </w:trPr>
        <w:tc>
          <w:tcPr>
            <w:tcW w:w="8079" w:type="dxa"/>
            <w:tcBorders>
              <w:top w:val="single" w:sz="12" w:space="0" w:color="auto"/>
              <w:left w:val="single" w:sz="12" w:space="0" w:color="auto"/>
              <w:bottom w:val="single" w:sz="12" w:space="0" w:color="auto"/>
              <w:right w:val="single" w:sz="12" w:space="0" w:color="auto"/>
            </w:tcBorders>
          </w:tcPr>
          <w:p w:rsidR="00896897" w:rsidRPr="003C178B" w:rsidRDefault="003A514D" w:rsidP="007D1428">
            <w:pPr>
              <w:snapToGrid w:val="0"/>
              <w:spacing w:after="120"/>
              <w:rPr>
                <w:b/>
                <w:bCs/>
                <w:lang w:val="fr-CH"/>
              </w:rPr>
            </w:pPr>
            <w:r w:rsidRPr="003C178B">
              <w:rPr>
                <w:b/>
                <w:bCs/>
                <w:lang w:val="fr-CH"/>
              </w:rPr>
              <w:t>Résumé</w:t>
            </w:r>
          </w:p>
          <w:p w:rsidR="000B0BB6" w:rsidRDefault="000B0BB6" w:rsidP="007D1428">
            <w:pPr>
              <w:snapToGrid w:val="0"/>
              <w:spacing w:after="120"/>
              <w:rPr>
                <w:lang w:val="fr-CH"/>
              </w:rPr>
            </w:pPr>
            <w:r>
              <w:rPr>
                <w:lang w:val="fr-CH"/>
              </w:rPr>
              <w:t xml:space="preserve">Comme </w:t>
            </w:r>
            <w:r w:rsidR="00832AA1">
              <w:rPr>
                <w:lang w:val="fr-CH"/>
              </w:rPr>
              <w:t>il en a été chargé</w:t>
            </w:r>
            <w:r>
              <w:rPr>
                <w:lang w:val="fr-CH"/>
              </w:rPr>
              <w:t xml:space="preserve"> par le Conseil à sa session de 2014, le </w:t>
            </w:r>
            <w:r w:rsidR="00832AA1">
              <w:rPr>
                <w:lang w:val="fr-CH"/>
              </w:rPr>
              <w:t xml:space="preserve">Secrétaire général soumet à la Conférence de plénipotentiaires le </w:t>
            </w:r>
            <w:r>
              <w:rPr>
                <w:lang w:val="fr-CH"/>
              </w:rPr>
              <w:t xml:space="preserve">présent </w:t>
            </w:r>
            <w:r w:rsidR="00832AA1">
              <w:rPr>
                <w:lang w:val="fr-CH"/>
              </w:rPr>
              <w:t>rapport, qui</w:t>
            </w:r>
            <w:r>
              <w:rPr>
                <w:lang w:val="fr-CH"/>
              </w:rPr>
              <w:t xml:space="preserve"> </w:t>
            </w:r>
            <w:r w:rsidR="00832AA1">
              <w:rPr>
                <w:lang w:val="fr-CH"/>
              </w:rPr>
              <w:t>expose</w:t>
            </w:r>
            <w:r>
              <w:rPr>
                <w:lang w:val="fr-CH"/>
              </w:rPr>
              <w:t xml:space="preserve"> de manière détaillée les droits et obligations/conditions de participation des Membres de Secteur, des Associés et des établissements universitaires, selon le cas, aux réunions des trois Secteurs</w:t>
            </w:r>
            <w:r w:rsidR="00636CF0">
              <w:rPr>
                <w:lang w:val="fr-CH"/>
              </w:rPr>
              <w:t xml:space="preserve"> ainsi qu</w:t>
            </w:r>
            <w:r w:rsidR="00865BC1">
              <w:rPr>
                <w:lang w:val="fr-CH"/>
              </w:rPr>
              <w:t>'</w:t>
            </w:r>
            <w:r>
              <w:rPr>
                <w:lang w:val="fr-CH"/>
              </w:rPr>
              <w:t>au</w:t>
            </w:r>
            <w:r w:rsidR="00636CF0">
              <w:rPr>
                <w:lang w:val="fr-CH"/>
              </w:rPr>
              <w:t>x sessions du</w:t>
            </w:r>
            <w:r>
              <w:rPr>
                <w:lang w:val="fr-CH"/>
              </w:rPr>
              <w:t xml:space="preserve"> Conseil et à la Conférence de plénipotentiaires.</w:t>
            </w:r>
          </w:p>
          <w:p w:rsidR="00896897" w:rsidRPr="00974946" w:rsidRDefault="003C178B" w:rsidP="007D1428">
            <w:pPr>
              <w:snapToGrid w:val="0"/>
              <w:spacing w:after="120"/>
              <w:rPr>
                <w:b/>
                <w:bCs/>
                <w:lang w:val="fr-CH"/>
              </w:rPr>
            </w:pPr>
            <w:r w:rsidRPr="00974946">
              <w:rPr>
                <w:b/>
                <w:bCs/>
                <w:lang w:val="fr-CH"/>
              </w:rPr>
              <w:t>Suite à donner</w:t>
            </w:r>
          </w:p>
          <w:p w:rsidR="00832AA1" w:rsidRDefault="00832AA1" w:rsidP="00F31852">
            <w:pPr>
              <w:snapToGrid w:val="0"/>
              <w:spacing w:after="120"/>
              <w:rPr>
                <w:lang w:val="fr-CH"/>
              </w:rPr>
            </w:pPr>
            <w:r>
              <w:rPr>
                <w:lang w:val="fr-CH"/>
              </w:rPr>
              <w:t xml:space="preserve">La Conférence de plénipotentiaires est invitée à </w:t>
            </w:r>
            <w:r w:rsidRPr="00832AA1">
              <w:rPr>
                <w:b/>
                <w:lang w:val="fr-CH"/>
              </w:rPr>
              <w:t>prendre note</w:t>
            </w:r>
            <w:r>
              <w:rPr>
                <w:lang w:val="fr-CH"/>
              </w:rPr>
              <w:t xml:space="preserve"> du présent document </w:t>
            </w:r>
            <w:r w:rsidR="00636CF0">
              <w:rPr>
                <w:lang w:val="fr-CH"/>
              </w:rPr>
              <w:t xml:space="preserve">et </w:t>
            </w:r>
            <w:r>
              <w:rPr>
                <w:lang w:val="fr-CH"/>
              </w:rPr>
              <w:t xml:space="preserve">à </w:t>
            </w:r>
            <w:r w:rsidRPr="00832AA1">
              <w:rPr>
                <w:b/>
                <w:lang w:val="fr-CH"/>
              </w:rPr>
              <w:t>examiner et approuver</w:t>
            </w:r>
            <w:r>
              <w:rPr>
                <w:lang w:val="fr-CH"/>
              </w:rPr>
              <w:t xml:space="preserve"> les propositions de révision de</w:t>
            </w:r>
            <w:r w:rsidR="00636CF0">
              <w:rPr>
                <w:lang w:val="fr-CH"/>
              </w:rPr>
              <w:t xml:space="preserve"> se</w:t>
            </w:r>
            <w:r>
              <w:rPr>
                <w:lang w:val="fr-CH"/>
              </w:rPr>
              <w:t>s Résolutions 152 (</w:t>
            </w:r>
            <w:proofErr w:type="spellStart"/>
            <w:r>
              <w:rPr>
                <w:lang w:val="fr-CH"/>
              </w:rPr>
              <w:t>Rév</w:t>
            </w:r>
            <w:proofErr w:type="spellEnd"/>
            <w:r>
              <w:rPr>
                <w:lang w:val="fr-CH"/>
              </w:rPr>
              <w:t xml:space="preserve">. Guadalajara, 2010), </w:t>
            </w:r>
            <w:r w:rsidRPr="00624A1E">
              <w:rPr>
                <w:lang w:val="fr-CH"/>
              </w:rPr>
              <w:t>158 (</w:t>
            </w:r>
            <w:proofErr w:type="spellStart"/>
            <w:r w:rsidRPr="00624A1E">
              <w:rPr>
                <w:lang w:val="fr-CH"/>
              </w:rPr>
              <w:t>Rév</w:t>
            </w:r>
            <w:proofErr w:type="spellEnd"/>
            <w:r w:rsidRPr="00624A1E">
              <w:rPr>
                <w:lang w:val="fr-CH"/>
              </w:rPr>
              <w:t xml:space="preserve">. Guadalajara, 2010), 169 (Guadalajara, 2010) </w:t>
            </w:r>
            <w:r>
              <w:rPr>
                <w:lang w:val="fr-CH"/>
              </w:rPr>
              <w:t>et</w:t>
            </w:r>
            <w:r w:rsidRPr="00624A1E">
              <w:rPr>
                <w:lang w:val="fr-CH"/>
              </w:rPr>
              <w:t xml:space="preserve"> 170 (Guadalajara, 2010), </w:t>
            </w:r>
            <w:r>
              <w:rPr>
                <w:lang w:val="fr-CH"/>
              </w:rPr>
              <w:t>ainsi qu</w:t>
            </w:r>
            <w:r w:rsidR="00865BC1">
              <w:rPr>
                <w:lang w:val="fr-CH"/>
              </w:rPr>
              <w:t>'</w:t>
            </w:r>
            <w:r>
              <w:rPr>
                <w:lang w:val="fr-CH"/>
              </w:rPr>
              <w:t xml:space="preserve">un projet de </w:t>
            </w:r>
            <w:r w:rsidR="00636CF0">
              <w:rPr>
                <w:lang w:val="fr-CH"/>
              </w:rPr>
              <w:t xml:space="preserve">nouvelle </w:t>
            </w:r>
            <w:r w:rsidRPr="00624A1E">
              <w:rPr>
                <w:lang w:val="fr-CH"/>
              </w:rPr>
              <w:t xml:space="preserve">Résolution </w:t>
            </w:r>
            <w:r>
              <w:rPr>
                <w:lang w:val="fr-CH"/>
              </w:rPr>
              <w:t>intitulé: "</w:t>
            </w:r>
            <w:r w:rsidRPr="000D47A5">
              <w:rPr>
                <w:lang w:val="fr-CH"/>
              </w:rPr>
              <w:t>Examen des méthodes existantes et définition d'une vision de l'avenir concernant la participation des Membres de Secteur, des</w:t>
            </w:r>
            <w:r w:rsidR="00F31852">
              <w:rPr>
                <w:lang w:val="fr-CH"/>
              </w:rPr>
              <w:t> </w:t>
            </w:r>
            <w:r w:rsidRPr="000D47A5">
              <w:rPr>
                <w:lang w:val="fr-CH"/>
              </w:rPr>
              <w:t>Associés et des établissements universitaires aux activités de l'UIT</w:t>
            </w:r>
            <w:r>
              <w:rPr>
                <w:lang w:val="fr-CH"/>
              </w:rPr>
              <w:t>".</w:t>
            </w:r>
          </w:p>
          <w:p w:rsidR="00896897" w:rsidRPr="000768F3" w:rsidRDefault="00896897" w:rsidP="007D1428">
            <w:pPr>
              <w:pStyle w:val="Table"/>
              <w:keepNext w:val="0"/>
              <w:snapToGrid w:val="0"/>
              <w:spacing w:before="120"/>
              <w:rPr>
                <w:rFonts w:ascii="Calibri" w:hAnsi="Calibri"/>
                <w:caps w:val="0"/>
                <w:sz w:val="22"/>
                <w:szCs w:val="22"/>
                <w:lang w:val="fr-CH"/>
              </w:rPr>
            </w:pPr>
            <w:r w:rsidRPr="000768F3">
              <w:rPr>
                <w:rFonts w:ascii="Calibri" w:hAnsi="Calibri"/>
                <w:caps w:val="0"/>
                <w:sz w:val="22"/>
                <w:szCs w:val="22"/>
                <w:lang w:val="fr-CH"/>
              </w:rPr>
              <w:t>___________</w:t>
            </w:r>
          </w:p>
          <w:p w:rsidR="00896897" w:rsidRPr="000768F3" w:rsidRDefault="00896897" w:rsidP="007D1428">
            <w:pPr>
              <w:snapToGrid w:val="0"/>
              <w:spacing w:after="120"/>
              <w:rPr>
                <w:b/>
                <w:bCs/>
                <w:lang w:val="fr-CH"/>
              </w:rPr>
            </w:pPr>
            <w:r w:rsidRPr="000768F3">
              <w:rPr>
                <w:b/>
                <w:bCs/>
                <w:lang w:val="fr-CH"/>
              </w:rPr>
              <w:t>R</w:t>
            </w:r>
            <w:r w:rsidR="003C178B" w:rsidRPr="000768F3">
              <w:rPr>
                <w:b/>
                <w:bCs/>
                <w:lang w:val="fr-CH"/>
              </w:rPr>
              <w:t>é</w:t>
            </w:r>
            <w:r w:rsidRPr="000768F3">
              <w:rPr>
                <w:b/>
                <w:bCs/>
                <w:lang w:val="fr-CH"/>
              </w:rPr>
              <w:t>f</w:t>
            </w:r>
            <w:r w:rsidR="003C178B" w:rsidRPr="000768F3">
              <w:rPr>
                <w:b/>
                <w:bCs/>
                <w:lang w:val="fr-CH"/>
              </w:rPr>
              <w:t>é</w:t>
            </w:r>
            <w:r w:rsidRPr="000768F3">
              <w:rPr>
                <w:b/>
                <w:bCs/>
                <w:lang w:val="fr-CH"/>
              </w:rPr>
              <w:t>rences</w:t>
            </w:r>
          </w:p>
          <w:p w:rsidR="00896897" w:rsidRPr="00624A1E" w:rsidRDefault="00896897" w:rsidP="00EB226A">
            <w:pPr>
              <w:snapToGrid w:val="0"/>
              <w:spacing w:after="120"/>
              <w:rPr>
                <w:bCs/>
                <w:i/>
                <w:iCs/>
                <w:lang w:val="fr-CH"/>
              </w:rPr>
            </w:pPr>
            <w:r w:rsidRPr="00624A1E">
              <w:rPr>
                <w:bCs/>
                <w:i/>
                <w:iCs/>
                <w:lang w:val="fr-CH"/>
              </w:rPr>
              <w:t xml:space="preserve">Articles </w:t>
            </w:r>
            <w:hyperlink r:id="rId9" w:anchor="csart2" w:history="1">
              <w:r w:rsidRPr="00624A1E">
                <w:rPr>
                  <w:rStyle w:val="Hyperlink"/>
                  <w:bCs/>
                  <w:i/>
                  <w:iCs/>
                  <w:lang w:val="fr-CH"/>
                </w:rPr>
                <w:t>2</w:t>
              </w:r>
            </w:hyperlink>
            <w:r w:rsidRPr="00624A1E">
              <w:rPr>
                <w:bCs/>
                <w:i/>
                <w:iCs/>
                <w:lang w:val="fr-CH"/>
              </w:rPr>
              <w:t xml:space="preserve">, </w:t>
            </w:r>
            <w:hyperlink r:id="rId10" w:anchor="csart3" w:history="1">
              <w:r w:rsidRPr="00624A1E">
                <w:rPr>
                  <w:rStyle w:val="Hyperlink"/>
                  <w:bCs/>
                  <w:i/>
                  <w:iCs/>
                  <w:lang w:val="fr-CH"/>
                </w:rPr>
                <w:t>3</w:t>
              </w:r>
            </w:hyperlink>
            <w:r w:rsidR="00B65027">
              <w:rPr>
                <w:bCs/>
                <w:i/>
                <w:iCs/>
                <w:lang w:val="fr-CH"/>
              </w:rPr>
              <w:t xml:space="preserve"> et</w:t>
            </w:r>
            <w:r w:rsidRPr="00624A1E">
              <w:rPr>
                <w:bCs/>
                <w:i/>
                <w:iCs/>
                <w:lang w:val="fr-CH"/>
              </w:rPr>
              <w:t xml:space="preserve"> </w:t>
            </w:r>
            <w:hyperlink r:id="rId11" w:anchor="csart28" w:history="1">
              <w:r w:rsidRPr="00624A1E">
                <w:rPr>
                  <w:rStyle w:val="Hyperlink"/>
                  <w:bCs/>
                  <w:i/>
                  <w:iCs/>
                  <w:lang w:val="fr-CH"/>
                </w:rPr>
                <w:t>28</w:t>
              </w:r>
            </w:hyperlink>
            <w:r w:rsidR="00BF0A3F">
              <w:rPr>
                <w:rStyle w:val="Hyperlink"/>
                <w:bCs/>
                <w:i/>
                <w:iCs/>
                <w:u w:val="none"/>
                <w:lang w:val="fr-CH"/>
              </w:rPr>
              <w:t> </w:t>
            </w:r>
            <w:r w:rsidR="00B65027">
              <w:rPr>
                <w:bCs/>
                <w:i/>
                <w:iCs/>
                <w:lang w:val="fr-CH"/>
              </w:rPr>
              <w:t>de la Constitution,</w:t>
            </w:r>
            <w:r w:rsidR="00B65027" w:rsidRPr="00624A1E">
              <w:rPr>
                <w:bCs/>
                <w:i/>
                <w:iCs/>
                <w:lang w:val="fr-CH"/>
              </w:rPr>
              <w:t xml:space="preserve"> Articles</w:t>
            </w:r>
            <w:r w:rsidRPr="00624A1E">
              <w:rPr>
                <w:bCs/>
                <w:i/>
                <w:iCs/>
                <w:lang w:val="fr-CH"/>
              </w:rPr>
              <w:t xml:space="preserve"> </w:t>
            </w:r>
            <w:hyperlink r:id="rId12" w:anchor="cvart19" w:history="1">
              <w:r w:rsidRPr="00624A1E">
                <w:rPr>
                  <w:rStyle w:val="Hyperlink"/>
                  <w:bCs/>
                  <w:i/>
                  <w:iCs/>
                  <w:lang w:val="fr-CH"/>
                </w:rPr>
                <w:t>19</w:t>
              </w:r>
            </w:hyperlink>
            <w:r w:rsidRPr="00624A1E">
              <w:rPr>
                <w:bCs/>
                <w:i/>
                <w:iCs/>
                <w:lang w:val="fr-CH"/>
              </w:rPr>
              <w:t xml:space="preserve">, </w:t>
            </w:r>
            <w:hyperlink r:id="rId13" w:anchor="cvart20" w:history="1">
              <w:r w:rsidRPr="00624A1E">
                <w:rPr>
                  <w:rStyle w:val="Hyperlink"/>
                  <w:bCs/>
                  <w:i/>
                  <w:iCs/>
                  <w:szCs w:val="24"/>
                  <w:lang w:val="fr-CH"/>
                </w:rPr>
                <w:t>20</w:t>
              </w:r>
            </w:hyperlink>
            <w:r w:rsidR="00B65027">
              <w:rPr>
                <w:bCs/>
                <w:i/>
                <w:iCs/>
                <w:lang w:val="fr-CH"/>
              </w:rPr>
              <w:t xml:space="preserve"> et</w:t>
            </w:r>
            <w:r w:rsidRPr="00624A1E">
              <w:rPr>
                <w:bCs/>
                <w:i/>
                <w:iCs/>
                <w:lang w:val="fr-CH"/>
              </w:rPr>
              <w:t xml:space="preserve"> </w:t>
            </w:r>
            <w:hyperlink r:id="rId14" w:anchor="cvart33" w:history="1">
              <w:r w:rsidRPr="00624A1E">
                <w:rPr>
                  <w:rStyle w:val="Hyperlink"/>
                  <w:bCs/>
                  <w:i/>
                  <w:iCs/>
                  <w:lang w:val="fr-CH"/>
                </w:rPr>
                <w:t>33</w:t>
              </w:r>
            </w:hyperlink>
            <w:r w:rsidR="00B65027" w:rsidRPr="00B65027">
              <w:t xml:space="preserve"> de la</w:t>
            </w:r>
            <w:r w:rsidR="00B65027">
              <w:t xml:space="preserve"> Convention</w:t>
            </w:r>
            <w:r w:rsidRPr="00624A1E">
              <w:rPr>
                <w:bCs/>
                <w:i/>
                <w:iCs/>
                <w:lang w:val="fr-CH"/>
              </w:rPr>
              <w:t>,</w:t>
            </w:r>
            <w:r w:rsidR="00636CF0">
              <w:rPr>
                <w:bCs/>
                <w:i/>
                <w:iCs/>
                <w:lang w:val="fr-CH"/>
              </w:rPr>
              <w:t xml:space="preserve"> Doc</w:t>
            </w:r>
            <w:r w:rsidR="00310868">
              <w:rPr>
                <w:bCs/>
                <w:i/>
                <w:iCs/>
                <w:lang w:val="fr-CH"/>
              </w:rPr>
              <w:t>ument</w:t>
            </w:r>
            <w:r w:rsidRPr="00624A1E">
              <w:rPr>
                <w:bCs/>
                <w:i/>
                <w:iCs/>
                <w:lang w:val="fr-CH"/>
              </w:rPr>
              <w:t xml:space="preserve"> </w:t>
            </w:r>
            <w:hyperlink r:id="rId15" w:history="1">
              <w:r w:rsidRPr="00624A1E">
                <w:rPr>
                  <w:rStyle w:val="Hyperlink"/>
                  <w:bCs/>
                  <w:i/>
                  <w:iCs/>
                  <w:lang w:val="fr-CH"/>
                </w:rPr>
                <w:t>C2000/28</w:t>
              </w:r>
            </w:hyperlink>
            <w:r w:rsidR="00832AA1">
              <w:rPr>
                <w:bCs/>
                <w:i/>
                <w:iCs/>
                <w:lang w:val="fr-CH"/>
              </w:rPr>
              <w:t>;</w:t>
            </w:r>
            <w:r w:rsidRPr="00624A1E">
              <w:rPr>
                <w:bCs/>
                <w:i/>
                <w:iCs/>
                <w:lang w:val="fr-CH"/>
              </w:rPr>
              <w:t xml:space="preserve"> </w:t>
            </w:r>
            <w:hyperlink r:id="rId16" w:anchor="res14" w:history="1">
              <w:r w:rsidR="00624A1E" w:rsidRPr="00624A1E">
                <w:rPr>
                  <w:rStyle w:val="Hyperlink"/>
                  <w:bCs/>
                  <w:i/>
                  <w:iCs/>
                  <w:szCs w:val="24"/>
                  <w:lang w:val="fr-CH"/>
                </w:rPr>
                <w:t>Résolution</w:t>
              </w:r>
              <w:r w:rsidRPr="00624A1E">
                <w:rPr>
                  <w:rStyle w:val="Hyperlink"/>
                  <w:bCs/>
                  <w:i/>
                  <w:iCs/>
                  <w:szCs w:val="24"/>
                  <w:lang w:val="fr-CH"/>
                </w:rPr>
                <w:t xml:space="preserve"> 14</w:t>
              </w:r>
              <w:r w:rsidR="000768F3">
                <w:rPr>
                  <w:rStyle w:val="Hyperlink"/>
                  <w:bCs/>
                  <w:i/>
                  <w:iCs/>
                  <w:szCs w:val="24"/>
                  <w:lang w:val="fr-CH"/>
                </w:rPr>
                <w:t xml:space="preserve"> (</w:t>
              </w:r>
              <w:proofErr w:type="spellStart"/>
              <w:r w:rsidR="000768F3">
                <w:rPr>
                  <w:rStyle w:val="Hyperlink"/>
                  <w:bCs/>
                  <w:i/>
                  <w:iCs/>
                  <w:szCs w:val="24"/>
                  <w:lang w:val="fr-CH"/>
                </w:rPr>
                <w:t>Ré</w:t>
              </w:r>
              <w:r w:rsidRPr="00624A1E">
                <w:rPr>
                  <w:rStyle w:val="Hyperlink"/>
                  <w:bCs/>
                  <w:i/>
                  <w:iCs/>
                  <w:szCs w:val="24"/>
                  <w:lang w:val="fr-CH"/>
                </w:rPr>
                <w:t>v</w:t>
              </w:r>
              <w:proofErr w:type="spellEnd"/>
              <w:r w:rsidRPr="00624A1E">
                <w:rPr>
                  <w:rStyle w:val="Hyperlink"/>
                  <w:bCs/>
                  <w:i/>
                  <w:iCs/>
                  <w:szCs w:val="24"/>
                  <w:lang w:val="fr-CH"/>
                </w:rPr>
                <w:t>.</w:t>
              </w:r>
              <w:r w:rsidR="000706F5">
                <w:rPr>
                  <w:rStyle w:val="Hyperlink"/>
                  <w:bCs/>
                  <w:i/>
                  <w:iCs/>
                  <w:szCs w:val="24"/>
                  <w:lang w:val="fr-CH"/>
                </w:rPr>
                <w:t> </w:t>
              </w:r>
              <w:r w:rsidRPr="00624A1E">
                <w:rPr>
                  <w:rStyle w:val="Hyperlink"/>
                  <w:bCs/>
                  <w:i/>
                  <w:iCs/>
                  <w:szCs w:val="24"/>
                  <w:lang w:val="fr-CH"/>
                </w:rPr>
                <w:t>Antalya, 2006)</w:t>
              </w:r>
            </w:hyperlink>
            <w:r w:rsidRPr="00624A1E">
              <w:rPr>
                <w:bCs/>
                <w:i/>
                <w:iCs/>
                <w:szCs w:val="24"/>
                <w:lang w:val="fr-CH"/>
              </w:rPr>
              <w:t xml:space="preserve">, </w:t>
            </w:r>
            <w:hyperlink r:id="rId17" w:anchor="res152" w:history="1">
              <w:r w:rsidR="00624A1E" w:rsidRPr="00624A1E">
                <w:rPr>
                  <w:rStyle w:val="Hyperlink"/>
                  <w:bCs/>
                  <w:i/>
                  <w:iCs/>
                  <w:lang w:val="fr-CH"/>
                </w:rPr>
                <w:t>Résolution</w:t>
              </w:r>
              <w:r w:rsidRPr="00624A1E">
                <w:rPr>
                  <w:rStyle w:val="Hyperlink"/>
                  <w:bCs/>
                  <w:i/>
                  <w:iCs/>
                  <w:lang w:val="fr-CH"/>
                </w:rPr>
                <w:t> 152 (</w:t>
              </w:r>
              <w:proofErr w:type="spellStart"/>
              <w:r w:rsidR="00EB226A">
                <w:rPr>
                  <w:rStyle w:val="Hyperlink"/>
                  <w:bCs/>
                  <w:i/>
                  <w:iCs/>
                  <w:lang w:val="fr-CH"/>
                </w:rPr>
                <w:t>Rév</w:t>
              </w:r>
              <w:proofErr w:type="spellEnd"/>
              <w:r w:rsidR="00EB226A">
                <w:rPr>
                  <w:rStyle w:val="Hyperlink"/>
                  <w:bCs/>
                  <w:i/>
                  <w:iCs/>
                  <w:lang w:val="fr-CH"/>
                </w:rPr>
                <w:t>. </w:t>
              </w:r>
              <w:r w:rsidR="00624A1E" w:rsidRPr="00624A1E">
                <w:rPr>
                  <w:rStyle w:val="Hyperlink"/>
                  <w:bCs/>
                  <w:i/>
                  <w:iCs/>
                  <w:lang w:val="fr-CH"/>
                </w:rPr>
                <w:t>Guadalajara</w:t>
              </w:r>
              <w:r w:rsidRPr="00624A1E">
                <w:rPr>
                  <w:rStyle w:val="Hyperlink"/>
                  <w:bCs/>
                  <w:i/>
                  <w:iCs/>
                  <w:lang w:val="fr-CH"/>
                </w:rPr>
                <w:t>, 2010)</w:t>
              </w:r>
            </w:hyperlink>
            <w:r w:rsidRPr="00EB226A">
              <w:rPr>
                <w:bCs/>
                <w:i/>
                <w:iCs/>
                <w:lang w:val="fr-CH"/>
              </w:rPr>
              <w:t>,</w:t>
            </w:r>
            <w:r w:rsidRPr="00624A1E">
              <w:rPr>
                <w:bCs/>
                <w:i/>
                <w:iCs/>
                <w:lang w:val="fr-CH"/>
              </w:rPr>
              <w:t xml:space="preserve"> </w:t>
            </w:r>
            <w:hyperlink r:id="rId18" w:anchor="res169" w:history="1">
              <w:r w:rsidR="00624A1E" w:rsidRPr="00624A1E">
                <w:rPr>
                  <w:rStyle w:val="Hyperlink"/>
                  <w:bCs/>
                  <w:i/>
                  <w:iCs/>
                  <w:lang w:val="fr-CH"/>
                </w:rPr>
                <w:t>Résolution</w:t>
              </w:r>
              <w:r w:rsidRPr="00624A1E">
                <w:rPr>
                  <w:rStyle w:val="Hyperlink"/>
                  <w:bCs/>
                  <w:i/>
                  <w:iCs/>
                  <w:lang w:val="fr-CH"/>
                </w:rPr>
                <w:t xml:space="preserve"> 169 (Guadalajara, 2010)</w:t>
              </w:r>
            </w:hyperlink>
            <w:r w:rsidRPr="00624A1E">
              <w:rPr>
                <w:bCs/>
                <w:i/>
                <w:iCs/>
                <w:lang w:val="fr-CH"/>
              </w:rPr>
              <w:t xml:space="preserve"> </w:t>
            </w:r>
            <w:r w:rsidR="000706F5">
              <w:rPr>
                <w:bCs/>
                <w:i/>
                <w:iCs/>
                <w:lang w:val="fr-CH"/>
              </w:rPr>
              <w:t xml:space="preserve">et </w:t>
            </w:r>
            <w:hyperlink r:id="rId19" w:anchor="res170" w:history="1">
              <w:r w:rsidR="00624A1E" w:rsidRPr="00624A1E">
                <w:rPr>
                  <w:rStyle w:val="Hyperlink"/>
                  <w:bCs/>
                  <w:i/>
                  <w:iCs/>
                  <w:lang w:val="fr-CH"/>
                </w:rPr>
                <w:t>Résolution</w:t>
              </w:r>
              <w:r w:rsidRPr="00624A1E">
                <w:rPr>
                  <w:rStyle w:val="Hyperlink"/>
                  <w:bCs/>
                  <w:i/>
                  <w:iCs/>
                  <w:lang w:val="fr-CH"/>
                </w:rPr>
                <w:t> 170 (Guadalajara, 2010)</w:t>
              </w:r>
            </w:hyperlink>
            <w:r w:rsidR="000706F5">
              <w:rPr>
                <w:bCs/>
                <w:i/>
                <w:iCs/>
                <w:lang w:val="fr-CH"/>
              </w:rPr>
              <w:t xml:space="preserve"> </w:t>
            </w:r>
            <w:r w:rsidR="00832AA1">
              <w:rPr>
                <w:bCs/>
                <w:i/>
                <w:iCs/>
                <w:lang w:val="fr-CH"/>
              </w:rPr>
              <w:t>de la Conférence de plénipotentia</w:t>
            </w:r>
            <w:r w:rsidR="000706F5">
              <w:rPr>
                <w:bCs/>
                <w:i/>
                <w:iCs/>
                <w:lang w:val="fr-CH"/>
              </w:rPr>
              <w:t>i</w:t>
            </w:r>
            <w:r w:rsidR="00832AA1">
              <w:rPr>
                <w:bCs/>
                <w:i/>
                <w:iCs/>
                <w:lang w:val="fr-CH"/>
              </w:rPr>
              <w:t>res;</w:t>
            </w:r>
            <w:r w:rsidRPr="00624A1E">
              <w:rPr>
                <w:bCs/>
                <w:i/>
                <w:iCs/>
                <w:lang w:val="fr-CH"/>
              </w:rPr>
              <w:t xml:space="preserve"> </w:t>
            </w:r>
            <w:hyperlink r:id="rId20" w:history="1">
              <w:r w:rsidR="00624A1E" w:rsidRPr="00624A1E">
                <w:rPr>
                  <w:rStyle w:val="Hyperlink"/>
                  <w:i/>
                  <w:iCs/>
                  <w:szCs w:val="24"/>
                  <w:lang w:val="fr-CH"/>
                </w:rPr>
                <w:t>Résolution</w:t>
              </w:r>
              <w:r w:rsidRPr="00624A1E">
                <w:rPr>
                  <w:rStyle w:val="Hyperlink"/>
                  <w:i/>
                  <w:iCs/>
                  <w:szCs w:val="24"/>
                  <w:lang w:val="fr-CH"/>
                </w:rPr>
                <w:t xml:space="preserve"> </w:t>
              </w:r>
              <w:r w:rsidR="000768F3">
                <w:rPr>
                  <w:rStyle w:val="Hyperlink"/>
                  <w:i/>
                  <w:iCs/>
                  <w:szCs w:val="24"/>
                  <w:lang w:val="fr-CH"/>
                </w:rPr>
                <w:t>UIT</w:t>
              </w:r>
              <w:r w:rsidR="000768F3">
                <w:rPr>
                  <w:rStyle w:val="Hyperlink"/>
                  <w:i/>
                  <w:iCs/>
                  <w:szCs w:val="24"/>
                  <w:lang w:val="fr-CH"/>
                </w:rPr>
                <w:noBreakHyphen/>
                <w:t xml:space="preserve">R </w:t>
              </w:r>
              <w:r w:rsidRPr="00624A1E">
                <w:rPr>
                  <w:rStyle w:val="Hyperlink"/>
                  <w:i/>
                  <w:iCs/>
                  <w:szCs w:val="24"/>
                  <w:lang w:val="fr-CH"/>
                </w:rPr>
                <w:t>43 (Istanbul, 2000)</w:t>
              </w:r>
            </w:hyperlink>
            <w:r w:rsidRPr="00624A1E">
              <w:rPr>
                <w:i/>
                <w:iCs/>
                <w:szCs w:val="24"/>
                <w:lang w:val="fr-CH"/>
              </w:rPr>
              <w:t xml:space="preserve">; </w:t>
            </w:r>
            <w:hyperlink r:id="rId21" w:history="1">
              <w:r w:rsidR="00624A1E" w:rsidRPr="00624A1E">
                <w:rPr>
                  <w:rStyle w:val="Hyperlink"/>
                  <w:bCs/>
                  <w:i/>
                  <w:iCs/>
                  <w:szCs w:val="24"/>
                  <w:lang w:val="fr-CH"/>
                </w:rPr>
                <w:t>Résolution</w:t>
              </w:r>
              <w:r w:rsidRPr="00624A1E">
                <w:rPr>
                  <w:rStyle w:val="Hyperlink"/>
                  <w:bCs/>
                  <w:i/>
                  <w:iCs/>
                  <w:szCs w:val="24"/>
                  <w:lang w:val="fr-CH"/>
                </w:rPr>
                <w:t> 71 (</w:t>
              </w:r>
              <w:proofErr w:type="spellStart"/>
              <w:r w:rsidR="00B65027">
                <w:rPr>
                  <w:rStyle w:val="Hyperlink"/>
                  <w:bCs/>
                  <w:i/>
                  <w:iCs/>
                  <w:szCs w:val="24"/>
                  <w:lang w:val="fr-CH"/>
                </w:rPr>
                <w:t>Rév</w:t>
              </w:r>
              <w:proofErr w:type="spellEnd"/>
              <w:r w:rsidR="00B65027">
                <w:rPr>
                  <w:rStyle w:val="Hyperlink"/>
                  <w:bCs/>
                  <w:i/>
                  <w:iCs/>
                  <w:szCs w:val="24"/>
                  <w:lang w:val="fr-CH"/>
                </w:rPr>
                <w:t>.</w:t>
              </w:r>
              <w:r w:rsidR="00E56620">
                <w:rPr>
                  <w:rStyle w:val="Hyperlink"/>
                  <w:bCs/>
                  <w:i/>
                  <w:iCs/>
                  <w:szCs w:val="24"/>
                  <w:lang w:val="fr-CH"/>
                </w:rPr>
                <w:t> </w:t>
              </w:r>
              <w:r w:rsidRPr="00624A1E">
                <w:rPr>
                  <w:rStyle w:val="Hyperlink"/>
                  <w:bCs/>
                  <w:i/>
                  <w:iCs/>
                  <w:szCs w:val="24"/>
                  <w:lang w:val="fr-CH"/>
                </w:rPr>
                <w:t>Duba</w:t>
              </w:r>
              <w:r w:rsidR="000768F3">
                <w:rPr>
                  <w:rStyle w:val="Hyperlink"/>
                  <w:bCs/>
                  <w:i/>
                  <w:iCs/>
                  <w:szCs w:val="24"/>
                  <w:lang w:val="fr-CH"/>
                </w:rPr>
                <w:t>ï</w:t>
              </w:r>
              <w:r w:rsidRPr="00624A1E">
                <w:rPr>
                  <w:rStyle w:val="Hyperlink"/>
                  <w:bCs/>
                  <w:i/>
                  <w:iCs/>
                  <w:szCs w:val="24"/>
                  <w:lang w:val="fr-CH"/>
                </w:rPr>
                <w:t>,</w:t>
              </w:r>
              <w:r w:rsidR="000706F5">
                <w:rPr>
                  <w:rStyle w:val="Hyperlink"/>
                  <w:bCs/>
                  <w:i/>
                  <w:iCs/>
                  <w:szCs w:val="24"/>
                  <w:lang w:val="fr-CH"/>
                </w:rPr>
                <w:t> </w:t>
              </w:r>
              <w:r w:rsidRPr="00624A1E">
                <w:rPr>
                  <w:rStyle w:val="Hyperlink"/>
                  <w:bCs/>
                  <w:i/>
                  <w:iCs/>
                  <w:szCs w:val="24"/>
                  <w:lang w:val="fr-CH"/>
                </w:rPr>
                <w:t>2012)</w:t>
              </w:r>
            </w:hyperlink>
            <w:r w:rsidR="000706F5">
              <w:rPr>
                <w:bCs/>
                <w:i/>
                <w:iCs/>
                <w:szCs w:val="24"/>
                <w:lang w:val="fr-CH"/>
              </w:rPr>
              <w:t xml:space="preserve"> et</w:t>
            </w:r>
            <w:r w:rsidR="00EB226A">
              <w:rPr>
                <w:bCs/>
                <w:i/>
                <w:iCs/>
                <w:szCs w:val="24"/>
                <w:lang w:val="fr-CH"/>
              </w:rPr>
              <w:t> </w:t>
            </w:r>
            <w:hyperlink r:id="rId22" w:history="1">
              <w:r w:rsidRPr="00624A1E">
                <w:rPr>
                  <w:rStyle w:val="Hyperlink"/>
                  <w:i/>
                  <w:iCs/>
                  <w:szCs w:val="24"/>
                  <w:lang w:val="fr-CH"/>
                </w:rPr>
                <w:t>R</w:t>
              </w:r>
              <w:r w:rsidR="000706F5">
                <w:rPr>
                  <w:rStyle w:val="Hyperlink"/>
                  <w:i/>
                  <w:iCs/>
                  <w:szCs w:val="24"/>
                  <w:lang w:val="fr-CH"/>
                </w:rPr>
                <w:t>é</w:t>
              </w:r>
              <w:r w:rsidRPr="00624A1E">
                <w:rPr>
                  <w:rStyle w:val="Hyperlink"/>
                  <w:i/>
                  <w:iCs/>
                  <w:szCs w:val="24"/>
                  <w:lang w:val="fr-CH"/>
                </w:rPr>
                <w:t>s</w:t>
              </w:r>
              <w:r w:rsidR="000706F5">
                <w:rPr>
                  <w:rStyle w:val="Hyperlink"/>
                  <w:i/>
                  <w:iCs/>
                  <w:szCs w:val="24"/>
                  <w:lang w:val="fr-CH"/>
                </w:rPr>
                <w:t>olution</w:t>
              </w:r>
              <w:r w:rsidRPr="00624A1E">
                <w:rPr>
                  <w:rStyle w:val="Hyperlink"/>
                  <w:i/>
                  <w:iCs/>
                  <w:szCs w:val="24"/>
                  <w:lang w:val="fr-CH"/>
                </w:rPr>
                <w:t> </w:t>
              </w:r>
              <w:r w:rsidR="000768F3">
                <w:rPr>
                  <w:rStyle w:val="Hyperlink"/>
                  <w:i/>
                  <w:iCs/>
                  <w:szCs w:val="24"/>
                  <w:lang w:val="fr-CH"/>
                </w:rPr>
                <w:t>31 (</w:t>
              </w:r>
              <w:proofErr w:type="spellStart"/>
              <w:r w:rsidR="000768F3">
                <w:rPr>
                  <w:rStyle w:val="Hyperlink"/>
                  <w:i/>
                  <w:iCs/>
                  <w:szCs w:val="24"/>
                  <w:lang w:val="fr-CH"/>
                </w:rPr>
                <w:t>Rév</w:t>
              </w:r>
              <w:proofErr w:type="spellEnd"/>
              <w:r w:rsidR="000768F3">
                <w:rPr>
                  <w:rStyle w:val="Hyperlink"/>
                  <w:i/>
                  <w:iCs/>
                  <w:szCs w:val="24"/>
                  <w:lang w:val="fr-CH"/>
                </w:rPr>
                <w:t>.</w:t>
              </w:r>
              <w:r w:rsidR="00E56620">
                <w:rPr>
                  <w:rStyle w:val="Hyperlink"/>
                  <w:i/>
                  <w:iCs/>
                  <w:szCs w:val="24"/>
                  <w:lang w:val="fr-CH"/>
                </w:rPr>
                <w:t> </w:t>
              </w:r>
              <w:r w:rsidRPr="00624A1E">
                <w:rPr>
                  <w:rStyle w:val="Hyperlink"/>
                  <w:i/>
                  <w:iCs/>
                  <w:szCs w:val="24"/>
                  <w:lang w:val="fr-CH"/>
                </w:rPr>
                <w:t>Duba</w:t>
              </w:r>
              <w:r w:rsidR="000768F3">
                <w:rPr>
                  <w:rStyle w:val="Hyperlink"/>
                  <w:i/>
                  <w:iCs/>
                  <w:szCs w:val="24"/>
                  <w:lang w:val="fr-CH"/>
                </w:rPr>
                <w:t>ï</w:t>
              </w:r>
              <w:r w:rsidRPr="00624A1E">
                <w:rPr>
                  <w:rStyle w:val="Hyperlink"/>
                  <w:i/>
                  <w:iCs/>
                  <w:szCs w:val="24"/>
                  <w:lang w:val="fr-CH"/>
                </w:rPr>
                <w:t>, 2012)</w:t>
              </w:r>
            </w:hyperlink>
            <w:r w:rsidRPr="00624A1E">
              <w:rPr>
                <w:i/>
                <w:iCs/>
                <w:szCs w:val="24"/>
                <w:lang w:val="fr-CH"/>
              </w:rPr>
              <w:t xml:space="preserve"> </w:t>
            </w:r>
            <w:r w:rsidR="00832AA1">
              <w:rPr>
                <w:i/>
                <w:iCs/>
                <w:szCs w:val="24"/>
                <w:lang w:val="fr-CH"/>
              </w:rPr>
              <w:t>de l</w:t>
            </w:r>
            <w:r w:rsidR="00865BC1">
              <w:rPr>
                <w:i/>
                <w:iCs/>
                <w:szCs w:val="24"/>
                <w:lang w:val="fr-CH"/>
              </w:rPr>
              <w:t>'</w:t>
            </w:r>
            <w:r w:rsidR="00832AA1">
              <w:rPr>
                <w:i/>
                <w:iCs/>
                <w:szCs w:val="24"/>
                <w:lang w:val="fr-CH"/>
              </w:rPr>
              <w:t xml:space="preserve">AMNT; </w:t>
            </w:r>
            <w:r w:rsidR="00624A1E" w:rsidRPr="00624A1E">
              <w:rPr>
                <w:i/>
                <w:iCs/>
                <w:szCs w:val="24"/>
                <w:lang w:val="fr-CH"/>
              </w:rPr>
              <w:t>Résolution</w:t>
            </w:r>
            <w:r w:rsidR="000768F3">
              <w:rPr>
                <w:i/>
                <w:iCs/>
                <w:szCs w:val="24"/>
                <w:lang w:val="fr-CH"/>
              </w:rPr>
              <w:t xml:space="preserve"> 1 (</w:t>
            </w:r>
            <w:proofErr w:type="spellStart"/>
            <w:r w:rsidR="00EB226A">
              <w:rPr>
                <w:i/>
                <w:iCs/>
                <w:szCs w:val="24"/>
                <w:lang w:val="fr-CH"/>
              </w:rPr>
              <w:t>Rév</w:t>
            </w:r>
            <w:proofErr w:type="spellEnd"/>
            <w:r w:rsidR="00EB226A">
              <w:rPr>
                <w:i/>
                <w:iCs/>
                <w:szCs w:val="24"/>
                <w:lang w:val="fr-CH"/>
              </w:rPr>
              <w:t>.</w:t>
            </w:r>
            <w:r w:rsidR="00E56620">
              <w:rPr>
                <w:i/>
                <w:iCs/>
                <w:szCs w:val="24"/>
                <w:lang w:val="fr-CH"/>
              </w:rPr>
              <w:t> </w:t>
            </w:r>
            <w:r w:rsidR="000768F3">
              <w:rPr>
                <w:i/>
                <w:iCs/>
                <w:szCs w:val="24"/>
                <w:lang w:val="fr-CH"/>
              </w:rPr>
              <w:t>Dubaï</w:t>
            </w:r>
            <w:r w:rsidRPr="00624A1E">
              <w:rPr>
                <w:i/>
                <w:iCs/>
                <w:szCs w:val="24"/>
                <w:lang w:val="fr-CH"/>
              </w:rPr>
              <w:t>, 2014)</w:t>
            </w:r>
            <w:r w:rsidR="000768F3">
              <w:rPr>
                <w:i/>
                <w:iCs/>
                <w:szCs w:val="24"/>
                <w:lang w:val="fr-CH"/>
              </w:rPr>
              <w:t xml:space="preserve"> </w:t>
            </w:r>
            <w:r w:rsidR="000706F5">
              <w:rPr>
                <w:i/>
                <w:iCs/>
                <w:szCs w:val="24"/>
                <w:lang w:val="fr-CH"/>
              </w:rPr>
              <w:t>de</w:t>
            </w:r>
            <w:r w:rsidR="00EB226A">
              <w:rPr>
                <w:i/>
                <w:iCs/>
                <w:szCs w:val="24"/>
                <w:lang w:val="fr-CH"/>
              </w:rPr>
              <w:t> </w:t>
            </w:r>
            <w:r w:rsidR="000706F5">
              <w:rPr>
                <w:i/>
                <w:iCs/>
                <w:szCs w:val="24"/>
                <w:lang w:val="fr-CH"/>
              </w:rPr>
              <w:t>la</w:t>
            </w:r>
            <w:r w:rsidR="00EB226A">
              <w:rPr>
                <w:i/>
                <w:iCs/>
                <w:szCs w:val="24"/>
                <w:lang w:val="fr-CH"/>
              </w:rPr>
              <w:t> </w:t>
            </w:r>
            <w:r w:rsidR="000768F3">
              <w:rPr>
                <w:i/>
                <w:iCs/>
                <w:szCs w:val="24"/>
                <w:lang w:val="fr-CH"/>
              </w:rPr>
              <w:t>CMDT</w:t>
            </w:r>
            <w:r w:rsidR="000706F5">
              <w:rPr>
                <w:i/>
                <w:iCs/>
                <w:szCs w:val="24"/>
                <w:lang w:val="fr-CH"/>
              </w:rPr>
              <w:t>.</w:t>
            </w:r>
          </w:p>
        </w:tc>
      </w:tr>
    </w:tbl>
    <w:p w:rsidR="00896897" w:rsidRPr="000B0BB6" w:rsidRDefault="00896897" w:rsidP="007D1428">
      <w:pPr>
        <w:pStyle w:val="Heading1"/>
      </w:pPr>
      <w:bookmarkStart w:id="8" w:name="dstart"/>
      <w:bookmarkEnd w:id="8"/>
      <w:r w:rsidRPr="000B0BB6">
        <w:lastRenderedPageBreak/>
        <w:t>1</w:t>
      </w:r>
      <w:r w:rsidRPr="000B0BB6">
        <w:tab/>
      </w:r>
      <w:r w:rsidR="000B0BB6" w:rsidRPr="000B0BB6">
        <w:t>Considérations générales</w:t>
      </w:r>
    </w:p>
    <w:p w:rsidR="000706F5" w:rsidRPr="000706F5" w:rsidRDefault="00896897" w:rsidP="00B65027">
      <w:pPr>
        <w:snapToGrid w:val="0"/>
        <w:spacing w:after="120"/>
        <w:rPr>
          <w:szCs w:val="24"/>
          <w:lang w:val="fr-CH"/>
        </w:rPr>
      </w:pPr>
      <w:r w:rsidRPr="000706F5">
        <w:rPr>
          <w:szCs w:val="24"/>
          <w:lang w:val="fr-CH"/>
        </w:rPr>
        <w:t>1.1</w:t>
      </w:r>
      <w:r w:rsidRPr="000706F5">
        <w:rPr>
          <w:szCs w:val="24"/>
          <w:lang w:val="fr-CH"/>
        </w:rPr>
        <w:tab/>
      </w:r>
      <w:r w:rsidR="000706F5">
        <w:rPr>
          <w:szCs w:val="24"/>
          <w:lang w:val="fr-CH"/>
        </w:rPr>
        <w:t>La participation d</w:t>
      </w:r>
      <w:r w:rsidR="00865BC1">
        <w:rPr>
          <w:szCs w:val="24"/>
          <w:lang w:val="fr-CH"/>
        </w:rPr>
        <w:t>'</w:t>
      </w:r>
      <w:r w:rsidR="000706F5" w:rsidRPr="000706F5">
        <w:rPr>
          <w:szCs w:val="24"/>
          <w:lang w:val="fr-CH"/>
        </w:rPr>
        <w:t>entités et d</w:t>
      </w:r>
      <w:r w:rsidR="00865BC1">
        <w:rPr>
          <w:szCs w:val="24"/>
          <w:lang w:val="fr-CH"/>
        </w:rPr>
        <w:t>'</w:t>
      </w:r>
      <w:r w:rsidR="000706F5" w:rsidRPr="000706F5">
        <w:rPr>
          <w:szCs w:val="24"/>
          <w:lang w:val="fr-CH"/>
        </w:rPr>
        <w:t>organisations autres que les administrations aux ac</w:t>
      </w:r>
      <w:r w:rsidR="000706F5">
        <w:rPr>
          <w:szCs w:val="24"/>
          <w:lang w:val="fr-CH"/>
        </w:rPr>
        <w:t>t</w:t>
      </w:r>
      <w:r w:rsidR="000706F5" w:rsidRPr="000706F5">
        <w:rPr>
          <w:szCs w:val="24"/>
          <w:lang w:val="fr-CH"/>
        </w:rPr>
        <w:t>ivité</w:t>
      </w:r>
      <w:r w:rsidR="000706F5">
        <w:rPr>
          <w:szCs w:val="24"/>
          <w:lang w:val="fr-CH"/>
        </w:rPr>
        <w:t>s</w:t>
      </w:r>
      <w:r w:rsidR="000706F5" w:rsidRPr="000706F5">
        <w:rPr>
          <w:szCs w:val="24"/>
          <w:lang w:val="fr-CH"/>
        </w:rPr>
        <w:t xml:space="preserve"> de l</w:t>
      </w:r>
      <w:r w:rsidR="00865BC1">
        <w:rPr>
          <w:szCs w:val="24"/>
          <w:lang w:val="fr-CH"/>
        </w:rPr>
        <w:t>'</w:t>
      </w:r>
      <w:r w:rsidR="000706F5" w:rsidRPr="000706F5">
        <w:rPr>
          <w:szCs w:val="24"/>
          <w:lang w:val="fr-CH"/>
        </w:rPr>
        <w:t>Union est régie par un</w:t>
      </w:r>
      <w:r w:rsidR="00636CF0">
        <w:rPr>
          <w:szCs w:val="24"/>
          <w:lang w:val="fr-CH"/>
        </w:rPr>
        <w:t xml:space="preserve"> ensemble</w:t>
      </w:r>
      <w:r w:rsidR="000706F5">
        <w:rPr>
          <w:szCs w:val="24"/>
          <w:lang w:val="fr-CH"/>
        </w:rPr>
        <w:t xml:space="preserve"> </w:t>
      </w:r>
      <w:r w:rsidR="00636CF0">
        <w:rPr>
          <w:szCs w:val="24"/>
          <w:lang w:val="fr-CH"/>
        </w:rPr>
        <w:t>d</w:t>
      </w:r>
      <w:r w:rsidR="00865BC1">
        <w:rPr>
          <w:szCs w:val="24"/>
          <w:lang w:val="fr-CH"/>
        </w:rPr>
        <w:t>'</w:t>
      </w:r>
      <w:r w:rsidR="000706F5" w:rsidRPr="000706F5">
        <w:rPr>
          <w:szCs w:val="24"/>
          <w:lang w:val="fr-CH"/>
        </w:rPr>
        <w:t>instruments de l</w:t>
      </w:r>
      <w:r w:rsidR="00865BC1">
        <w:rPr>
          <w:szCs w:val="24"/>
          <w:lang w:val="fr-CH"/>
        </w:rPr>
        <w:t>'</w:t>
      </w:r>
      <w:r w:rsidR="000706F5" w:rsidRPr="000706F5">
        <w:rPr>
          <w:szCs w:val="24"/>
          <w:lang w:val="fr-CH"/>
        </w:rPr>
        <w:t>Union</w:t>
      </w:r>
      <w:r w:rsidR="000706F5">
        <w:rPr>
          <w:szCs w:val="24"/>
          <w:lang w:val="fr-CH"/>
        </w:rPr>
        <w:t xml:space="preserve">, </w:t>
      </w:r>
      <w:r w:rsidR="00E1074C">
        <w:rPr>
          <w:szCs w:val="24"/>
          <w:lang w:val="fr-CH"/>
        </w:rPr>
        <w:t>notamment</w:t>
      </w:r>
      <w:r w:rsidR="000706F5">
        <w:rPr>
          <w:szCs w:val="24"/>
          <w:lang w:val="fr-CH"/>
        </w:rPr>
        <w:t xml:space="preserve"> la Convention, diverses Résolutions de</w:t>
      </w:r>
      <w:r w:rsidR="00B65027">
        <w:rPr>
          <w:szCs w:val="24"/>
          <w:lang w:val="fr-CH"/>
        </w:rPr>
        <w:t>s</w:t>
      </w:r>
      <w:r w:rsidR="000706F5">
        <w:rPr>
          <w:szCs w:val="24"/>
          <w:lang w:val="fr-CH"/>
        </w:rPr>
        <w:t xml:space="preserve"> </w:t>
      </w:r>
      <w:r w:rsidR="00B65027">
        <w:rPr>
          <w:szCs w:val="24"/>
          <w:lang w:val="fr-CH"/>
        </w:rPr>
        <w:t>c</w:t>
      </w:r>
      <w:r w:rsidR="000706F5">
        <w:rPr>
          <w:szCs w:val="24"/>
          <w:lang w:val="fr-CH"/>
        </w:rPr>
        <w:t>onférence</w:t>
      </w:r>
      <w:r w:rsidR="00B65027">
        <w:rPr>
          <w:szCs w:val="24"/>
          <w:lang w:val="fr-CH"/>
        </w:rPr>
        <w:t>s</w:t>
      </w:r>
      <w:r w:rsidR="000706F5">
        <w:rPr>
          <w:szCs w:val="24"/>
          <w:lang w:val="fr-CH"/>
        </w:rPr>
        <w:t xml:space="preserve"> de plénipotentiaires et des conférences et asse</w:t>
      </w:r>
      <w:r w:rsidR="00636CF0">
        <w:rPr>
          <w:szCs w:val="24"/>
          <w:lang w:val="fr-CH"/>
        </w:rPr>
        <w:t>mblées des Secteurs, ainsi que d</w:t>
      </w:r>
      <w:r w:rsidR="000706F5">
        <w:rPr>
          <w:szCs w:val="24"/>
          <w:lang w:val="fr-CH"/>
        </w:rPr>
        <w:t>es Résolutions/Décisions du Conseil. Le présent document vise à dresser un inventaire exhaustif de l</w:t>
      </w:r>
      <w:r w:rsidR="00865BC1">
        <w:rPr>
          <w:szCs w:val="24"/>
          <w:lang w:val="fr-CH"/>
        </w:rPr>
        <w:t>'</w:t>
      </w:r>
      <w:r w:rsidR="000706F5">
        <w:rPr>
          <w:szCs w:val="24"/>
          <w:lang w:val="fr-CH"/>
        </w:rPr>
        <w:t>ensemble des dispositions relatives aux Membres de Secteur, aux Associés et aux établissements universitaires.</w:t>
      </w:r>
    </w:p>
    <w:p w:rsidR="00896897" w:rsidRPr="007C1250" w:rsidRDefault="00896897" w:rsidP="007D1428">
      <w:pPr>
        <w:pStyle w:val="Heading1"/>
        <w:spacing w:before="240"/>
        <w:rPr>
          <w:lang w:val="fr-CH"/>
        </w:rPr>
      </w:pPr>
      <w:r w:rsidRPr="007C1250">
        <w:rPr>
          <w:lang w:val="fr-CH"/>
        </w:rPr>
        <w:t>2</w:t>
      </w:r>
      <w:r w:rsidRPr="007C1250">
        <w:rPr>
          <w:lang w:val="fr-CH"/>
        </w:rPr>
        <w:tab/>
        <w:t xml:space="preserve">Composition </w:t>
      </w:r>
      <w:r w:rsidR="00C00F84">
        <w:rPr>
          <w:lang w:val="fr-CH"/>
        </w:rPr>
        <w:t xml:space="preserve">et droits </w:t>
      </w:r>
      <w:r w:rsidR="005D199B">
        <w:rPr>
          <w:lang w:val="fr-CH"/>
        </w:rPr>
        <w:t xml:space="preserve">de </w:t>
      </w:r>
      <w:r w:rsidR="00C00F84">
        <w:rPr>
          <w:lang w:val="fr-CH"/>
        </w:rPr>
        <w:t>participation</w:t>
      </w:r>
    </w:p>
    <w:p w:rsidR="00C00F84" w:rsidRDefault="00896897" w:rsidP="007D1428">
      <w:pPr>
        <w:spacing w:after="120"/>
        <w:rPr>
          <w:szCs w:val="24"/>
          <w:lang w:val="fr-CH"/>
        </w:rPr>
      </w:pPr>
      <w:r w:rsidRPr="007C1250">
        <w:rPr>
          <w:bCs/>
          <w:szCs w:val="24"/>
          <w:lang w:val="fr-CH"/>
        </w:rPr>
        <w:t>2.1</w:t>
      </w:r>
      <w:r w:rsidRPr="007C1250">
        <w:rPr>
          <w:bCs/>
          <w:szCs w:val="24"/>
          <w:lang w:val="fr-CH"/>
        </w:rPr>
        <w:tab/>
      </w:r>
      <w:r w:rsidR="007C1250">
        <w:rPr>
          <w:bCs/>
          <w:szCs w:val="24"/>
          <w:lang w:val="fr-CH"/>
        </w:rPr>
        <w:t xml:space="preserve">Le numéro </w:t>
      </w:r>
      <w:r w:rsidRPr="007C1250">
        <w:rPr>
          <w:bCs/>
          <w:szCs w:val="24"/>
          <w:lang w:val="fr-CH"/>
        </w:rPr>
        <w:t>20 (</w:t>
      </w:r>
      <w:r w:rsidR="00FA4CA0">
        <w:rPr>
          <w:bCs/>
          <w:szCs w:val="24"/>
          <w:lang w:val="fr-CH"/>
        </w:rPr>
        <w:t>A</w:t>
      </w:r>
      <w:r w:rsidRPr="007C1250">
        <w:rPr>
          <w:bCs/>
          <w:szCs w:val="24"/>
          <w:lang w:val="fr-CH"/>
        </w:rPr>
        <w:t>rticle 2</w:t>
      </w:r>
      <w:r w:rsidR="00C00F84">
        <w:rPr>
          <w:bCs/>
          <w:szCs w:val="24"/>
          <w:lang w:val="fr-CH"/>
        </w:rPr>
        <w:t>)</w:t>
      </w:r>
      <w:r w:rsidRPr="007C1250">
        <w:rPr>
          <w:bCs/>
          <w:szCs w:val="24"/>
          <w:lang w:val="fr-CH"/>
        </w:rPr>
        <w:t xml:space="preserve"> </w:t>
      </w:r>
      <w:r w:rsidR="007C1250">
        <w:rPr>
          <w:bCs/>
          <w:szCs w:val="24"/>
          <w:lang w:val="fr-CH"/>
        </w:rPr>
        <w:t xml:space="preserve">de la </w:t>
      </w:r>
      <w:r w:rsidRPr="007C1250">
        <w:rPr>
          <w:bCs/>
          <w:szCs w:val="24"/>
          <w:lang w:val="fr-CH"/>
        </w:rPr>
        <w:t xml:space="preserve">Constitution, </w:t>
      </w:r>
      <w:r w:rsidR="00C00F84">
        <w:rPr>
          <w:bCs/>
          <w:szCs w:val="24"/>
          <w:lang w:val="fr-CH"/>
        </w:rPr>
        <w:t xml:space="preserve">mis à jour </w:t>
      </w:r>
      <w:r w:rsidR="00A34EB0">
        <w:rPr>
          <w:bCs/>
          <w:szCs w:val="24"/>
          <w:lang w:val="fr-CH"/>
        </w:rPr>
        <w:t>pour la dernière fois par</w:t>
      </w:r>
      <w:r w:rsidR="00C00F84">
        <w:rPr>
          <w:bCs/>
          <w:szCs w:val="24"/>
          <w:lang w:val="fr-CH"/>
        </w:rPr>
        <w:t xml:space="preserve"> la PP</w:t>
      </w:r>
      <w:r w:rsidR="00C00F84">
        <w:rPr>
          <w:bCs/>
          <w:szCs w:val="24"/>
          <w:lang w:val="fr-CH"/>
        </w:rPr>
        <w:noBreakHyphen/>
        <w:t>98</w:t>
      </w:r>
      <w:r w:rsidRPr="007C1250">
        <w:rPr>
          <w:bCs/>
          <w:szCs w:val="24"/>
          <w:lang w:val="fr-CH"/>
        </w:rPr>
        <w:t>,</w:t>
      </w:r>
      <w:r w:rsidR="00C00F84">
        <w:rPr>
          <w:bCs/>
          <w:szCs w:val="24"/>
          <w:lang w:val="fr-CH"/>
        </w:rPr>
        <w:t xml:space="preserve"> décrit la composition des membres de l</w:t>
      </w:r>
      <w:r w:rsidR="00865BC1">
        <w:rPr>
          <w:bCs/>
          <w:szCs w:val="24"/>
          <w:lang w:val="fr-CH"/>
        </w:rPr>
        <w:t>'</w:t>
      </w:r>
      <w:r w:rsidR="00C00F84">
        <w:rPr>
          <w:bCs/>
          <w:szCs w:val="24"/>
          <w:lang w:val="fr-CH"/>
        </w:rPr>
        <w:t xml:space="preserve">Union, et souligne que </w:t>
      </w:r>
      <w:r w:rsidR="007C1250">
        <w:rPr>
          <w:bCs/>
          <w:szCs w:val="24"/>
          <w:lang w:val="fr-CH"/>
        </w:rPr>
        <w:t>"</w:t>
      </w:r>
      <w:r w:rsidR="001D273D">
        <w:rPr>
          <w:bCs/>
          <w:szCs w:val="24"/>
          <w:lang w:val="fr-CH"/>
        </w:rPr>
        <w:t>L</w:t>
      </w:r>
      <w:r w:rsidR="007C1250">
        <w:t>es Etats Membres et les Membres des Secteurs, qui ont des droits et des obligations bien définis, coopèrent en vue de répondre à l'objet de l'Union"</w:t>
      </w:r>
      <w:r w:rsidRPr="007C1250">
        <w:rPr>
          <w:szCs w:val="24"/>
          <w:lang w:val="fr-CH"/>
        </w:rPr>
        <w:t xml:space="preserve">. </w:t>
      </w:r>
      <w:r w:rsidR="00C00F84">
        <w:rPr>
          <w:szCs w:val="24"/>
          <w:lang w:val="fr-CH"/>
        </w:rPr>
        <w:t xml:space="preserve">Des catégories de participation supplémentaires, à savoir les Associés et les établissements universitaires, sont prévues </w:t>
      </w:r>
      <w:r w:rsidR="00A34EB0">
        <w:rPr>
          <w:szCs w:val="24"/>
          <w:lang w:val="fr-CH"/>
        </w:rPr>
        <w:t>dans des</w:t>
      </w:r>
      <w:r w:rsidR="00C00F84">
        <w:rPr>
          <w:szCs w:val="24"/>
          <w:lang w:val="fr-CH"/>
        </w:rPr>
        <w:t xml:space="preserve"> dispositions différentes, comme indiqué dans la section ci</w:t>
      </w:r>
      <w:r w:rsidR="00C00F84">
        <w:rPr>
          <w:szCs w:val="24"/>
          <w:lang w:val="fr-CH"/>
        </w:rPr>
        <w:noBreakHyphen/>
        <w:t>dessous. Les droits de participation sont résumés dans l</w:t>
      </w:r>
      <w:r w:rsidR="00865BC1">
        <w:rPr>
          <w:szCs w:val="24"/>
          <w:lang w:val="fr-CH"/>
        </w:rPr>
        <w:t>'</w:t>
      </w:r>
      <w:r w:rsidR="00C00F84" w:rsidRPr="00C00F84">
        <w:rPr>
          <w:b/>
          <w:szCs w:val="24"/>
          <w:lang w:val="fr-CH"/>
        </w:rPr>
        <w:t>Annexe 1</w:t>
      </w:r>
      <w:r w:rsidR="00C00F84">
        <w:rPr>
          <w:szCs w:val="24"/>
          <w:lang w:val="fr-CH"/>
        </w:rPr>
        <w:t>.</w:t>
      </w:r>
    </w:p>
    <w:p w:rsidR="00896897" w:rsidRPr="00974946" w:rsidRDefault="00896897" w:rsidP="007D1428">
      <w:pPr>
        <w:spacing w:after="120"/>
        <w:rPr>
          <w:szCs w:val="24"/>
          <w:lang w:val="fr-CH"/>
        </w:rPr>
      </w:pPr>
      <w:r w:rsidRPr="00D91038">
        <w:rPr>
          <w:rFonts w:cstheme="minorHAnsi"/>
          <w:bCs/>
          <w:color w:val="231F20"/>
          <w:szCs w:val="24"/>
          <w:lang w:val="fr-CH"/>
        </w:rPr>
        <w:t>2.2</w:t>
      </w:r>
      <w:r w:rsidRPr="00D91038">
        <w:rPr>
          <w:rFonts w:cstheme="minorHAnsi"/>
          <w:bCs/>
          <w:color w:val="231F20"/>
          <w:szCs w:val="24"/>
          <w:lang w:val="fr-CH"/>
        </w:rPr>
        <w:tab/>
      </w:r>
      <w:r w:rsidR="007C1250" w:rsidRPr="00D91038">
        <w:rPr>
          <w:bCs/>
          <w:szCs w:val="24"/>
          <w:lang w:val="fr-CH"/>
        </w:rPr>
        <w:t xml:space="preserve">Le numéro </w:t>
      </w:r>
      <w:r w:rsidRPr="00D91038">
        <w:rPr>
          <w:rFonts w:cstheme="minorHAnsi"/>
          <w:bCs/>
          <w:color w:val="231F20"/>
          <w:szCs w:val="24"/>
          <w:lang w:val="fr-CH"/>
        </w:rPr>
        <w:t>232 (</w:t>
      </w:r>
      <w:r w:rsidR="00FA4CA0">
        <w:rPr>
          <w:rFonts w:cstheme="minorHAnsi"/>
          <w:bCs/>
          <w:color w:val="231F20"/>
          <w:szCs w:val="24"/>
          <w:lang w:val="fr-CH"/>
        </w:rPr>
        <w:t>A</w:t>
      </w:r>
      <w:r w:rsidRPr="00D91038">
        <w:rPr>
          <w:rFonts w:cstheme="minorHAnsi"/>
          <w:bCs/>
          <w:color w:val="231F20"/>
          <w:szCs w:val="24"/>
          <w:lang w:val="fr-CH"/>
        </w:rPr>
        <w:t>rticle 19</w:t>
      </w:r>
      <w:r w:rsidR="00FA4CA0">
        <w:rPr>
          <w:rFonts w:cstheme="minorHAnsi"/>
          <w:bCs/>
          <w:color w:val="231F20"/>
          <w:szCs w:val="24"/>
          <w:lang w:val="fr-CH"/>
        </w:rPr>
        <w:t>)</w:t>
      </w:r>
      <w:r w:rsidRPr="00D91038">
        <w:rPr>
          <w:rFonts w:cstheme="minorHAnsi"/>
          <w:bCs/>
          <w:color w:val="231F20"/>
          <w:szCs w:val="24"/>
          <w:lang w:val="fr-CH"/>
        </w:rPr>
        <w:t xml:space="preserve"> </w:t>
      </w:r>
      <w:r w:rsidR="007C1250" w:rsidRPr="00D91038">
        <w:rPr>
          <w:rFonts w:cstheme="minorHAnsi"/>
          <w:bCs/>
          <w:color w:val="231F20"/>
          <w:szCs w:val="24"/>
          <w:lang w:val="fr-CH"/>
        </w:rPr>
        <w:t xml:space="preserve">de la </w:t>
      </w:r>
      <w:r w:rsidRPr="00D91038">
        <w:rPr>
          <w:rFonts w:cstheme="minorHAnsi"/>
          <w:bCs/>
          <w:color w:val="231F20"/>
          <w:szCs w:val="24"/>
          <w:lang w:val="fr-CH"/>
        </w:rPr>
        <w:t xml:space="preserve">Convention </w:t>
      </w:r>
      <w:r w:rsidR="00FA4CA0">
        <w:rPr>
          <w:rFonts w:cstheme="minorHAnsi"/>
          <w:bCs/>
          <w:color w:val="231F20"/>
          <w:szCs w:val="24"/>
          <w:lang w:val="fr-CH"/>
        </w:rPr>
        <w:t>dispose que</w:t>
      </w:r>
      <w:r w:rsidRPr="00D91038">
        <w:rPr>
          <w:rFonts w:cstheme="minorHAnsi"/>
          <w:bCs/>
          <w:color w:val="231F20"/>
          <w:szCs w:val="24"/>
          <w:lang w:val="fr-CH"/>
        </w:rPr>
        <w:t xml:space="preserve"> </w:t>
      </w:r>
      <w:r w:rsidR="00D91038" w:rsidRPr="00D91038">
        <w:rPr>
          <w:rFonts w:cstheme="minorHAnsi"/>
          <w:bCs/>
          <w:color w:val="231F20"/>
          <w:szCs w:val="24"/>
          <w:lang w:val="fr-CH"/>
        </w:rPr>
        <w:t>"</w:t>
      </w:r>
      <w:r w:rsidR="00FA4CA0">
        <w:rPr>
          <w:rFonts w:cstheme="minorHAnsi"/>
          <w:bCs/>
          <w:color w:val="231F20"/>
          <w:szCs w:val="24"/>
          <w:lang w:val="fr-CH"/>
        </w:rPr>
        <w:t>l</w:t>
      </w:r>
      <w:r w:rsidR="00E07D72" w:rsidRPr="00D91038">
        <w:rPr>
          <w:lang w:val="fr-CH"/>
        </w:rPr>
        <w:t>es directeurs des Bureaux travaillent en étroite collaboration avec les entités et les organisations qui sont admises à participer aux travaux de l'un ou de plusieurs des Secteurs de l'Union".</w:t>
      </w:r>
      <w:r w:rsidRPr="00D91038">
        <w:rPr>
          <w:rFonts w:cstheme="minorHAnsi"/>
          <w:color w:val="231F20"/>
          <w:szCs w:val="24"/>
          <w:lang w:val="fr-CH"/>
        </w:rPr>
        <w:t xml:space="preserve"> </w:t>
      </w:r>
      <w:r w:rsidR="00E07D72" w:rsidRPr="00E07D72">
        <w:rPr>
          <w:rFonts w:cstheme="minorHAnsi"/>
          <w:color w:val="231F20"/>
          <w:szCs w:val="24"/>
          <w:lang w:val="fr-CH"/>
        </w:rPr>
        <w:t>Le numéro </w:t>
      </w:r>
      <w:r w:rsidRPr="00E07D72">
        <w:rPr>
          <w:rFonts w:cstheme="minorHAnsi"/>
          <w:color w:val="231F20"/>
          <w:szCs w:val="24"/>
          <w:lang w:val="fr-CH"/>
        </w:rPr>
        <w:t xml:space="preserve">237 </w:t>
      </w:r>
      <w:r w:rsidRPr="00E07D72">
        <w:rPr>
          <w:rFonts w:eastAsiaTheme="minorEastAsia" w:cstheme="minorHAnsi"/>
          <w:bCs/>
          <w:color w:val="231F20"/>
          <w:szCs w:val="24"/>
          <w:lang w:val="fr-CH" w:eastAsia="zh-CN"/>
        </w:rPr>
        <w:t>(</w:t>
      </w:r>
      <w:r w:rsidR="00FA4CA0">
        <w:rPr>
          <w:rFonts w:eastAsiaTheme="minorEastAsia" w:cstheme="minorHAnsi"/>
          <w:bCs/>
          <w:color w:val="231F20"/>
          <w:szCs w:val="24"/>
          <w:lang w:val="fr-CH" w:eastAsia="zh-CN"/>
        </w:rPr>
        <w:t>A</w:t>
      </w:r>
      <w:r w:rsidRPr="00E07D72">
        <w:rPr>
          <w:rFonts w:eastAsiaTheme="minorEastAsia" w:cstheme="minorHAnsi"/>
          <w:bCs/>
          <w:color w:val="231F20"/>
          <w:szCs w:val="24"/>
          <w:lang w:val="fr-CH" w:eastAsia="zh-CN"/>
        </w:rPr>
        <w:t>rticle 19</w:t>
      </w:r>
      <w:r w:rsidR="00FA4CA0">
        <w:rPr>
          <w:rFonts w:eastAsiaTheme="minorEastAsia" w:cstheme="minorHAnsi"/>
          <w:bCs/>
          <w:color w:val="231F20"/>
          <w:szCs w:val="24"/>
          <w:lang w:val="fr-CH" w:eastAsia="zh-CN"/>
        </w:rPr>
        <w:t>)</w:t>
      </w:r>
      <w:r w:rsidRPr="00E07D72">
        <w:rPr>
          <w:rFonts w:eastAsiaTheme="minorEastAsia" w:cstheme="minorHAnsi"/>
          <w:bCs/>
          <w:color w:val="231F20"/>
          <w:szCs w:val="24"/>
          <w:lang w:val="fr-CH" w:eastAsia="zh-CN"/>
        </w:rPr>
        <w:t xml:space="preserve"> </w:t>
      </w:r>
      <w:r w:rsidR="00E07D72" w:rsidRPr="00E07D72">
        <w:rPr>
          <w:rFonts w:eastAsiaTheme="minorEastAsia" w:cstheme="minorHAnsi"/>
          <w:bCs/>
          <w:color w:val="231F20"/>
          <w:szCs w:val="24"/>
          <w:lang w:val="fr-CH" w:eastAsia="zh-CN"/>
        </w:rPr>
        <w:t xml:space="preserve">de la </w:t>
      </w:r>
      <w:r w:rsidRPr="00E07D72">
        <w:rPr>
          <w:rFonts w:eastAsiaTheme="minorEastAsia" w:cstheme="minorHAnsi"/>
          <w:bCs/>
          <w:color w:val="231F20"/>
          <w:szCs w:val="24"/>
          <w:lang w:val="fr-CH" w:eastAsia="zh-CN"/>
        </w:rPr>
        <w:t xml:space="preserve">Convention </w:t>
      </w:r>
      <w:r w:rsidR="00FA4CA0">
        <w:rPr>
          <w:rFonts w:eastAsiaTheme="minorEastAsia" w:cstheme="minorHAnsi"/>
          <w:bCs/>
          <w:color w:val="231F20"/>
          <w:szCs w:val="24"/>
          <w:lang w:val="fr-CH" w:eastAsia="zh-CN"/>
        </w:rPr>
        <w:t>dispose en outre que</w:t>
      </w:r>
      <w:r w:rsidRPr="00E07D72">
        <w:rPr>
          <w:rFonts w:eastAsiaTheme="minorEastAsia" w:cstheme="minorHAnsi"/>
          <w:color w:val="231F20"/>
          <w:szCs w:val="24"/>
          <w:lang w:val="fr-CH" w:eastAsia="zh-CN"/>
        </w:rPr>
        <w:t xml:space="preserve"> </w:t>
      </w:r>
      <w:r w:rsidR="00D91038">
        <w:rPr>
          <w:rFonts w:eastAsiaTheme="minorEastAsia" w:cstheme="minorHAnsi"/>
          <w:color w:val="231F20"/>
          <w:szCs w:val="24"/>
          <w:lang w:val="fr-CH" w:eastAsia="zh-CN"/>
        </w:rPr>
        <w:t>"</w:t>
      </w:r>
      <w:r w:rsidR="00FA4CA0">
        <w:rPr>
          <w:rFonts w:eastAsiaTheme="minorEastAsia" w:cstheme="minorHAnsi"/>
          <w:color w:val="231F20"/>
          <w:szCs w:val="24"/>
          <w:lang w:val="fr-CH" w:eastAsia="zh-CN"/>
        </w:rPr>
        <w:t>l</w:t>
      </w:r>
      <w:r w:rsidR="00E07D72" w:rsidRPr="00A17458">
        <w:t xml:space="preserve">e Secrétaire général établit et tient à jour, pour chaque Secteur, des listes de toutes les entités et organisations </w:t>
      </w:r>
      <w:r w:rsidR="00E07D72">
        <w:t xml:space="preserve">... </w:t>
      </w:r>
      <w:r w:rsidR="00E07D72" w:rsidRPr="00A17458">
        <w:t>qui sont admises à participer aux travaux des Secteurs. Il publie chacune de ces listes à des intervalles appropriés, et les porte à la connaissance de tous les Etats Membres et Membres des Secteurs concernés et du directeur du Bureau intéressé</w:t>
      </w:r>
      <w:r w:rsidR="00E07D72">
        <w:t> ...".</w:t>
      </w:r>
    </w:p>
    <w:p w:rsidR="00896897" w:rsidRPr="00974946" w:rsidRDefault="00D91038" w:rsidP="007D1428">
      <w:pPr>
        <w:pStyle w:val="Headingi"/>
        <w:rPr>
          <w:lang w:val="fr-CH"/>
        </w:rPr>
      </w:pPr>
      <w:r w:rsidRPr="00974946">
        <w:rPr>
          <w:lang w:val="fr-CH"/>
        </w:rPr>
        <w:t>Membres de Secteur</w:t>
      </w:r>
    </w:p>
    <w:p w:rsidR="00896897" w:rsidRPr="00F511D4" w:rsidRDefault="00896897" w:rsidP="007D1428">
      <w:pPr>
        <w:snapToGrid w:val="0"/>
        <w:spacing w:after="120"/>
        <w:rPr>
          <w:szCs w:val="24"/>
          <w:lang w:val="fr-CH"/>
        </w:rPr>
      </w:pPr>
      <w:r w:rsidRPr="0080586F">
        <w:rPr>
          <w:bCs/>
          <w:szCs w:val="24"/>
          <w:lang w:val="fr-CH"/>
        </w:rPr>
        <w:t>2.3</w:t>
      </w:r>
      <w:r w:rsidRPr="0080586F">
        <w:rPr>
          <w:bCs/>
          <w:szCs w:val="24"/>
          <w:lang w:val="fr-CH"/>
        </w:rPr>
        <w:tab/>
      </w:r>
      <w:r w:rsidR="00200997">
        <w:rPr>
          <w:bCs/>
          <w:szCs w:val="24"/>
          <w:lang w:val="fr-CH"/>
        </w:rPr>
        <w:t>L</w:t>
      </w:r>
      <w:r w:rsidR="00200997">
        <w:rPr>
          <w:szCs w:val="24"/>
          <w:lang w:val="fr-CH"/>
        </w:rPr>
        <w:t>es</w:t>
      </w:r>
      <w:r w:rsidR="00200997" w:rsidRPr="0080586F">
        <w:rPr>
          <w:szCs w:val="24"/>
          <w:lang w:val="fr-CH"/>
        </w:rPr>
        <w:t xml:space="preserve"> "Droits et obligations" </w:t>
      </w:r>
      <w:r w:rsidR="00200997">
        <w:rPr>
          <w:szCs w:val="24"/>
          <w:lang w:val="fr-CH"/>
        </w:rPr>
        <w:t>des Membres de Secteur</w:t>
      </w:r>
      <w:r w:rsidR="00200997" w:rsidRPr="0080586F">
        <w:rPr>
          <w:bCs/>
          <w:szCs w:val="24"/>
          <w:lang w:val="fr-CH"/>
        </w:rPr>
        <w:t xml:space="preserve"> </w:t>
      </w:r>
      <w:r w:rsidR="00200997">
        <w:rPr>
          <w:bCs/>
          <w:szCs w:val="24"/>
          <w:lang w:val="fr-CH"/>
        </w:rPr>
        <w:t>sont prévus dans l</w:t>
      </w:r>
      <w:r w:rsidR="00D91038" w:rsidRPr="0080586F">
        <w:rPr>
          <w:bCs/>
          <w:szCs w:val="24"/>
          <w:lang w:val="fr-CH"/>
        </w:rPr>
        <w:t>'a</w:t>
      </w:r>
      <w:r w:rsidRPr="0080586F">
        <w:rPr>
          <w:bCs/>
          <w:szCs w:val="24"/>
          <w:lang w:val="fr-CH"/>
        </w:rPr>
        <w:t xml:space="preserve">rticle 3 </w:t>
      </w:r>
      <w:r w:rsidR="00D91038" w:rsidRPr="0080586F">
        <w:rPr>
          <w:bCs/>
          <w:szCs w:val="24"/>
          <w:lang w:val="fr-CH"/>
        </w:rPr>
        <w:t xml:space="preserve">de la </w:t>
      </w:r>
      <w:r w:rsidRPr="0080586F">
        <w:rPr>
          <w:bCs/>
          <w:szCs w:val="24"/>
          <w:lang w:val="fr-CH"/>
        </w:rPr>
        <w:t>Constitution</w:t>
      </w:r>
      <w:r w:rsidRPr="0080586F">
        <w:rPr>
          <w:szCs w:val="24"/>
          <w:lang w:val="fr-CH"/>
        </w:rPr>
        <w:t xml:space="preserve">. </w:t>
      </w:r>
      <w:r w:rsidR="005B2C90">
        <w:rPr>
          <w:szCs w:val="24"/>
          <w:lang w:val="fr-CH"/>
        </w:rPr>
        <w:t>L</w:t>
      </w:r>
      <w:r w:rsidR="0080586F" w:rsidRPr="0080586F">
        <w:rPr>
          <w:szCs w:val="24"/>
          <w:lang w:val="fr-CH"/>
        </w:rPr>
        <w:t>e numéro</w:t>
      </w:r>
      <w:r w:rsidRPr="0080586F">
        <w:rPr>
          <w:szCs w:val="24"/>
          <w:lang w:val="fr-CH"/>
        </w:rPr>
        <w:t xml:space="preserve"> 28A </w:t>
      </w:r>
      <w:r w:rsidR="005B2C90">
        <w:rPr>
          <w:szCs w:val="24"/>
          <w:lang w:val="fr-CH"/>
        </w:rPr>
        <w:t>dispose</w:t>
      </w:r>
      <w:r w:rsidR="0080586F" w:rsidRPr="0080586F">
        <w:rPr>
          <w:szCs w:val="24"/>
          <w:lang w:val="fr-CH"/>
        </w:rPr>
        <w:t xml:space="preserve"> que </w:t>
      </w:r>
      <w:r w:rsidR="00D91038" w:rsidRPr="0080586F">
        <w:rPr>
          <w:szCs w:val="24"/>
          <w:lang w:val="fr-CH"/>
        </w:rPr>
        <w:t>"</w:t>
      </w:r>
      <w:r w:rsidR="001D273D">
        <w:t>L</w:t>
      </w:r>
      <w:r w:rsidR="0080586F">
        <w:t>es Membres des Secteurs sont autorisés à participer pleinement aux activités du Secteur dont ils sont membres</w:t>
      </w:r>
      <w:r w:rsidR="00D91038" w:rsidRPr="0080586F">
        <w:rPr>
          <w:szCs w:val="24"/>
          <w:lang w:val="fr-CH"/>
        </w:rPr>
        <w:t>"</w:t>
      </w:r>
      <w:r w:rsidRPr="0080586F">
        <w:rPr>
          <w:szCs w:val="24"/>
          <w:lang w:val="fr-CH"/>
        </w:rPr>
        <w:t xml:space="preserve">. </w:t>
      </w:r>
      <w:r w:rsidR="005B2C90">
        <w:rPr>
          <w:szCs w:val="24"/>
          <w:lang w:val="fr-CH"/>
        </w:rPr>
        <w:t xml:space="preserve">Par ailleurs, il est </w:t>
      </w:r>
      <w:r w:rsidR="00200997">
        <w:rPr>
          <w:szCs w:val="24"/>
          <w:lang w:val="fr-CH"/>
        </w:rPr>
        <w:t>indiqué</w:t>
      </w:r>
      <w:r w:rsidRPr="0080586F">
        <w:rPr>
          <w:szCs w:val="24"/>
          <w:lang w:val="fr-CH"/>
        </w:rPr>
        <w:t xml:space="preserve"> </w:t>
      </w:r>
      <w:r w:rsidR="0080586F">
        <w:rPr>
          <w:szCs w:val="24"/>
          <w:lang w:val="fr-CH"/>
        </w:rPr>
        <w:t>dans le</w:t>
      </w:r>
      <w:r w:rsidR="0080586F" w:rsidRPr="0080586F">
        <w:rPr>
          <w:szCs w:val="24"/>
          <w:lang w:val="fr-CH"/>
        </w:rPr>
        <w:t xml:space="preserve"> numéro </w:t>
      </w:r>
      <w:r w:rsidRPr="0080586F">
        <w:rPr>
          <w:szCs w:val="24"/>
          <w:lang w:val="fr-CH"/>
        </w:rPr>
        <w:t xml:space="preserve">28B </w:t>
      </w:r>
      <w:r w:rsidR="0080586F" w:rsidRPr="0080586F">
        <w:rPr>
          <w:szCs w:val="24"/>
          <w:lang w:val="fr-CH"/>
        </w:rPr>
        <w:t xml:space="preserve">que les Membres de Secteur </w:t>
      </w:r>
      <w:r w:rsidR="00D91038" w:rsidRPr="0080586F">
        <w:rPr>
          <w:szCs w:val="24"/>
          <w:lang w:val="fr-CH"/>
        </w:rPr>
        <w:t>"</w:t>
      </w:r>
      <w:r w:rsidR="0080586F">
        <w:t>peuvent fournir des présidents et des vice-présidents pour les assemblées et réunions des Secteurs, ainsi que pour les conférences mondiales de développement des télécommunications</w:t>
      </w:r>
      <w:r w:rsidR="00D91038" w:rsidRPr="0080586F">
        <w:rPr>
          <w:szCs w:val="24"/>
          <w:lang w:val="fr-CH"/>
        </w:rPr>
        <w:t>"</w:t>
      </w:r>
      <w:r w:rsidR="005B2C90">
        <w:rPr>
          <w:szCs w:val="24"/>
          <w:lang w:val="fr-CH"/>
        </w:rPr>
        <w:t>,</w:t>
      </w:r>
      <w:r w:rsidRPr="0080586F">
        <w:rPr>
          <w:szCs w:val="24"/>
          <w:lang w:val="fr-CH"/>
        </w:rPr>
        <w:t xml:space="preserve"> </w:t>
      </w:r>
      <w:r w:rsidR="0080586F">
        <w:rPr>
          <w:szCs w:val="24"/>
          <w:lang w:val="fr-CH"/>
        </w:rPr>
        <w:t>et le numéro</w:t>
      </w:r>
      <w:r w:rsidRPr="0080586F">
        <w:rPr>
          <w:szCs w:val="24"/>
          <w:lang w:val="fr-CH"/>
        </w:rPr>
        <w:t xml:space="preserve"> 28C </w:t>
      </w:r>
      <w:r w:rsidR="00200997">
        <w:rPr>
          <w:szCs w:val="24"/>
          <w:lang w:val="fr-CH"/>
        </w:rPr>
        <w:t xml:space="preserve">dispose </w:t>
      </w:r>
      <w:r w:rsidR="0080586F">
        <w:rPr>
          <w:szCs w:val="24"/>
          <w:lang w:val="fr-CH"/>
        </w:rPr>
        <w:t xml:space="preserve">qu'ils sont autorisés </w:t>
      </w:r>
      <w:r w:rsidR="005B2C90">
        <w:rPr>
          <w:szCs w:val="24"/>
          <w:lang w:val="fr-CH"/>
        </w:rPr>
        <w:t xml:space="preserve">à </w:t>
      </w:r>
      <w:r w:rsidR="00D91038" w:rsidRPr="0080586F">
        <w:rPr>
          <w:szCs w:val="24"/>
          <w:lang w:val="fr-CH"/>
        </w:rPr>
        <w:t>"</w:t>
      </w:r>
      <w:r w:rsidR="0080586F">
        <w:t>participer à l'adoption des Questions et des Recommandations ainsi que des décisions relatives aux méthodes de travail et aux procédures du Secteur concerné</w:t>
      </w:r>
      <w:r w:rsidR="00D91038" w:rsidRPr="0080586F">
        <w:rPr>
          <w:szCs w:val="24"/>
          <w:lang w:val="fr-CH"/>
        </w:rPr>
        <w:t>"</w:t>
      </w:r>
      <w:r w:rsidR="0080586F" w:rsidRPr="0080586F">
        <w:rPr>
          <w:szCs w:val="24"/>
          <w:lang w:val="fr-CH"/>
        </w:rPr>
        <w:t>.</w:t>
      </w:r>
      <w:r w:rsidRPr="0080586F">
        <w:rPr>
          <w:szCs w:val="24"/>
          <w:lang w:val="fr-CH"/>
        </w:rPr>
        <w:t xml:space="preserve"> </w:t>
      </w:r>
      <w:r w:rsidR="00196927" w:rsidRPr="00196927">
        <w:rPr>
          <w:szCs w:val="24"/>
          <w:lang w:val="fr-CH"/>
        </w:rPr>
        <w:t>L'a</w:t>
      </w:r>
      <w:r w:rsidRPr="00196927">
        <w:rPr>
          <w:szCs w:val="24"/>
          <w:lang w:val="fr-CH"/>
        </w:rPr>
        <w:t xml:space="preserve">rticle 20 </w:t>
      </w:r>
      <w:r w:rsidR="00196927" w:rsidRPr="00196927">
        <w:rPr>
          <w:szCs w:val="24"/>
          <w:lang w:val="fr-CH"/>
        </w:rPr>
        <w:t>de la</w:t>
      </w:r>
      <w:r w:rsidRPr="00196927">
        <w:rPr>
          <w:szCs w:val="24"/>
          <w:lang w:val="fr-CH"/>
        </w:rPr>
        <w:t xml:space="preserve"> Convention </w:t>
      </w:r>
      <w:bookmarkStart w:id="9" w:name="_Toc422623890"/>
      <w:r w:rsidR="005B2C90">
        <w:rPr>
          <w:szCs w:val="24"/>
          <w:lang w:val="fr-CH"/>
        </w:rPr>
        <w:t>présente la conduite</w:t>
      </w:r>
      <w:r w:rsidR="00196927">
        <w:t xml:space="preserve"> des travaux des commissions d'études</w:t>
      </w:r>
      <w:bookmarkEnd w:id="9"/>
      <w:r w:rsidRPr="00196927">
        <w:rPr>
          <w:szCs w:val="24"/>
          <w:lang w:val="fr-CH"/>
        </w:rPr>
        <w:t xml:space="preserve">. </w:t>
      </w:r>
      <w:r w:rsidR="00196927" w:rsidRPr="00F511D4">
        <w:rPr>
          <w:szCs w:val="24"/>
          <w:lang w:val="fr-CH"/>
        </w:rPr>
        <w:t>Le numéro</w:t>
      </w:r>
      <w:r w:rsidRPr="00F511D4">
        <w:rPr>
          <w:szCs w:val="24"/>
          <w:lang w:val="fr-CH"/>
        </w:rPr>
        <w:t xml:space="preserve"> 246A </w:t>
      </w:r>
      <w:r w:rsidR="005B2C90">
        <w:rPr>
          <w:szCs w:val="24"/>
          <w:lang w:val="fr-CH"/>
        </w:rPr>
        <w:t>dispose que</w:t>
      </w:r>
      <w:r w:rsidRPr="00F511D4">
        <w:rPr>
          <w:szCs w:val="24"/>
          <w:lang w:val="fr-CH"/>
        </w:rPr>
        <w:t xml:space="preserve"> </w:t>
      </w:r>
      <w:r w:rsidR="00D91038" w:rsidRPr="00F511D4">
        <w:rPr>
          <w:szCs w:val="24"/>
          <w:lang w:val="fr-CH"/>
        </w:rPr>
        <w:t>"</w:t>
      </w:r>
      <w:r w:rsidRPr="00F511D4">
        <w:rPr>
          <w:szCs w:val="24"/>
          <w:lang w:val="fr-CH"/>
        </w:rPr>
        <w:t>…</w:t>
      </w:r>
      <w:r w:rsidR="00F511D4" w:rsidRPr="00F511D4">
        <w:t xml:space="preserve"> </w:t>
      </w:r>
      <w:r w:rsidR="00F511D4">
        <w:t>les Membres des Secteurs adoptent des Questions qui doivent être étudiées conformément aux procédures établies par la conférence ou l'assemblée compétente</w:t>
      </w:r>
      <w:r w:rsidR="00D91038" w:rsidRPr="00F511D4">
        <w:rPr>
          <w:szCs w:val="24"/>
          <w:lang w:val="fr-CH"/>
        </w:rPr>
        <w:t>"</w:t>
      </w:r>
      <w:r w:rsidRPr="00F511D4">
        <w:rPr>
          <w:szCs w:val="24"/>
          <w:lang w:val="fr-CH"/>
        </w:rPr>
        <w:t>.</w:t>
      </w:r>
    </w:p>
    <w:p w:rsidR="00896897" w:rsidRPr="005B2C90" w:rsidRDefault="00896897" w:rsidP="00A774F9">
      <w:pPr>
        <w:snapToGrid w:val="0"/>
        <w:spacing w:after="120"/>
        <w:rPr>
          <w:rFonts w:cstheme="minorHAnsi"/>
          <w:szCs w:val="24"/>
          <w:lang w:val="fr-CH"/>
        </w:rPr>
      </w:pPr>
      <w:r w:rsidRPr="000D2A92">
        <w:rPr>
          <w:rFonts w:cstheme="minorHAnsi"/>
          <w:szCs w:val="24"/>
          <w:lang w:val="fr-CH"/>
        </w:rPr>
        <w:t>2.4</w:t>
      </w:r>
      <w:r w:rsidRPr="000D2A92">
        <w:rPr>
          <w:rFonts w:cstheme="minorHAnsi"/>
          <w:szCs w:val="24"/>
          <w:lang w:val="fr-CH"/>
        </w:rPr>
        <w:tab/>
      </w:r>
      <w:r w:rsidR="000D2A92" w:rsidRPr="000D2A92">
        <w:rPr>
          <w:rFonts w:cstheme="minorHAnsi"/>
          <w:szCs w:val="24"/>
          <w:lang w:val="fr-CH"/>
        </w:rPr>
        <w:t xml:space="preserve">La </w:t>
      </w:r>
      <w:r w:rsidR="00624A1E" w:rsidRPr="000D2A92">
        <w:rPr>
          <w:rFonts w:cstheme="minorHAnsi"/>
          <w:szCs w:val="24"/>
          <w:lang w:val="fr-CH"/>
        </w:rPr>
        <w:t>Résolution</w:t>
      </w:r>
      <w:r w:rsidR="000D2A92" w:rsidRPr="000D2A92">
        <w:rPr>
          <w:rFonts w:cstheme="minorHAnsi"/>
          <w:szCs w:val="24"/>
          <w:lang w:val="fr-CH"/>
        </w:rPr>
        <w:t xml:space="preserve"> 14 (</w:t>
      </w:r>
      <w:proofErr w:type="spellStart"/>
      <w:r w:rsidR="000D2A92" w:rsidRPr="000D2A92">
        <w:rPr>
          <w:rFonts w:cstheme="minorHAnsi"/>
          <w:szCs w:val="24"/>
          <w:lang w:val="fr-CH"/>
        </w:rPr>
        <w:t>Ré</w:t>
      </w:r>
      <w:r w:rsidRPr="000D2A92">
        <w:rPr>
          <w:rFonts w:cstheme="minorHAnsi"/>
          <w:szCs w:val="24"/>
          <w:lang w:val="fr-CH"/>
        </w:rPr>
        <w:t>v</w:t>
      </w:r>
      <w:proofErr w:type="spellEnd"/>
      <w:r w:rsidRPr="000D2A92">
        <w:rPr>
          <w:rFonts w:cstheme="minorHAnsi"/>
          <w:szCs w:val="24"/>
          <w:lang w:val="fr-CH"/>
        </w:rPr>
        <w:t xml:space="preserve">. Antalya, 2006) </w:t>
      </w:r>
      <w:r w:rsidR="00A774F9">
        <w:rPr>
          <w:rFonts w:cstheme="minorHAnsi"/>
          <w:szCs w:val="24"/>
          <w:lang w:val="fr-CH"/>
        </w:rPr>
        <w:t xml:space="preserve">de </w:t>
      </w:r>
      <w:r w:rsidR="00A774F9">
        <w:rPr>
          <w:lang w:val="fr-CH"/>
        </w:rPr>
        <w:t xml:space="preserve">la Conférence de plénipotentiaires </w:t>
      </w:r>
      <w:r w:rsidR="005B2C90">
        <w:rPr>
          <w:rFonts w:cstheme="minorHAnsi"/>
          <w:szCs w:val="24"/>
          <w:lang w:val="fr-CH"/>
        </w:rPr>
        <w:t xml:space="preserve">fournit des précisions supplémentaires concernant les droits et les obligations des Membres de Secteur. </w:t>
      </w:r>
      <w:r w:rsidR="0086305F">
        <w:rPr>
          <w:rFonts w:cstheme="minorHAnsi"/>
          <w:szCs w:val="24"/>
          <w:lang w:val="fr-CH"/>
        </w:rPr>
        <w:t>Elle indique notamment</w:t>
      </w:r>
      <w:r w:rsidR="00200997">
        <w:rPr>
          <w:rFonts w:cstheme="minorHAnsi"/>
          <w:szCs w:val="24"/>
          <w:lang w:val="fr-CH"/>
        </w:rPr>
        <w:t xml:space="preserve"> </w:t>
      </w:r>
      <w:r w:rsidR="005B2C90">
        <w:rPr>
          <w:rFonts w:cstheme="minorHAnsi"/>
          <w:szCs w:val="24"/>
          <w:lang w:val="fr-CH"/>
        </w:rPr>
        <w:t xml:space="preserve">que ces entités </w:t>
      </w:r>
      <w:r w:rsidR="00D91038" w:rsidRPr="000D2A92">
        <w:rPr>
          <w:rFonts w:cstheme="minorHAnsi"/>
          <w:szCs w:val="24"/>
          <w:lang w:val="fr-CH"/>
        </w:rPr>
        <w:t>"</w:t>
      </w:r>
      <w:r w:rsidR="000D2A92" w:rsidRPr="00634586">
        <w:rPr>
          <w:lang w:val="fr-CH"/>
        </w:rPr>
        <w:t>peuvent participer à toutes les activités du Secteur concerné, à l'exception des votes officiels et de certaines conférences habilitées à conclure des traités</w:t>
      </w:r>
      <w:r w:rsidR="00D91038" w:rsidRPr="000D2A92">
        <w:rPr>
          <w:rFonts w:cstheme="minorHAnsi"/>
          <w:szCs w:val="24"/>
          <w:lang w:val="fr-CH"/>
        </w:rPr>
        <w:t>"</w:t>
      </w:r>
      <w:r w:rsidRPr="000D2A92">
        <w:rPr>
          <w:rFonts w:cstheme="minorHAnsi"/>
          <w:szCs w:val="24"/>
          <w:lang w:val="fr-CH"/>
        </w:rPr>
        <w:t xml:space="preserve">. </w:t>
      </w:r>
      <w:r w:rsidR="00E10176" w:rsidRPr="003C7662">
        <w:rPr>
          <w:rFonts w:cstheme="minorHAnsi"/>
          <w:szCs w:val="24"/>
          <w:lang w:val="fr-CH"/>
        </w:rPr>
        <w:t xml:space="preserve">Cette </w:t>
      </w:r>
      <w:r w:rsidR="00624A1E" w:rsidRPr="003C7662">
        <w:rPr>
          <w:rFonts w:cstheme="minorHAnsi"/>
          <w:szCs w:val="24"/>
          <w:lang w:val="fr-CH"/>
        </w:rPr>
        <w:t>Résolution</w:t>
      </w:r>
      <w:r w:rsidRPr="003C7662">
        <w:rPr>
          <w:rFonts w:cstheme="minorHAnsi"/>
          <w:szCs w:val="24"/>
          <w:lang w:val="fr-CH"/>
        </w:rPr>
        <w:t xml:space="preserve"> </w:t>
      </w:r>
      <w:r w:rsidR="003C7662" w:rsidRPr="003C7662">
        <w:rPr>
          <w:rFonts w:cstheme="minorHAnsi"/>
          <w:szCs w:val="24"/>
          <w:lang w:val="fr-CH"/>
        </w:rPr>
        <w:t>dispose en outre que les Membres de Secteur sont autorisés</w:t>
      </w:r>
      <w:r w:rsidRPr="003C7662">
        <w:rPr>
          <w:rFonts w:cstheme="minorHAnsi"/>
          <w:szCs w:val="24"/>
          <w:lang w:val="fr-CH"/>
        </w:rPr>
        <w:t>:</w:t>
      </w:r>
    </w:p>
    <w:p w:rsidR="003C7662" w:rsidRPr="003C7662" w:rsidRDefault="00E10176" w:rsidP="007D1428">
      <w:pPr>
        <w:pStyle w:val="enumlev1"/>
        <w:rPr>
          <w:lang w:val="fr-CH"/>
        </w:rPr>
      </w:pPr>
      <w:r w:rsidRPr="003C7662">
        <w:rPr>
          <w:lang w:val="fr-CH"/>
        </w:rPr>
        <w:t>•</w:t>
      </w:r>
      <w:r w:rsidRPr="003C7662">
        <w:rPr>
          <w:lang w:val="fr-CH"/>
        </w:rPr>
        <w:tab/>
      </w:r>
      <w:r w:rsidR="003C7662" w:rsidRPr="003C7662">
        <w:rPr>
          <w:lang w:val="fr-CH"/>
        </w:rPr>
        <w:t>à recevoir des informations relatives à leur participation de la pa</w:t>
      </w:r>
      <w:r w:rsidR="003C7662">
        <w:rPr>
          <w:lang w:val="fr-CH"/>
        </w:rPr>
        <w:t>rt du Bureau du Secteur concerné</w:t>
      </w:r>
      <w:r w:rsidR="003C7662" w:rsidRPr="003C7662">
        <w:rPr>
          <w:lang w:val="fr-CH"/>
        </w:rPr>
        <w:t>;</w:t>
      </w:r>
    </w:p>
    <w:p w:rsidR="00896897" w:rsidRPr="00CF1BEF" w:rsidRDefault="00E10176" w:rsidP="00A774F9">
      <w:pPr>
        <w:pStyle w:val="enumlev1"/>
        <w:rPr>
          <w:lang w:val="fr-CH"/>
        </w:rPr>
      </w:pPr>
      <w:r w:rsidRPr="00CF1BEF">
        <w:rPr>
          <w:lang w:val="fr-CH"/>
        </w:rPr>
        <w:t>•</w:t>
      </w:r>
      <w:r w:rsidRPr="00CF1BEF">
        <w:rPr>
          <w:lang w:val="fr-CH"/>
        </w:rPr>
        <w:tab/>
      </w:r>
      <w:r w:rsidR="003C7662">
        <w:rPr>
          <w:lang w:val="fr-CH"/>
        </w:rPr>
        <w:t xml:space="preserve">à </w:t>
      </w:r>
      <w:r w:rsidR="00CF1BEF" w:rsidRPr="00CF1BEF">
        <w:rPr>
          <w:lang w:val="fr-CH"/>
        </w:rPr>
        <w:t xml:space="preserve">soumettre des </w:t>
      </w:r>
      <w:r w:rsidR="00896897" w:rsidRPr="00CF1BEF">
        <w:rPr>
          <w:lang w:val="fr-CH"/>
        </w:rPr>
        <w:t xml:space="preserve">contributions </w:t>
      </w:r>
      <w:r w:rsidR="00CF1BEF" w:rsidRPr="00CF1BEF">
        <w:rPr>
          <w:lang w:val="fr-CH"/>
        </w:rPr>
        <w:t xml:space="preserve">et </w:t>
      </w:r>
      <w:r w:rsidR="00310868">
        <w:rPr>
          <w:lang w:val="fr-CH"/>
        </w:rPr>
        <w:t xml:space="preserve">à </w:t>
      </w:r>
      <w:r w:rsidR="00A774F9">
        <w:rPr>
          <w:lang w:val="fr-CH"/>
        </w:rPr>
        <w:t>envoyer des représentants aux réunions des</w:t>
      </w:r>
      <w:r w:rsidR="00CF1BEF" w:rsidRPr="00CF1BEF">
        <w:rPr>
          <w:lang w:val="fr-CH"/>
        </w:rPr>
        <w:t xml:space="preserve"> </w:t>
      </w:r>
      <w:r w:rsidR="00CF1BEF">
        <w:rPr>
          <w:lang w:val="fr-CH"/>
        </w:rPr>
        <w:t>c</w:t>
      </w:r>
      <w:r w:rsidR="00CF1BEF" w:rsidRPr="00CF1BEF">
        <w:rPr>
          <w:lang w:val="fr-CH"/>
        </w:rPr>
        <w:t>ommissions d'études</w:t>
      </w:r>
      <w:r w:rsidR="00896897" w:rsidRPr="00CF1BEF">
        <w:rPr>
          <w:lang w:val="fr-CH"/>
        </w:rPr>
        <w:t>;</w:t>
      </w:r>
    </w:p>
    <w:p w:rsidR="00896897" w:rsidRPr="00CF1BEF" w:rsidRDefault="00E10176" w:rsidP="007D1428">
      <w:pPr>
        <w:pStyle w:val="enumlev1"/>
        <w:rPr>
          <w:lang w:val="fr-CH"/>
        </w:rPr>
      </w:pPr>
      <w:r w:rsidRPr="00CF1BEF">
        <w:rPr>
          <w:lang w:val="fr-CH"/>
        </w:rPr>
        <w:t>•</w:t>
      </w:r>
      <w:r w:rsidRPr="00CF1BEF">
        <w:rPr>
          <w:lang w:val="fr-CH"/>
        </w:rPr>
        <w:tab/>
      </w:r>
      <w:r w:rsidR="003C7662">
        <w:rPr>
          <w:lang w:val="fr-CH"/>
        </w:rPr>
        <w:t xml:space="preserve">à </w:t>
      </w:r>
      <w:r w:rsidR="00CF1BEF" w:rsidRPr="00634586">
        <w:rPr>
          <w:lang w:val="fr-CH"/>
        </w:rPr>
        <w:t>proposer l'inscription de points à l'ordre du jour de ces réunions</w:t>
      </w:r>
      <w:r w:rsidR="00896897" w:rsidRPr="00CF1BEF">
        <w:rPr>
          <w:lang w:val="fr-CH"/>
        </w:rPr>
        <w:t>;</w:t>
      </w:r>
    </w:p>
    <w:p w:rsidR="00896897" w:rsidRPr="0030640B" w:rsidRDefault="00E10176" w:rsidP="007D1428">
      <w:pPr>
        <w:pStyle w:val="enumlev1"/>
        <w:rPr>
          <w:lang w:val="fr-CH"/>
        </w:rPr>
      </w:pPr>
      <w:r w:rsidRPr="0030640B">
        <w:rPr>
          <w:lang w:val="fr-CH"/>
        </w:rPr>
        <w:t>•</w:t>
      </w:r>
      <w:r w:rsidRPr="0030640B">
        <w:rPr>
          <w:lang w:val="fr-CH"/>
        </w:rPr>
        <w:tab/>
      </w:r>
      <w:r w:rsidR="003C7662">
        <w:rPr>
          <w:lang w:val="fr-CH"/>
        </w:rPr>
        <w:t xml:space="preserve">à </w:t>
      </w:r>
      <w:r w:rsidR="0030640B" w:rsidRPr="00634586">
        <w:rPr>
          <w:lang w:val="fr-CH"/>
        </w:rPr>
        <w:t xml:space="preserve">prendre part à toutes les discussions et à exercer les fonctions de président </w:t>
      </w:r>
      <w:r w:rsidR="00310868">
        <w:rPr>
          <w:lang w:val="fr-CH"/>
        </w:rPr>
        <w:t xml:space="preserve">de </w:t>
      </w:r>
      <w:r w:rsidR="0030640B" w:rsidRPr="00634586">
        <w:rPr>
          <w:lang w:val="fr-CH"/>
        </w:rPr>
        <w:t>ou vice</w:t>
      </w:r>
      <w:r w:rsidR="00310868">
        <w:rPr>
          <w:lang w:val="fr-CH"/>
        </w:rPr>
        <w:noBreakHyphen/>
      </w:r>
      <w:r w:rsidR="0030640B" w:rsidRPr="00634586">
        <w:rPr>
          <w:lang w:val="fr-CH"/>
        </w:rPr>
        <w:t>président d'une commission d'études, d'un groupe de travail, d'un groupe d'experts, d'un groupe de rapporteur ou de tout autre groupe ad hoc</w:t>
      </w:r>
      <w:r w:rsidR="0030640B">
        <w:rPr>
          <w:lang w:val="fr-CH"/>
        </w:rPr>
        <w:t>; et</w:t>
      </w:r>
    </w:p>
    <w:p w:rsidR="00896897" w:rsidRPr="0030640B" w:rsidRDefault="00E10176" w:rsidP="007D1428">
      <w:pPr>
        <w:pStyle w:val="enumlev1"/>
        <w:rPr>
          <w:lang w:val="fr-CH"/>
        </w:rPr>
      </w:pPr>
      <w:r w:rsidRPr="0030640B">
        <w:rPr>
          <w:lang w:val="fr-CH"/>
        </w:rPr>
        <w:t>•</w:t>
      </w:r>
      <w:r w:rsidRPr="0030640B">
        <w:rPr>
          <w:lang w:val="fr-CH"/>
        </w:rPr>
        <w:tab/>
      </w:r>
      <w:r w:rsidR="003C7662">
        <w:rPr>
          <w:lang w:val="fr-CH"/>
        </w:rPr>
        <w:t xml:space="preserve">à </w:t>
      </w:r>
      <w:r w:rsidR="0030640B" w:rsidRPr="00634586">
        <w:rPr>
          <w:lang w:val="fr-CH"/>
        </w:rPr>
        <w:t>prendre part aux travaux de rédaction et d'édition nécessaires avant l'adoption des recommandations</w:t>
      </w:r>
      <w:r w:rsidR="00896897" w:rsidRPr="0030640B">
        <w:rPr>
          <w:lang w:val="fr-CH"/>
        </w:rPr>
        <w:t>.</w:t>
      </w:r>
    </w:p>
    <w:p w:rsidR="003C7662" w:rsidRPr="003C7662" w:rsidRDefault="00896897" w:rsidP="00A774F9">
      <w:pPr>
        <w:snapToGrid w:val="0"/>
        <w:spacing w:after="120"/>
        <w:rPr>
          <w:szCs w:val="24"/>
          <w:lang w:val="fr-CH"/>
        </w:rPr>
      </w:pPr>
      <w:r w:rsidRPr="003C7662">
        <w:rPr>
          <w:szCs w:val="24"/>
          <w:lang w:val="fr-CH"/>
        </w:rPr>
        <w:t>2.5</w:t>
      </w:r>
      <w:r w:rsidRPr="003C7662">
        <w:rPr>
          <w:szCs w:val="24"/>
          <w:lang w:val="fr-CH"/>
        </w:rPr>
        <w:tab/>
      </w:r>
      <w:r w:rsidR="003C7662" w:rsidRPr="003C7662">
        <w:rPr>
          <w:szCs w:val="24"/>
          <w:lang w:val="fr-CH"/>
        </w:rPr>
        <w:t>Les Membres de Secteur vis</w:t>
      </w:r>
      <w:r w:rsidR="003C7662">
        <w:rPr>
          <w:szCs w:val="24"/>
          <w:lang w:val="fr-CH"/>
        </w:rPr>
        <w:t>é</w:t>
      </w:r>
      <w:r w:rsidR="003C7662" w:rsidRPr="003C7662">
        <w:rPr>
          <w:szCs w:val="24"/>
          <w:lang w:val="fr-CH"/>
        </w:rPr>
        <w:t xml:space="preserve">s aux numéros 229 et 231 de la Convention sont autorisés à participer </w:t>
      </w:r>
      <w:r w:rsidR="003C7662">
        <w:rPr>
          <w:szCs w:val="24"/>
          <w:lang w:val="fr-CH"/>
        </w:rPr>
        <w:t>aux conférences de plénipotentiaires en qualité d</w:t>
      </w:r>
      <w:r w:rsidR="00865BC1">
        <w:rPr>
          <w:szCs w:val="24"/>
          <w:lang w:val="fr-CH"/>
        </w:rPr>
        <w:t>'</w:t>
      </w:r>
      <w:r w:rsidR="003C7662">
        <w:rPr>
          <w:szCs w:val="24"/>
          <w:lang w:val="fr-CH"/>
        </w:rPr>
        <w:t xml:space="preserve">observateurs, à titre non consultatif. Les Membres des Secteurs </w:t>
      </w:r>
      <w:r w:rsidR="0086305F">
        <w:rPr>
          <w:szCs w:val="24"/>
          <w:lang w:val="fr-CH"/>
        </w:rPr>
        <w:t>peuvent</w:t>
      </w:r>
      <w:r w:rsidR="003C7662">
        <w:rPr>
          <w:szCs w:val="24"/>
          <w:lang w:val="fr-CH"/>
        </w:rPr>
        <w:t xml:space="preserve"> également participer en qualité d</w:t>
      </w:r>
      <w:r w:rsidR="00865BC1">
        <w:rPr>
          <w:szCs w:val="24"/>
          <w:lang w:val="fr-CH"/>
        </w:rPr>
        <w:t>'</w:t>
      </w:r>
      <w:r w:rsidR="003C7662">
        <w:rPr>
          <w:szCs w:val="24"/>
          <w:lang w:val="fr-CH"/>
        </w:rPr>
        <w:t xml:space="preserve">observateurs, à titre non consultatif, aux conférences mondiales des télécommunications internationales. </w:t>
      </w:r>
      <w:r w:rsidR="008242BC">
        <w:rPr>
          <w:szCs w:val="24"/>
          <w:lang w:val="fr-CH"/>
        </w:rPr>
        <w:t>Conformément au</w:t>
      </w:r>
      <w:r w:rsidR="003C7662">
        <w:rPr>
          <w:szCs w:val="24"/>
          <w:lang w:val="fr-CH"/>
        </w:rPr>
        <w:t xml:space="preserve"> numéro 476 de la Convention et </w:t>
      </w:r>
      <w:r w:rsidR="008242BC">
        <w:rPr>
          <w:szCs w:val="24"/>
          <w:lang w:val="fr-CH"/>
        </w:rPr>
        <w:t>à</w:t>
      </w:r>
      <w:r w:rsidR="003C7662">
        <w:rPr>
          <w:szCs w:val="24"/>
          <w:lang w:val="fr-CH"/>
        </w:rPr>
        <w:t xml:space="preserve"> </w:t>
      </w:r>
      <w:r w:rsidR="008242BC">
        <w:rPr>
          <w:szCs w:val="24"/>
          <w:lang w:val="fr-CH"/>
        </w:rPr>
        <w:t>la disposition</w:t>
      </w:r>
      <w:r w:rsidR="003C7662">
        <w:rPr>
          <w:szCs w:val="24"/>
          <w:lang w:val="fr-CH"/>
        </w:rPr>
        <w:t xml:space="preserve"> 7.5 du Règlement financier</w:t>
      </w:r>
      <w:r w:rsidR="008242BC">
        <w:rPr>
          <w:szCs w:val="24"/>
          <w:lang w:val="fr-CH"/>
        </w:rPr>
        <w:t>, les Membres des Secteurs sont tenus de contribuer aux dépenses des conférences auxquelles ils participent, sauf s</w:t>
      </w:r>
      <w:r w:rsidR="00865BC1">
        <w:rPr>
          <w:szCs w:val="24"/>
          <w:lang w:val="fr-CH"/>
        </w:rPr>
        <w:t>'</w:t>
      </w:r>
      <w:r w:rsidR="008242BC">
        <w:rPr>
          <w:szCs w:val="24"/>
          <w:lang w:val="fr-CH"/>
        </w:rPr>
        <w:t>il s</w:t>
      </w:r>
      <w:r w:rsidR="00865BC1">
        <w:rPr>
          <w:szCs w:val="24"/>
          <w:lang w:val="fr-CH"/>
        </w:rPr>
        <w:t>'</w:t>
      </w:r>
      <w:r w:rsidR="008242BC">
        <w:rPr>
          <w:szCs w:val="24"/>
          <w:lang w:val="fr-CH"/>
        </w:rPr>
        <w:t>agit d</w:t>
      </w:r>
      <w:r w:rsidR="00865BC1">
        <w:rPr>
          <w:szCs w:val="24"/>
          <w:lang w:val="fr-CH"/>
        </w:rPr>
        <w:t>'</w:t>
      </w:r>
      <w:r w:rsidR="008242BC">
        <w:rPr>
          <w:szCs w:val="24"/>
          <w:lang w:val="fr-CH"/>
        </w:rPr>
        <w:t xml:space="preserve">organisations internationales ou régionales exonérées </w:t>
      </w:r>
      <w:r w:rsidR="00B4383B">
        <w:rPr>
          <w:szCs w:val="24"/>
          <w:lang w:val="fr-CH"/>
        </w:rPr>
        <w:t>de contribution</w:t>
      </w:r>
      <w:r w:rsidR="003C7662">
        <w:rPr>
          <w:szCs w:val="24"/>
          <w:lang w:val="fr-CH"/>
        </w:rPr>
        <w:t>. Seuls les Membres du Secteur UIT</w:t>
      </w:r>
      <w:r w:rsidR="003C7662">
        <w:rPr>
          <w:szCs w:val="24"/>
          <w:lang w:val="fr-CH"/>
        </w:rPr>
        <w:noBreakHyphen/>
        <w:t>R sont autorisés à participer à la Conférence mondiale des radiocommunications (CMR) ou aux conférences régionales des radiocommunications (CRR).</w:t>
      </w:r>
    </w:p>
    <w:p w:rsidR="00896897" w:rsidRPr="00874016" w:rsidRDefault="00896897" w:rsidP="007D1428">
      <w:pPr>
        <w:snapToGrid w:val="0"/>
        <w:spacing w:after="120"/>
        <w:rPr>
          <w:rFonts w:eastAsiaTheme="minorEastAsia" w:cstheme="minorHAnsi"/>
          <w:color w:val="231F20"/>
          <w:szCs w:val="24"/>
          <w:highlight w:val="yellow"/>
          <w:lang w:val="fr-CH" w:eastAsia="zh-CN"/>
        </w:rPr>
      </w:pPr>
      <w:r w:rsidRPr="00CB33A1">
        <w:rPr>
          <w:szCs w:val="24"/>
          <w:lang w:val="fr-CH"/>
        </w:rPr>
        <w:t>2.6</w:t>
      </w:r>
      <w:r w:rsidRPr="00CB33A1">
        <w:rPr>
          <w:szCs w:val="24"/>
          <w:lang w:val="fr-CH"/>
        </w:rPr>
        <w:tab/>
      </w:r>
      <w:r w:rsidR="00306FA3">
        <w:rPr>
          <w:szCs w:val="24"/>
          <w:lang w:val="fr-CH"/>
        </w:rPr>
        <w:t>Pour ce qui est des autres grandes conférences et assemblées non habilitées à conclure des traités, à savoir les assemblées mondiales de normalisation des télécommunications, les conférences mondiales de développement des télécommunications (CMDT) et les assemblées des radiocommunications (AR), les Membres du Secteur concerné peuvent participer pleinement et entièrement, à ceci près qu</w:t>
      </w:r>
      <w:r w:rsidR="00865BC1">
        <w:rPr>
          <w:szCs w:val="24"/>
          <w:lang w:val="fr-CH"/>
        </w:rPr>
        <w:t>'</w:t>
      </w:r>
      <w:r w:rsidR="00306FA3">
        <w:rPr>
          <w:szCs w:val="24"/>
          <w:lang w:val="fr-CH"/>
        </w:rPr>
        <w:t>ils n</w:t>
      </w:r>
      <w:r w:rsidR="00865BC1">
        <w:rPr>
          <w:szCs w:val="24"/>
          <w:lang w:val="fr-CH"/>
        </w:rPr>
        <w:t>'</w:t>
      </w:r>
      <w:r w:rsidR="00306FA3">
        <w:rPr>
          <w:szCs w:val="24"/>
          <w:lang w:val="fr-CH"/>
        </w:rPr>
        <w:t xml:space="preserve">ont </w:t>
      </w:r>
      <w:r w:rsidR="00332776">
        <w:rPr>
          <w:szCs w:val="24"/>
          <w:lang w:val="fr-CH"/>
        </w:rPr>
        <w:t>ni</w:t>
      </w:r>
      <w:r w:rsidR="00565EF7">
        <w:rPr>
          <w:szCs w:val="24"/>
          <w:lang w:val="fr-CH"/>
        </w:rPr>
        <w:t xml:space="preserve"> </w:t>
      </w:r>
      <w:r w:rsidR="00306FA3">
        <w:rPr>
          <w:szCs w:val="24"/>
          <w:lang w:val="fr-CH"/>
        </w:rPr>
        <w:t xml:space="preserve">le droit de vote ni </w:t>
      </w:r>
      <w:r w:rsidR="00CF0BD0">
        <w:rPr>
          <w:szCs w:val="24"/>
          <w:lang w:val="fr-CH"/>
        </w:rPr>
        <w:t>celui</w:t>
      </w:r>
      <w:r w:rsidR="00565EF7">
        <w:rPr>
          <w:szCs w:val="24"/>
          <w:lang w:val="fr-CH"/>
        </w:rPr>
        <w:t xml:space="preserve"> d</w:t>
      </w:r>
      <w:r w:rsidR="00865BC1">
        <w:rPr>
          <w:szCs w:val="24"/>
          <w:lang w:val="fr-CH"/>
        </w:rPr>
        <w:t>'</w:t>
      </w:r>
      <w:r w:rsidR="00565EF7">
        <w:rPr>
          <w:szCs w:val="24"/>
          <w:lang w:val="fr-CH"/>
        </w:rPr>
        <w:t>introduire des motions de procédure. Ils n</w:t>
      </w:r>
      <w:r w:rsidR="00865BC1">
        <w:rPr>
          <w:szCs w:val="24"/>
          <w:lang w:val="fr-CH"/>
        </w:rPr>
        <w:t>'</w:t>
      </w:r>
      <w:r w:rsidR="00565EF7">
        <w:rPr>
          <w:szCs w:val="24"/>
          <w:lang w:val="fr-CH"/>
        </w:rPr>
        <w:t>ont pas à payer pour participer à ces réunions. Les Membres de</w:t>
      </w:r>
      <w:r w:rsidR="0086305F">
        <w:rPr>
          <w:szCs w:val="24"/>
          <w:lang w:val="fr-CH"/>
        </w:rPr>
        <w:t xml:space="preserve"> Secteur</w:t>
      </w:r>
      <w:r w:rsidR="00565EF7">
        <w:rPr>
          <w:szCs w:val="24"/>
          <w:lang w:val="fr-CH"/>
        </w:rPr>
        <w:t xml:space="preserve"> peuvent fournir des présidents/vice</w:t>
      </w:r>
      <w:r w:rsidR="00565EF7">
        <w:rPr>
          <w:szCs w:val="24"/>
          <w:lang w:val="fr-CH"/>
        </w:rPr>
        <w:noBreakHyphen/>
        <w:t xml:space="preserve">présidents pour </w:t>
      </w:r>
      <w:r w:rsidR="00E1309E">
        <w:rPr>
          <w:szCs w:val="24"/>
          <w:lang w:val="fr-CH"/>
        </w:rPr>
        <w:t>les</w:t>
      </w:r>
      <w:r w:rsidR="00565EF7">
        <w:rPr>
          <w:szCs w:val="24"/>
          <w:lang w:val="fr-CH"/>
        </w:rPr>
        <w:t xml:space="preserve"> assemblées et </w:t>
      </w:r>
      <w:r w:rsidR="00E1309E">
        <w:rPr>
          <w:szCs w:val="24"/>
          <w:lang w:val="fr-CH"/>
        </w:rPr>
        <w:t>l</w:t>
      </w:r>
      <w:r w:rsidR="00565EF7">
        <w:rPr>
          <w:szCs w:val="24"/>
          <w:lang w:val="fr-CH"/>
        </w:rPr>
        <w:t xml:space="preserve">es conférences non habilitées à conclure des traités </w:t>
      </w:r>
      <w:r w:rsidR="0086305F">
        <w:rPr>
          <w:szCs w:val="24"/>
          <w:lang w:val="fr-CH"/>
        </w:rPr>
        <w:t>organisées par le</w:t>
      </w:r>
      <w:r w:rsidR="00565EF7">
        <w:rPr>
          <w:szCs w:val="24"/>
          <w:lang w:val="fr-CH"/>
        </w:rPr>
        <w:t xml:space="preserve"> Secteur</w:t>
      </w:r>
      <w:r w:rsidR="00383EDD">
        <w:rPr>
          <w:szCs w:val="24"/>
          <w:lang w:val="fr-CH"/>
        </w:rPr>
        <w:t xml:space="preserve"> dont ils relèvent</w:t>
      </w:r>
      <w:r w:rsidR="00565EF7">
        <w:rPr>
          <w:szCs w:val="24"/>
          <w:lang w:val="fr-CH"/>
        </w:rPr>
        <w:t xml:space="preserve">. </w:t>
      </w:r>
      <w:r w:rsidR="008963F2">
        <w:rPr>
          <w:szCs w:val="24"/>
          <w:lang w:val="fr-CH"/>
        </w:rPr>
        <w:t xml:space="preserve">Le </w:t>
      </w:r>
      <w:r w:rsidR="00874016" w:rsidRPr="00874016">
        <w:rPr>
          <w:szCs w:val="24"/>
          <w:lang w:val="fr-CH"/>
        </w:rPr>
        <w:t>numéro </w:t>
      </w:r>
      <w:r w:rsidRPr="00874016">
        <w:rPr>
          <w:szCs w:val="24"/>
          <w:lang w:val="fr-CH"/>
        </w:rPr>
        <w:t xml:space="preserve">239 </w:t>
      </w:r>
      <w:r w:rsidR="00874016" w:rsidRPr="00874016">
        <w:rPr>
          <w:szCs w:val="24"/>
          <w:lang w:val="fr-CH"/>
        </w:rPr>
        <w:t xml:space="preserve">de la </w:t>
      </w:r>
      <w:r w:rsidR="008963F2">
        <w:rPr>
          <w:szCs w:val="24"/>
          <w:lang w:val="fr-CH"/>
        </w:rPr>
        <w:t xml:space="preserve">Convention prévoit </w:t>
      </w:r>
      <w:r w:rsidR="00D91038" w:rsidRPr="00874016">
        <w:rPr>
          <w:szCs w:val="24"/>
          <w:lang w:val="fr-CH"/>
        </w:rPr>
        <w:t>"</w:t>
      </w:r>
      <w:r w:rsidR="008963F2">
        <w:rPr>
          <w:szCs w:val="24"/>
          <w:lang w:val="fr-CH"/>
        </w:rPr>
        <w:t>qu</w:t>
      </w:r>
      <w:r w:rsidR="00865BC1">
        <w:rPr>
          <w:szCs w:val="24"/>
          <w:lang w:val="fr-CH"/>
        </w:rPr>
        <w:t>'</w:t>
      </w:r>
      <w:r w:rsidR="008963F2">
        <w:rPr>
          <w:szCs w:val="24"/>
          <w:lang w:val="fr-CH"/>
        </w:rPr>
        <w:t>u</w:t>
      </w:r>
      <w:r w:rsidR="00874016">
        <w:rPr>
          <w:spacing w:val="-4"/>
        </w:rPr>
        <w:t>n Membre de Secteur peut agir au nom de l'Etat Membre qui l'a approuvé, si celui-ci fait savoir au directeur du Bureau concerné qu'il l'a autorisé à cet effet</w:t>
      </w:r>
      <w:r w:rsidR="00D91038" w:rsidRPr="00874016">
        <w:rPr>
          <w:szCs w:val="24"/>
          <w:lang w:val="fr-CH"/>
        </w:rPr>
        <w:t>"</w:t>
      </w:r>
      <w:r w:rsidRPr="00874016">
        <w:rPr>
          <w:szCs w:val="24"/>
          <w:lang w:val="fr-CH"/>
        </w:rPr>
        <w:t>.</w:t>
      </w:r>
    </w:p>
    <w:p w:rsidR="008963F2" w:rsidRPr="008963F2" w:rsidRDefault="00896897" w:rsidP="00A774F9">
      <w:pPr>
        <w:snapToGrid w:val="0"/>
        <w:spacing w:after="120"/>
        <w:rPr>
          <w:szCs w:val="24"/>
          <w:lang w:val="fr-CH"/>
        </w:rPr>
      </w:pPr>
      <w:r w:rsidRPr="008963F2">
        <w:rPr>
          <w:szCs w:val="24"/>
          <w:lang w:val="fr-CH"/>
        </w:rPr>
        <w:t>2.7</w:t>
      </w:r>
      <w:r w:rsidRPr="008963F2">
        <w:rPr>
          <w:szCs w:val="24"/>
          <w:lang w:val="fr-CH"/>
        </w:rPr>
        <w:tab/>
      </w:r>
      <w:r w:rsidR="008963F2" w:rsidRPr="008963F2">
        <w:rPr>
          <w:szCs w:val="24"/>
          <w:lang w:val="fr-CH"/>
        </w:rPr>
        <w:t xml:space="preserve">Les Membres de Secteur peuvent participer </w:t>
      </w:r>
      <w:r w:rsidR="00E30B0F">
        <w:rPr>
          <w:szCs w:val="24"/>
          <w:lang w:val="fr-CH"/>
        </w:rPr>
        <w:t>au</w:t>
      </w:r>
      <w:r w:rsidR="00F14361">
        <w:rPr>
          <w:szCs w:val="24"/>
          <w:lang w:val="fr-CH"/>
        </w:rPr>
        <w:t>x travaux du</w:t>
      </w:r>
      <w:r w:rsidR="008963F2" w:rsidRPr="008963F2">
        <w:rPr>
          <w:szCs w:val="24"/>
          <w:lang w:val="fr-CH"/>
        </w:rPr>
        <w:t xml:space="preserve"> </w:t>
      </w:r>
      <w:r w:rsidR="008963F2">
        <w:rPr>
          <w:szCs w:val="24"/>
          <w:lang w:val="fr-CH"/>
        </w:rPr>
        <w:t>G</w:t>
      </w:r>
      <w:r w:rsidR="008963F2" w:rsidRPr="008963F2">
        <w:rPr>
          <w:szCs w:val="24"/>
          <w:lang w:val="fr-CH"/>
        </w:rPr>
        <w:t>roupe consultatif</w:t>
      </w:r>
      <w:r w:rsidR="008963F2">
        <w:rPr>
          <w:szCs w:val="24"/>
          <w:lang w:val="fr-CH"/>
        </w:rPr>
        <w:t xml:space="preserve"> du Secteur dont ils relèvent, </w:t>
      </w:r>
      <w:r w:rsidR="00E30B0F">
        <w:rPr>
          <w:szCs w:val="24"/>
          <w:lang w:val="fr-CH"/>
        </w:rPr>
        <w:t>au sein duquel</w:t>
      </w:r>
      <w:r w:rsidR="008963F2">
        <w:rPr>
          <w:szCs w:val="24"/>
          <w:lang w:val="fr-CH"/>
        </w:rPr>
        <w:t xml:space="preserve"> ils disposent de droits de participation complets, à l</w:t>
      </w:r>
      <w:r w:rsidR="00865BC1">
        <w:rPr>
          <w:szCs w:val="24"/>
          <w:lang w:val="fr-CH"/>
        </w:rPr>
        <w:t>'</w:t>
      </w:r>
      <w:r w:rsidR="008963F2">
        <w:rPr>
          <w:szCs w:val="24"/>
          <w:lang w:val="fr-CH"/>
        </w:rPr>
        <w:t xml:space="preserve">exception du droit de vote et de </w:t>
      </w:r>
      <w:r w:rsidR="0000224C">
        <w:rPr>
          <w:szCs w:val="24"/>
          <w:lang w:val="fr-CH"/>
        </w:rPr>
        <w:t xml:space="preserve">certains </w:t>
      </w:r>
      <w:r w:rsidR="008963F2">
        <w:rPr>
          <w:szCs w:val="24"/>
          <w:lang w:val="fr-CH"/>
        </w:rPr>
        <w:t xml:space="preserve">droits </w:t>
      </w:r>
      <w:r w:rsidR="000319C6">
        <w:rPr>
          <w:szCs w:val="24"/>
          <w:lang w:val="fr-CH"/>
        </w:rPr>
        <w:t xml:space="preserve">procéduraux qui </w:t>
      </w:r>
      <w:r w:rsidR="0000224C">
        <w:rPr>
          <w:szCs w:val="24"/>
          <w:lang w:val="fr-CH"/>
        </w:rPr>
        <w:t>lui sont associés</w:t>
      </w:r>
      <w:r w:rsidR="008963F2">
        <w:rPr>
          <w:szCs w:val="24"/>
          <w:lang w:val="fr-CH"/>
        </w:rPr>
        <w:t xml:space="preserve">, </w:t>
      </w:r>
      <w:r w:rsidR="00A24E6D">
        <w:rPr>
          <w:szCs w:val="24"/>
          <w:lang w:val="fr-CH"/>
        </w:rPr>
        <w:t>tels que</w:t>
      </w:r>
      <w:r w:rsidR="008963F2">
        <w:rPr>
          <w:szCs w:val="24"/>
          <w:lang w:val="fr-CH"/>
        </w:rPr>
        <w:t xml:space="preserve"> </w:t>
      </w:r>
      <w:r w:rsidR="00E30B0F">
        <w:rPr>
          <w:szCs w:val="24"/>
          <w:lang w:val="fr-CH"/>
        </w:rPr>
        <w:t>le droit d</w:t>
      </w:r>
      <w:r w:rsidR="00A774F9">
        <w:rPr>
          <w:szCs w:val="24"/>
          <w:lang w:val="fr-CH"/>
        </w:rPr>
        <w:t>e soulever une</w:t>
      </w:r>
      <w:r w:rsidR="00E1309E">
        <w:rPr>
          <w:szCs w:val="24"/>
          <w:lang w:val="fr-CH"/>
        </w:rPr>
        <w:t xml:space="preserve"> motion</w:t>
      </w:r>
      <w:r w:rsidR="00E30B0F">
        <w:rPr>
          <w:szCs w:val="24"/>
          <w:lang w:val="fr-CH"/>
        </w:rPr>
        <w:t xml:space="preserve"> </w:t>
      </w:r>
      <w:r w:rsidR="00A774F9">
        <w:rPr>
          <w:szCs w:val="24"/>
          <w:lang w:val="fr-CH"/>
        </w:rPr>
        <w:t>ou un point d'ordre</w:t>
      </w:r>
      <w:r w:rsidR="00E1309E">
        <w:rPr>
          <w:szCs w:val="24"/>
          <w:lang w:val="fr-CH"/>
        </w:rPr>
        <w:t>. Ils peuvent soumettre des contributions écrites et orales et fournir des présidents et des vice</w:t>
      </w:r>
      <w:r w:rsidR="00E1309E">
        <w:rPr>
          <w:szCs w:val="24"/>
          <w:lang w:val="fr-CH"/>
        </w:rPr>
        <w:noBreakHyphen/>
        <w:t xml:space="preserve">présidents (numéro 28B de la Constitution), y compris pour </w:t>
      </w:r>
      <w:r w:rsidR="00332776">
        <w:rPr>
          <w:szCs w:val="24"/>
          <w:lang w:val="fr-CH"/>
        </w:rPr>
        <w:t xml:space="preserve">tous </w:t>
      </w:r>
      <w:r w:rsidR="00E1309E">
        <w:rPr>
          <w:szCs w:val="24"/>
          <w:lang w:val="fr-CH"/>
        </w:rPr>
        <w:t xml:space="preserve">les groupes de travail </w:t>
      </w:r>
      <w:r w:rsidR="0086305F">
        <w:rPr>
          <w:szCs w:val="24"/>
          <w:lang w:val="fr-CH"/>
        </w:rPr>
        <w:t>associés</w:t>
      </w:r>
      <w:r w:rsidR="00E30B0F">
        <w:rPr>
          <w:szCs w:val="24"/>
          <w:lang w:val="fr-CH"/>
        </w:rPr>
        <w:t>.</w:t>
      </w:r>
    </w:p>
    <w:p w:rsidR="00BB6F10" w:rsidRPr="00BB6F10" w:rsidRDefault="00896897" w:rsidP="00A774F9">
      <w:pPr>
        <w:snapToGrid w:val="0"/>
        <w:spacing w:after="120"/>
        <w:rPr>
          <w:szCs w:val="24"/>
          <w:lang w:val="fr-CH"/>
        </w:rPr>
      </w:pPr>
      <w:r w:rsidRPr="000319C6">
        <w:rPr>
          <w:szCs w:val="24"/>
          <w:lang w:val="fr-CH"/>
        </w:rPr>
        <w:t>2.8</w:t>
      </w:r>
      <w:r w:rsidRPr="000319C6">
        <w:rPr>
          <w:szCs w:val="24"/>
          <w:lang w:val="fr-CH"/>
        </w:rPr>
        <w:tab/>
      </w:r>
      <w:r w:rsidR="000319C6" w:rsidRPr="000319C6">
        <w:rPr>
          <w:szCs w:val="24"/>
          <w:lang w:val="fr-CH"/>
        </w:rPr>
        <w:t>Jusqu</w:t>
      </w:r>
      <w:r w:rsidR="00865BC1">
        <w:rPr>
          <w:szCs w:val="24"/>
          <w:lang w:val="fr-CH"/>
        </w:rPr>
        <w:t>'</w:t>
      </w:r>
      <w:r w:rsidR="000319C6" w:rsidRPr="000319C6">
        <w:rPr>
          <w:szCs w:val="24"/>
          <w:lang w:val="fr-CH"/>
        </w:rPr>
        <w:t>à trois Membres de Secteur peuvent participer au Conseil en qualité d</w:t>
      </w:r>
      <w:r w:rsidR="00865BC1">
        <w:rPr>
          <w:szCs w:val="24"/>
          <w:lang w:val="fr-CH"/>
        </w:rPr>
        <w:t>'</w:t>
      </w:r>
      <w:r w:rsidR="000319C6" w:rsidRPr="000319C6">
        <w:rPr>
          <w:szCs w:val="24"/>
          <w:lang w:val="fr-CH"/>
        </w:rPr>
        <w:t>observateurs, ce qui leur donne le droit d</w:t>
      </w:r>
      <w:r w:rsidR="00865BC1">
        <w:rPr>
          <w:szCs w:val="24"/>
          <w:lang w:val="fr-CH"/>
        </w:rPr>
        <w:t>'</w:t>
      </w:r>
      <w:r w:rsidR="000319C6" w:rsidRPr="000319C6">
        <w:rPr>
          <w:szCs w:val="24"/>
          <w:lang w:val="fr-CH"/>
        </w:rPr>
        <w:t xml:space="preserve">assister aux </w:t>
      </w:r>
      <w:r w:rsidR="000319C6">
        <w:rPr>
          <w:szCs w:val="24"/>
          <w:lang w:val="fr-CH"/>
        </w:rPr>
        <w:t>sessions du Conseil,</w:t>
      </w:r>
      <w:r w:rsidR="000319C6" w:rsidRPr="000319C6">
        <w:rPr>
          <w:szCs w:val="24"/>
          <w:lang w:val="fr-CH"/>
        </w:rPr>
        <w:t xml:space="preserve"> mais non </w:t>
      </w:r>
      <w:r w:rsidR="000319C6">
        <w:rPr>
          <w:szCs w:val="24"/>
          <w:lang w:val="fr-CH"/>
        </w:rPr>
        <w:t xml:space="preserve">celui </w:t>
      </w:r>
      <w:r w:rsidR="000319C6" w:rsidRPr="000319C6">
        <w:rPr>
          <w:szCs w:val="24"/>
          <w:lang w:val="fr-CH"/>
        </w:rPr>
        <w:t xml:space="preserve">de voter </w:t>
      </w:r>
      <w:r w:rsidR="000319C6">
        <w:rPr>
          <w:szCs w:val="24"/>
          <w:lang w:val="fr-CH"/>
        </w:rPr>
        <w:t xml:space="preserve">ou de soumettre des contributions écrites ou orales </w:t>
      </w:r>
      <w:r w:rsidRPr="000319C6">
        <w:rPr>
          <w:szCs w:val="24"/>
          <w:lang w:val="fr-CH"/>
        </w:rPr>
        <w:t>(</w:t>
      </w:r>
      <w:r w:rsidR="00BB6F10" w:rsidRPr="000319C6">
        <w:rPr>
          <w:szCs w:val="24"/>
          <w:lang w:val="fr-CH"/>
        </w:rPr>
        <w:t>numéro</w:t>
      </w:r>
      <w:r w:rsidRPr="000319C6">
        <w:rPr>
          <w:szCs w:val="24"/>
          <w:lang w:val="fr-CH"/>
        </w:rPr>
        <w:t xml:space="preserve"> 60B </w:t>
      </w:r>
      <w:r w:rsidR="00BB6F10" w:rsidRPr="000319C6">
        <w:rPr>
          <w:szCs w:val="24"/>
          <w:lang w:val="fr-CH"/>
        </w:rPr>
        <w:t xml:space="preserve">de la </w:t>
      </w:r>
      <w:r w:rsidRPr="000319C6">
        <w:rPr>
          <w:szCs w:val="24"/>
          <w:lang w:val="fr-CH"/>
        </w:rPr>
        <w:t xml:space="preserve">Convention, </w:t>
      </w:r>
      <w:r w:rsidR="00A774F9">
        <w:rPr>
          <w:szCs w:val="24"/>
          <w:lang w:val="fr-CH"/>
        </w:rPr>
        <w:t>disposition</w:t>
      </w:r>
      <w:r w:rsidR="00A774F9" w:rsidRPr="000319C6">
        <w:rPr>
          <w:szCs w:val="24"/>
          <w:lang w:val="fr-CH"/>
        </w:rPr>
        <w:t xml:space="preserve"> </w:t>
      </w:r>
      <w:r w:rsidRPr="000319C6">
        <w:rPr>
          <w:szCs w:val="24"/>
          <w:lang w:val="fr-CH"/>
        </w:rPr>
        <w:t xml:space="preserve">7.4 </w:t>
      </w:r>
      <w:r w:rsidR="00BB6F10" w:rsidRPr="000319C6">
        <w:rPr>
          <w:szCs w:val="24"/>
          <w:lang w:val="fr-CH"/>
        </w:rPr>
        <w:t xml:space="preserve">du </w:t>
      </w:r>
      <w:r w:rsidR="00A774F9">
        <w:rPr>
          <w:szCs w:val="24"/>
          <w:lang w:val="fr-CH"/>
        </w:rPr>
        <w:t xml:space="preserve">Règlement intérieur du </w:t>
      </w:r>
      <w:r w:rsidRPr="000319C6">
        <w:rPr>
          <w:szCs w:val="24"/>
          <w:lang w:val="fr-CH"/>
        </w:rPr>
        <w:t>Con</w:t>
      </w:r>
      <w:r w:rsidR="00BB6F10" w:rsidRPr="000319C6">
        <w:rPr>
          <w:szCs w:val="24"/>
          <w:lang w:val="fr-CH"/>
        </w:rPr>
        <w:t>se</w:t>
      </w:r>
      <w:r w:rsidRPr="000319C6">
        <w:rPr>
          <w:szCs w:val="24"/>
          <w:lang w:val="fr-CH"/>
        </w:rPr>
        <w:t xml:space="preserve">il </w:t>
      </w:r>
      <w:r w:rsidR="00BB6F10" w:rsidRPr="000319C6">
        <w:rPr>
          <w:szCs w:val="24"/>
          <w:lang w:val="fr-CH"/>
        </w:rPr>
        <w:t xml:space="preserve">et </w:t>
      </w:r>
      <w:r w:rsidRPr="000319C6">
        <w:rPr>
          <w:szCs w:val="24"/>
          <w:lang w:val="fr-CH"/>
        </w:rPr>
        <w:t>D</w:t>
      </w:r>
      <w:r w:rsidR="00BB6F10" w:rsidRPr="000319C6">
        <w:rPr>
          <w:szCs w:val="24"/>
          <w:lang w:val="fr-CH"/>
        </w:rPr>
        <w:t>é</w:t>
      </w:r>
      <w:r w:rsidRPr="000319C6">
        <w:rPr>
          <w:szCs w:val="24"/>
          <w:lang w:val="fr-CH"/>
        </w:rPr>
        <w:t xml:space="preserve">cision 519 </w:t>
      </w:r>
      <w:r w:rsidR="00BB6F10" w:rsidRPr="000319C6">
        <w:rPr>
          <w:szCs w:val="24"/>
          <w:lang w:val="fr-CH"/>
        </w:rPr>
        <w:t>du Conseil</w:t>
      </w:r>
      <w:r w:rsidRPr="000319C6">
        <w:rPr>
          <w:szCs w:val="24"/>
          <w:lang w:val="fr-CH"/>
        </w:rPr>
        <w:t xml:space="preserve">). </w:t>
      </w:r>
      <w:r w:rsidR="00E20ED0">
        <w:rPr>
          <w:szCs w:val="24"/>
          <w:lang w:val="fr-CH"/>
        </w:rPr>
        <w:t>A s</w:t>
      </w:r>
      <w:r w:rsidR="00BB6F10" w:rsidRPr="000C77CA">
        <w:rPr>
          <w:szCs w:val="24"/>
          <w:lang w:val="fr-CH"/>
        </w:rPr>
        <w:t xml:space="preserve">a session de </w:t>
      </w:r>
      <w:r w:rsidRPr="000C77CA">
        <w:rPr>
          <w:szCs w:val="24"/>
          <w:lang w:val="fr-CH"/>
        </w:rPr>
        <w:t>2012</w:t>
      </w:r>
      <w:r w:rsidR="00E20ED0">
        <w:rPr>
          <w:szCs w:val="24"/>
          <w:lang w:val="fr-CH"/>
        </w:rPr>
        <w:t>,</w:t>
      </w:r>
      <w:r w:rsidR="00E20ED0" w:rsidRPr="00E20ED0">
        <w:rPr>
          <w:szCs w:val="24"/>
          <w:lang w:val="fr-CH"/>
        </w:rPr>
        <w:t xml:space="preserve"> </w:t>
      </w:r>
      <w:r w:rsidR="00E20ED0">
        <w:rPr>
          <w:szCs w:val="24"/>
          <w:lang w:val="fr-CH"/>
        </w:rPr>
        <w:t xml:space="preserve">le </w:t>
      </w:r>
      <w:r w:rsidR="00E20ED0" w:rsidRPr="000C77CA">
        <w:rPr>
          <w:szCs w:val="24"/>
          <w:lang w:val="fr-CH"/>
        </w:rPr>
        <w:t>Conseil</w:t>
      </w:r>
      <w:r w:rsidRPr="000C77CA">
        <w:rPr>
          <w:szCs w:val="24"/>
          <w:lang w:val="fr-CH"/>
        </w:rPr>
        <w:t xml:space="preserve"> </w:t>
      </w:r>
      <w:r w:rsidR="000319C6">
        <w:rPr>
          <w:szCs w:val="24"/>
          <w:lang w:val="fr-CH"/>
        </w:rPr>
        <w:t xml:space="preserve">a </w:t>
      </w:r>
      <w:r w:rsidR="000319C6" w:rsidRPr="000C77CA">
        <w:rPr>
          <w:szCs w:val="24"/>
          <w:lang w:val="fr-CH"/>
        </w:rPr>
        <w:t>décid</w:t>
      </w:r>
      <w:r w:rsidR="000319C6">
        <w:rPr>
          <w:szCs w:val="24"/>
          <w:lang w:val="fr-CH"/>
        </w:rPr>
        <w:t>é (Décision 519 MOD)</w:t>
      </w:r>
      <w:r w:rsidRPr="000C77CA">
        <w:rPr>
          <w:szCs w:val="24"/>
          <w:lang w:val="fr-CH"/>
        </w:rPr>
        <w:t xml:space="preserve"> </w:t>
      </w:r>
      <w:r w:rsidR="00BB6F10">
        <w:t>d'autoriser la participation des six principales organisations régionales de télécommunication aux sessions du Conseil en qualité de Membres de Secteur ayant le statut d</w:t>
      </w:r>
      <w:r w:rsidR="00865BC1">
        <w:t>'</w:t>
      </w:r>
      <w:r w:rsidR="00BB6F10">
        <w:t>observateur, à l'invitation du Secrétaire général de l'UIT, en plus du quota défini.</w:t>
      </w:r>
    </w:p>
    <w:p w:rsidR="00896897" w:rsidRPr="00974946" w:rsidRDefault="000C77CA" w:rsidP="007D1428">
      <w:pPr>
        <w:pStyle w:val="Headingi"/>
        <w:rPr>
          <w:lang w:val="fr-CH"/>
        </w:rPr>
      </w:pPr>
      <w:r w:rsidRPr="00974946">
        <w:rPr>
          <w:lang w:val="fr-CH"/>
        </w:rPr>
        <w:t>Associés</w:t>
      </w:r>
    </w:p>
    <w:p w:rsidR="00F14361" w:rsidRDefault="00896897" w:rsidP="0061133B">
      <w:pPr>
        <w:spacing w:after="120"/>
        <w:rPr>
          <w:szCs w:val="24"/>
          <w:lang w:val="fr-CH"/>
        </w:rPr>
      </w:pPr>
      <w:r w:rsidRPr="00974946">
        <w:rPr>
          <w:szCs w:val="24"/>
          <w:lang w:val="fr-CH"/>
        </w:rPr>
        <w:t>2.9</w:t>
      </w:r>
      <w:r w:rsidRPr="00974946">
        <w:rPr>
          <w:szCs w:val="24"/>
          <w:lang w:val="fr-CH"/>
        </w:rPr>
        <w:tab/>
      </w:r>
      <w:r w:rsidR="000319C6">
        <w:rPr>
          <w:szCs w:val="24"/>
          <w:lang w:val="fr-CH"/>
        </w:rPr>
        <w:t xml:space="preserve">La catégorie des Associés est </w:t>
      </w:r>
      <w:r w:rsidR="00383EDD">
        <w:rPr>
          <w:szCs w:val="24"/>
          <w:lang w:val="fr-CH"/>
        </w:rPr>
        <w:t xml:space="preserve">établie </w:t>
      </w:r>
      <w:r w:rsidR="000319C6">
        <w:rPr>
          <w:szCs w:val="24"/>
          <w:lang w:val="fr-CH"/>
        </w:rPr>
        <w:t>dans l</w:t>
      </w:r>
      <w:r w:rsidR="00865BC1">
        <w:rPr>
          <w:szCs w:val="24"/>
          <w:lang w:val="fr-CH"/>
        </w:rPr>
        <w:t>'</w:t>
      </w:r>
      <w:r w:rsidR="000319C6">
        <w:rPr>
          <w:szCs w:val="24"/>
          <w:lang w:val="fr-CH"/>
        </w:rPr>
        <w:t xml:space="preserve">article 19 de la Convention (numéro 241A), </w:t>
      </w:r>
      <w:r w:rsidR="00F14361">
        <w:rPr>
          <w:szCs w:val="24"/>
          <w:lang w:val="fr-CH"/>
        </w:rPr>
        <w:t>qui prévoit la possibilité pour une entité ou une organisation de participer aux travaux d</w:t>
      </w:r>
      <w:r w:rsidR="00865BC1">
        <w:rPr>
          <w:szCs w:val="24"/>
          <w:lang w:val="fr-CH"/>
        </w:rPr>
        <w:t>'</w:t>
      </w:r>
      <w:r w:rsidR="00F14361">
        <w:rPr>
          <w:szCs w:val="24"/>
          <w:lang w:val="fr-CH"/>
        </w:rPr>
        <w:t>une seule commission d</w:t>
      </w:r>
      <w:r w:rsidR="00865BC1">
        <w:rPr>
          <w:szCs w:val="24"/>
          <w:lang w:val="fr-CH"/>
        </w:rPr>
        <w:t>'</w:t>
      </w:r>
      <w:r w:rsidR="00F14361">
        <w:rPr>
          <w:szCs w:val="24"/>
          <w:lang w:val="fr-CH"/>
        </w:rPr>
        <w:t>études d</w:t>
      </w:r>
      <w:r w:rsidR="00865BC1">
        <w:rPr>
          <w:szCs w:val="24"/>
          <w:lang w:val="fr-CH"/>
        </w:rPr>
        <w:t>'</w:t>
      </w:r>
      <w:r w:rsidR="00F14361">
        <w:rPr>
          <w:szCs w:val="24"/>
          <w:lang w:val="fr-CH"/>
        </w:rPr>
        <w:t xml:space="preserve">un Secteur donné, </w:t>
      </w:r>
      <w:r w:rsidR="00D91038" w:rsidRPr="00974946">
        <w:rPr>
          <w:szCs w:val="24"/>
          <w:lang w:val="fr-CH"/>
        </w:rPr>
        <w:t>"</w:t>
      </w:r>
      <w:r w:rsidR="000E0711" w:rsidRPr="00974946">
        <w:rPr>
          <w:lang w:val="fr-CH"/>
        </w:rPr>
        <w:t>en tenant compte de la taille de l'entité ou organisation et de tout autre critère pertinent".</w:t>
      </w:r>
      <w:r w:rsidR="000E0711" w:rsidRPr="00974946">
        <w:rPr>
          <w:szCs w:val="24"/>
          <w:lang w:val="fr-CH"/>
        </w:rPr>
        <w:t xml:space="preserve"> </w:t>
      </w:r>
      <w:r w:rsidR="000E0711" w:rsidRPr="002D4CE3">
        <w:rPr>
          <w:szCs w:val="24"/>
          <w:lang w:val="fr-CH"/>
        </w:rPr>
        <w:t>Le numéro </w:t>
      </w:r>
      <w:r w:rsidRPr="002D4CE3">
        <w:rPr>
          <w:szCs w:val="24"/>
          <w:lang w:val="fr-CH"/>
        </w:rPr>
        <w:t>248B (Article 20</w:t>
      </w:r>
      <w:r w:rsidR="00F14361">
        <w:rPr>
          <w:szCs w:val="24"/>
          <w:lang w:val="fr-CH"/>
        </w:rPr>
        <w:t>)</w:t>
      </w:r>
      <w:r w:rsidRPr="002D4CE3">
        <w:rPr>
          <w:szCs w:val="24"/>
          <w:lang w:val="fr-CH"/>
        </w:rPr>
        <w:t xml:space="preserve"> </w:t>
      </w:r>
      <w:r w:rsidR="00F14361">
        <w:rPr>
          <w:szCs w:val="24"/>
          <w:lang w:val="fr-CH"/>
        </w:rPr>
        <w:t>de la Convention</w:t>
      </w:r>
      <w:r w:rsidRPr="002D4CE3">
        <w:rPr>
          <w:szCs w:val="24"/>
          <w:lang w:val="fr-CH"/>
        </w:rPr>
        <w:t xml:space="preserve"> </w:t>
      </w:r>
      <w:r w:rsidR="00F14361">
        <w:rPr>
          <w:szCs w:val="24"/>
          <w:lang w:val="fr-CH"/>
        </w:rPr>
        <w:t>dispose en outre</w:t>
      </w:r>
      <w:r w:rsidRPr="002D4CE3">
        <w:rPr>
          <w:szCs w:val="24"/>
          <w:lang w:val="fr-CH"/>
        </w:rPr>
        <w:t xml:space="preserve"> </w:t>
      </w:r>
      <w:r w:rsidR="002D4CE3">
        <w:rPr>
          <w:szCs w:val="24"/>
          <w:lang w:val="fr-CH"/>
        </w:rPr>
        <w:t xml:space="preserve">"qu'un Associé ... </w:t>
      </w:r>
      <w:r w:rsidR="002D4CE3">
        <w:t>est autorisé à participer aux travaux d'une commission d'études donnée sans prendre part au processus de décision ou aux activités de liaison de cette commission d'études</w:t>
      </w:r>
      <w:r w:rsidR="00D91038" w:rsidRPr="002D4CE3">
        <w:rPr>
          <w:szCs w:val="24"/>
          <w:lang w:val="fr-CH"/>
        </w:rPr>
        <w:t>"</w:t>
      </w:r>
      <w:r w:rsidRPr="002D4CE3">
        <w:rPr>
          <w:szCs w:val="24"/>
          <w:lang w:val="fr-CH"/>
        </w:rPr>
        <w:t xml:space="preserve">. </w:t>
      </w:r>
      <w:r w:rsidR="00A774F9">
        <w:rPr>
          <w:szCs w:val="24"/>
          <w:lang w:val="fr-CH"/>
        </w:rPr>
        <w:t>U</w:t>
      </w:r>
      <w:r w:rsidR="0061133B">
        <w:rPr>
          <w:szCs w:val="24"/>
          <w:lang w:val="fr-CH"/>
        </w:rPr>
        <w:t>n</w:t>
      </w:r>
      <w:r w:rsidR="00F62F30">
        <w:rPr>
          <w:szCs w:val="24"/>
          <w:lang w:val="fr-CH"/>
        </w:rPr>
        <w:t xml:space="preserve"> </w:t>
      </w:r>
      <w:r w:rsidR="00F14361">
        <w:rPr>
          <w:szCs w:val="24"/>
          <w:lang w:val="fr-CH"/>
        </w:rPr>
        <w:t xml:space="preserve">Associé peut </w:t>
      </w:r>
      <w:r w:rsidR="00A774F9">
        <w:rPr>
          <w:szCs w:val="24"/>
          <w:lang w:val="fr-CH"/>
        </w:rPr>
        <w:t xml:space="preserve">faire office </w:t>
      </w:r>
      <w:r w:rsidR="00F14361">
        <w:rPr>
          <w:szCs w:val="24"/>
          <w:lang w:val="fr-CH"/>
        </w:rPr>
        <w:t xml:space="preserve">de </w:t>
      </w:r>
      <w:r w:rsidR="004F6199">
        <w:rPr>
          <w:szCs w:val="24"/>
          <w:lang w:val="fr-CH"/>
        </w:rPr>
        <w:t>r</w:t>
      </w:r>
      <w:r w:rsidR="00F14361">
        <w:rPr>
          <w:szCs w:val="24"/>
          <w:lang w:val="fr-CH"/>
        </w:rPr>
        <w:t xml:space="preserve">apporteur </w:t>
      </w:r>
      <w:r w:rsidR="00610A22">
        <w:rPr>
          <w:szCs w:val="24"/>
          <w:lang w:val="fr-CH"/>
        </w:rPr>
        <w:t>pour les commissions d</w:t>
      </w:r>
      <w:r w:rsidR="00865BC1">
        <w:rPr>
          <w:szCs w:val="24"/>
          <w:lang w:val="fr-CH"/>
        </w:rPr>
        <w:t>'</w:t>
      </w:r>
      <w:r w:rsidR="00610A22">
        <w:rPr>
          <w:szCs w:val="24"/>
          <w:lang w:val="fr-CH"/>
        </w:rPr>
        <w:t>études</w:t>
      </w:r>
      <w:r w:rsidR="00F14361">
        <w:rPr>
          <w:szCs w:val="24"/>
          <w:lang w:val="fr-CH"/>
        </w:rPr>
        <w:t xml:space="preserve"> </w:t>
      </w:r>
      <w:r w:rsidR="00610A22">
        <w:rPr>
          <w:szCs w:val="24"/>
          <w:lang w:val="fr-CH"/>
        </w:rPr>
        <w:t xml:space="preserve">de </w:t>
      </w:r>
      <w:r w:rsidR="00F14361">
        <w:rPr>
          <w:szCs w:val="24"/>
          <w:lang w:val="fr-CH"/>
        </w:rPr>
        <w:t>l'</w:t>
      </w:r>
      <w:r w:rsidR="00F14361" w:rsidRPr="00E20ED0">
        <w:rPr>
          <w:szCs w:val="24"/>
          <w:lang w:val="fr-CH"/>
        </w:rPr>
        <w:t>U</w:t>
      </w:r>
      <w:r w:rsidR="00F14361">
        <w:rPr>
          <w:szCs w:val="24"/>
          <w:lang w:val="fr-CH"/>
        </w:rPr>
        <w:t>IT</w:t>
      </w:r>
      <w:r w:rsidR="00F14361">
        <w:rPr>
          <w:szCs w:val="24"/>
          <w:lang w:val="fr-CH"/>
        </w:rPr>
        <w:noBreakHyphen/>
      </w:r>
      <w:r w:rsidR="00F14361" w:rsidRPr="00E20ED0">
        <w:rPr>
          <w:szCs w:val="24"/>
          <w:lang w:val="fr-CH"/>
        </w:rPr>
        <w:t xml:space="preserve">R </w:t>
      </w:r>
      <w:r w:rsidR="00F14361">
        <w:rPr>
          <w:szCs w:val="24"/>
          <w:lang w:val="fr-CH"/>
        </w:rPr>
        <w:t>et</w:t>
      </w:r>
      <w:r w:rsidR="00F14361" w:rsidRPr="00E20ED0">
        <w:rPr>
          <w:szCs w:val="24"/>
          <w:lang w:val="fr-CH"/>
        </w:rPr>
        <w:t xml:space="preserve"> </w:t>
      </w:r>
      <w:r w:rsidR="00610A22">
        <w:rPr>
          <w:szCs w:val="24"/>
          <w:lang w:val="fr-CH"/>
        </w:rPr>
        <w:t>de</w:t>
      </w:r>
      <w:r w:rsidR="00F62F30">
        <w:rPr>
          <w:szCs w:val="24"/>
          <w:lang w:val="fr-CH"/>
        </w:rPr>
        <w:t xml:space="preserve"> </w:t>
      </w:r>
      <w:r w:rsidR="00F14361">
        <w:rPr>
          <w:szCs w:val="24"/>
          <w:lang w:val="fr-CH"/>
        </w:rPr>
        <w:t>l'</w:t>
      </w:r>
      <w:r w:rsidR="00F14361" w:rsidRPr="00E20ED0">
        <w:rPr>
          <w:szCs w:val="24"/>
          <w:lang w:val="fr-CH"/>
        </w:rPr>
        <w:t>U</w:t>
      </w:r>
      <w:r w:rsidR="00F14361">
        <w:rPr>
          <w:szCs w:val="24"/>
          <w:lang w:val="fr-CH"/>
        </w:rPr>
        <w:t>IT</w:t>
      </w:r>
      <w:r w:rsidR="00F14361" w:rsidRPr="00E20ED0">
        <w:rPr>
          <w:szCs w:val="24"/>
          <w:lang w:val="fr-CH"/>
        </w:rPr>
        <w:t>-T</w:t>
      </w:r>
      <w:r w:rsidRPr="00E20ED0">
        <w:rPr>
          <w:szCs w:val="24"/>
          <w:lang w:val="fr-CH"/>
        </w:rPr>
        <w:t xml:space="preserve"> (</w:t>
      </w:r>
      <w:r w:rsidR="00624A1E" w:rsidRPr="00E20ED0">
        <w:rPr>
          <w:szCs w:val="24"/>
          <w:lang w:val="fr-CH"/>
        </w:rPr>
        <w:t>Résolution</w:t>
      </w:r>
      <w:r w:rsidRPr="00E20ED0">
        <w:rPr>
          <w:szCs w:val="24"/>
          <w:lang w:val="fr-CH"/>
        </w:rPr>
        <w:t xml:space="preserve"> U</w:t>
      </w:r>
      <w:r w:rsidR="00E20ED0" w:rsidRPr="00E20ED0">
        <w:rPr>
          <w:szCs w:val="24"/>
          <w:lang w:val="fr-CH"/>
        </w:rPr>
        <w:t>IT</w:t>
      </w:r>
      <w:r w:rsidR="00F14361">
        <w:rPr>
          <w:szCs w:val="24"/>
          <w:lang w:val="fr-CH"/>
        </w:rPr>
        <w:noBreakHyphen/>
      </w:r>
      <w:r w:rsidRPr="00E20ED0">
        <w:rPr>
          <w:szCs w:val="24"/>
          <w:lang w:val="fr-CH"/>
        </w:rPr>
        <w:t>R</w:t>
      </w:r>
      <w:r w:rsidR="00F14361">
        <w:rPr>
          <w:szCs w:val="24"/>
          <w:lang w:val="fr-CH"/>
        </w:rPr>
        <w:t> </w:t>
      </w:r>
      <w:r w:rsidRPr="00E20ED0">
        <w:rPr>
          <w:szCs w:val="24"/>
          <w:lang w:val="fr-CH"/>
        </w:rPr>
        <w:t xml:space="preserve">43 (Istanbul, 2000), </w:t>
      </w:r>
      <w:r w:rsidR="00624A1E" w:rsidRPr="00E20ED0">
        <w:rPr>
          <w:szCs w:val="24"/>
          <w:lang w:val="fr-CH"/>
        </w:rPr>
        <w:t>Résolution</w:t>
      </w:r>
      <w:r w:rsidRPr="00E20ED0">
        <w:rPr>
          <w:szCs w:val="24"/>
          <w:lang w:val="fr-CH"/>
        </w:rPr>
        <w:t xml:space="preserve"> 31</w:t>
      </w:r>
      <w:r w:rsidR="00E20ED0">
        <w:rPr>
          <w:szCs w:val="24"/>
          <w:lang w:val="fr-CH"/>
        </w:rPr>
        <w:t xml:space="preserve"> </w:t>
      </w:r>
      <w:r w:rsidRPr="00E20ED0">
        <w:rPr>
          <w:szCs w:val="24"/>
          <w:lang w:val="fr-CH"/>
        </w:rPr>
        <w:t>(</w:t>
      </w:r>
      <w:proofErr w:type="spellStart"/>
      <w:r w:rsidRPr="00E20ED0">
        <w:rPr>
          <w:szCs w:val="24"/>
          <w:lang w:val="fr-CH"/>
        </w:rPr>
        <w:t>R</w:t>
      </w:r>
      <w:r w:rsidR="00E20ED0">
        <w:rPr>
          <w:szCs w:val="24"/>
          <w:lang w:val="fr-CH"/>
        </w:rPr>
        <w:t>é</w:t>
      </w:r>
      <w:r w:rsidRPr="00E20ED0">
        <w:rPr>
          <w:szCs w:val="24"/>
          <w:lang w:val="fr-CH"/>
        </w:rPr>
        <w:t>v</w:t>
      </w:r>
      <w:proofErr w:type="spellEnd"/>
      <w:r w:rsidRPr="00E20ED0">
        <w:rPr>
          <w:szCs w:val="24"/>
          <w:lang w:val="fr-CH"/>
        </w:rPr>
        <w:t>.</w:t>
      </w:r>
      <w:r w:rsidR="00E56620">
        <w:rPr>
          <w:szCs w:val="24"/>
          <w:lang w:val="fr-CH"/>
        </w:rPr>
        <w:t> </w:t>
      </w:r>
      <w:r w:rsidRPr="00E20ED0">
        <w:rPr>
          <w:szCs w:val="24"/>
          <w:lang w:val="fr-CH"/>
        </w:rPr>
        <w:t>Duba</w:t>
      </w:r>
      <w:r w:rsidR="00E20ED0">
        <w:rPr>
          <w:szCs w:val="24"/>
          <w:lang w:val="fr-CH"/>
        </w:rPr>
        <w:t>ï</w:t>
      </w:r>
      <w:r w:rsidRPr="00E20ED0">
        <w:rPr>
          <w:szCs w:val="24"/>
          <w:lang w:val="fr-CH"/>
        </w:rPr>
        <w:t>, 2012)</w:t>
      </w:r>
      <w:r w:rsidR="00BD6334" w:rsidRPr="00BD6334">
        <w:rPr>
          <w:szCs w:val="24"/>
          <w:lang w:val="fr-CH"/>
        </w:rPr>
        <w:t xml:space="preserve"> </w:t>
      </w:r>
      <w:r w:rsidR="00F14361">
        <w:rPr>
          <w:szCs w:val="24"/>
          <w:lang w:val="fr-CH"/>
        </w:rPr>
        <w:t>de l</w:t>
      </w:r>
      <w:r w:rsidR="00865BC1">
        <w:rPr>
          <w:szCs w:val="24"/>
          <w:lang w:val="fr-CH"/>
        </w:rPr>
        <w:t>'</w:t>
      </w:r>
      <w:r w:rsidR="00F14361">
        <w:rPr>
          <w:szCs w:val="24"/>
          <w:lang w:val="fr-CH"/>
        </w:rPr>
        <w:t>AMNT</w:t>
      </w:r>
      <w:r w:rsidRPr="00E20ED0">
        <w:rPr>
          <w:szCs w:val="24"/>
          <w:lang w:val="fr-CH"/>
        </w:rPr>
        <w:t xml:space="preserve">) </w:t>
      </w:r>
      <w:r w:rsidR="00A774F9">
        <w:rPr>
          <w:szCs w:val="24"/>
          <w:lang w:val="fr-CH"/>
        </w:rPr>
        <w:t xml:space="preserve">ou </w:t>
      </w:r>
      <w:r w:rsidR="00F14361">
        <w:rPr>
          <w:szCs w:val="24"/>
          <w:lang w:val="fr-CH"/>
        </w:rPr>
        <w:t xml:space="preserve">de </w:t>
      </w:r>
      <w:r w:rsidR="00610A22">
        <w:rPr>
          <w:szCs w:val="24"/>
          <w:lang w:val="fr-CH"/>
        </w:rPr>
        <w:t>v</w:t>
      </w:r>
      <w:r w:rsidRPr="00E20ED0">
        <w:rPr>
          <w:szCs w:val="24"/>
          <w:lang w:val="fr-CH"/>
        </w:rPr>
        <w:t>ice</w:t>
      </w:r>
      <w:r w:rsidR="00BD6334">
        <w:rPr>
          <w:szCs w:val="24"/>
          <w:lang w:val="fr-CH"/>
        </w:rPr>
        <w:noBreakHyphen/>
      </w:r>
      <w:r w:rsidR="00610A22">
        <w:rPr>
          <w:szCs w:val="24"/>
          <w:lang w:val="fr-CH"/>
        </w:rPr>
        <w:t>r</w:t>
      </w:r>
      <w:r w:rsidRPr="00E20ED0">
        <w:rPr>
          <w:szCs w:val="24"/>
          <w:lang w:val="fr-CH"/>
        </w:rPr>
        <w:t xml:space="preserve">apporteur </w:t>
      </w:r>
      <w:r w:rsidR="00610A22">
        <w:rPr>
          <w:szCs w:val="24"/>
          <w:lang w:val="fr-CH"/>
        </w:rPr>
        <w:t>pour</w:t>
      </w:r>
      <w:r w:rsidR="00BD6334">
        <w:rPr>
          <w:szCs w:val="24"/>
          <w:lang w:val="fr-CH"/>
        </w:rPr>
        <w:t xml:space="preserve"> les commissions d'études de l'UIT</w:t>
      </w:r>
      <w:r w:rsidR="00BD6334">
        <w:rPr>
          <w:szCs w:val="24"/>
          <w:lang w:val="fr-CH"/>
        </w:rPr>
        <w:noBreakHyphen/>
      </w:r>
      <w:r w:rsidRPr="00E20ED0">
        <w:rPr>
          <w:szCs w:val="24"/>
          <w:lang w:val="fr-CH"/>
        </w:rPr>
        <w:t>D (</w:t>
      </w:r>
      <w:r w:rsidR="00624A1E" w:rsidRPr="00E20ED0">
        <w:rPr>
          <w:szCs w:val="24"/>
          <w:lang w:val="fr-CH"/>
        </w:rPr>
        <w:t>Résolution</w:t>
      </w:r>
      <w:r w:rsidRPr="00E20ED0">
        <w:rPr>
          <w:szCs w:val="24"/>
          <w:lang w:val="fr-CH"/>
        </w:rPr>
        <w:t xml:space="preserve"> 1 (</w:t>
      </w:r>
      <w:proofErr w:type="spellStart"/>
      <w:r w:rsidR="00BD6334" w:rsidRPr="00E20ED0">
        <w:rPr>
          <w:szCs w:val="24"/>
          <w:lang w:val="fr-CH"/>
        </w:rPr>
        <w:t>R</w:t>
      </w:r>
      <w:r w:rsidR="00BD6334">
        <w:rPr>
          <w:szCs w:val="24"/>
          <w:lang w:val="fr-CH"/>
        </w:rPr>
        <w:t>é</w:t>
      </w:r>
      <w:r w:rsidR="00BD6334" w:rsidRPr="00E20ED0">
        <w:rPr>
          <w:szCs w:val="24"/>
          <w:lang w:val="fr-CH"/>
        </w:rPr>
        <w:t>v</w:t>
      </w:r>
      <w:proofErr w:type="spellEnd"/>
      <w:r w:rsidR="00BD6334" w:rsidRPr="00E20ED0">
        <w:rPr>
          <w:szCs w:val="24"/>
          <w:lang w:val="fr-CH"/>
        </w:rPr>
        <w:t>.</w:t>
      </w:r>
      <w:r w:rsidR="00E56620">
        <w:rPr>
          <w:szCs w:val="24"/>
          <w:lang w:val="fr-CH"/>
        </w:rPr>
        <w:t> </w:t>
      </w:r>
      <w:r w:rsidR="00BD6334" w:rsidRPr="00E20ED0">
        <w:rPr>
          <w:szCs w:val="24"/>
          <w:lang w:val="fr-CH"/>
        </w:rPr>
        <w:t>Duba</w:t>
      </w:r>
      <w:r w:rsidR="00BD6334">
        <w:rPr>
          <w:szCs w:val="24"/>
          <w:lang w:val="fr-CH"/>
        </w:rPr>
        <w:t>ï</w:t>
      </w:r>
      <w:r w:rsidR="00BD6334" w:rsidRPr="00E20ED0">
        <w:rPr>
          <w:szCs w:val="24"/>
          <w:lang w:val="fr-CH"/>
        </w:rPr>
        <w:t xml:space="preserve">, </w:t>
      </w:r>
      <w:r w:rsidRPr="00E20ED0">
        <w:rPr>
          <w:szCs w:val="24"/>
          <w:lang w:val="fr-CH"/>
        </w:rPr>
        <w:t>2014)</w:t>
      </w:r>
      <w:r w:rsidR="0061133B">
        <w:rPr>
          <w:szCs w:val="24"/>
          <w:lang w:val="fr-CH"/>
        </w:rPr>
        <w:t xml:space="preserve"> de la </w:t>
      </w:r>
      <w:r w:rsidR="00BD6334">
        <w:rPr>
          <w:szCs w:val="24"/>
          <w:lang w:val="fr-CH"/>
        </w:rPr>
        <w:t>CMDT</w:t>
      </w:r>
      <w:r w:rsidRPr="00E20ED0">
        <w:rPr>
          <w:szCs w:val="24"/>
          <w:lang w:val="fr-CH"/>
        </w:rPr>
        <w:t xml:space="preserve">). </w:t>
      </w:r>
      <w:r w:rsidR="00F14361">
        <w:rPr>
          <w:szCs w:val="24"/>
          <w:lang w:val="fr-CH"/>
        </w:rPr>
        <w:t xml:space="preserve">Toutefois, les Associés ne sont pas </w:t>
      </w:r>
      <w:r w:rsidR="00C147BE">
        <w:rPr>
          <w:szCs w:val="24"/>
          <w:lang w:val="fr-CH"/>
        </w:rPr>
        <w:t>admis</w:t>
      </w:r>
      <w:r w:rsidR="00F14361">
        <w:rPr>
          <w:szCs w:val="24"/>
          <w:lang w:val="fr-CH"/>
        </w:rPr>
        <w:t xml:space="preserve"> à participer aux travaux du Conseil ou des </w:t>
      </w:r>
      <w:r w:rsidR="00A774F9">
        <w:rPr>
          <w:szCs w:val="24"/>
          <w:lang w:val="fr-CH"/>
        </w:rPr>
        <w:t>G</w:t>
      </w:r>
      <w:r w:rsidR="00F14361">
        <w:rPr>
          <w:szCs w:val="24"/>
          <w:lang w:val="fr-CH"/>
        </w:rPr>
        <w:t>roupes consultatifs des Secteurs, ni aux grandes conférences et assemblées ou aux conférences habilitées à conclure des traités.</w:t>
      </w:r>
    </w:p>
    <w:p w:rsidR="00896897" w:rsidRPr="00F14361" w:rsidRDefault="00B94029" w:rsidP="007D1428">
      <w:pPr>
        <w:pStyle w:val="Headingi"/>
        <w:rPr>
          <w:lang w:val="fr-CH"/>
        </w:rPr>
      </w:pPr>
      <w:r w:rsidRPr="00F14361">
        <w:rPr>
          <w:lang w:val="fr-CH"/>
        </w:rPr>
        <w:t>Etablissements universitair</w:t>
      </w:r>
      <w:r w:rsidR="00F14361" w:rsidRPr="00F14361">
        <w:rPr>
          <w:lang w:val="fr-CH"/>
        </w:rPr>
        <w:t>e</w:t>
      </w:r>
      <w:r w:rsidRPr="00F14361">
        <w:rPr>
          <w:lang w:val="fr-CH"/>
        </w:rPr>
        <w:t>s</w:t>
      </w:r>
    </w:p>
    <w:p w:rsidR="00F65038" w:rsidRDefault="00896897" w:rsidP="00A774F9">
      <w:pPr>
        <w:rPr>
          <w:bCs/>
          <w:szCs w:val="24"/>
          <w:lang w:val="fr-CH"/>
        </w:rPr>
      </w:pPr>
      <w:r w:rsidRPr="0030225F">
        <w:rPr>
          <w:bCs/>
          <w:szCs w:val="24"/>
          <w:lang w:val="fr-CH"/>
        </w:rPr>
        <w:t>2.10</w:t>
      </w:r>
      <w:r w:rsidRPr="0030225F">
        <w:rPr>
          <w:bCs/>
          <w:szCs w:val="24"/>
          <w:lang w:val="fr-CH"/>
        </w:rPr>
        <w:tab/>
      </w:r>
      <w:r w:rsidR="0030225F" w:rsidRPr="0030225F">
        <w:rPr>
          <w:bCs/>
          <w:szCs w:val="24"/>
          <w:lang w:val="fr-CH"/>
        </w:rPr>
        <w:t xml:space="preserve">La catégorie de participation des établissements universitaires a été </w:t>
      </w:r>
      <w:r w:rsidR="00610A22">
        <w:rPr>
          <w:bCs/>
          <w:szCs w:val="24"/>
          <w:lang w:val="fr-CH"/>
        </w:rPr>
        <w:t>établie</w:t>
      </w:r>
      <w:r w:rsidR="0030225F" w:rsidRPr="0030225F">
        <w:rPr>
          <w:bCs/>
          <w:szCs w:val="24"/>
          <w:lang w:val="fr-CH"/>
        </w:rPr>
        <w:t xml:space="preserve"> en vertu de la Résolution 169 (Gu</w:t>
      </w:r>
      <w:r w:rsidR="0030225F">
        <w:rPr>
          <w:bCs/>
          <w:szCs w:val="24"/>
          <w:lang w:val="fr-CH"/>
        </w:rPr>
        <w:t>a</w:t>
      </w:r>
      <w:r w:rsidR="0030225F" w:rsidRPr="0030225F">
        <w:rPr>
          <w:bCs/>
          <w:szCs w:val="24"/>
          <w:lang w:val="fr-CH"/>
        </w:rPr>
        <w:t>dalajara, 2010)</w:t>
      </w:r>
      <w:r w:rsidR="0030225F">
        <w:rPr>
          <w:bCs/>
          <w:szCs w:val="24"/>
          <w:lang w:val="fr-CH"/>
        </w:rPr>
        <w:t xml:space="preserve"> </w:t>
      </w:r>
      <w:r w:rsidR="003856AE">
        <w:rPr>
          <w:bCs/>
          <w:szCs w:val="24"/>
          <w:lang w:val="fr-CH"/>
        </w:rPr>
        <w:t>de la Conférence de plénipotentiaires</w:t>
      </w:r>
      <w:r w:rsidR="00610A22">
        <w:rPr>
          <w:bCs/>
          <w:szCs w:val="24"/>
          <w:lang w:val="fr-CH"/>
        </w:rPr>
        <w:t>, qui a créé cette catégorie "à titre d</w:t>
      </w:r>
      <w:r w:rsidR="00865BC1">
        <w:rPr>
          <w:bCs/>
          <w:szCs w:val="24"/>
          <w:lang w:val="fr-CH"/>
        </w:rPr>
        <w:t>'</w:t>
      </w:r>
      <w:r w:rsidR="00610A22">
        <w:rPr>
          <w:bCs/>
          <w:szCs w:val="24"/>
          <w:lang w:val="fr-CH"/>
        </w:rPr>
        <w:t>essai"</w:t>
      </w:r>
      <w:r w:rsidR="00F65038">
        <w:rPr>
          <w:bCs/>
          <w:szCs w:val="24"/>
          <w:lang w:val="fr-CH"/>
        </w:rPr>
        <w:t>.</w:t>
      </w:r>
      <w:r w:rsidR="003856AE">
        <w:rPr>
          <w:bCs/>
          <w:szCs w:val="24"/>
          <w:lang w:val="fr-CH"/>
        </w:rPr>
        <w:t xml:space="preserve"> La PP</w:t>
      </w:r>
      <w:r w:rsidR="003856AE">
        <w:rPr>
          <w:bCs/>
          <w:szCs w:val="24"/>
          <w:lang w:val="fr-CH"/>
        </w:rPr>
        <w:noBreakHyphen/>
        <w:t xml:space="preserve">10 a chargé le Conseil </w:t>
      </w:r>
      <w:r w:rsidR="00D91038" w:rsidRPr="00240901">
        <w:rPr>
          <w:bCs/>
          <w:szCs w:val="24"/>
          <w:lang w:val="fr-CH"/>
        </w:rPr>
        <w:t>"</w:t>
      </w:r>
      <w:r w:rsidR="00B94029" w:rsidRPr="00240901">
        <w:rPr>
          <w:lang w:val="fr-CH"/>
        </w:rPr>
        <w:t xml:space="preserve">d'ajouter à </w:t>
      </w:r>
      <w:r w:rsidR="003856AE">
        <w:rPr>
          <w:lang w:val="fr-CH"/>
        </w:rPr>
        <w:t>[cette]</w:t>
      </w:r>
      <w:r w:rsidR="00B94029" w:rsidRPr="00240901">
        <w:rPr>
          <w:lang w:val="fr-CH"/>
        </w:rPr>
        <w:t xml:space="preserve"> Résolution les éventuelles conditions supplémentaires ou procédures détaillées qu'il jugera appropriées</w:t>
      </w:r>
      <w:r w:rsidR="00D91038" w:rsidRPr="00240901">
        <w:rPr>
          <w:bCs/>
          <w:szCs w:val="24"/>
          <w:lang w:val="fr-CH"/>
        </w:rPr>
        <w:t>"</w:t>
      </w:r>
      <w:r w:rsidR="00240901" w:rsidRPr="00240901">
        <w:rPr>
          <w:bCs/>
          <w:szCs w:val="24"/>
          <w:lang w:val="fr-CH"/>
        </w:rPr>
        <w:t xml:space="preserve">… et </w:t>
      </w:r>
      <w:r w:rsidR="00D91038" w:rsidRPr="00240901">
        <w:rPr>
          <w:bCs/>
          <w:szCs w:val="24"/>
          <w:lang w:val="fr-CH"/>
        </w:rPr>
        <w:t>"</w:t>
      </w:r>
      <w:r w:rsidR="00BF0A3F">
        <w:t>de </w:t>
      </w:r>
      <w:r w:rsidR="00240901" w:rsidRPr="00ED70F6">
        <w:t xml:space="preserve">soumettre à la prochaine Conférence de plénipotentiaires un rapport </w:t>
      </w:r>
      <w:r w:rsidR="00240901">
        <w:t xml:space="preserve">... </w:t>
      </w:r>
      <w:r w:rsidR="00240901" w:rsidRPr="00ED70F6">
        <w:t>afin que celle-ci puisse prendre une décision finale sur cette participation</w:t>
      </w:r>
      <w:r w:rsidR="00D91038" w:rsidRPr="00240901">
        <w:rPr>
          <w:bCs/>
          <w:szCs w:val="24"/>
          <w:lang w:val="fr-CH"/>
        </w:rPr>
        <w:t>"</w:t>
      </w:r>
      <w:r w:rsidRPr="00240901">
        <w:rPr>
          <w:bCs/>
          <w:szCs w:val="24"/>
          <w:lang w:val="fr-CH"/>
        </w:rPr>
        <w:t xml:space="preserve">. </w:t>
      </w:r>
      <w:r w:rsidR="00E50697">
        <w:rPr>
          <w:bCs/>
          <w:szCs w:val="24"/>
          <w:lang w:val="fr-CH"/>
        </w:rPr>
        <w:t>En vertu de</w:t>
      </w:r>
      <w:r w:rsidR="003856AE">
        <w:rPr>
          <w:bCs/>
          <w:szCs w:val="24"/>
          <w:lang w:val="fr-CH"/>
        </w:rPr>
        <w:t xml:space="preserve"> la Résolution 169 (Guadalajara,</w:t>
      </w:r>
      <w:r w:rsidR="00A774F9">
        <w:rPr>
          <w:bCs/>
          <w:szCs w:val="24"/>
          <w:lang w:val="fr-CH"/>
        </w:rPr>
        <w:t> </w:t>
      </w:r>
      <w:r w:rsidR="003856AE">
        <w:rPr>
          <w:bCs/>
          <w:szCs w:val="24"/>
          <w:lang w:val="fr-CH"/>
        </w:rPr>
        <w:t>2010), "</w:t>
      </w:r>
      <w:r w:rsidR="00E50697">
        <w:rPr>
          <w:bCs/>
          <w:szCs w:val="24"/>
          <w:lang w:val="fr-CH"/>
        </w:rPr>
        <w:t>[l]</w:t>
      </w:r>
      <w:r w:rsidR="00240901" w:rsidRPr="00ED70F6">
        <w:rPr>
          <w:rFonts w:asciiTheme="minorHAnsi" w:hAnsiTheme="minorHAnsi"/>
        </w:rPr>
        <w:t xml:space="preserve">es établissements universitaires </w:t>
      </w:r>
      <w:r w:rsidR="00E50697">
        <w:rPr>
          <w:rFonts w:asciiTheme="minorHAnsi" w:hAnsiTheme="minorHAnsi"/>
        </w:rPr>
        <w:t xml:space="preserve">[ne devraient pas </w:t>
      </w:r>
      <w:r w:rsidR="00240901" w:rsidRPr="00ED70F6">
        <w:rPr>
          <w:rFonts w:asciiTheme="minorHAnsi" w:hAnsiTheme="minorHAnsi"/>
        </w:rPr>
        <w:t>in</w:t>
      </w:r>
      <w:r w:rsidR="00E50697">
        <w:rPr>
          <w:rFonts w:asciiTheme="minorHAnsi" w:hAnsiTheme="minorHAnsi"/>
        </w:rPr>
        <w:t>terv</w:t>
      </w:r>
      <w:r w:rsidR="00240901" w:rsidRPr="00ED70F6">
        <w:rPr>
          <w:rFonts w:asciiTheme="minorHAnsi" w:hAnsiTheme="minorHAnsi"/>
        </w:rPr>
        <w:t>en</w:t>
      </w:r>
      <w:r w:rsidR="00E50697">
        <w:rPr>
          <w:rFonts w:asciiTheme="minorHAnsi" w:hAnsiTheme="minorHAnsi"/>
        </w:rPr>
        <w:t>ir]</w:t>
      </w:r>
      <w:r w:rsidR="00240901" w:rsidRPr="00ED70F6">
        <w:rPr>
          <w:rFonts w:asciiTheme="minorHAnsi" w:hAnsiTheme="minorHAnsi"/>
        </w:rPr>
        <w:t xml:space="preserve"> dans le processus de prise de décisions, notamment</w:t>
      </w:r>
      <w:r w:rsidR="00240901" w:rsidRPr="00ED70F6">
        <w:t xml:space="preserve"> en ce qui concerne l'adoption de résolutions ou de recommandations</w:t>
      </w:r>
      <w:r w:rsidR="00D91038" w:rsidRPr="008A5BF2">
        <w:rPr>
          <w:bCs/>
          <w:szCs w:val="24"/>
          <w:lang w:val="fr-CH"/>
        </w:rPr>
        <w:t>"</w:t>
      </w:r>
      <w:r w:rsidRPr="008A5BF2">
        <w:rPr>
          <w:bCs/>
          <w:szCs w:val="24"/>
          <w:lang w:val="fr-CH"/>
        </w:rPr>
        <w:t xml:space="preserve">. </w:t>
      </w:r>
      <w:r w:rsidR="00F65038">
        <w:rPr>
          <w:bCs/>
          <w:szCs w:val="24"/>
          <w:lang w:val="fr-CH"/>
        </w:rPr>
        <w:t>Cette Résolution a été complétée par l</w:t>
      </w:r>
      <w:r w:rsidR="00865BC1">
        <w:rPr>
          <w:bCs/>
          <w:szCs w:val="24"/>
          <w:lang w:val="fr-CH"/>
        </w:rPr>
        <w:t>'</w:t>
      </w:r>
      <w:r w:rsidR="00F65038">
        <w:rPr>
          <w:bCs/>
          <w:szCs w:val="24"/>
          <w:lang w:val="fr-CH"/>
        </w:rPr>
        <w:t>Assemblée des radiocommunications (Résolution UIT</w:t>
      </w:r>
      <w:r w:rsidR="00F65038">
        <w:rPr>
          <w:bCs/>
          <w:szCs w:val="24"/>
          <w:lang w:val="fr-CH"/>
        </w:rPr>
        <w:noBreakHyphen/>
        <w:t>R 63, 2012), qui a ajouté que les établissements universitaires participant aux travaux de l</w:t>
      </w:r>
      <w:r w:rsidR="00865BC1">
        <w:rPr>
          <w:bCs/>
          <w:szCs w:val="24"/>
          <w:lang w:val="fr-CH"/>
        </w:rPr>
        <w:t>'</w:t>
      </w:r>
      <w:r w:rsidR="00F65038">
        <w:rPr>
          <w:bCs/>
          <w:szCs w:val="24"/>
          <w:lang w:val="fr-CH"/>
        </w:rPr>
        <w:t>UIT</w:t>
      </w:r>
      <w:r w:rsidR="00F65038">
        <w:rPr>
          <w:bCs/>
          <w:szCs w:val="24"/>
          <w:lang w:val="fr-CH"/>
        </w:rPr>
        <w:noBreakHyphen/>
        <w:t>R ont accès à la documentation de l</w:t>
      </w:r>
      <w:r w:rsidR="00865BC1">
        <w:rPr>
          <w:bCs/>
          <w:szCs w:val="24"/>
          <w:lang w:val="fr-CH"/>
        </w:rPr>
        <w:t>'</w:t>
      </w:r>
      <w:r w:rsidR="00F65038">
        <w:rPr>
          <w:bCs/>
          <w:szCs w:val="24"/>
          <w:lang w:val="fr-CH"/>
        </w:rPr>
        <w:t>UIT</w:t>
      </w:r>
      <w:r w:rsidR="00F65038">
        <w:rPr>
          <w:bCs/>
          <w:szCs w:val="24"/>
          <w:lang w:val="fr-CH"/>
        </w:rPr>
        <w:noBreakHyphen/>
        <w:t xml:space="preserve">R, </w:t>
      </w:r>
      <w:r w:rsidR="00F62F30">
        <w:rPr>
          <w:bCs/>
          <w:szCs w:val="24"/>
          <w:lang w:val="fr-CH"/>
        </w:rPr>
        <w:t>qu</w:t>
      </w:r>
      <w:r w:rsidR="00865BC1">
        <w:rPr>
          <w:bCs/>
          <w:szCs w:val="24"/>
          <w:lang w:val="fr-CH"/>
        </w:rPr>
        <w:t>'</w:t>
      </w:r>
      <w:r w:rsidR="00F62F30">
        <w:rPr>
          <w:bCs/>
          <w:szCs w:val="24"/>
          <w:lang w:val="fr-CH"/>
        </w:rPr>
        <w:t>un représentant d</w:t>
      </w:r>
      <w:r w:rsidR="00865BC1">
        <w:rPr>
          <w:bCs/>
          <w:szCs w:val="24"/>
          <w:lang w:val="fr-CH"/>
        </w:rPr>
        <w:t>'</w:t>
      </w:r>
      <w:r w:rsidR="00F62F30">
        <w:rPr>
          <w:bCs/>
          <w:szCs w:val="24"/>
          <w:lang w:val="fr-CH"/>
        </w:rPr>
        <w:t xml:space="preserve">un établissement universitaire </w:t>
      </w:r>
      <w:r w:rsidR="00F65038">
        <w:rPr>
          <w:bCs/>
          <w:szCs w:val="24"/>
          <w:lang w:val="fr-CH"/>
        </w:rPr>
        <w:t xml:space="preserve">peut </w:t>
      </w:r>
      <w:r w:rsidR="00A774F9">
        <w:rPr>
          <w:bCs/>
          <w:szCs w:val="24"/>
          <w:lang w:val="fr-CH"/>
        </w:rPr>
        <w:t>assumer</w:t>
      </w:r>
      <w:r w:rsidR="00F62F30">
        <w:rPr>
          <w:bCs/>
          <w:szCs w:val="24"/>
          <w:lang w:val="fr-CH"/>
        </w:rPr>
        <w:t xml:space="preserve"> les fonctions</w:t>
      </w:r>
      <w:r w:rsidR="00F65038">
        <w:rPr>
          <w:bCs/>
          <w:szCs w:val="24"/>
          <w:lang w:val="fr-CH"/>
        </w:rPr>
        <w:t xml:space="preserve"> de </w:t>
      </w:r>
      <w:r w:rsidR="00A774F9">
        <w:rPr>
          <w:bCs/>
          <w:szCs w:val="24"/>
          <w:lang w:val="fr-CH"/>
        </w:rPr>
        <w:t>R</w:t>
      </w:r>
      <w:r w:rsidR="00F65038">
        <w:rPr>
          <w:bCs/>
          <w:szCs w:val="24"/>
          <w:lang w:val="fr-CH"/>
        </w:rPr>
        <w:t xml:space="preserve">apporteur, et </w:t>
      </w:r>
      <w:r w:rsidR="00F62F30">
        <w:rPr>
          <w:bCs/>
          <w:szCs w:val="24"/>
          <w:lang w:val="fr-CH"/>
        </w:rPr>
        <w:t xml:space="preserve">que ces établissements </w:t>
      </w:r>
      <w:r w:rsidR="00F65038">
        <w:rPr>
          <w:bCs/>
          <w:szCs w:val="24"/>
          <w:lang w:val="fr-CH"/>
        </w:rPr>
        <w:t xml:space="preserve">sont admis à participer aux activités des groupes de travail. </w:t>
      </w:r>
      <w:r w:rsidR="00FC3DCA" w:rsidRPr="00F65038">
        <w:rPr>
          <w:bCs/>
          <w:szCs w:val="24"/>
          <w:lang w:val="fr-CH"/>
        </w:rPr>
        <w:t xml:space="preserve">La </w:t>
      </w:r>
      <w:r w:rsidR="00624A1E" w:rsidRPr="00F65038">
        <w:rPr>
          <w:bCs/>
          <w:szCs w:val="24"/>
          <w:lang w:val="fr-CH"/>
        </w:rPr>
        <w:t>Résolution</w:t>
      </w:r>
      <w:r w:rsidRPr="00F65038">
        <w:rPr>
          <w:bCs/>
          <w:szCs w:val="24"/>
          <w:lang w:val="fr-CH"/>
        </w:rPr>
        <w:t xml:space="preserve"> 71 (</w:t>
      </w:r>
      <w:proofErr w:type="spellStart"/>
      <w:r w:rsidRPr="00F65038">
        <w:rPr>
          <w:bCs/>
          <w:szCs w:val="24"/>
          <w:lang w:val="fr-CH"/>
        </w:rPr>
        <w:t>R</w:t>
      </w:r>
      <w:r w:rsidR="00FC3DCA" w:rsidRPr="00F65038">
        <w:rPr>
          <w:bCs/>
          <w:szCs w:val="24"/>
          <w:lang w:val="fr-CH"/>
        </w:rPr>
        <w:t>év</w:t>
      </w:r>
      <w:proofErr w:type="spellEnd"/>
      <w:r w:rsidR="00FC3DCA" w:rsidRPr="00F65038">
        <w:rPr>
          <w:bCs/>
          <w:szCs w:val="24"/>
          <w:lang w:val="fr-CH"/>
        </w:rPr>
        <w:t>.</w:t>
      </w:r>
      <w:r w:rsidR="00E56620">
        <w:rPr>
          <w:bCs/>
          <w:szCs w:val="24"/>
          <w:lang w:val="fr-CH"/>
        </w:rPr>
        <w:t> </w:t>
      </w:r>
      <w:r w:rsidRPr="00F65038">
        <w:rPr>
          <w:bCs/>
          <w:szCs w:val="24"/>
          <w:lang w:val="fr-CH"/>
        </w:rPr>
        <w:t>Duba</w:t>
      </w:r>
      <w:r w:rsidR="00FC3DCA" w:rsidRPr="00F65038">
        <w:rPr>
          <w:bCs/>
          <w:szCs w:val="24"/>
          <w:lang w:val="fr-CH"/>
        </w:rPr>
        <w:t>ï</w:t>
      </w:r>
      <w:r w:rsidRPr="00F65038">
        <w:rPr>
          <w:bCs/>
          <w:szCs w:val="24"/>
          <w:lang w:val="fr-CH"/>
        </w:rPr>
        <w:t xml:space="preserve">, 2012) </w:t>
      </w:r>
      <w:r w:rsidR="00FC3DCA" w:rsidRPr="00F65038">
        <w:rPr>
          <w:bCs/>
          <w:szCs w:val="24"/>
          <w:lang w:val="fr-CH"/>
        </w:rPr>
        <w:t xml:space="preserve">de </w:t>
      </w:r>
      <w:r w:rsidR="00F65038" w:rsidRPr="00F65038">
        <w:rPr>
          <w:bCs/>
          <w:szCs w:val="24"/>
          <w:lang w:val="fr-CH"/>
        </w:rPr>
        <w:t>l</w:t>
      </w:r>
      <w:r w:rsidR="00865BC1">
        <w:rPr>
          <w:bCs/>
          <w:szCs w:val="24"/>
          <w:lang w:val="fr-CH"/>
        </w:rPr>
        <w:t>'</w:t>
      </w:r>
      <w:r w:rsidR="00F65038" w:rsidRPr="00F65038">
        <w:rPr>
          <w:bCs/>
          <w:szCs w:val="24"/>
          <w:lang w:val="fr-CH"/>
        </w:rPr>
        <w:t>AMNT dispose que les établissements universitaires sont admis à participer</w:t>
      </w:r>
      <w:r w:rsidR="00F65038">
        <w:rPr>
          <w:bCs/>
          <w:szCs w:val="24"/>
          <w:lang w:val="fr-CH"/>
        </w:rPr>
        <w:t xml:space="preserve"> aux travaux des diverses commissions d</w:t>
      </w:r>
      <w:r w:rsidR="00865BC1">
        <w:rPr>
          <w:bCs/>
          <w:szCs w:val="24"/>
          <w:lang w:val="fr-CH"/>
        </w:rPr>
        <w:t>'</w:t>
      </w:r>
      <w:r w:rsidR="00F65038">
        <w:rPr>
          <w:bCs/>
          <w:szCs w:val="24"/>
          <w:lang w:val="fr-CH"/>
        </w:rPr>
        <w:t>études et des divers ateliers et groupes de travail de l</w:t>
      </w:r>
      <w:r w:rsidR="00865BC1">
        <w:rPr>
          <w:bCs/>
          <w:szCs w:val="24"/>
          <w:lang w:val="fr-CH"/>
        </w:rPr>
        <w:t>'</w:t>
      </w:r>
      <w:r w:rsidR="00F65038">
        <w:rPr>
          <w:bCs/>
          <w:szCs w:val="24"/>
          <w:lang w:val="fr-CH"/>
        </w:rPr>
        <w:t>UIT</w:t>
      </w:r>
      <w:r w:rsidR="00F65038">
        <w:rPr>
          <w:bCs/>
          <w:szCs w:val="24"/>
          <w:lang w:val="fr-CH"/>
        </w:rPr>
        <w:noBreakHyphen/>
        <w:t>T, qu</w:t>
      </w:r>
      <w:r w:rsidR="00865BC1">
        <w:rPr>
          <w:bCs/>
          <w:szCs w:val="24"/>
          <w:lang w:val="fr-CH"/>
        </w:rPr>
        <w:t>'</w:t>
      </w:r>
      <w:r w:rsidR="00F65038">
        <w:rPr>
          <w:bCs/>
          <w:szCs w:val="24"/>
          <w:lang w:val="fr-CH"/>
        </w:rPr>
        <w:t>ils ont accès aux documents pertinents</w:t>
      </w:r>
      <w:r w:rsidR="00F62F30">
        <w:rPr>
          <w:bCs/>
          <w:szCs w:val="24"/>
          <w:lang w:val="fr-CH"/>
        </w:rPr>
        <w:t>,</w:t>
      </w:r>
      <w:r w:rsidR="00F65038">
        <w:rPr>
          <w:bCs/>
          <w:szCs w:val="24"/>
          <w:lang w:val="fr-CH"/>
        </w:rPr>
        <w:t xml:space="preserve"> et qu</w:t>
      </w:r>
      <w:r w:rsidR="00865BC1">
        <w:rPr>
          <w:bCs/>
          <w:szCs w:val="24"/>
          <w:lang w:val="fr-CH"/>
        </w:rPr>
        <w:t>'</w:t>
      </w:r>
      <w:r w:rsidR="00F65038">
        <w:rPr>
          <w:bCs/>
          <w:szCs w:val="24"/>
          <w:lang w:val="fr-CH"/>
        </w:rPr>
        <w:t>un représentant d</w:t>
      </w:r>
      <w:r w:rsidR="00865BC1">
        <w:rPr>
          <w:bCs/>
          <w:szCs w:val="24"/>
          <w:lang w:val="fr-CH"/>
        </w:rPr>
        <w:t>'</w:t>
      </w:r>
      <w:r w:rsidR="00F65038">
        <w:rPr>
          <w:bCs/>
          <w:szCs w:val="24"/>
          <w:lang w:val="fr-CH"/>
        </w:rPr>
        <w:t xml:space="preserve">un établissement universitaire peut </w:t>
      </w:r>
      <w:r w:rsidR="00A774F9">
        <w:rPr>
          <w:bCs/>
          <w:szCs w:val="24"/>
          <w:lang w:val="fr-CH"/>
        </w:rPr>
        <w:t>assumer</w:t>
      </w:r>
      <w:r w:rsidR="00F65038">
        <w:rPr>
          <w:bCs/>
          <w:szCs w:val="24"/>
          <w:lang w:val="fr-CH"/>
        </w:rPr>
        <w:t xml:space="preserve"> les fonctions de </w:t>
      </w:r>
      <w:r w:rsidR="00610A22">
        <w:rPr>
          <w:bCs/>
          <w:szCs w:val="24"/>
          <w:lang w:val="fr-CH"/>
        </w:rPr>
        <w:t>r</w:t>
      </w:r>
      <w:r w:rsidR="00F65038">
        <w:rPr>
          <w:bCs/>
          <w:szCs w:val="24"/>
          <w:lang w:val="fr-CH"/>
        </w:rPr>
        <w:t>apporteur.</w:t>
      </w:r>
    </w:p>
    <w:p w:rsidR="00F62F30" w:rsidRPr="00F65038" w:rsidRDefault="00F62F30" w:rsidP="007D1428">
      <w:pPr>
        <w:rPr>
          <w:bCs/>
          <w:szCs w:val="24"/>
          <w:lang w:val="fr-CH"/>
        </w:rPr>
      </w:pPr>
      <w:r>
        <w:rPr>
          <w:bCs/>
          <w:szCs w:val="24"/>
          <w:lang w:val="fr-CH"/>
        </w:rPr>
        <w:t>2.11</w:t>
      </w:r>
      <w:r>
        <w:rPr>
          <w:bCs/>
          <w:szCs w:val="24"/>
          <w:lang w:val="fr-CH"/>
        </w:rPr>
        <w:tab/>
        <w:t>Les établissements universitaires ne sont pas admis à participer au</w:t>
      </w:r>
      <w:r w:rsidR="00E50697">
        <w:rPr>
          <w:bCs/>
          <w:szCs w:val="24"/>
          <w:lang w:val="fr-CH"/>
        </w:rPr>
        <w:t>x sessions du</w:t>
      </w:r>
      <w:r>
        <w:rPr>
          <w:bCs/>
          <w:szCs w:val="24"/>
          <w:lang w:val="fr-CH"/>
        </w:rPr>
        <w:t xml:space="preserve"> Conseil, aux grandes conférences et assemblées, ou aux conférences habilitées à conclure des traités, à l</w:t>
      </w:r>
      <w:r w:rsidR="00865BC1">
        <w:rPr>
          <w:bCs/>
          <w:szCs w:val="24"/>
          <w:lang w:val="fr-CH"/>
        </w:rPr>
        <w:t>'</w:t>
      </w:r>
      <w:r>
        <w:rPr>
          <w:bCs/>
          <w:szCs w:val="24"/>
          <w:lang w:val="fr-CH"/>
        </w:rPr>
        <w:t>exception des établissements universitaires participant aux travaux de l</w:t>
      </w:r>
      <w:r w:rsidR="00865BC1">
        <w:rPr>
          <w:bCs/>
          <w:szCs w:val="24"/>
          <w:lang w:val="fr-CH"/>
        </w:rPr>
        <w:t>'</w:t>
      </w:r>
      <w:r>
        <w:rPr>
          <w:bCs/>
          <w:szCs w:val="24"/>
          <w:lang w:val="fr-CH"/>
        </w:rPr>
        <w:t>UIT</w:t>
      </w:r>
      <w:r>
        <w:rPr>
          <w:bCs/>
          <w:szCs w:val="24"/>
          <w:lang w:val="fr-CH"/>
        </w:rPr>
        <w:noBreakHyphen/>
        <w:t>T, qui peuvent participer à l</w:t>
      </w:r>
      <w:r w:rsidR="00865BC1">
        <w:rPr>
          <w:bCs/>
          <w:szCs w:val="24"/>
          <w:lang w:val="fr-CH"/>
        </w:rPr>
        <w:t>'</w:t>
      </w:r>
      <w:r>
        <w:rPr>
          <w:bCs/>
          <w:szCs w:val="24"/>
          <w:lang w:val="fr-CH"/>
        </w:rPr>
        <w:t>AMNT en qualité d</w:t>
      </w:r>
      <w:r w:rsidR="00865BC1">
        <w:rPr>
          <w:bCs/>
          <w:szCs w:val="24"/>
          <w:lang w:val="fr-CH"/>
        </w:rPr>
        <w:t>'</w:t>
      </w:r>
      <w:r>
        <w:rPr>
          <w:bCs/>
          <w:szCs w:val="24"/>
          <w:lang w:val="fr-CH"/>
        </w:rPr>
        <w:t>observateurs, à titre non consultatif (Résolution 71 (</w:t>
      </w:r>
      <w:proofErr w:type="spellStart"/>
      <w:r>
        <w:rPr>
          <w:bCs/>
          <w:szCs w:val="24"/>
          <w:lang w:val="fr-CH"/>
        </w:rPr>
        <w:t>Rév</w:t>
      </w:r>
      <w:proofErr w:type="spellEnd"/>
      <w:r>
        <w:rPr>
          <w:bCs/>
          <w:szCs w:val="24"/>
          <w:lang w:val="fr-CH"/>
        </w:rPr>
        <w:t>.</w:t>
      </w:r>
      <w:r w:rsidR="00E56620">
        <w:rPr>
          <w:bCs/>
          <w:szCs w:val="24"/>
          <w:lang w:val="fr-CH"/>
        </w:rPr>
        <w:t> </w:t>
      </w:r>
      <w:r>
        <w:rPr>
          <w:bCs/>
          <w:szCs w:val="24"/>
          <w:lang w:val="fr-CH"/>
        </w:rPr>
        <w:t>Dubaï,</w:t>
      </w:r>
      <w:r w:rsidR="00383EDD">
        <w:rPr>
          <w:bCs/>
          <w:szCs w:val="24"/>
          <w:lang w:val="fr-CH"/>
        </w:rPr>
        <w:t> </w:t>
      </w:r>
      <w:r>
        <w:rPr>
          <w:bCs/>
          <w:szCs w:val="24"/>
          <w:lang w:val="fr-CH"/>
        </w:rPr>
        <w:t>2012) de l</w:t>
      </w:r>
      <w:r w:rsidR="00865BC1">
        <w:rPr>
          <w:bCs/>
          <w:szCs w:val="24"/>
          <w:lang w:val="fr-CH"/>
        </w:rPr>
        <w:t>'</w:t>
      </w:r>
      <w:r>
        <w:rPr>
          <w:bCs/>
          <w:szCs w:val="24"/>
          <w:lang w:val="fr-CH"/>
        </w:rPr>
        <w:t>AMNT). Les établissements universitaires de l</w:t>
      </w:r>
      <w:r w:rsidR="00865BC1">
        <w:rPr>
          <w:bCs/>
          <w:szCs w:val="24"/>
          <w:lang w:val="fr-CH"/>
        </w:rPr>
        <w:t>'</w:t>
      </w:r>
      <w:r>
        <w:rPr>
          <w:bCs/>
          <w:szCs w:val="24"/>
          <w:lang w:val="fr-CH"/>
        </w:rPr>
        <w:t>UIT</w:t>
      </w:r>
      <w:r>
        <w:rPr>
          <w:bCs/>
          <w:szCs w:val="24"/>
          <w:lang w:val="fr-CH"/>
        </w:rPr>
        <w:noBreakHyphen/>
        <w:t>R et de l</w:t>
      </w:r>
      <w:r w:rsidR="00865BC1">
        <w:rPr>
          <w:bCs/>
          <w:szCs w:val="24"/>
          <w:lang w:val="fr-CH"/>
        </w:rPr>
        <w:t>'</w:t>
      </w:r>
      <w:r>
        <w:rPr>
          <w:bCs/>
          <w:szCs w:val="24"/>
          <w:lang w:val="fr-CH"/>
        </w:rPr>
        <w:t>UIT</w:t>
      </w:r>
      <w:r>
        <w:rPr>
          <w:bCs/>
          <w:szCs w:val="24"/>
          <w:lang w:val="fr-CH"/>
        </w:rPr>
        <w:noBreakHyphen/>
        <w:t xml:space="preserve">D ne participent pas aux </w:t>
      </w:r>
      <w:r w:rsidR="00E50697">
        <w:rPr>
          <w:bCs/>
          <w:szCs w:val="24"/>
          <w:lang w:val="fr-CH"/>
        </w:rPr>
        <w:t>travaux du Groupe consultatif de leur</w:t>
      </w:r>
      <w:r>
        <w:rPr>
          <w:bCs/>
          <w:szCs w:val="24"/>
          <w:lang w:val="fr-CH"/>
        </w:rPr>
        <w:t xml:space="preserve"> Secteur</w:t>
      </w:r>
      <w:r w:rsidR="00E50697">
        <w:rPr>
          <w:bCs/>
          <w:szCs w:val="24"/>
          <w:lang w:val="fr-CH"/>
        </w:rPr>
        <w:t>,</w:t>
      </w:r>
      <w:r>
        <w:rPr>
          <w:bCs/>
          <w:szCs w:val="24"/>
          <w:lang w:val="fr-CH"/>
        </w:rPr>
        <w:t xml:space="preserve"> tandis qu</w:t>
      </w:r>
      <w:r w:rsidR="00865BC1">
        <w:rPr>
          <w:bCs/>
          <w:szCs w:val="24"/>
          <w:lang w:val="fr-CH"/>
        </w:rPr>
        <w:t>'</w:t>
      </w:r>
      <w:r>
        <w:rPr>
          <w:bCs/>
          <w:szCs w:val="24"/>
          <w:lang w:val="fr-CH"/>
        </w:rPr>
        <w:t>en vertu de la Résolution 71 (</w:t>
      </w:r>
      <w:proofErr w:type="spellStart"/>
      <w:r>
        <w:rPr>
          <w:bCs/>
          <w:szCs w:val="24"/>
          <w:lang w:val="fr-CH"/>
        </w:rPr>
        <w:t>Rév</w:t>
      </w:r>
      <w:proofErr w:type="spellEnd"/>
      <w:r>
        <w:rPr>
          <w:bCs/>
          <w:szCs w:val="24"/>
          <w:lang w:val="fr-CH"/>
        </w:rPr>
        <w:t>.</w:t>
      </w:r>
      <w:r w:rsidR="00E56620">
        <w:rPr>
          <w:bCs/>
          <w:szCs w:val="24"/>
          <w:lang w:val="fr-CH"/>
        </w:rPr>
        <w:t> </w:t>
      </w:r>
      <w:r>
        <w:rPr>
          <w:bCs/>
          <w:szCs w:val="24"/>
          <w:lang w:val="fr-CH"/>
        </w:rPr>
        <w:t>Dubaï,</w:t>
      </w:r>
      <w:r w:rsidR="00E50697">
        <w:rPr>
          <w:bCs/>
          <w:szCs w:val="24"/>
          <w:lang w:val="fr-CH"/>
        </w:rPr>
        <w:t> </w:t>
      </w:r>
      <w:r>
        <w:rPr>
          <w:bCs/>
          <w:szCs w:val="24"/>
          <w:lang w:val="fr-CH"/>
        </w:rPr>
        <w:t>2012)</w:t>
      </w:r>
      <w:r w:rsidR="00E50697">
        <w:rPr>
          <w:bCs/>
          <w:szCs w:val="24"/>
          <w:lang w:val="fr-CH"/>
        </w:rPr>
        <w:t xml:space="preserve"> de l</w:t>
      </w:r>
      <w:r w:rsidR="00865BC1">
        <w:rPr>
          <w:bCs/>
          <w:szCs w:val="24"/>
          <w:lang w:val="fr-CH"/>
        </w:rPr>
        <w:t>'</w:t>
      </w:r>
      <w:r w:rsidR="00E50697">
        <w:rPr>
          <w:bCs/>
          <w:szCs w:val="24"/>
          <w:lang w:val="fr-CH"/>
        </w:rPr>
        <w:t>AMNT</w:t>
      </w:r>
      <w:r>
        <w:rPr>
          <w:bCs/>
          <w:szCs w:val="24"/>
          <w:lang w:val="fr-CH"/>
        </w:rPr>
        <w:t>, les établissements universitaires de l</w:t>
      </w:r>
      <w:r w:rsidR="00865BC1">
        <w:rPr>
          <w:bCs/>
          <w:szCs w:val="24"/>
          <w:lang w:val="fr-CH"/>
        </w:rPr>
        <w:t>'</w:t>
      </w:r>
      <w:r>
        <w:rPr>
          <w:bCs/>
          <w:szCs w:val="24"/>
          <w:lang w:val="fr-CH"/>
        </w:rPr>
        <w:t>UIT</w:t>
      </w:r>
      <w:r>
        <w:rPr>
          <w:bCs/>
          <w:szCs w:val="24"/>
          <w:lang w:val="fr-CH"/>
        </w:rPr>
        <w:noBreakHyphen/>
        <w:t>T sont admis à participer aux travaux du GCNT en qualité d</w:t>
      </w:r>
      <w:r w:rsidR="00865BC1">
        <w:rPr>
          <w:bCs/>
          <w:szCs w:val="24"/>
          <w:lang w:val="fr-CH"/>
        </w:rPr>
        <w:t>'</w:t>
      </w:r>
      <w:r>
        <w:rPr>
          <w:bCs/>
          <w:szCs w:val="24"/>
          <w:lang w:val="fr-CH"/>
        </w:rPr>
        <w:t>observateur</w:t>
      </w:r>
      <w:r w:rsidR="00383EDD">
        <w:rPr>
          <w:bCs/>
          <w:szCs w:val="24"/>
          <w:lang w:val="fr-CH"/>
        </w:rPr>
        <w:t>s</w:t>
      </w:r>
      <w:r>
        <w:rPr>
          <w:bCs/>
          <w:szCs w:val="24"/>
          <w:lang w:val="fr-CH"/>
        </w:rPr>
        <w:t>, à titre non consultatif.</w:t>
      </w:r>
    </w:p>
    <w:p w:rsidR="00896897" w:rsidRPr="00974946" w:rsidRDefault="00896897" w:rsidP="007D1428">
      <w:pPr>
        <w:pStyle w:val="Heading1"/>
        <w:rPr>
          <w:bCs/>
          <w:szCs w:val="24"/>
          <w:lang w:val="fr-CH"/>
        </w:rPr>
      </w:pPr>
      <w:r w:rsidRPr="00974946">
        <w:rPr>
          <w:bCs/>
          <w:szCs w:val="24"/>
          <w:lang w:val="fr-CH"/>
        </w:rPr>
        <w:t>3</w:t>
      </w:r>
      <w:r w:rsidRPr="00974946">
        <w:rPr>
          <w:bCs/>
          <w:szCs w:val="24"/>
          <w:lang w:val="fr-CH"/>
        </w:rPr>
        <w:tab/>
      </w:r>
      <w:r w:rsidR="00F62F30">
        <w:t>Entités participantes et procédures d</w:t>
      </w:r>
      <w:r w:rsidR="00865BC1">
        <w:t>'</w:t>
      </w:r>
      <w:r w:rsidR="00F62F30">
        <w:t>admission correspondantes</w:t>
      </w:r>
    </w:p>
    <w:p w:rsidR="00B1049F" w:rsidRDefault="00896897" w:rsidP="007D1428">
      <w:pPr>
        <w:rPr>
          <w:szCs w:val="24"/>
          <w:lang w:val="fr-CH"/>
        </w:rPr>
      </w:pPr>
      <w:r w:rsidRPr="00B1049F">
        <w:rPr>
          <w:szCs w:val="24"/>
          <w:lang w:val="fr-CH"/>
        </w:rPr>
        <w:t>3.1</w:t>
      </w:r>
      <w:r w:rsidRPr="00B1049F">
        <w:rPr>
          <w:szCs w:val="24"/>
          <w:lang w:val="fr-CH"/>
        </w:rPr>
        <w:tab/>
      </w:r>
      <w:r w:rsidR="00B1049F" w:rsidRPr="00B1049F">
        <w:rPr>
          <w:szCs w:val="24"/>
          <w:lang w:val="fr-CH"/>
        </w:rPr>
        <w:t>Les différents types d</w:t>
      </w:r>
      <w:r w:rsidR="00865BC1">
        <w:rPr>
          <w:szCs w:val="24"/>
          <w:lang w:val="fr-CH"/>
        </w:rPr>
        <w:t>'</w:t>
      </w:r>
      <w:r w:rsidR="00B1049F" w:rsidRPr="00B1049F">
        <w:rPr>
          <w:szCs w:val="24"/>
          <w:lang w:val="fr-CH"/>
        </w:rPr>
        <w:t>entités et d</w:t>
      </w:r>
      <w:r w:rsidR="00865BC1">
        <w:rPr>
          <w:szCs w:val="24"/>
          <w:lang w:val="fr-CH"/>
        </w:rPr>
        <w:t>'</w:t>
      </w:r>
      <w:r w:rsidR="00B1049F" w:rsidRPr="00B1049F">
        <w:rPr>
          <w:szCs w:val="24"/>
          <w:lang w:val="fr-CH"/>
        </w:rPr>
        <w:t xml:space="preserve">organisations qui peuvent </w:t>
      </w:r>
      <w:r w:rsidR="00B1049F">
        <w:rPr>
          <w:szCs w:val="24"/>
          <w:lang w:val="fr-CH"/>
        </w:rPr>
        <w:t>être admises à participer aux travaux de l</w:t>
      </w:r>
      <w:r w:rsidR="00865BC1">
        <w:rPr>
          <w:szCs w:val="24"/>
          <w:lang w:val="fr-CH"/>
        </w:rPr>
        <w:t>'</w:t>
      </w:r>
      <w:r w:rsidR="00B1049F">
        <w:rPr>
          <w:szCs w:val="24"/>
          <w:lang w:val="fr-CH"/>
        </w:rPr>
        <w:t>UIT en tant que Membres de Secteur sont définies dans l</w:t>
      </w:r>
      <w:r w:rsidR="00865BC1">
        <w:rPr>
          <w:szCs w:val="24"/>
          <w:lang w:val="fr-CH"/>
        </w:rPr>
        <w:t>'</w:t>
      </w:r>
      <w:r w:rsidR="00B1049F">
        <w:rPr>
          <w:szCs w:val="24"/>
          <w:lang w:val="fr-CH"/>
        </w:rPr>
        <w:t>article 19 (numéros 228 à 231) de la Convention. Une entité peut choisir de rejoindre un Secteur de l</w:t>
      </w:r>
      <w:r w:rsidR="00865BC1">
        <w:rPr>
          <w:szCs w:val="24"/>
          <w:lang w:val="fr-CH"/>
        </w:rPr>
        <w:t>'</w:t>
      </w:r>
      <w:r w:rsidR="00B1049F">
        <w:rPr>
          <w:szCs w:val="24"/>
          <w:lang w:val="fr-CH"/>
        </w:rPr>
        <w:t>Union ou plusieurs. Les procédures de demande d</w:t>
      </w:r>
      <w:r w:rsidR="00865BC1">
        <w:rPr>
          <w:szCs w:val="24"/>
          <w:lang w:val="fr-CH"/>
        </w:rPr>
        <w:t>'</w:t>
      </w:r>
      <w:r w:rsidR="00B1049F">
        <w:rPr>
          <w:szCs w:val="24"/>
          <w:lang w:val="fr-CH"/>
        </w:rPr>
        <w:t>admission en tant que Membre de Secteur sont décrites dans l</w:t>
      </w:r>
      <w:r w:rsidR="00865BC1">
        <w:rPr>
          <w:szCs w:val="24"/>
          <w:lang w:val="fr-CH"/>
        </w:rPr>
        <w:t>'</w:t>
      </w:r>
      <w:r w:rsidR="00B1049F">
        <w:rPr>
          <w:szCs w:val="24"/>
          <w:lang w:val="fr-CH"/>
        </w:rPr>
        <w:t>article 19 (numéros 233 à 237), et ont été complétées par</w:t>
      </w:r>
      <w:r w:rsidR="00383EDD">
        <w:rPr>
          <w:szCs w:val="24"/>
          <w:lang w:val="fr-CH"/>
        </w:rPr>
        <w:t xml:space="preserve"> le Conseil en 1993 (Doc</w:t>
      </w:r>
      <w:r w:rsidR="00310868">
        <w:rPr>
          <w:szCs w:val="24"/>
          <w:lang w:val="fr-CH"/>
        </w:rPr>
        <w:t>ument</w:t>
      </w:r>
      <w:r w:rsidR="00383EDD">
        <w:rPr>
          <w:szCs w:val="24"/>
          <w:lang w:val="fr-CH"/>
        </w:rPr>
        <w:t xml:space="preserve"> 49). D</w:t>
      </w:r>
      <w:r w:rsidR="00B1049F">
        <w:rPr>
          <w:szCs w:val="24"/>
          <w:lang w:val="fr-CH"/>
        </w:rPr>
        <w:t xml:space="preserve">es dispositions relatives aux Associés </w:t>
      </w:r>
      <w:r w:rsidR="00E1074C">
        <w:rPr>
          <w:szCs w:val="24"/>
          <w:lang w:val="fr-CH"/>
        </w:rPr>
        <w:t>figurent</w:t>
      </w:r>
      <w:r w:rsidR="00B1049F">
        <w:rPr>
          <w:szCs w:val="24"/>
          <w:lang w:val="fr-CH"/>
        </w:rPr>
        <w:t xml:space="preserve"> également dans l</w:t>
      </w:r>
      <w:r w:rsidR="00865BC1">
        <w:rPr>
          <w:szCs w:val="24"/>
          <w:lang w:val="fr-CH"/>
        </w:rPr>
        <w:t>'</w:t>
      </w:r>
      <w:r w:rsidR="00B1049F">
        <w:rPr>
          <w:szCs w:val="24"/>
          <w:lang w:val="fr-CH"/>
        </w:rPr>
        <w:t xml:space="preserve">article 19 de la Convention, </w:t>
      </w:r>
      <w:r w:rsidR="00574FC4">
        <w:rPr>
          <w:szCs w:val="24"/>
          <w:lang w:val="fr-CH"/>
        </w:rPr>
        <w:t>avec mention expresse de</w:t>
      </w:r>
      <w:r w:rsidR="00B1049F">
        <w:rPr>
          <w:szCs w:val="24"/>
          <w:lang w:val="fr-CH"/>
        </w:rPr>
        <w:t xml:space="preserve"> cette catégorie dans les numéros 241A à 241</w:t>
      </w:r>
      <w:r w:rsidR="00B1049F" w:rsidRPr="00B1049F">
        <w:rPr>
          <w:szCs w:val="24"/>
          <w:lang w:val="fr-CH"/>
        </w:rPr>
        <w:t>E</w:t>
      </w:r>
      <w:r w:rsidR="00B1049F">
        <w:rPr>
          <w:szCs w:val="24"/>
          <w:lang w:val="fr-CH"/>
        </w:rPr>
        <w:t>.</w:t>
      </w:r>
    </w:p>
    <w:p w:rsidR="00574FC4" w:rsidRPr="00B1049F" w:rsidRDefault="00574FC4" w:rsidP="00A774F9">
      <w:pPr>
        <w:rPr>
          <w:szCs w:val="24"/>
          <w:lang w:val="fr-CH"/>
        </w:rPr>
      </w:pPr>
      <w:r>
        <w:rPr>
          <w:szCs w:val="24"/>
          <w:lang w:val="fr-CH"/>
        </w:rPr>
        <w:t>3.2</w:t>
      </w:r>
      <w:r>
        <w:rPr>
          <w:szCs w:val="24"/>
          <w:lang w:val="fr-CH"/>
        </w:rPr>
        <w:tab/>
        <w:t>Les entités suivantes peuvent soumettre une demande d</w:t>
      </w:r>
      <w:r w:rsidR="00865BC1">
        <w:rPr>
          <w:szCs w:val="24"/>
          <w:lang w:val="fr-CH"/>
        </w:rPr>
        <w:t>'</w:t>
      </w:r>
      <w:r>
        <w:rPr>
          <w:szCs w:val="24"/>
          <w:lang w:val="fr-CH"/>
        </w:rPr>
        <w:t>admission en tant qu</w:t>
      </w:r>
      <w:r w:rsidR="00A774F9">
        <w:rPr>
          <w:szCs w:val="24"/>
          <w:lang w:val="fr-CH"/>
        </w:rPr>
        <w:t>e Membre de Secteur ou Associé</w:t>
      </w:r>
      <w:r>
        <w:rPr>
          <w:szCs w:val="24"/>
          <w:lang w:val="fr-CH"/>
        </w:rPr>
        <w:t>:</w:t>
      </w:r>
    </w:p>
    <w:p w:rsidR="00896897" w:rsidRPr="00104853" w:rsidRDefault="00104853" w:rsidP="007D1428">
      <w:pPr>
        <w:pStyle w:val="enumlev1"/>
        <w:rPr>
          <w:lang w:val="fr-CH"/>
        </w:rPr>
      </w:pPr>
      <w:r w:rsidRPr="00104853">
        <w:rPr>
          <w:lang w:val="fr-CH"/>
        </w:rPr>
        <w:t>•</w:t>
      </w:r>
      <w:r w:rsidRPr="00104853">
        <w:rPr>
          <w:lang w:val="fr-CH"/>
        </w:rPr>
        <w:tab/>
      </w:r>
      <w:r>
        <w:t>exploitations reconnues, organismes scientifiques ou industriels et organismes de financement ou de développement approuvés par l'Etat Membre intéressé</w:t>
      </w:r>
      <w:r w:rsidRPr="00104853">
        <w:rPr>
          <w:lang w:val="fr-CH"/>
        </w:rPr>
        <w:t xml:space="preserve"> </w:t>
      </w:r>
      <w:r w:rsidR="00896897" w:rsidRPr="00104853">
        <w:rPr>
          <w:lang w:val="fr-CH"/>
        </w:rPr>
        <w:t>(</w:t>
      </w:r>
      <w:r w:rsidRPr="00104853">
        <w:rPr>
          <w:lang w:val="fr-CH"/>
        </w:rPr>
        <w:t>numéro </w:t>
      </w:r>
      <w:r w:rsidR="00896897" w:rsidRPr="00104853">
        <w:rPr>
          <w:lang w:val="fr-CH"/>
        </w:rPr>
        <w:t xml:space="preserve">229 </w:t>
      </w:r>
      <w:r w:rsidRPr="00104853">
        <w:rPr>
          <w:lang w:val="fr-CH"/>
        </w:rPr>
        <w:t xml:space="preserve">de la </w:t>
      </w:r>
      <w:r w:rsidR="00896897" w:rsidRPr="00104853">
        <w:rPr>
          <w:lang w:val="fr-CH"/>
        </w:rPr>
        <w:t>Convention)</w:t>
      </w:r>
      <w:r>
        <w:rPr>
          <w:lang w:val="fr-CH"/>
        </w:rPr>
        <w:t>;</w:t>
      </w:r>
    </w:p>
    <w:p w:rsidR="00896897" w:rsidRPr="00104853" w:rsidRDefault="00104853" w:rsidP="007D1428">
      <w:pPr>
        <w:pStyle w:val="enumlev1"/>
        <w:rPr>
          <w:lang w:val="fr-CH"/>
        </w:rPr>
      </w:pPr>
      <w:r w:rsidRPr="00104853">
        <w:rPr>
          <w:lang w:val="fr-CH"/>
        </w:rPr>
        <w:t>•</w:t>
      </w:r>
      <w:r w:rsidRPr="00104853">
        <w:rPr>
          <w:lang w:val="fr-CH"/>
        </w:rPr>
        <w:tab/>
      </w:r>
      <w:r>
        <w:t>autres entités s'occupant de questions de télécommunication approuvées par l'Etat Membre intéressé</w:t>
      </w:r>
      <w:r w:rsidRPr="00104853">
        <w:rPr>
          <w:lang w:val="fr-CH"/>
        </w:rPr>
        <w:t xml:space="preserve"> </w:t>
      </w:r>
      <w:r w:rsidR="00896897" w:rsidRPr="00104853">
        <w:rPr>
          <w:lang w:val="fr-CH"/>
        </w:rPr>
        <w:t>(</w:t>
      </w:r>
      <w:r w:rsidRPr="00104853">
        <w:rPr>
          <w:lang w:val="fr-CH"/>
        </w:rPr>
        <w:t xml:space="preserve">numéro </w:t>
      </w:r>
      <w:r w:rsidR="00896897" w:rsidRPr="00104853">
        <w:rPr>
          <w:lang w:val="fr-CH"/>
        </w:rPr>
        <w:t xml:space="preserve">230 </w:t>
      </w:r>
      <w:r w:rsidRPr="00104853">
        <w:rPr>
          <w:lang w:val="fr-CH"/>
        </w:rPr>
        <w:t xml:space="preserve">de la </w:t>
      </w:r>
      <w:r w:rsidR="00896897" w:rsidRPr="00104853">
        <w:rPr>
          <w:lang w:val="fr-CH"/>
        </w:rPr>
        <w:t>Convention</w:t>
      </w:r>
      <w:r w:rsidRPr="00104853">
        <w:rPr>
          <w:lang w:val="fr-CH"/>
        </w:rPr>
        <w:t>)</w:t>
      </w:r>
      <w:r>
        <w:rPr>
          <w:lang w:val="fr-CH"/>
        </w:rPr>
        <w:t>; et</w:t>
      </w:r>
    </w:p>
    <w:p w:rsidR="00896897" w:rsidRPr="00104853" w:rsidRDefault="00104853" w:rsidP="007D1428">
      <w:pPr>
        <w:pStyle w:val="enumlev1"/>
        <w:rPr>
          <w:lang w:val="fr-CH"/>
        </w:rPr>
      </w:pPr>
      <w:r w:rsidRPr="00104853">
        <w:rPr>
          <w:lang w:val="fr-CH"/>
        </w:rPr>
        <w:t>•</w:t>
      </w:r>
      <w:r w:rsidRPr="00104853">
        <w:rPr>
          <w:lang w:val="fr-CH"/>
        </w:rPr>
        <w:tab/>
      </w:r>
      <w:r>
        <w:t>organisations régionales et autres organisations internationales de télécommunication, de normalisation, de financement ou de développement</w:t>
      </w:r>
      <w:r w:rsidRPr="00104853">
        <w:rPr>
          <w:lang w:val="fr-CH"/>
        </w:rPr>
        <w:t xml:space="preserve"> </w:t>
      </w:r>
      <w:r w:rsidR="00896897" w:rsidRPr="00104853">
        <w:rPr>
          <w:lang w:val="fr-CH"/>
        </w:rPr>
        <w:t>(</w:t>
      </w:r>
      <w:r w:rsidRPr="00104853">
        <w:rPr>
          <w:lang w:val="fr-CH"/>
        </w:rPr>
        <w:t xml:space="preserve">numéro </w:t>
      </w:r>
      <w:r w:rsidR="00896897" w:rsidRPr="00104853">
        <w:rPr>
          <w:lang w:val="fr-CH"/>
        </w:rPr>
        <w:t xml:space="preserve">231 </w:t>
      </w:r>
      <w:r w:rsidRPr="00104853">
        <w:rPr>
          <w:lang w:val="fr-CH"/>
        </w:rPr>
        <w:t xml:space="preserve">de la </w:t>
      </w:r>
      <w:r w:rsidR="00896897" w:rsidRPr="00104853">
        <w:rPr>
          <w:lang w:val="fr-CH"/>
        </w:rPr>
        <w:t>Convention).</w:t>
      </w:r>
    </w:p>
    <w:p w:rsidR="00574FC4" w:rsidRDefault="00896897" w:rsidP="007D1428">
      <w:pPr>
        <w:rPr>
          <w:rFonts w:cstheme="minorHAnsi"/>
          <w:szCs w:val="24"/>
          <w:lang w:val="fr-CH"/>
        </w:rPr>
      </w:pPr>
      <w:r w:rsidRPr="001A32BA">
        <w:rPr>
          <w:rFonts w:cstheme="minorHAnsi"/>
          <w:szCs w:val="24"/>
          <w:lang w:val="fr-CH"/>
        </w:rPr>
        <w:t>3.3</w:t>
      </w:r>
      <w:r w:rsidRPr="001A32BA">
        <w:rPr>
          <w:rFonts w:cstheme="minorHAnsi"/>
          <w:szCs w:val="24"/>
          <w:lang w:val="fr-CH"/>
        </w:rPr>
        <w:tab/>
      </w:r>
      <w:r w:rsidR="00574FC4">
        <w:rPr>
          <w:rFonts w:cstheme="minorHAnsi"/>
          <w:szCs w:val="24"/>
          <w:lang w:val="fr-CH"/>
        </w:rPr>
        <w:t>En outre, les organisations régionales de télécommunication visées dans l</w:t>
      </w:r>
      <w:r w:rsidR="00865BC1">
        <w:rPr>
          <w:rFonts w:cstheme="minorHAnsi"/>
          <w:szCs w:val="24"/>
          <w:lang w:val="fr-CH"/>
        </w:rPr>
        <w:t>'</w:t>
      </w:r>
      <w:r w:rsidR="00574FC4">
        <w:rPr>
          <w:rFonts w:cstheme="minorHAnsi"/>
          <w:szCs w:val="24"/>
          <w:lang w:val="fr-CH"/>
        </w:rPr>
        <w:t>article 43 de la Constitution, les</w:t>
      </w:r>
      <w:r w:rsidR="00574FC4">
        <w:rPr>
          <w:lang w:val="fr-CH"/>
        </w:rPr>
        <w:t xml:space="preserve"> organisations intergouvernementales exploitant des systèmes à satellites</w:t>
      </w:r>
      <w:r w:rsidR="00574FC4" w:rsidRPr="001A32BA">
        <w:rPr>
          <w:rFonts w:cstheme="minorHAnsi"/>
          <w:szCs w:val="24"/>
          <w:lang w:val="fr-CH"/>
        </w:rPr>
        <w:t xml:space="preserve"> et </w:t>
      </w:r>
      <w:r w:rsidR="00574FC4" w:rsidRPr="00A17458">
        <w:t>les institutions spécialisées des Nations Unies ainsi que l'Agence internationale de l'énergie atomique</w:t>
      </w:r>
      <w:r w:rsidR="00574FC4" w:rsidRPr="001A32BA">
        <w:rPr>
          <w:rFonts w:cstheme="minorHAnsi"/>
          <w:szCs w:val="24"/>
          <w:lang w:val="fr-CH"/>
        </w:rPr>
        <w:t xml:space="preserve"> (numéro 236 de la Convention)</w:t>
      </w:r>
      <w:r w:rsidR="00574FC4">
        <w:rPr>
          <w:rFonts w:cstheme="minorHAnsi"/>
          <w:szCs w:val="24"/>
          <w:lang w:val="fr-CH"/>
        </w:rPr>
        <w:t xml:space="preserve"> sont autorisées à participer aux activités de l</w:t>
      </w:r>
      <w:r w:rsidR="00865BC1">
        <w:rPr>
          <w:rFonts w:cstheme="minorHAnsi"/>
          <w:szCs w:val="24"/>
          <w:lang w:val="fr-CH"/>
        </w:rPr>
        <w:t>'</w:t>
      </w:r>
      <w:r w:rsidR="00574FC4">
        <w:rPr>
          <w:rFonts w:cstheme="minorHAnsi"/>
          <w:szCs w:val="24"/>
          <w:lang w:val="fr-CH"/>
        </w:rPr>
        <w:t>Union, et, sur demande, peuvent être ajoutées à la liste des Membres de Secteur.</w:t>
      </w:r>
    </w:p>
    <w:p w:rsidR="00574FC4" w:rsidRPr="00574FC4" w:rsidRDefault="00896897" w:rsidP="007D1428">
      <w:pPr>
        <w:rPr>
          <w:szCs w:val="24"/>
          <w:lang w:val="fr-CH"/>
        </w:rPr>
      </w:pPr>
      <w:r w:rsidRPr="00574FC4">
        <w:rPr>
          <w:szCs w:val="24"/>
          <w:lang w:val="fr-CH"/>
        </w:rPr>
        <w:t>3.4</w:t>
      </w:r>
      <w:r w:rsidRPr="00574FC4">
        <w:rPr>
          <w:szCs w:val="24"/>
          <w:lang w:val="fr-CH"/>
        </w:rPr>
        <w:tab/>
      </w:r>
      <w:r w:rsidR="00574FC4" w:rsidRPr="00574FC4">
        <w:rPr>
          <w:szCs w:val="24"/>
          <w:lang w:val="fr-CH"/>
        </w:rPr>
        <w:t xml:space="preserve">Un résumé des </w:t>
      </w:r>
      <w:r w:rsidR="0000224C">
        <w:rPr>
          <w:szCs w:val="24"/>
          <w:lang w:val="fr-CH"/>
        </w:rPr>
        <w:t>différent</w:t>
      </w:r>
      <w:r w:rsidR="001D273D">
        <w:rPr>
          <w:szCs w:val="24"/>
          <w:lang w:val="fr-CH"/>
        </w:rPr>
        <w:t>e</w:t>
      </w:r>
      <w:r w:rsidR="0000224C">
        <w:rPr>
          <w:szCs w:val="24"/>
          <w:lang w:val="fr-CH"/>
        </w:rPr>
        <w:t xml:space="preserve">s </w:t>
      </w:r>
      <w:r w:rsidR="001D273D">
        <w:rPr>
          <w:szCs w:val="24"/>
          <w:lang w:val="fr-CH"/>
        </w:rPr>
        <w:t>catégori</w:t>
      </w:r>
      <w:r w:rsidR="00574FC4" w:rsidRPr="00574FC4">
        <w:rPr>
          <w:szCs w:val="24"/>
          <w:lang w:val="fr-CH"/>
        </w:rPr>
        <w:t>es d</w:t>
      </w:r>
      <w:r w:rsidR="00865BC1">
        <w:rPr>
          <w:szCs w:val="24"/>
          <w:lang w:val="fr-CH"/>
        </w:rPr>
        <w:t>'</w:t>
      </w:r>
      <w:r w:rsidR="00574FC4" w:rsidRPr="00574FC4">
        <w:rPr>
          <w:szCs w:val="24"/>
          <w:lang w:val="fr-CH"/>
        </w:rPr>
        <w:t>entités et de</w:t>
      </w:r>
      <w:r w:rsidR="00574FC4">
        <w:rPr>
          <w:szCs w:val="24"/>
          <w:lang w:val="fr-CH"/>
        </w:rPr>
        <w:t>s</w:t>
      </w:r>
      <w:r w:rsidR="00574FC4" w:rsidRPr="00574FC4">
        <w:rPr>
          <w:szCs w:val="24"/>
          <w:lang w:val="fr-CH"/>
        </w:rPr>
        <w:t xml:space="preserve"> proc</w:t>
      </w:r>
      <w:r w:rsidR="00574FC4">
        <w:rPr>
          <w:szCs w:val="24"/>
          <w:lang w:val="fr-CH"/>
        </w:rPr>
        <w:t>é</w:t>
      </w:r>
      <w:r w:rsidR="00574FC4" w:rsidRPr="00574FC4">
        <w:rPr>
          <w:szCs w:val="24"/>
          <w:lang w:val="fr-CH"/>
        </w:rPr>
        <w:t>dures d</w:t>
      </w:r>
      <w:r w:rsidR="00865BC1">
        <w:rPr>
          <w:szCs w:val="24"/>
          <w:lang w:val="fr-CH"/>
        </w:rPr>
        <w:t>'</w:t>
      </w:r>
      <w:r w:rsidR="00574FC4" w:rsidRPr="00574FC4">
        <w:rPr>
          <w:szCs w:val="24"/>
          <w:lang w:val="fr-CH"/>
        </w:rPr>
        <w:t xml:space="preserve">admission </w:t>
      </w:r>
      <w:r w:rsidR="00574FC4">
        <w:rPr>
          <w:szCs w:val="24"/>
          <w:lang w:val="fr-CH"/>
        </w:rPr>
        <w:t>relatives à chacun</w:t>
      </w:r>
      <w:r w:rsidR="001D273D">
        <w:rPr>
          <w:szCs w:val="24"/>
          <w:lang w:val="fr-CH"/>
        </w:rPr>
        <w:t>e</w:t>
      </w:r>
      <w:r w:rsidR="00574FC4">
        <w:rPr>
          <w:szCs w:val="24"/>
          <w:lang w:val="fr-CH"/>
        </w:rPr>
        <w:t xml:space="preserve"> d</w:t>
      </w:r>
      <w:r w:rsidR="00865BC1">
        <w:rPr>
          <w:szCs w:val="24"/>
          <w:lang w:val="fr-CH"/>
        </w:rPr>
        <w:t>'</w:t>
      </w:r>
      <w:r w:rsidR="0000224C">
        <w:rPr>
          <w:szCs w:val="24"/>
          <w:lang w:val="fr-CH"/>
        </w:rPr>
        <w:t>e</w:t>
      </w:r>
      <w:r w:rsidR="001D273D">
        <w:rPr>
          <w:szCs w:val="24"/>
          <w:lang w:val="fr-CH"/>
        </w:rPr>
        <w:t>lles</w:t>
      </w:r>
      <w:r w:rsidR="0000224C">
        <w:rPr>
          <w:szCs w:val="24"/>
          <w:lang w:val="fr-CH"/>
        </w:rPr>
        <w:t xml:space="preserve"> </w:t>
      </w:r>
      <w:r w:rsidR="00574FC4">
        <w:rPr>
          <w:szCs w:val="24"/>
          <w:lang w:val="fr-CH"/>
        </w:rPr>
        <w:t>est présenté dans l</w:t>
      </w:r>
      <w:r w:rsidR="00865BC1">
        <w:rPr>
          <w:szCs w:val="24"/>
          <w:lang w:val="fr-CH"/>
        </w:rPr>
        <w:t>'</w:t>
      </w:r>
      <w:r w:rsidR="00574FC4" w:rsidRPr="00574FC4">
        <w:rPr>
          <w:b/>
          <w:szCs w:val="24"/>
          <w:lang w:val="fr-CH"/>
        </w:rPr>
        <w:t>Annexe 2</w:t>
      </w:r>
      <w:r w:rsidR="00574FC4">
        <w:rPr>
          <w:szCs w:val="24"/>
          <w:lang w:val="fr-CH"/>
        </w:rPr>
        <w:t>.</w:t>
      </w:r>
    </w:p>
    <w:p w:rsidR="00896897" w:rsidRPr="007C2E63" w:rsidRDefault="00896897" w:rsidP="007D1428">
      <w:pPr>
        <w:pStyle w:val="Heading1"/>
        <w:rPr>
          <w:bCs/>
          <w:szCs w:val="24"/>
          <w:lang w:val="fr-CH"/>
        </w:rPr>
      </w:pPr>
      <w:r w:rsidRPr="007C2E63">
        <w:rPr>
          <w:bCs/>
          <w:szCs w:val="24"/>
          <w:lang w:val="fr-CH"/>
        </w:rPr>
        <w:t>4</w:t>
      </w:r>
      <w:r w:rsidRPr="007C2E63">
        <w:rPr>
          <w:bCs/>
          <w:szCs w:val="24"/>
          <w:lang w:val="fr-CH"/>
        </w:rPr>
        <w:tab/>
      </w:r>
      <w:r w:rsidR="00574FC4" w:rsidRPr="007C2E63">
        <w:rPr>
          <w:bCs/>
          <w:szCs w:val="24"/>
          <w:lang w:val="fr-CH"/>
        </w:rPr>
        <w:t>Dénonciations et suppressions</w:t>
      </w:r>
    </w:p>
    <w:p w:rsidR="0000224C" w:rsidRDefault="00896897" w:rsidP="007D1428">
      <w:pPr>
        <w:rPr>
          <w:szCs w:val="24"/>
          <w:lang w:val="fr-CH"/>
        </w:rPr>
      </w:pPr>
      <w:r w:rsidRPr="00C95F45">
        <w:rPr>
          <w:szCs w:val="24"/>
          <w:lang w:val="fr-CH"/>
        </w:rPr>
        <w:t>4.1</w:t>
      </w:r>
      <w:r w:rsidRPr="00C95F45">
        <w:rPr>
          <w:szCs w:val="24"/>
          <w:lang w:val="fr-CH"/>
        </w:rPr>
        <w:tab/>
      </w:r>
      <w:r w:rsidR="0000224C">
        <w:rPr>
          <w:szCs w:val="24"/>
          <w:lang w:val="fr-CH"/>
        </w:rPr>
        <w:t xml:space="preserve">Le numéro 240 de la Convention dispose que </w:t>
      </w:r>
      <w:r w:rsidR="00D91038" w:rsidRPr="00C95F45">
        <w:rPr>
          <w:szCs w:val="24"/>
          <w:lang w:val="fr-CH"/>
        </w:rPr>
        <w:t>"</w:t>
      </w:r>
      <w:r w:rsidR="0000224C">
        <w:rPr>
          <w:szCs w:val="24"/>
          <w:lang w:val="fr-CH"/>
        </w:rPr>
        <w:t>T</w:t>
      </w:r>
      <w:r w:rsidR="00D024BA" w:rsidRPr="00C95F45">
        <w:rPr>
          <w:lang w:val="fr-CH"/>
        </w:rPr>
        <w:t>out Membre d'un Secteur a le droit de dénoncer sa participation par une notification adressée au Secrétaire général</w:t>
      </w:r>
      <w:r w:rsidR="00C95F45" w:rsidRPr="00C95F45">
        <w:rPr>
          <w:lang w:val="fr-CH"/>
        </w:rPr>
        <w:t>"</w:t>
      </w:r>
      <w:r w:rsidR="00D024BA" w:rsidRPr="00C95F45">
        <w:rPr>
          <w:szCs w:val="24"/>
          <w:lang w:val="fr-CH"/>
        </w:rPr>
        <w:t xml:space="preserve"> </w:t>
      </w:r>
      <w:r w:rsidR="00C95F45">
        <w:rPr>
          <w:szCs w:val="24"/>
          <w:lang w:val="fr-CH"/>
        </w:rPr>
        <w:t xml:space="preserve">et que </w:t>
      </w:r>
      <w:r w:rsidR="00D91038" w:rsidRPr="00C95F45">
        <w:rPr>
          <w:szCs w:val="24"/>
          <w:lang w:val="fr-CH"/>
        </w:rPr>
        <w:t>"</w:t>
      </w:r>
      <w:r w:rsidR="00C95F45" w:rsidRPr="00A17458">
        <w:t>Cette dénonciation prend effet à l'expiration d'une période de six mois à partir du jour de réception de la notification par le Secrétaire général</w:t>
      </w:r>
      <w:r w:rsidR="00D91038" w:rsidRPr="00C95F45">
        <w:rPr>
          <w:szCs w:val="24"/>
          <w:lang w:val="fr-CH"/>
        </w:rPr>
        <w:t>"</w:t>
      </w:r>
      <w:r w:rsidRPr="00C95F45">
        <w:rPr>
          <w:szCs w:val="24"/>
          <w:lang w:val="fr-CH"/>
        </w:rPr>
        <w:t xml:space="preserve">. </w:t>
      </w:r>
      <w:r w:rsidR="0000224C">
        <w:rPr>
          <w:szCs w:val="24"/>
          <w:lang w:val="fr-CH"/>
        </w:rPr>
        <w:t xml:space="preserve">Dans le </w:t>
      </w:r>
      <w:r w:rsidR="00C95F45" w:rsidRPr="00B01ABB">
        <w:rPr>
          <w:szCs w:val="24"/>
          <w:lang w:val="fr-CH"/>
        </w:rPr>
        <w:t>numéro </w:t>
      </w:r>
      <w:r w:rsidRPr="00B01ABB">
        <w:rPr>
          <w:szCs w:val="24"/>
          <w:lang w:val="fr-CH"/>
        </w:rPr>
        <w:t xml:space="preserve">241 </w:t>
      </w:r>
      <w:r w:rsidR="00C95F45" w:rsidRPr="00B01ABB">
        <w:rPr>
          <w:szCs w:val="24"/>
          <w:lang w:val="fr-CH"/>
        </w:rPr>
        <w:t>de la Convention</w:t>
      </w:r>
      <w:r w:rsidR="0000224C">
        <w:rPr>
          <w:szCs w:val="24"/>
          <w:lang w:val="fr-CH"/>
        </w:rPr>
        <w:t xml:space="preserve">, il est </w:t>
      </w:r>
      <w:r w:rsidR="001D273D">
        <w:rPr>
          <w:szCs w:val="24"/>
          <w:lang w:val="fr-CH"/>
        </w:rPr>
        <w:t>ajouté</w:t>
      </w:r>
      <w:r w:rsidR="0000224C">
        <w:rPr>
          <w:szCs w:val="24"/>
          <w:lang w:val="fr-CH"/>
        </w:rPr>
        <w:t xml:space="preserve"> que</w:t>
      </w:r>
      <w:r w:rsidRPr="00B01ABB">
        <w:rPr>
          <w:szCs w:val="24"/>
          <w:lang w:val="fr-CH"/>
        </w:rPr>
        <w:t xml:space="preserve"> </w:t>
      </w:r>
      <w:r w:rsidR="00D91038" w:rsidRPr="00B01ABB">
        <w:rPr>
          <w:szCs w:val="24"/>
          <w:lang w:val="fr-CH"/>
        </w:rPr>
        <w:t>"</w:t>
      </w:r>
      <w:r w:rsidR="001D273D">
        <w:rPr>
          <w:szCs w:val="24"/>
          <w:lang w:val="fr-CH"/>
        </w:rPr>
        <w:t>l</w:t>
      </w:r>
      <w:r w:rsidR="00B01ABB">
        <w:t>e Secrétaire général supprime de la liste des entités et organisations</w:t>
      </w:r>
      <w:r w:rsidR="001D273D">
        <w:t xml:space="preserve"> </w:t>
      </w:r>
      <w:r w:rsidR="0000224C">
        <w:rPr>
          <w:szCs w:val="24"/>
          <w:lang w:val="fr-CH"/>
        </w:rPr>
        <w:t>tout Membre de Secteur qui n</w:t>
      </w:r>
      <w:r w:rsidR="00865BC1">
        <w:rPr>
          <w:szCs w:val="24"/>
          <w:lang w:val="fr-CH"/>
        </w:rPr>
        <w:t>'</w:t>
      </w:r>
      <w:r w:rsidR="0000224C">
        <w:rPr>
          <w:szCs w:val="24"/>
          <w:lang w:val="fr-CH"/>
        </w:rPr>
        <w:t>est plus autorisé à participer aux travaux du Secteur concerné. Plus précisément, le Secrétaire général peut supprimer de la liste des membres:</w:t>
      </w:r>
    </w:p>
    <w:p w:rsidR="0000224C" w:rsidRPr="005D301F" w:rsidRDefault="00B01ABB" w:rsidP="00BF0A3F">
      <w:pPr>
        <w:pStyle w:val="enumlev1"/>
        <w:rPr>
          <w:lang w:val="fr-CH" w:eastAsia="zh-CN"/>
        </w:rPr>
      </w:pPr>
      <w:r w:rsidRPr="005D301F">
        <w:rPr>
          <w:lang w:val="fr-CH" w:eastAsia="zh-CN"/>
        </w:rPr>
        <w:t>•</w:t>
      </w:r>
      <w:r w:rsidRPr="005D301F">
        <w:rPr>
          <w:lang w:val="fr-CH" w:eastAsia="zh-CN"/>
        </w:rPr>
        <w:tab/>
      </w:r>
      <w:r w:rsidR="005D301F">
        <w:t>Toute entité ou organisation qui a dénoncé sa participation (numéro 240 de la Convention)</w:t>
      </w:r>
      <w:r w:rsidR="00BF0A3F">
        <w:t>.</w:t>
      </w:r>
    </w:p>
    <w:p w:rsidR="0000224C" w:rsidRPr="005D301F" w:rsidRDefault="00B01ABB" w:rsidP="00BF0A3F">
      <w:pPr>
        <w:pStyle w:val="enumlev1"/>
        <w:rPr>
          <w:lang w:val="fr-CH" w:eastAsia="zh-CN"/>
        </w:rPr>
      </w:pPr>
      <w:r w:rsidRPr="005D301F">
        <w:rPr>
          <w:lang w:val="fr-CH" w:eastAsia="zh-CN"/>
        </w:rPr>
        <w:t>•</w:t>
      </w:r>
      <w:r w:rsidRPr="005D301F">
        <w:rPr>
          <w:lang w:val="fr-CH" w:eastAsia="zh-CN"/>
        </w:rPr>
        <w:tab/>
      </w:r>
      <w:r w:rsidR="005D301F">
        <w:t>Toute entité ou organisation dont la participation a été dénoncée par l</w:t>
      </w:r>
      <w:r w:rsidR="00865BC1">
        <w:t>'</w:t>
      </w:r>
      <w:r w:rsidR="00A875E3">
        <w:t>Etat</w:t>
      </w:r>
      <w:r w:rsidR="005D301F">
        <w:t xml:space="preserve"> Membre intéressé (numéro 240 de la Convention)</w:t>
      </w:r>
      <w:r w:rsidR="00BF0A3F">
        <w:t>.</w:t>
      </w:r>
    </w:p>
    <w:p w:rsidR="0000224C" w:rsidRPr="00A875E3" w:rsidRDefault="00B01ABB" w:rsidP="00BF0A3F">
      <w:pPr>
        <w:pStyle w:val="enumlev1"/>
        <w:rPr>
          <w:lang w:val="fr-CH" w:eastAsia="zh-CN"/>
        </w:rPr>
      </w:pPr>
      <w:r w:rsidRPr="00A875E3">
        <w:rPr>
          <w:lang w:val="fr-CH" w:eastAsia="zh-CN"/>
        </w:rPr>
        <w:t>•</w:t>
      </w:r>
      <w:r w:rsidRPr="00A875E3">
        <w:rPr>
          <w:lang w:val="fr-CH" w:eastAsia="zh-CN"/>
        </w:rPr>
        <w:tab/>
      </w:r>
      <w:r w:rsidR="00A875E3">
        <w:t>Toute entité ou organisation qui est en retard de plus d'un (1) an dans le paiement de sa contribution annuelle ou d'autres dettes envers l'Union</w:t>
      </w:r>
      <w:r w:rsidR="00BF0A3F">
        <w:t>.</w:t>
      </w:r>
    </w:p>
    <w:p w:rsidR="0000224C" w:rsidRPr="00A875E3" w:rsidRDefault="00B01ABB" w:rsidP="00BF0A3F">
      <w:pPr>
        <w:pStyle w:val="enumlev1"/>
        <w:rPr>
          <w:lang w:val="fr-CH" w:eastAsia="zh-CN"/>
        </w:rPr>
      </w:pPr>
      <w:r w:rsidRPr="00A875E3">
        <w:rPr>
          <w:lang w:val="fr-CH" w:eastAsia="zh-CN"/>
        </w:rPr>
        <w:t>•</w:t>
      </w:r>
      <w:r w:rsidRPr="00A875E3">
        <w:rPr>
          <w:lang w:val="fr-CH" w:eastAsia="zh-CN"/>
        </w:rPr>
        <w:tab/>
      </w:r>
      <w:r w:rsidR="00A875E3">
        <w:t>Toute entité ou organisation qui a changé de nature par suite d'une fusion ou d'une refonte de ses activités et qui, par conséquent, ne répond plus aux conditions l'autorisant à participer aux travaux</w:t>
      </w:r>
      <w:r w:rsidR="00BF0A3F">
        <w:t>.</w:t>
      </w:r>
    </w:p>
    <w:p w:rsidR="0000224C" w:rsidRPr="00A875E3" w:rsidRDefault="00B01ABB" w:rsidP="00BF0A3F">
      <w:pPr>
        <w:pStyle w:val="enumlev1"/>
        <w:rPr>
          <w:lang w:val="fr-CH" w:eastAsia="zh-CN"/>
        </w:rPr>
      </w:pPr>
      <w:r w:rsidRPr="00A875E3">
        <w:rPr>
          <w:lang w:val="fr-CH" w:eastAsia="zh-CN"/>
        </w:rPr>
        <w:t>•</w:t>
      </w:r>
      <w:r w:rsidRPr="00A875E3">
        <w:rPr>
          <w:lang w:val="fr-CH" w:eastAsia="zh-CN"/>
        </w:rPr>
        <w:tab/>
      </w:r>
      <w:r w:rsidR="00A875E3">
        <w:t>Toute entité ou organisation dont l'action, de l'avis du Conseil, s'est révélée manifestement contraire aux intérêts de l'UIT</w:t>
      </w:r>
      <w:r w:rsidR="00BF0A3F">
        <w:t>.</w:t>
      </w:r>
    </w:p>
    <w:p w:rsidR="00896897" w:rsidRPr="00A875E3" w:rsidRDefault="00B01ABB" w:rsidP="007D1428">
      <w:pPr>
        <w:pStyle w:val="enumlev1"/>
        <w:rPr>
          <w:lang w:val="fr-CH" w:eastAsia="zh-CN"/>
        </w:rPr>
      </w:pPr>
      <w:r w:rsidRPr="00A875E3">
        <w:rPr>
          <w:lang w:val="fr-CH" w:eastAsia="zh-CN"/>
        </w:rPr>
        <w:t>•</w:t>
      </w:r>
      <w:r w:rsidRPr="00A875E3">
        <w:rPr>
          <w:lang w:val="fr-CH" w:eastAsia="zh-CN"/>
        </w:rPr>
        <w:tab/>
      </w:r>
      <w:r w:rsidR="00A875E3">
        <w:t>Toute entité ou organisation qui, de l'avis du Conseil, a violé les règles ou les procédures de l'UIT</w:t>
      </w:r>
      <w:r w:rsidR="00896897" w:rsidRPr="00A875E3">
        <w:rPr>
          <w:lang w:val="fr-CH" w:eastAsia="zh-CN"/>
        </w:rPr>
        <w:t>.</w:t>
      </w:r>
    </w:p>
    <w:p w:rsidR="00A875E3" w:rsidRPr="00A875E3" w:rsidRDefault="00896897" w:rsidP="007D1428">
      <w:pPr>
        <w:rPr>
          <w:szCs w:val="24"/>
          <w:lang w:val="fr-CH"/>
        </w:rPr>
      </w:pPr>
      <w:r w:rsidRPr="00A875E3">
        <w:rPr>
          <w:szCs w:val="24"/>
          <w:lang w:val="fr-CH"/>
        </w:rPr>
        <w:t>4.2</w:t>
      </w:r>
      <w:r w:rsidRPr="00A875E3">
        <w:rPr>
          <w:szCs w:val="24"/>
          <w:lang w:val="fr-CH"/>
        </w:rPr>
        <w:tab/>
      </w:r>
      <w:r w:rsidR="00A875E3">
        <w:rPr>
          <w:szCs w:val="24"/>
          <w:lang w:val="fr-CH"/>
        </w:rPr>
        <w:t>En vertu des</w:t>
      </w:r>
      <w:r w:rsidR="00A875E3" w:rsidRPr="00A875E3">
        <w:rPr>
          <w:szCs w:val="24"/>
          <w:lang w:val="fr-CH"/>
        </w:rPr>
        <w:t xml:space="preserve"> numéros 240 et 241 de la Convention, </w:t>
      </w:r>
      <w:r w:rsidR="00A875E3">
        <w:rPr>
          <w:szCs w:val="24"/>
          <w:lang w:val="fr-CH"/>
        </w:rPr>
        <w:t>le</w:t>
      </w:r>
      <w:r w:rsidR="00A875E3" w:rsidRPr="00A875E3">
        <w:rPr>
          <w:szCs w:val="24"/>
          <w:lang w:val="fr-CH"/>
        </w:rPr>
        <w:t xml:space="preserve"> Conseil </w:t>
      </w:r>
      <w:r w:rsidR="00A875E3">
        <w:rPr>
          <w:szCs w:val="24"/>
          <w:lang w:val="fr-CH"/>
        </w:rPr>
        <w:t xml:space="preserve">est chargé </w:t>
      </w:r>
      <w:r w:rsidR="00A875E3" w:rsidRPr="00A875E3">
        <w:rPr>
          <w:szCs w:val="24"/>
          <w:lang w:val="fr-CH"/>
        </w:rPr>
        <w:t>d</w:t>
      </w:r>
      <w:r w:rsidR="00865BC1">
        <w:rPr>
          <w:szCs w:val="24"/>
          <w:lang w:val="fr-CH"/>
        </w:rPr>
        <w:t>'</w:t>
      </w:r>
      <w:r w:rsidR="00A875E3">
        <w:rPr>
          <w:szCs w:val="24"/>
          <w:lang w:val="fr-CH"/>
        </w:rPr>
        <w:t>établir</w:t>
      </w:r>
      <w:r w:rsidR="00A875E3" w:rsidRPr="00A875E3">
        <w:rPr>
          <w:szCs w:val="24"/>
          <w:lang w:val="fr-CH"/>
        </w:rPr>
        <w:t xml:space="preserve"> des critères et des proc</w:t>
      </w:r>
      <w:r w:rsidR="00A875E3">
        <w:rPr>
          <w:szCs w:val="24"/>
          <w:lang w:val="fr-CH"/>
        </w:rPr>
        <w:t>é</w:t>
      </w:r>
      <w:r w:rsidR="00A875E3" w:rsidRPr="00A875E3">
        <w:rPr>
          <w:szCs w:val="24"/>
          <w:lang w:val="fr-CH"/>
        </w:rPr>
        <w:t>dures plus précises concernant les dénonciations et les suppressions</w:t>
      </w:r>
      <w:r w:rsidR="00A875E3">
        <w:rPr>
          <w:szCs w:val="24"/>
          <w:lang w:val="fr-CH"/>
        </w:rPr>
        <w:t>. Ces dispositions ont été adoptées par le Conseil à sa session de 1993 (Doc</w:t>
      </w:r>
      <w:r w:rsidR="00310868">
        <w:rPr>
          <w:szCs w:val="24"/>
          <w:lang w:val="fr-CH"/>
        </w:rPr>
        <w:t>ument</w:t>
      </w:r>
      <w:r w:rsidR="00A875E3">
        <w:rPr>
          <w:szCs w:val="24"/>
          <w:lang w:val="fr-CH"/>
        </w:rPr>
        <w:t> C93/49).</w:t>
      </w:r>
    </w:p>
    <w:p w:rsidR="00896897" w:rsidRPr="007C2E63" w:rsidRDefault="00896897" w:rsidP="007D1428">
      <w:pPr>
        <w:pStyle w:val="Heading1"/>
        <w:rPr>
          <w:bCs/>
          <w:szCs w:val="24"/>
          <w:lang w:val="fr-CH"/>
        </w:rPr>
      </w:pPr>
      <w:r w:rsidRPr="007C2E63">
        <w:rPr>
          <w:bCs/>
          <w:szCs w:val="24"/>
          <w:lang w:val="fr-CH"/>
        </w:rPr>
        <w:t>5</w:t>
      </w:r>
      <w:r w:rsidRPr="007C2E63">
        <w:rPr>
          <w:bCs/>
          <w:szCs w:val="24"/>
          <w:lang w:val="fr-CH"/>
        </w:rPr>
        <w:tab/>
      </w:r>
      <w:r w:rsidR="005B0114">
        <w:rPr>
          <w:bCs/>
          <w:szCs w:val="24"/>
          <w:lang w:val="fr-CH"/>
        </w:rPr>
        <w:t>Contributions financières</w:t>
      </w:r>
    </w:p>
    <w:p w:rsidR="00043108" w:rsidRDefault="00896897" w:rsidP="007D1428">
      <w:pPr>
        <w:spacing w:after="120"/>
        <w:rPr>
          <w:szCs w:val="24"/>
          <w:lang w:val="fr-CH"/>
        </w:rPr>
      </w:pPr>
      <w:r w:rsidRPr="00BB3011">
        <w:rPr>
          <w:szCs w:val="24"/>
          <w:lang w:val="fr-CH"/>
        </w:rPr>
        <w:t>5.1</w:t>
      </w:r>
      <w:r w:rsidRPr="00BB3011">
        <w:rPr>
          <w:szCs w:val="24"/>
          <w:lang w:val="fr-CH"/>
        </w:rPr>
        <w:tab/>
      </w:r>
      <w:r w:rsidR="00043108" w:rsidRPr="00BB3011">
        <w:rPr>
          <w:szCs w:val="24"/>
          <w:lang w:val="fr-CH"/>
        </w:rPr>
        <w:t>L'article 28 de la Constitution (</w:t>
      </w:r>
      <w:r w:rsidR="00043108">
        <w:rPr>
          <w:szCs w:val="24"/>
          <w:lang w:val="fr-CH"/>
        </w:rPr>
        <w:t>numéro 159</w:t>
      </w:r>
      <w:r w:rsidR="00043108" w:rsidRPr="00BB3011">
        <w:rPr>
          <w:szCs w:val="24"/>
          <w:lang w:val="fr-CH"/>
        </w:rPr>
        <w:t>) st</w:t>
      </w:r>
      <w:r w:rsidR="00043108">
        <w:rPr>
          <w:szCs w:val="24"/>
          <w:lang w:val="fr-CH"/>
        </w:rPr>
        <w:t>ipule</w:t>
      </w:r>
      <w:r w:rsidR="00043108" w:rsidRPr="00BB3011">
        <w:rPr>
          <w:szCs w:val="24"/>
          <w:lang w:val="fr-CH"/>
        </w:rPr>
        <w:t xml:space="preserve"> que les </w:t>
      </w:r>
      <w:r w:rsidR="00043108" w:rsidRPr="00BB3011">
        <w:rPr>
          <w:lang w:val="fr-CH"/>
        </w:rPr>
        <w:t>dépenses de l'Union sont couvertes par</w:t>
      </w:r>
      <w:r w:rsidR="00043108" w:rsidRPr="00BB3011">
        <w:t xml:space="preserve"> </w:t>
      </w:r>
      <w:r w:rsidR="00043108">
        <w:t>les contributions de ses Etats Membres et des Membres de Secteur</w:t>
      </w:r>
      <w:r w:rsidR="00043108" w:rsidRPr="00BB3011">
        <w:rPr>
          <w:szCs w:val="24"/>
          <w:lang w:val="fr-CH"/>
        </w:rPr>
        <w:t xml:space="preserve">, </w:t>
      </w:r>
      <w:r w:rsidR="00043108">
        <w:rPr>
          <w:szCs w:val="24"/>
          <w:lang w:val="fr-CH"/>
        </w:rPr>
        <w:t xml:space="preserve">entre autres </w:t>
      </w:r>
      <w:r w:rsidR="00043108" w:rsidRPr="00BB3011">
        <w:rPr>
          <w:szCs w:val="24"/>
          <w:lang w:val="fr-CH"/>
        </w:rPr>
        <w:t>sources</w:t>
      </w:r>
      <w:r w:rsidR="00043108">
        <w:rPr>
          <w:szCs w:val="24"/>
          <w:lang w:val="fr-CH"/>
        </w:rPr>
        <w:t xml:space="preserve"> de financement</w:t>
      </w:r>
      <w:r w:rsidR="00043108" w:rsidRPr="00BB3011">
        <w:rPr>
          <w:szCs w:val="24"/>
          <w:lang w:val="fr-CH"/>
        </w:rPr>
        <w:t>.</w:t>
      </w:r>
    </w:p>
    <w:p w:rsidR="00043108" w:rsidRPr="00043108" w:rsidRDefault="00896897" w:rsidP="007D1428">
      <w:pPr>
        <w:spacing w:after="120"/>
        <w:rPr>
          <w:rFonts w:cstheme="minorHAnsi"/>
          <w:szCs w:val="24"/>
        </w:rPr>
      </w:pPr>
      <w:r w:rsidRPr="00043108">
        <w:rPr>
          <w:rFonts w:cstheme="minorHAnsi"/>
          <w:szCs w:val="24"/>
        </w:rPr>
        <w:t>5.2</w:t>
      </w:r>
      <w:r w:rsidRPr="00043108">
        <w:rPr>
          <w:rFonts w:cstheme="minorHAnsi"/>
          <w:szCs w:val="24"/>
        </w:rPr>
        <w:tab/>
      </w:r>
      <w:r w:rsidR="005B0114">
        <w:rPr>
          <w:rFonts w:cstheme="minorHAnsi"/>
          <w:szCs w:val="24"/>
        </w:rPr>
        <w:t>La contribution financière</w:t>
      </w:r>
      <w:r w:rsidR="00383EDD">
        <w:rPr>
          <w:rFonts w:cstheme="minorHAnsi"/>
          <w:szCs w:val="24"/>
        </w:rPr>
        <w:t xml:space="preserve"> </w:t>
      </w:r>
      <w:r w:rsidR="005B0114">
        <w:rPr>
          <w:rFonts w:cstheme="minorHAnsi"/>
          <w:szCs w:val="24"/>
        </w:rPr>
        <w:t>d</w:t>
      </w:r>
      <w:r w:rsidR="00043108" w:rsidRPr="00043108">
        <w:rPr>
          <w:rFonts w:cstheme="minorHAnsi"/>
          <w:szCs w:val="24"/>
        </w:rPr>
        <w:t xml:space="preserve">es Membres de Secteur </w:t>
      </w:r>
      <w:r w:rsidR="005B0114">
        <w:rPr>
          <w:rFonts w:cstheme="minorHAnsi"/>
          <w:szCs w:val="24"/>
        </w:rPr>
        <w:t>est</w:t>
      </w:r>
      <w:r w:rsidR="007C2E63">
        <w:rPr>
          <w:rFonts w:cstheme="minorHAnsi"/>
          <w:szCs w:val="24"/>
        </w:rPr>
        <w:t xml:space="preserve"> calculé</w:t>
      </w:r>
      <w:r w:rsidR="005B0114">
        <w:rPr>
          <w:rFonts w:cstheme="minorHAnsi"/>
          <w:szCs w:val="24"/>
        </w:rPr>
        <w:t>e</w:t>
      </w:r>
      <w:r w:rsidR="007C2E63">
        <w:rPr>
          <w:rFonts w:cstheme="minorHAnsi"/>
          <w:szCs w:val="24"/>
        </w:rPr>
        <w:t xml:space="preserve"> </w:t>
      </w:r>
      <w:r w:rsidR="0062067F">
        <w:rPr>
          <w:rFonts w:cstheme="minorHAnsi"/>
          <w:szCs w:val="24"/>
        </w:rPr>
        <w:t xml:space="preserve">selon un </w:t>
      </w:r>
      <w:r w:rsidR="00483353">
        <w:rPr>
          <w:rFonts w:cstheme="minorHAnsi"/>
          <w:szCs w:val="24"/>
        </w:rPr>
        <w:t>barème</w:t>
      </w:r>
      <w:r w:rsidR="0062067F">
        <w:rPr>
          <w:rFonts w:cstheme="minorHAnsi"/>
          <w:szCs w:val="24"/>
        </w:rPr>
        <w:t xml:space="preserve"> </w:t>
      </w:r>
      <w:r w:rsidR="00043108">
        <w:rPr>
          <w:rFonts w:cstheme="minorHAnsi"/>
          <w:szCs w:val="24"/>
        </w:rPr>
        <w:t xml:space="preserve">propre à chaque Secteur, </w:t>
      </w:r>
      <w:r w:rsidR="007C2E63">
        <w:rPr>
          <w:rFonts w:cstheme="minorHAnsi"/>
          <w:szCs w:val="24"/>
        </w:rPr>
        <w:t>sur la base de la</w:t>
      </w:r>
      <w:r w:rsidR="00043108">
        <w:rPr>
          <w:rFonts w:cstheme="minorHAnsi"/>
          <w:szCs w:val="24"/>
        </w:rPr>
        <w:t xml:space="preserve"> structure </w:t>
      </w:r>
      <w:r w:rsidR="00801E28">
        <w:rPr>
          <w:rFonts w:cstheme="minorHAnsi"/>
          <w:szCs w:val="24"/>
        </w:rPr>
        <w:t>d</w:t>
      </w:r>
      <w:r w:rsidR="00483353">
        <w:rPr>
          <w:rFonts w:cstheme="minorHAnsi"/>
          <w:szCs w:val="24"/>
        </w:rPr>
        <w:t>e l</w:t>
      </w:r>
      <w:r w:rsidR="00865BC1">
        <w:rPr>
          <w:rFonts w:cstheme="minorHAnsi"/>
          <w:szCs w:val="24"/>
        </w:rPr>
        <w:t>'</w:t>
      </w:r>
      <w:r w:rsidR="00801E28">
        <w:rPr>
          <w:rFonts w:cstheme="minorHAnsi"/>
          <w:szCs w:val="24"/>
        </w:rPr>
        <w:t>unité contributive</w:t>
      </w:r>
      <w:r w:rsidR="00043108">
        <w:rPr>
          <w:rFonts w:cstheme="minorHAnsi"/>
          <w:szCs w:val="24"/>
        </w:rPr>
        <w:t xml:space="preserve">. </w:t>
      </w:r>
      <w:r w:rsidR="005B0114">
        <w:rPr>
          <w:rFonts w:cstheme="minorHAnsi"/>
          <w:szCs w:val="24"/>
        </w:rPr>
        <w:t>Son</w:t>
      </w:r>
      <w:r w:rsidR="00043108">
        <w:rPr>
          <w:rFonts w:cstheme="minorHAnsi"/>
          <w:szCs w:val="24"/>
        </w:rPr>
        <w:t xml:space="preserve"> </w:t>
      </w:r>
      <w:r w:rsidR="005B0114">
        <w:rPr>
          <w:rFonts w:cstheme="minorHAnsi"/>
          <w:szCs w:val="24"/>
        </w:rPr>
        <w:t>montant</w:t>
      </w:r>
      <w:r w:rsidR="00043108">
        <w:rPr>
          <w:rFonts w:cstheme="minorHAnsi"/>
          <w:szCs w:val="24"/>
        </w:rPr>
        <w:t xml:space="preserve"> varie en fonction du Secteur </w:t>
      </w:r>
      <w:r w:rsidR="0062067F">
        <w:rPr>
          <w:rFonts w:cstheme="minorHAnsi"/>
          <w:szCs w:val="24"/>
        </w:rPr>
        <w:t>choisi</w:t>
      </w:r>
      <w:r w:rsidR="00043108">
        <w:rPr>
          <w:rFonts w:cstheme="minorHAnsi"/>
          <w:szCs w:val="24"/>
        </w:rPr>
        <w:t xml:space="preserve"> et du lieu d</w:t>
      </w:r>
      <w:r w:rsidR="00865BC1">
        <w:rPr>
          <w:rFonts w:cstheme="minorHAnsi"/>
          <w:szCs w:val="24"/>
        </w:rPr>
        <w:t>'</w:t>
      </w:r>
      <w:r w:rsidR="00043108">
        <w:rPr>
          <w:rFonts w:cstheme="minorHAnsi"/>
          <w:szCs w:val="24"/>
        </w:rPr>
        <w:t>origine de l</w:t>
      </w:r>
      <w:r w:rsidR="00865BC1">
        <w:rPr>
          <w:rFonts w:cstheme="minorHAnsi"/>
          <w:szCs w:val="24"/>
        </w:rPr>
        <w:t>'</w:t>
      </w:r>
      <w:r w:rsidR="00043108">
        <w:rPr>
          <w:rFonts w:cstheme="minorHAnsi"/>
          <w:szCs w:val="24"/>
        </w:rPr>
        <w:t xml:space="preserve">entité </w:t>
      </w:r>
      <w:r w:rsidR="007C2E63">
        <w:rPr>
          <w:rFonts w:cstheme="minorHAnsi"/>
          <w:szCs w:val="24"/>
        </w:rPr>
        <w:t>souhaitant participer aux activités de l</w:t>
      </w:r>
      <w:r w:rsidR="00865BC1">
        <w:rPr>
          <w:rFonts w:cstheme="minorHAnsi"/>
          <w:szCs w:val="24"/>
        </w:rPr>
        <w:t>'</w:t>
      </w:r>
      <w:r w:rsidR="007C2E63">
        <w:rPr>
          <w:rFonts w:cstheme="minorHAnsi"/>
          <w:szCs w:val="24"/>
        </w:rPr>
        <w:t>UIT</w:t>
      </w:r>
      <w:r w:rsidR="00043108">
        <w:rPr>
          <w:rFonts w:cstheme="minorHAnsi"/>
          <w:szCs w:val="24"/>
        </w:rPr>
        <w:t xml:space="preserve">. </w:t>
      </w:r>
      <w:r w:rsidR="0062067F">
        <w:rPr>
          <w:rFonts w:cstheme="minorHAnsi"/>
          <w:szCs w:val="24"/>
        </w:rPr>
        <w:t>D</w:t>
      </w:r>
      <w:r w:rsidR="007C2E63">
        <w:rPr>
          <w:rFonts w:cstheme="minorHAnsi"/>
          <w:szCs w:val="24"/>
        </w:rPr>
        <w:t xml:space="preserve">es </w:t>
      </w:r>
      <w:r w:rsidR="0062067F">
        <w:rPr>
          <w:rFonts w:cstheme="minorHAnsi"/>
          <w:szCs w:val="24"/>
        </w:rPr>
        <w:t>renseignements</w:t>
      </w:r>
      <w:r w:rsidR="007C2E63">
        <w:rPr>
          <w:rFonts w:cstheme="minorHAnsi"/>
          <w:szCs w:val="24"/>
        </w:rPr>
        <w:t xml:space="preserve"> </w:t>
      </w:r>
      <w:r w:rsidR="0062067F">
        <w:rPr>
          <w:rFonts w:cstheme="minorHAnsi"/>
          <w:szCs w:val="24"/>
        </w:rPr>
        <w:t>détaillés</w:t>
      </w:r>
      <w:r w:rsidR="007C2E63">
        <w:rPr>
          <w:rFonts w:cstheme="minorHAnsi"/>
          <w:szCs w:val="24"/>
        </w:rPr>
        <w:t xml:space="preserve"> </w:t>
      </w:r>
      <w:r w:rsidR="0062067F">
        <w:rPr>
          <w:rFonts w:cstheme="minorHAnsi"/>
          <w:szCs w:val="24"/>
        </w:rPr>
        <w:t>concernant le choix</w:t>
      </w:r>
      <w:r w:rsidR="00383EDD">
        <w:rPr>
          <w:rFonts w:cstheme="minorHAnsi"/>
          <w:szCs w:val="24"/>
        </w:rPr>
        <w:t xml:space="preserve"> d</w:t>
      </w:r>
      <w:r w:rsidR="00865BC1">
        <w:rPr>
          <w:rFonts w:cstheme="minorHAnsi"/>
          <w:szCs w:val="24"/>
        </w:rPr>
        <w:t>'</w:t>
      </w:r>
      <w:r w:rsidR="00383EDD">
        <w:rPr>
          <w:rFonts w:cstheme="minorHAnsi"/>
          <w:szCs w:val="24"/>
        </w:rPr>
        <w:t>une</w:t>
      </w:r>
      <w:r w:rsidR="00483353">
        <w:rPr>
          <w:rFonts w:cstheme="minorHAnsi"/>
          <w:szCs w:val="24"/>
        </w:rPr>
        <w:t xml:space="preserve"> </w:t>
      </w:r>
      <w:r w:rsidR="007C2E63">
        <w:rPr>
          <w:rFonts w:cstheme="minorHAnsi"/>
          <w:szCs w:val="24"/>
        </w:rPr>
        <w:t xml:space="preserve">classe de contribution sont exposés dans les numéros 161H à 168 de la Constitution. </w:t>
      </w:r>
      <w:r w:rsidR="0062067F">
        <w:rPr>
          <w:rFonts w:cstheme="minorHAnsi"/>
          <w:szCs w:val="24"/>
        </w:rPr>
        <w:t>Par sa Résolution 152 (</w:t>
      </w:r>
      <w:proofErr w:type="spellStart"/>
      <w:r w:rsidR="0062067F">
        <w:rPr>
          <w:rFonts w:cstheme="minorHAnsi"/>
          <w:szCs w:val="24"/>
        </w:rPr>
        <w:t>Rév</w:t>
      </w:r>
      <w:proofErr w:type="spellEnd"/>
      <w:r w:rsidR="0062067F">
        <w:rPr>
          <w:rFonts w:cstheme="minorHAnsi"/>
          <w:szCs w:val="24"/>
        </w:rPr>
        <w:t>. Guadalajara, 2010), la Conférence de plénipotentiaires</w:t>
      </w:r>
      <w:r w:rsidR="007C2E63">
        <w:rPr>
          <w:rFonts w:cstheme="minorHAnsi"/>
          <w:szCs w:val="24"/>
        </w:rPr>
        <w:t xml:space="preserve"> </w:t>
      </w:r>
      <w:r w:rsidR="0062067F">
        <w:rPr>
          <w:rFonts w:cstheme="minorHAnsi"/>
          <w:szCs w:val="24"/>
        </w:rPr>
        <w:t xml:space="preserve">a introduit </w:t>
      </w:r>
      <w:r w:rsidR="007C2E63">
        <w:rPr>
          <w:rFonts w:cstheme="minorHAnsi"/>
          <w:szCs w:val="24"/>
        </w:rPr>
        <w:t xml:space="preserve">des dispositions visant à améliorer la gestion et le suivi </w:t>
      </w:r>
      <w:r w:rsidR="005B0114">
        <w:rPr>
          <w:rFonts w:cstheme="minorHAnsi"/>
          <w:szCs w:val="24"/>
        </w:rPr>
        <w:t>de la contribution financière</w:t>
      </w:r>
      <w:r w:rsidR="007C2E63">
        <w:rPr>
          <w:rFonts w:cstheme="minorHAnsi"/>
          <w:szCs w:val="24"/>
        </w:rPr>
        <w:t xml:space="preserve"> des Membres de Secteur et des Associés.</w:t>
      </w:r>
    </w:p>
    <w:p w:rsidR="0059452D" w:rsidRPr="0059452D" w:rsidRDefault="00896897" w:rsidP="007D1428">
      <w:pPr>
        <w:spacing w:after="120"/>
        <w:rPr>
          <w:rFonts w:cstheme="minorHAnsi"/>
          <w:szCs w:val="24"/>
          <w:lang w:val="fr-CH"/>
        </w:rPr>
      </w:pPr>
      <w:r w:rsidRPr="0059452D">
        <w:rPr>
          <w:rFonts w:cstheme="minorHAnsi"/>
          <w:szCs w:val="24"/>
          <w:lang w:val="fr-CH"/>
        </w:rPr>
        <w:t>5.3</w:t>
      </w:r>
      <w:r w:rsidRPr="0059452D">
        <w:rPr>
          <w:rFonts w:cstheme="minorHAnsi"/>
          <w:szCs w:val="24"/>
          <w:lang w:val="fr-CH"/>
        </w:rPr>
        <w:tab/>
      </w:r>
      <w:r w:rsidR="0059452D" w:rsidRPr="0059452D">
        <w:rPr>
          <w:rFonts w:cstheme="minorHAnsi"/>
          <w:szCs w:val="24"/>
          <w:lang w:val="fr-CH"/>
        </w:rPr>
        <w:t>L</w:t>
      </w:r>
      <w:r w:rsidR="0059452D">
        <w:rPr>
          <w:rFonts w:cstheme="minorHAnsi"/>
          <w:szCs w:val="24"/>
          <w:lang w:val="fr-CH"/>
        </w:rPr>
        <w:t>e montant de l</w:t>
      </w:r>
      <w:r w:rsidR="00865BC1">
        <w:rPr>
          <w:rFonts w:cstheme="minorHAnsi"/>
          <w:szCs w:val="24"/>
          <w:lang w:val="fr-CH"/>
        </w:rPr>
        <w:t>'</w:t>
      </w:r>
      <w:r w:rsidR="0059452D" w:rsidRPr="0059452D">
        <w:rPr>
          <w:rFonts w:cstheme="minorHAnsi"/>
          <w:szCs w:val="24"/>
          <w:lang w:val="fr-CH"/>
        </w:rPr>
        <w:t xml:space="preserve">unité contributive des Membres de Secteur </w:t>
      </w:r>
      <w:r w:rsidR="0059452D">
        <w:rPr>
          <w:rFonts w:cstheme="minorHAnsi"/>
          <w:szCs w:val="24"/>
          <w:lang w:val="fr-CH"/>
        </w:rPr>
        <w:t>équivaut à 1/5</w:t>
      </w:r>
      <w:r w:rsidR="00DB2C02">
        <w:rPr>
          <w:rFonts w:cstheme="minorHAnsi"/>
          <w:szCs w:val="24"/>
          <w:lang w:val="fr-CH"/>
        </w:rPr>
        <w:t xml:space="preserve"> </w:t>
      </w:r>
      <w:r w:rsidR="0059452D">
        <w:rPr>
          <w:rFonts w:cstheme="minorHAnsi"/>
          <w:szCs w:val="24"/>
          <w:lang w:val="fr-CH"/>
        </w:rPr>
        <w:t xml:space="preserve">du montant de </w:t>
      </w:r>
      <w:r w:rsidR="00483353">
        <w:rPr>
          <w:rFonts w:cstheme="minorHAnsi"/>
          <w:szCs w:val="24"/>
          <w:lang w:val="fr-CH"/>
        </w:rPr>
        <w:t>celle</w:t>
      </w:r>
      <w:r w:rsidR="0059452D">
        <w:rPr>
          <w:rFonts w:cstheme="minorHAnsi"/>
          <w:szCs w:val="24"/>
          <w:lang w:val="fr-CH"/>
        </w:rPr>
        <w:t xml:space="preserve"> des Etats Membres. Etant donné que le montant de l</w:t>
      </w:r>
      <w:r w:rsidR="00865BC1">
        <w:rPr>
          <w:rFonts w:cstheme="minorHAnsi"/>
          <w:szCs w:val="24"/>
          <w:lang w:val="fr-CH"/>
        </w:rPr>
        <w:t>'</w:t>
      </w:r>
      <w:r w:rsidR="0059452D">
        <w:rPr>
          <w:rFonts w:cstheme="minorHAnsi"/>
          <w:szCs w:val="24"/>
          <w:lang w:val="fr-CH"/>
        </w:rPr>
        <w:t>unité contributive de</w:t>
      </w:r>
      <w:r w:rsidR="00DB2C02">
        <w:rPr>
          <w:rFonts w:cstheme="minorHAnsi"/>
          <w:szCs w:val="24"/>
          <w:lang w:val="fr-CH"/>
        </w:rPr>
        <w:t xml:space="preserve"> ce</w:t>
      </w:r>
      <w:r w:rsidR="0059452D">
        <w:rPr>
          <w:rFonts w:cstheme="minorHAnsi"/>
          <w:szCs w:val="24"/>
          <w:lang w:val="fr-CH"/>
        </w:rPr>
        <w:t xml:space="preserve">s </w:t>
      </w:r>
      <w:r w:rsidR="00DB2C02">
        <w:rPr>
          <w:rFonts w:cstheme="minorHAnsi"/>
          <w:szCs w:val="24"/>
          <w:lang w:val="fr-CH"/>
        </w:rPr>
        <w:t>derniers</w:t>
      </w:r>
      <w:r w:rsidR="0059452D">
        <w:rPr>
          <w:rFonts w:cstheme="minorHAnsi"/>
          <w:szCs w:val="24"/>
          <w:lang w:val="fr-CH"/>
        </w:rPr>
        <w:t xml:space="preserve"> </w:t>
      </w:r>
      <w:r w:rsidR="00DC1D48">
        <w:rPr>
          <w:rFonts w:cstheme="minorHAnsi"/>
          <w:szCs w:val="24"/>
          <w:lang w:val="fr-CH"/>
        </w:rPr>
        <w:t>est</w:t>
      </w:r>
      <w:r w:rsidR="0059452D">
        <w:rPr>
          <w:rFonts w:cstheme="minorHAnsi"/>
          <w:szCs w:val="24"/>
          <w:lang w:val="fr-CH"/>
        </w:rPr>
        <w:t xml:space="preserve"> actuellement </w:t>
      </w:r>
      <w:r w:rsidR="00DC1D48">
        <w:rPr>
          <w:rFonts w:cstheme="minorHAnsi"/>
          <w:szCs w:val="24"/>
          <w:lang w:val="fr-CH"/>
        </w:rPr>
        <w:t>de</w:t>
      </w:r>
      <w:r w:rsidR="0059452D">
        <w:rPr>
          <w:rFonts w:cstheme="minorHAnsi"/>
          <w:szCs w:val="24"/>
          <w:lang w:val="fr-CH"/>
        </w:rPr>
        <w:t xml:space="preserve"> 318 000 CHF, le montant </w:t>
      </w:r>
      <w:r w:rsidR="0031544E">
        <w:rPr>
          <w:rFonts w:cstheme="minorHAnsi"/>
          <w:szCs w:val="24"/>
          <w:lang w:val="fr-CH"/>
        </w:rPr>
        <w:t>de l</w:t>
      </w:r>
      <w:r w:rsidR="00865BC1">
        <w:rPr>
          <w:rFonts w:cstheme="minorHAnsi"/>
          <w:szCs w:val="24"/>
          <w:lang w:val="fr-CH"/>
        </w:rPr>
        <w:t>'</w:t>
      </w:r>
      <w:r w:rsidR="0031544E">
        <w:rPr>
          <w:rFonts w:cstheme="minorHAnsi"/>
          <w:szCs w:val="24"/>
          <w:lang w:val="fr-CH"/>
        </w:rPr>
        <w:t>unité contributive des</w:t>
      </w:r>
      <w:r w:rsidR="0059452D">
        <w:rPr>
          <w:rFonts w:cstheme="minorHAnsi"/>
          <w:szCs w:val="24"/>
          <w:lang w:val="fr-CH"/>
        </w:rPr>
        <w:t xml:space="preserve"> Membres de Secteur </w:t>
      </w:r>
      <w:r w:rsidR="00DC1D48">
        <w:rPr>
          <w:rFonts w:cstheme="minorHAnsi"/>
          <w:szCs w:val="24"/>
          <w:lang w:val="fr-CH"/>
        </w:rPr>
        <w:t>s</w:t>
      </w:r>
      <w:r w:rsidR="00865BC1">
        <w:rPr>
          <w:rFonts w:cstheme="minorHAnsi"/>
          <w:szCs w:val="24"/>
          <w:lang w:val="fr-CH"/>
        </w:rPr>
        <w:t>'</w:t>
      </w:r>
      <w:r w:rsidR="00DC1D48">
        <w:rPr>
          <w:rFonts w:cstheme="minorHAnsi"/>
          <w:szCs w:val="24"/>
          <w:lang w:val="fr-CH"/>
        </w:rPr>
        <w:t>élève</w:t>
      </w:r>
      <w:r w:rsidR="0059452D">
        <w:rPr>
          <w:rFonts w:cstheme="minorHAnsi"/>
          <w:szCs w:val="24"/>
          <w:lang w:val="fr-CH"/>
        </w:rPr>
        <w:t xml:space="preserve"> </w:t>
      </w:r>
      <w:r w:rsidR="004F6199">
        <w:rPr>
          <w:rFonts w:cstheme="minorHAnsi"/>
          <w:szCs w:val="24"/>
          <w:lang w:val="fr-CH"/>
        </w:rPr>
        <w:t>à </w:t>
      </w:r>
      <w:r w:rsidR="0059452D">
        <w:rPr>
          <w:rFonts w:cstheme="minorHAnsi"/>
          <w:szCs w:val="24"/>
          <w:lang w:val="fr-CH"/>
        </w:rPr>
        <w:t xml:space="preserve">63 800 CHF (numéro 480 de la Convention). En vertu du numéro 468B de la Convention, </w:t>
      </w:r>
      <w:r w:rsidR="005B0114">
        <w:rPr>
          <w:rFonts w:cstheme="minorHAnsi"/>
          <w:szCs w:val="24"/>
          <w:lang w:val="fr-CH"/>
        </w:rPr>
        <w:t>la contribution financière</w:t>
      </w:r>
      <w:r w:rsidR="0059452D">
        <w:rPr>
          <w:rFonts w:cstheme="minorHAnsi"/>
          <w:szCs w:val="24"/>
          <w:lang w:val="fr-CH"/>
        </w:rPr>
        <w:t xml:space="preserve"> des Mem</w:t>
      </w:r>
      <w:r w:rsidR="00F72095">
        <w:rPr>
          <w:rFonts w:cstheme="minorHAnsi"/>
          <w:szCs w:val="24"/>
          <w:lang w:val="fr-CH"/>
        </w:rPr>
        <w:t xml:space="preserve">bres des Secteurs </w:t>
      </w:r>
      <w:r w:rsidR="0059452D">
        <w:rPr>
          <w:rFonts w:cstheme="minorHAnsi"/>
          <w:szCs w:val="24"/>
          <w:lang w:val="fr-CH"/>
        </w:rPr>
        <w:t>UIT</w:t>
      </w:r>
      <w:r w:rsidR="0059452D">
        <w:rPr>
          <w:rFonts w:cstheme="minorHAnsi"/>
          <w:szCs w:val="24"/>
          <w:lang w:val="fr-CH"/>
        </w:rPr>
        <w:noBreakHyphen/>
        <w:t>R et UIT</w:t>
      </w:r>
      <w:r w:rsidR="0059452D">
        <w:rPr>
          <w:rFonts w:cstheme="minorHAnsi"/>
          <w:szCs w:val="24"/>
          <w:lang w:val="fr-CH"/>
        </w:rPr>
        <w:noBreakHyphen/>
        <w:t xml:space="preserve">T </w:t>
      </w:r>
      <w:r w:rsidR="00F72095">
        <w:rPr>
          <w:rFonts w:cstheme="minorHAnsi"/>
          <w:szCs w:val="24"/>
          <w:lang w:val="fr-CH"/>
        </w:rPr>
        <w:t>s</w:t>
      </w:r>
      <w:r w:rsidR="00865BC1">
        <w:rPr>
          <w:rFonts w:cstheme="minorHAnsi"/>
          <w:szCs w:val="24"/>
          <w:lang w:val="fr-CH"/>
        </w:rPr>
        <w:t>'</w:t>
      </w:r>
      <w:r w:rsidR="00F72095">
        <w:rPr>
          <w:rFonts w:cstheme="minorHAnsi"/>
          <w:szCs w:val="24"/>
          <w:lang w:val="fr-CH"/>
        </w:rPr>
        <w:t>élève</w:t>
      </w:r>
      <w:r w:rsidR="00DB2C02">
        <w:rPr>
          <w:rFonts w:cstheme="minorHAnsi"/>
          <w:szCs w:val="24"/>
          <w:lang w:val="fr-CH"/>
        </w:rPr>
        <w:t>nt</w:t>
      </w:r>
      <w:r w:rsidR="0059452D">
        <w:rPr>
          <w:rFonts w:cstheme="minorHAnsi"/>
          <w:szCs w:val="24"/>
          <w:lang w:val="fr-CH"/>
        </w:rPr>
        <w:t xml:space="preserve"> au minimum </w:t>
      </w:r>
      <w:r w:rsidR="00F72095">
        <w:rPr>
          <w:rFonts w:cstheme="minorHAnsi"/>
          <w:szCs w:val="24"/>
          <w:lang w:val="fr-CH"/>
        </w:rPr>
        <w:t>à</w:t>
      </w:r>
      <w:r w:rsidR="008B7415">
        <w:rPr>
          <w:rFonts w:cstheme="minorHAnsi"/>
          <w:szCs w:val="24"/>
          <w:lang w:val="fr-CH"/>
        </w:rPr>
        <w:t> 1/2 </w:t>
      </w:r>
      <w:r w:rsidR="0059452D">
        <w:rPr>
          <w:rFonts w:cstheme="minorHAnsi"/>
          <w:szCs w:val="24"/>
          <w:lang w:val="fr-CH"/>
        </w:rPr>
        <w:t>unité</w:t>
      </w:r>
      <w:r w:rsidR="00F72095">
        <w:rPr>
          <w:rFonts w:cstheme="minorHAnsi"/>
          <w:szCs w:val="24"/>
          <w:lang w:val="fr-CH"/>
        </w:rPr>
        <w:t xml:space="preserve">, soit actuellement 31 800 CHF, </w:t>
      </w:r>
      <w:r w:rsidR="00184599">
        <w:rPr>
          <w:rFonts w:cstheme="minorHAnsi"/>
          <w:szCs w:val="24"/>
          <w:lang w:val="fr-CH"/>
        </w:rPr>
        <w:t>mais</w:t>
      </w:r>
      <w:r w:rsidR="00F72095">
        <w:rPr>
          <w:rFonts w:cstheme="minorHAnsi"/>
          <w:szCs w:val="24"/>
          <w:lang w:val="fr-CH"/>
        </w:rPr>
        <w:t xml:space="preserve"> certaines </w:t>
      </w:r>
      <w:r w:rsidR="00D511F7">
        <w:rPr>
          <w:rFonts w:cstheme="minorHAnsi"/>
          <w:szCs w:val="24"/>
          <w:lang w:val="fr-CH"/>
        </w:rPr>
        <w:t xml:space="preserve">grandes </w:t>
      </w:r>
      <w:r w:rsidR="00F72095">
        <w:rPr>
          <w:rFonts w:cstheme="minorHAnsi"/>
          <w:szCs w:val="24"/>
          <w:lang w:val="fr-CH"/>
        </w:rPr>
        <w:t xml:space="preserve">entreprises </w:t>
      </w:r>
      <w:r w:rsidR="00184599">
        <w:rPr>
          <w:rFonts w:cstheme="minorHAnsi"/>
          <w:szCs w:val="24"/>
          <w:lang w:val="fr-CH"/>
        </w:rPr>
        <w:t xml:space="preserve">versent </w:t>
      </w:r>
      <w:r w:rsidR="00F72095">
        <w:rPr>
          <w:rFonts w:cstheme="minorHAnsi"/>
          <w:szCs w:val="24"/>
          <w:lang w:val="fr-CH"/>
        </w:rPr>
        <w:t>un</w:t>
      </w:r>
      <w:r w:rsidR="00D511F7">
        <w:rPr>
          <w:rFonts w:cstheme="minorHAnsi"/>
          <w:szCs w:val="24"/>
          <w:lang w:val="fr-CH"/>
        </w:rPr>
        <w:t>e</w:t>
      </w:r>
      <w:r w:rsidR="00F72095">
        <w:rPr>
          <w:rFonts w:cstheme="minorHAnsi"/>
          <w:szCs w:val="24"/>
          <w:lang w:val="fr-CH"/>
        </w:rPr>
        <w:t xml:space="preserve"> </w:t>
      </w:r>
      <w:r w:rsidR="00D511F7">
        <w:rPr>
          <w:rFonts w:cstheme="minorHAnsi"/>
          <w:szCs w:val="24"/>
          <w:lang w:val="fr-CH"/>
        </w:rPr>
        <w:t>contribution</w:t>
      </w:r>
      <w:r w:rsidR="00F72095">
        <w:rPr>
          <w:rFonts w:cstheme="minorHAnsi"/>
          <w:szCs w:val="24"/>
          <w:lang w:val="fr-CH"/>
        </w:rPr>
        <w:t xml:space="preserve"> supérieur</w:t>
      </w:r>
      <w:r w:rsidR="00D511F7">
        <w:rPr>
          <w:rFonts w:cstheme="minorHAnsi"/>
          <w:szCs w:val="24"/>
          <w:lang w:val="fr-CH"/>
        </w:rPr>
        <w:t>e</w:t>
      </w:r>
      <w:r w:rsidR="00F72095">
        <w:rPr>
          <w:rFonts w:cstheme="minorHAnsi"/>
          <w:szCs w:val="24"/>
          <w:lang w:val="fr-CH"/>
        </w:rPr>
        <w:t xml:space="preserve"> au minimum. Conformément à la Résolution</w:t>
      </w:r>
      <w:r w:rsidR="00DB2C02">
        <w:rPr>
          <w:rFonts w:cstheme="minorHAnsi"/>
          <w:szCs w:val="24"/>
          <w:lang w:val="fr-CH"/>
        </w:rPr>
        <w:t> </w:t>
      </w:r>
      <w:r w:rsidR="00F72095">
        <w:rPr>
          <w:rFonts w:cstheme="minorHAnsi"/>
          <w:szCs w:val="24"/>
          <w:lang w:val="fr-CH"/>
        </w:rPr>
        <w:t>170 (Guadalajara, 2010)</w:t>
      </w:r>
      <w:r w:rsidR="00DC1D48">
        <w:rPr>
          <w:rFonts w:cstheme="minorHAnsi"/>
          <w:szCs w:val="24"/>
          <w:lang w:val="fr-CH"/>
        </w:rPr>
        <w:t xml:space="preserve"> de la Conférence de plénipotentiaires</w:t>
      </w:r>
      <w:r w:rsidR="00F72095">
        <w:rPr>
          <w:rFonts w:cstheme="minorHAnsi"/>
          <w:szCs w:val="24"/>
          <w:lang w:val="fr-CH"/>
        </w:rPr>
        <w:t xml:space="preserve">, </w:t>
      </w:r>
      <w:r w:rsidR="00184599">
        <w:rPr>
          <w:rFonts w:cstheme="minorHAnsi"/>
          <w:szCs w:val="24"/>
          <w:lang w:val="fr-CH"/>
        </w:rPr>
        <w:t>les entités des pays à "faible revenu" (moins de 2</w:t>
      </w:r>
      <w:r w:rsidR="004F6199">
        <w:rPr>
          <w:rFonts w:cstheme="minorHAnsi"/>
          <w:szCs w:val="24"/>
          <w:lang w:val="fr-CH"/>
        </w:rPr>
        <w:t> </w:t>
      </w:r>
      <w:r w:rsidR="00184599">
        <w:rPr>
          <w:rFonts w:cstheme="minorHAnsi"/>
          <w:szCs w:val="24"/>
          <w:lang w:val="fr-CH"/>
        </w:rPr>
        <w:t xml:space="preserve">000 USD annuels par habitant, selon </w:t>
      </w:r>
      <w:r w:rsidR="00DB2C02">
        <w:rPr>
          <w:rFonts w:cstheme="minorHAnsi"/>
          <w:szCs w:val="24"/>
          <w:lang w:val="fr-CH"/>
        </w:rPr>
        <w:t>la définition</w:t>
      </w:r>
      <w:r w:rsidR="00184599">
        <w:rPr>
          <w:rFonts w:cstheme="minorHAnsi"/>
          <w:szCs w:val="24"/>
          <w:lang w:val="fr-CH"/>
        </w:rPr>
        <w:t xml:space="preserve"> du PNUD) peuvent </w:t>
      </w:r>
      <w:r w:rsidR="00407A5A">
        <w:rPr>
          <w:rFonts w:cstheme="minorHAnsi"/>
          <w:szCs w:val="24"/>
          <w:lang w:val="fr-CH"/>
        </w:rPr>
        <w:t>s</w:t>
      </w:r>
      <w:r w:rsidR="00865BC1">
        <w:rPr>
          <w:rFonts w:cstheme="minorHAnsi"/>
          <w:szCs w:val="24"/>
          <w:lang w:val="fr-CH"/>
        </w:rPr>
        <w:t>'</w:t>
      </w:r>
      <w:r w:rsidR="00407A5A">
        <w:rPr>
          <w:rFonts w:cstheme="minorHAnsi"/>
          <w:szCs w:val="24"/>
          <w:lang w:val="fr-CH"/>
        </w:rPr>
        <w:t>acquitter</w:t>
      </w:r>
      <w:r w:rsidR="0031544E">
        <w:rPr>
          <w:rFonts w:cstheme="minorHAnsi"/>
          <w:szCs w:val="24"/>
          <w:lang w:val="fr-CH"/>
        </w:rPr>
        <w:t xml:space="preserve"> </w:t>
      </w:r>
      <w:r w:rsidR="005B0114">
        <w:rPr>
          <w:rFonts w:cstheme="minorHAnsi"/>
          <w:szCs w:val="24"/>
          <w:lang w:val="fr-CH"/>
        </w:rPr>
        <w:t>d</w:t>
      </w:r>
      <w:r w:rsidR="00865BC1">
        <w:rPr>
          <w:rFonts w:cstheme="minorHAnsi"/>
          <w:szCs w:val="24"/>
          <w:lang w:val="fr-CH"/>
        </w:rPr>
        <w:t>'</w:t>
      </w:r>
      <w:r w:rsidR="005B0114">
        <w:rPr>
          <w:rFonts w:cstheme="minorHAnsi"/>
          <w:szCs w:val="24"/>
          <w:lang w:val="fr-CH"/>
        </w:rPr>
        <w:t>une contribution</w:t>
      </w:r>
      <w:r w:rsidR="00DB2C02">
        <w:rPr>
          <w:rFonts w:cstheme="minorHAnsi"/>
          <w:szCs w:val="24"/>
          <w:lang w:val="fr-CH"/>
        </w:rPr>
        <w:t xml:space="preserve"> </w:t>
      </w:r>
      <w:r w:rsidR="0031544E">
        <w:rPr>
          <w:rFonts w:cstheme="minorHAnsi"/>
          <w:szCs w:val="24"/>
          <w:lang w:val="fr-CH"/>
        </w:rPr>
        <w:t>réduit</w:t>
      </w:r>
      <w:r w:rsidR="005B0114">
        <w:rPr>
          <w:rFonts w:cstheme="minorHAnsi"/>
          <w:szCs w:val="24"/>
          <w:lang w:val="fr-CH"/>
        </w:rPr>
        <w:t>e</w:t>
      </w:r>
      <w:r w:rsidR="0031544E">
        <w:rPr>
          <w:rFonts w:cstheme="minorHAnsi"/>
          <w:szCs w:val="24"/>
          <w:lang w:val="fr-CH"/>
        </w:rPr>
        <w:t xml:space="preserve"> </w:t>
      </w:r>
      <w:r w:rsidR="00407A5A">
        <w:rPr>
          <w:rFonts w:cstheme="minorHAnsi"/>
          <w:szCs w:val="24"/>
          <w:lang w:val="fr-CH"/>
        </w:rPr>
        <w:t>s</w:t>
      </w:r>
      <w:r w:rsidR="00865BC1">
        <w:rPr>
          <w:rFonts w:cstheme="minorHAnsi"/>
          <w:szCs w:val="24"/>
          <w:lang w:val="fr-CH"/>
        </w:rPr>
        <w:t>'</w:t>
      </w:r>
      <w:r w:rsidR="00407A5A">
        <w:rPr>
          <w:rFonts w:cstheme="minorHAnsi"/>
          <w:szCs w:val="24"/>
          <w:lang w:val="fr-CH"/>
        </w:rPr>
        <w:t>élevant</w:t>
      </w:r>
      <w:r w:rsidR="00DB2C02">
        <w:rPr>
          <w:rFonts w:cstheme="minorHAnsi"/>
          <w:szCs w:val="24"/>
          <w:lang w:val="fr-CH"/>
        </w:rPr>
        <w:t xml:space="preserve"> </w:t>
      </w:r>
      <w:r w:rsidR="00407A5A">
        <w:rPr>
          <w:rFonts w:cstheme="minorHAnsi"/>
          <w:szCs w:val="24"/>
          <w:lang w:val="fr-CH"/>
        </w:rPr>
        <w:t xml:space="preserve">à </w:t>
      </w:r>
      <w:r w:rsidR="00DB2C02">
        <w:rPr>
          <w:rFonts w:cstheme="minorHAnsi"/>
          <w:szCs w:val="24"/>
          <w:lang w:val="fr-CH"/>
        </w:rPr>
        <w:t>1</w:t>
      </w:r>
      <w:r w:rsidR="004F6199">
        <w:rPr>
          <w:rFonts w:eastAsiaTheme="minorEastAsia"/>
          <w:szCs w:val="24"/>
          <w:lang w:val="fr-CH" w:eastAsia="zh-CN"/>
        </w:rPr>
        <w:t> </w:t>
      </w:r>
      <w:r w:rsidR="00DB2C02">
        <w:rPr>
          <w:rFonts w:cstheme="minorHAnsi"/>
          <w:szCs w:val="24"/>
          <w:lang w:val="fr-CH"/>
        </w:rPr>
        <w:t>987,50 CHF (1/32 d</w:t>
      </w:r>
      <w:r w:rsidR="00865BC1">
        <w:rPr>
          <w:rFonts w:cstheme="minorHAnsi"/>
          <w:szCs w:val="24"/>
          <w:lang w:val="fr-CH"/>
        </w:rPr>
        <w:t>'</w:t>
      </w:r>
      <w:r w:rsidR="00DB2C02">
        <w:rPr>
          <w:rFonts w:cstheme="minorHAnsi"/>
          <w:szCs w:val="24"/>
          <w:lang w:val="fr-CH"/>
        </w:rPr>
        <w:t>unité)</w:t>
      </w:r>
      <w:r w:rsidR="00184599">
        <w:rPr>
          <w:rFonts w:cstheme="minorHAnsi"/>
          <w:szCs w:val="24"/>
          <w:lang w:val="fr-CH"/>
        </w:rPr>
        <w:t xml:space="preserve">. </w:t>
      </w:r>
      <w:r w:rsidR="006C376D">
        <w:rPr>
          <w:rFonts w:cstheme="minorHAnsi"/>
          <w:szCs w:val="24"/>
          <w:lang w:val="fr-CH"/>
        </w:rPr>
        <w:t xml:space="preserve">En outre, cette Résolution dispose </w:t>
      </w:r>
      <w:r w:rsidR="00184599">
        <w:rPr>
          <w:rFonts w:cstheme="minorHAnsi"/>
          <w:szCs w:val="24"/>
          <w:lang w:val="fr-CH"/>
        </w:rPr>
        <w:t xml:space="preserve">que les entités </w:t>
      </w:r>
      <w:r w:rsidR="00727EC4">
        <w:rPr>
          <w:rFonts w:cstheme="minorHAnsi"/>
          <w:szCs w:val="24"/>
          <w:lang w:val="fr-CH"/>
        </w:rPr>
        <w:t xml:space="preserve">déjà </w:t>
      </w:r>
      <w:r w:rsidR="000D6634">
        <w:rPr>
          <w:rFonts w:cstheme="minorHAnsi"/>
          <w:szCs w:val="24"/>
          <w:lang w:val="fr-CH"/>
        </w:rPr>
        <w:t>M</w:t>
      </w:r>
      <w:r w:rsidR="00727EC4">
        <w:rPr>
          <w:rFonts w:cstheme="minorHAnsi"/>
          <w:szCs w:val="24"/>
          <w:lang w:val="fr-CH"/>
        </w:rPr>
        <w:t xml:space="preserve">embres </w:t>
      </w:r>
      <w:r w:rsidR="000D6634">
        <w:rPr>
          <w:rFonts w:cstheme="minorHAnsi"/>
          <w:szCs w:val="24"/>
          <w:lang w:val="fr-CH"/>
        </w:rPr>
        <w:t xml:space="preserve">de </w:t>
      </w:r>
      <w:r w:rsidR="00C2563D">
        <w:rPr>
          <w:rFonts w:cstheme="minorHAnsi"/>
          <w:szCs w:val="24"/>
          <w:lang w:val="fr-CH"/>
        </w:rPr>
        <w:t>l</w:t>
      </w:r>
      <w:r w:rsidR="00865BC1">
        <w:rPr>
          <w:rFonts w:cstheme="minorHAnsi"/>
          <w:szCs w:val="24"/>
          <w:lang w:val="fr-CH"/>
        </w:rPr>
        <w:t>'</w:t>
      </w:r>
      <w:r w:rsidR="00C2563D">
        <w:rPr>
          <w:rFonts w:cstheme="minorHAnsi"/>
          <w:szCs w:val="24"/>
          <w:lang w:val="fr-CH"/>
        </w:rPr>
        <w:t xml:space="preserve">un de ces </w:t>
      </w:r>
      <w:r w:rsidR="000D6634">
        <w:rPr>
          <w:rFonts w:cstheme="minorHAnsi"/>
          <w:szCs w:val="24"/>
          <w:lang w:val="fr-CH"/>
        </w:rPr>
        <w:t>Secteur</w:t>
      </w:r>
      <w:r w:rsidR="00C2563D">
        <w:rPr>
          <w:rFonts w:cstheme="minorHAnsi"/>
          <w:szCs w:val="24"/>
          <w:lang w:val="fr-CH"/>
        </w:rPr>
        <w:t>s</w:t>
      </w:r>
      <w:r w:rsidR="000D6634">
        <w:rPr>
          <w:rFonts w:cstheme="minorHAnsi"/>
          <w:szCs w:val="24"/>
          <w:lang w:val="fr-CH"/>
        </w:rPr>
        <w:t xml:space="preserve"> </w:t>
      </w:r>
      <w:r w:rsidR="00184599">
        <w:rPr>
          <w:rFonts w:cstheme="minorHAnsi"/>
          <w:szCs w:val="24"/>
          <w:lang w:val="fr-CH"/>
        </w:rPr>
        <w:t>contribu</w:t>
      </w:r>
      <w:r w:rsidR="00DB2C02">
        <w:rPr>
          <w:rFonts w:cstheme="minorHAnsi"/>
          <w:szCs w:val="24"/>
          <w:lang w:val="fr-CH"/>
        </w:rPr>
        <w:t>a</w:t>
      </w:r>
      <w:r w:rsidR="00184599">
        <w:rPr>
          <w:rFonts w:cstheme="minorHAnsi"/>
          <w:szCs w:val="24"/>
          <w:lang w:val="fr-CH"/>
        </w:rPr>
        <w:t xml:space="preserve">nt </w:t>
      </w:r>
      <w:r w:rsidR="006C376D">
        <w:rPr>
          <w:rFonts w:cstheme="minorHAnsi"/>
          <w:szCs w:val="24"/>
          <w:lang w:val="fr-CH"/>
        </w:rPr>
        <w:t xml:space="preserve">financièrement </w:t>
      </w:r>
      <w:r w:rsidR="00184599">
        <w:rPr>
          <w:rFonts w:cstheme="minorHAnsi"/>
          <w:szCs w:val="24"/>
          <w:lang w:val="fr-CH"/>
        </w:rPr>
        <w:t>à hauteur de</w:t>
      </w:r>
      <w:r w:rsidR="00727EC4">
        <w:rPr>
          <w:rFonts w:cstheme="minorHAnsi"/>
          <w:szCs w:val="24"/>
          <w:lang w:val="fr-CH"/>
        </w:rPr>
        <w:t> 1/2 </w:t>
      </w:r>
      <w:r w:rsidR="00184599">
        <w:rPr>
          <w:rFonts w:cstheme="minorHAnsi"/>
          <w:szCs w:val="24"/>
          <w:lang w:val="fr-CH"/>
        </w:rPr>
        <w:t xml:space="preserve">unité ne </w:t>
      </w:r>
      <w:r w:rsidR="00DB2C02">
        <w:rPr>
          <w:rFonts w:cstheme="minorHAnsi"/>
          <w:szCs w:val="24"/>
          <w:lang w:val="fr-CH"/>
        </w:rPr>
        <w:t>peuvent pas bénéficier de</w:t>
      </w:r>
      <w:r w:rsidR="00184599">
        <w:rPr>
          <w:rFonts w:cstheme="minorHAnsi"/>
          <w:szCs w:val="24"/>
          <w:lang w:val="fr-CH"/>
        </w:rPr>
        <w:t xml:space="preserve"> cette réduction.</w:t>
      </w:r>
    </w:p>
    <w:p w:rsidR="00DB2C02" w:rsidRPr="00DB2C02" w:rsidRDefault="00896897" w:rsidP="007D1428">
      <w:pPr>
        <w:spacing w:after="120"/>
        <w:rPr>
          <w:rFonts w:eastAsiaTheme="minorEastAsia"/>
          <w:szCs w:val="24"/>
          <w:u w:val="double"/>
          <w:lang w:val="fr-CH" w:eastAsia="zh-CN"/>
        </w:rPr>
      </w:pPr>
      <w:r w:rsidRPr="00DB2C02">
        <w:rPr>
          <w:rFonts w:eastAsiaTheme="minorEastAsia"/>
          <w:szCs w:val="24"/>
          <w:lang w:val="fr-CH" w:eastAsia="zh-CN"/>
        </w:rPr>
        <w:t>5.4</w:t>
      </w:r>
      <w:r w:rsidRPr="00DB2C02">
        <w:rPr>
          <w:rFonts w:eastAsiaTheme="minorEastAsia"/>
          <w:szCs w:val="24"/>
          <w:lang w:val="fr-CH" w:eastAsia="zh-CN"/>
        </w:rPr>
        <w:tab/>
      </w:r>
      <w:r w:rsidR="00727EC4">
        <w:rPr>
          <w:rFonts w:eastAsiaTheme="minorEastAsia"/>
          <w:szCs w:val="24"/>
          <w:lang w:val="fr-CH" w:eastAsia="zh-CN"/>
        </w:rPr>
        <w:t>Actuellement</w:t>
      </w:r>
      <w:r w:rsidR="00DB2C02" w:rsidRPr="00DB2C02">
        <w:rPr>
          <w:rFonts w:eastAsiaTheme="minorEastAsia"/>
          <w:szCs w:val="24"/>
          <w:lang w:val="fr-CH" w:eastAsia="zh-CN"/>
        </w:rPr>
        <w:t xml:space="preserve">, </w:t>
      </w:r>
      <w:r w:rsidR="008B7415">
        <w:rPr>
          <w:rFonts w:eastAsiaTheme="minorEastAsia"/>
          <w:szCs w:val="24"/>
          <w:lang w:val="fr-CH" w:eastAsia="zh-CN"/>
        </w:rPr>
        <w:t>la contribution financière des</w:t>
      </w:r>
      <w:r w:rsidR="00C2563D">
        <w:rPr>
          <w:rFonts w:eastAsiaTheme="minorEastAsia"/>
          <w:szCs w:val="24"/>
          <w:lang w:val="fr-CH" w:eastAsia="zh-CN"/>
        </w:rPr>
        <w:t xml:space="preserve"> Membres du Secteur UIT</w:t>
      </w:r>
      <w:r w:rsidR="00C2563D">
        <w:rPr>
          <w:rFonts w:eastAsiaTheme="minorEastAsia"/>
          <w:szCs w:val="24"/>
          <w:lang w:val="fr-CH" w:eastAsia="zh-CN"/>
        </w:rPr>
        <w:noBreakHyphen/>
        <w:t>D</w:t>
      </w:r>
      <w:r w:rsidR="008B7415">
        <w:rPr>
          <w:rFonts w:eastAsiaTheme="minorEastAsia"/>
          <w:szCs w:val="24"/>
          <w:lang w:val="fr-CH" w:eastAsia="zh-CN"/>
        </w:rPr>
        <w:t xml:space="preserve"> </w:t>
      </w:r>
      <w:r w:rsidR="00727EC4">
        <w:rPr>
          <w:rFonts w:eastAsiaTheme="minorEastAsia"/>
          <w:szCs w:val="24"/>
          <w:lang w:val="fr-CH" w:eastAsia="zh-CN"/>
        </w:rPr>
        <w:t xml:space="preserve">issus de pays </w:t>
      </w:r>
      <w:r w:rsidR="00C2563D">
        <w:rPr>
          <w:rFonts w:eastAsiaTheme="minorEastAsia"/>
          <w:szCs w:val="24"/>
          <w:lang w:val="fr-CH" w:eastAsia="zh-CN"/>
        </w:rPr>
        <w:t>d</w:t>
      </w:r>
      <w:r w:rsidR="00727EC4">
        <w:rPr>
          <w:rFonts w:eastAsiaTheme="minorEastAsia"/>
          <w:szCs w:val="24"/>
          <w:lang w:val="fr-CH" w:eastAsia="zh-CN"/>
        </w:rPr>
        <w:t>évelop</w:t>
      </w:r>
      <w:r w:rsidR="00C2563D">
        <w:rPr>
          <w:rFonts w:eastAsiaTheme="minorEastAsia"/>
          <w:szCs w:val="24"/>
          <w:lang w:val="fr-CH" w:eastAsia="zh-CN"/>
        </w:rPr>
        <w:t>pés</w:t>
      </w:r>
      <w:r w:rsidR="00727EC4">
        <w:rPr>
          <w:rFonts w:eastAsiaTheme="minorEastAsia"/>
          <w:szCs w:val="24"/>
          <w:lang w:val="fr-CH" w:eastAsia="zh-CN"/>
        </w:rPr>
        <w:t xml:space="preserve"> </w:t>
      </w:r>
      <w:r w:rsidR="00C2563D">
        <w:rPr>
          <w:rFonts w:eastAsiaTheme="minorEastAsia"/>
          <w:szCs w:val="24"/>
          <w:lang w:val="fr-CH" w:eastAsia="zh-CN"/>
        </w:rPr>
        <w:t>s</w:t>
      </w:r>
      <w:r w:rsidR="00865BC1">
        <w:rPr>
          <w:rFonts w:eastAsiaTheme="minorEastAsia"/>
          <w:szCs w:val="24"/>
          <w:lang w:val="fr-CH" w:eastAsia="zh-CN"/>
        </w:rPr>
        <w:t>'</w:t>
      </w:r>
      <w:r w:rsidR="00C2563D">
        <w:rPr>
          <w:rFonts w:eastAsiaTheme="minorEastAsia"/>
          <w:szCs w:val="24"/>
          <w:lang w:val="fr-CH" w:eastAsia="zh-CN"/>
        </w:rPr>
        <w:t>él</w:t>
      </w:r>
      <w:r w:rsidR="008B7415">
        <w:rPr>
          <w:rFonts w:eastAsiaTheme="minorEastAsia"/>
          <w:szCs w:val="24"/>
          <w:lang w:val="fr-CH" w:eastAsia="zh-CN"/>
        </w:rPr>
        <w:t>è</w:t>
      </w:r>
      <w:r w:rsidR="00C2563D">
        <w:rPr>
          <w:rFonts w:eastAsiaTheme="minorEastAsia"/>
          <w:szCs w:val="24"/>
          <w:lang w:val="fr-CH" w:eastAsia="zh-CN"/>
        </w:rPr>
        <w:t>v</w:t>
      </w:r>
      <w:r w:rsidR="008B7415">
        <w:rPr>
          <w:rFonts w:eastAsiaTheme="minorEastAsia"/>
          <w:szCs w:val="24"/>
          <w:lang w:val="fr-CH" w:eastAsia="zh-CN"/>
        </w:rPr>
        <w:t>e</w:t>
      </w:r>
      <w:r w:rsidR="00C2563D">
        <w:rPr>
          <w:rFonts w:eastAsiaTheme="minorEastAsia"/>
          <w:szCs w:val="24"/>
          <w:lang w:val="fr-CH" w:eastAsia="zh-CN"/>
        </w:rPr>
        <w:t xml:space="preserve"> au minimum à</w:t>
      </w:r>
      <w:r w:rsidR="00727EC4">
        <w:rPr>
          <w:rFonts w:eastAsiaTheme="minorEastAsia"/>
          <w:szCs w:val="24"/>
          <w:lang w:val="fr-CH" w:eastAsia="zh-CN"/>
        </w:rPr>
        <w:t> </w:t>
      </w:r>
      <w:r w:rsidR="0031544E">
        <w:rPr>
          <w:rFonts w:eastAsiaTheme="minorEastAsia"/>
          <w:szCs w:val="24"/>
          <w:lang w:val="fr-CH" w:eastAsia="zh-CN"/>
        </w:rPr>
        <w:t>7</w:t>
      </w:r>
      <w:r w:rsidR="004F6199">
        <w:rPr>
          <w:rFonts w:eastAsiaTheme="minorEastAsia"/>
          <w:szCs w:val="24"/>
          <w:lang w:val="fr-CH" w:eastAsia="zh-CN"/>
        </w:rPr>
        <w:t> </w:t>
      </w:r>
      <w:r w:rsidR="0031544E">
        <w:rPr>
          <w:rFonts w:eastAsiaTheme="minorEastAsia"/>
          <w:szCs w:val="24"/>
          <w:lang w:val="fr-CH" w:eastAsia="zh-CN"/>
        </w:rPr>
        <w:t>950 CHF (1/8 d</w:t>
      </w:r>
      <w:r w:rsidR="00865BC1">
        <w:rPr>
          <w:rFonts w:eastAsiaTheme="minorEastAsia"/>
          <w:szCs w:val="24"/>
          <w:lang w:val="fr-CH" w:eastAsia="zh-CN"/>
        </w:rPr>
        <w:t>'</w:t>
      </w:r>
      <w:r w:rsidR="0031544E">
        <w:rPr>
          <w:rFonts w:eastAsiaTheme="minorEastAsia"/>
          <w:szCs w:val="24"/>
          <w:lang w:val="fr-CH" w:eastAsia="zh-CN"/>
        </w:rPr>
        <w:t xml:space="preserve">unité). Les entités des pays en développement peuvent </w:t>
      </w:r>
      <w:r w:rsidR="008B7415">
        <w:rPr>
          <w:rFonts w:eastAsiaTheme="minorEastAsia"/>
          <w:szCs w:val="24"/>
          <w:lang w:val="fr-CH" w:eastAsia="zh-CN"/>
        </w:rPr>
        <w:t>bénéficier d</w:t>
      </w:r>
      <w:r w:rsidR="00865BC1">
        <w:rPr>
          <w:rFonts w:eastAsiaTheme="minorEastAsia"/>
          <w:szCs w:val="24"/>
          <w:lang w:val="fr-CH" w:eastAsia="zh-CN"/>
        </w:rPr>
        <w:t>'</w:t>
      </w:r>
      <w:r w:rsidR="008B7415">
        <w:rPr>
          <w:rFonts w:eastAsiaTheme="minorEastAsia"/>
          <w:szCs w:val="24"/>
          <w:lang w:val="fr-CH" w:eastAsia="zh-CN"/>
        </w:rPr>
        <w:t xml:space="preserve">une réduction et </w:t>
      </w:r>
      <w:r w:rsidR="005B0114">
        <w:rPr>
          <w:rFonts w:eastAsiaTheme="minorEastAsia"/>
          <w:szCs w:val="24"/>
          <w:lang w:val="fr-CH" w:eastAsia="zh-CN"/>
        </w:rPr>
        <w:t>contribuer à hauteur</w:t>
      </w:r>
      <w:r w:rsidR="008B7415">
        <w:rPr>
          <w:rFonts w:eastAsiaTheme="minorEastAsia"/>
          <w:szCs w:val="24"/>
          <w:lang w:val="fr-CH" w:eastAsia="zh-CN"/>
        </w:rPr>
        <w:t xml:space="preserve"> de</w:t>
      </w:r>
      <w:r w:rsidR="00407A5A">
        <w:rPr>
          <w:rFonts w:eastAsiaTheme="minorEastAsia"/>
          <w:szCs w:val="24"/>
          <w:lang w:val="fr-CH" w:eastAsia="zh-CN"/>
        </w:rPr>
        <w:t> 3</w:t>
      </w:r>
      <w:r w:rsidR="004F6199">
        <w:rPr>
          <w:rFonts w:eastAsiaTheme="minorEastAsia"/>
          <w:szCs w:val="24"/>
          <w:lang w:val="fr-CH" w:eastAsia="zh-CN"/>
        </w:rPr>
        <w:t> </w:t>
      </w:r>
      <w:r w:rsidR="00407A5A">
        <w:rPr>
          <w:rFonts w:eastAsiaTheme="minorEastAsia"/>
          <w:szCs w:val="24"/>
          <w:lang w:val="fr-CH" w:eastAsia="zh-CN"/>
        </w:rPr>
        <w:t>975 CHF.</w:t>
      </w:r>
    </w:p>
    <w:p w:rsidR="00407A5A" w:rsidRPr="00280F9A" w:rsidRDefault="00896897" w:rsidP="00A774F9">
      <w:pPr>
        <w:spacing w:after="120"/>
        <w:rPr>
          <w:rFonts w:eastAsiaTheme="minorEastAsia"/>
          <w:szCs w:val="24"/>
          <w:lang w:val="fr-CH" w:eastAsia="zh-CN"/>
        </w:rPr>
      </w:pPr>
      <w:r w:rsidRPr="00280F9A">
        <w:rPr>
          <w:rFonts w:eastAsiaTheme="minorEastAsia"/>
          <w:szCs w:val="24"/>
          <w:lang w:val="fr-CH" w:eastAsia="zh-CN"/>
        </w:rPr>
        <w:t>5.5</w:t>
      </w:r>
      <w:r w:rsidRPr="00280F9A">
        <w:rPr>
          <w:rFonts w:eastAsiaTheme="minorEastAsia"/>
          <w:szCs w:val="24"/>
          <w:lang w:val="fr-CH" w:eastAsia="zh-CN"/>
        </w:rPr>
        <w:tab/>
      </w:r>
      <w:r w:rsidR="00280F9A" w:rsidRPr="00280F9A">
        <w:rPr>
          <w:rFonts w:eastAsiaTheme="minorEastAsia"/>
          <w:szCs w:val="24"/>
          <w:lang w:val="fr-CH" w:eastAsia="zh-CN"/>
        </w:rPr>
        <w:t>L</w:t>
      </w:r>
      <w:r w:rsidR="004872D4">
        <w:rPr>
          <w:rFonts w:eastAsiaTheme="minorEastAsia"/>
          <w:szCs w:val="24"/>
          <w:lang w:val="fr-CH" w:eastAsia="zh-CN"/>
        </w:rPr>
        <w:t>a</w:t>
      </w:r>
      <w:r w:rsidR="00280F9A" w:rsidRPr="00280F9A">
        <w:rPr>
          <w:rFonts w:eastAsiaTheme="minorEastAsia"/>
          <w:szCs w:val="24"/>
          <w:lang w:val="fr-CH" w:eastAsia="zh-CN"/>
        </w:rPr>
        <w:t xml:space="preserve"> </w:t>
      </w:r>
      <w:r w:rsidR="004872D4">
        <w:rPr>
          <w:rFonts w:eastAsiaTheme="minorEastAsia"/>
          <w:szCs w:val="24"/>
          <w:lang w:val="fr-CH" w:eastAsia="zh-CN"/>
        </w:rPr>
        <w:t>contribution financière</w:t>
      </w:r>
      <w:r w:rsidR="00280F9A" w:rsidRPr="00280F9A">
        <w:rPr>
          <w:rFonts w:eastAsiaTheme="minorEastAsia"/>
          <w:szCs w:val="24"/>
          <w:lang w:val="fr-CH" w:eastAsia="zh-CN"/>
        </w:rPr>
        <w:t xml:space="preserve"> des Associés </w:t>
      </w:r>
      <w:r w:rsidR="004872D4">
        <w:rPr>
          <w:rFonts w:eastAsiaTheme="minorEastAsia"/>
          <w:szCs w:val="24"/>
          <w:lang w:val="fr-CH" w:eastAsia="zh-CN"/>
        </w:rPr>
        <w:t>est fixée</w:t>
      </w:r>
      <w:r w:rsidR="00280F9A" w:rsidRPr="00280F9A">
        <w:rPr>
          <w:rFonts w:eastAsiaTheme="minorEastAsia"/>
          <w:szCs w:val="24"/>
          <w:lang w:val="fr-CH" w:eastAsia="zh-CN"/>
        </w:rPr>
        <w:t xml:space="preserve"> par le Conseil (numéro 4</w:t>
      </w:r>
      <w:r w:rsidR="001671B4">
        <w:rPr>
          <w:rFonts w:eastAsiaTheme="minorEastAsia"/>
          <w:szCs w:val="24"/>
          <w:lang w:val="fr-CH" w:eastAsia="zh-CN"/>
        </w:rPr>
        <w:t>83</w:t>
      </w:r>
      <w:r w:rsidR="00280F9A" w:rsidRPr="00280F9A">
        <w:rPr>
          <w:rFonts w:eastAsiaTheme="minorEastAsia"/>
          <w:szCs w:val="24"/>
          <w:lang w:val="fr-CH" w:eastAsia="zh-CN"/>
        </w:rPr>
        <w:t>A de la Convention)</w:t>
      </w:r>
      <w:r w:rsidR="00280F9A">
        <w:rPr>
          <w:rFonts w:eastAsiaTheme="minorEastAsia"/>
          <w:szCs w:val="24"/>
          <w:lang w:val="fr-CH" w:eastAsia="zh-CN"/>
        </w:rPr>
        <w:t xml:space="preserve">. </w:t>
      </w:r>
      <w:r w:rsidR="005B0114">
        <w:rPr>
          <w:rFonts w:eastAsiaTheme="minorEastAsia"/>
          <w:szCs w:val="24"/>
          <w:lang w:val="fr-CH" w:eastAsia="zh-CN"/>
        </w:rPr>
        <w:t>Son niveau actuel</w:t>
      </w:r>
      <w:r w:rsidR="004872D4">
        <w:rPr>
          <w:rFonts w:eastAsiaTheme="minorEastAsia"/>
          <w:szCs w:val="24"/>
          <w:lang w:val="fr-CH" w:eastAsia="zh-CN"/>
        </w:rPr>
        <w:t xml:space="preserve"> (1/6 de la contribution des Membres de Secteur </w:t>
      </w:r>
      <w:r w:rsidR="00C2563D">
        <w:rPr>
          <w:rFonts w:eastAsiaTheme="minorEastAsia"/>
          <w:szCs w:val="24"/>
          <w:lang w:val="fr-CH" w:eastAsia="zh-CN"/>
        </w:rPr>
        <w:t xml:space="preserve">en ce qui concerne </w:t>
      </w:r>
      <w:r w:rsidR="004872D4">
        <w:rPr>
          <w:rFonts w:eastAsiaTheme="minorEastAsia"/>
          <w:szCs w:val="24"/>
          <w:lang w:val="fr-CH" w:eastAsia="zh-CN"/>
        </w:rPr>
        <w:t>l</w:t>
      </w:r>
      <w:r w:rsidR="00865BC1">
        <w:rPr>
          <w:rFonts w:eastAsiaTheme="minorEastAsia"/>
          <w:szCs w:val="24"/>
          <w:lang w:val="fr-CH" w:eastAsia="zh-CN"/>
        </w:rPr>
        <w:t>'</w:t>
      </w:r>
      <w:r w:rsidR="004872D4">
        <w:rPr>
          <w:rFonts w:eastAsiaTheme="minorEastAsia"/>
          <w:szCs w:val="24"/>
          <w:lang w:val="fr-CH" w:eastAsia="zh-CN"/>
        </w:rPr>
        <w:t>UIT</w:t>
      </w:r>
      <w:r w:rsidR="004872D4">
        <w:rPr>
          <w:rFonts w:eastAsiaTheme="minorEastAsia"/>
          <w:szCs w:val="24"/>
          <w:lang w:val="fr-CH" w:eastAsia="zh-CN"/>
        </w:rPr>
        <w:noBreakHyphen/>
        <w:t>R et l</w:t>
      </w:r>
      <w:r w:rsidR="00865BC1">
        <w:rPr>
          <w:rFonts w:eastAsiaTheme="minorEastAsia"/>
          <w:szCs w:val="24"/>
          <w:lang w:val="fr-CH" w:eastAsia="zh-CN"/>
        </w:rPr>
        <w:t>'</w:t>
      </w:r>
      <w:r w:rsidR="004872D4">
        <w:rPr>
          <w:rFonts w:eastAsiaTheme="minorEastAsia"/>
          <w:szCs w:val="24"/>
          <w:lang w:val="fr-CH" w:eastAsia="zh-CN"/>
        </w:rPr>
        <w:t>UIT</w:t>
      </w:r>
      <w:r w:rsidR="004872D4">
        <w:rPr>
          <w:rFonts w:eastAsiaTheme="minorEastAsia"/>
          <w:szCs w:val="24"/>
          <w:lang w:val="fr-CH" w:eastAsia="zh-CN"/>
        </w:rPr>
        <w:noBreakHyphen/>
        <w:t xml:space="preserve">T) </w:t>
      </w:r>
      <w:r w:rsidR="005B0114">
        <w:rPr>
          <w:rFonts w:eastAsiaTheme="minorEastAsia"/>
          <w:szCs w:val="24"/>
          <w:lang w:val="fr-CH" w:eastAsia="zh-CN"/>
        </w:rPr>
        <w:t>a</w:t>
      </w:r>
      <w:r w:rsidR="004872D4">
        <w:rPr>
          <w:rFonts w:eastAsiaTheme="minorEastAsia"/>
          <w:szCs w:val="24"/>
          <w:lang w:val="fr-CH" w:eastAsia="zh-CN"/>
        </w:rPr>
        <w:t xml:space="preserve"> été établi par le</w:t>
      </w:r>
      <w:r w:rsidR="00280F9A">
        <w:rPr>
          <w:rFonts w:eastAsiaTheme="minorEastAsia"/>
          <w:szCs w:val="24"/>
          <w:lang w:val="fr-CH" w:eastAsia="zh-CN"/>
        </w:rPr>
        <w:t xml:space="preserve"> Conseil</w:t>
      </w:r>
      <w:r w:rsidR="00631818">
        <w:rPr>
          <w:rFonts w:eastAsiaTheme="minorEastAsia"/>
          <w:szCs w:val="24"/>
          <w:lang w:val="fr-CH" w:eastAsia="zh-CN"/>
        </w:rPr>
        <w:t xml:space="preserve"> à sa session 200</w:t>
      </w:r>
      <w:r w:rsidR="004872D4">
        <w:rPr>
          <w:rFonts w:eastAsiaTheme="minorEastAsia"/>
          <w:szCs w:val="24"/>
          <w:lang w:val="fr-CH" w:eastAsia="zh-CN"/>
        </w:rPr>
        <w:t>1</w:t>
      </w:r>
      <w:r w:rsidR="00280F9A">
        <w:rPr>
          <w:rFonts w:eastAsiaTheme="minorEastAsia"/>
          <w:szCs w:val="24"/>
          <w:lang w:val="fr-CH" w:eastAsia="zh-CN"/>
        </w:rPr>
        <w:t xml:space="preserve">. </w:t>
      </w:r>
      <w:r w:rsidR="001671B4">
        <w:rPr>
          <w:rFonts w:eastAsiaTheme="minorEastAsia"/>
          <w:szCs w:val="24"/>
          <w:lang w:val="fr-CH" w:eastAsia="zh-CN"/>
        </w:rPr>
        <w:t xml:space="preserve">Actuellement, </w:t>
      </w:r>
      <w:r w:rsidR="005B0114">
        <w:rPr>
          <w:rFonts w:eastAsiaTheme="minorEastAsia"/>
          <w:szCs w:val="24"/>
          <w:lang w:val="fr-CH" w:eastAsia="zh-CN"/>
        </w:rPr>
        <w:t>la contribution financière annuelle</w:t>
      </w:r>
      <w:r w:rsidR="00280F9A">
        <w:rPr>
          <w:rFonts w:eastAsiaTheme="minorEastAsia"/>
          <w:szCs w:val="24"/>
          <w:lang w:val="fr-CH" w:eastAsia="zh-CN"/>
        </w:rPr>
        <w:t xml:space="preserve"> des Associés de l</w:t>
      </w:r>
      <w:r w:rsidR="00865BC1">
        <w:rPr>
          <w:rFonts w:eastAsiaTheme="minorEastAsia"/>
          <w:szCs w:val="24"/>
          <w:lang w:val="fr-CH" w:eastAsia="zh-CN"/>
        </w:rPr>
        <w:t>'</w:t>
      </w:r>
      <w:r w:rsidR="00280F9A">
        <w:rPr>
          <w:rFonts w:eastAsiaTheme="minorEastAsia"/>
          <w:szCs w:val="24"/>
          <w:lang w:val="fr-CH" w:eastAsia="zh-CN"/>
        </w:rPr>
        <w:t>UIT</w:t>
      </w:r>
      <w:r w:rsidR="00280F9A">
        <w:rPr>
          <w:rFonts w:eastAsiaTheme="minorEastAsia"/>
          <w:szCs w:val="24"/>
          <w:lang w:val="fr-CH" w:eastAsia="zh-CN"/>
        </w:rPr>
        <w:noBreakHyphen/>
        <w:t>R et de l</w:t>
      </w:r>
      <w:r w:rsidR="00865BC1">
        <w:rPr>
          <w:rFonts w:eastAsiaTheme="minorEastAsia"/>
          <w:szCs w:val="24"/>
          <w:lang w:val="fr-CH" w:eastAsia="zh-CN"/>
        </w:rPr>
        <w:t>'</w:t>
      </w:r>
      <w:r w:rsidR="00280F9A">
        <w:rPr>
          <w:rFonts w:eastAsiaTheme="minorEastAsia"/>
          <w:szCs w:val="24"/>
          <w:lang w:val="fr-CH" w:eastAsia="zh-CN"/>
        </w:rPr>
        <w:t>UIT</w:t>
      </w:r>
      <w:r w:rsidR="00280F9A">
        <w:rPr>
          <w:rFonts w:eastAsiaTheme="minorEastAsia"/>
          <w:szCs w:val="24"/>
          <w:lang w:val="fr-CH" w:eastAsia="zh-CN"/>
        </w:rPr>
        <w:noBreakHyphen/>
        <w:t xml:space="preserve">T </w:t>
      </w:r>
      <w:r w:rsidR="00C2563D">
        <w:rPr>
          <w:rFonts w:eastAsiaTheme="minorEastAsia"/>
          <w:szCs w:val="24"/>
          <w:lang w:val="fr-CH" w:eastAsia="zh-CN"/>
        </w:rPr>
        <w:t>s</w:t>
      </w:r>
      <w:r w:rsidR="00865BC1">
        <w:rPr>
          <w:rFonts w:eastAsiaTheme="minorEastAsia"/>
          <w:szCs w:val="24"/>
          <w:lang w:val="fr-CH" w:eastAsia="zh-CN"/>
        </w:rPr>
        <w:t>'</w:t>
      </w:r>
      <w:r w:rsidR="00C2563D">
        <w:rPr>
          <w:rFonts w:eastAsiaTheme="minorEastAsia"/>
          <w:szCs w:val="24"/>
          <w:lang w:val="fr-CH" w:eastAsia="zh-CN"/>
        </w:rPr>
        <w:t>élève à </w:t>
      </w:r>
      <w:r w:rsidR="00280F9A">
        <w:rPr>
          <w:rFonts w:eastAsiaTheme="minorEastAsia"/>
          <w:szCs w:val="24"/>
          <w:lang w:val="fr-CH" w:eastAsia="zh-CN"/>
        </w:rPr>
        <w:t xml:space="preserve">10 600 CHF. </w:t>
      </w:r>
      <w:r w:rsidR="00C2563D">
        <w:rPr>
          <w:rFonts w:eastAsiaTheme="minorEastAsia"/>
          <w:szCs w:val="24"/>
          <w:lang w:val="fr-CH" w:eastAsia="zh-CN"/>
        </w:rPr>
        <w:t xml:space="preserve">La </w:t>
      </w:r>
      <w:r w:rsidR="001671B4">
        <w:rPr>
          <w:rFonts w:eastAsiaTheme="minorEastAsia"/>
          <w:szCs w:val="24"/>
          <w:lang w:val="fr-CH" w:eastAsia="zh-CN"/>
        </w:rPr>
        <w:t xml:space="preserve">contribution </w:t>
      </w:r>
      <w:r w:rsidR="00C2563D">
        <w:rPr>
          <w:rFonts w:eastAsiaTheme="minorEastAsia"/>
          <w:szCs w:val="24"/>
          <w:lang w:val="fr-CH" w:eastAsia="zh-CN"/>
        </w:rPr>
        <w:t>des Associés de l</w:t>
      </w:r>
      <w:r w:rsidR="00865BC1">
        <w:rPr>
          <w:rFonts w:eastAsiaTheme="minorEastAsia"/>
          <w:szCs w:val="24"/>
          <w:lang w:val="fr-CH" w:eastAsia="zh-CN"/>
        </w:rPr>
        <w:t>'</w:t>
      </w:r>
      <w:r w:rsidR="00C2563D">
        <w:rPr>
          <w:rFonts w:eastAsiaTheme="minorEastAsia"/>
          <w:szCs w:val="24"/>
          <w:lang w:val="fr-CH" w:eastAsia="zh-CN"/>
        </w:rPr>
        <w:t>UIT</w:t>
      </w:r>
      <w:r w:rsidR="00C2563D">
        <w:rPr>
          <w:rFonts w:eastAsiaTheme="minorEastAsia"/>
          <w:szCs w:val="24"/>
          <w:lang w:val="fr-CH" w:eastAsia="zh-CN"/>
        </w:rPr>
        <w:noBreakHyphen/>
        <w:t xml:space="preserve">D </w:t>
      </w:r>
      <w:r w:rsidR="001671B4">
        <w:rPr>
          <w:rFonts w:eastAsiaTheme="minorEastAsia"/>
          <w:szCs w:val="24"/>
          <w:lang w:val="fr-CH" w:eastAsia="zh-CN"/>
        </w:rPr>
        <w:t>s</w:t>
      </w:r>
      <w:r w:rsidR="00865BC1">
        <w:rPr>
          <w:rFonts w:eastAsiaTheme="minorEastAsia"/>
          <w:szCs w:val="24"/>
          <w:lang w:val="fr-CH" w:eastAsia="zh-CN"/>
        </w:rPr>
        <w:t>'</w:t>
      </w:r>
      <w:r w:rsidR="001671B4">
        <w:rPr>
          <w:rFonts w:eastAsiaTheme="minorEastAsia"/>
          <w:szCs w:val="24"/>
          <w:lang w:val="fr-CH" w:eastAsia="zh-CN"/>
        </w:rPr>
        <w:t>élève à 3</w:t>
      </w:r>
      <w:r w:rsidR="004F6199">
        <w:rPr>
          <w:rFonts w:eastAsiaTheme="minorEastAsia"/>
          <w:szCs w:val="24"/>
          <w:lang w:val="fr-CH" w:eastAsia="zh-CN"/>
        </w:rPr>
        <w:t> </w:t>
      </w:r>
      <w:r w:rsidR="001671B4">
        <w:rPr>
          <w:rFonts w:eastAsiaTheme="minorEastAsia"/>
          <w:szCs w:val="24"/>
          <w:lang w:val="fr-CH" w:eastAsia="zh-CN"/>
        </w:rPr>
        <w:t>975 CHF (1/16 d</w:t>
      </w:r>
      <w:r w:rsidR="00865BC1">
        <w:rPr>
          <w:rFonts w:eastAsiaTheme="minorEastAsia"/>
          <w:szCs w:val="24"/>
          <w:lang w:val="fr-CH" w:eastAsia="zh-CN"/>
        </w:rPr>
        <w:t>'</w:t>
      </w:r>
      <w:r w:rsidR="001671B4">
        <w:rPr>
          <w:rFonts w:eastAsiaTheme="minorEastAsia"/>
          <w:szCs w:val="24"/>
          <w:lang w:val="fr-CH" w:eastAsia="zh-CN"/>
        </w:rPr>
        <w:t>unité)</w:t>
      </w:r>
      <w:r w:rsidR="00C2563D">
        <w:rPr>
          <w:rFonts w:eastAsiaTheme="minorEastAsia"/>
          <w:szCs w:val="24"/>
          <w:lang w:val="fr-CH" w:eastAsia="zh-CN"/>
        </w:rPr>
        <w:t>, mais</w:t>
      </w:r>
      <w:r w:rsidR="00280F9A">
        <w:rPr>
          <w:rFonts w:eastAsiaTheme="minorEastAsia"/>
          <w:szCs w:val="24"/>
          <w:lang w:val="fr-CH" w:eastAsia="zh-CN"/>
        </w:rPr>
        <w:t xml:space="preserve"> </w:t>
      </w:r>
      <w:r w:rsidR="00C2563D">
        <w:rPr>
          <w:rFonts w:eastAsiaTheme="minorEastAsia"/>
          <w:szCs w:val="24"/>
          <w:lang w:val="fr-CH" w:eastAsia="zh-CN"/>
        </w:rPr>
        <w:t>l</w:t>
      </w:r>
      <w:r w:rsidR="00280F9A">
        <w:rPr>
          <w:rFonts w:eastAsiaTheme="minorEastAsia"/>
          <w:szCs w:val="24"/>
          <w:lang w:val="fr-CH" w:eastAsia="zh-CN"/>
        </w:rPr>
        <w:t>es entités des pays en développement s</w:t>
      </w:r>
      <w:r w:rsidR="00865BC1">
        <w:rPr>
          <w:rFonts w:eastAsiaTheme="minorEastAsia"/>
          <w:szCs w:val="24"/>
          <w:lang w:val="fr-CH" w:eastAsia="zh-CN"/>
        </w:rPr>
        <w:t>'</w:t>
      </w:r>
      <w:r w:rsidR="00280F9A">
        <w:rPr>
          <w:rFonts w:eastAsiaTheme="minorEastAsia"/>
          <w:szCs w:val="24"/>
          <w:lang w:val="fr-CH" w:eastAsia="zh-CN"/>
        </w:rPr>
        <w:t>acquittent de la moitié de ce montant, soit 1</w:t>
      </w:r>
      <w:r w:rsidR="004F6199">
        <w:rPr>
          <w:rFonts w:eastAsiaTheme="minorEastAsia"/>
          <w:szCs w:val="24"/>
          <w:lang w:val="fr-CH" w:eastAsia="zh-CN"/>
        </w:rPr>
        <w:t> </w:t>
      </w:r>
      <w:r w:rsidR="00280F9A">
        <w:rPr>
          <w:rFonts w:eastAsiaTheme="minorEastAsia"/>
          <w:szCs w:val="24"/>
          <w:lang w:val="fr-CH" w:eastAsia="zh-CN"/>
        </w:rPr>
        <w:t>987,50 CHF (1/32 d</w:t>
      </w:r>
      <w:r w:rsidR="00865BC1">
        <w:rPr>
          <w:rFonts w:eastAsiaTheme="minorEastAsia"/>
          <w:szCs w:val="24"/>
          <w:lang w:val="fr-CH" w:eastAsia="zh-CN"/>
        </w:rPr>
        <w:t>'</w:t>
      </w:r>
      <w:r w:rsidR="00280F9A">
        <w:rPr>
          <w:rFonts w:eastAsiaTheme="minorEastAsia"/>
          <w:szCs w:val="24"/>
          <w:lang w:val="fr-CH" w:eastAsia="zh-CN"/>
        </w:rPr>
        <w:t>unité).</w:t>
      </w:r>
    </w:p>
    <w:p w:rsidR="00887625" w:rsidRPr="00887625" w:rsidRDefault="00896897" w:rsidP="007D1428">
      <w:pPr>
        <w:spacing w:after="120"/>
        <w:rPr>
          <w:rFonts w:eastAsiaTheme="minorEastAsia"/>
          <w:szCs w:val="24"/>
          <w:lang w:val="fr-CH" w:eastAsia="zh-CN"/>
        </w:rPr>
      </w:pPr>
      <w:r w:rsidRPr="00887625">
        <w:rPr>
          <w:rFonts w:eastAsiaTheme="minorEastAsia"/>
          <w:szCs w:val="24"/>
          <w:lang w:val="fr-CH" w:eastAsia="zh-CN"/>
        </w:rPr>
        <w:t>5.6</w:t>
      </w:r>
      <w:r w:rsidRPr="00887625">
        <w:rPr>
          <w:rFonts w:eastAsiaTheme="minorEastAsia"/>
          <w:szCs w:val="24"/>
          <w:lang w:val="fr-CH" w:eastAsia="zh-CN"/>
        </w:rPr>
        <w:tab/>
      </w:r>
      <w:r w:rsidR="005B0114">
        <w:rPr>
          <w:rFonts w:eastAsiaTheme="minorEastAsia"/>
          <w:szCs w:val="24"/>
          <w:lang w:val="fr-CH" w:eastAsia="zh-CN"/>
        </w:rPr>
        <w:t>Le montant de la contribution financière</w:t>
      </w:r>
      <w:r w:rsidR="00887625" w:rsidRPr="00887625">
        <w:rPr>
          <w:rFonts w:eastAsiaTheme="minorEastAsia"/>
          <w:szCs w:val="24"/>
          <w:lang w:val="fr-CH" w:eastAsia="zh-CN"/>
        </w:rPr>
        <w:t xml:space="preserve"> </w:t>
      </w:r>
      <w:r w:rsidR="00887625">
        <w:rPr>
          <w:rFonts w:eastAsiaTheme="minorEastAsia"/>
          <w:szCs w:val="24"/>
          <w:lang w:val="fr-CH" w:eastAsia="zh-CN"/>
        </w:rPr>
        <w:t>d</w:t>
      </w:r>
      <w:r w:rsidR="00887625" w:rsidRPr="00887625">
        <w:rPr>
          <w:rFonts w:eastAsiaTheme="minorEastAsia"/>
          <w:szCs w:val="24"/>
          <w:lang w:val="fr-CH" w:eastAsia="zh-CN"/>
        </w:rPr>
        <w:t xml:space="preserve">es </w:t>
      </w:r>
      <w:r w:rsidR="00887625">
        <w:rPr>
          <w:rFonts w:eastAsiaTheme="minorEastAsia"/>
          <w:szCs w:val="24"/>
          <w:lang w:val="fr-CH" w:eastAsia="zh-CN"/>
        </w:rPr>
        <w:t>é</w:t>
      </w:r>
      <w:r w:rsidR="00887625" w:rsidRPr="00887625">
        <w:rPr>
          <w:rFonts w:eastAsiaTheme="minorEastAsia"/>
          <w:szCs w:val="24"/>
          <w:lang w:val="fr-CH" w:eastAsia="zh-CN"/>
        </w:rPr>
        <w:t>tablissements universitaires</w:t>
      </w:r>
      <w:r w:rsidR="00887625">
        <w:rPr>
          <w:rFonts w:eastAsiaTheme="minorEastAsia"/>
          <w:szCs w:val="24"/>
          <w:lang w:val="fr-CH" w:eastAsia="zh-CN"/>
        </w:rPr>
        <w:t xml:space="preserve"> </w:t>
      </w:r>
      <w:r w:rsidR="005B0114">
        <w:rPr>
          <w:rFonts w:eastAsiaTheme="minorEastAsia"/>
          <w:szCs w:val="24"/>
          <w:lang w:val="fr-CH" w:eastAsia="zh-CN"/>
        </w:rPr>
        <w:t>est</w:t>
      </w:r>
      <w:r w:rsidR="00887625">
        <w:rPr>
          <w:rFonts w:eastAsiaTheme="minorEastAsia"/>
          <w:szCs w:val="24"/>
          <w:lang w:val="fr-CH" w:eastAsia="zh-CN"/>
        </w:rPr>
        <w:t xml:space="preserve"> fixé </w:t>
      </w:r>
      <w:r w:rsidR="005B0114">
        <w:rPr>
          <w:rFonts w:eastAsiaTheme="minorEastAsia"/>
          <w:szCs w:val="24"/>
          <w:lang w:val="fr-CH" w:eastAsia="zh-CN"/>
        </w:rPr>
        <w:t>d</w:t>
      </w:r>
      <w:r w:rsidR="00887625">
        <w:rPr>
          <w:rFonts w:eastAsiaTheme="minorEastAsia"/>
          <w:szCs w:val="24"/>
          <w:lang w:val="fr-CH" w:eastAsia="zh-CN"/>
        </w:rPr>
        <w:t>ans la Résolution 169 (Guadalajara, 2010) de la Conférence de plénipotentiaires: les établissements universitaires des pays développés s</w:t>
      </w:r>
      <w:r w:rsidR="00865BC1">
        <w:rPr>
          <w:rFonts w:eastAsiaTheme="minorEastAsia"/>
          <w:szCs w:val="24"/>
          <w:lang w:val="fr-CH" w:eastAsia="zh-CN"/>
        </w:rPr>
        <w:t>'</w:t>
      </w:r>
      <w:r w:rsidR="00887625">
        <w:rPr>
          <w:rFonts w:eastAsiaTheme="minorEastAsia"/>
          <w:szCs w:val="24"/>
          <w:lang w:val="fr-CH" w:eastAsia="zh-CN"/>
        </w:rPr>
        <w:t>acquittent de 3</w:t>
      </w:r>
      <w:r w:rsidR="004F6199">
        <w:rPr>
          <w:rFonts w:eastAsiaTheme="minorEastAsia"/>
          <w:szCs w:val="24"/>
          <w:lang w:val="fr-CH" w:eastAsia="zh-CN"/>
        </w:rPr>
        <w:t> </w:t>
      </w:r>
      <w:r w:rsidR="00887625">
        <w:rPr>
          <w:rFonts w:eastAsiaTheme="minorEastAsia"/>
          <w:szCs w:val="24"/>
          <w:lang w:val="fr-CH" w:eastAsia="zh-CN"/>
        </w:rPr>
        <w:t>975 CHF (1/16 d</w:t>
      </w:r>
      <w:r w:rsidR="00865BC1">
        <w:rPr>
          <w:rFonts w:eastAsiaTheme="minorEastAsia"/>
          <w:szCs w:val="24"/>
          <w:lang w:val="fr-CH" w:eastAsia="zh-CN"/>
        </w:rPr>
        <w:t>'</w:t>
      </w:r>
      <w:r w:rsidR="00887625">
        <w:rPr>
          <w:rFonts w:eastAsiaTheme="minorEastAsia"/>
          <w:szCs w:val="24"/>
          <w:lang w:val="fr-CH" w:eastAsia="zh-CN"/>
        </w:rPr>
        <w:t xml:space="preserve">unité) par an, tandis que les établissements universitaires des pays en développement </w:t>
      </w:r>
      <w:r w:rsidR="00473791">
        <w:rPr>
          <w:rFonts w:eastAsiaTheme="minorEastAsia"/>
          <w:szCs w:val="24"/>
          <w:lang w:val="fr-CH" w:eastAsia="zh-CN"/>
        </w:rPr>
        <w:t>sont redevables</w:t>
      </w:r>
      <w:r w:rsidR="00887625">
        <w:rPr>
          <w:rFonts w:eastAsiaTheme="minorEastAsia"/>
          <w:szCs w:val="24"/>
          <w:lang w:val="fr-CH" w:eastAsia="zh-CN"/>
        </w:rPr>
        <w:t xml:space="preserve"> de la moitié de ce montant, soit</w:t>
      </w:r>
      <w:r w:rsidR="00473791">
        <w:rPr>
          <w:rFonts w:eastAsiaTheme="minorEastAsia"/>
          <w:szCs w:val="24"/>
          <w:lang w:val="fr-CH" w:eastAsia="zh-CN"/>
        </w:rPr>
        <w:t> </w:t>
      </w:r>
      <w:r w:rsidR="00887625">
        <w:rPr>
          <w:rFonts w:eastAsiaTheme="minorEastAsia"/>
          <w:szCs w:val="24"/>
          <w:lang w:val="fr-CH" w:eastAsia="zh-CN"/>
        </w:rPr>
        <w:t>1</w:t>
      </w:r>
      <w:r w:rsidR="004F6199">
        <w:rPr>
          <w:rFonts w:eastAsiaTheme="minorEastAsia"/>
          <w:szCs w:val="24"/>
          <w:lang w:val="fr-CH" w:eastAsia="zh-CN"/>
        </w:rPr>
        <w:t> </w:t>
      </w:r>
      <w:r w:rsidR="00887625">
        <w:rPr>
          <w:rFonts w:eastAsiaTheme="minorEastAsia"/>
          <w:szCs w:val="24"/>
          <w:lang w:val="fr-CH" w:eastAsia="zh-CN"/>
        </w:rPr>
        <w:t>987,50 CHF (1/32 d</w:t>
      </w:r>
      <w:r w:rsidR="00865BC1">
        <w:rPr>
          <w:rFonts w:eastAsiaTheme="minorEastAsia"/>
          <w:szCs w:val="24"/>
          <w:lang w:val="fr-CH" w:eastAsia="zh-CN"/>
        </w:rPr>
        <w:t>'</w:t>
      </w:r>
      <w:r w:rsidR="00887625">
        <w:rPr>
          <w:rFonts w:eastAsiaTheme="minorEastAsia"/>
          <w:szCs w:val="24"/>
          <w:lang w:val="fr-CH" w:eastAsia="zh-CN"/>
        </w:rPr>
        <w:t>unité).</w:t>
      </w:r>
    </w:p>
    <w:p w:rsidR="00347CB8" w:rsidRPr="00347CB8" w:rsidRDefault="00896897" w:rsidP="007D1428">
      <w:pPr>
        <w:keepNext/>
        <w:spacing w:after="120"/>
        <w:ind w:left="567" w:hanging="567"/>
        <w:rPr>
          <w:rFonts w:eastAsiaTheme="minorEastAsia"/>
          <w:szCs w:val="24"/>
          <w:lang w:val="fr-CH" w:eastAsia="zh-CN"/>
        </w:rPr>
      </w:pPr>
      <w:r w:rsidRPr="00347CB8">
        <w:rPr>
          <w:rFonts w:eastAsiaTheme="minorEastAsia"/>
          <w:szCs w:val="24"/>
          <w:lang w:val="fr-CH" w:eastAsia="zh-CN"/>
        </w:rPr>
        <w:t>5.7</w:t>
      </w:r>
      <w:r w:rsidRPr="00347CB8">
        <w:rPr>
          <w:rFonts w:eastAsiaTheme="minorEastAsia"/>
          <w:szCs w:val="24"/>
          <w:lang w:val="fr-CH" w:eastAsia="zh-CN"/>
        </w:rPr>
        <w:tab/>
      </w:r>
      <w:r w:rsidR="00347CB8" w:rsidRPr="00347CB8">
        <w:rPr>
          <w:rFonts w:eastAsiaTheme="minorEastAsia"/>
          <w:szCs w:val="24"/>
          <w:lang w:val="fr-CH" w:eastAsia="zh-CN"/>
        </w:rPr>
        <w:t xml:space="preserve">Tableau de synthèse des </w:t>
      </w:r>
      <w:r w:rsidR="005B0114">
        <w:rPr>
          <w:rFonts w:eastAsiaTheme="minorEastAsia"/>
          <w:szCs w:val="24"/>
          <w:lang w:val="fr-CH" w:eastAsia="zh-CN"/>
        </w:rPr>
        <w:t>contributions financières</w:t>
      </w:r>
      <w:r w:rsidR="00347CB8" w:rsidRPr="00347CB8">
        <w:rPr>
          <w:rFonts w:eastAsiaTheme="minorEastAsia"/>
          <w:szCs w:val="24"/>
          <w:lang w:val="fr-CH" w:eastAsia="zh-CN"/>
        </w:rPr>
        <w:t>: Membres de Secteur</w:t>
      </w:r>
      <w:r w:rsidR="00347CB8">
        <w:rPr>
          <w:rFonts w:eastAsiaTheme="minorEastAsia"/>
          <w:szCs w:val="24"/>
          <w:lang w:val="fr-CH" w:eastAsia="zh-CN"/>
        </w:rPr>
        <w:t>, Associés, établissem</w:t>
      </w:r>
      <w:r w:rsidR="00347CB8" w:rsidRPr="00347CB8">
        <w:rPr>
          <w:rFonts w:eastAsiaTheme="minorEastAsia"/>
          <w:szCs w:val="24"/>
          <w:lang w:val="fr-CH" w:eastAsia="zh-CN"/>
        </w:rPr>
        <w:t>ents universitaires</w:t>
      </w:r>
    </w:p>
    <w:p w:rsidR="00896897" w:rsidRPr="00347CB8" w:rsidRDefault="00896897" w:rsidP="004F6199">
      <w:pPr>
        <w:keepNext/>
        <w:spacing w:after="120"/>
        <w:jc w:val="center"/>
        <w:rPr>
          <w:rFonts w:eastAsiaTheme="minorEastAsia"/>
          <w:b/>
          <w:bCs/>
          <w:sz w:val="20"/>
          <w:lang w:eastAsia="zh-CN"/>
        </w:rPr>
      </w:pPr>
      <w:r w:rsidRPr="00347CB8">
        <w:rPr>
          <w:rFonts w:eastAsiaTheme="minorEastAsia"/>
          <w:b/>
          <w:bCs/>
          <w:sz w:val="20"/>
          <w:lang w:eastAsia="zh-CN"/>
        </w:rPr>
        <w:t>(</w:t>
      </w:r>
      <w:r w:rsidR="004F6199">
        <w:rPr>
          <w:rFonts w:eastAsiaTheme="minorEastAsia"/>
          <w:b/>
          <w:bCs/>
          <w:sz w:val="20"/>
          <w:lang w:eastAsia="zh-CN"/>
        </w:rPr>
        <w:t>E</w:t>
      </w:r>
      <w:r w:rsidRPr="00347CB8">
        <w:rPr>
          <w:rFonts w:eastAsiaTheme="minorEastAsia"/>
          <w:b/>
          <w:bCs/>
          <w:sz w:val="20"/>
          <w:lang w:eastAsia="zh-CN"/>
        </w:rPr>
        <w:t xml:space="preserve">n </w:t>
      </w:r>
      <w:r w:rsidR="00347CB8" w:rsidRPr="00347CB8">
        <w:rPr>
          <w:rFonts w:eastAsiaTheme="minorEastAsia"/>
          <w:b/>
          <w:bCs/>
          <w:sz w:val="20"/>
          <w:lang w:eastAsia="zh-CN"/>
        </w:rPr>
        <w:t>f</w:t>
      </w:r>
      <w:r w:rsidR="00154CBD" w:rsidRPr="00347CB8">
        <w:rPr>
          <w:rFonts w:eastAsiaTheme="minorEastAsia"/>
          <w:b/>
          <w:bCs/>
          <w:sz w:val="20"/>
          <w:lang w:eastAsia="zh-CN"/>
        </w:rPr>
        <w:t>rancs suisses</w:t>
      </w:r>
      <w:r w:rsidRPr="00347CB8">
        <w:rPr>
          <w:rFonts w:eastAsiaTheme="minorEastAsia"/>
          <w:b/>
          <w:bCs/>
          <w:sz w:val="20"/>
          <w:lang w:eastAsia="zh-CN"/>
        </w:rPr>
        <w:t xml:space="preserve"> – CHF)</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55"/>
        <w:gridCol w:w="3279"/>
        <w:gridCol w:w="2933"/>
      </w:tblGrid>
      <w:tr w:rsidR="00896897" w:rsidRPr="00347CB8" w:rsidTr="008B7415">
        <w:trPr>
          <w:trHeight w:val="334"/>
        </w:trPr>
        <w:tc>
          <w:tcPr>
            <w:tcW w:w="1560" w:type="dxa"/>
            <w:shd w:val="clear" w:color="auto" w:fill="auto"/>
          </w:tcPr>
          <w:p w:rsidR="00896897" w:rsidRPr="00347CB8" w:rsidRDefault="00896897" w:rsidP="007D1428">
            <w:pPr>
              <w:pStyle w:val="Tablehead"/>
              <w:keepNext/>
              <w:rPr>
                <w:rFonts w:eastAsia="SimSun"/>
                <w:lang w:eastAsia="zh-CN"/>
              </w:rPr>
            </w:pPr>
            <w:r w:rsidRPr="00347CB8">
              <w:rPr>
                <w:rFonts w:eastAsia="SimSun"/>
                <w:lang w:eastAsia="zh-CN"/>
              </w:rPr>
              <w:t>Sect</w:t>
            </w:r>
            <w:r w:rsidR="00154CBD" w:rsidRPr="00347CB8">
              <w:rPr>
                <w:rFonts w:eastAsia="SimSun"/>
                <w:lang w:eastAsia="zh-CN"/>
              </w:rPr>
              <w:t>eu</w:t>
            </w:r>
            <w:r w:rsidRPr="00347CB8">
              <w:rPr>
                <w:rFonts w:eastAsia="SimSun"/>
                <w:lang w:eastAsia="zh-CN"/>
              </w:rPr>
              <w:t>r/</w:t>
            </w:r>
            <w:r w:rsidR="00154CBD" w:rsidRPr="00347CB8">
              <w:rPr>
                <w:rFonts w:eastAsia="SimSun"/>
                <w:lang w:eastAsia="zh-CN"/>
              </w:rPr>
              <w:br/>
            </w:r>
            <w:r w:rsidRPr="00347CB8">
              <w:rPr>
                <w:rFonts w:eastAsia="SimSun"/>
                <w:lang w:eastAsia="zh-CN"/>
              </w:rPr>
              <w:t>Cat</w:t>
            </w:r>
            <w:r w:rsidR="00154CBD" w:rsidRPr="00347CB8">
              <w:rPr>
                <w:rFonts w:eastAsia="SimSun"/>
                <w:lang w:eastAsia="zh-CN"/>
              </w:rPr>
              <w:t>é</w:t>
            </w:r>
            <w:r w:rsidRPr="00347CB8">
              <w:rPr>
                <w:rFonts w:eastAsia="SimSun"/>
                <w:lang w:eastAsia="zh-CN"/>
              </w:rPr>
              <w:t>gor</w:t>
            </w:r>
            <w:r w:rsidR="00154CBD" w:rsidRPr="00347CB8">
              <w:rPr>
                <w:rFonts w:eastAsia="SimSun"/>
                <w:lang w:eastAsia="zh-CN"/>
              </w:rPr>
              <w:t>ie</w:t>
            </w:r>
          </w:p>
        </w:tc>
        <w:tc>
          <w:tcPr>
            <w:tcW w:w="2155" w:type="dxa"/>
            <w:shd w:val="clear" w:color="auto" w:fill="auto"/>
          </w:tcPr>
          <w:p w:rsidR="00896897" w:rsidRPr="00347CB8" w:rsidRDefault="00154CBD" w:rsidP="007D1428">
            <w:pPr>
              <w:pStyle w:val="Tablehead"/>
              <w:keepNext/>
              <w:rPr>
                <w:rFonts w:eastAsia="SimSun"/>
                <w:lang w:eastAsia="zh-CN"/>
              </w:rPr>
            </w:pPr>
            <w:r w:rsidRPr="00347CB8">
              <w:rPr>
                <w:rFonts w:eastAsia="SimSun"/>
                <w:lang w:eastAsia="zh-CN"/>
              </w:rPr>
              <w:t>Membre</w:t>
            </w:r>
            <w:r w:rsidR="00894089">
              <w:rPr>
                <w:rFonts w:eastAsia="SimSun"/>
                <w:lang w:eastAsia="zh-CN"/>
              </w:rPr>
              <w:t>s</w:t>
            </w:r>
            <w:r w:rsidRPr="00347CB8">
              <w:rPr>
                <w:rFonts w:eastAsia="SimSun"/>
                <w:lang w:eastAsia="zh-CN"/>
              </w:rPr>
              <w:t xml:space="preserve"> de Secteur</w:t>
            </w:r>
          </w:p>
        </w:tc>
        <w:tc>
          <w:tcPr>
            <w:tcW w:w="3279" w:type="dxa"/>
            <w:shd w:val="clear" w:color="auto" w:fill="auto"/>
          </w:tcPr>
          <w:p w:rsidR="00896897" w:rsidRPr="00347CB8" w:rsidRDefault="00347CB8" w:rsidP="007D1428">
            <w:pPr>
              <w:pStyle w:val="Tablehead"/>
              <w:keepNext/>
              <w:rPr>
                <w:rFonts w:eastAsia="SimSun"/>
                <w:lang w:eastAsia="zh-CN"/>
              </w:rPr>
            </w:pPr>
            <w:r w:rsidRPr="00347CB8">
              <w:rPr>
                <w:rFonts w:eastAsia="SimSun"/>
                <w:lang w:eastAsia="zh-CN"/>
              </w:rPr>
              <w:t>Associé</w:t>
            </w:r>
            <w:r w:rsidR="00894089">
              <w:rPr>
                <w:rFonts w:eastAsia="SimSun"/>
                <w:lang w:eastAsia="zh-CN"/>
              </w:rPr>
              <w:t>s</w:t>
            </w:r>
            <w:r w:rsidRPr="00347CB8">
              <w:rPr>
                <w:rFonts w:eastAsia="SimSun"/>
                <w:lang w:eastAsia="zh-CN"/>
              </w:rPr>
              <w:t xml:space="preserve"> </w:t>
            </w:r>
            <w:r w:rsidR="008B7415">
              <w:rPr>
                <w:rFonts w:eastAsia="SimSun"/>
                <w:lang w:eastAsia="zh-CN"/>
              </w:rPr>
              <w:br/>
              <w:t>(</w:t>
            </w:r>
            <w:r w:rsidRPr="00347CB8">
              <w:rPr>
                <w:rFonts w:eastAsia="SimSun"/>
                <w:lang w:eastAsia="zh-CN"/>
              </w:rPr>
              <w:t xml:space="preserve">une </w:t>
            </w:r>
            <w:r w:rsidR="008B7415">
              <w:rPr>
                <w:rFonts w:eastAsia="SimSun"/>
                <w:lang w:eastAsia="zh-CN"/>
              </w:rPr>
              <w:t xml:space="preserve">seule </w:t>
            </w:r>
            <w:r w:rsidRPr="00347CB8">
              <w:rPr>
                <w:rFonts w:eastAsia="SimSun"/>
                <w:lang w:eastAsia="zh-CN"/>
              </w:rPr>
              <w:t>commission d</w:t>
            </w:r>
            <w:r w:rsidR="00865BC1">
              <w:rPr>
                <w:rFonts w:eastAsia="SimSun"/>
                <w:lang w:eastAsia="zh-CN"/>
              </w:rPr>
              <w:t>'</w:t>
            </w:r>
            <w:r w:rsidRPr="00347CB8">
              <w:rPr>
                <w:rFonts w:eastAsia="SimSun"/>
                <w:lang w:eastAsia="zh-CN"/>
              </w:rPr>
              <w:t>études</w:t>
            </w:r>
            <w:r w:rsidR="008B7415">
              <w:rPr>
                <w:rFonts w:eastAsia="SimSun"/>
                <w:lang w:eastAsia="zh-CN"/>
              </w:rPr>
              <w:t>)</w:t>
            </w:r>
          </w:p>
        </w:tc>
        <w:tc>
          <w:tcPr>
            <w:tcW w:w="2933" w:type="dxa"/>
          </w:tcPr>
          <w:p w:rsidR="00896897" w:rsidRPr="00347CB8" w:rsidRDefault="00154CBD" w:rsidP="007D1428">
            <w:pPr>
              <w:pStyle w:val="Tablehead"/>
              <w:keepNext/>
              <w:rPr>
                <w:rFonts w:eastAsia="SimSun"/>
                <w:lang w:eastAsia="zh-CN"/>
              </w:rPr>
            </w:pPr>
            <w:r w:rsidRPr="00347CB8">
              <w:rPr>
                <w:rFonts w:eastAsia="SimSun"/>
                <w:lang w:eastAsia="zh-CN"/>
              </w:rPr>
              <w:t>Etablissement</w:t>
            </w:r>
            <w:r w:rsidR="00894089">
              <w:rPr>
                <w:rFonts w:eastAsia="SimSun"/>
                <w:lang w:eastAsia="zh-CN"/>
              </w:rPr>
              <w:t>s</w:t>
            </w:r>
            <w:r w:rsidRPr="00347CB8">
              <w:rPr>
                <w:rFonts w:eastAsia="SimSun"/>
                <w:lang w:eastAsia="zh-CN"/>
              </w:rPr>
              <w:t xml:space="preserve"> universitaire</w:t>
            </w:r>
            <w:r w:rsidR="00894089">
              <w:rPr>
                <w:rFonts w:eastAsia="SimSun"/>
                <w:lang w:eastAsia="zh-CN"/>
              </w:rPr>
              <w:t>s</w:t>
            </w:r>
          </w:p>
        </w:tc>
      </w:tr>
      <w:tr w:rsidR="00896897" w:rsidRPr="00154CBD" w:rsidTr="008B7415">
        <w:trPr>
          <w:trHeight w:val="318"/>
        </w:trPr>
        <w:tc>
          <w:tcPr>
            <w:tcW w:w="1560" w:type="dxa"/>
            <w:shd w:val="clear" w:color="auto" w:fill="auto"/>
          </w:tcPr>
          <w:p w:rsidR="00896897" w:rsidRPr="008B7415" w:rsidRDefault="00154CBD" w:rsidP="007D1428">
            <w:pPr>
              <w:pStyle w:val="Tabletext"/>
              <w:keepNext/>
              <w:jc w:val="center"/>
              <w:rPr>
                <w:rFonts w:eastAsia="SimSun"/>
                <w:lang w:val="fr-CH" w:eastAsia="zh-CN"/>
              </w:rPr>
            </w:pPr>
            <w:r w:rsidRPr="008B7415">
              <w:rPr>
                <w:rFonts w:eastAsia="SimSun"/>
                <w:lang w:val="fr-CH" w:eastAsia="zh-CN"/>
              </w:rPr>
              <w:t>UIT-R</w:t>
            </w:r>
          </w:p>
        </w:tc>
        <w:tc>
          <w:tcPr>
            <w:tcW w:w="2155" w:type="dxa"/>
            <w:shd w:val="clear" w:color="auto" w:fill="auto"/>
          </w:tcPr>
          <w:p w:rsidR="00896897" w:rsidRPr="008B7415" w:rsidRDefault="00896897" w:rsidP="007D1428">
            <w:pPr>
              <w:pStyle w:val="Tabletext"/>
              <w:keepNext/>
              <w:jc w:val="center"/>
              <w:rPr>
                <w:rFonts w:eastAsia="SimSun"/>
                <w:lang w:val="fr-CH" w:eastAsia="zh-CN"/>
              </w:rPr>
            </w:pPr>
            <w:r w:rsidRPr="008B7415">
              <w:rPr>
                <w:rFonts w:eastAsia="SimSun"/>
                <w:lang w:val="fr-CH" w:eastAsia="zh-CN"/>
              </w:rPr>
              <w:t>31</w:t>
            </w:r>
            <w:r w:rsidR="00154CBD" w:rsidRPr="008B7415">
              <w:rPr>
                <w:rFonts w:eastAsia="SimSun"/>
                <w:lang w:val="fr-CH" w:eastAsia="zh-CN"/>
              </w:rPr>
              <w:t xml:space="preserve"> </w:t>
            </w:r>
            <w:r w:rsidRPr="008B7415">
              <w:rPr>
                <w:rFonts w:eastAsia="SimSun"/>
                <w:lang w:val="fr-CH" w:eastAsia="zh-CN"/>
              </w:rPr>
              <w:t>800</w:t>
            </w:r>
            <w:r w:rsidRPr="008B7415">
              <w:rPr>
                <w:rFonts w:eastAsia="SimSun"/>
                <w:vertAlign w:val="superscript"/>
                <w:lang w:val="fr-CH" w:eastAsia="zh-CN"/>
              </w:rPr>
              <w:t>(1)</w:t>
            </w:r>
          </w:p>
        </w:tc>
        <w:tc>
          <w:tcPr>
            <w:tcW w:w="3279" w:type="dxa"/>
            <w:shd w:val="clear" w:color="auto" w:fill="auto"/>
          </w:tcPr>
          <w:p w:rsidR="00896897" w:rsidRPr="008B7415" w:rsidRDefault="00896897" w:rsidP="007D1428">
            <w:pPr>
              <w:pStyle w:val="Tabletext"/>
              <w:keepNext/>
              <w:jc w:val="center"/>
              <w:rPr>
                <w:rFonts w:eastAsia="SimSun"/>
                <w:lang w:val="fr-CH" w:eastAsia="zh-CN"/>
              </w:rPr>
            </w:pPr>
            <w:r w:rsidRPr="008B7415">
              <w:rPr>
                <w:rFonts w:eastAsia="SimSun"/>
                <w:lang w:val="fr-CH" w:eastAsia="zh-CN"/>
              </w:rPr>
              <w:t>10</w:t>
            </w:r>
            <w:r w:rsidR="00154CBD" w:rsidRPr="008B7415">
              <w:rPr>
                <w:rFonts w:eastAsia="SimSun"/>
                <w:lang w:val="fr-CH" w:eastAsia="zh-CN"/>
              </w:rPr>
              <w:t xml:space="preserve"> </w:t>
            </w:r>
            <w:r w:rsidRPr="008B7415">
              <w:rPr>
                <w:rFonts w:eastAsia="SimSun"/>
                <w:lang w:val="fr-CH" w:eastAsia="zh-CN"/>
              </w:rPr>
              <w:t>600</w:t>
            </w:r>
          </w:p>
        </w:tc>
        <w:tc>
          <w:tcPr>
            <w:tcW w:w="2933" w:type="dxa"/>
          </w:tcPr>
          <w:p w:rsidR="00896897" w:rsidRPr="008B7415" w:rsidRDefault="00896897" w:rsidP="007D1428">
            <w:pPr>
              <w:pStyle w:val="Tabletext"/>
              <w:keepNext/>
              <w:jc w:val="center"/>
              <w:rPr>
                <w:rFonts w:eastAsia="SimSun"/>
                <w:lang w:val="fr-CH" w:eastAsia="zh-CN"/>
              </w:rPr>
            </w:pPr>
            <w:r w:rsidRPr="008B7415">
              <w:rPr>
                <w:rFonts w:eastAsia="SimSun"/>
                <w:lang w:val="fr-CH" w:eastAsia="zh-CN"/>
              </w:rPr>
              <w:t>3</w:t>
            </w:r>
            <w:r w:rsidR="00154CBD" w:rsidRPr="008B7415">
              <w:rPr>
                <w:rFonts w:eastAsia="SimSun"/>
                <w:lang w:val="fr-CH" w:eastAsia="zh-CN"/>
              </w:rPr>
              <w:t xml:space="preserve"> </w:t>
            </w:r>
            <w:r w:rsidRPr="008B7415">
              <w:rPr>
                <w:rFonts w:eastAsia="SimSun"/>
                <w:lang w:val="fr-CH" w:eastAsia="zh-CN"/>
              </w:rPr>
              <w:t>975</w:t>
            </w:r>
            <w:r w:rsidR="00154CBD" w:rsidRPr="008B7415">
              <w:rPr>
                <w:rFonts w:eastAsia="SimSun"/>
                <w:vertAlign w:val="superscript"/>
                <w:lang w:val="fr-CH" w:eastAsia="zh-CN"/>
              </w:rPr>
              <w:t>(2)</w:t>
            </w:r>
          </w:p>
        </w:tc>
      </w:tr>
      <w:tr w:rsidR="00896897" w:rsidRPr="00846F4D" w:rsidTr="008B7415">
        <w:trPr>
          <w:trHeight w:val="334"/>
        </w:trPr>
        <w:tc>
          <w:tcPr>
            <w:tcW w:w="1560" w:type="dxa"/>
            <w:tcBorders>
              <w:bottom w:val="single" w:sz="4" w:space="0" w:color="auto"/>
            </w:tcBorders>
            <w:shd w:val="clear" w:color="auto" w:fill="auto"/>
          </w:tcPr>
          <w:p w:rsidR="00896897" w:rsidRPr="008B7415" w:rsidRDefault="00154CBD" w:rsidP="007D1428">
            <w:pPr>
              <w:pStyle w:val="Tabletext"/>
              <w:keepNext/>
              <w:jc w:val="center"/>
              <w:rPr>
                <w:rFonts w:eastAsia="SimSun"/>
                <w:lang w:val="fr-CH" w:eastAsia="zh-CN"/>
              </w:rPr>
            </w:pPr>
            <w:r w:rsidRPr="008B7415">
              <w:rPr>
                <w:rFonts w:eastAsia="SimSun"/>
                <w:lang w:val="fr-CH" w:eastAsia="zh-CN"/>
              </w:rPr>
              <w:t>UIT-T</w:t>
            </w:r>
          </w:p>
        </w:tc>
        <w:tc>
          <w:tcPr>
            <w:tcW w:w="2155" w:type="dxa"/>
            <w:tcBorders>
              <w:bottom w:val="single" w:sz="4" w:space="0" w:color="auto"/>
            </w:tcBorders>
            <w:shd w:val="clear" w:color="auto" w:fill="auto"/>
          </w:tcPr>
          <w:p w:rsidR="00896897" w:rsidRPr="008B7415" w:rsidRDefault="00896897" w:rsidP="007D1428">
            <w:pPr>
              <w:pStyle w:val="Tabletext"/>
              <w:keepNext/>
              <w:jc w:val="center"/>
              <w:rPr>
                <w:rFonts w:eastAsia="SimSun"/>
                <w:lang w:val="fr-CH" w:eastAsia="zh-CN"/>
              </w:rPr>
            </w:pPr>
            <w:r w:rsidRPr="008B7415">
              <w:rPr>
                <w:rFonts w:eastAsia="SimSun"/>
                <w:lang w:val="fr-CH" w:eastAsia="zh-CN"/>
              </w:rPr>
              <w:t>31</w:t>
            </w:r>
            <w:r w:rsidR="00154CBD" w:rsidRPr="008B7415">
              <w:rPr>
                <w:rFonts w:eastAsia="SimSun"/>
                <w:lang w:val="fr-CH" w:eastAsia="zh-CN"/>
              </w:rPr>
              <w:t xml:space="preserve"> </w:t>
            </w:r>
            <w:r w:rsidRPr="008B7415">
              <w:rPr>
                <w:rFonts w:eastAsia="SimSun"/>
                <w:lang w:val="fr-CH" w:eastAsia="zh-CN"/>
              </w:rPr>
              <w:t>800</w:t>
            </w:r>
            <w:r w:rsidR="00154CBD" w:rsidRPr="008B7415">
              <w:rPr>
                <w:rFonts w:eastAsia="SimSun"/>
                <w:vertAlign w:val="superscript"/>
                <w:lang w:val="fr-CH" w:eastAsia="zh-CN"/>
              </w:rPr>
              <w:t>(1)</w:t>
            </w:r>
          </w:p>
        </w:tc>
        <w:tc>
          <w:tcPr>
            <w:tcW w:w="3279" w:type="dxa"/>
            <w:tcBorders>
              <w:bottom w:val="single" w:sz="4" w:space="0" w:color="auto"/>
            </w:tcBorders>
            <w:shd w:val="clear" w:color="auto" w:fill="auto"/>
          </w:tcPr>
          <w:p w:rsidR="00896897" w:rsidRPr="008B7415" w:rsidRDefault="00896897" w:rsidP="007D1428">
            <w:pPr>
              <w:pStyle w:val="Tabletext"/>
              <w:keepNext/>
              <w:jc w:val="center"/>
              <w:rPr>
                <w:rFonts w:eastAsia="SimSun"/>
                <w:lang w:val="fr-CH" w:eastAsia="zh-CN"/>
              </w:rPr>
            </w:pPr>
            <w:r w:rsidRPr="008B7415">
              <w:rPr>
                <w:rFonts w:eastAsia="SimSun"/>
                <w:lang w:val="fr-CH" w:eastAsia="zh-CN"/>
              </w:rPr>
              <w:t>10</w:t>
            </w:r>
            <w:r w:rsidR="00154CBD" w:rsidRPr="008B7415">
              <w:rPr>
                <w:rFonts w:eastAsia="SimSun"/>
                <w:lang w:val="fr-CH" w:eastAsia="zh-CN"/>
              </w:rPr>
              <w:t xml:space="preserve"> </w:t>
            </w:r>
            <w:r w:rsidRPr="008B7415">
              <w:rPr>
                <w:rFonts w:eastAsia="SimSun"/>
                <w:lang w:val="fr-CH" w:eastAsia="zh-CN"/>
              </w:rPr>
              <w:t>600</w:t>
            </w:r>
          </w:p>
        </w:tc>
        <w:tc>
          <w:tcPr>
            <w:tcW w:w="2933" w:type="dxa"/>
            <w:tcBorders>
              <w:bottom w:val="single" w:sz="4" w:space="0" w:color="auto"/>
            </w:tcBorders>
          </w:tcPr>
          <w:p w:rsidR="00896897" w:rsidRPr="008B7415" w:rsidRDefault="00896897" w:rsidP="007D1428">
            <w:pPr>
              <w:pStyle w:val="Tabletext"/>
              <w:keepNext/>
              <w:jc w:val="center"/>
              <w:rPr>
                <w:rFonts w:eastAsia="SimSun"/>
                <w:lang w:val="fr-CH" w:eastAsia="zh-CN"/>
              </w:rPr>
            </w:pPr>
            <w:r w:rsidRPr="008B7415">
              <w:rPr>
                <w:rFonts w:eastAsia="SimSun"/>
                <w:lang w:val="fr-CH" w:eastAsia="zh-CN"/>
              </w:rPr>
              <w:t>3</w:t>
            </w:r>
            <w:r w:rsidR="00154CBD" w:rsidRPr="008B7415">
              <w:rPr>
                <w:rFonts w:eastAsia="SimSun"/>
                <w:lang w:val="fr-CH" w:eastAsia="zh-CN"/>
              </w:rPr>
              <w:t xml:space="preserve"> </w:t>
            </w:r>
            <w:r w:rsidRPr="008B7415">
              <w:rPr>
                <w:rFonts w:eastAsia="SimSun"/>
                <w:lang w:val="fr-CH" w:eastAsia="zh-CN"/>
              </w:rPr>
              <w:t>975</w:t>
            </w:r>
            <w:r w:rsidR="00154CBD" w:rsidRPr="008B7415">
              <w:rPr>
                <w:rFonts w:eastAsia="SimSun"/>
                <w:vertAlign w:val="superscript"/>
                <w:lang w:val="fr-CH" w:eastAsia="zh-CN"/>
              </w:rPr>
              <w:t>(2)</w:t>
            </w:r>
          </w:p>
        </w:tc>
      </w:tr>
      <w:tr w:rsidR="00896897" w:rsidRPr="00846F4D" w:rsidTr="008B7415">
        <w:trPr>
          <w:trHeight w:val="334"/>
        </w:trPr>
        <w:tc>
          <w:tcPr>
            <w:tcW w:w="1560" w:type="dxa"/>
            <w:tcBorders>
              <w:bottom w:val="single" w:sz="4" w:space="0" w:color="auto"/>
            </w:tcBorders>
            <w:shd w:val="clear" w:color="auto" w:fill="auto"/>
          </w:tcPr>
          <w:p w:rsidR="00896897" w:rsidRPr="008B7415" w:rsidRDefault="00154CBD" w:rsidP="007D1428">
            <w:pPr>
              <w:pStyle w:val="Tabletext"/>
              <w:keepNext/>
              <w:jc w:val="center"/>
              <w:rPr>
                <w:rFonts w:eastAsia="SimSun"/>
                <w:lang w:val="fr-CH" w:eastAsia="zh-CN"/>
              </w:rPr>
            </w:pPr>
            <w:r w:rsidRPr="008B7415">
              <w:rPr>
                <w:rFonts w:eastAsia="SimSun"/>
                <w:lang w:val="fr-CH" w:eastAsia="zh-CN"/>
              </w:rPr>
              <w:t>UIT-D</w:t>
            </w:r>
          </w:p>
        </w:tc>
        <w:tc>
          <w:tcPr>
            <w:tcW w:w="2155" w:type="dxa"/>
            <w:tcBorders>
              <w:bottom w:val="single" w:sz="4" w:space="0" w:color="auto"/>
            </w:tcBorders>
            <w:shd w:val="clear" w:color="auto" w:fill="auto"/>
          </w:tcPr>
          <w:p w:rsidR="00896897" w:rsidRPr="008B7415" w:rsidRDefault="00896897" w:rsidP="004F6199">
            <w:pPr>
              <w:pStyle w:val="Tabletext"/>
              <w:keepNext/>
              <w:jc w:val="center"/>
              <w:rPr>
                <w:rFonts w:eastAsia="SimSun"/>
                <w:lang w:val="fr-CH" w:eastAsia="zh-CN"/>
              </w:rPr>
            </w:pPr>
            <w:r w:rsidRPr="008B7415">
              <w:rPr>
                <w:rFonts w:eastAsia="SimSun"/>
                <w:lang w:val="fr-CH" w:eastAsia="zh-CN"/>
              </w:rPr>
              <w:t>7</w:t>
            </w:r>
            <w:r w:rsidR="00154CBD" w:rsidRPr="008B7415">
              <w:rPr>
                <w:rFonts w:eastAsia="SimSun"/>
                <w:lang w:val="fr-CH" w:eastAsia="zh-CN"/>
              </w:rPr>
              <w:t xml:space="preserve"> </w:t>
            </w:r>
            <w:r w:rsidRPr="008B7415">
              <w:rPr>
                <w:rFonts w:eastAsia="SimSun"/>
                <w:lang w:val="fr-CH" w:eastAsia="zh-CN"/>
              </w:rPr>
              <w:t>950</w:t>
            </w:r>
            <w:r w:rsidR="00154CBD" w:rsidRPr="008B7415">
              <w:rPr>
                <w:rFonts w:eastAsia="SimSun"/>
                <w:vertAlign w:val="superscript"/>
                <w:lang w:val="fr-CH" w:eastAsia="zh-CN"/>
              </w:rPr>
              <w:t>(2)</w:t>
            </w:r>
          </w:p>
        </w:tc>
        <w:tc>
          <w:tcPr>
            <w:tcW w:w="3279" w:type="dxa"/>
            <w:tcBorders>
              <w:bottom w:val="single" w:sz="4" w:space="0" w:color="auto"/>
            </w:tcBorders>
            <w:shd w:val="clear" w:color="auto" w:fill="auto"/>
          </w:tcPr>
          <w:p w:rsidR="00896897" w:rsidRPr="008B7415" w:rsidRDefault="00896897" w:rsidP="004F6199">
            <w:pPr>
              <w:pStyle w:val="Tabletext"/>
              <w:keepNext/>
              <w:jc w:val="center"/>
              <w:rPr>
                <w:rFonts w:eastAsia="SimSun"/>
                <w:lang w:val="fr-CH" w:eastAsia="zh-CN"/>
              </w:rPr>
            </w:pPr>
            <w:r w:rsidRPr="008B7415">
              <w:rPr>
                <w:rFonts w:eastAsia="SimSun"/>
                <w:lang w:val="fr-CH" w:eastAsia="zh-CN"/>
              </w:rPr>
              <w:t>3</w:t>
            </w:r>
            <w:r w:rsidR="00154CBD" w:rsidRPr="008B7415">
              <w:rPr>
                <w:rFonts w:eastAsia="SimSun"/>
                <w:lang w:val="fr-CH" w:eastAsia="zh-CN"/>
              </w:rPr>
              <w:t xml:space="preserve"> </w:t>
            </w:r>
            <w:r w:rsidRPr="008B7415">
              <w:rPr>
                <w:rFonts w:eastAsia="SimSun"/>
                <w:lang w:val="fr-CH" w:eastAsia="zh-CN"/>
              </w:rPr>
              <w:t>975</w:t>
            </w:r>
            <w:r w:rsidR="00154CBD" w:rsidRPr="008B7415">
              <w:rPr>
                <w:rFonts w:eastAsia="SimSun"/>
                <w:vertAlign w:val="superscript"/>
                <w:lang w:val="fr-CH" w:eastAsia="zh-CN"/>
              </w:rPr>
              <w:t>(2)</w:t>
            </w:r>
          </w:p>
        </w:tc>
        <w:tc>
          <w:tcPr>
            <w:tcW w:w="2933" w:type="dxa"/>
            <w:tcBorders>
              <w:bottom w:val="single" w:sz="4" w:space="0" w:color="auto"/>
            </w:tcBorders>
          </w:tcPr>
          <w:p w:rsidR="00896897" w:rsidRPr="00846F4D" w:rsidRDefault="00896897" w:rsidP="007D1428">
            <w:pPr>
              <w:pStyle w:val="Tabletext"/>
              <w:keepNext/>
              <w:jc w:val="center"/>
              <w:rPr>
                <w:rFonts w:eastAsia="SimSun"/>
                <w:lang w:val="en-US" w:eastAsia="zh-CN"/>
              </w:rPr>
            </w:pPr>
            <w:r w:rsidRPr="00846F4D">
              <w:rPr>
                <w:rFonts w:eastAsia="SimSun"/>
                <w:lang w:val="en-US" w:eastAsia="zh-CN"/>
              </w:rPr>
              <w:t>3</w:t>
            </w:r>
            <w:r w:rsidR="00154CBD">
              <w:rPr>
                <w:rFonts w:eastAsia="SimSun"/>
                <w:lang w:val="en-US" w:eastAsia="zh-CN"/>
              </w:rPr>
              <w:t xml:space="preserve"> </w:t>
            </w:r>
            <w:r w:rsidRPr="00846F4D">
              <w:rPr>
                <w:rFonts w:eastAsia="SimSun"/>
                <w:lang w:val="en-US" w:eastAsia="zh-CN"/>
              </w:rPr>
              <w:t>975</w:t>
            </w:r>
            <w:r w:rsidR="00154CBD">
              <w:rPr>
                <w:rFonts w:eastAsia="SimSun"/>
                <w:vertAlign w:val="superscript"/>
                <w:lang w:val="en-US" w:eastAsia="zh-CN"/>
              </w:rPr>
              <w:t>(2</w:t>
            </w:r>
            <w:r w:rsidR="00154CBD" w:rsidRPr="00154CBD">
              <w:rPr>
                <w:rFonts w:eastAsia="SimSun"/>
                <w:vertAlign w:val="superscript"/>
                <w:lang w:val="en-US" w:eastAsia="zh-CN"/>
              </w:rPr>
              <w:t>)</w:t>
            </w:r>
          </w:p>
        </w:tc>
      </w:tr>
      <w:tr w:rsidR="00154CBD" w:rsidRPr="007304FE" w:rsidTr="00154CBD">
        <w:trPr>
          <w:trHeight w:val="334"/>
        </w:trPr>
        <w:tc>
          <w:tcPr>
            <w:tcW w:w="9927" w:type="dxa"/>
            <w:gridSpan w:val="4"/>
            <w:tcBorders>
              <w:top w:val="single" w:sz="4" w:space="0" w:color="auto"/>
              <w:left w:val="nil"/>
              <w:bottom w:val="nil"/>
              <w:right w:val="nil"/>
            </w:tcBorders>
            <w:shd w:val="clear" w:color="auto" w:fill="auto"/>
          </w:tcPr>
          <w:p w:rsidR="00347CB8" w:rsidRPr="00347CB8" w:rsidRDefault="00154CBD" w:rsidP="00A774F9">
            <w:pPr>
              <w:pStyle w:val="Tablelegend"/>
              <w:tabs>
                <w:tab w:val="left" w:pos="488"/>
              </w:tabs>
              <w:ind w:left="488" w:hanging="488"/>
              <w:rPr>
                <w:rFonts w:eastAsia="SimSun"/>
                <w:lang w:val="fr-CH" w:eastAsia="zh-CN"/>
              </w:rPr>
            </w:pPr>
            <w:r w:rsidRPr="00347CB8">
              <w:rPr>
                <w:rFonts w:eastAsia="SimSun"/>
                <w:vertAlign w:val="superscript"/>
                <w:lang w:val="fr-CH" w:eastAsia="zh-CN"/>
              </w:rPr>
              <w:t>(1)</w:t>
            </w:r>
            <w:r w:rsidRPr="00347CB8">
              <w:rPr>
                <w:rFonts w:eastAsia="SimSun"/>
                <w:lang w:val="fr-CH" w:eastAsia="zh-CN"/>
              </w:rPr>
              <w:tab/>
            </w:r>
            <w:r w:rsidR="007304FE">
              <w:rPr>
                <w:rFonts w:eastAsia="SimSun"/>
                <w:lang w:val="fr-CH" w:eastAsia="zh-CN"/>
              </w:rPr>
              <w:t>La</w:t>
            </w:r>
            <w:r w:rsidR="00347CB8" w:rsidRPr="00347CB8">
              <w:rPr>
                <w:rFonts w:eastAsia="SimSun"/>
                <w:lang w:val="fr-CH" w:eastAsia="zh-CN"/>
              </w:rPr>
              <w:t xml:space="preserve"> valeur </w:t>
            </w:r>
            <w:r w:rsidR="007304FE">
              <w:rPr>
                <w:rFonts w:eastAsia="SimSun"/>
                <w:lang w:val="fr-CH" w:eastAsia="zh-CN"/>
              </w:rPr>
              <w:t xml:space="preserve">indiquée </w:t>
            </w:r>
            <w:r w:rsidR="00347CB8" w:rsidRPr="00347CB8">
              <w:rPr>
                <w:rFonts w:eastAsia="SimSun"/>
                <w:lang w:val="fr-CH" w:eastAsia="zh-CN"/>
              </w:rPr>
              <w:t xml:space="preserve">correspond au </w:t>
            </w:r>
            <w:r w:rsidR="007304FE">
              <w:rPr>
                <w:rFonts w:eastAsia="SimSun"/>
                <w:lang w:val="fr-CH" w:eastAsia="zh-CN"/>
              </w:rPr>
              <w:t>montant minimal</w:t>
            </w:r>
            <w:r w:rsidR="00347CB8" w:rsidRPr="00347CB8">
              <w:rPr>
                <w:rFonts w:eastAsia="SimSun"/>
                <w:lang w:val="fr-CH" w:eastAsia="zh-CN"/>
              </w:rPr>
              <w:t xml:space="preserve">. </w:t>
            </w:r>
            <w:r w:rsidR="00347CB8">
              <w:rPr>
                <w:rFonts w:eastAsia="SimSun"/>
                <w:lang w:val="fr-CH" w:eastAsia="zh-CN"/>
              </w:rPr>
              <w:t>Certaines</w:t>
            </w:r>
            <w:r w:rsidR="00347CB8" w:rsidRPr="00347CB8">
              <w:rPr>
                <w:rFonts w:eastAsia="SimSun"/>
                <w:lang w:val="fr-CH" w:eastAsia="zh-CN"/>
              </w:rPr>
              <w:t xml:space="preserve"> entités peuvent choisir de verser le montant d</w:t>
            </w:r>
            <w:r w:rsidR="00865BC1">
              <w:rPr>
                <w:rFonts w:eastAsia="SimSun"/>
                <w:lang w:val="fr-CH" w:eastAsia="zh-CN"/>
              </w:rPr>
              <w:t>'</w:t>
            </w:r>
            <w:r w:rsidR="00347CB8" w:rsidRPr="00347CB8">
              <w:rPr>
                <w:rFonts w:eastAsia="SimSun"/>
                <w:lang w:val="fr-CH" w:eastAsia="zh-CN"/>
              </w:rPr>
              <w:t xml:space="preserve">une unité </w:t>
            </w:r>
            <w:r w:rsidR="00A774F9">
              <w:rPr>
                <w:rFonts w:eastAsia="SimSun"/>
                <w:lang w:val="fr-CH" w:eastAsia="zh-CN"/>
              </w:rPr>
              <w:t>entière</w:t>
            </w:r>
            <w:r w:rsidR="00347CB8" w:rsidRPr="00347CB8">
              <w:rPr>
                <w:rFonts w:eastAsia="SimSun"/>
                <w:lang w:val="fr-CH" w:eastAsia="zh-CN"/>
              </w:rPr>
              <w:t>, soit 63 000 CHF, ou plus</w:t>
            </w:r>
            <w:r w:rsidR="00347CB8">
              <w:rPr>
                <w:rFonts w:eastAsia="SimSun"/>
                <w:lang w:val="fr-CH" w:eastAsia="zh-CN"/>
              </w:rPr>
              <w:t>. En revanche, les entités issues de certains pays en développement peuvent s</w:t>
            </w:r>
            <w:r w:rsidR="00865BC1">
              <w:rPr>
                <w:rFonts w:eastAsia="SimSun"/>
                <w:lang w:val="fr-CH" w:eastAsia="zh-CN"/>
              </w:rPr>
              <w:t>'</w:t>
            </w:r>
            <w:r w:rsidR="00347CB8">
              <w:rPr>
                <w:rFonts w:eastAsia="SimSun"/>
                <w:lang w:val="fr-CH" w:eastAsia="zh-CN"/>
              </w:rPr>
              <w:t xml:space="preserve">acquitter de </w:t>
            </w:r>
            <w:r w:rsidR="007304FE">
              <w:rPr>
                <w:rFonts w:eastAsia="SimSun"/>
                <w:lang w:val="fr-CH" w:eastAsia="zh-CN"/>
              </w:rPr>
              <w:t xml:space="preserve">seulement </w:t>
            </w:r>
            <w:r w:rsidR="00347CB8">
              <w:rPr>
                <w:rFonts w:eastAsia="SimSun"/>
                <w:lang w:val="fr-CH" w:eastAsia="zh-CN"/>
              </w:rPr>
              <w:t>3</w:t>
            </w:r>
            <w:r w:rsidR="004F6199">
              <w:rPr>
                <w:rFonts w:eastAsia="SimSun"/>
                <w:lang w:val="fr-CH" w:eastAsia="zh-CN"/>
              </w:rPr>
              <w:t> </w:t>
            </w:r>
            <w:r w:rsidR="00347CB8">
              <w:rPr>
                <w:rFonts w:eastAsia="SimSun"/>
                <w:lang w:val="fr-CH" w:eastAsia="zh-CN"/>
              </w:rPr>
              <w:t>975 CHF.</w:t>
            </w:r>
          </w:p>
          <w:p w:rsidR="00154CBD" w:rsidRPr="007304FE" w:rsidRDefault="00154CBD" w:rsidP="007D1428">
            <w:pPr>
              <w:pStyle w:val="Tablelegend"/>
              <w:tabs>
                <w:tab w:val="left" w:pos="488"/>
              </w:tabs>
              <w:ind w:left="488" w:hanging="488"/>
              <w:rPr>
                <w:rFonts w:eastAsia="SimSun"/>
                <w:lang w:val="fr-CH" w:eastAsia="zh-CN"/>
              </w:rPr>
            </w:pPr>
            <w:r w:rsidRPr="007304FE">
              <w:rPr>
                <w:rFonts w:eastAsia="SimSun"/>
                <w:vertAlign w:val="superscript"/>
                <w:lang w:val="fr-CH" w:eastAsia="zh-CN"/>
              </w:rPr>
              <w:t>(2)</w:t>
            </w:r>
            <w:r w:rsidRPr="007304FE">
              <w:rPr>
                <w:rFonts w:eastAsia="SimSun"/>
                <w:lang w:val="fr-CH" w:eastAsia="zh-CN"/>
              </w:rPr>
              <w:tab/>
            </w:r>
            <w:r w:rsidR="007304FE" w:rsidRPr="007304FE">
              <w:rPr>
                <w:rFonts w:eastAsia="SimSun"/>
                <w:lang w:val="fr-CH" w:eastAsia="zh-CN"/>
              </w:rPr>
              <w:t xml:space="preserve">La valeur indiquée correspond au montant </w:t>
            </w:r>
            <w:r w:rsidR="00C2563D">
              <w:rPr>
                <w:rFonts w:eastAsia="SimSun"/>
                <w:lang w:val="fr-CH" w:eastAsia="zh-CN"/>
              </w:rPr>
              <w:t>normal</w:t>
            </w:r>
            <w:r w:rsidR="007304FE" w:rsidRPr="007304FE">
              <w:rPr>
                <w:rFonts w:eastAsia="SimSun"/>
                <w:lang w:val="fr-CH" w:eastAsia="zh-CN"/>
              </w:rPr>
              <w:t xml:space="preserve">. </w:t>
            </w:r>
            <w:r w:rsidR="007304FE">
              <w:rPr>
                <w:rFonts w:eastAsia="SimSun"/>
                <w:lang w:val="fr-CH" w:eastAsia="zh-CN"/>
              </w:rPr>
              <w:t>Les entités issues de pays en développement peuvent s</w:t>
            </w:r>
            <w:r w:rsidR="00865BC1">
              <w:rPr>
                <w:rFonts w:eastAsia="SimSun"/>
                <w:lang w:val="fr-CH" w:eastAsia="zh-CN"/>
              </w:rPr>
              <w:t>'</w:t>
            </w:r>
            <w:r w:rsidR="007304FE">
              <w:rPr>
                <w:rFonts w:eastAsia="SimSun"/>
                <w:lang w:val="fr-CH" w:eastAsia="zh-CN"/>
              </w:rPr>
              <w:t>acquitter de la moitié de ce montant, soit 1</w:t>
            </w:r>
            <w:r w:rsidR="004F6199">
              <w:rPr>
                <w:rFonts w:eastAsia="SimSun"/>
                <w:lang w:val="fr-CH" w:eastAsia="zh-CN"/>
              </w:rPr>
              <w:t> </w:t>
            </w:r>
            <w:r w:rsidR="007304FE">
              <w:rPr>
                <w:rFonts w:eastAsia="SimSun"/>
                <w:lang w:val="fr-CH" w:eastAsia="zh-CN"/>
              </w:rPr>
              <w:t>975,50 CHF.</w:t>
            </w:r>
          </w:p>
        </w:tc>
      </w:tr>
    </w:tbl>
    <w:p w:rsidR="00896897" w:rsidRPr="007304FE" w:rsidRDefault="00896897" w:rsidP="007D1428">
      <w:pPr>
        <w:pStyle w:val="Heading1"/>
        <w:rPr>
          <w:bCs/>
          <w:szCs w:val="24"/>
          <w:lang w:val="fr-CH"/>
        </w:rPr>
      </w:pPr>
      <w:r w:rsidRPr="007304FE">
        <w:rPr>
          <w:bCs/>
          <w:szCs w:val="24"/>
          <w:lang w:val="fr-CH"/>
        </w:rPr>
        <w:t>6</w:t>
      </w:r>
      <w:r w:rsidRPr="007304FE">
        <w:rPr>
          <w:bCs/>
          <w:szCs w:val="24"/>
          <w:lang w:val="fr-CH"/>
        </w:rPr>
        <w:tab/>
      </w:r>
      <w:r w:rsidR="007304FE" w:rsidRPr="007304FE">
        <w:rPr>
          <w:bCs/>
          <w:szCs w:val="24"/>
          <w:lang w:val="fr-CH"/>
        </w:rPr>
        <w:t>Exonération</w:t>
      </w:r>
      <w:r w:rsidR="003F75DB">
        <w:rPr>
          <w:bCs/>
          <w:szCs w:val="24"/>
          <w:lang w:val="fr-CH"/>
        </w:rPr>
        <w:t>s</w:t>
      </w:r>
      <w:r w:rsidR="007304FE" w:rsidRPr="007304FE">
        <w:rPr>
          <w:bCs/>
          <w:szCs w:val="24"/>
          <w:lang w:val="fr-CH"/>
        </w:rPr>
        <w:t xml:space="preserve"> de </w:t>
      </w:r>
      <w:r w:rsidR="005B0114">
        <w:rPr>
          <w:bCs/>
          <w:szCs w:val="24"/>
          <w:lang w:val="fr-CH"/>
        </w:rPr>
        <w:t>contribution financière</w:t>
      </w:r>
    </w:p>
    <w:p w:rsidR="007304FE" w:rsidRPr="007304FE" w:rsidRDefault="00896897" w:rsidP="007D1428">
      <w:pPr>
        <w:spacing w:after="120"/>
        <w:rPr>
          <w:szCs w:val="24"/>
          <w:lang w:val="fr-CH"/>
        </w:rPr>
      </w:pPr>
      <w:r w:rsidRPr="007304FE">
        <w:rPr>
          <w:szCs w:val="24"/>
          <w:lang w:val="fr-CH"/>
        </w:rPr>
        <w:t>6.1</w:t>
      </w:r>
      <w:r w:rsidRPr="007304FE">
        <w:rPr>
          <w:szCs w:val="24"/>
          <w:lang w:val="fr-CH"/>
        </w:rPr>
        <w:tab/>
      </w:r>
      <w:r w:rsidR="007304FE" w:rsidRPr="007304FE">
        <w:rPr>
          <w:szCs w:val="24"/>
          <w:lang w:val="fr-CH"/>
        </w:rPr>
        <w:t xml:space="preserve">En vertu du numéro 476 de la Convention, </w:t>
      </w:r>
      <w:r w:rsidR="00B23E85">
        <w:rPr>
          <w:szCs w:val="24"/>
          <w:lang w:val="fr-CH"/>
        </w:rPr>
        <w:t xml:space="preserve">le Conseil peut exonérer </w:t>
      </w:r>
      <w:r w:rsidR="005B0114">
        <w:rPr>
          <w:szCs w:val="24"/>
          <w:lang w:val="fr-CH"/>
        </w:rPr>
        <w:t xml:space="preserve">de contribution financière </w:t>
      </w:r>
      <w:r w:rsidR="00655B7F">
        <w:rPr>
          <w:szCs w:val="24"/>
          <w:lang w:val="fr-CH"/>
        </w:rPr>
        <w:t xml:space="preserve">certaines entités </w:t>
      </w:r>
      <w:r w:rsidR="009F6D1E">
        <w:rPr>
          <w:szCs w:val="24"/>
          <w:lang w:val="fr-CH"/>
        </w:rPr>
        <w:t>ayant un</w:t>
      </w:r>
      <w:r w:rsidR="00655B7F">
        <w:rPr>
          <w:szCs w:val="24"/>
          <w:lang w:val="fr-CH"/>
        </w:rPr>
        <w:t xml:space="preserve"> caractère international, sous réserve de réciprocité.</w:t>
      </w:r>
      <w:r w:rsidR="00631818">
        <w:rPr>
          <w:szCs w:val="24"/>
          <w:lang w:val="fr-CH"/>
        </w:rPr>
        <w:t xml:space="preserve"> </w:t>
      </w:r>
      <w:r w:rsidR="009F6D1E">
        <w:rPr>
          <w:szCs w:val="24"/>
          <w:lang w:val="fr-CH"/>
        </w:rPr>
        <w:t>Les lignes directrices et procédures relatives à l</w:t>
      </w:r>
      <w:r w:rsidR="00865BC1">
        <w:rPr>
          <w:szCs w:val="24"/>
          <w:lang w:val="fr-CH"/>
        </w:rPr>
        <w:t>'</w:t>
      </w:r>
      <w:r w:rsidR="009F6D1E">
        <w:rPr>
          <w:szCs w:val="24"/>
          <w:lang w:val="fr-CH"/>
        </w:rPr>
        <w:t>octroi d</w:t>
      </w:r>
      <w:r w:rsidR="00865BC1">
        <w:rPr>
          <w:szCs w:val="24"/>
          <w:lang w:val="fr-CH"/>
        </w:rPr>
        <w:t>'</w:t>
      </w:r>
      <w:r w:rsidR="009F6D1E">
        <w:rPr>
          <w:szCs w:val="24"/>
          <w:lang w:val="fr-CH"/>
        </w:rPr>
        <w:t>exonérations</w:t>
      </w:r>
      <w:r w:rsidR="00F407BA">
        <w:rPr>
          <w:szCs w:val="24"/>
          <w:lang w:val="fr-CH"/>
        </w:rPr>
        <w:t xml:space="preserve"> ont été établies par le Conseil à sa session de 2000 (Document C2000/28(Rév.1)). A cette occasion, le Conseil a </w:t>
      </w:r>
      <w:r w:rsidR="006E5A85">
        <w:rPr>
          <w:szCs w:val="24"/>
          <w:lang w:val="fr-CH"/>
        </w:rPr>
        <w:t>défini</w:t>
      </w:r>
      <w:r w:rsidR="00F407BA">
        <w:rPr>
          <w:szCs w:val="24"/>
          <w:lang w:val="fr-CH"/>
        </w:rPr>
        <w:t xml:space="preserve"> le terme réciprocité </w:t>
      </w:r>
      <w:r w:rsidR="006E5A85">
        <w:rPr>
          <w:szCs w:val="24"/>
          <w:lang w:val="fr-CH"/>
        </w:rPr>
        <w:t>comme</w:t>
      </w:r>
      <w:r w:rsidR="00F407BA">
        <w:rPr>
          <w:szCs w:val="24"/>
          <w:lang w:val="fr-CH"/>
        </w:rPr>
        <w:t xml:space="preserve"> "</w:t>
      </w:r>
      <w:r w:rsidR="006E5A85">
        <w:rPr>
          <w:szCs w:val="24"/>
          <w:lang w:val="fr-CH"/>
        </w:rPr>
        <w:t>[l]</w:t>
      </w:r>
      <w:r w:rsidR="00F407BA">
        <w:rPr>
          <w:szCs w:val="24"/>
          <w:lang w:val="fr-CH"/>
        </w:rPr>
        <w:t xml:space="preserve">es </w:t>
      </w:r>
      <w:r w:rsidR="00F407BA" w:rsidRPr="00F407BA">
        <w:rPr>
          <w:szCs w:val="24"/>
          <w:lang w:val="fr-CH"/>
        </w:rPr>
        <w:t>avantages mutuels que l'UIT et l'organisation concernée pourraient retirer de la participation de cette organisation aux activités pertinentes de l'Union</w:t>
      </w:r>
      <w:r w:rsidR="00F407BA">
        <w:rPr>
          <w:szCs w:val="24"/>
          <w:lang w:val="fr-CH"/>
        </w:rPr>
        <w:t xml:space="preserve">". </w:t>
      </w:r>
      <w:r w:rsidR="006E5A85">
        <w:rPr>
          <w:szCs w:val="24"/>
          <w:lang w:val="fr-CH"/>
        </w:rPr>
        <w:t>Le</w:t>
      </w:r>
      <w:r w:rsidR="00106492">
        <w:rPr>
          <w:szCs w:val="24"/>
          <w:lang w:val="fr-CH"/>
        </w:rPr>
        <w:t xml:space="preserve"> </w:t>
      </w:r>
      <w:r w:rsidR="00ED3D2D">
        <w:rPr>
          <w:szCs w:val="24"/>
          <w:lang w:val="fr-CH"/>
        </w:rPr>
        <w:t>Conseil</w:t>
      </w:r>
      <w:r w:rsidR="00F407BA">
        <w:rPr>
          <w:szCs w:val="24"/>
          <w:lang w:val="fr-CH"/>
        </w:rPr>
        <w:t xml:space="preserve"> a </w:t>
      </w:r>
      <w:r w:rsidR="006E5A85">
        <w:rPr>
          <w:szCs w:val="24"/>
          <w:lang w:val="fr-CH"/>
        </w:rPr>
        <w:t xml:space="preserve">également </w:t>
      </w:r>
      <w:r w:rsidR="008B7415">
        <w:rPr>
          <w:szCs w:val="24"/>
          <w:lang w:val="fr-CH"/>
        </w:rPr>
        <w:t>arrêté</w:t>
      </w:r>
      <w:r w:rsidR="00106492">
        <w:rPr>
          <w:szCs w:val="24"/>
          <w:lang w:val="fr-CH"/>
        </w:rPr>
        <w:t xml:space="preserve"> </w:t>
      </w:r>
      <w:r w:rsidR="00F407BA">
        <w:rPr>
          <w:szCs w:val="24"/>
          <w:lang w:val="fr-CH"/>
        </w:rPr>
        <w:t>les critères suivants pour l</w:t>
      </w:r>
      <w:r w:rsidR="00865BC1">
        <w:rPr>
          <w:szCs w:val="24"/>
          <w:lang w:val="fr-CH"/>
        </w:rPr>
        <w:t>'</w:t>
      </w:r>
      <w:r w:rsidR="00F407BA">
        <w:rPr>
          <w:szCs w:val="24"/>
          <w:lang w:val="fr-CH"/>
        </w:rPr>
        <w:t xml:space="preserve">exonération de </w:t>
      </w:r>
      <w:r w:rsidR="00B4383B">
        <w:rPr>
          <w:szCs w:val="24"/>
          <w:lang w:val="fr-CH"/>
        </w:rPr>
        <w:t>contribution</w:t>
      </w:r>
      <w:r w:rsidR="00F407BA">
        <w:rPr>
          <w:szCs w:val="24"/>
          <w:lang w:val="fr-CH"/>
        </w:rPr>
        <w:t>:</w:t>
      </w:r>
    </w:p>
    <w:p w:rsidR="00896897" w:rsidRPr="00522522" w:rsidRDefault="00D61EF2" w:rsidP="007D1428">
      <w:pPr>
        <w:pStyle w:val="enumlev1"/>
        <w:rPr>
          <w:lang w:val="fr-CH"/>
        </w:rPr>
      </w:pPr>
      <w:r w:rsidRPr="00522522">
        <w:rPr>
          <w:lang w:val="fr-CH"/>
        </w:rPr>
        <w:t>•</w:t>
      </w:r>
      <w:r w:rsidRPr="00522522">
        <w:rPr>
          <w:lang w:val="fr-CH"/>
        </w:rPr>
        <w:tab/>
      </w:r>
      <w:r w:rsidR="00522522">
        <w:t>l'organisation doit avoir un caractère international et s'occuper de télécommunications</w:t>
      </w:r>
      <w:r w:rsidR="00896897" w:rsidRPr="00522522">
        <w:rPr>
          <w:lang w:val="fr-CH"/>
        </w:rPr>
        <w:t>;</w:t>
      </w:r>
    </w:p>
    <w:p w:rsidR="00896897" w:rsidRPr="00522522" w:rsidRDefault="00D61EF2" w:rsidP="007D1428">
      <w:pPr>
        <w:pStyle w:val="enumlev1"/>
        <w:rPr>
          <w:lang w:val="fr-CH"/>
        </w:rPr>
      </w:pPr>
      <w:r w:rsidRPr="00522522">
        <w:rPr>
          <w:lang w:val="fr-CH"/>
        </w:rPr>
        <w:t>•</w:t>
      </w:r>
      <w:r w:rsidRPr="00522522">
        <w:rPr>
          <w:lang w:val="fr-CH"/>
        </w:rPr>
        <w:tab/>
      </w:r>
      <w:r w:rsidR="00522522">
        <w:t>l'organisation doit exercer des activités à but non lucratif</w:t>
      </w:r>
      <w:r w:rsidR="00896897" w:rsidRPr="00522522">
        <w:rPr>
          <w:lang w:val="fr-CH"/>
        </w:rPr>
        <w:t>;</w:t>
      </w:r>
    </w:p>
    <w:p w:rsidR="00896897" w:rsidRPr="00522522" w:rsidRDefault="00D61EF2" w:rsidP="007D1428">
      <w:pPr>
        <w:pStyle w:val="enumlev1"/>
        <w:rPr>
          <w:lang w:val="fr-CH"/>
        </w:rPr>
      </w:pPr>
      <w:r w:rsidRPr="00522522">
        <w:rPr>
          <w:lang w:val="fr-CH"/>
        </w:rPr>
        <w:t>•</w:t>
      </w:r>
      <w:r w:rsidRPr="00522522">
        <w:rPr>
          <w:lang w:val="fr-CH"/>
        </w:rPr>
        <w:tab/>
      </w:r>
      <w:r w:rsidR="00522522">
        <w:t>elle doit être composée de membres dont la participation aux activités de l'UIT servirait les objectifs de l'Union</w:t>
      </w:r>
      <w:r w:rsidR="00896897" w:rsidRPr="00522522">
        <w:rPr>
          <w:lang w:val="fr-CH"/>
        </w:rPr>
        <w:t>;</w:t>
      </w:r>
    </w:p>
    <w:p w:rsidR="00896897" w:rsidRPr="00522522" w:rsidRDefault="00D61EF2" w:rsidP="007D1428">
      <w:pPr>
        <w:pStyle w:val="enumlev1"/>
        <w:rPr>
          <w:lang w:val="fr-CH"/>
        </w:rPr>
      </w:pPr>
      <w:r w:rsidRPr="00522522">
        <w:rPr>
          <w:lang w:val="fr-CH"/>
        </w:rPr>
        <w:t>•</w:t>
      </w:r>
      <w:r w:rsidRPr="00522522">
        <w:rPr>
          <w:lang w:val="fr-CH"/>
        </w:rPr>
        <w:tab/>
      </w:r>
      <w:r w:rsidR="00522522">
        <w:t>elle doit permettre à l'UIT d'être représentée et de participer sans frais aux réunions de l'organisation</w:t>
      </w:r>
      <w:r w:rsidR="00896897" w:rsidRPr="00522522">
        <w:rPr>
          <w:lang w:val="fr-CH"/>
        </w:rPr>
        <w:t>;</w:t>
      </w:r>
    </w:p>
    <w:p w:rsidR="00896897" w:rsidRPr="00522522" w:rsidRDefault="00D61EF2" w:rsidP="007D1428">
      <w:pPr>
        <w:pStyle w:val="enumlev1"/>
        <w:rPr>
          <w:lang w:val="fr-CH"/>
        </w:rPr>
      </w:pPr>
      <w:r w:rsidRPr="00522522">
        <w:rPr>
          <w:lang w:val="fr-CH"/>
        </w:rPr>
        <w:t>•</w:t>
      </w:r>
      <w:r w:rsidRPr="00522522">
        <w:rPr>
          <w:lang w:val="fr-CH"/>
        </w:rPr>
        <w:tab/>
      </w:r>
      <w:r w:rsidR="00522522">
        <w:t>elle doit permettre à l'UIT d'avoir accès à la documentation pertinente</w:t>
      </w:r>
      <w:r w:rsidR="00896897" w:rsidRPr="00522522">
        <w:rPr>
          <w:lang w:val="fr-CH"/>
        </w:rPr>
        <w:t>.</w:t>
      </w:r>
    </w:p>
    <w:p w:rsidR="00896897" w:rsidRPr="00F407BA" w:rsidRDefault="00896897" w:rsidP="007D1428">
      <w:pPr>
        <w:pStyle w:val="Heading1"/>
        <w:rPr>
          <w:rFonts w:eastAsia="SimSun"/>
          <w:lang w:val="fr-CH" w:eastAsia="zh-CN"/>
        </w:rPr>
      </w:pPr>
      <w:r w:rsidRPr="00F407BA">
        <w:rPr>
          <w:rFonts w:eastAsia="SimSun"/>
          <w:lang w:val="fr-CH" w:eastAsia="zh-CN"/>
        </w:rPr>
        <w:t>7</w:t>
      </w:r>
      <w:r w:rsidRPr="00F407BA">
        <w:rPr>
          <w:rFonts w:eastAsia="SimSun"/>
          <w:lang w:val="fr-CH" w:eastAsia="zh-CN"/>
        </w:rPr>
        <w:tab/>
      </w:r>
      <w:r w:rsidR="00F407BA" w:rsidRPr="00F407BA">
        <w:rPr>
          <w:rFonts w:eastAsia="SimSun"/>
          <w:lang w:val="fr-CH" w:eastAsia="zh-CN"/>
        </w:rPr>
        <w:t>Modifications éventuelles de la catégorie des Membres de Secteur</w:t>
      </w:r>
    </w:p>
    <w:p w:rsidR="004F6199" w:rsidRDefault="00896897" w:rsidP="00A774F9">
      <w:pPr>
        <w:spacing w:after="240"/>
        <w:rPr>
          <w:rFonts w:eastAsia="SimSun"/>
          <w:szCs w:val="24"/>
          <w:lang w:val="fr-CH" w:eastAsia="zh-CN"/>
        </w:rPr>
      </w:pPr>
      <w:r w:rsidRPr="00366977">
        <w:rPr>
          <w:rFonts w:eastAsia="SimSun"/>
          <w:szCs w:val="24"/>
          <w:lang w:val="fr-CH" w:eastAsia="zh-CN"/>
        </w:rPr>
        <w:t>7.1</w:t>
      </w:r>
      <w:r w:rsidRPr="00366977">
        <w:rPr>
          <w:rFonts w:eastAsia="SimSun"/>
          <w:szCs w:val="24"/>
          <w:lang w:val="fr-CH" w:eastAsia="zh-CN"/>
        </w:rPr>
        <w:tab/>
      </w:r>
      <w:r w:rsidR="00366977" w:rsidRPr="00366977">
        <w:rPr>
          <w:rFonts w:eastAsia="SimSun"/>
          <w:szCs w:val="24"/>
          <w:lang w:val="fr-CH" w:eastAsia="zh-CN"/>
        </w:rPr>
        <w:t>En vertu de la Résolution 158 (</w:t>
      </w:r>
      <w:proofErr w:type="spellStart"/>
      <w:r w:rsidR="00366977" w:rsidRPr="00366977">
        <w:rPr>
          <w:rFonts w:eastAsia="SimSun"/>
          <w:szCs w:val="24"/>
          <w:lang w:val="fr-CH" w:eastAsia="zh-CN"/>
        </w:rPr>
        <w:t>Rév</w:t>
      </w:r>
      <w:proofErr w:type="spellEnd"/>
      <w:r w:rsidR="00366977" w:rsidRPr="00366977">
        <w:rPr>
          <w:rFonts w:eastAsia="SimSun"/>
          <w:szCs w:val="24"/>
          <w:lang w:val="fr-CH" w:eastAsia="zh-CN"/>
        </w:rPr>
        <w:t xml:space="preserve">. </w:t>
      </w:r>
      <w:r w:rsidR="00366977">
        <w:rPr>
          <w:rFonts w:eastAsia="SimSun"/>
          <w:szCs w:val="24"/>
          <w:lang w:val="fr-CH" w:eastAsia="zh-CN"/>
        </w:rPr>
        <w:t>Guadalajara, 2010)</w:t>
      </w:r>
      <w:r w:rsidR="0012234E">
        <w:rPr>
          <w:rFonts w:eastAsia="SimSun"/>
          <w:szCs w:val="24"/>
          <w:lang w:val="fr-CH" w:eastAsia="zh-CN"/>
        </w:rPr>
        <w:t xml:space="preserve"> de la Conférence de plénipotentiaires</w:t>
      </w:r>
      <w:r w:rsidR="00366977">
        <w:rPr>
          <w:rFonts w:eastAsia="SimSun"/>
          <w:szCs w:val="24"/>
          <w:lang w:val="fr-CH" w:eastAsia="zh-CN"/>
        </w:rPr>
        <w:t xml:space="preserve">, le Conseil est chargé </w:t>
      </w:r>
      <w:r w:rsidR="00ED3D2D">
        <w:rPr>
          <w:rFonts w:eastAsia="SimSun"/>
          <w:szCs w:val="24"/>
          <w:lang w:val="fr-CH" w:eastAsia="zh-CN"/>
        </w:rPr>
        <w:t>d</w:t>
      </w:r>
      <w:r w:rsidR="00865BC1">
        <w:rPr>
          <w:rFonts w:eastAsia="SimSun"/>
          <w:szCs w:val="24"/>
          <w:lang w:val="fr-CH" w:eastAsia="zh-CN"/>
        </w:rPr>
        <w:t>'</w:t>
      </w:r>
      <w:r w:rsidR="00ED3D2D">
        <w:rPr>
          <w:rFonts w:eastAsia="SimSun"/>
          <w:szCs w:val="24"/>
          <w:lang w:val="fr-CH" w:eastAsia="zh-CN"/>
        </w:rPr>
        <w:t>examiner</w:t>
      </w:r>
      <w:r w:rsidR="00E53440">
        <w:rPr>
          <w:rFonts w:eastAsia="SimSun"/>
          <w:szCs w:val="24"/>
          <w:lang w:val="fr-CH" w:eastAsia="zh-CN"/>
        </w:rPr>
        <w:t xml:space="preserve"> l</w:t>
      </w:r>
      <w:r w:rsidR="00865BC1">
        <w:rPr>
          <w:rFonts w:eastAsia="SimSun"/>
          <w:szCs w:val="24"/>
          <w:lang w:val="fr-CH" w:eastAsia="zh-CN"/>
        </w:rPr>
        <w:t>'</w:t>
      </w:r>
      <w:r w:rsidR="00E53440">
        <w:rPr>
          <w:rFonts w:eastAsia="SimSun"/>
          <w:szCs w:val="24"/>
          <w:lang w:val="fr-CH" w:eastAsia="zh-CN"/>
        </w:rPr>
        <w:t xml:space="preserve">approche </w:t>
      </w:r>
      <w:r w:rsidR="008B7415">
        <w:rPr>
          <w:rFonts w:eastAsia="SimSun"/>
          <w:szCs w:val="24"/>
          <w:lang w:val="fr-CH" w:eastAsia="zh-CN"/>
        </w:rPr>
        <w:t>actuelle</w:t>
      </w:r>
      <w:r w:rsidR="00366977">
        <w:rPr>
          <w:rFonts w:eastAsia="SimSun"/>
          <w:szCs w:val="24"/>
          <w:lang w:val="fr-CH" w:eastAsia="zh-CN"/>
        </w:rPr>
        <w:t xml:space="preserve"> concernant </w:t>
      </w:r>
      <w:r w:rsidR="00ED3D2D">
        <w:rPr>
          <w:rFonts w:eastAsia="SimSun"/>
          <w:szCs w:val="24"/>
          <w:lang w:val="fr-CH" w:eastAsia="zh-CN"/>
        </w:rPr>
        <w:t>les</w:t>
      </w:r>
      <w:r w:rsidR="00366977">
        <w:rPr>
          <w:rFonts w:eastAsia="SimSun"/>
          <w:szCs w:val="24"/>
          <w:lang w:val="fr-CH" w:eastAsia="zh-CN"/>
        </w:rPr>
        <w:t xml:space="preserve"> Membres de Secteur</w:t>
      </w:r>
      <w:r w:rsidR="00E53440">
        <w:rPr>
          <w:rFonts w:eastAsia="SimSun"/>
          <w:szCs w:val="24"/>
          <w:lang w:val="fr-CH" w:eastAsia="zh-CN"/>
        </w:rPr>
        <w:t xml:space="preserve">, </w:t>
      </w:r>
      <w:r w:rsidR="00ED3D2D">
        <w:rPr>
          <w:rFonts w:eastAsia="SimSun"/>
          <w:szCs w:val="24"/>
          <w:lang w:val="fr-CH" w:eastAsia="zh-CN"/>
        </w:rPr>
        <w:t>y compris la possibilité d</w:t>
      </w:r>
      <w:r w:rsidR="00865BC1">
        <w:rPr>
          <w:rFonts w:eastAsia="SimSun"/>
          <w:szCs w:val="24"/>
          <w:lang w:val="fr-CH" w:eastAsia="zh-CN"/>
        </w:rPr>
        <w:t>'</w:t>
      </w:r>
      <w:r w:rsidR="00ED3D2D">
        <w:rPr>
          <w:rFonts w:eastAsia="SimSun"/>
          <w:szCs w:val="24"/>
          <w:lang w:val="fr-CH" w:eastAsia="zh-CN"/>
        </w:rPr>
        <w:t>apporter des modifications</w:t>
      </w:r>
      <w:r w:rsidR="00E53440">
        <w:rPr>
          <w:rFonts w:eastAsia="SimSun"/>
          <w:szCs w:val="24"/>
          <w:lang w:val="fr-CH" w:eastAsia="zh-CN"/>
        </w:rPr>
        <w:t xml:space="preserve"> </w:t>
      </w:r>
      <w:r w:rsidR="00ED3D2D">
        <w:rPr>
          <w:rFonts w:eastAsia="SimSun"/>
          <w:szCs w:val="24"/>
          <w:lang w:val="fr-CH" w:eastAsia="zh-CN"/>
        </w:rPr>
        <w:t>dans des domaines</w:t>
      </w:r>
      <w:r w:rsidR="00E53440">
        <w:rPr>
          <w:rFonts w:eastAsia="SimSun"/>
          <w:szCs w:val="24"/>
          <w:lang w:val="fr-CH" w:eastAsia="zh-CN"/>
        </w:rPr>
        <w:t xml:space="preserve"> tels que la structure des </w:t>
      </w:r>
      <w:r w:rsidR="00B4383B">
        <w:rPr>
          <w:rFonts w:eastAsia="SimSun"/>
          <w:szCs w:val="24"/>
          <w:lang w:val="fr-CH" w:eastAsia="zh-CN"/>
        </w:rPr>
        <w:t>contributions</w:t>
      </w:r>
      <w:r w:rsidR="00E53440">
        <w:rPr>
          <w:rFonts w:eastAsia="SimSun"/>
          <w:szCs w:val="24"/>
          <w:lang w:val="fr-CH" w:eastAsia="zh-CN"/>
        </w:rPr>
        <w:t xml:space="preserve"> et les catégories de membres, et notamment la possibilité de combiner la participation aux Secteurs (c</w:t>
      </w:r>
      <w:r w:rsidR="00865BC1">
        <w:rPr>
          <w:rFonts w:eastAsia="SimSun"/>
          <w:szCs w:val="24"/>
          <w:lang w:val="fr-CH" w:eastAsia="zh-CN"/>
        </w:rPr>
        <w:t>'</w:t>
      </w:r>
      <w:r w:rsidR="00E53440">
        <w:rPr>
          <w:rFonts w:eastAsia="SimSun"/>
          <w:szCs w:val="24"/>
          <w:lang w:val="fr-CH" w:eastAsia="zh-CN"/>
        </w:rPr>
        <w:t>est</w:t>
      </w:r>
      <w:r w:rsidR="00E53440">
        <w:rPr>
          <w:rFonts w:eastAsia="SimSun"/>
          <w:szCs w:val="24"/>
          <w:lang w:val="fr-CH" w:eastAsia="zh-CN"/>
        </w:rPr>
        <w:noBreakHyphen/>
        <w:t>à</w:t>
      </w:r>
      <w:r w:rsidR="00E53440">
        <w:rPr>
          <w:rFonts w:eastAsia="SimSun"/>
          <w:szCs w:val="24"/>
          <w:lang w:val="fr-CH" w:eastAsia="zh-CN"/>
        </w:rPr>
        <w:noBreakHyphen/>
        <w:t xml:space="preserve">dire </w:t>
      </w:r>
      <w:r w:rsidR="00963025">
        <w:rPr>
          <w:rFonts w:eastAsia="SimSun"/>
          <w:szCs w:val="24"/>
          <w:lang w:val="fr-CH" w:eastAsia="zh-CN"/>
        </w:rPr>
        <w:t>de créer un statut de membre de l</w:t>
      </w:r>
      <w:r w:rsidR="00865BC1">
        <w:rPr>
          <w:rFonts w:eastAsia="SimSun"/>
          <w:szCs w:val="24"/>
          <w:lang w:val="fr-CH" w:eastAsia="zh-CN"/>
        </w:rPr>
        <w:t>'</w:t>
      </w:r>
      <w:r w:rsidR="00963025">
        <w:rPr>
          <w:rFonts w:eastAsia="SimSun"/>
          <w:szCs w:val="24"/>
          <w:lang w:val="fr-CH" w:eastAsia="zh-CN"/>
        </w:rPr>
        <w:t xml:space="preserve">UIT unique </w:t>
      </w:r>
      <w:r w:rsidR="006E5A85">
        <w:rPr>
          <w:rFonts w:eastAsia="SimSun"/>
          <w:szCs w:val="24"/>
          <w:lang w:val="fr-CH" w:eastAsia="zh-CN"/>
        </w:rPr>
        <w:t xml:space="preserve">pour </w:t>
      </w:r>
      <w:r w:rsidR="00963025">
        <w:rPr>
          <w:rFonts w:eastAsia="SimSun"/>
          <w:szCs w:val="24"/>
          <w:lang w:val="fr-CH" w:eastAsia="zh-CN"/>
        </w:rPr>
        <w:t xml:space="preserve">tous </w:t>
      </w:r>
      <w:r w:rsidR="006E5A85">
        <w:rPr>
          <w:rFonts w:eastAsia="SimSun"/>
          <w:szCs w:val="24"/>
          <w:lang w:val="fr-CH" w:eastAsia="zh-CN"/>
        </w:rPr>
        <w:t xml:space="preserve">les </w:t>
      </w:r>
      <w:r w:rsidR="00963025">
        <w:rPr>
          <w:rFonts w:eastAsia="SimSun"/>
          <w:szCs w:val="24"/>
          <w:lang w:val="fr-CH" w:eastAsia="zh-CN"/>
        </w:rPr>
        <w:t>Secteurs</w:t>
      </w:r>
      <w:r w:rsidR="00E53440">
        <w:rPr>
          <w:rFonts w:eastAsia="SimSun"/>
          <w:szCs w:val="24"/>
          <w:lang w:val="fr-CH" w:eastAsia="zh-CN"/>
        </w:rPr>
        <w:t>).</w:t>
      </w:r>
      <w:r w:rsidR="00ED3D2D">
        <w:rPr>
          <w:rFonts w:eastAsia="SimSun"/>
          <w:szCs w:val="24"/>
          <w:lang w:val="fr-CH" w:eastAsia="zh-CN"/>
        </w:rPr>
        <w:t xml:space="preserve"> Par ailleurs, la PP</w:t>
      </w:r>
      <w:r w:rsidR="00ED3D2D">
        <w:rPr>
          <w:rFonts w:eastAsia="SimSun"/>
          <w:szCs w:val="24"/>
          <w:lang w:val="fr-CH" w:eastAsia="zh-CN"/>
        </w:rPr>
        <w:noBreakHyphen/>
        <w:t>10 a créé une nouvelle catégorie de participation aux activités de l</w:t>
      </w:r>
      <w:r w:rsidR="00865BC1">
        <w:rPr>
          <w:rFonts w:eastAsia="SimSun"/>
          <w:szCs w:val="24"/>
          <w:lang w:val="fr-CH" w:eastAsia="zh-CN"/>
        </w:rPr>
        <w:t>'</w:t>
      </w:r>
      <w:r w:rsidR="00ED3D2D">
        <w:rPr>
          <w:rFonts w:eastAsia="SimSun"/>
          <w:szCs w:val="24"/>
          <w:lang w:val="fr-CH" w:eastAsia="zh-CN"/>
        </w:rPr>
        <w:t xml:space="preserve">UIT réservée aux établissements universitaires et aux instituts de recherche, révisé les dispositions relatives au paiement des </w:t>
      </w:r>
      <w:r w:rsidR="00B4383B">
        <w:rPr>
          <w:rFonts w:eastAsia="SimSun"/>
          <w:szCs w:val="24"/>
          <w:lang w:val="fr-CH" w:eastAsia="zh-CN"/>
        </w:rPr>
        <w:t>contributions</w:t>
      </w:r>
      <w:r w:rsidR="00ED3D2D">
        <w:rPr>
          <w:rFonts w:eastAsia="SimSun"/>
          <w:szCs w:val="24"/>
          <w:lang w:val="fr-CH" w:eastAsia="zh-CN"/>
        </w:rPr>
        <w:t>, et approuvé l</w:t>
      </w:r>
      <w:r w:rsidR="00865BC1">
        <w:rPr>
          <w:rFonts w:eastAsia="SimSun"/>
          <w:szCs w:val="24"/>
          <w:lang w:val="fr-CH" w:eastAsia="zh-CN"/>
        </w:rPr>
        <w:t>'</w:t>
      </w:r>
      <w:r w:rsidR="00ED3D2D">
        <w:rPr>
          <w:rFonts w:eastAsia="SimSun"/>
          <w:szCs w:val="24"/>
          <w:lang w:val="fr-CH" w:eastAsia="zh-CN"/>
        </w:rPr>
        <w:t>application de nouve</w:t>
      </w:r>
      <w:r w:rsidR="00B4383B">
        <w:rPr>
          <w:rFonts w:eastAsia="SimSun"/>
          <w:szCs w:val="24"/>
          <w:lang w:val="fr-CH" w:eastAsia="zh-CN"/>
        </w:rPr>
        <w:t>lles</w:t>
      </w:r>
      <w:r w:rsidR="00ED3D2D">
        <w:rPr>
          <w:rFonts w:eastAsia="SimSun"/>
          <w:szCs w:val="24"/>
          <w:lang w:val="fr-CH" w:eastAsia="zh-CN"/>
        </w:rPr>
        <w:t xml:space="preserve"> </w:t>
      </w:r>
      <w:r w:rsidR="004F6199">
        <w:rPr>
          <w:rFonts w:eastAsia="SimSun"/>
          <w:szCs w:val="24"/>
          <w:lang w:val="fr-CH" w:eastAsia="zh-CN"/>
        </w:rPr>
        <w:br w:type="page"/>
      </w:r>
    </w:p>
    <w:p w:rsidR="00B23E85" w:rsidRDefault="00B4383B" w:rsidP="00A774F9">
      <w:pPr>
        <w:spacing w:after="240"/>
        <w:rPr>
          <w:rFonts w:eastAsia="SimSun"/>
          <w:szCs w:val="24"/>
          <w:lang w:val="fr-CH" w:eastAsia="zh-CN"/>
        </w:rPr>
      </w:pPr>
      <w:r>
        <w:rPr>
          <w:rFonts w:eastAsia="SimSun"/>
          <w:szCs w:val="24"/>
          <w:lang w:val="fr-CH" w:eastAsia="zh-CN"/>
        </w:rPr>
        <w:t>contributions</w:t>
      </w:r>
      <w:r w:rsidR="00ED3D2D">
        <w:rPr>
          <w:rFonts w:eastAsia="SimSun"/>
          <w:szCs w:val="24"/>
          <w:lang w:val="fr-CH" w:eastAsia="zh-CN"/>
        </w:rPr>
        <w:t xml:space="preserve"> réduit</w:t>
      </w:r>
      <w:r>
        <w:rPr>
          <w:rFonts w:eastAsia="SimSun"/>
          <w:szCs w:val="24"/>
          <w:lang w:val="fr-CH" w:eastAsia="zh-CN"/>
        </w:rPr>
        <w:t>e</w:t>
      </w:r>
      <w:r w:rsidR="00ED3D2D">
        <w:rPr>
          <w:rFonts w:eastAsia="SimSun"/>
          <w:szCs w:val="24"/>
          <w:lang w:val="fr-CH" w:eastAsia="zh-CN"/>
        </w:rPr>
        <w:t xml:space="preserve">s pour </w:t>
      </w:r>
      <w:r w:rsidR="00963025">
        <w:rPr>
          <w:rFonts w:eastAsia="SimSun"/>
          <w:szCs w:val="24"/>
          <w:lang w:val="fr-CH" w:eastAsia="zh-CN"/>
        </w:rPr>
        <w:t>l</w:t>
      </w:r>
      <w:r w:rsidR="00865BC1">
        <w:rPr>
          <w:rFonts w:eastAsia="SimSun"/>
          <w:szCs w:val="24"/>
          <w:lang w:val="fr-CH" w:eastAsia="zh-CN"/>
        </w:rPr>
        <w:t>'</w:t>
      </w:r>
      <w:r w:rsidR="00963025">
        <w:rPr>
          <w:rFonts w:eastAsia="SimSun"/>
          <w:szCs w:val="24"/>
          <w:lang w:val="fr-CH" w:eastAsia="zh-CN"/>
        </w:rPr>
        <w:t>admission d</w:t>
      </w:r>
      <w:r w:rsidR="00ED3D2D">
        <w:rPr>
          <w:rFonts w:eastAsia="SimSun"/>
          <w:szCs w:val="24"/>
          <w:lang w:val="fr-CH" w:eastAsia="zh-CN"/>
        </w:rPr>
        <w:t xml:space="preserve">es organisations issues de pays à très faible revenu </w:t>
      </w:r>
      <w:r w:rsidR="00963025">
        <w:rPr>
          <w:rFonts w:eastAsia="SimSun"/>
          <w:szCs w:val="24"/>
          <w:lang w:val="fr-CH" w:eastAsia="zh-CN"/>
        </w:rPr>
        <w:t>à participer</w:t>
      </w:r>
      <w:r w:rsidR="00ED3D2D">
        <w:rPr>
          <w:rFonts w:eastAsia="SimSun"/>
          <w:szCs w:val="24"/>
          <w:lang w:val="fr-CH" w:eastAsia="zh-CN"/>
        </w:rPr>
        <w:t xml:space="preserve"> aux activités de l</w:t>
      </w:r>
      <w:r w:rsidR="00865BC1">
        <w:rPr>
          <w:rFonts w:eastAsia="SimSun"/>
          <w:szCs w:val="24"/>
          <w:lang w:val="fr-CH" w:eastAsia="zh-CN"/>
        </w:rPr>
        <w:t>'</w:t>
      </w:r>
      <w:r w:rsidR="00ED3D2D">
        <w:rPr>
          <w:rFonts w:eastAsia="SimSun"/>
          <w:szCs w:val="24"/>
          <w:lang w:val="fr-CH" w:eastAsia="zh-CN"/>
        </w:rPr>
        <w:t>UIT</w:t>
      </w:r>
      <w:r w:rsidR="00ED3D2D">
        <w:rPr>
          <w:rFonts w:eastAsia="SimSun"/>
          <w:szCs w:val="24"/>
          <w:lang w:val="fr-CH" w:eastAsia="zh-CN"/>
        </w:rPr>
        <w:noBreakHyphen/>
        <w:t>R et de l</w:t>
      </w:r>
      <w:r w:rsidR="00865BC1">
        <w:rPr>
          <w:rFonts w:eastAsia="SimSun"/>
          <w:szCs w:val="24"/>
          <w:lang w:val="fr-CH" w:eastAsia="zh-CN"/>
        </w:rPr>
        <w:t>'</w:t>
      </w:r>
      <w:r w:rsidR="00ED3D2D">
        <w:rPr>
          <w:rFonts w:eastAsia="SimSun"/>
          <w:szCs w:val="24"/>
          <w:lang w:val="fr-CH" w:eastAsia="zh-CN"/>
        </w:rPr>
        <w:t>UIT</w:t>
      </w:r>
      <w:r w:rsidR="00ED3D2D">
        <w:rPr>
          <w:rFonts w:eastAsia="SimSun"/>
          <w:szCs w:val="24"/>
          <w:lang w:val="fr-CH" w:eastAsia="zh-CN"/>
        </w:rPr>
        <w:noBreakHyphen/>
        <w:t xml:space="preserve">T. </w:t>
      </w:r>
      <w:r w:rsidR="00963025">
        <w:rPr>
          <w:rFonts w:eastAsia="SimSun"/>
          <w:szCs w:val="24"/>
          <w:lang w:val="fr-CH" w:eastAsia="zh-CN"/>
        </w:rPr>
        <w:t xml:space="preserve">Dans chacun de </w:t>
      </w:r>
      <w:r w:rsidR="00A774F9">
        <w:rPr>
          <w:rFonts w:eastAsia="SimSun"/>
          <w:szCs w:val="24"/>
          <w:lang w:val="fr-CH" w:eastAsia="zh-CN"/>
        </w:rPr>
        <w:t>c</w:t>
      </w:r>
      <w:r w:rsidR="00963025">
        <w:rPr>
          <w:rFonts w:eastAsia="SimSun"/>
          <w:szCs w:val="24"/>
          <w:lang w:val="fr-CH" w:eastAsia="zh-CN"/>
        </w:rPr>
        <w:t>es domaines</w:t>
      </w:r>
      <w:r w:rsidR="00ED3D2D">
        <w:rPr>
          <w:rFonts w:eastAsia="SimSun"/>
          <w:szCs w:val="24"/>
          <w:lang w:val="fr-CH" w:eastAsia="zh-CN"/>
        </w:rPr>
        <w:t xml:space="preserve">, </w:t>
      </w:r>
      <w:r w:rsidR="00963025">
        <w:rPr>
          <w:rFonts w:eastAsia="SimSun"/>
          <w:szCs w:val="24"/>
          <w:lang w:val="fr-CH" w:eastAsia="zh-CN"/>
        </w:rPr>
        <w:t>la PP</w:t>
      </w:r>
      <w:r w:rsidR="00963025">
        <w:rPr>
          <w:rFonts w:eastAsia="SimSun"/>
          <w:szCs w:val="24"/>
          <w:lang w:val="fr-CH" w:eastAsia="zh-CN"/>
        </w:rPr>
        <w:noBreakHyphen/>
        <w:t>10 a chargé le Conseil d</w:t>
      </w:r>
      <w:r w:rsidR="00865BC1">
        <w:rPr>
          <w:rFonts w:eastAsia="SimSun"/>
          <w:szCs w:val="24"/>
          <w:lang w:val="fr-CH" w:eastAsia="zh-CN"/>
        </w:rPr>
        <w:t>'</w:t>
      </w:r>
      <w:r w:rsidR="00963025">
        <w:rPr>
          <w:rFonts w:eastAsia="SimSun"/>
          <w:szCs w:val="24"/>
          <w:lang w:val="fr-CH" w:eastAsia="zh-CN"/>
        </w:rPr>
        <w:t>examiner l</w:t>
      </w:r>
      <w:r w:rsidR="00865BC1">
        <w:rPr>
          <w:rFonts w:eastAsia="SimSun"/>
          <w:szCs w:val="24"/>
          <w:lang w:val="fr-CH" w:eastAsia="zh-CN"/>
        </w:rPr>
        <w:t>'</w:t>
      </w:r>
      <w:r w:rsidR="00963025">
        <w:rPr>
          <w:rFonts w:eastAsia="SimSun"/>
          <w:szCs w:val="24"/>
          <w:lang w:val="fr-CH" w:eastAsia="zh-CN"/>
        </w:rPr>
        <w:t>état d</w:t>
      </w:r>
      <w:r w:rsidR="00865BC1">
        <w:rPr>
          <w:rFonts w:eastAsia="SimSun"/>
          <w:szCs w:val="24"/>
          <w:lang w:val="fr-CH" w:eastAsia="zh-CN"/>
        </w:rPr>
        <w:t>'</w:t>
      </w:r>
      <w:r w:rsidR="00963025">
        <w:rPr>
          <w:rFonts w:eastAsia="SimSun"/>
          <w:szCs w:val="24"/>
          <w:lang w:val="fr-CH" w:eastAsia="zh-CN"/>
        </w:rPr>
        <w:t xml:space="preserve">avancement de la mise en </w:t>
      </w:r>
      <w:proofErr w:type="spellStart"/>
      <w:r w:rsidR="004F6199">
        <w:rPr>
          <w:rFonts w:eastAsia="SimSun"/>
          <w:szCs w:val="24"/>
          <w:lang w:val="fr-CH" w:eastAsia="zh-CN"/>
        </w:rPr>
        <w:t>oe</w:t>
      </w:r>
      <w:r w:rsidR="00963025">
        <w:rPr>
          <w:rFonts w:eastAsia="SimSun"/>
          <w:szCs w:val="24"/>
          <w:lang w:val="fr-CH" w:eastAsia="zh-CN"/>
        </w:rPr>
        <w:t>uvre</w:t>
      </w:r>
      <w:proofErr w:type="spellEnd"/>
      <w:r w:rsidR="00963025">
        <w:rPr>
          <w:rFonts w:eastAsia="SimSun"/>
          <w:szCs w:val="24"/>
          <w:lang w:val="fr-CH" w:eastAsia="zh-CN"/>
        </w:rPr>
        <w:t xml:space="preserve"> </w:t>
      </w:r>
      <w:r w:rsidR="0012234E">
        <w:rPr>
          <w:rFonts w:eastAsia="SimSun"/>
          <w:szCs w:val="24"/>
          <w:lang w:val="fr-CH" w:eastAsia="zh-CN"/>
        </w:rPr>
        <w:t xml:space="preserve">de ses décisions </w:t>
      </w:r>
      <w:r w:rsidR="00963025">
        <w:rPr>
          <w:rFonts w:eastAsia="SimSun"/>
          <w:szCs w:val="24"/>
          <w:lang w:val="fr-CH" w:eastAsia="zh-CN"/>
        </w:rPr>
        <w:t>et de recommander des modifications</w:t>
      </w:r>
      <w:r w:rsidR="008B7415">
        <w:rPr>
          <w:rFonts w:eastAsia="SimSun"/>
          <w:szCs w:val="24"/>
          <w:lang w:val="fr-CH" w:eastAsia="zh-CN"/>
        </w:rPr>
        <w:t>,</w:t>
      </w:r>
      <w:r w:rsidR="00963025">
        <w:rPr>
          <w:rFonts w:eastAsia="SimSun"/>
          <w:szCs w:val="24"/>
          <w:lang w:val="fr-CH" w:eastAsia="zh-CN"/>
        </w:rPr>
        <w:t xml:space="preserve"> si nécessaire.</w:t>
      </w:r>
    </w:p>
    <w:p w:rsidR="00963025" w:rsidRDefault="00896897" w:rsidP="007D1428">
      <w:pPr>
        <w:spacing w:after="240"/>
        <w:rPr>
          <w:rFonts w:eastAsia="SimSun"/>
          <w:szCs w:val="24"/>
          <w:lang w:val="fr-CH" w:eastAsia="zh-CN"/>
        </w:rPr>
      </w:pPr>
      <w:r w:rsidRPr="00963025">
        <w:rPr>
          <w:rFonts w:eastAsia="SimSun"/>
          <w:szCs w:val="24"/>
          <w:lang w:val="fr-CH" w:eastAsia="zh-CN"/>
        </w:rPr>
        <w:t>7.2</w:t>
      </w:r>
      <w:r w:rsidRPr="00963025">
        <w:rPr>
          <w:rFonts w:eastAsia="SimSun"/>
          <w:szCs w:val="24"/>
          <w:lang w:val="fr-CH" w:eastAsia="zh-CN"/>
        </w:rPr>
        <w:tab/>
      </w:r>
      <w:r w:rsidR="00963025">
        <w:rPr>
          <w:rFonts w:eastAsia="SimSun"/>
          <w:szCs w:val="24"/>
          <w:lang w:val="fr-CH" w:eastAsia="zh-CN"/>
        </w:rPr>
        <w:t xml:space="preserve">Le Conseil, à sa session de 2011, a confié </w:t>
      </w:r>
      <w:r w:rsidR="00EA00CF">
        <w:rPr>
          <w:rFonts w:eastAsia="SimSun"/>
          <w:szCs w:val="24"/>
          <w:lang w:val="fr-CH" w:eastAsia="zh-CN"/>
        </w:rPr>
        <w:t>le suivi des décisions de la PP</w:t>
      </w:r>
      <w:r w:rsidR="00EA00CF">
        <w:rPr>
          <w:rFonts w:eastAsia="SimSun"/>
          <w:szCs w:val="24"/>
          <w:lang w:val="fr-CH" w:eastAsia="zh-CN"/>
        </w:rPr>
        <w:noBreakHyphen/>
        <w:t xml:space="preserve">10 sur ces questions au Groupe de travail du Conseil sur les ressources </w:t>
      </w:r>
      <w:r w:rsidR="0012234E">
        <w:rPr>
          <w:rFonts w:eastAsia="SimSun"/>
          <w:szCs w:val="24"/>
          <w:lang w:val="fr-CH" w:eastAsia="zh-CN"/>
        </w:rPr>
        <w:t xml:space="preserve">financières </w:t>
      </w:r>
      <w:r w:rsidR="00EA00CF">
        <w:rPr>
          <w:rFonts w:eastAsia="SimSun"/>
          <w:szCs w:val="24"/>
          <w:lang w:val="fr-CH" w:eastAsia="zh-CN"/>
        </w:rPr>
        <w:t xml:space="preserve">et les ressources </w:t>
      </w:r>
      <w:r w:rsidR="0012234E">
        <w:rPr>
          <w:rFonts w:eastAsia="SimSun"/>
          <w:szCs w:val="24"/>
          <w:lang w:val="fr-CH" w:eastAsia="zh-CN"/>
        </w:rPr>
        <w:t xml:space="preserve">humaines </w:t>
      </w:r>
      <w:r w:rsidR="00EA00CF">
        <w:rPr>
          <w:rFonts w:eastAsia="SimSun"/>
          <w:szCs w:val="24"/>
          <w:lang w:val="fr-CH" w:eastAsia="zh-CN"/>
        </w:rPr>
        <w:t>(GTC</w:t>
      </w:r>
      <w:r w:rsidR="00EA00CF">
        <w:rPr>
          <w:rFonts w:eastAsia="SimSun"/>
          <w:szCs w:val="24"/>
          <w:lang w:val="fr-CH" w:eastAsia="zh-CN"/>
        </w:rPr>
        <w:noBreakHyphen/>
        <w:t xml:space="preserve">FHR), </w:t>
      </w:r>
      <w:r w:rsidR="0012234E">
        <w:rPr>
          <w:rFonts w:eastAsia="SimSun"/>
          <w:szCs w:val="24"/>
          <w:lang w:val="fr-CH" w:eastAsia="zh-CN"/>
        </w:rPr>
        <w:t xml:space="preserve">et a chargé </w:t>
      </w:r>
      <w:r w:rsidR="00EA00CF">
        <w:rPr>
          <w:rFonts w:eastAsia="SimSun"/>
          <w:szCs w:val="24"/>
          <w:lang w:val="fr-CH" w:eastAsia="zh-CN"/>
        </w:rPr>
        <w:t>ce dernier de formuler des recommandations. Le GTC</w:t>
      </w:r>
      <w:r w:rsidR="00EA00CF">
        <w:rPr>
          <w:rFonts w:eastAsia="SimSun"/>
          <w:szCs w:val="24"/>
          <w:lang w:val="fr-CH" w:eastAsia="zh-CN"/>
        </w:rPr>
        <w:noBreakHyphen/>
        <w:t>FHR a examiné ces questions lors de ses réunions de 2012, 2013 et 2014.</w:t>
      </w:r>
    </w:p>
    <w:p w:rsidR="00EA00CF" w:rsidRDefault="00896897" w:rsidP="007D1428">
      <w:pPr>
        <w:tabs>
          <w:tab w:val="left" w:pos="709"/>
        </w:tabs>
        <w:snapToGrid w:val="0"/>
        <w:rPr>
          <w:szCs w:val="24"/>
          <w:lang w:val="fr-CH"/>
        </w:rPr>
      </w:pPr>
      <w:r w:rsidRPr="00707537">
        <w:rPr>
          <w:szCs w:val="24"/>
          <w:lang w:val="fr-CH"/>
        </w:rPr>
        <w:t>7.3</w:t>
      </w:r>
      <w:r w:rsidRPr="00707537">
        <w:rPr>
          <w:szCs w:val="24"/>
          <w:lang w:val="fr-CH"/>
        </w:rPr>
        <w:tab/>
      </w:r>
      <w:r w:rsidR="00707537" w:rsidRPr="0091393A">
        <w:rPr>
          <w:rFonts w:eastAsiaTheme="minorHAnsi"/>
          <w:lang w:val="fr-CH"/>
        </w:rPr>
        <w:t xml:space="preserve">Le </w:t>
      </w:r>
      <w:r w:rsidR="003B10B8">
        <w:rPr>
          <w:rFonts w:eastAsiaTheme="minorHAnsi"/>
          <w:lang w:val="fr-CH"/>
        </w:rPr>
        <w:t>GTC</w:t>
      </w:r>
      <w:r w:rsidR="003B10B8">
        <w:rPr>
          <w:rFonts w:eastAsiaTheme="minorHAnsi"/>
          <w:lang w:val="fr-CH"/>
        </w:rPr>
        <w:noBreakHyphen/>
      </w:r>
      <w:r w:rsidR="00707537" w:rsidRPr="0091393A">
        <w:rPr>
          <w:rFonts w:eastAsiaTheme="minorHAnsi"/>
          <w:lang w:val="fr-CH"/>
        </w:rPr>
        <w:t xml:space="preserve">FHR a décidé de conserver le modèle existant pour ce qui est des </w:t>
      </w:r>
      <w:r w:rsidR="00B63FB7">
        <w:rPr>
          <w:rFonts w:eastAsiaTheme="minorHAnsi"/>
          <w:lang w:val="fr-CH"/>
        </w:rPr>
        <w:t>M</w:t>
      </w:r>
      <w:r w:rsidR="00707537" w:rsidRPr="0091393A">
        <w:rPr>
          <w:rFonts w:eastAsiaTheme="minorHAnsi"/>
          <w:lang w:val="fr-CH"/>
        </w:rPr>
        <w:t>e</w:t>
      </w:r>
      <w:r w:rsidR="00707537">
        <w:rPr>
          <w:rFonts w:eastAsiaTheme="minorHAnsi"/>
          <w:lang w:val="fr-CH"/>
        </w:rPr>
        <w:t>mbres des trois Secteurs</w:t>
      </w:r>
      <w:r w:rsidR="00C17770">
        <w:rPr>
          <w:rFonts w:eastAsiaTheme="minorHAnsi"/>
          <w:lang w:val="fr-CH"/>
        </w:rPr>
        <w:t>,</w:t>
      </w:r>
      <w:r w:rsidR="00707537">
        <w:rPr>
          <w:rFonts w:eastAsiaTheme="minorHAnsi"/>
          <w:lang w:val="fr-CH"/>
        </w:rPr>
        <w:t xml:space="preserve"> mais</w:t>
      </w:r>
      <w:r w:rsidR="00707537" w:rsidRPr="0091393A">
        <w:rPr>
          <w:rFonts w:eastAsiaTheme="minorHAnsi"/>
          <w:lang w:val="fr-CH"/>
        </w:rPr>
        <w:t xml:space="preserve"> a proposé une série d</w:t>
      </w:r>
      <w:r w:rsidR="00707537">
        <w:rPr>
          <w:rFonts w:eastAsiaTheme="minorHAnsi"/>
          <w:lang w:val="fr-CH"/>
        </w:rPr>
        <w:t xml:space="preserve">e mesures afin de moderniser, de </w:t>
      </w:r>
      <w:r w:rsidR="00707537" w:rsidRPr="0091393A">
        <w:rPr>
          <w:rFonts w:eastAsiaTheme="minorHAnsi"/>
          <w:lang w:val="fr-CH"/>
        </w:rPr>
        <w:t>simplifier</w:t>
      </w:r>
      <w:r w:rsidR="00707537">
        <w:rPr>
          <w:rFonts w:eastAsiaTheme="minorHAnsi"/>
          <w:lang w:val="fr-CH"/>
        </w:rPr>
        <w:t xml:space="preserve"> et de rendre plus équitable</w:t>
      </w:r>
      <w:r w:rsidR="00707537" w:rsidRPr="0091393A">
        <w:rPr>
          <w:rFonts w:eastAsiaTheme="minorHAnsi"/>
          <w:lang w:val="fr-CH"/>
        </w:rPr>
        <w:t xml:space="preserve"> le système actuel, </w:t>
      </w:r>
      <w:r w:rsidR="00707537">
        <w:rPr>
          <w:rFonts w:eastAsiaTheme="minorHAnsi"/>
          <w:lang w:val="fr-CH"/>
        </w:rPr>
        <w:t xml:space="preserve">mesures qui ont servi de base </w:t>
      </w:r>
      <w:r w:rsidR="003B10B8">
        <w:rPr>
          <w:rFonts w:eastAsiaTheme="minorHAnsi"/>
          <w:lang w:val="fr-CH"/>
        </w:rPr>
        <w:t>à un</w:t>
      </w:r>
      <w:r w:rsidR="00707537" w:rsidRPr="0091393A">
        <w:rPr>
          <w:rFonts w:eastAsiaTheme="minorHAnsi"/>
          <w:lang w:val="fr-CH"/>
        </w:rPr>
        <w:t xml:space="preserve"> projet de </w:t>
      </w:r>
      <w:r w:rsidR="00EA00CF">
        <w:rPr>
          <w:rFonts w:eastAsiaTheme="minorHAnsi"/>
          <w:lang w:val="fr-CH"/>
        </w:rPr>
        <w:t>R</w:t>
      </w:r>
      <w:r w:rsidR="00707537" w:rsidRPr="0091393A">
        <w:rPr>
          <w:rFonts w:eastAsiaTheme="minorHAnsi"/>
          <w:lang w:val="fr-CH"/>
        </w:rPr>
        <w:t xml:space="preserve">ésolution </w:t>
      </w:r>
      <w:r w:rsidR="00707537">
        <w:rPr>
          <w:rFonts w:eastAsiaTheme="minorHAnsi"/>
          <w:lang w:val="fr-CH"/>
        </w:rPr>
        <w:t xml:space="preserve">que le Conseil a approuvé à sa session de 2014 </w:t>
      </w:r>
      <w:r w:rsidR="003B10B8">
        <w:rPr>
          <w:rFonts w:eastAsiaTheme="minorHAnsi"/>
          <w:lang w:val="fr-CH"/>
        </w:rPr>
        <w:t>(</w:t>
      </w:r>
      <w:hyperlink r:id="rId23" w:history="1">
        <w:r w:rsidR="003B10B8" w:rsidRPr="00707537">
          <w:rPr>
            <w:rStyle w:val="Hyperlink"/>
            <w:szCs w:val="24"/>
            <w:lang w:val="fr-CH"/>
          </w:rPr>
          <w:t>Document 53</w:t>
        </w:r>
      </w:hyperlink>
      <w:r w:rsidR="003B10B8">
        <w:rPr>
          <w:rFonts w:eastAsiaTheme="minorHAnsi"/>
          <w:lang w:val="fr-CH"/>
        </w:rPr>
        <w:t xml:space="preserve">) </w:t>
      </w:r>
      <w:r w:rsidR="00707537">
        <w:rPr>
          <w:rFonts w:eastAsiaTheme="minorHAnsi"/>
          <w:lang w:val="fr-CH"/>
        </w:rPr>
        <w:t>et qui sera soumis à la Conférence de plénipotentiaires de 2014</w:t>
      </w:r>
      <w:r w:rsidR="00EA00CF">
        <w:rPr>
          <w:rFonts w:eastAsiaTheme="minorHAnsi"/>
          <w:lang w:val="fr-CH"/>
        </w:rPr>
        <w:t>.</w:t>
      </w:r>
      <w:r w:rsidRPr="00707537">
        <w:rPr>
          <w:szCs w:val="24"/>
          <w:lang w:val="fr-CH"/>
        </w:rPr>
        <w:t xml:space="preserve"> </w:t>
      </w:r>
      <w:r w:rsidR="00EA00CF">
        <w:rPr>
          <w:szCs w:val="24"/>
          <w:lang w:val="fr-CH"/>
        </w:rPr>
        <w:t xml:space="preserve">Une version résumée </w:t>
      </w:r>
      <w:r w:rsidR="003B10B8">
        <w:rPr>
          <w:szCs w:val="24"/>
          <w:lang w:val="fr-CH"/>
        </w:rPr>
        <w:t xml:space="preserve">de ce projet de Résolution, </w:t>
      </w:r>
      <w:r w:rsidR="00EA00CF">
        <w:rPr>
          <w:szCs w:val="24"/>
          <w:lang w:val="fr-CH"/>
        </w:rPr>
        <w:t>comp</w:t>
      </w:r>
      <w:r w:rsidR="00C17770">
        <w:rPr>
          <w:szCs w:val="24"/>
          <w:lang w:val="fr-CH"/>
        </w:rPr>
        <w:t>ren</w:t>
      </w:r>
      <w:r w:rsidR="00EA00CF">
        <w:rPr>
          <w:szCs w:val="24"/>
          <w:lang w:val="fr-CH"/>
        </w:rPr>
        <w:t xml:space="preserve">ant des </w:t>
      </w:r>
      <w:r w:rsidR="00C17770">
        <w:rPr>
          <w:szCs w:val="24"/>
          <w:lang w:val="fr-CH"/>
        </w:rPr>
        <w:t xml:space="preserve">notes et des </w:t>
      </w:r>
      <w:r w:rsidR="00EA00CF">
        <w:rPr>
          <w:szCs w:val="24"/>
          <w:lang w:val="fr-CH"/>
        </w:rPr>
        <w:t>justifications pour chaque disposition</w:t>
      </w:r>
      <w:r w:rsidR="003B10B8">
        <w:rPr>
          <w:szCs w:val="24"/>
          <w:lang w:val="fr-CH"/>
        </w:rPr>
        <w:t>,</w:t>
      </w:r>
      <w:r w:rsidR="00EA00CF">
        <w:rPr>
          <w:szCs w:val="24"/>
          <w:lang w:val="fr-CH"/>
        </w:rPr>
        <w:t xml:space="preserve"> est </w:t>
      </w:r>
      <w:r w:rsidR="00C17770">
        <w:rPr>
          <w:szCs w:val="24"/>
          <w:lang w:val="fr-CH"/>
        </w:rPr>
        <w:t>présentée dans l</w:t>
      </w:r>
      <w:r w:rsidR="00865BC1">
        <w:rPr>
          <w:szCs w:val="24"/>
          <w:lang w:val="fr-CH"/>
        </w:rPr>
        <w:t>'</w:t>
      </w:r>
      <w:r w:rsidR="00C17770" w:rsidRPr="00C17770">
        <w:rPr>
          <w:b/>
          <w:szCs w:val="24"/>
          <w:lang w:val="fr-CH"/>
        </w:rPr>
        <w:t>Annexe 3</w:t>
      </w:r>
      <w:r w:rsidR="00C17770">
        <w:rPr>
          <w:szCs w:val="24"/>
          <w:lang w:val="fr-CH"/>
        </w:rPr>
        <w:t>.</w:t>
      </w:r>
    </w:p>
    <w:p w:rsidR="00C17770" w:rsidRPr="00C17770" w:rsidRDefault="00896897" w:rsidP="007D1428">
      <w:pPr>
        <w:snapToGrid w:val="0"/>
        <w:rPr>
          <w:szCs w:val="24"/>
          <w:lang w:val="fr-CH"/>
        </w:rPr>
      </w:pPr>
      <w:r w:rsidRPr="00C17770">
        <w:rPr>
          <w:szCs w:val="24"/>
          <w:lang w:val="fr-CH"/>
        </w:rPr>
        <w:t>7.4</w:t>
      </w:r>
      <w:r w:rsidRPr="00C17770">
        <w:rPr>
          <w:szCs w:val="24"/>
          <w:lang w:val="fr-CH"/>
        </w:rPr>
        <w:tab/>
      </w:r>
      <w:r w:rsidR="00C17770" w:rsidRPr="00C17770">
        <w:rPr>
          <w:szCs w:val="24"/>
          <w:lang w:val="fr-CH"/>
        </w:rPr>
        <w:t xml:space="preserve">En outre, le Groupe de travail a recommandé </w:t>
      </w:r>
      <w:r w:rsidR="00B63FB7">
        <w:rPr>
          <w:szCs w:val="24"/>
          <w:lang w:val="fr-CH"/>
        </w:rPr>
        <w:t>d</w:t>
      </w:r>
      <w:r w:rsidR="00046894">
        <w:rPr>
          <w:szCs w:val="24"/>
          <w:lang w:val="fr-CH"/>
        </w:rPr>
        <w:t>e considér</w:t>
      </w:r>
      <w:r w:rsidR="004E4EC9">
        <w:rPr>
          <w:szCs w:val="24"/>
          <w:lang w:val="fr-CH"/>
        </w:rPr>
        <w:t>er</w:t>
      </w:r>
      <w:r w:rsidR="00C17770" w:rsidRPr="00C17770">
        <w:rPr>
          <w:szCs w:val="24"/>
          <w:lang w:val="fr-CH"/>
        </w:rPr>
        <w:t xml:space="preserve"> </w:t>
      </w:r>
      <w:r w:rsidR="003B10B8">
        <w:rPr>
          <w:szCs w:val="24"/>
          <w:lang w:val="fr-CH"/>
        </w:rPr>
        <w:t>la révision éventuelle</w:t>
      </w:r>
      <w:r w:rsidR="00C17770" w:rsidRPr="00C17770">
        <w:rPr>
          <w:szCs w:val="24"/>
          <w:lang w:val="fr-CH"/>
        </w:rPr>
        <w:t xml:space="preserve"> </w:t>
      </w:r>
      <w:r w:rsidR="003B10B8">
        <w:rPr>
          <w:szCs w:val="24"/>
          <w:lang w:val="fr-CH"/>
        </w:rPr>
        <w:t>d</w:t>
      </w:r>
      <w:r w:rsidR="00C17770" w:rsidRPr="00C17770">
        <w:rPr>
          <w:szCs w:val="24"/>
          <w:lang w:val="fr-CH"/>
        </w:rPr>
        <w:t xml:space="preserve">es Résolutions 152, 158, 169 et 170. </w:t>
      </w:r>
      <w:r w:rsidR="00C17770">
        <w:rPr>
          <w:szCs w:val="24"/>
          <w:lang w:val="fr-CH"/>
        </w:rPr>
        <w:t>L</w:t>
      </w:r>
      <w:r w:rsidR="00865BC1">
        <w:rPr>
          <w:szCs w:val="24"/>
          <w:lang w:val="fr-CH"/>
        </w:rPr>
        <w:t>'</w:t>
      </w:r>
      <w:r w:rsidR="00C17770" w:rsidRPr="00B63FB7">
        <w:rPr>
          <w:b/>
          <w:szCs w:val="24"/>
          <w:lang w:val="fr-CH"/>
        </w:rPr>
        <w:t>Annexe 4</w:t>
      </w:r>
      <w:r w:rsidR="00C17770">
        <w:rPr>
          <w:szCs w:val="24"/>
          <w:lang w:val="fr-CH"/>
        </w:rPr>
        <w:t xml:space="preserve"> </w:t>
      </w:r>
      <w:r w:rsidR="00B63FB7">
        <w:rPr>
          <w:szCs w:val="24"/>
          <w:lang w:val="fr-CH"/>
        </w:rPr>
        <w:t>présente, pour chacune de ces Résolutions, une justification</w:t>
      </w:r>
      <w:r w:rsidR="00C17770">
        <w:rPr>
          <w:szCs w:val="24"/>
          <w:lang w:val="fr-CH"/>
        </w:rPr>
        <w:t xml:space="preserve"> des </w:t>
      </w:r>
      <w:r w:rsidR="00B63FB7">
        <w:rPr>
          <w:szCs w:val="24"/>
          <w:lang w:val="fr-CH"/>
        </w:rPr>
        <w:t>modifications</w:t>
      </w:r>
      <w:r w:rsidR="00C17770">
        <w:rPr>
          <w:szCs w:val="24"/>
          <w:lang w:val="fr-CH"/>
        </w:rPr>
        <w:t xml:space="preserve"> </w:t>
      </w:r>
      <w:r w:rsidR="00B63FB7">
        <w:rPr>
          <w:szCs w:val="24"/>
          <w:lang w:val="fr-CH"/>
        </w:rPr>
        <w:t>qu</w:t>
      </w:r>
      <w:r w:rsidR="00865BC1">
        <w:rPr>
          <w:szCs w:val="24"/>
          <w:lang w:val="fr-CH"/>
        </w:rPr>
        <w:t>'</w:t>
      </w:r>
      <w:r w:rsidR="00B63FB7">
        <w:rPr>
          <w:szCs w:val="24"/>
          <w:lang w:val="fr-CH"/>
        </w:rPr>
        <w:t xml:space="preserve">il est </w:t>
      </w:r>
      <w:r w:rsidR="00310868">
        <w:rPr>
          <w:szCs w:val="24"/>
          <w:lang w:val="fr-CH"/>
        </w:rPr>
        <w:t>proposé</w:t>
      </w:r>
      <w:r w:rsidR="003B10B8">
        <w:rPr>
          <w:szCs w:val="24"/>
          <w:lang w:val="fr-CH"/>
        </w:rPr>
        <w:t xml:space="preserve"> d</w:t>
      </w:r>
      <w:r w:rsidR="00865BC1">
        <w:rPr>
          <w:szCs w:val="24"/>
          <w:lang w:val="fr-CH"/>
        </w:rPr>
        <w:t>'</w:t>
      </w:r>
      <w:r w:rsidR="00B63FB7">
        <w:rPr>
          <w:szCs w:val="24"/>
          <w:lang w:val="fr-CH"/>
        </w:rPr>
        <w:t>apporter</w:t>
      </w:r>
      <w:r w:rsidR="00C17770">
        <w:rPr>
          <w:szCs w:val="24"/>
          <w:lang w:val="fr-CH"/>
        </w:rPr>
        <w:t xml:space="preserve">. </w:t>
      </w:r>
      <w:r w:rsidR="00B63FB7">
        <w:rPr>
          <w:szCs w:val="24"/>
          <w:lang w:val="fr-CH"/>
        </w:rPr>
        <w:t xml:space="preserve">Par ailleurs, le Document </w:t>
      </w:r>
      <w:hyperlink r:id="rId24" w:history="1">
        <w:r w:rsidR="00B63FB7" w:rsidRPr="00C17770">
          <w:rPr>
            <w:rStyle w:val="Hyperlink"/>
            <w:szCs w:val="24"/>
            <w:lang w:val="fr-CH"/>
          </w:rPr>
          <w:t>C14/108</w:t>
        </w:r>
      </w:hyperlink>
      <w:r w:rsidR="00B63FB7">
        <w:rPr>
          <w:szCs w:val="24"/>
          <w:lang w:val="fr-CH"/>
        </w:rPr>
        <w:t xml:space="preserve"> présente l</w:t>
      </w:r>
      <w:r w:rsidR="00C17770">
        <w:rPr>
          <w:szCs w:val="24"/>
          <w:lang w:val="fr-CH"/>
        </w:rPr>
        <w:t xml:space="preserve">e texte intégral de </w:t>
      </w:r>
      <w:r w:rsidR="00B63FB7">
        <w:rPr>
          <w:szCs w:val="24"/>
          <w:lang w:val="fr-CH"/>
        </w:rPr>
        <w:t xml:space="preserve">chacune de </w:t>
      </w:r>
      <w:r w:rsidR="00C17770">
        <w:rPr>
          <w:szCs w:val="24"/>
          <w:lang w:val="fr-CH"/>
        </w:rPr>
        <w:t>ces Résolutions assorti des modifications éventuelles.</w:t>
      </w:r>
    </w:p>
    <w:p w:rsidR="00896897" w:rsidRPr="00310868" w:rsidRDefault="00896897" w:rsidP="007D1428">
      <w:pPr>
        <w:rPr>
          <w:szCs w:val="24"/>
          <w:lang w:val="fr-CH"/>
        </w:rPr>
      </w:pPr>
      <w:r w:rsidRPr="00310868">
        <w:rPr>
          <w:szCs w:val="24"/>
          <w:lang w:val="fr-CH"/>
        </w:rPr>
        <w:br w:type="page"/>
      </w:r>
    </w:p>
    <w:p w:rsidR="00896897" w:rsidRDefault="00896897" w:rsidP="007D1428">
      <w:pPr>
        <w:pStyle w:val="AnnexNo"/>
      </w:pPr>
      <w:r>
        <w:t>Annex</w:t>
      </w:r>
      <w:r w:rsidR="00B63FB7">
        <w:t>E</w:t>
      </w:r>
      <w:r>
        <w:t xml:space="preserve"> 1</w:t>
      </w:r>
    </w:p>
    <w:p w:rsidR="00896897" w:rsidRPr="006258C3" w:rsidRDefault="00B63FB7" w:rsidP="007D1428">
      <w:pPr>
        <w:pStyle w:val="Annextitle"/>
      </w:pPr>
      <w:r>
        <w:t>Droits de p</w:t>
      </w:r>
      <w:r w:rsidR="00896897" w:rsidRPr="006258C3">
        <w:t xml:space="preserve">articipation </w:t>
      </w:r>
      <w:r>
        <w:t>par catégorie</w:t>
      </w:r>
    </w:p>
    <w:tbl>
      <w:tblPr>
        <w:tblStyle w:val="TableGrid"/>
        <w:tblW w:w="10773" w:type="dxa"/>
        <w:tblInd w:w="-459" w:type="dxa"/>
        <w:tblLayout w:type="fixed"/>
        <w:tblLook w:val="04A0" w:firstRow="1" w:lastRow="0" w:firstColumn="1" w:lastColumn="0" w:noHBand="0" w:noVBand="1"/>
      </w:tblPr>
      <w:tblGrid>
        <w:gridCol w:w="1872"/>
        <w:gridCol w:w="3402"/>
        <w:gridCol w:w="2551"/>
        <w:gridCol w:w="2948"/>
      </w:tblGrid>
      <w:tr w:rsidR="00896897" w:rsidRPr="00894089" w:rsidTr="00F95C08">
        <w:trPr>
          <w:tblHeader/>
        </w:trPr>
        <w:tc>
          <w:tcPr>
            <w:tcW w:w="1872" w:type="dxa"/>
            <w:shd w:val="pct12" w:color="auto" w:fill="auto"/>
          </w:tcPr>
          <w:p w:rsidR="00896897" w:rsidRPr="00894089" w:rsidRDefault="00894089" w:rsidP="007D1428">
            <w:pPr>
              <w:pStyle w:val="Tablehead"/>
              <w:rPr>
                <w:bCs/>
                <w:u w:val="single"/>
              </w:rPr>
            </w:pPr>
            <w:r w:rsidRPr="00894089">
              <w:t>Droit</w:t>
            </w:r>
            <w:r w:rsidR="00896897" w:rsidRPr="00894089">
              <w:t>s/Cat</w:t>
            </w:r>
            <w:r w:rsidRPr="00894089">
              <w:t>é</w:t>
            </w:r>
            <w:r w:rsidR="00896897" w:rsidRPr="00894089">
              <w:t>gor</w:t>
            </w:r>
            <w:r w:rsidRPr="00894089">
              <w:t>ie</w:t>
            </w:r>
            <w:r w:rsidR="00896897" w:rsidRPr="00894089">
              <w:t xml:space="preserve"> </w:t>
            </w:r>
          </w:p>
        </w:tc>
        <w:tc>
          <w:tcPr>
            <w:tcW w:w="3402" w:type="dxa"/>
            <w:shd w:val="pct12" w:color="auto" w:fill="auto"/>
          </w:tcPr>
          <w:p w:rsidR="00896897" w:rsidRPr="00894089" w:rsidRDefault="00707537" w:rsidP="007D1428">
            <w:pPr>
              <w:pStyle w:val="Tablehead"/>
              <w:rPr>
                <w:bCs/>
                <w:u w:val="single"/>
              </w:rPr>
            </w:pPr>
            <w:r w:rsidRPr="00894089">
              <w:rPr>
                <w:bCs/>
              </w:rPr>
              <w:t>Membre</w:t>
            </w:r>
            <w:r w:rsidR="00894089">
              <w:rPr>
                <w:bCs/>
              </w:rPr>
              <w:t>s</w:t>
            </w:r>
            <w:r w:rsidRPr="00894089">
              <w:rPr>
                <w:bCs/>
              </w:rPr>
              <w:t xml:space="preserve"> de</w:t>
            </w:r>
            <w:r w:rsidR="00894089">
              <w:rPr>
                <w:bCs/>
              </w:rPr>
              <w:t>s</w:t>
            </w:r>
            <w:r w:rsidRPr="00894089">
              <w:rPr>
                <w:bCs/>
              </w:rPr>
              <w:t xml:space="preserve"> Secteur</w:t>
            </w:r>
            <w:r w:rsidR="00894089">
              <w:rPr>
                <w:bCs/>
              </w:rPr>
              <w:t>s</w:t>
            </w:r>
          </w:p>
        </w:tc>
        <w:tc>
          <w:tcPr>
            <w:tcW w:w="2551" w:type="dxa"/>
            <w:shd w:val="pct12" w:color="auto" w:fill="auto"/>
          </w:tcPr>
          <w:p w:rsidR="00896897" w:rsidRPr="00894089" w:rsidRDefault="00896897" w:rsidP="007D1428">
            <w:pPr>
              <w:pStyle w:val="Tablehead"/>
              <w:rPr>
                <w:bCs/>
                <w:u w:val="single"/>
              </w:rPr>
            </w:pPr>
            <w:r w:rsidRPr="00894089">
              <w:rPr>
                <w:bCs/>
              </w:rPr>
              <w:t>Associ</w:t>
            </w:r>
            <w:r w:rsidR="00707537" w:rsidRPr="00894089">
              <w:rPr>
                <w:bCs/>
              </w:rPr>
              <w:t>é</w:t>
            </w:r>
            <w:r w:rsidR="00894089">
              <w:rPr>
                <w:bCs/>
              </w:rPr>
              <w:t>s</w:t>
            </w:r>
          </w:p>
        </w:tc>
        <w:tc>
          <w:tcPr>
            <w:tcW w:w="2948" w:type="dxa"/>
            <w:shd w:val="pct12" w:color="auto" w:fill="auto"/>
          </w:tcPr>
          <w:p w:rsidR="00896897" w:rsidRPr="00894089" w:rsidRDefault="00894089" w:rsidP="007D1428">
            <w:pPr>
              <w:pStyle w:val="Tablehead"/>
              <w:rPr>
                <w:bCs/>
                <w:u w:val="single"/>
              </w:rPr>
            </w:pPr>
            <w:r w:rsidRPr="00894089">
              <w:rPr>
                <w:bCs/>
              </w:rPr>
              <w:t>Etablissement</w:t>
            </w:r>
            <w:r>
              <w:rPr>
                <w:bCs/>
              </w:rPr>
              <w:t>s</w:t>
            </w:r>
            <w:r w:rsidR="00707537" w:rsidRPr="00894089">
              <w:rPr>
                <w:bCs/>
              </w:rPr>
              <w:t xml:space="preserve"> universitaire</w:t>
            </w:r>
            <w:r>
              <w:rPr>
                <w:bCs/>
              </w:rPr>
              <w:t>s</w:t>
            </w:r>
          </w:p>
        </w:tc>
      </w:tr>
      <w:tr w:rsidR="00896897" w:rsidRPr="00280F9A" w:rsidTr="00D511F7">
        <w:tc>
          <w:tcPr>
            <w:tcW w:w="1872" w:type="dxa"/>
          </w:tcPr>
          <w:p w:rsidR="00896897" w:rsidRPr="00863B85" w:rsidRDefault="00707537" w:rsidP="007D1428">
            <w:pPr>
              <w:pStyle w:val="Tabletext"/>
            </w:pPr>
            <w:r>
              <w:t>Commissions d'études</w:t>
            </w:r>
          </w:p>
        </w:tc>
        <w:tc>
          <w:tcPr>
            <w:tcW w:w="3402" w:type="dxa"/>
          </w:tcPr>
          <w:p w:rsidR="00896897" w:rsidRPr="00894089" w:rsidRDefault="00894089" w:rsidP="007D1428">
            <w:pPr>
              <w:pStyle w:val="Tabletext"/>
              <w:rPr>
                <w:lang w:val="fr-CH"/>
              </w:rPr>
            </w:pPr>
            <w:r w:rsidRPr="00894089">
              <w:rPr>
                <w:lang w:val="fr-CH"/>
              </w:rPr>
              <w:t>Tou</w:t>
            </w:r>
            <w:r>
              <w:rPr>
                <w:lang w:val="fr-CH"/>
              </w:rPr>
              <w:t>t</w:t>
            </w:r>
            <w:r w:rsidRPr="00894089">
              <w:rPr>
                <w:lang w:val="fr-CH"/>
              </w:rPr>
              <w:t>es les commissions d</w:t>
            </w:r>
            <w:r w:rsidR="00865BC1">
              <w:rPr>
                <w:lang w:val="fr-CH"/>
              </w:rPr>
              <w:t>'</w:t>
            </w:r>
            <w:r w:rsidRPr="00894089">
              <w:rPr>
                <w:lang w:val="fr-CH"/>
              </w:rPr>
              <w:t>études du Secteur concerné. P</w:t>
            </w:r>
            <w:r>
              <w:rPr>
                <w:lang w:val="fr-CH"/>
              </w:rPr>
              <w:t>euvent soumettre des contributions écrites et orales. Participent aux travaux de rédaction/d</w:t>
            </w:r>
            <w:r w:rsidR="00865BC1">
              <w:rPr>
                <w:lang w:val="fr-CH"/>
              </w:rPr>
              <w:t>'</w:t>
            </w:r>
            <w:r>
              <w:rPr>
                <w:lang w:val="fr-CH"/>
              </w:rPr>
              <w:t>édition. Peuvent fournir des présidents et des vice</w:t>
            </w:r>
            <w:r>
              <w:rPr>
                <w:lang w:val="fr-CH"/>
              </w:rPr>
              <w:noBreakHyphen/>
              <w:t>présidents.</w:t>
            </w:r>
          </w:p>
        </w:tc>
        <w:tc>
          <w:tcPr>
            <w:tcW w:w="2551" w:type="dxa"/>
          </w:tcPr>
          <w:p w:rsidR="00896897" w:rsidRPr="003B10B8" w:rsidRDefault="00D511F7" w:rsidP="005A0383">
            <w:pPr>
              <w:pStyle w:val="Tabletext"/>
              <w:rPr>
                <w:lang w:val="fr-CH"/>
              </w:rPr>
            </w:pPr>
            <w:r w:rsidRPr="00D511F7">
              <w:t>Une seule commission d</w:t>
            </w:r>
            <w:r w:rsidR="00865BC1">
              <w:t>'</w:t>
            </w:r>
            <w:r w:rsidRPr="00D511F7">
              <w:t xml:space="preserve">études du Secteur concerné. Peuvent soumettre des contributions écrites et orales. </w:t>
            </w:r>
            <w:r>
              <w:t xml:space="preserve">Ne peuvent pas participer aux processus </w:t>
            </w:r>
            <w:r w:rsidR="005A0383">
              <w:t xml:space="preserve">de prise </w:t>
            </w:r>
            <w:r w:rsidR="003B10B8">
              <w:t xml:space="preserve">de </w:t>
            </w:r>
            <w:r>
              <w:t xml:space="preserve">décisions ou aux activités de liaison. Peuvent </w:t>
            </w:r>
            <w:r w:rsidR="005A0383">
              <w:t>assumer les fonctions de</w:t>
            </w:r>
            <w:r>
              <w:t xml:space="preserve"> </w:t>
            </w:r>
            <w:r w:rsidR="005A0383">
              <w:t>rapporteur</w:t>
            </w:r>
            <w:r>
              <w:t xml:space="preserve"> pour les commissions d</w:t>
            </w:r>
            <w:r w:rsidR="00865BC1">
              <w:t>'</w:t>
            </w:r>
            <w:r>
              <w:t>études de l</w:t>
            </w:r>
            <w:r w:rsidR="00865BC1">
              <w:t>'</w:t>
            </w:r>
            <w:r>
              <w:t>UIT</w:t>
            </w:r>
            <w:r>
              <w:noBreakHyphen/>
            </w:r>
            <w:r w:rsidR="003B10B8">
              <w:t>R</w:t>
            </w:r>
            <w:r>
              <w:t xml:space="preserve"> et de l</w:t>
            </w:r>
            <w:r w:rsidR="00865BC1">
              <w:t>'</w:t>
            </w:r>
            <w:r>
              <w:t>UIT</w:t>
            </w:r>
            <w:r>
              <w:noBreakHyphen/>
              <w:t xml:space="preserve">T, </w:t>
            </w:r>
            <w:r w:rsidR="003B10B8">
              <w:t xml:space="preserve">et </w:t>
            </w:r>
            <w:r>
              <w:t>de vice</w:t>
            </w:r>
            <w:r w:rsidR="005A0383">
              <w:noBreakHyphen/>
            </w:r>
            <w:r>
              <w:t>rapporteur pour les commissions d</w:t>
            </w:r>
            <w:r w:rsidR="00865BC1">
              <w:t>'</w:t>
            </w:r>
            <w:r>
              <w:t>études de l</w:t>
            </w:r>
            <w:r w:rsidR="00865BC1">
              <w:t>'</w:t>
            </w:r>
            <w:r>
              <w:t>UIT</w:t>
            </w:r>
            <w:r>
              <w:noBreakHyphen/>
              <w:t>D.</w:t>
            </w:r>
          </w:p>
        </w:tc>
        <w:tc>
          <w:tcPr>
            <w:tcW w:w="2948" w:type="dxa"/>
          </w:tcPr>
          <w:p w:rsidR="00896897" w:rsidRPr="00310868" w:rsidRDefault="00D511F7" w:rsidP="005A0383">
            <w:pPr>
              <w:pStyle w:val="Tabletext"/>
              <w:rPr>
                <w:lang w:val="fr-CH"/>
              </w:rPr>
            </w:pPr>
            <w:r w:rsidRPr="00D511F7">
              <w:rPr>
                <w:lang w:val="fr-CH"/>
              </w:rPr>
              <w:t>Toutes les commissions d</w:t>
            </w:r>
            <w:r w:rsidR="00865BC1">
              <w:rPr>
                <w:lang w:val="fr-CH"/>
              </w:rPr>
              <w:t>'</w:t>
            </w:r>
            <w:r w:rsidRPr="00D511F7">
              <w:rPr>
                <w:lang w:val="fr-CH"/>
              </w:rPr>
              <w:t xml:space="preserve">études </w:t>
            </w:r>
            <w:r w:rsidR="00A24E6D" w:rsidRPr="00D511F7">
              <w:rPr>
                <w:lang w:val="fr-CH"/>
              </w:rPr>
              <w:t>du Secteur concerné</w:t>
            </w:r>
            <w:r w:rsidR="00A24E6D">
              <w:rPr>
                <w:lang w:val="fr-CH"/>
              </w:rPr>
              <w:t>,</w:t>
            </w:r>
            <w:r w:rsidR="00A24E6D" w:rsidRPr="00D511F7">
              <w:rPr>
                <w:lang w:val="fr-CH"/>
              </w:rPr>
              <w:t xml:space="preserve"> </w:t>
            </w:r>
            <w:r w:rsidR="00A24E6D">
              <w:rPr>
                <w:lang w:val="fr-CH"/>
              </w:rPr>
              <w:t>y compris</w:t>
            </w:r>
            <w:r w:rsidRPr="00D511F7">
              <w:rPr>
                <w:lang w:val="fr-CH"/>
              </w:rPr>
              <w:t xml:space="preserve"> les groupes de travail associés. </w:t>
            </w:r>
            <w:r>
              <w:rPr>
                <w:lang w:val="fr-CH"/>
              </w:rPr>
              <w:t xml:space="preserve">Peuvent soumettre des contributions écrites et orales. </w:t>
            </w:r>
            <w:r w:rsidR="003B10B8">
              <w:rPr>
                <w:lang w:val="fr-CH"/>
              </w:rPr>
              <w:t>Ne participent pas aux</w:t>
            </w:r>
            <w:r w:rsidR="00A24E6D">
              <w:rPr>
                <w:lang w:val="fr-CH"/>
              </w:rPr>
              <w:t xml:space="preserve"> processus </w:t>
            </w:r>
            <w:r w:rsidR="005A0383">
              <w:t xml:space="preserve">de prise </w:t>
            </w:r>
            <w:r w:rsidR="003B10B8">
              <w:rPr>
                <w:lang w:val="fr-CH"/>
              </w:rPr>
              <w:t xml:space="preserve">de </w:t>
            </w:r>
            <w:r>
              <w:rPr>
                <w:lang w:val="fr-CH"/>
              </w:rPr>
              <w:t>décision</w:t>
            </w:r>
            <w:r w:rsidR="00A24E6D">
              <w:rPr>
                <w:lang w:val="fr-CH"/>
              </w:rPr>
              <w:t>s</w:t>
            </w:r>
            <w:r>
              <w:rPr>
                <w:lang w:val="fr-CH"/>
              </w:rPr>
              <w:t xml:space="preserve">, </w:t>
            </w:r>
            <w:r w:rsidR="00A24E6D">
              <w:rPr>
                <w:lang w:val="fr-CH"/>
              </w:rPr>
              <w:t>notamment en ce qui concerne l</w:t>
            </w:r>
            <w:r w:rsidR="00865BC1">
              <w:rPr>
                <w:lang w:val="fr-CH"/>
              </w:rPr>
              <w:t>'</w:t>
            </w:r>
            <w:r w:rsidR="00A24E6D">
              <w:rPr>
                <w:lang w:val="fr-CH"/>
              </w:rPr>
              <w:t>adoption des Résolution</w:t>
            </w:r>
            <w:r w:rsidR="005A0383">
              <w:rPr>
                <w:lang w:val="fr-CH"/>
              </w:rPr>
              <w:t>s</w:t>
            </w:r>
            <w:r w:rsidR="00A24E6D">
              <w:rPr>
                <w:lang w:val="fr-CH"/>
              </w:rPr>
              <w:t xml:space="preserve"> et l</w:t>
            </w:r>
            <w:r w:rsidR="00865BC1">
              <w:rPr>
                <w:lang w:val="fr-CH"/>
              </w:rPr>
              <w:t>'</w:t>
            </w:r>
            <w:r w:rsidR="00A24E6D">
              <w:rPr>
                <w:lang w:val="fr-CH"/>
              </w:rPr>
              <w:t xml:space="preserve">approbation des Recommandations. Peuvent </w:t>
            </w:r>
            <w:r w:rsidR="005A0383">
              <w:rPr>
                <w:lang w:val="fr-CH"/>
              </w:rPr>
              <w:t>assumer les fonctions de rapporteur</w:t>
            </w:r>
            <w:r w:rsidR="00A24E6D">
              <w:rPr>
                <w:lang w:val="fr-CH"/>
              </w:rPr>
              <w:t xml:space="preserve"> pour les travaux de l</w:t>
            </w:r>
            <w:r w:rsidR="00865BC1">
              <w:rPr>
                <w:lang w:val="fr-CH"/>
              </w:rPr>
              <w:t>'</w:t>
            </w:r>
            <w:r w:rsidR="00A24E6D">
              <w:rPr>
                <w:lang w:val="fr-CH"/>
              </w:rPr>
              <w:t>UIT</w:t>
            </w:r>
            <w:r w:rsidR="00A24E6D">
              <w:rPr>
                <w:lang w:val="fr-CH"/>
              </w:rPr>
              <w:noBreakHyphen/>
              <w:t>T et de l</w:t>
            </w:r>
            <w:r w:rsidR="00865BC1">
              <w:rPr>
                <w:lang w:val="fr-CH"/>
              </w:rPr>
              <w:t>'</w:t>
            </w:r>
            <w:r w:rsidR="00A24E6D">
              <w:rPr>
                <w:lang w:val="fr-CH"/>
              </w:rPr>
              <w:t>UIT</w:t>
            </w:r>
            <w:r w:rsidR="00A24E6D">
              <w:rPr>
                <w:lang w:val="fr-CH"/>
              </w:rPr>
              <w:noBreakHyphen/>
              <w:t>R.</w:t>
            </w:r>
          </w:p>
        </w:tc>
      </w:tr>
      <w:tr w:rsidR="00896897" w:rsidRPr="00A24E6D" w:rsidTr="00D511F7">
        <w:tc>
          <w:tcPr>
            <w:tcW w:w="1872" w:type="dxa"/>
          </w:tcPr>
          <w:p w:rsidR="00896897" w:rsidRPr="00863B85" w:rsidRDefault="00894089" w:rsidP="007D1428">
            <w:pPr>
              <w:pStyle w:val="Tabletext"/>
            </w:pPr>
            <w:r>
              <w:t>Groupes consultatif</w:t>
            </w:r>
            <w:r w:rsidR="00332776">
              <w:t>s</w:t>
            </w:r>
            <w:r>
              <w:t xml:space="preserve"> des Secteurs</w:t>
            </w:r>
          </w:p>
        </w:tc>
        <w:tc>
          <w:tcPr>
            <w:tcW w:w="3402" w:type="dxa"/>
          </w:tcPr>
          <w:p w:rsidR="00896897" w:rsidRPr="00A24E6D" w:rsidRDefault="00A24E6D" w:rsidP="005A0383">
            <w:pPr>
              <w:pStyle w:val="Tabletext"/>
              <w:rPr>
                <w:lang w:val="fr-CH"/>
              </w:rPr>
            </w:pPr>
            <w:r w:rsidRPr="00A24E6D">
              <w:rPr>
                <w:lang w:val="fr-CH"/>
              </w:rPr>
              <w:t xml:space="preserve">Peuvent participer aux travaux du Groupe </w:t>
            </w:r>
            <w:r>
              <w:rPr>
                <w:lang w:val="fr-CH"/>
              </w:rPr>
              <w:t>consultatif</w:t>
            </w:r>
            <w:r w:rsidRPr="00A24E6D">
              <w:rPr>
                <w:lang w:val="fr-CH"/>
              </w:rPr>
              <w:t xml:space="preserve"> du Secteur concerné, o</w:t>
            </w:r>
            <w:r>
              <w:rPr>
                <w:lang w:val="fr-CH"/>
              </w:rPr>
              <w:t>ù ils disposent de droits de participation complets, à l</w:t>
            </w:r>
            <w:r w:rsidR="00865BC1">
              <w:rPr>
                <w:lang w:val="fr-CH"/>
              </w:rPr>
              <w:t>'</w:t>
            </w:r>
            <w:r>
              <w:rPr>
                <w:lang w:val="fr-CH"/>
              </w:rPr>
              <w:t xml:space="preserve">exception du droit de vote et de certains droits procéduraux qui lui sont associés, tels que le droit </w:t>
            </w:r>
            <w:r w:rsidR="005A0383">
              <w:rPr>
                <w:lang w:val="fr-CH"/>
              </w:rPr>
              <w:t>de soulever</w:t>
            </w:r>
            <w:r>
              <w:rPr>
                <w:lang w:val="fr-CH"/>
              </w:rPr>
              <w:t xml:space="preserve"> des motions </w:t>
            </w:r>
            <w:r w:rsidR="005A0383">
              <w:rPr>
                <w:lang w:val="fr-CH"/>
              </w:rPr>
              <w:t>ou des points d'ordre</w:t>
            </w:r>
            <w:r>
              <w:rPr>
                <w:lang w:val="fr-CH"/>
              </w:rPr>
              <w:t xml:space="preserve">. Peuvent soumettre des contributions écrites et orales et </w:t>
            </w:r>
            <w:r w:rsidR="005A0383">
              <w:rPr>
                <w:lang w:val="fr-CH"/>
              </w:rPr>
              <w:t>assumer les fonctions de président</w:t>
            </w:r>
            <w:r>
              <w:rPr>
                <w:lang w:val="fr-CH"/>
              </w:rPr>
              <w:t xml:space="preserve"> </w:t>
            </w:r>
            <w:r w:rsidR="005A0383">
              <w:rPr>
                <w:lang w:val="fr-CH"/>
              </w:rPr>
              <w:t>ou de vice-président</w:t>
            </w:r>
            <w:r w:rsidR="003B10B8">
              <w:rPr>
                <w:lang w:val="fr-CH"/>
              </w:rPr>
              <w:t xml:space="preserve"> (CS 28B)</w:t>
            </w:r>
            <w:r>
              <w:rPr>
                <w:lang w:val="fr-CH"/>
              </w:rPr>
              <w:t xml:space="preserve">, y compris pour </w:t>
            </w:r>
            <w:r w:rsidR="003B10B8">
              <w:rPr>
                <w:lang w:val="fr-CH"/>
              </w:rPr>
              <w:t xml:space="preserve">tous </w:t>
            </w:r>
            <w:r>
              <w:rPr>
                <w:lang w:val="fr-CH"/>
              </w:rPr>
              <w:t>les groupes de travail associés.</w:t>
            </w:r>
          </w:p>
        </w:tc>
        <w:tc>
          <w:tcPr>
            <w:tcW w:w="2551" w:type="dxa"/>
          </w:tcPr>
          <w:p w:rsidR="00896897" w:rsidRPr="00D511F7" w:rsidRDefault="00D511F7" w:rsidP="007D1428">
            <w:pPr>
              <w:pStyle w:val="Tabletext"/>
              <w:rPr>
                <w:b/>
                <w:bCs/>
                <w:u w:val="single"/>
              </w:rPr>
            </w:pPr>
            <w:r>
              <w:t>Ne sont pas admis à participer</w:t>
            </w:r>
            <w:r w:rsidR="00896897" w:rsidRPr="00D511F7">
              <w:t>.</w:t>
            </w:r>
          </w:p>
        </w:tc>
        <w:tc>
          <w:tcPr>
            <w:tcW w:w="2948" w:type="dxa"/>
          </w:tcPr>
          <w:p w:rsidR="00896897" w:rsidRPr="00A24E6D" w:rsidRDefault="00A24E6D" w:rsidP="007D1428">
            <w:pPr>
              <w:pStyle w:val="Tabletext"/>
              <w:rPr>
                <w:lang w:val="fr-CH"/>
              </w:rPr>
            </w:pPr>
            <w:r w:rsidRPr="00A24E6D">
              <w:rPr>
                <w:lang w:val="fr-CH"/>
              </w:rPr>
              <w:t>Les ét</w:t>
            </w:r>
            <w:r>
              <w:rPr>
                <w:lang w:val="fr-CH"/>
              </w:rPr>
              <w:t>a</w:t>
            </w:r>
            <w:r w:rsidRPr="00A24E6D">
              <w:rPr>
                <w:lang w:val="fr-CH"/>
              </w:rPr>
              <w:t>blissements universitaires de l</w:t>
            </w:r>
            <w:r w:rsidR="00865BC1">
              <w:rPr>
                <w:lang w:val="fr-CH"/>
              </w:rPr>
              <w:t>'</w:t>
            </w:r>
            <w:r w:rsidRPr="00A24E6D">
              <w:rPr>
                <w:lang w:val="fr-CH"/>
              </w:rPr>
              <w:t>UIT</w:t>
            </w:r>
            <w:r w:rsidRPr="00A24E6D">
              <w:rPr>
                <w:lang w:val="fr-CH"/>
              </w:rPr>
              <w:noBreakHyphen/>
              <w:t>R et de l</w:t>
            </w:r>
            <w:r w:rsidR="00865BC1">
              <w:rPr>
                <w:lang w:val="fr-CH"/>
              </w:rPr>
              <w:t>'</w:t>
            </w:r>
            <w:r w:rsidRPr="00A24E6D">
              <w:rPr>
                <w:lang w:val="fr-CH"/>
              </w:rPr>
              <w:t>UIT</w:t>
            </w:r>
            <w:r w:rsidRPr="00A24E6D">
              <w:rPr>
                <w:lang w:val="fr-CH"/>
              </w:rPr>
              <w:noBreakHyphen/>
            </w:r>
            <w:r>
              <w:rPr>
                <w:lang w:val="fr-CH"/>
              </w:rPr>
              <w:t>D ne participent pas aux travaux du Groupe consultatif du Secteur dont ils relèvent, tandis que les établissements universitaires de l</w:t>
            </w:r>
            <w:r w:rsidR="00865BC1">
              <w:rPr>
                <w:lang w:val="fr-CH"/>
              </w:rPr>
              <w:t>'</w:t>
            </w:r>
            <w:r>
              <w:rPr>
                <w:lang w:val="fr-CH"/>
              </w:rPr>
              <w:t>UIT</w:t>
            </w:r>
            <w:r>
              <w:rPr>
                <w:lang w:val="fr-CH"/>
              </w:rPr>
              <w:noBreakHyphen/>
            </w:r>
            <w:r w:rsidR="003B10B8">
              <w:rPr>
                <w:lang w:val="fr-CH"/>
              </w:rPr>
              <w:t>T</w:t>
            </w:r>
            <w:r>
              <w:rPr>
                <w:lang w:val="fr-CH"/>
              </w:rPr>
              <w:t xml:space="preserve"> peuvent participer aux travaux du GCNT à titre non consultatif.</w:t>
            </w:r>
          </w:p>
        </w:tc>
      </w:tr>
      <w:tr w:rsidR="00896897" w:rsidRPr="00A24E6D" w:rsidTr="00D511F7">
        <w:tc>
          <w:tcPr>
            <w:tcW w:w="1872" w:type="dxa"/>
          </w:tcPr>
          <w:p w:rsidR="00896897" w:rsidRPr="00310868" w:rsidRDefault="00894089" w:rsidP="00C522B8">
            <w:pPr>
              <w:pStyle w:val="Tabletext"/>
              <w:keepNext/>
              <w:keepLines/>
              <w:rPr>
                <w:lang w:val="fr-CH"/>
              </w:rPr>
            </w:pPr>
            <w:r w:rsidRPr="00894089">
              <w:rPr>
                <w:lang w:val="fr-CH"/>
              </w:rPr>
              <w:t>Conférences habilitées à</w:t>
            </w:r>
            <w:r w:rsidR="00F95C08">
              <w:rPr>
                <w:lang w:val="fr-CH"/>
              </w:rPr>
              <w:t xml:space="preserve"> conclure des traités (PP, CMR, </w:t>
            </w:r>
            <w:r w:rsidRPr="00894089">
              <w:rPr>
                <w:lang w:val="fr-CH"/>
              </w:rPr>
              <w:t>CRR, CMTI)</w:t>
            </w:r>
          </w:p>
        </w:tc>
        <w:tc>
          <w:tcPr>
            <w:tcW w:w="3402" w:type="dxa"/>
          </w:tcPr>
          <w:p w:rsidR="00896897" w:rsidRPr="00CF0BD0" w:rsidRDefault="00A24E6D" w:rsidP="00C522B8">
            <w:pPr>
              <w:pStyle w:val="Tabletext"/>
              <w:keepNext/>
              <w:keepLines/>
              <w:rPr>
                <w:lang w:val="fr-CH"/>
              </w:rPr>
            </w:pPr>
            <w:r w:rsidRPr="00CF0BD0">
              <w:rPr>
                <w:lang w:val="fr-CH"/>
              </w:rPr>
              <w:t>Peuvent participer (</w:t>
            </w:r>
            <w:r w:rsidR="00A21A5C">
              <w:rPr>
                <w:lang w:val="fr-CH"/>
              </w:rPr>
              <w:t>CV</w:t>
            </w:r>
            <w:r w:rsidRPr="00CF0BD0">
              <w:rPr>
                <w:lang w:val="fr-CH"/>
              </w:rPr>
              <w:t xml:space="preserve"> 229</w:t>
            </w:r>
            <w:r w:rsidR="00A21A5C">
              <w:rPr>
                <w:lang w:val="fr-CH"/>
              </w:rPr>
              <w:t xml:space="preserve"> à </w:t>
            </w:r>
            <w:r w:rsidRPr="00CF0BD0">
              <w:rPr>
                <w:lang w:val="fr-CH"/>
              </w:rPr>
              <w:t>231</w:t>
            </w:r>
            <w:r w:rsidR="00CF0BD0" w:rsidRPr="00CF0BD0">
              <w:rPr>
                <w:lang w:val="fr-CH"/>
              </w:rPr>
              <w:t xml:space="preserve">) </w:t>
            </w:r>
            <w:r w:rsidR="00CF0BD0">
              <w:rPr>
                <w:lang w:val="fr-CH"/>
              </w:rPr>
              <w:t xml:space="preserve">à la </w:t>
            </w:r>
            <w:r w:rsidR="00332776">
              <w:rPr>
                <w:lang w:val="fr-CH"/>
              </w:rPr>
              <w:t>Conférence de plénipotentiaires</w:t>
            </w:r>
            <w:r w:rsidR="00CF0BD0">
              <w:rPr>
                <w:lang w:val="fr-CH"/>
              </w:rPr>
              <w:t xml:space="preserve"> en qualité d</w:t>
            </w:r>
            <w:r w:rsidR="00865BC1">
              <w:rPr>
                <w:lang w:val="fr-CH"/>
              </w:rPr>
              <w:t>'</w:t>
            </w:r>
            <w:r w:rsidR="00CF0BD0">
              <w:rPr>
                <w:lang w:val="fr-CH"/>
              </w:rPr>
              <w:t>observateurs à titre non consultatif. Doivent payer des frais de participation (sauf s</w:t>
            </w:r>
            <w:r w:rsidR="00865BC1">
              <w:rPr>
                <w:lang w:val="fr-CH"/>
              </w:rPr>
              <w:t>'</w:t>
            </w:r>
            <w:r w:rsidR="00CF0BD0">
              <w:rPr>
                <w:lang w:val="fr-CH"/>
              </w:rPr>
              <w:t>ils en sont exonérés). Les Membres du Secteur UIT</w:t>
            </w:r>
            <w:r w:rsidR="00CF0BD0">
              <w:rPr>
                <w:lang w:val="fr-CH"/>
              </w:rPr>
              <w:noBreakHyphen/>
              <w:t>R peuvent participer aux CMR et au</w:t>
            </w:r>
            <w:r w:rsidR="003B10B8">
              <w:rPr>
                <w:lang w:val="fr-CH"/>
              </w:rPr>
              <w:t>x</w:t>
            </w:r>
            <w:r w:rsidR="00CF0BD0">
              <w:rPr>
                <w:lang w:val="fr-CH"/>
              </w:rPr>
              <w:t xml:space="preserve"> CRR en qualité d</w:t>
            </w:r>
            <w:r w:rsidR="00865BC1">
              <w:rPr>
                <w:lang w:val="fr-CH"/>
              </w:rPr>
              <w:t>'</w:t>
            </w:r>
            <w:r w:rsidR="00CF0BD0">
              <w:rPr>
                <w:lang w:val="fr-CH"/>
              </w:rPr>
              <w:t>observateurs à titre non consultatif. N</w:t>
            </w:r>
            <w:r w:rsidR="00865BC1">
              <w:rPr>
                <w:lang w:val="fr-CH"/>
              </w:rPr>
              <w:t>'</w:t>
            </w:r>
            <w:r w:rsidR="00CF0BD0">
              <w:rPr>
                <w:lang w:val="fr-CH"/>
              </w:rPr>
              <w:t xml:space="preserve">ont pas à payer de frais de participation (hormis pour les CRR). Les </w:t>
            </w:r>
            <w:r w:rsidR="005A0383">
              <w:rPr>
                <w:lang w:val="fr-CH"/>
              </w:rPr>
              <w:t>Membres des Secteurs de l'UIT</w:t>
            </w:r>
            <w:r w:rsidR="00CF0BD0">
              <w:rPr>
                <w:lang w:val="fr-CH"/>
              </w:rPr>
              <w:t xml:space="preserve"> peuvent participer à la CMTI en qualité d</w:t>
            </w:r>
            <w:r w:rsidR="00865BC1">
              <w:rPr>
                <w:lang w:val="fr-CH"/>
              </w:rPr>
              <w:t>'</w:t>
            </w:r>
            <w:r w:rsidR="00CF0BD0">
              <w:rPr>
                <w:lang w:val="fr-CH"/>
              </w:rPr>
              <w:t>observateurs à titre non consultatif. Doivent payer des frais de participation (sauf s</w:t>
            </w:r>
            <w:r w:rsidR="00865BC1">
              <w:rPr>
                <w:lang w:val="fr-CH"/>
              </w:rPr>
              <w:t>'</w:t>
            </w:r>
            <w:r w:rsidR="00CF0BD0">
              <w:rPr>
                <w:lang w:val="fr-CH"/>
              </w:rPr>
              <w:t>ils en sont exonérés).</w:t>
            </w:r>
          </w:p>
        </w:tc>
        <w:tc>
          <w:tcPr>
            <w:tcW w:w="2551" w:type="dxa"/>
          </w:tcPr>
          <w:p w:rsidR="00896897" w:rsidRPr="00D511F7" w:rsidRDefault="00D511F7" w:rsidP="00C522B8">
            <w:pPr>
              <w:pStyle w:val="Tabletext"/>
              <w:keepNext/>
              <w:keepLines/>
              <w:rPr>
                <w:b/>
                <w:bCs/>
                <w:u w:val="single"/>
                <w:lang w:val="fr-CH"/>
              </w:rPr>
            </w:pPr>
            <w:r>
              <w:t>Ne sont pas admis à participer</w:t>
            </w:r>
            <w:r w:rsidRPr="00D511F7">
              <w:t>.</w:t>
            </w:r>
          </w:p>
        </w:tc>
        <w:tc>
          <w:tcPr>
            <w:tcW w:w="2948" w:type="dxa"/>
          </w:tcPr>
          <w:p w:rsidR="00896897" w:rsidRPr="00A24E6D" w:rsidRDefault="00A24E6D" w:rsidP="00C522B8">
            <w:pPr>
              <w:pStyle w:val="Tabletext"/>
              <w:keepNext/>
              <w:keepLines/>
              <w:rPr>
                <w:b/>
                <w:bCs/>
                <w:u w:val="single"/>
                <w:lang w:val="fr-CH"/>
              </w:rPr>
            </w:pPr>
            <w:r>
              <w:t>Ne sont pas admis à participer</w:t>
            </w:r>
            <w:r w:rsidRPr="00D511F7">
              <w:t>.</w:t>
            </w:r>
          </w:p>
        </w:tc>
      </w:tr>
      <w:tr w:rsidR="00896897" w:rsidRPr="00262491" w:rsidTr="00D511F7">
        <w:tc>
          <w:tcPr>
            <w:tcW w:w="1872" w:type="dxa"/>
          </w:tcPr>
          <w:p w:rsidR="00896897" w:rsidRPr="00016CCA" w:rsidRDefault="00016CCA" w:rsidP="007D1428">
            <w:pPr>
              <w:pStyle w:val="Tabletext"/>
              <w:rPr>
                <w:lang w:val="fr-CH"/>
              </w:rPr>
            </w:pPr>
            <w:r w:rsidRPr="00016CCA">
              <w:rPr>
                <w:lang w:val="fr-CH"/>
              </w:rPr>
              <w:t>Autres conférences et assemblées (AMNT</w:t>
            </w:r>
            <w:r w:rsidR="00896897" w:rsidRPr="00016CCA">
              <w:rPr>
                <w:lang w:val="fr-CH"/>
              </w:rPr>
              <w:t>, C</w:t>
            </w:r>
            <w:r w:rsidRPr="00016CCA">
              <w:rPr>
                <w:lang w:val="fr-CH"/>
              </w:rPr>
              <w:t>MDT</w:t>
            </w:r>
            <w:r w:rsidR="00896897" w:rsidRPr="00016CCA">
              <w:rPr>
                <w:lang w:val="fr-CH"/>
              </w:rPr>
              <w:t xml:space="preserve"> </w:t>
            </w:r>
            <w:r w:rsidR="00F95C08">
              <w:rPr>
                <w:lang w:val="fr-CH"/>
              </w:rPr>
              <w:t>et </w:t>
            </w:r>
            <w:r w:rsidR="00896897" w:rsidRPr="00016CCA">
              <w:rPr>
                <w:lang w:val="fr-CH"/>
              </w:rPr>
              <w:t>A</w:t>
            </w:r>
            <w:r>
              <w:rPr>
                <w:lang w:val="fr-CH"/>
              </w:rPr>
              <w:t>R</w:t>
            </w:r>
            <w:r w:rsidR="00896897" w:rsidRPr="00016CCA">
              <w:rPr>
                <w:lang w:val="fr-CH"/>
              </w:rPr>
              <w:t>)</w:t>
            </w:r>
          </w:p>
        </w:tc>
        <w:tc>
          <w:tcPr>
            <w:tcW w:w="3402" w:type="dxa"/>
          </w:tcPr>
          <w:p w:rsidR="00896897" w:rsidRPr="00262491" w:rsidRDefault="00CF0BD0" w:rsidP="007D1428">
            <w:pPr>
              <w:pStyle w:val="Tabletext"/>
              <w:rPr>
                <w:lang w:val="fr-CH"/>
              </w:rPr>
            </w:pPr>
            <w:r w:rsidRPr="00CF0BD0">
              <w:rPr>
                <w:lang w:val="fr-CH"/>
              </w:rPr>
              <w:t>Peuvent participer pleinement et entièrement, à ceci près qu</w:t>
            </w:r>
            <w:r w:rsidR="00865BC1">
              <w:rPr>
                <w:lang w:val="fr-CH"/>
              </w:rPr>
              <w:t>'</w:t>
            </w:r>
            <w:r w:rsidRPr="00CF0BD0">
              <w:rPr>
                <w:lang w:val="fr-CH"/>
              </w:rPr>
              <w:t>ils n</w:t>
            </w:r>
            <w:r w:rsidR="00865BC1">
              <w:rPr>
                <w:lang w:val="fr-CH"/>
              </w:rPr>
              <w:t>'</w:t>
            </w:r>
            <w:r w:rsidRPr="00CF0BD0">
              <w:rPr>
                <w:lang w:val="fr-CH"/>
              </w:rPr>
              <w:t xml:space="preserve">ont </w:t>
            </w:r>
            <w:r>
              <w:rPr>
                <w:lang w:val="fr-CH"/>
              </w:rPr>
              <w:t>ni</w:t>
            </w:r>
            <w:r w:rsidRPr="00CF0BD0">
              <w:rPr>
                <w:lang w:val="fr-CH"/>
              </w:rPr>
              <w:t xml:space="preserve"> le droit de vote ni celui d</w:t>
            </w:r>
            <w:r w:rsidR="00865BC1">
              <w:rPr>
                <w:lang w:val="fr-CH"/>
              </w:rPr>
              <w:t>'</w:t>
            </w:r>
            <w:r w:rsidRPr="00CF0BD0">
              <w:rPr>
                <w:lang w:val="fr-CH"/>
              </w:rPr>
              <w:t xml:space="preserve">introduire des motions. </w:t>
            </w:r>
            <w:r>
              <w:rPr>
                <w:lang w:val="fr-CH"/>
              </w:rPr>
              <w:t>N</w:t>
            </w:r>
            <w:r w:rsidR="00865BC1">
              <w:rPr>
                <w:lang w:val="fr-CH"/>
              </w:rPr>
              <w:t>'</w:t>
            </w:r>
            <w:r>
              <w:rPr>
                <w:lang w:val="fr-CH"/>
              </w:rPr>
              <w:t>ont pas</w:t>
            </w:r>
            <w:r w:rsidR="00262491">
              <w:rPr>
                <w:lang w:val="fr-CH"/>
              </w:rPr>
              <w:t xml:space="preserve"> à payer pour participer à ces réunions. Peuvent fournir des présidents et des vice-présidents.</w:t>
            </w:r>
          </w:p>
        </w:tc>
        <w:tc>
          <w:tcPr>
            <w:tcW w:w="2551" w:type="dxa"/>
          </w:tcPr>
          <w:p w:rsidR="00896897" w:rsidRPr="00D511F7" w:rsidRDefault="00D511F7" w:rsidP="007D1428">
            <w:pPr>
              <w:pStyle w:val="Tabletext"/>
              <w:rPr>
                <w:b/>
                <w:bCs/>
                <w:u w:val="single"/>
                <w:lang w:val="fr-CH"/>
              </w:rPr>
            </w:pPr>
            <w:r>
              <w:t>Ne sont pas admis à participer</w:t>
            </w:r>
            <w:r w:rsidRPr="00D511F7">
              <w:t>.</w:t>
            </w:r>
          </w:p>
        </w:tc>
        <w:tc>
          <w:tcPr>
            <w:tcW w:w="2948" w:type="dxa"/>
          </w:tcPr>
          <w:p w:rsidR="00896897" w:rsidRPr="00262491" w:rsidRDefault="00262491" w:rsidP="007D1428">
            <w:pPr>
              <w:pStyle w:val="Tabletext"/>
              <w:rPr>
                <w:lang w:val="fr-CH"/>
              </w:rPr>
            </w:pPr>
            <w:r w:rsidRPr="00262491">
              <w:rPr>
                <w:lang w:val="fr-CH"/>
              </w:rPr>
              <w:t>Ne sont pas admis à participer aux grandes conférences de l</w:t>
            </w:r>
            <w:r w:rsidR="00865BC1">
              <w:rPr>
                <w:lang w:val="fr-CH"/>
              </w:rPr>
              <w:t>'</w:t>
            </w:r>
            <w:r w:rsidRPr="00262491">
              <w:rPr>
                <w:lang w:val="fr-CH"/>
              </w:rPr>
              <w:t>UIT</w:t>
            </w:r>
            <w:r w:rsidRPr="00262491">
              <w:rPr>
                <w:lang w:val="fr-CH"/>
              </w:rPr>
              <w:noBreakHyphen/>
              <w:t xml:space="preserve">R et </w:t>
            </w:r>
            <w:r>
              <w:rPr>
                <w:lang w:val="fr-CH"/>
              </w:rPr>
              <w:t>de</w:t>
            </w:r>
            <w:r w:rsidRPr="00262491">
              <w:rPr>
                <w:lang w:val="fr-CH"/>
              </w:rPr>
              <w:t xml:space="preserve"> l</w:t>
            </w:r>
            <w:r w:rsidR="00865BC1">
              <w:rPr>
                <w:lang w:val="fr-CH"/>
              </w:rPr>
              <w:t>'</w:t>
            </w:r>
            <w:r w:rsidRPr="00262491">
              <w:rPr>
                <w:lang w:val="fr-CH"/>
              </w:rPr>
              <w:t>UIT</w:t>
            </w:r>
            <w:r w:rsidRPr="00262491">
              <w:rPr>
                <w:lang w:val="fr-CH"/>
              </w:rPr>
              <w:noBreakHyphen/>
              <w:t>D</w:t>
            </w:r>
            <w:r>
              <w:rPr>
                <w:lang w:val="fr-CH"/>
              </w:rPr>
              <w:t>. Les établissements universitaires de l</w:t>
            </w:r>
            <w:r w:rsidR="00865BC1">
              <w:rPr>
                <w:lang w:val="fr-CH"/>
              </w:rPr>
              <w:t>'</w:t>
            </w:r>
            <w:r>
              <w:rPr>
                <w:lang w:val="fr-CH"/>
              </w:rPr>
              <w:t>UIT</w:t>
            </w:r>
            <w:r>
              <w:rPr>
                <w:lang w:val="fr-CH"/>
              </w:rPr>
              <w:noBreakHyphen/>
              <w:t>T sont autorisés à participer à l</w:t>
            </w:r>
            <w:r w:rsidR="00865BC1">
              <w:rPr>
                <w:lang w:val="fr-CH"/>
              </w:rPr>
              <w:t>'</w:t>
            </w:r>
            <w:r>
              <w:rPr>
                <w:lang w:val="fr-CH"/>
              </w:rPr>
              <w:t>AMNT à titre non consultatif.</w:t>
            </w:r>
          </w:p>
        </w:tc>
      </w:tr>
      <w:tr w:rsidR="00896897" w:rsidRPr="00262491" w:rsidTr="00D511F7">
        <w:tc>
          <w:tcPr>
            <w:tcW w:w="1872" w:type="dxa"/>
          </w:tcPr>
          <w:p w:rsidR="00896897" w:rsidRPr="00863B85" w:rsidRDefault="00896897" w:rsidP="007D1428">
            <w:pPr>
              <w:pStyle w:val="Tabletext"/>
            </w:pPr>
            <w:r w:rsidRPr="00863B85">
              <w:t>Co</w:t>
            </w:r>
            <w:r w:rsidR="00083C27">
              <w:t>nseil</w:t>
            </w:r>
          </w:p>
        </w:tc>
        <w:tc>
          <w:tcPr>
            <w:tcW w:w="3402" w:type="dxa"/>
          </w:tcPr>
          <w:p w:rsidR="00896897" w:rsidRPr="00262491" w:rsidRDefault="00262491" w:rsidP="007D1428">
            <w:pPr>
              <w:pStyle w:val="Tabletext"/>
              <w:rPr>
                <w:lang w:val="fr-CH"/>
              </w:rPr>
            </w:pPr>
            <w:r w:rsidRPr="00262491">
              <w:rPr>
                <w:lang w:val="fr-CH"/>
              </w:rPr>
              <w:t>Jusqu</w:t>
            </w:r>
            <w:r w:rsidR="00865BC1">
              <w:rPr>
                <w:lang w:val="fr-CH"/>
              </w:rPr>
              <w:t>'</w:t>
            </w:r>
            <w:r w:rsidRPr="00262491">
              <w:rPr>
                <w:lang w:val="fr-CH"/>
              </w:rPr>
              <w:t>à trois Membres de Secteur par Secteur, plus les six principales organisations régionales de télécommunication, peuvent participer au</w:t>
            </w:r>
            <w:r w:rsidR="005A0383">
              <w:rPr>
                <w:lang w:val="fr-CH"/>
              </w:rPr>
              <w:t>x travaux du</w:t>
            </w:r>
            <w:r w:rsidRPr="00262491">
              <w:rPr>
                <w:lang w:val="fr-CH"/>
              </w:rPr>
              <w:t xml:space="preserve"> Conseil en qualité d</w:t>
            </w:r>
            <w:r w:rsidR="00865BC1">
              <w:rPr>
                <w:lang w:val="fr-CH"/>
              </w:rPr>
              <w:t>'</w:t>
            </w:r>
            <w:r w:rsidRPr="00262491">
              <w:rPr>
                <w:lang w:val="fr-CH"/>
              </w:rPr>
              <w:t>observateurs</w:t>
            </w:r>
            <w:r>
              <w:rPr>
                <w:lang w:val="fr-CH"/>
              </w:rPr>
              <w:t xml:space="preserve">, </w:t>
            </w:r>
            <w:r w:rsidRPr="000319C6">
              <w:rPr>
                <w:szCs w:val="24"/>
                <w:lang w:val="fr-CH"/>
              </w:rPr>
              <w:t>ce qui leur donne le droit d</w:t>
            </w:r>
            <w:r w:rsidR="00865BC1">
              <w:rPr>
                <w:szCs w:val="24"/>
                <w:lang w:val="fr-CH"/>
              </w:rPr>
              <w:t>'</w:t>
            </w:r>
            <w:r w:rsidRPr="000319C6">
              <w:rPr>
                <w:szCs w:val="24"/>
                <w:lang w:val="fr-CH"/>
              </w:rPr>
              <w:t xml:space="preserve">assister aux </w:t>
            </w:r>
            <w:r>
              <w:rPr>
                <w:szCs w:val="24"/>
                <w:lang w:val="fr-CH"/>
              </w:rPr>
              <w:t>sessions du Conseil,</w:t>
            </w:r>
            <w:r w:rsidRPr="000319C6">
              <w:rPr>
                <w:szCs w:val="24"/>
                <w:lang w:val="fr-CH"/>
              </w:rPr>
              <w:t xml:space="preserve"> mais non </w:t>
            </w:r>
            <w:r>
              <w:rPr>
                <w:szCs w:val="24"/>
                <w:lang w:val="fr-CH"/>
              </w:rPr>
              <w:t xml:space="preserve">celui </w:t>
            </w:r>
            <w:r w:rsidRPr="000319C6">
              <w:rPr>
                <w:szCs w:val="24"/>
                <w:lang w:val="fr-CH"/>
              </w:rPr>
              <w:t xml:space="preserve">de voter </w:t>
            </w:r>
            <w:r>
              <w:rPr>
                <w:szCs w:val="24"/>
                <w:lang w:val="fr-CH"/>
              </w:rPr>
              <w:t>ou de soumettre des contributions écrites ou orales</w:t>
            </w:r>
            <w:r>
              <w:rPr>
                <w:lang w:val="fr-CH"/>
              </w:rPr>
              <w:t xml:space="preserve">. </w:t>
            </w:r>
          </w:p>
        </w:tc>
        <w:tc>
          <w:tcPr>
            <w:tcW w:w="2551" w:type="dxa"/>
          </w:tcPr>
          <w:p w:rsidR="00896897" w:rsidRPr="00D511F7" w:rsidRDefault="00D511F7" w:rsidP="007D1428">
            <w:pPr>
              <w:pStyle w:val="Tabletext"/>
              <w:rPr>
                <w:lang w:val="fr-CH"/>
              </w:rPr>
            </w:pPr>
            <w:r>
              <w:t>Ne sont pas admis à participer</w:t>
            </w:r>
            <w:r w:rsidR="00896897" w:rsidRPr="00D511F7">
              <w:rPr>
                <w:lang w:val="fr-CH"/>
              </w:rPr>
              <w:t>.</w:t>
            </w:r>
          </w:p>
        </w:tc>
        <w:tc>
          <w:tcPr>
            <w:tcW w:w="2948" w:type="dxa"/>
          </w:tcPr>
          <w:p w:rsidR="00896897" w:rsidRPr="00262491" w:rsidRDefault="00262491" w:rsidP="007D1428">
            <w:pPr>
              <w:pStyle w:val="Tabletext"/>
              <w:rPr>
                <w:b/>
                <w:bCs/>
                <w:u w:val="single"/>
                <w:lang w:val="fr-CH"/>
              </w:rPr>
            </w:pPr>
            <w:r>
              <w:t>Ne sont pas admis à participer</w:t>
            </w:r>
            <w:r w:rsidRPr="00D511F7">
              <w:rPr>
                <w:lang w:val="fr-CH"/>
              </w:rPr>
              <w:t>.</w:t>
            </w:r>
          </w:p>
        </w:tc>
      </w:tr>
    </w:tbl>
    <w:p w:rsidR="00CF4270" w:rsidRPr="00CF4270" w:rsidRDefault="00CF4270" w:rsidP="007D1428">
      <w:pPr>
        <w:tabs>
          <w:tab w:val="clear" w:pos="567"/>
          <w:tab w:val="clear" w:pos="1134"/>
          <w:tab w:val="clear" w:pos="1701"/>
          <w:tab w:val="clear" w:pos="2268"/>
          <w:tab w:val="clear" w:pos="2835"/>
        </w:tabs>
        <w:overflowPunct/>
        <w:autoSpaceDE/>
        <w:autoSpaceDN/>
        <w:adjustRightInd/>
        <w:spacing w:before="0" w:after="200"/>
        <w:textAlignment w:val="auto"/>
        <w:rPr>
          <w:caps/>
          <w:sz w:val="28"/>
          <w:lang w:val="fr-CH"/>
        </w:rPr>
      </w:pPr>
      <w:r w:rsidRPr="00CF4270">
        <w:rPr>
          <w:lang w:val="fr-CH"/>
        </w:rPr>
        <w:br w:type="page"/>
      </w:r>
    </w:p>
    <w:p w:rsidR="00896897" w:rsidRPr="00262491" w:rsidRDefault="00896897" w:rsidP="007D1428">
      <w:pPr>
        <w:pStyle w:val="AnnexNo"/>
        <w:spacing w:before="480"/>
        <w:rPr>
          <w:lang w:val="fr-CH"/>
        </w:rPr>
      </w:pPr>
      <w:r w:rsidRPr="00262491">
        <w:rPr>
          <w:lang w:val="fr-CH"/>
        </w:rPr>
        <w:t>Annex</w:t>
      </w:r>
      <w:r w:rsidR="00262491">
        <w:rPr>
          <w:lang w:val="fr-CH"/>
        </w:rPr>
        <w:t>E</w:t>
      </w:r>
      <w:r w:rsidRPr="00262491">
        <w:rPr>
          <w:lang w:val="fr-CH"/>
        </w:rPr>
        <w:t xml:space="preserve"> 2</w:t>
      </w:r>
    </w:p>
    <w:p w:rsidR="00896897" w:rsidRPr="00262491" w:rsidRDefault="00896897" w:rsidP="007D1428">
      <w:pPr>
        <w:pStyle w:val="Annextitle"/>
        <w:rPr>
          <w:lang w:val="fr-CH"/>
        </w:rPr>
      </w:pPr>
      <w:r w:rsidRPr="00262491">
        <w:rPr>
          <w:lang w:val="fr-CH"/>
        </w:rPr>
        <w:t xml:space="preserve">Types </w:t>
      </w:r>
      <w:r w:rsidR="00262491" w:rsidRPr="00262491">
        <w:rPr>
          <w:lang w:val="fr-CH"/>
        </w:rPr>
        <w:t>d</w:t>
      </w:r>
      <w:r w:rsidR="00865BC1">
        <w:rPr>
          <w:lang w:val="fr-CH"/>
        </w:rPr>
        <w:t>'</w:t>
      </w:r>
      <w:r w:rsidR="00262491" w:rsidRPr="00262491">
        <w:rPr>
          <w:lang w:val="fr-CH"/>
        </w:rPr>
        <w:t>e</w:t>
      </w:r>
      <w:r w:rsidRPr="00262491">
        <w:rPr>
          <w:lang w:val="fr-CH"/>
        </w:rPr>
        <w:t>ntit</w:t>
      </w:r>
      <w:r w:rsidR="00262491">
        <w:rPr>
          <w:lang w:val="fr-CH"/>
        </w:rPr>
        <w:t>é</w:t>
      </w:r>
      <w:r w:rsidRPr="00262491">
        <w:rPr>
          <w:lang w:val="fr-CH"/>
        </w:rPr>
        <w:t xml:space="preserve">s </w:t>
      </w:r>
      <w:r w:rsidR="00262491" w:rsidRPr="00262491">
        <w:rPr>
          <w:lang w:val="fr-CH"/>
        </w:rPr>
        <w:t>et</w:t>
      </w:r>
      <w:r w:rsidRPr="00262491">
        <w:rPr>
          <w:lang w:val="fr-CH"/>
        </w:rPr>
        <w:t xml:space="preserve"> </w:t>
      </w:r>
      <w:r w:rsidR="00262491" w:rsidRPr="00262491">
        <w:rPr>
          <w:lang w:val="fr-CH"/>
        </w:rPr>
        <w:t>proc</w:t>
      </w:r>
      <w:r w:rsidR="00262491">
        <w:rPr>
          <w:lang w:val="fr-CH"/>
        </w:rPr>
        <w:t>é</w:t>
      </w:r>
      <w:r w:rsidR="00262491" w:rsidRPr="00262491">
        <w:rPr>
          <w:lang w:val="fr-CH"/>
        </w:rPr>
        <w:t>dures d</w:t>
      </w:r>
      <w:r w:rsidR="00865BC1">
        <w:rPr>
          <w:lang w:val="fr-CH"/>
        </w:rPr>
        <w:t>'</w:t>
      </w:r>
      <w:r w:rsidR="00262491" w:rsidRPr="00262491">
        <w:rPr>
          <w:lang w:val="fr-CH"/>
        </w:rPr>
        <w:t>admission</w:t>
      </w:r>
    </w:p>
    <w:tbl>
      <w:tblPr>
        <w:tblStyle w:val="TableGrid"/>
        <w:tblW w:w="0" w:type="auto"/>
        <w:tblInd w:w="108" w:type="dxa"/>
        <w:tblLook w:val="04A0" w:firstRow="1" w:lastRow="0" w:firstColumn="1" w:lastColumn="0" w:noHBand="0" w:noVBand="1"/>
      </w:tblPr>
      <w:tblGrid>
        <w:gridCol w:w="2314"/>
        <w:gridCol w:w="2314"/>
        <w:gridCol w:w="5104"/>
      </w:tblGrid>
      <w:tr w:rsidR="00896897" w:rsidRPr="00863B85" w:rsidTr="00F95C08">
        <w:trPr>
          <w:tblHeader/>
        </w:trPr>
        <w:tc>
          <w:tcPr>
            <w:tcW w:w="2314" w:type="dxa"/>
            <w:shd w:val="pct12" w:color="auto" w:fill="auto"/>
          </w:tcPr>
          <w:p w:rsidR="00896897" w:rsidRPr="00262491" w:rsidRDefault="00896897" w:rsidP="007D1428">
            <w:pPr>
              <w:pStyle w:val="Tablehead"/>
            </w:pPr>
            <w:r w:rsidRPr="00262491">
              <w:t>Cat</w:t>
            </w:r>
            <w:r w:rsidR="00083C27" w:rsidRPr="00262491">
              <w:t>égorie d'entité</w:t>
            </w:r>
            <w:r w:rsidR="00262491" w:rsidRPr="00262491">
              <w:t>s</w:t>
            </w:r>
          </w:p>
        </w:tc>
        <w:tc>
          <w:tcPr>
            <w:tcW w:w="2109" w:type="dxa"/>
            <w:shd w:val="pct12" w:color="auto" w:fill="auto"/>
          </w:tcPr>
          <w:p w:rsidR="00896897" w:rsidRPr="00262491" w:rsidRDefault="00083C27" w:rsidP="007D1428">
            <w:pPr>
              <w:pStyle w:val="Tablehead"/>
            </w:pPr>
            <w:r w:rsidRPr="00262491">
              <w:t>Type de p</w:t>
            </w:r>
            <w:r w:rsidR="00896897" w:rsidRPr="00262491">
              <w:t>articipation</w:t>
            </w:r>
          </w:p>
        </w:tc>
        <w:tc>
          <w:tcPr>
            <w:tcW w:w="5104" w:type="dxa"/>
            <w:shd w:val="pct12" w:color="auto" w:fill="auto"/>
          </w:tcPr>
          <w:p w:rsidR="00896897" w:rsidRPr="00262491" w:rsidRDefault="00262491" w:rsidP="007D1428">
            <w:pPr>
              <w:pStyle w:val="Tablehead"/>
            </w:pPr>
            <w:r w:rsidRPr="00262491">
              <w:t>Procédure de demande</w:t>
            </w:r>
            <w:r>
              <w:t xml:space="preserve"> d</w:t>
            </w:r>
            <w:r w:rsidR="00865BC1">
              <w:t>'</w:t>
            </w:r>
            <w:r>
              <w:t>admission</w:t>
            </w:r>
          </w:p>
        </w:tc>
      </w:tr>
      <w:tr w:rsidR="00896897" w:rsidRPr="00C05597" w:rsidTr="00FC6F28">
        <w:tc>
          <w:tcPr>
            <w:tcW w:w="2314" w:type="dxa"/>
          </w:tcPr>
          <w:p w:rsidR="00896897" w:rsidRPr="00F774D1" w:rsidRDefault="000F7D9D" w:rsidP="007D1428">
            <w:pPr>
              <w:pStyle w:val="Tabletext"/>
              <w:rPr>
                <w:lang w:val="fr-CH"/>
              </w:rPr>
            </w:pPr>
            <w:r>
              <w:t>E</w:t>
            </w:r>
            <w:r w:rsidR="00F774D1">
              <w:t>xploitations reconnues, organismes scientifiques ou industriels et organismes de financement ou de développement approuvés par l'Etat Membre intéressé</w:t>
            </w:r>
            <w:r w:rsidR="00F774D1" w:rsidRPr="00F774D1">
              <w:rPr>
                <w:lang w:val="fr-CH"/>
              </w:rPr>
              <w:t xml:space="preserve"> </w:t>
            </w:r>
            <w:r w:rsidR="00A21A5C">
              <w:rPr>
                <w:lang w:val="fr-CH"/>
              </w:rPr>
              <w:t>(CV </w:t>
            </w:r>
            <w:r w:rsidR="00896897" w:rsidRPr="00F774D1">
              <w:rPr>
                <w:lang w:val="fr-CH"/>
              </w:rPr>
              <w:t>229)</w:t>
            </w:r>
          </w:p>
        </w:tc>
        <w:tc>
          <w:tcPr>
            <w:tcW w:w="2109" w:type="dxa"/>
          </w:tcPr>
          <w:p w:rsidR="00896897" w:rsidRPr="00D50F38" w:rsidRDefault="00D50F38" w:rsidP="007D1428">
            <w:pPr>
              <w:pStyle w:val="Tabletext"/>
              <w:rPr>
                <w:rFonts w:cstheme="minorHAnsi"/>
                <w:bCs/>
                <w:color w:val="231F20"/>
                <w:lang w:val="fr-CH"/>
              </w:rPr>
            </w:pPr>
            <w:r w:rsidRPr="00D50F38">
              <w:rPr>
                <w:rFonts w:cstheme="minorHAnsi"/>
                <w:bCs/>
                <w:color w:val="231F20"/>
                <w:lang w:val="fr-CH"/>
              </w:rPr>
              <w:t>Membre de Secteur ou Associé</w:t>
            </w:r>
          </w:p>
        </w:tc>
        <w:tc>
          <w:tcPr>
            <w:tcW w:w="5104" w:type="dxa"/>
          </w:tcPr>
          <w:p w:rsidR="00896897" w:rsidRPr="00C05597" w:rsidRDefault="00A21A5C" w:rsidP="005A0383">
            <w:pPr>
              <w:pStyle w:val="Tabletext"/>
              <w:rPr>
                <w:rFonts w:cstheme="minorHAnsi"/>
                <w:bCs/>
                <w:color w:val="231F20"/>
              </w:rPr>
            </w:pPr>
            <w:r w:rsidRPr="00A21A5C">
              <w:rPr>
                <w:rFonts w:cstheme="minorHAnsi"/>
                <w:bCs/>
                <w:color w:val="231F20"/>
              </w:rPr>
              <w:t>L</w:t>
            </w:r>
            <w:r w:rsidR="00865BC1">
              <w:rPr>
                <w:rFonts w:cstheme="minorHAnsi"/>
                <w:bCs/>
                <w:color w:val="231F20"/>
              </w:rPr>
              <w:t>'</w:t>
            </w:r>
            <w:r w:rsidRPr="00A21A5C">
              <w:rPr>
                <w:rFonts w:cstheme="minorHAnsi"/>
                <w:bCs/>
                <w:color w:val="231F20"/>
              </w:rPr>
              <w:t xml:space="preserve">entité </w:t>
            </w:r>
            <w:r w:rsidR="00C05597">
              <w:rPr>
                <w:rFonts w:cstheme="minorHAnsi"/>
                <w:bCs/>
                <w:color w:val="231F20"/>
              </w:rPr>
              <w:t>soumet</w:t>
            </w:r>
            <w:r w:rsidRPr="00A21A5C">
              <w:rPr>
                <w:rFonts w:cstheme="minorHAnsi"/>
                <w:bCs/>
                <w:color w:val="231F20"/>
              </w:rPr>
              <w:t xml:space="preserve"> sa </w:t>
            </w:r>
            <w:r>
              <w:rPr>
                <w:rFonts w:cstheme="minorHAnsi"/>
                <w:bCs/>
                <w:color w:val="231F20"/>
              </w:rPr>
              <w:t>deman</w:t>
            </w:r>
            <w:r w:rsidR="00F107B6">
              <w:rPr>
                <w:rFonts w:cstheme="minorHAnsi"/>
                <w:bCs/>
                <w:color w:val="231F20"/>
              </w:rPr>
              <w:t>de d</w:t>
            </w:r>
            <w:r w:rsidR="00865BC1">
              <w:rPr>
                <w:rFonts w:cstheme="minorHAnsi"/>
                <w:bCs/>
                <w:color w:val="231F20"/>
              </w:rPr>
              <w:t>'</w:t>
            </w:r>
            <w:r w:rsidR="00F107B6">
              <w:rPr>
                <w:rFonts w:cstheme="minorHAnsi"/>
                <w:bCs/>
                <w:color w:val="231F20"/>
              </w:rPr>
              <w:t>admission à l</w:t>
            </w:r>
            <w:r w:rsidR="00865BC1">
              <w:rPr>
                <w:rFonts w:cstheme="minorHAnsi"/>
                <w:bCs/>
                <w:color w:val="231F20"/>
              </w:rPr>
              <w:t>'</w:t>
            </w:r>
            <w:r w:rsidR="00F107B6">
              <w:rPr>
                <w:rFonts w:cstheme="minorHAnsi"/>
                <w:bCs/>
                <w:color w:val="231F20"/>
              </w:rPr>
              <w:t>Etat Membre intéress</w:t>
            </w:r>
            <w:r>
              <w:rPr>
                <w:rFonts w:cstheme="minorHAnsi"/>
                <w:bCs/>
                <w:color w:val="231F20"/>
              </w:rPr>
              <w:t>é, qui accepte/rejet</w:t>
            </w:r>
            <w:r w:rsidR="00F107B6">
              <w:rPr>
                <w:rFonts w:cstheme="minorHAnsi"/>
                <w:bCs/>
                <w:color w:val="231F20"/>
              </w:rPr>
              <w:t>te cette demande. L</w:t>
            </w:r>
            <w:r w:rsidR="00865BC1">
              <w:rPr>
                <w:rFonts w:cstheme="minorHAnsi"/>
                <w:bCs/>
                <w:color w:val="231F20"/>
              </w:rPr>
              <w:t>'</w:t>
            </w:r>
            <w:r w:rsidR="00F107B6">
              <w:rPr>
                <w:rFonts w:cstheme="minorHAnsi"/>
                <w:bCs/>
                <w:color w:val="231F20"/>
              </w:rPr>
              <w:t xml:space="preserve">Etat Membre </w:t>
            </w:r>
            <w:r w:rsidR="00463AAF">
              <w:rPr>
                <w:rFonts w:cstheme="minorHAnsi"/>
                <w:bCs/>
                <w:color w:val="231F20"/>
              </w:rPr>
              <w:t>intéressé</w:t>
            </w:r>
            <w:r w:rsidR="00C05597">
              <w:rPr>
                <w:rFonts w:cstheme="minorHAnsi"/>
                <w:bCs/>
                <w:color w:val="231F20"/>
              </w:rPr>
              <w:t xml:space="preserve"> </w:t>
            </w:r>
            <w:r w:rsidR="005A0383">
              <w:rPr>
                <w:rFonts w:cstheme="minorHAnsi"/>
                <w:bCs/>
                <w:color w:val="231F20"/>
              </w:rPr>
              <w:t>informe</w:t>
            </w:r>
            <w:r w:rsidR="00C05597">
              <w:rPr>
                <w:rFonts w:cstheme="minorHAnsi"/>
                <w:bCs/>
                <w:color w:val="231F20"/>
              </w:rPr>
              <w:t xml:space="preserve"> le Secrétaire général</w:t>
            </w:r>
            <w:r>
              <w:rPr>
                <w:rFonts w:cstheme="minorHAnsi"/>
                <w:bCs/>
                <w:color w:val="231F20"/>
              </w:rPr>
              <w:t>. Le Secrétariat confirme l</w:t>
            </w:r>
            <w:r w:rsidR="00865BC1">
              <w:rPr>
                <w:rFonts w:cstheme="minorHAnsi"/>
                <w:bCs/>
                <w:color w:val="231F20"/>
              </w:rPr>
              <w:t>'</w:t>
            </w:r>
            <w:r>
              <w:rPr>
                <w:rFonts w:cstheme="minorHAnsi"/>
                <w:bCs/>
                <w:color w:val="231F20"/>
              </w:rPr>
              <w:t>admission du nouveau membre</w:t>
            </w:r>
            <w:r w:rsidR="00C05597">
              <w:rPr>
                <w:rFonts w:cstheme="minorHAnsi"/>
                <w:bCs/>
                <w:color w:val="231F20"/>
              </w:rPr>
              <w:t xml:space="preserve">, </w:t>
            </w:r>
            <w:r w:rsidR="00F107B6">
              <w:rPr>
                <w:rFonts w:cstheme="minorHAnsi"/>
                <w:bCs/>
                <w:color w:val="231F20"/>
              </w:rPr>
              <w:t xml:space="preserve">lui envoie une facture et active son </w:t>
            </w:r>
            <w:r w:rsidR="00C05597">
              <w:rPr>
                <w:rFonts w:cstheme="minorHAnsi"/>
                <w:bCs/>
                <w:color w:val="231F20"/>
              </w:rPr>
              <w:t>admission une fois le paiement reçu.</w:t>
            </w:r>
          </w:p>
        </w:tc>
      </w:tr>
      <w:tr w:rsidR="00896897" w:rsidRPr="00C05597" w:rsidTr="00FC6F28">
        <w:tc>
          <w:tcPr>
            <w:tcW w:w="2314" w:type="dxa"/>
          </w:tcPr>
          <w:p w:rsidR="00896897" w:rsidRPr="00F774D1" w:rsidRDefault="000F7D9D" w:rsidP="007D1428">
            <w:pPr>
              <w:pStyle w:val="Tabletext"/>
              <w:rPr>
                <w:rFonts w:cstheme="minorHAnsi"/>
                <w:bCs/>
                <w:color w:val="231F20"/>
                <w:lang w:val="fr-CH"/>
              </w:rPr>
            </w:pPr>
            <w:r>
              <w:t>A</w:t>
            </w:r>
            <w:r w:rsidR="00F774D1">
              <w:t>utres entités s'occupant de questions de télécommunication approuvées par l'Etat Membre intéressé</w:t>
            </w:r>
            <w:r w:rsidR="00F774D1" w:rsidRPr="00F774D1">
              <w:rPr>
                <w:lang w:val="fr-CH"/>
              </w:rPr>
              <w:t xml:space="preserve"> </w:t>
            </w:r>
            <w:r w:rsidR="00F774D1">
              <w:rPr>
                <w:lang w:val="fr-CH"/>
              </w:rPr>
              <w:t>(CV </w:t>
            </w:r>
            <w:r w:rsidR="00896897" w:rsidRPr="00F774D1">
              <w:rPr>
                <w:lang w:val="fr-CH"/>
              </w:rPr>
              <w:t>230)</w:t>
            </w:r>
          </w:p>
        </w:tc>
        <w:tc>
          <w:tcPr>
            <w:tcW w:w="2109" w:type="dxa"/>
          </w:tcPr>
          <w:p w:rsidR="00896897" w:rsidRPr="00D50F38" w:rsidRDefault="00D50F38" w:rsidP="007D1428">
            <w:pPr>
              <w:pStyle w:val="Tabletext"/>
              <w:rPr>
                <w:rFonts w:cstheme="minorHAnsi"/>
                <w:bCs/>
                <w:color w:val="231F20"/>
                <w:lang w:val="fr-CH"/>
              </w:rPr>
            </w:pPr>
            <w:r w:rsidRPr="00D50F38">
              <w:rPr>
                <w:rFonts w:cstheme="minorHAnsi"/>
                <w:bCs/>
                <w:color w:val="231F20"/>
                <w:lang w:val="fr-CH"/>
              </w:rPr>
              <w:t>Membre de Secteur ou Associé</w:t>
            </w:r>
          </w:p>
        </w:tc>
        <w:tc>
          <w:tcPr>
            <w:tcW w:w="5104" w:type="dxa"/>
          </w:tcPr>
          <w:p w:rsidR="00896897" w:rsidRPr="00C05597" w:rsidRDefault="00C05597" w:rsidP="007D1428">
            <w:pPr>
              <w:pStyle w:val="Tabletext"/>
              <w:rPr>
                <w:rFonts w:cstheme="minorHAnsi"/>
                <w:bCs/>
                <w:color w:val="231F20"/>
                <w:lang w:val="fr-CH"/>
              </w:rPr>
            </w:pPr>
            <w:r w:rsidRPr="00C05597">
              <w:rPr>
                <w:rFonts w:cstheme="minorHAnsi"/>
                <w:bCs/>
                <w:color w:val="231F20"/>
                <w:lang w:val="fr-CH"/>
              </w:rPr>
              <w:t>L</w:t>
            </w:r>
            <w:r w:rsidR="00865BC1">
              <w:rPr>
                <w:rFonts w:cstheme="minorHAnsi"/>
                <w:bCs/>
                <w:color w:val="231F20"/>
                <w:lang w:val="fr-CH"/>
              </w:rPr>
              <w:t>'</w:t>
            </w:r>
            <w:r w:rsidRPr="00C05597">
              <w:rPr>
                <w:rFonts w:cstheme="minorHAnsi"/>
                <w:bCs/>
                <w:color w:val="231F20"/>
                <w:lang w:val="fr-CH"/>
              </w:rPr>
              <w:t xml:space="preserve">entité soumet sa demande </w:t>
            </w:r>
            <w:r w:rsidR="00F107B6">
              <w:rPr>
                <w:rFonts w:cstheme="minorHAnsi"/>
                <w:bCs/>
                <w:color w:val="231F20"/>
                <w:lang w:val="fr-CH"/>
              </w:rPr>
              <w:t>d</w:t>
            </w:r>
            <w:r w:rsidR="00865BC1">
              <w:rPr>
                <w:rFonts w:cstheme="minorHAnsi"/>
                <w:bCs/>
                <w:color w:val="231F20"/>
                <w:lang w:val="fr-CH"/>
              </w:rPr>
              <w:t>'</w:t>
            </w:r>
            <w:r w:rsidR="00F107B6">
              <w:rPr>
                <w:rFonts w:cstheme="minorHAnsi"/>
                <w:bCs/>
                <w:color w:val="231F20"/>
                <w:lang w:val="fr-CH"/>
              </w:rPr>
              <w:t xml:space="preserve">admission </w:t>
            </w:r>
            <w:r w:rsidRPr="00C05597">
              <w:rPr>
                <w:rFonts w:cstheme="minorHAnsi"/>
                <w:bCs/>
                <w:color w:val="231F20"/>
                <w:lang w:val="fr-CH"/>
              </w:rPr>
              <w:t>à l</w:t>
            </w:r>
            <w:r w:rsidR="00865BC1">
              <w:rPr>
                <w:rFonts w:cstheme="minorHAnsi"/>
                <w:bCs/>
                <w:color w:val="231F20"/>
                <w:lang w:val="fr-CH"/>
              </w:rPr>
              <w:t>'</w:t>
            </w:r>
            <w:r w:rsidRPr="00C05597">
              <w:rPr>
                <w:rFonts w:cstheme="minorHAnsi"/>
                <w:bCs/>
                <w:color w:val="231F20"/>
                <w:lang w:val="fr-CH"/>
              </w:rPr>
              <w:t xml:space="preserve">Etat Membre </w:t>
            </w:r>
            <w:r w:rsidR="00F107B6">
              <w:rPr>
                <w:rFonts w:cstheme="minorHAnsi"/>
                <w:bCs/>
                <w:color w:val="231F20"/>
                <w:lang w:val="fr-CH"/>
              </w:rPr>
              <w:t>intéressé</w:t>
            </w:r>
            <w:r w:rsidRPr="00C05597">
              <w:rPr>
                <w:rFonts w:cstheme="minorHAnsi"/>
                <w:bCs/>
                <w:color w:val="231F20"/>
                <w:lang w:val="fr-CH"/>
              </w:rPr>
              <w:t xml:space="preserve">, qui accepte/rejette cette demande. </w:t>
            </w:r>
            <w:r>
              <w:rPr>
                <w:rFonts w:cstheme="minorHAnsi"/>
                <w:bCs/>
                <w:color w:val="231F20"/>
                <w:lang w:val="fr-CH"/>
              </w:rPr>
              <w:t>Les entités visées au numéro 230 de la Convention doivent fournir des pièces complémentaires, notamment une lettre d</w:t>
            </w:r>
            <w:r w:rsidR="00865BC1">
              <w:rPr>
                <w:rFonts w:cstheme="minorHAnsi"/>
                <w:bCs/>
                <w:color w:val="231F20"/>
                <w:lang w:val="fr-CH"/>
              </w:rPr>
              <w:t>'</w:t>
            </w:r>
            <w:r>
              <w:rPr>
                <w:rFonts w:cstheme="minorHAnsi"/>
                <w:bCs/>
                <w:color w:val="231F20"/>
                <w:lang w:val="fr-CH"/>
              </w:rPr>
              <w:t>engagement. Une fois la demande acceptée, l</w:t>
            </w:r>
            <w:r w:rsidR="00865BC1">
              <w:rPr>
                <w:rFonts w:cstheme="minorHAnsi"/>
                <w:bCs/>
                <w:color w:val="231F20"/>
                <w:lang w:val="fr-CH"/>
              </w:rPr>
              <w:t>'</w:t>
            </w:r>
            <w:r>
              <w:rPr>
                <w:rFonts w:cstheme="minorHAnsi"/>
                <w:bCs/>
                <w:color w:val="231F20"/>
                <w:lang w:val="fr-CH"/>
              </w:rPr>
              <w:t xml:space="preserve">Etat Membre </w:t>
            </w:r>
            <w:r w:rsidR="00F107B6">
              <w:rPr>
                <w:rFonts w:cstheme="minorHAnsi"/>
                <w:bCs/>
                <w:color w:val="231F20"/>
                <w:lang w:val="fr-CH"/>
              </w:rPr>
              <w:t xml:space="preserve">intéressé </w:t>
            </w:r>
            <w:r w:rsidR="005A0383">
              <w:rPr>
                <w:rFonts w:cstheme="minorHAnsi"/>
                <w:bCs/>
                <w:color w:val="231F20"/>
              </w:rPr>
              <w:t xml:space="preserve">informe </w:t>
            </w:r>
            <w:r>
              <w:rPr>
                <w:rFonts w:cstheme="minorHAnsi"/>
                <w:bCs/>
                <w:color w:val="231F20"/>
                <w:lang w:val="fr-CH"/>
              </w:rPr>
              <w:t>le Secrétaire général. Le Secrétariat confirme l</w:t>
            </w:r>
            <w:r w:rsidR="00865BC1">
              <w:rPr>
                <w:rFonts w:cstheme="minorHAnsi"/>
                <w:bCs/>
                <w:color w:val="231F20"/>
                <w:lang w:val="fr-CH"/>
              </w:rPr>
              <w:t>'</w:t>
            </w:r>
            <w:r>
              <w:rPr>
                <w:rFonts w:cstheme="minorHAnsi"/>
                <w:bCs/>
                <w:color w:val="231F20"/>
                <w:lang w:val="fr-CH"/>
              </w:rPr>
              <w:t xml:space="preserve">admission du nouveau membre, </w:t>
            </w:r>
            <w:r w:rsidR="00F107B6">
              <w:rPr>
                <w:rFonts w:cstheme="minorHAnsi"/>
                <w:bCs/>
                <w:color w:val="231F20"/>
                <w:lang w:val="fr-CH"/>
              </w:rPr>
              <w:t xml:space="preserve">lui </w:t>
            </w:r>
            <w:r>
              <w:rPr>
                <w:rFonts w:cstheme="minorHAnsi"/>
                <w:bCs/>
                <w:color w:val="231F20"/>
                <w:lang w:val="fr-CH"/>
              </w:rPr>
              <w:t xml:space="preserve">envoie une facture et active </w:t>
            </w:r>
            <w:r w:rsidR="00F107B6">
              <w:rPr>
                <w:rFonts w:cstheme="minorHAnsi"/>
                <w:bCs/>
                <w:color w:val="231F20"/>
                <w:lang w:val="fr-CH"/>
              </w:rPr>
              <w:t xml:space="preserve">son </w:t>
            </w:r>
            <w:r>
              <w:rPr>
                <w:rFonts w:cstheme="minorHAnsi"/>
                <w:bCs/>
                <w:color w:val="231F20"/>
                <w:lang w:val="fr-CH"/>
              </w:rPr>
              <w:t>admission une fois le paiement reçu.</w:t>
            </w:r>
          </w:p>
        </w:tc>
      </w:tr>
      <w:tr w:rsidR="00896897" w:rsidRPr="00CF4270" w:rsidTr="00FC6F28">
        <w:tc>
          <w:tcPr>
            <w:tcW w:w="2314" w:type="dxa"/>
          </w:tcPr>
          <w:p w:rsidR="00896897" w:rsidRPr="00F774D1" w:rsidRDefault="000F7D9D" w:rsidP="007D1428">
            <w:pPr>
              <w:pStyle w:val="Tabletext"/>
              <w:rPr>
                <w:rFonts w:cstheme="minorHAnsi"/>
                <w:bCs/>
                <w:color w:val="231F20"/>
                <w:lang w:val="fr-CH"/>
              </w:rPr>
            </w:pPr>
            <w:r>
              <w:t>O</w:t>
            </w:r>
            <w:r w:rsidR="00F774D1">
              <w:t>rganisations régionales et autres organisations internationales de télécommunication, de normalisation, de financement ou de développement</w:t>
            </w:r>
            <w:r w:rsidR="00F774D1" w:rsidRPr="00F774D1">
              <w:rPr>
                <w:lang w:val="fr-CH"/>
              </w:rPr>
              <w:t xml:space="preserve"> </w:t>
            </w:r>
            <w:r w:rsidR="00A21A5C">
              <w:rPr>
                <w:lang w:val="fr-CH"/>
              </w:rPr>
              <w:t>(CV </w:t>
            </w:r>
            <w:r w:rsidR="00896897" w:rsidRPr="00F774D1">
              <w:rPr>
                <w:lang w:val="fr-CH"/>
              </w:rPr>
              <w:t>231)</w:t>
            </w:r>
          </w:p>
        </w:tc>
        <w:tc>
          <w:tcPr>
            <w:tcW w:w="2109" w:type="dxa"/>
          </w:tcPr>
          <w:p w:rsidR="00896897" w:rsidRPr="00D50F38" w:rsidRDefault="00D50F38" w:rsidP="007D1428">
            <w:pPr>
              <w:pStyle w:val="Tabletext"/>
              <w:rPr>
                <w:rFonts w:cstheme="minorHAnsi"/>
                <w:bCs/>
                <w:color w:val="231F20"/>
                <w:lang w:val="fr-CH"/>
              </w:rPr>
            </w:pPr>
            <w:r w:rsidRPr="00D50F38">
              <w:rPr>
                <w:rFonts w:cstheme="minorHAnsi"/>
                <w:bCs/>
                <w:color w:val="231F20"/>
                <w:lang w:val="fr-CH"/>
              </w:rPr>
              <w:t>Membre de Secteur ou Associé</w:t>
            </w:r>
          </w:p>
        </w:tc>
        <w:tc>
          <w:tcPr>
            <w:tcW w:w="5104" w:type="dxa"/>
          </w:tcPr>
          <w:p w:rsidR="00896897" w:rsidRPr="00CF4270" w:rsidRDefault="00C05597" w:rsidP="007D1428">
            <w:pPr>
              <w:pStyle w:val="Tabletext"/>
              <w:rPr>
                <w:rFonts w:cstheme="minorHAnsi"/>
                <w:bCs/>
                <w:color w:val="231F20"/>
                <w:lang w:val="fr-CH"/>
              </w:rPr>
            </w:pPr>
            <w:r w:rsidRPr="00C05597">
              <w:rPr>
                <w:rFonts w:cstheme="minorHAnsi"/>
                <w:bCs/>
                <w:color w:val="231F20"/>
                <w:lang w:val="fr-CH"/>
              </w:rPr>
              <w:t>L</w:t>
            </w:r>
            <w:r w:rsidR="00865BC1">
              <w:rPr>
                <w:rFonts w:cstheme="minorHAnsi"/>
                <w:bCs/>
                <w:color w:val="231F20"/>
                <w:lang w:val="fr-CH"/>
              </w:rPr>
              <w:t>'</w:t>
            </w:r>
            <w:r w:rsidRPr="00C05597">
              <w:rPr>
                <w:rFonts w:cstheme="minorHAnsi"/>
                <w:bCs/>
                <w:color w:val="231F20"/>
                <w:lang w:val="fr-CH"/>
              </w:rPr>
              <w:t xml:space="preserve">entité soumet directement sa demande </w:t>
            </w:r>
            <w:r>
              <w:rPr>
                <w:rFonts w:cstheme="minorHAnsi"/>
                <w:bCs/>
                <w:color w:val="231F20"/>
                <w:lang w:val="fr-CH"/>
              </w:rPr>
              <w:t>au Secrétaire général, qui l</w:t>
            </w:r>
            <w:r w:rsidR="00865BC1">
              <w:rPr>
                <w:rFonts w:cstheme="minorHAnsi"/>
                <w:bCs/>
                <w:color w:val="231F20"/>
                <w:lang w:val="fr-CH"/>
              </w:rPr>
              <w:t>'</w:t>
            </w:r>
            <w:r>
              <w:rPr>
                <w:rFonts w:cstheme="minorHAnsi"/>
                <w:bCs/>
                <w:color w:val="231F20"/>
                <w:lang w:val="fr-CH"/>
              </w:rPr>
              <w:t>examine afin de s</w:t>
            </w:r>
            <w:r w:rsidR="00865BC1">
              <w:rPr>
                <w:rFonts w:cstheme="minorHAnsi"/>
                <w:bCs/>
                <w:color w:val="231F20"/>
                <w:lang w:val="fr-CH"/>
              </w:rPr>
              <w:t>'</w:t>
            </w:r>
            <w:r>
              <w:rPr>
                <w:rFonts w:cstheme="minorHAnsi"/>
                <w:bCs/>
                <w:color w:val="231F20"/>
                <w:lang w:val="fr-CH"/>
              </w:rPr>
              <w:t>assurer qu</w:t>
            </w:r>
            <w:r w:rsidR="00865BC1">
              <w:rPr>
                <w:rFonts w:cstheme="minorHAnsi"/>
                <w:bCs/>
                <w:color w:val="231F20"/>
                <w:lang w:val="fr-CH"/>
              </w:rPr>
              <w:t>'</w:t>
            </w:r>
            <w:r>
              <w:rPr>
                <w:rFonts w:cstheme="minorHAnsi"/>
                <w:bCs/>
                <w:color w:val="231F20"/>
                <w:lang w:val="fr-CH"/>
              </w:rPr>
              <w:t>elle remplit les critères. Le Secrétariat envoie une facture à l</w:t>
            </w:r>
            <w:r w:rsidR="00865BC1">
              <w:rPr>
                <w:rFonts w:cstheme="minorHAnsi"/>
                <w:bCs/>
                <w:color w:val="231F20"/>
                <w:lang w:val="fr-CH"/>
              </w:rPr>
              <w:t>'</w:t>
            </w:r>
            <w:r>
              <w:rPr>
                <w:rFonts w:cstheme="minorHAnsi"/>
                <w:bCs/>
                <w:color w:val="231F20"/>
                <w:lang w:val="fr-CH"/>
              </w:rPr>
              <w:t>entité et active son admission après paiement. Si l</w:t>
            </w:r>
            <w:r w:rsidR="00865BC1">
              <w:rPr>
                <w:rFonts w:cstheme="minorHAnsi"/>
                <w:bCs/>
                <w:color w:val="231F20"/>
                <w:lang w:val="fr-CH"/>
              </w:rPr>
              <w:t>'</w:t>
            </w:r>
            <w:r>
              <w:rPr>
                <w:rFonts w:cstheme="minorHAnsi"/>
                <w:bCs/>
                <w:color w:val="231F20"/>
                <w:lang w:val="fr-CH"/>
              </w:rPr>
              <w:t xml:space="preserve">entité </w:t>
            </w:r>
            <w:r w:rsidR="00F107B6">
              <w:rPr>
                <w:rFonts w:cstheme="minorHAnsi"/>
                <w:bCs/>
                <w:color w:val="231F20"/>
                <w:lang w:val="fr-CH"/>
              </w:rPr>
              <w:t>demande à être</w:t>
            </w:r>
            <w:r>
              <w:rPr>
                <w:rFonts w:cstheme="minorHAnsi"/>
                <w:bCs/>
                <w:color w:val="231F20"/>
                <w:lang w:val="fr-CH"/>
              </w:rPr>
              <w:t xml:space="preserve"> exonérée </w:t>
            </w:r>
            <w:r w:rsidR="00B4383B">
              <w:rPr>
                <w:rFonts w:cstheme="minorHAnsi"/>
                <w:bCs/>
                <w:color w:val="231F20"/>
                <w:lang w:val="fr-CH"/>
              </w:rPr>
              <w:t>de contribution financière</w:t>
            </w:r>
            <w:r>
              <w:rPr>
                <w:rFonts w:cstheme="minorHAnsi"/>
                <w:bCs/>
                <w:color w:val="231F20"/>
                <w:lang w:val="fr-CH"/>
              </w:rPr>
              <w:t xml:space="preserve">, </w:t>
            </w:r>
            <w:r w:rsidR="00CF4270">
              <w:rPr>
                <w:rFonts w:cstheme="minorHAnsi"/>
                <w:bCs/>
                <w:color w:val="231F20"/>
                <w:lang w:val="fr-CH"/>
              </w:rPr>
              <w:t>une procédure distincte s</w:t>
            </w:r>
            <w:r w:rsidR="00865BC1">
              <w:rPr>
                <w:rFonts w:cstheme="minorHAnsi"/>
                <w:bCs/>
                <w:color w:val="231F20"/>
                <w:lang w:val="fr-CH"/>
              </w:rPr>
              <w:t>'</w:t>
            </w:r>
            <w:r w:rsidR="00CF4270">
              <w:rPr>
                <w:rFonts w:cstheme="minorHAnsi"/>
                <w:bCs/>
                <w:color w:val="231F20"/>
                <w:lang w:val="fr-CH"/>
              </w:rPr>
              <w:t xml:space="preserve">applique, et la demande </w:t>
            </w:r>
            <w:r w:rsidR="00F107B6">
              <w:rPr>
                <w:rFonts w:cstheme="minorHAnsi"/>
                <w:bCs/>
                <w:color w:val="231F20"/>
                <w:lang w:val="fr-CH"/>
              </w:rPr>
              <w:t>d</w:t>
            </w:r>
            <w:r w:rsidR="00865BC1">
              <w:rPr>
                <w:rFonts w:cstheme="minorHAnsi"/>
                <w:bCs/>
                <w:color w:val="231F20"/>
                <w:lang w:val="fr-CH"/>
              </w:rPr>
              <w:t>'</w:t>
            </w:r>
            <w:r w:rsidR="00F107B6">
              <w:rPr>
                <w:rFonts w:cstheme="minorHAnsi"/>
                <w:bCs/>
                <w:color w:val="231F20"/>
                <w:lang w:val="fr-CH"/>
              </w:rPr>
              <w:t xml:space="preserve">admission </w:t>
            </w:r>
            <w:r w:rsidR="00CF4270">
              <w:rPr>
                <w:rFonts w:cstheme="minorHAnsi"/>
                <w:bCs/>
                <w:color w:val="231F20"/>
                <w:lang w:val="fr-CH"/>
              </w:rPr>
              <w:t xml:space="preserve">est soumise à la session suivante du Conseil pour approbation. Cette procédure </w:t>
            </w:r>
            <w:r w:rsidR="00F107B6">
              <w:rPr>
                <w:rFonts w:cstheme="minorHAnsi"/>
                <w:bCs/>
                <w:color w:val="231F20"/>
                <w:lang w:val="fr-CH"/>
              </w:rPr>
              <w:t>a été approuvée par le Conseil à sa session de 2000 (</w:t>
            </w:r>
            <w:r w:rsidR="00CF4270" w:rsidRPr="00CF4270">
              <w:rPr>
                <w:rFonts w:cstheme="minorHAnsi"/>
                <w:bCs/>
                <w:color w:val="231F20"/>
                <w:lang w:val="fr-CH"/>
              </w:rPr>
              <w:t>Document C2000/28(Rév.1)</w:t>
            </w:r>
            <w:r w:rsidR="00F107B6">
              <w:rPr>
                <w:rFonts w:cstheme="minorHAnsi"/>
                <w:bCs/>
                <w:color w:val="231F20"/>
                <w:lang w:val="fr-CH"/>
              </w:rPr>
              <w:t>).</w:t>
            </w:r>
          </w:p>
        </w:tc>
      </w:tr>
      <w:tr w:rsidR="00896897" w:rsidRPr="00A21A5C" w:rsidTr="00FC6F28">
        <w:tc>
          <w:tcPr>
            <w:tcW w:w="2314" w:type="dxa"/>
          </w:tcPr>
          <w:p w:rsidR="00896897" w:rsidRPr="00A21A5C" w:rsidRDefault="00A21A5C" w:rsidP="007D1428">
            <w:pPr>
              <w:pStyle w:val="Tabletext"/>
              <w:rPr>
                <w:rFonts w:cstheme="minorHAnsi"/>
                <w:bCs/>
                <w:lang w:val="fr-CH"/>
              </w:rPr>
            </w:pPr>
            <w:r w:rsidRPr="00A21A5C">
              <w:rPr>
                <w:lang w:eastAsia="zh-CN"/>
              </w:rPr>
              <w:t>Organisations régionales</w:t>
            </w:r>
            <w:r>
              <w:rPr>
                <w:lang w:eastAsia="zh-CN"/>
              </w:rPr>
              <w:t xml:space="preserve"> de télécommunication visées dans l</w:t>
            </w:r>
            <w:r w:rsidR="00865BC1">
              <w:rPr>
                <w:lang w:eastAsia="zh-CN"/>
              </w:rPr>
              <w:t>'</w:t>
            </w:r>
            <w:r>
              <w:rPr>
                <w:lang w:eastAsia="zh-CN"/>
              </w:rPr>
              <w:t>article 43 de la Constitution</w:t>
            </w:r>
            <w:r w:rsidR="00F107B6">
              <w:rPr>
                <w:lang w:eastAsia="zh-CN"/>
              </w:rPr>
              <w:t>, o</w:t>
            </w:r>
            <w:r>
              <w:rPr>
                <w:lang w:eastAsia="zh-CN"/>
              </w:rPr>
              <w:t xml:space="preserve">rganisations intergouvernementales exploitant des systèmes à satellites </w:t>
            </w:r>
            <w:r>
              <w:rPr>
                <w:lang w:eastAsia="zh-CN"/>
              </w:rPr>
              <w:br/>
            </w:r>
            <w:r w:rsidR="00896897" w:rsidRPr="00A21A5C">
              <w:rPr>
                <w:lang w:val="fr-CH" w:eastAsia="zh-CN"/>
              </w:rPr>
              <w:t>(</w:t>
            </w:r>
            <w:r w:rsidRPr="00A21A5C">
              <w:rPr>
                <w:lang w:val="fr-CH" w:eastAsia="zh-CN"/>
              </w:rPr>
              <w:t xml:space="preserve">CV </w:t>
            </w:r>
            <w:r w:rsidR="00896897" w:rsidRPr="00A21A5C">
              <w:rPr>
                <w:lang w:val="fr-CH" w:eastAsia="zh-CN"/>
              </w:rPr>
              <w:t xml:space="preserve">269B </w:t>
            </w:r>
            <w:r w:rsidR="000F7D9D" w:rsidRPr="00A21A5C">
              <w:rPr>
                <w:lang w:val="fr-CH" w:eastAsia="zh-CN"/>
              </w:rPr>
              <w:t>et</w:t>
            </w:r>
            <w:r w:rsidR="00896897" w:rsidRPr="00A21A5C">
              <w:rPr>
                <w:lang w:val="fr-CH" w:eastAsia="zh-CN"/>
              </w:rPr>
              <w:t xml:space="preserve"> 269C)</w:t>
            </w:r>
          </w:p>
        </w:tc>
        <w:tc>
          <w:tcPr>
            <w:tcW w:w="2109" w:type="dxa"/>
          </w:tcPr>
          <w:p w:rsidR="00896897" w:rsidRPr="00A21A5C" w:rsidRDefault="00896897" w:rsidP="007D1428">
            <w:pPr>
              <w:pStyle w:val="Tabletext"/>
              <w:rPr>
                <w:rFonts w:cstheme="minorHAnsi"/>
                <w:bCs/>
                <w:lang w:val="fr-CH"/>
              </w:rPr>
            </w:pPr>
            <w:r w:rsidRPr="00A21A5C">
              <w:rPr>
                <w:rFonts w:cstheme="minorHAnsi"/>
                <w:bCs/>
                <w:lang w:val="fr-CH"/>
              </w:rPr>
              <w:t>Membr</w:t>
            </w:r>
            <w:r w:rsidR="00D50F38" w:rsidRPr="00A21A5C">
              <w:rPr>
                <w:rFonts w:cstheme="minorHAnsi"/>
                <w:bCs/>
                <w:lang w:val="fr-CH"/>
              </w:rPr>
              <w:t>e de Secteur</w:t>
            </w:r>
            <w:r w:rsidR="00C72ECA">
              <w:rPr>
                <w:rFonts w:cstheme="minorHAnsi"/>
                <w:bCs/>
                <w:lang w:val="fr-CH"/>
              </w:rPr>
              <w:t xml:space="preserve"> (</w:t>
            </w:r>
            <w:r w:rsidR="00C72ECA" w:rsidRPr="00A21A5C">
              <w:rPr>
                <w:lang w:eastAsia="zh-CN"/>
              </w:rPr>
              <w:t>Organisations régionales</w:t>
            </w:r>
            <w:r w:rsidR="00C72ECA">
              <w:rPr>
                <w:lang w:eastAsia="zh-CN"/>
              </w:rPr>
              <w:t xml:space="preserve"> de télécommunication, organisations intergouvernementales exploitant des satellites)</w:t>
            </w:r>
          </w:p>
        </w:tc>
        <w:tc>
          <w:tcPr>
            <w:tcW w:w="5104" w:type="dxa"/>
          </w:tcPr>
          <w:p w:rsidR="00896897" w:rsidRPr="00A21A5C" w:rsidRDefault="00A21A5C" w:rsidP="007D1428">
            <w:pPr>
              <w:pStyle w:val="Tabletext"/>
              <w:rPr>
                <w:rFonts w:cstheme="minorHAnsi"/>
                <w:bCs/>
                <w:color w:val="231F20"/>
                <w:lang w:val="fr-CH"/>
              </w:rPr>
            </w:pPr>
            <w:r w:rsidRPr="00A21A5C">
              <w:rPr>
                <w:rFonts w:cstheme="minorHAnsi"/>
                <w:bCs/>
                <w:color w:val="231F20"/>
                <w:lang w:val="fr-CH"/>
              </w:rPr>
              <w:t>L</w:t>
            </w:r>
            <w:r w:rsidR="00865BC1">
              <w:rPr>
                <w:rFonts w:cstheme="minorHAnsi"/>
                <w:bCs/>
                <w:color w:val="231F20"/>
                <w:lang w:val="fr-CH"/>
              </w:rPr>
              <w:t>'</w:t>
            </w:r>
            <w:r w:rsidRPr="00A21A5C">
              <w:rPr>
                <w:rFonts w:cstheme="minorHAnsi"/>
                <w:bCs/>
                <w:color w:val="231F20"/>
                <w:lang w:val="fr-CH"/>
              </w:rPr>
              <w:t xml:space="preserve">entité envoie directement sa demande </w:t>
            </w:r>
            <w:r w:rsidR="00A934C3">
              <w:rPr>
                <w:rFonts w:cstheme="minorHAnsi"/>
                <w:bCs/>
                <w:color w:val="231F20"/>
                <w:lang w:val="fr-CH"/>
              </w:rPr>
              <w:t>d</w:t>
            </w:r>
            <w:r w:rsidR="00865BC1">
              <w:rPr>
                <w:rFonts w:cstheme="minorHAnsi"/>
                <w:bCs/>
                <w:color w:val="231F20"/>
                <w:lang w:val="fr-CH"/>
              </w:rPr>
              <w:t>'</w:t>
            </w:r>
            <w:r w:rsidR="00A934C3">
              <w:rPr>
                <w:rFonts w:cstheme="minorHAnsi"/>
                <w:bCs/>
                <w:color w:val="231F20"/>
                <w:lang w:val="fr-CH"/>
              </w:rPr>
              <w:t xml:space="preserve">admission </w:t>
            </w:r>
            <w:r w:rsidRPr="00A21A5C">
              <w:rPr>
                <w:rFonts w:cstheme="minorHAnsi"/>
                <w:bCs/>
                <w:color w:val="231F20"/>
                <w:lang w:val="fr-CH"/>
              </w:rPr>
              <w:t>au Secrétaire général.</w:t>
            </w:r>
          </w:p>
        </w:tc>
      </w:tr>
      <w:tr w:rsidR="00896897" w:rsidRPr="00CF4270" w:rsidTr="00FC6F28">
        <w:tc>
          <w:tcPr>
            <w:tcW w:w="2314" w:type="dxa"/>
          </w:tcPr>
          <w:p w:rsidR="00896897" w:rsidRPr="008B2A6C" w:rsidRDefault="008B2A6C" w:rsidP="00C522B8">
            <w:pPr>
              <w:pStyle w:val="Tabletext"/>
              <w:keepNext/>
              <w:keepLines/>
              <w:rPr>
                <w:lang w:val="fr-CH" w:eastAsia="zh-CN"/>
              </w:rPr>
            </w:pPr>
            <w:r>
              <w:t>E</w:t>
            </w:r>
            <w:r w:rsidR="00A21A5C">
              <w:t xml:space="preserve">tablissements universitaires, </w:t>
            </w:r>
            <w:r w:rsidRPr="00ED70F6">
              <w:t>universités et instituts de recherche associés</w:t>
            </w:r>
          </w:p>
        </w:tc>
        <w:tc>
          <w:tcPr>
            <w:tcW w:w="2109" w:type="dxa"/>
          </w:tcPr>
          <w:p w:rsidR="00896897" w:rsidRPr="00A21A5C" w:rsidRDefault="00D50F38" w:rsidP="00C522B8">
            <w:pPr>
              <w:pStyle w:val="Tabletext"/>
              <w:keepNext/>
              <w:keepLines/>
              <w:rPr>
                <w:rFonts w:cstheme="minorHAnsi"/>
                <w:bCs/>
                <w:color w:val="231F20"/>
              </w:rPr>
            </w:pPr>
            <w:r w:rsidRPr="00A21A5C">
              <w:rPr>
                <w:rFonts w:cstheme="minorHAnsi"/>
                <w:bCs/>
                <w:color w:val="231F20"/>
              </w:rPr>
              <w:t>Etablissements universitaires</w:t>
            </w:r>
          </w:p>
        </w:tc>
        <w:tc>
          <w:tcPr>
            <w:tcW w:w="5104" w:type="dxa"/>
          </w:tcPr>
          <w:p w:rsidR="00896897" w:rsidRPr="00CF4270" w:rsidRDefault="00CF4270" w:rsidP="00C522B8">
            <w:pPr>
              <w:pStyle w:val="Tabletext"/>
              <w:keepNext/>
              <w:keepLines/>
              <w:rPr>
                <w:rFonts w:cstheme="minorHAnsi"/>
                <w:bCs/>
                <w:color w:val="231F20"/>
                <w:lang w:val="fr-CH"/>
              </w:rPr>
            </w:pPr>
            <w:r w:rsidRPr="00A21A5C">
              <w:rPr>
                <w:rFonts w:cstheme="minorHAnsi"/>
                <w:bCs/>
                <w:color w:val="231F20"/>
              </w:rPr>
              <w:t>L</w:t>
            </w:r>
            <w:r w:rsidR="00865BC1">
              <w:rPr>
                <w:rFonts w:cstheme="minorHAnsi"/>
                <w:bCs/>
                <w:color w:val="231F20"/>
              </w:rPr>
              <w:t>'</w:t>
            </w:r>
            <w:r w:rsidRPr="00A21A5C">
              <w:rPr>
                <w:rFonts w:cstheme="minorHAnsi"/>
                <w:bCs/>
                <w:color w:val="231F20"/>
              </w:rPr>
              <w:t xml:space="preserve">entité </w:t>
            </w:r>
            <w:r>
              <w:rPr>
                <w:rFonts w:cstheme="minorHAnsi"/>
                <w:bCs/>
                <w:color w:val="231F20"/>
              </w:rPr>
              <w:t>soumet</w:t>
            </w:r>
            <w:r w:rsidRPr="00A21A5C">
              <w:rPr>
                <w:rFonts w:cstheme="minorHAnsi"/>
                <w:bCs/>
                <w:color w:val="231F20"/>
              </w:rPr>
              <w:t xml:space="preserve"> sa </w:t>
            </w:r>
            <w:r>
              <w:rPr>
                <w:rFonts w:cstheme="minorHAnsi"/>
                <w:bCs/>
                <w:color w:val="231F20"/>
              </w:rPr>
              <w:t>demande d</w:t>
            </w:r>
            <w:r w:rsidR="00865BC1">
              <w:rPr>
                <w:rFonts w:cstheme="minorHAnsi"/>
                <w:bCs/>
                <w:color w:val="231F20"/>
              </w:rPr>
              <w:t>'</w:t>
            </w:r>
            <w:r>
              <w:rPr>
                <w:rFonts w:cstheme="minorHAnsi"/>
                <w:bCs/>
                <w:color w:val="231F20"/>
              </w:rPr>
              <w:t>admission à l</w:t>
            </w:r>
            <w:r w:rsidR="00865BC1">
              <w:rPr>
                <w:rFonts w:cstheme="minorHAnsi"/>
                <w:bCs/>
                <w:color w:val="231F20"/>
              </w:rPr>
              <w:t>'</w:t>
            </w:r>
            <w:r>
              <w:rPr>
                <w:rFonts w:cstheme="minorHAnsi"/>
                <w:bCs/>
                <w:color w:val="231F20"/>
              </w:rPr>
              <w:t xml:space="preserve">Etat Membre </w:t>
            </w:r>
            <w:r w:rsidR="00A934C3">
              <w:rPr>
                <w:rFonts w:cstheme="minorHAnsi"/>
                <w:bCs/>
                <w:color w:val="231F20"/>
              </w:rPr>
              <w:t>intéressé</w:t>
            </w:r>
            <w:r>
              <w:rPr>
                <w:rFonts w:cstheme="minorHAnsi"/>
                <w:bCs/>
                <w:color w:val="231F20"/>
              </w:rPr>
              <w:t>, qui accepte/rejette cette demande. L</w:t>
            </w:r>
            <w:r w:rsidR="00865BC1">
              <w:rPr>
                <w:rFonts w:cstheme="minorHAnsi"/>
                <w:bCs/>
                <w:color w:val="231F20"/>
              </w:rPr>
              <w:t>'</w:t>
            </w:r>
            <w:r>
              <w:rPr>
                <w:rFonts w:cstheme="minorHAnsi"/>
                <w:bCs/>
                <w:color w:val="231F20"/>
              </w:rPr>
              <w:t xml:space="preserve">Etat Membre </w:t>
            </w:r>
            <w:r w:rsidR="00A934C3">
              <w:rPr>
                <w:rFonts w:cstheme="minorHAnsi"/>
                <w:bCs/>
                <w:color w:val="231F20"/>
              </w:rPr>
              <w:t>intéressé</w:t>
            </w:r>
            <w:r>
              <w:rPr>
                <w:rFonts w:cstheme="minorHAnsi"/>
                <w:bCs/>
                <w:color w:val="231F20"/>
              </w:rPr>
              <w:t xml:space="preserve"> </w:t>
            </w:r>
            <w:r w:rsidR="005A0383">
              <w:rPr>
                <w:rFonts w:cstheme="minorHAnsi"/>
                <w:bCs/>
                <w:color w:val="231F20"/>
              </w:rPr>
              <w:t xml:space="preserve">informe </w:t>
            </w:r>
            <w:r>
              <w:rPr>
                <w:rFonts w:cstheme="minorHAnsi"/>
                <w:bCs/>
                <w:color w:val="231F20"/>
              </w:rPr>
              <w:t>le Secrétaire général. Le Secrétariat confirme l</w:t>
            </w:r>
            <w:r w:rsidR="00865BC1">
              <w:rPr>
                <w:rFonts w:cstheme="minorHAnsi"/>
                <w:bCs/>
                <w:color w:val="231F20"/>
              </w:rPr>
              <w:t>'</w:t>
            </w:r>
            <w:r>
              <w:rPr>
                <w:rFonts w:cstheme="minorHAnsi"/>
                <w:bCs/>
                <w:color w:val="231F20"/>
              </w:rPr>
              <w:t xml:space="preserve">admission du nouveau membre, </w:t>
            </w:r>
            <w:r w:rsidR="00A934C3">
              <w:rPr>
                <w:rFonts w:cstheme="minorHAnsi"/>
                <w:bCs/>
                <w:color w:val="231F20"/>
              </w:rPr>
              <w:t xml:space="preserve">lui envoie une facture et active son </w:t>
            </w:r>
            <w:r>
              <w:rPr>
                <w:rFonts w:cstheme="minorHAnsi"/>
                <w:bCs/>
                <w:color w:val="231F20"/>
              </w:rPr>
              <w:t>admission une fois le paiement reçu.</w:t>
            </w:r>
          </w:p>
        </w:tc>
      </w:tr>
    </w:tbl>
    <w:p w:rsidR="00896897" w:rsidRPr="00CF4270" w:rsidRDefault="00896897" w:rsidP="007D1428">
      <w:pPr>
        <w:tabs>
          <w:tab w:val="clear" w:pos="567"/>
          <w:tab w:val="clear" w:pos="1134"/>
          <w:tab w:val="clear" w:pos="1701"/>
          <w:tab w:val="clear" w:pos="2268"/>
          <w:tab w:val="clear" w:pos="2835"/>
        </w:tabs>
        <w:overflowPunct/>
        <w:autoSpaceDE/>
        <w:autoSpaceDN/>
        <w:adjustRightInd/>
        <w:spacing w:before="0" w:after="200"/>
        <w:textAlignment w:val="auto"/>
        <w:rPr>
          <w:caps/>
          <w:sz w:val="28"/>
          <w:lang w:val="fr-CH"/>
        </w:rPr>
      </w:pPr>
      <w:r w:rsidRPr="00CF4270">
        <w:rPr>
          <w:lang w:val="fr-CH"/>
        </w:rPr>
        <w:br w:type="page"/>
      </w:r>
    </w:p>
    <w:p w:rsidR="00896897" w:rsidRPr="008B2A6C" w:rsidRDefault="00896897" w:rsidP="007D1428">
      <w:pPr>
        <w:pStyle w:val="AnnexNo"/>
        <w:spacing w:before="0"/>
        <w:rPr>
          <w:lang w:val="fr-CH"/>
        </w:rPr>
      </w:pPr>
      <w:r w:rsidRPr="008B2A6C">
        <w:rPr>
          <w:lang w:val="fr-CH"/>
        </w:rPr>
        <w:t>Annex</w:t>
      </w:r>
      <w:r w:rsidR="008B2A6C" w:rsidRPr="008B2A6C">
        <w:rPr>
          <w:lang w:val="fr-CH"/>
        </w:rPr>
        <w:t>e</w:t>
      </w:r>
      <w:r w:rsidRPr="008B2A6C">
        <w:rPr>
          <w:lang w:val="fr-CH"/>
        </w:rPr>
        <w:t xml:space="preserve"> 3</w:t>
      </w:r>
    </w:p>
    <w:p w:rsidR="00896897" w:rsidRPr="008B2A6C" w:rsidRDefault="008B2A6C" w:rsidP="007D1428">
      <w:pPr>
        <w:pStyle w:val="Annextitle"/>
        <w:rPr>
          <w:lang w:val="fr-CH"/>
        </w:rPr>
      </w:pPr>
      <w:r w:rsidRPr="008B2A6C">
        <w:rPr>
          <w:lang w:val="fr-CH"/>
        </w:rPr>
        <w:t xml:space="preserve">Résumé du projet de </w:t>
      </w:r>
      <w:r w:rsidR="00624A1E" w:rsidRPr="008B2A6C">
        <w:rPr>
          <w:lang w:val="fr-CH"/>
        </w:rPr>
        <w:t>Résolution</w:t>
      </w:r>
      <w:r w:rsidR="00896897" w:rsidRPr="008B2A6C">
        <w:rPr>
          <w:lang w:val="fr-CH"/>
        </w:rPr>
        <w:t xml:space="preserve"> (Busan, 2014)</w:t>
      </w:r>
    </w:p>
    <w:p w:rsidR="00896897" w:rsidRPr="008B2A6C" w:rsidRDefault="008B2A6C" w:rsidP="007D1428">
      <w:pPr>
        <w:pStyle w:val="Restitle"/>
        <w:rPr>
          <w:lang w:val="fr-CH"/>
        </w:rPr>
      </w:pPr>
      <w:r w:rsidRPr="000D47A5">
        <w:rPr>
          <w:lang w:val="fr-CH"/>
        </w:rPr>
        <w:t xml:space="preserve">Examen des méthodes existantes et définition d'une vision de l'avenir </w:t>
      </w:r>
      <w:r w:rsidRPr="000D47A5">
        <w:rPr>
          <w:lang w:val="fr-CH"/>
        </w:rPr>
        <w:br/>
        <w:t xml:space="preserve">concernant la participation des Membres de Secteur, des Associés </w:t>
      </w:r>
      <w:r w:rsidRPr="000D47A5">
        <w:rPr>
          <w:lang w:val="fr-CH"/>
        </w:rPr>
        <w:br/>
        <w:t>et des établissements universitaires aux activités de l'UIT</w:t>
      </w:r>
    </w:p>
    <w:tbl>
      <w:tblPr>
        <w:tblStyle w:val="TableGrid"/>
        <w:tblW w:w="0" w:type="auto"/>
        <w:tblLook w:val="04A0" w:firstRow="1" w:lastRow="0" w:firstColumn="1" w:lastColumn="0" w:noHBand="0" w:noVBand="1"/>
      </w:tblPr>
      <w:tblGrid>
        <w:gridCol w:w="436"/>
        <w:gridCol w:w="4823"/>
        <w:gridCol w:w="4376"/>
      </w:tblGrid>
      <w:tr w:rsidR="00896897" w:rsidRPr="00022675" w:rsidTr="00F95C08">
        <w:trPr>
          <w:tblHeader/>
        </w:trPr>
        <w:tc>
          <w:tcPr>
            <w:tcW w:w="436" w:type="dxa"/>
          </w:tcPr>
          <w:p w:rsidR="00896897" w:rsidRPr="008B2A6C" w:rsidRDefault="00896897" w:rsidP="007D1428">
            <w:pPr>
              <w:tabs>
                <w:tab w:val="left" w:pos="851"/>
              </w:tabs>
              <w:spacing w:before="80" w:after="80"/>
              <w:ind w:firstLine="851"/>
              <w:rPr>
                <w:i/>
                <w:sz w:val="22"/>
                <w:lang w:val="fr-CH"/>
              </w:rPr>
            </w:pPr>
          </w:p>
        </w:tc>
        <w:tc>
          <w:tcPr>
            <w:tcW w:w="4823" w:type="dxa"/>
            <w:vAlign w:val="bottom"/>
          </w:tcPr>
          <w:p w:rsidR="00896897" w:rsidRPr="00CF4270" w:rsidRDefault="00CF4270" w:rsidP="007D1428">
            <w:pPr>
              <w:pStyle w:val="Tablehead"/>
              <w:rPr>
                <w:lang w:val="fr-CH"/>
              </w:rPr>
            </w:pPr>
            <w:r w:rsidRPr="00CF4270">
              <w:rPr>
                <w:lang w:val="fr-CH"/>
              </w:rPr>
              <w:t>Disposition du projet de Résolution</w:t>
            </w:r>
          </w:p>
        </w:tc>
        <w:tc>
          <w:tcPr>
            <w:tcW w:w="4376" w:type="dxa"/>
          </w:tcPr>
          <w:p w:rsidR="00896897" w:rsidRPr="00555B4A" w:rsidRDefault="00CF4270" w:rsidP="007D1428">
            <w:pPr>
              <w:pStyle w:val="Tablehead"/>
            </w:pPr>
            <w:r>
              <w:t>Jus</w:t>
            </w:r>
            <w:r w:rsidR="00FC6F28">
              <w:t>ti</w:t>
            </w:r>
            <w:r>
              <w:t>fication</w:t>
            </w:r>
          </w:p>
        </w:tc>
      </w:tr>
      <w:tr w:rsidR="00896897" w:rsidRPr="007252C2" w:rsidTr="00180A5C">
        <w:tc>
          <w:tcPr>
            <w:tcW w:w="436" w:type="dxa"/>
          </w:tcPr>
          <w:p w:rsidR="00896897" w:rsidRPr="00555B4A" w:rsidRDefault="00896897" w:rsidP="007D1428">
            <w:pPr>
              <w:pStyle w:val="Tabletext"/>
              <w:rPr>
                <w:lang w:val="en-US"/>
              </w:rPr>
            </w:pPr>
            <w:r w:rsidRPr="00555B4A">
              <w:rPr>
                <w:lang w:val="en-US"/>
              </w:rPr>
              <w:t>1</w:t>
            </w:r>
          </w:p>
        </w:tc>
        <w:tc>
          <w:tcPr>
            <w:tcW w:w="4823" w:type="dxa"/>
          </w:tcPr>
          <w:p w:rsidR="00896897" w:rsidRPr="00950FDE" w:rsidRDefault="008B2A6C" w:rsidP="005A0383">
            <w:pPr>
              <w:pStyle w:val="Tabletext"/>
              <w:rPr>
                <w:lang w:val="fr-CH"/>
              </w:rPr>
            </w:pPr>
            <w:r w:rsidRPr="00950FDE">
              <w:rPr>
                <w:lang w:val="fr-CH"/>
              </w:rPr>
              <w:t>d'analyser les incidences</w:t>
            </w:r>
            <w:r w:rsidR="005A0383">
              <w:rPr>
                <w:lang w:val="fr-CH"/>
              </w:rPr>
              <w:t>, sur le plan des avantages et des inconvénients,</w:t>
            </w:r>
            <w:r w:rsidRPr="00950FDE">
              <w:rPr>
                <w:lang w:val="fr-CH"/>
              </w:rPr>
              <w:t xml:space="preserve"> de</w:t>
            </w:r>
            <w:r w:rsidR="005A0383">
              <w:rPr>
                <w:lang w:val="fr-CH"/>
              </w:rPr>
              <w:t>s</w:t>
            </w:r>
            <w:r w:rsidRPr="00950FDE">
              <w:rPr>
                <w:lang w:val="fr-CH"/>
              </w:rPr>
              <w:t xml:space="preserve"> diverses méthodes de détermination des prix pour les Membres de Secteur et les Associés, et d</w:t>
            </w:r>
            <w:r w:rsidR="005A0383">
              <w:rPr>
                <w:lang w:val="fr-CH"/>
              </w:rPr>
              <w:t xml:space="preserve">e réfléchir à </w:t>
            </w:r>
            <w:r w:rsidRPr="00950FDE">
              <w:rPr>
                <w:lang w:val="fr-CH"/>
              </w:rPr>
              <w:t xml:space="preserve">des avantages additionnels, notamment </w:t>
            </w:r>
            <w:r w:rsidR="005A0383">
              <w:rPr>
                <w:lang w:val="fr-CH"/>
              </w:rPr>
              <w:t xml:space="preserve">la possibilité d'accorder </w:t>
            </w:r>
            <w:r w:rsidRPr="00950FDE">
              <w:rPr>
                <w:lang w:val="fr-CH"/>
              </w:rPr>
              <w:t xml:space="preserve">un statut spécial </w:t>
            </w:r>
            <w:r w:rsidR="005A0383">
              <w:rPr>
                <w:lang w:val="fr-CH"/>
              </w:rPr>
              <w:t xml:space="preserve">aux </w:t>
            </w:r>
            <w:r w:rsidRPr="00950FDE">
              <w:rPr>
                <w:lang w:val="fr-CH"/>
              </w:rPr>
              <w:t>Membres des trois Secteurs</w:t>
            </w:r>
            <w:r w:rsidR="00896897" w:rsidRPr="00950FDE">
              <w:rPr>
                <w:lang w:val="fr-CH"/>
              </w:rPr>
              <w:t>;</w:t>
            </w:r>
          </w:p>
        </w:tc>
        <w:tc>
          <w:tcPr>
            <w:tcW w:w="4376" w:type="dxa"/>
          </w:tcPr>
          <w:p w:rsidR="00896897" w:rsidRPr="00950FDE" w:rsidRDefault="007252C2" w:rsidP="007D1428">
            <w:pPr>
              <w:pStyle w:val="Tabletext"/>
              <w:rPr>
                <w:lang w:val="fr-CH"/>
              </w:rPr>
            </w:pPr>
            <w:r w:rsidRPr="00950FDE">
              <w:rPr>
                <w:lang w:val="fr-CH"/>
              </w:rPr>
              <w:t xml:space="preserve">L'objectif </w:t>
            </w:r>
            <w:r w:rsidR="00B4383B">
              <w:rPr>
                <w:lang w:val="fr-CH"/>
              </w:rPr>
              <w:t>est de simplifier le calcul de la contribution financière</w:t>
            </w:r>
            <w:r w:rsidRPr="00950FDE">
              <w:rPr>
                <w:lang w:val="fr-CH"/>
              </w:rPr>
              <w:t xml:space="preserve"> </w:t>
            </w:r>
            <w:r w:rsidR="00B4383B">
              <w:rPr>
                <w:lang w:val="fr-CH"/>
              </w:rPr>
              <w:t>des Membres de Secteur et d</w:t>
            </w:r>
            <w:r w:rsidRPr="00950FDE">
              <w:rPr>
                <w:lang w:val="fr-CH"/>
              </w:rPr>
              <w:t>es établissements universitaires</w:t>
            </w:r>
            <w:r w:rsidR="00896897" w:rsidRPr="00950FDE">
              <w:rPr>
                <w:lang w:val="fr-CH"/>
              </w:rPr>
              <w:t xml:space="preserve">. </w:t>
            </w:r>
            <w:r w:rsidRPr="00950FDE">
              <w:rPr>
                <w:lang w:val="fr-CH"/>
              </w:rPr>
              <w:t>La structure unitaire est difficile à expliquer aux Membres potentiels</w:t>
            </w:r>
            <w:r w:rsidR="00FC6F28">
              <w:rPr>
                <w:lang w:val="fr-CH"/>
              </w:rPr>
              <w:t>,</w:t>
            </w:r>
            <w:r w:rsidRPr="00950FDE">
              <w:rPr>
                <w:lang w:val="fr-CH"/>
              </w:rPr>
              <w:t xml:space="preserve"> et la grande majorité des Membres choisit la participation minimale</w:t>
            </w:r>
            <w:r w:rsidR="00FC6F28">
              <w:rPr>
                <w:lang w:val="fr-CH"/>
              </w:rPr>
              <w:t>.</w:t>
            </w:r>
          </w:p>
        </w:tc>
      </w:tr>
      <w:tr w:rsidR="00896897" w:rsidRPr="003D3383" w:rsidTr="00180A5C">
        <w:tc>
          <w:tcPr>
            <w:tcW w:w="436" w:type="dxa"/>
          </w:tcPr>
          <w:p w:rsidR="00896897" w:rsidRPr="00555B4A" w:rsidRDefault="00896897" w:rsidP="007D1428">
            <w:pPr>
              <w:pStyle w:val="Tabletext"/>
              <w:rPr>
                <w:lang w:val="en-US"/>
              </w:rPr>
            </w:pPr>
            <w:r w:rsidRPr="00555B4A">
              <w:rPr>
                <w:lang w:val="en-US"/>
              </w:rPr>
              <w:t>2</w:t>
            </w:r>
          </w:p>
        </w:tc>
        <w:tc>
          <w:tcPr>
            <w:tcW w:w="4823" w:type="dxa"/>
          </w:tcPr>
          <w:p w:rsidR="00896897" w:rsidRPr="001C13AE" w:rsidRDefault="001C13AE" w:rsidP="005A0383">
            <w:pPr>
              <w:pStyle w:val="Tabletext"/>
              <w:rPr>
                <w:lang w:val="fr-CH"/>
              </w:rPr>
            </w:pPr>
            <w:r w:rsidRPr="007D7517">
              <w:rPr>
                <w:lang w:val="fr-CH"/>
              </w:rPr>
              <w:t>d</w:t>
            </w:r>
            <w:r>
              <w:rPr>
                <w:lang w:val="fr-CH"/>
              </w:rPr>
              <w:t>'</w:t>
            </w:r>
            <w:r w:rsidRPr="007D7517">
              <w:rPr>
                <w:lang w:val="fr-CH"/>
              </w:rPr>
              <w:t xml:space="preserve">étudier la structure actuelle </w:t>
            </w:r>
            <w:r w:rsidR="005A0383">
              <w:rPr>
                <w:lang w:val="fr-CH"/>
              </w:rPr>
              <w:t>de la composition de l'Union</w:t>
            </w:r>
            <w:r w:rsidRPr="007D7517">
              <w:rPr>
                <w:lang w:val="fr-CH"/>
              </w:rPr>
              <w:t xml:space="preserve"> ainsi que les avantages </w:t>
            </w:r>
            <w:r>
              <w:rPr>
                <w:lang w:val="fr-CH"/>
              </w:rPr>
              <w:t xml:space="preserve">dont bénéficient les </w:t>
            </w:r>
            <w:r w:rsidRPr="007D7517">
              <w:rPr>
                <w:lang w:val="fr-CH"/>
              </w:rPr>
              <w:t xml:space="preserve">Membres de Secteur, </w:t>
            </w:r>
            <w:r>
              <w:rPr>
                <w:lang w:val="fr-CH"/>
              </w:rPr>
              <w:t>les Associés et l</w:t>
            </w:r>
            <w:r w:rsidRPr="007D7517">
              <w:rPr>
                <w:lang w:val="fr-CH"/>
              </w:rPr>
              <w:t xml:space="preserve">es </w:t>
            </w:r>
            <w:r>
              <w:rPr>
                <w:lang w:val="fr-CH"/>
              </w:rPr>
              <w:t>é</w:t>
            </w:r>
            <w:r w:rsidRPr="007D7517">
              <w:rPr>
                <w:lang w:val="fr-CH"/>
              </w:rPr>
              <w:t xml:space="preserve">tablissements universitaires </w:t>
            </w:r>
            <w:r>
              <w:rPr>
                <w:lang w:val="fr-CH"/>
              </w:rPr>
              <w:t xml:space="preserve">et les droits liés à leur participation </w:t>
            </w:r>
            <w:r w:rsidR="005A0383">
              <w:rPr>
                <w:lang w:val="fr-CH"/>
              </w:rPr>
              <w:t>dans un souci d'homogénéité et d'</w:t>
            </w:r>
            <w:r>
              <w:rPr>
                <w:lang w:val="fr-CH"/>
              </w:rPr>
              <w:t>une équité entre les catégories de membres</w:t>
            </w:r>
            <w:r w:rsidR="00896897" w:rsidRPr="001C13AE">
              <w:rPr>
                <w:lang w:val="fr-CH"/>
              </w:rPr>
              <w:t>;</w:t>
            </w:r>
          </w:p>
        </w:tc>
        <w:tc>
          <w:tcPr>
            <w:tcW w:w="4376" w:type="dxa"/>
          </w:tcPr>
          <w:p w:rsidR="00896897" w:rsidRPr="003D3383" w:rsidRDefault="003D3383" w:rsidP="007D1428">
            <w:pPr>
              <w:pStyle w:val="Tabletext"/>
              <w:rPr>
                <w:lang w:val="fr-CH"/>
              </w:rPr>
            </w:pPr>
            <w:r w:rsidRPr="003D3383">
              <w:rPr>
                <w:lang w:val="fr-CH"/>
              </w:rPr>
              <w:t>Ce processus a commenc</w:t>
            </w:r>
            <w:r>
              <w:rPr>
                <w:lang w:val="fr-CH"/>
              </w:rPr>
              <w:t>é</w:t>
            </w:r>
            <w:r w:rsidRPr="003D3383">
              <w:rPr>
                <w:lang w:val="fr-CH"/>
              </w:rPr>
              <w:t xml:space="preserve"> au cours du </w:t>
            </w:r>
            <w:r>
              <w:rPr>
                <w:lang w:val="fr-CH"/>
              </w:rPr>
              <w:t xml:space="preserve">dernier </w:t>
            </w:r>
            <w:r w:rsidRPr="003D3383">
              <w:rPr>
                <w:lang w:val="fr-CH"/>
              </w:rPr>
              <w:t xml:space="preserve">cycle de quatre ans, </w:t>
            </w:r>
            <w:r>
              <w:rPr>
                <w:lang w:val="fr-CH"/>
              </w:rPr>
              <w:t>mais il est nécessaire de mener des analyses et des consultations supplémentaires.</w:t>
            </w:r>
          </w:p>
        </w:tc>
      </w:tr>
      <w:tr w:rsidR="00896897" w:rsidRPr="00FB3EFC" w:rsidTr="00180A5C">
        <w:tc>
          <w:tcPr>
            <w:tcW w:w="436" w:type="dxa"/>
          </w:tcPr>
          <w:p w:rsidR="00896897" w:rsidRPr="00555B4A" w:rsidRDefault="00896897" w:rsidP="007D1428">
            <w:pPr>
              <w:pStyle w:val="Tabletext"/>
            </w:pPr>
            <w:r w:rsidRPr="00555B4A">
              <w:t>3</w:t>
            </w:r>
          </w:p>
        </w:tc>
        <w:tc>
          <w:tcPr>
            <w:tcW w:w="4823" w:type="dxa"/>
          </w:tcPr>
          <w:p w:rsidR="00896897" w:rsidRPr="00950FDE" w:rsidRDefault="001C13AE" w:rsidP="00C72ECA">
            <w:pPr>
              <w:pStyle w:val="Tabletext"/>
              <w:rPr>
                <w:lang w:val="fr-CH"/>
              </w:rPr>
            </w:pPr>
            <w:r w:rsidRPr="00950FDE">
              <w:rPr>
                <w:lang w:val="fr-CH"/>
              </w:rPr>
              <w:t>d'examiner l'application pratique des droits et des</w:t>
            </w:r>
            <w:r w:rsidR="00C72ECA">
              <w:rPr>
                <w:lang w:val="fr-CH"/>
              </w:rPr>
              <w:t> </w:t>
            </w:r>
            <w:r w:rsidRPr="00950FDE">
              <w:rPr>
                <w:lang w:val="fr-CH"/>
              </w:rPr>
              <w:t>obligations des Membres de Secteur, tels qu'</w:t>
            </w:r>
            <w:proofErr w:type="spellStart"/>
            <w:r w:rsidRPr="00950FDE">
              <w:rPr>
                <w:lang w:val="fr-CH"/>
              </w:rPr>
              <w:t>ilssont</w:t>
            </w:r>
            <w:proofErr w:type="spellEnd"/>
            <w:r w:rsidRPr="00950FDE">
              <w:rPr>
                <w:lang w:val="fr-CH"/>
              </w:rPr>
              <w:t xml:space="preserve"> énoncés dans la Constitution et la Convention de l'UIT et dans la Résolution 14 (</w:t>
            </w:r>
            <w:proofErr w:type="spellStart"/>
            <w:r w:rsidRPr="00950FDE">
              <w:rPr>
                <w:lang w:val="fr-CH"/>
              </w:rPr>
              <w:t>Rév</w:t>
            </w:r>
            <w:proofErr w:type="spellEnd"/>
            <w:r w:rsidRPr="00950FDE">
              <w:rPr>
                <w:lang w:val="fr-CH"/>
              </w:rPr>
              <w:t>. Antalya, 2006) de la Conférence de plénipotentiaires ainsi que les modalités de participation des Associés et des établissements universitaires pour veiller à ce qu'ils soient dûment reconnus lors des conférences, des assemblées et des réunions des commissions d'études, des groupes de travail, des groupes consultatifs et autres activités de l'UIT</w:t>
            </w:r>
            <w:r w:rsidR="00896897" w:rsidRPr="00950FDE">
              <w:rPr>
                <w:lang w:val="fr-CH"/>
              </w:rPr>
              <w:t>;</w:t>
            </w:r>
          </w:p>
        </w:tc>
        <w:tc>
          <w:tcPr>
            <w:tcW w:w="4376" w:type="dxa"/>
          </w:tcPr>
          <w:p w:rsidR="00896897" w:rsidRPr="00FB3EFC" w:rsidRDefault="00FB3EFC" w:rsidP="007D1428">
            <w:pPr>
              <w:pStyle w:val="Tabletext"/>
              <w:rPr>
                <w:lang w:val="fr-CH"/>
              </w:rPr>
            </w:pPr>
            <w:r w:rsidRPr="00FB3EFC">
              <w:rPr>
                <w:lang w:val="fr-CH"/>
              </w:rPr>
              <w:t xml:space="preserve">Certains membres ont fait part de leurs préoccupations concernant le fait que les droits et </w:t>
            </w:r>
            <w:r>
              <w:rPr>
                <w:lang w:val="fr-CH"/>
              </w:rPr>
              <w:t xml:space="preserve">les </w:t>
            </w:r>
            <w:r w:rsidRPr="00FB3EFC">
              <w:rPr>
                <w:lang w:val="fr-CH"/>
              </w:rPr>
              <w:t>obligations n</w:t>
            </w:r>
            <w:r w:rsidR="00865BC1">
              <w:rPr>
                <w:lang w:val="fr-CH"/>
              </w:rPr>
              <w:t>'</w:t>
            </w:r>
            <w:r w:rsidRPr="00FB3EFC">
              <w:rPr>
                <w:lang w:val="fr-CH"/>
              </w:rPr>
              <w:t>étaient pas entièrement reconnus au niveau opérationnel, notamment dans le cadre des commissions d</w:t>
            </w:r>
            <w:r w:rsidR="00865BC1">
              <w:rPr>
                <w:lang w:val="fr-CH"/>
              </w:rPr>
              <w:t>'</w:t>
            </w:r>
            <w:r w:rsidRPr="00FB3EFC">
              <w:rPr>
                <w:lang w:val="fr-CH"/>
              </w:rPr>
              <w:t>études et des groupes de travail.</w:t>
            </w:r>
          </w:p>
        </w:tc>
      </w:tr>
      <w:tr w:rsidR="00896897" w:rsidRPr="00FB3EFC" w:rsidTr="00180A5C">
        <w:tc>
          <w:tcPr>
            <w:tcW w:w="436" w:type="dxa"/>
          </w:tcPr>
          <w:p w:rsidR="00896897" w:rsidRPr="00555B4A" w:rsidRDefault="00896897" w:rsidP="007D1428">
            <w:pPr>
              <w:pStyle w:val="Tabletext"/>
            </w:pPr>
            <w:r w:rsidRPr="00555B4A">
              <w:t>4</w:t>
            </w:r>
          </w:p>
        </w:tc>
        <w:tc>
          <w:tcPr>
            <w:tcW w:w="4823" w:type="dxa"/>
          </w:tcPr>
          <w:p w:rsidR="00896897" w:rsidRPr="00950FDE" w:rsidRDefault="001C13AE" w:rsidP="007D1428">
            <w:pPr>
              <w:pStyle w:val="Tabletext"/>
              <w:rPr>
                <w:lang w:val="fr-CH"/>
              </w:rPr>
            </w:pPr>
            <w:r w:rsidRPr="00950FDE">
              <w:rPr>
                <w:lang w:val="fr-CH"/>
              </w:rPr>
              <w:t>d'élaborer des lignes directrices et de prévoir une formation à l'intention des présidents/vice-présidents</w:t>
            </w:r>
            <w:r w:rsidR="00332776">
              <w:rPr>
                <w:lang w:val="fr-CH"/>
              </w:rPr>
              <w:t xml:space="preserve"> et</w:t>
            </w:r>
            <w:r w:rsidRPr="00950FDE">
              <w:rPr>
                <w:lang w:val="fr-CH"/>
              </w:rPr>
              <w:t xml:space="preserve"> des conseillers des commissions d'études, entre autres, sur les modalités relatives aux diverses catégories de membres et sur la participation, à la suite de l'examen visé au point 3 ci</w:t>
            </w:r>
            <w:r w:rsidRPr="00950FDE">
              <w:rPr>
                <w:lang w:val="fr-CH"/>
              </w:rPr>
              <w:noBreakHyphen/>
              <w:t>dessus</w:t>
            </w:r>
            <w:r w:rsidR="00896897" w:rsidRPr="00950FDE">
              <w:rPr>
                <w:lang w:val="fr-CH"/>
              </w:rPr>
              <w:t>;</w:t>
            </w:r>
          </w:p>
        </w:tc>
        <w:tc>
          <w:tcPr>
            <w:tcW w:w="4376" w:type="dxa"/>
          </w:tcPr>
          <w:p w:rsidR="00896897" w:rsidRPr="00FB3EFC" w:rsidRDefault="00FB3EFC" w:rsidP="007D1428">
            <w:pPr>
              <w:pStyle w:val="Tabletext"/>
              <w:rPr>
                <w:lang w:val="fr-CH"/>
              </w:rPr>
            </w:pPr>
            <w:r w:rsidRPr="00FB3EFC">
              <w:rPr>
                <w:lang w:val="fr-CH"/>
              </w:rPr>
              <w:t xml:space="preserve">Fournir des outils pratiques pour traiter les </w:t>
            </w:r>
            <w:r>
              <w:rPr>
                <w:lang w:val="fr-CH"/>
              </w:rPr>
              <w:t>aspects</w:t>
            </w:r>
            <w:r w:rsidRPr="00FB3EFC">
              <w:rPr>
                <w:lang w:val="fr-CH"/>
              </w:rPr>
              <w:t xml:space="preserve"> </w:t>
            </w:r>
            <w:r w:rsidR="00463AAF">
              <w:rPr>
                <w:lang w:val="fr-CH"/>
              </w:rPr>
              <w:t>mentionnés</w:t>
            </w:r>
            <w:r>
              <w:rPr>
                <w:lang w:val="fr-CH"/>
              </w:rPr>
              <w:t xml:space="preserve"> </w:t>
            </w:r>
            <w:r w:rsidR="00463AAF">
              <w:rPr>
                <w:lang w:val="fr-CH"/>
              </w:rPr>
              <w:t>au</w:t>
            </w:r>
            <w:r>
              <w:rPr>
                <w:lang w:val="fr-CH"/>
              </w:rPr>
              <w:t xml:space="preserve"> point 3 ci</w:t>
            </w:r>
            <w:r>
              <w:rPr>
                <w:lang w:val="fr-CH"/>
              </w:rPr>
              <w:noBreakHyphen/>
              <w:t>dessus.</w:t>
            </w:r>
          </w:p>
        </w:tc>
      </w:tr>
      <w:tr w:rsidR="00896897" w:rsidRPr="00974946" w:rsidTr="00180A5C">
        <w:tc>
          <w:tcPr>
            <w:tcW w:w="436" w:type="dxa"/>
          </w:tcPr>
          <w:p w:rsidR="00896897" w:rsidRPr="00555B4A" w:rsidRDefault="00896897" w:rsidP="00C522B8">
            <w:pPr>
              <w:pStyle w:val="Tabletext"/>
              <w:keepNext/>
              <w:keepLines/>
              <w:rPr>
                <w:lang w:val="en-US"/>
              </w:rPr>
            </w:pPr>
            <w:r w:rsidRPr="00555B4A">
              <w:rPr>
                <w:lang w:val="en-US"/>
              </w:rPr>
              <w:t>5</w:t>
            </w:r>
          </w:p>
        </w:tc>
        <w:tc>
          <w:tcPr>
            <w:tcW w:w="4823" w:type="dxa"/>
          </w:tcPr>
          <w:p w:rsidR="00896897" w:rsidRPr="00950FDE" w:rsidRDefault="00FA5721" w:rsidP="00C522B8">
            <w:pPr>
              <w:pStyle w:val="Tabletext"/>
              <w:keepNext/>
              <w:keepLines/>
              <w:rPr>
                <w:lang w:val="fr-CH"/>
              </w:rPr>
            </w:pPr>
            <w:r w:rsidRPr="00950FDE">
              <w:rPr>
                <w:lang w:val="fr-CH"/>
              </w:rPr>
              <w:t>de réfléchir aux moyens de renforcer la participation des entités à but non lucratif aux travaux de l'Union, et notamment à l'opportunité de créer une nouvelle catégorie de participation assortie des droits et obligations correspondants</w:t>
            </w:r>
            <w:r w:rsidR="00896897" w:rsidRPr="00950FDE">
              <w:rPr>
                <w:lang w:val="fr-CH"/>
              </w:rPr>
              <w:t>;</w:t>
            </w:r>
          </w:p>
        </w:tc>
        <w:tc>
          <w:tcPr>
            <w:tcW w:w="4376" w:type="dxa"/>
          </w:tcPr>
          <w:p w:rsidR="00896897" w:rsidRPr="00950FDE" w:rsidRDefault="00A33E10" w:rsidP="00C522B8">
            <w:pPr>
              <w:pStyle w:val="Tabletext"/>
              <w:keepNext/>
              <w:keepLines/>
              <w:rPr>
                <w:lang w:val="fr-CH"/>
              </w:rPr>
            </w:pPr>
            <w:r w:rsidRPr="00950FDE">
              <w:rPr>
                <w:lang w:val="fr-CH"/>
              </w:rPr>
              <w:t xml:space="preserve">Les contributions ordinaires que versent les Membres de Secteur de l'UIT sont trop élevées pour de nombreuses ONG. En conséquence, les ONG régionales ou internationales demandent généralement à être exonérées </w:t>
            </w:r>
            <w:r w:rsidR="00B4383B">
              <w:rPr>
                <w:lang w:val="fr-CH"/>
              </w:rPr>
              <w:t>de contribution financière</w:t>
            </w:r>
            <w:r w:rsidRPr="00950FDE">
              <w:rPr>
                <w:lang w:val="fr-CH"/>
              </w:rPr>
              <w:t>. Une nouvelle catégorie de participation avec un niveau de contribution réduit permettrait à un plus grand nombre d'ONG d'être Membres de l'UIT en payant des contributions</w:t>
            </w:r>
            <w:r w:rsidR="00332776">
              <w:rPr>
                <w:lang w:val="fr-CH"/>
              </w:rPr>
              <w:t>.</w:t>
            </w:r>
          </w:p>
        </w:tc>
      </w:tr>
      <w:tr w:rsidR="00896897" w:rsidRPr="00A33E10" w:rsidTr="00180A5C">
        <w:tc>
          <w:tcPr>
            <w:tcW w:w="436" w:type="dxa"/>
          </w:tcPr>
          <w:p w:rsidR="00896897" w:rsidRPr="00555B4A" w:rsidRDefault="00896897" w:rsidP="007D1428">
            <w:pPr>
              <w:pStyle w:val="Tabletext"/>
              <w:rPr>
                <w:lang w:val="en-US"/>
              </w:rPr>
            </w:pPr>
            <w:r w:rsidRPr="00555B4A">
              <w:rPr>
                <w:lang w:val="en-US"/>
              </w:rPr>
              <w:t>6</w:t>
            </w:r>
          </w:p>
        </w:tc>
        <w:tc>
          <w:tcPr>
            <w:tcW w:w="4823" w:type="dxa"/>
          </w:tcPr>
          <w:p w:rsidR="00896897" w:rsidRPr="00950FDE" w:rsidRDefault="00FA5721" w:rsidP="005A0383">
            <w:pPr>
              <w:pStyle w:val="Tabletext"/>
              <w:rPr>
                <w:lang w:val="fr-CH"/>
              </w:rPr>
            </w:pPr>
            <w:r w:rsidRPr="00950FDE">
              <w:rPr>
                <w:lang w:val="fr-CH"/>
              </w:rPr>
              <w:t>d'examiner la pratique qui consiste à exonérer certaines entités du paiement des droits d</w:t>
            </w:r>
            <w:r w:rsidR="005A0383">
              <w:rPr>
                <w:lang w:val="fr-CH"/>
              </w:rPr>
              <w:t xml:space="preserve">'adhésion </w:t>
            </w:r>
            <w:r w:rsidRPr="00950FDE">
              <w:rPr>
                <w:lang w:val="fr-CH"/>
              </w:rPr>
              <w:t>(sur la base de critères tels que la réciprocité) et d'apporter, le cas échéant, des modifications aux critères d'</w:t>
            </w:r>
            <w:r w:rsidR="005A0383">
              <w:rPr>
                <w:lang w:val="fr-CH"/>
              </w:rPr>
              <w:t>éligi</w:t>
            </w:r>
            <w:r w:rsidRPr="00950FDE">
              <w:rPr>
                <w:lang w:val="fr-CH"/>
              </w:rPr>
              <w:t>bilité</w:t>
            </w:r>
            <w:r w:rsidR="00896897" w:rsidRPr="00950FDE">
              <w:rPr>
                <w:lang w:val="fr-CH"/>
              </w:rPr>
              <w:t>;</w:t>
            </w:r>
          </w:p>
        </w:tc>
        <w:tc>
          <w:tcPr>
            <w:tcW w:w="4376" w:type="dxa"/>
          </w:tcPr>
          <w:p w:rsidR="00896897" w:rsidRPr="00A33E10" w:rsidRDefault="00A33E10" w:rsidP="00C72ECA">
            <w:pPr>
              <w:pStyle w:val="Tabletext"/>
              <w:rPr>
                <w:lang w:val="fr-CH"/>
              </w:rPr>
            </w:pPr>
            <w:r>
              <w:t>Les exoné</w:t>
            </w:r>
            <w:r w:rsidRPr="00DC7ECB">
              <w:t>rations ont été instituées en 2000. A</w:t>
            </w:r>
            <w:r>
              <w:t xml:space="preserve"> l'heure </w:t>
            </w:r>
            <w:r w:rsidRPr="00DC7ECB">
              <w:t>actuel</w:t>
            </w:r>
            <w:r>
              <w:t>le</w:t>
            </w:r>
            <w:r w:rsidRPr="00DC7ECB">
              <w:t>, plus de</w:t>
            </w:r>
            <w:r>
              <w:t> </w:t>
            </w:r>
            <w:r w:rsidRPr="00DC7ECB">
              <w:t>112</w:t>
            </w:r>
            <w:r>
              <w:t xml:space="preserve"> </w:t>
            </w:r>
            <w:r w:rsidRPr="00DC7ECB">
              <w:t xml:space="preserve">entités sont exonérées </w:t>
            </w:r>
            <w:r w:rsidR="00B4383B">
              <w:t>de contribution</w:t>
            </w:r>
            <w:r w:rsidR="00FB3EFC">
              <w:t>:</w:t>
            </w:r>
            <w:r>
              <w:t xml:space="preserve"> </w:t>
            </w:r>
            <w:r w:rsidR="00FB3EFC">
              <w:t xml:space="preserve">environ </w:t>
            </w:r>
            <w:r w:rsidRPr="00DC7ECB">
              <w:t>un</w:t>
            </w:r>
            <w:r>
              <w:t xml:space="preserve"> </w:t>
            </w:r>
            <w:r w:rsidRPr="00DC7ECB">
              <w:t>Membre</w:t>
            </w:r>
            <w:r>
              <w:t xml:space="preserve"> </w:t>
            </w:r>
            <w:r w:rsidRPr="00DC7ECB">
              <w:t>de Secteur sur cinq</w:t>
            </w:r>
            <w:r w:rsidR="00896897" w:rsidRPr="00A33E10">
              <w:rPr>
                <w:rFonts w:eastAsia="SimSun"/>
                <w:lang w:val="fr-CH" w:eastAsia="zh-CN"/>
              </w:rPr>
              <w:t xml:space="preserve">. </w:t>
            </w:r>
            <w:r w:rsidR="00FB3EFC">
              <w:rPr>
                <w:rFonts w:eastAsia="SimSun"/>
                <w:lang w:val="fr-CH" w:eastAsia="zh-CN"/>
              </w:rPr>
              <w:t>L</w:t>
            </w:r>
            <w:r w:rsidRPr="00055E97">
              <w:t>e nombre</w:t>
            </w:r>
            <w:r>
              <w:t xml:space="preserve"> </w:t>
            </w:r>
            <w:r w:rsidRPr="00055E97">
              <w:t>d</w:t>
            </w:r>
            <w:r>
              <w:t>'</w:t>
            </w:r>
            <w:r w:rsidRPr="00055E97">
              <w:t xml:space="preserve">exonérations </w:t>
            </w:r>
            <w:r w:rsidR="00FB3EFC">
              <w:t>augmente rapidement: u</w:t>
            </w:r>
            <w:r>
              <w:t>n tiers du nombre total d'exonérations a été accordé depuis la PP</w:t>
            </w:r>
            <w:r>
              <w:noBreakHyphen/>
            </w:r>
            <w:r w:rsidRPr="00055E97">
              <w:t>10</w:t>
            </w:r>
            <w:r w:rsidRPr="00A33E10">
              <w:rPr>
                <w:rFonts w:eastAsia="SimSun"/>
                <w:lang w:val="fr-CH" w:eastAsia="zh-CN"/>
              </w:rPr>
              <w:t xml:space="preserve"> </w:t>
            </w:r>
            <w:r w:rsidR="00896897" w:rsidRPr="00A33E10">
              <w:rPr>
                <w:rFonts w:eastAsia="SimSun"/>
                <w:lang w:val="fr-CH" w:eastAsia="zh-CN"/>
              </w:rPr>
              <w:t>(</w:t>
            </w:r>
            <w:r>
              <w:rPr>
                <w:rFonts w:eastAsia="SimSun"/>
                <w:lang w:val="fr-CH" w:eastAsia="zh-CN"/>
              </w:rPr>
              <w:t xml:space="preserve">voir le </w:t>
            </w:r>
            <w:hyperlink r:id="rId25" w:history="1">
              <w:r>
                <w:rPr>
                  <w:rStyle w:val="Hyperlink"/>
                  <w:rFonts w:eastAsia="SimSun"/>
                  <w:lang w:val="fr-CH" w:eastAsia="zh-CN"/>
                </w:rPr>
                <w:t>Document </w:t>
              </w:r>
              <w:r w:rsidR="00896897" w:rsidRPr="00A33E10">
                <w:rPr>
                  <w:rStyle w:val="Hyperlink"/>
                  <w:rFonts w:eastAsia="SimSun"/>
                  <w:lang w:val="fr-CH" w:eastAsia="zh-CN"/>
                </w:rPr>
                <w:t>6</w:t>
              </w:r>
              <w:r>
                <w:rPr>
                  <w:rStyle w:val="Hyperlink"/>
                  <w:rFonts w:eastAsia="SimSun"/>
                  <w:lang w:val="fr-CH" w:eastAsia="zh-CN"/>
                </w:rPr>
                <w:t>1</w:t>
              </w:r>
            </w:hyperlink>
            <w:r w:rsidR="00C72ECA">
              <w:rPr>
                <w:rStyle w:val="Hyperlink"/>
                <w:rFonts w:eastAsia="SimSun"/>
                <w:lang w:val="fr-CH" w:eastAsia="zh-CN"/>
              </w:rPr>
              <w:t xml:space="preserve"> de la PP-14</w:t>
            </w:r>
            <w:r w:rsidR="00FB3EFC">
              <w:rPr>
                <w:rFonts w:eastAsia="SimSun"/>
                <w:lang w:val="fr-CH" w:eastAsia="zh-CN"/>
              </w:rPr>
              <w:t>)</w:t>
            </w:r>
          </w:p>
        </w:tc>
      </w:tr>
      <w:tr w:rsidR="00896897" w:rsidRPr="00521F74" w:rsidTr="00180A5C">
        <w:tc>
          <w:tcPr>
            <w:tcW w:w="436" w:type="dxa"/>
          </w:tcPr>
          <w:p w:rsidR="00896897" w:rsidRPr="00555B4A" w:rsidRDefault="00896897" w:rsidP="007D1428">
            <w:pPr>
              <w:pStyle w:val="Tabletext"/>
            </w:pPr>
            <w:r w:rsidRPr="00555B4A">
              <w:t>7</w:t>
            </w:r>
          </w:p>
        </w:tc>
        <w:tc>
          <w:tcPr>
            <w:tcW w:w="4823" w:type="dxa"/>
          </w:tcPr>
          <w:p w:rsidR="00896897" w:rsidRPr="00950FDE" w:rsidRDefault="00FA5721" w:rsidP="007D1428">
            <w:pPr>
              <w:pStyle w:val="Tabletext"/>
              <w:rPr>
                <w:lang w:val="fr-CH"/>
              </w:rPr>
            </w:pPr>
            <w:r w:rsidRPr="00950FDE">
              <w:rPr>
                <w:lang w:val="fr-CH"/>
              </w:rPr>
              <w:t>de mettre en place une stratégie globale de consultation avec les Etats Membres, les Membres de Secteur, les Associés et les établissements universitaires, et d'autres entités, selon le cas, afin que tous les points de vue soient pleinement pris en considération</w:t>
            </w:r>
            <w:r w:rsidR="00896897" w:rsidRPr="00950FDE">
              <w:rPr>
                <w:lang w:val="fr-CH"/>
              </w:rPr>
              <w:t>.</w:t>
            </w:r>
          </w:p>
        </w:tc>
        <w:tc>
          <w:tcPr>
            <w:tcW w:w="4376" w:type="dxa"/>
          </w:tcPr>
          <w:p w:rsidR="00896897" w:rsidRPr="00521F74" w:rsidRDefault="00FB3EFC" w:rsidP="007D1428">
            <w:pPr>
              <w:pStyle w:val="Tabletext"/>
              <w:rPr>
                <w:lang w:val="fr-CH"/>
              </w:rPr>
            </w:pPr>
            <w:r w:rsidRPr="00FB3EFC">
              <w:rPr>
                <w:lang w:val="fr-CH"/>
              </w:rPr>
              <w:t xml:space="preserve">Faire en sorte que toutes les entités susceptibles </w:t>
            </w:r>
            <w:r w:rsidR="00521F74">
              <w:rPr>
                <w:lang w:val="fr-CH"/>
              </w:rPr>
              <w:t>de subir les incidences d</w:t>
            </w:r>
            <w:r w:rsidR="00865BC1">
              <w:rPr>
                <w:lang w:val="fr-CH"/>
              </w:rPr>
              <w:t>'</w:t>
            </w:r>
            <w:r w:rsidR="00521F74">
              <w:rPr>
                <w:lang w:val="fr-CH"/>
              </w:rPr>
              <w:t>éventuelles modifications aient la possibilité de participer aux débats.</w:t>
            </w:r>
          </w:p>
        </w:tc>
      </w:tr>
    </w:tbl>
    <w:p w:rsidR="00896897" w:rsidRPr="00521F74" w:rsidRDefault="00896897" w:rsidP="007D1428">
      <w:pPr>
        <w:tabs>
          <w:tab w:val="clear" w:pos="567"/>
          <w:tab w:val="clear" w:pos="1134"/>
          <w:tab w:val="clear" w:pos="1701"/>
          <w:tab w:val="clear" w:pos="2268"/>
          <w:tab w:val="clear" w:pos="2835"/>
        </w:tabs>
        <w:overflowPunct/>
        <w:autoSpaceDE/>
        <w:autoSpaceDN/>
        <w:adjustRightInd/>
        <w:spacing w:before="0"/>
        <w:textAlignment w:val="auto"/>
        <w:rPr>
          <w:sz w:val="8"/>
          <w:szCs w:val="8"/>
          <w:lang w:val="fr-CH"/>
        </w:rPr>
      </w:pPr>
    </w:p>
    <w:p w:rsidR="00180A5C" w:rsidRPr="00521F74" w:rsidRDefault="00180A5C" w:rsidP="007D1428">
      <w:pPr>
        <w:tabs>
          <w:tab w:val="clear" w:pos="567"/>
          <w:tab w:val="clear" w:pos="1134"/>
          <w:tab w:val="clear" w:pos="1701"/>
          <w:tab w:val="clear" w:pos="2268"/>
          <w:tab w:val="clear" w:pos="2835"/>
        </w:tabs>
        <w:overflowPunct/>
        <w:autoSpaceDE/>
        <w:autoSpaceDN/>
        <w:adjustRightInd/>
        <w:spacing w:before="0" w:after="200"/>
        <w:jc w:val="center"/>
        <w:textAlignment w:val="auto"/>
        <w:rPr>
          <w:sz w:val="28"/>
          <w:szCs w:val="22"/>
          <w:lang w:val="fr-CH"/>
        </w:rPr>
      </w:pPr>
      <w:r w:rsidRPr="00521F74">
        <w:rPr>
          <w:sz w:val="28"/>
          <w:szCs w:val="22"/>
          <w:lang w:val="fr-CH"/>
        </w:rPr>
        <w:br w:type="page"/>
      </w:r>
    </w:p>
    <w:p w:rsidR="00896897" w:rsidRPr="0082434E" w:rsidRDefault="00896897" w:rsidP="0082434E">
      <w:pPr>
        <w:pStyle w:val="AnnexNo"/>
      </w:pPr>
      <w:r w:rsidRPr="0082434E">
        <w:t>A</w:t>
      </w:r>
      <w:r w:rsidR="00180A5C" w:rsidRPr="0082434E">
        <w:t>nnexe</w:t>
      </w:r>
      <w:r w:rsidRPr="0082434E">
        <w:t xml:space="preserve"> 4</w:t>
      </w:r>
    </w:p>
    <w:p w:rsidR="00896897" w:rsidRPr="0082434E" w:rsidRDefault="004E4EC9" w:rsidP="0082434E">
      <w:pPr>
        <w:pStyle w:val="Annextitle"/>
      </w:pPr>
      <w:r w:rsidRPr="0082434E">
        <w:t>R</w:t>
      </w:r>
      <w:r w:rsidR="00521F74" w:rsidRPr="0082434E">
        <w:t xml:space="preserve">évision </w:t>
      </w:r>
      <w:r w:rsidRPr="0082434E">
        <w:t xml:space="preserve">éventuelle </w:t>
      </w:r>
      <w:r w:rsidR="00521F74" w:rsidRPr="0082434E">
        <w:t xml:space="preserve">de Résolutions de la Conférence de plénipotentiaires </w:t>
      </w:r>
      <w:r w:rsidRPr="0082434E">
        <w:br/>
      </w:r>
      <w:r w:rsidR="00521F74" w:rsidRPr="0082434E">
        <w:t>compte tenu des résultats des travaux du GTC</w:t>
      </w:r>
      <w:r w:rsidR="00521F74" w:rsidRPr="0082434E">
        <w:noBreakHyphen/>
        <w:t>FHR</w:t>
      </w:r>
    </w:p>
    <w:tbl>
      <w:tblPr>
        <w:tblStyle w:val="TableGrid"/>
        <w:tblW w:w="0" w:type="auto"/>
        <w:tblLook w:val="04A0" w:firstRow="1" w:lastRow="0" w:firstColumn="1" w:lastColumn="0" w:noHBand="0" w:noVBand="1"/>
      </w:tblPr>
      <w:tblGrid>
        <w:gridCol w:w="4928"/>
        <w:gridCol w:w="4927"/>
      </w:tblGrid>
      <w:tr w:rsidR="00896897" w:rsidRPr="00863B85" w:rsidTr="00CB33A1">
        <w:trPr>
          <w:trHeight w:val="340"/>
        </w:trPr>
        <w:tc>
          <w:tcPr>
            <w:tcW w:w="4928" w:type="dxa"/>
          </w:tcPr>
          <w:p w:rsidR="00896897" w:rsidRPr="00863B85" w:rsidRDefault="00624A1E" w:rsidP="007D1428">
            <w:pPr>
              <w:pStyle w:val="Tablehead"/>
            </w:pPr>
            <w:r>
              <w:t>Résolution</w:t>
            </w:r>
            <w:r w:rsidR="00896897" w:rsidRPr="00863B85">
              <w:t xml:space="preserve"> </w:t>
            </w:r>
            <w:r w:rsidR="005107C8">
              <w:t>et</w:t>
            </w:r>
            <w:r w:rsidR="00896897" w:rsidRPr="00863B85">
              <w:t xml:space="preserve"> </w:t>
            </w:r>
            <w:r w:rsidR="002B7998">
              <w:t>mesures éventuelles</w:t>
            </w:r>
          </w:p>
        </w:tc>
        <w:tc>
          <w:tcPr>
            <w:tcW w:w="4927" w:type="dxa"/>
          </w:tcPr>
          <w:p w:rsidR="00896897" w:rsidRPr="00863B85" w:rsidRDefault="004E4EC9" w:rsidP="007D1428">
            <w:pPr>
              <w:pStyle w:val="Tablehead"/>
            </w:pPr>
            <w:r>
              <w:t>Justification</w:t>
            </w:r>
          </w:p>
        </w:tc>
      </w:tr>
      <w:tr w:rsidR="00896897" w:rsidRPr="00180A5C" w:rsidTr="00CB33A1">
        <w:tc>
          <w:tcPr>
            <w:tcW w:w="4928" w:type="dxa"/>
          </w:tcPr>
          <w:p w:rsidR="00896897" w:rsidRPr="00180A5C" w:rsidRDefault="00624A1E" w:rsidP="007D1428">
            <w:pPr>
              <w:pStyle w:val="Tabletext"/>
              <w:rPr>
                <w:lang w:val="fr-CH"/>
              </w:rPr>
            </w:pPr>
            <w:r w:rsidRPr="00950FDE">
              <w:rPr>
                <w:u w:val="single"/>
                <w:lang w:val="fr-CH"/>
              </w:rPr>
              <w:t>Résolution</w:t>
            </w:r>
            <w:r w:rsidR="00896897" w:rsidRPr="00950FDE">
              <w:rPr>
                <w:u w:val="single"/>
                <w:lang w:val="fr-CH"/>
              </w:rPr>
              <w:t xml:space="preserve"> 152</w:t>
            </w:r>
            <w:r w:rsidR="00896897" w:rsidRPr="00950FDE">
              <w:rPr>
                <w:lang w:val="fr-CH"/>
              </w:rPr>
              <w:t xml:space="preserve"> (</w:t>
            </w:r>
            <w:proofErr w:type="spellStart"/>
            <w:r w:rsidRPr="00950FDE">
              <w:rPr>
                <w:lang w:val="fr-CH"/>
              </w:rPr>
              <w:t>Rév</w:t>
            </w:r>
            <w:proofErr w:type="spellEnd"/>
            <w:r w:rsidRPr="00950FDE">
              <w:rPr>
                <w:lang w:val="fr-CH"/>
              </w:rPr>
              <w:t xml:space="preserve">. </w:t>
            </w:r>
            <w:r w:rsidRPr="00180A5C">
              <w:rPr>
                <w:lang w:val="fr-CH"/>
              </w:rPr>
              <w:t>Guadalajara</w:t>
            </w:r>
            <w:r w:rsidR="00896897" w:rsidRPr="00180A5C">
              <w:rPr>
                <w:lang w:val="fr-CH"/>
              </w:rPr>
              <w:t xml:space="preserve">, 2010), </w:t>
            </w:r>
            <w:r w:rsidR="00180A5C" w:rsidRPr="00D161A4">
              <w:rPr>
                <w:i/>
                <w:lang w:val="fr-CH"/>
              </w:rPr>
              <w:t>Amélioration de la gestion et du suivi de la contribution des Membres des Secteurs et des Associés aux dépenses de l'UIT</w:t>
            </w:r>
            <w:r w:rsidR="00896897" w:rsidRPr="00180A5C">
              <w:rPr>
                <w:lang w:val="fr-CH"/>
              </w:rPr>
              <w:t xml:space="preserve">. </w:t>
            </w:r>
          </w:p>
          <w:p w:rsidR="00896897" w:rsidRPr="00180A5C" w:rsidRDefault="002B7998" w:rsidP="007D1428">
            <w:pPr>
              <w:pStyle w:val="Tabletext"/>
              <w:rPr>
                <w:lang w:val="fr-CH"/>
              </w:rPr>
            </w:pPr>
            <w:r w:rsidRPr="002B7998">
              <w:rPr>
                <w:u w:val="single"/>
                <w:lang w:val="fr-CH"/>
              </w:rPr>
              <w:t>Mesures éventuelles</w:t>
            </w:r>
            <w:r w:rsidR="00896897" w:rsidRPr="00180A5C">
              <w:rPr>
                <w:lang w:val="fr-CH"/>
              </w:rPr>
              <w:t xml:space="preserve">: </w:t>
            </w:r>
            <w:r w:rsidR="004E4EC9">
              <w:rPr>
                <w:lang w:val="fr-CH"/>
              </w:rPr>
              <w:t>D</w:t>
            </w:r>
            <w:r w:rsidR="00180A5C" w:rsidRPr="00D8788A">
              <w:rPr>
                <w:lang w:val="fr-CH"/>
              </w:rPr>
              <w:t xml:space="preserve">es modifications </w:t>
            </w:r>
            <w:r w:rsidR="004E4EC9">
              <w:rPr>
                <w:lang w:val="fr-CH"/>
              </w:rPr>
              <w:t>pourraient être apportées afin de</w:t>
            </w:r>
            <w:r w:rsidR="00180A5C" w:rsidRPr="00D8788A">
              <w:rPr>
                <w:lang w:val="fr-CH"/>
              </w:rPr>
              <w:t xml:space="preserve"> donner au Secrétaire général la souplesse nécessaire </w:t>
            </w:r>
            <w:r w:rsidR="00332776">
              <w:rPr>
                <w:lang w:val="fr-CH"/>
              </w:rPr>
              <w:t xml:space="preserve">pour </w:t>
            </w:r>
            <w:r w:rsidR="00F96F69">
              <w:rPr>
                <w:lang w:val="fr-CH"/>
              </w:rPr>
              <w:t xml:space="preserve">mettre </w:t>
            </w:r>
            <w:r w:rsidR="00332776">
              <w:rPr>
                <w:lang w:val="fr-CH"/>
              </w:rPr>
              <w:t xml:space="preserve">en </w:t>
            </w:r>
            <w:proofErr w:type="spellStart"/>
            <w:r w:rsidR="00332776">
              <w:rPr>
                <w:lang w:val="fr-CH"/>
              </w:rPr>
              <w:t>oeuvre</w:t>
            </w:r>
            <w:proofErr w:type="spellEnd"/>
            <w:r w:rsidR="00F96F69">
              <w:rPr>
                <w:lang w:val="fr-CH"/>
              </w:rPr>
              <w:t xml:space="preserve"> les </w:t>
            </w:r>
            <w:r w:rsidR="00046894">
              <w:rPr>
                <w:lang w:val="fr-CH"/>
              </w:rPr>
              <w:t>exclusion</w:t>
            </w:r>
            <w:r w:rsidR="00F96F69">
              <w:rPr>
                <w:lang w:val="fr-CH"/>
              </w:rPr>
              <w:t>s</w:t>
            </w:r>
            <w:r w:rsidR="00180A5C">
              <w:rPr>
                <w:lang w:val="fr-CH"/>
              </w:rPr>
              <w:t xml:space="preserve"> </w:t>
            </w:r>
            <w:r w:rsidR="00046894">
              <w:rPr>
                <w:lang w:val="fr-CH"/>
              </w:rPr>
              <w:t>pour</w:t>
            </w:r>
            <w:r w:rsidR="00B4383B">
              <w:rPr>
                <w:lang w:val="fr-CH"/>
              </w:rPr>
              <w:t xml:space="preserve"> non-paiement de</w:t>
            </w:r>
            <w:r w:rsidR="007115A0">
              <w:rPr>
                <w:lang w:val="fr-CH"/>
              </w:rPr>
              <w:t xml:space="preserve"> </w:t>
            </w:r>
            <w:r w:rsidR="00B4383B">
              <w:rPr>
                <w:lang w:val="fr-CH"/>
              </w:rPr>
              <w:t>contribution</w:t>
            </w:r>
            <w:r w:rsidR="007115A0">
              <w:rPr>
                <w:lang w:val="fr-CH"/>
              </w:rPr>
              <w:t xml:space="preserve"> financière</w:t>
            </w:r>
            <w:r w:rsidR="00180A5C">
              <w:rPr>
                <w:lang w:val="fr-CH"/>
              </w:rPr>
              <w:t>.</w:t>
            </w:r>
          </w:p>
        </w:tc>
        <w:tc>
          <w:tcPr>
            <w:tcW w:w="4927" w:type="dxa"/>
          </w:tcPr>
          <w:p w:rsidR="00896897" w:rsidRPr="00180A5C" w:rsidRDefault="00180A5C" w:rsidP="007D1428">
            <w:pPr>
              <w:pStyle w:val="Tabletext"/>
              <w:rPr>
                <w:lang w:val="fr-CH"/>
              </w:rPr>
            </w:pPr>
            <w:r w:rsidRPr="00E943EF">
              <w:t>La Résolution 152</w:t>
            </w:r>
            <w:r>
              <w:t xml:space="preserve"> </w:t>
            </w:r>
            <w:r w:rsidRPr="00E943EF">
              <w:t>prévoit l'exclusion automatique des entités</w:t>
            </w:r>
            <w:r>
              <w:t xml:space="preserve"> </w:t>
            </w:r>
            <w:r w:rsidRPr="00E943EF">
              <w:t>n'ayant pas acquitté leur contribution dans un délai de neuf mois à compter de</w:t>
            </w:r>
            <w:r>
              <w:t xml:space="preserve"> l</w:t>
            </w:r>
            <w:r w:rsidRPr="00ED70F6">
              <w:t>'expiration de l'échéance fixée pour le paiement</w:t>
            </w:r>
            <w:r>
              <w:t xml:space="preserve">. Chaque année depuis 2011, le Conseil accorde une certaine souplesse au Secrétaire général dans la mise en </w:t>
            </w:r>
            <w:proofErr w:type="spellStart"/>
            <w:r>
              <w:t>oeuvre</w:t>
            </w:r>
            <w:proofErr w:type="spellEnd"/>
            <w:r>
              <w:t xml:space="preserve"> de cette disposition, </w:t>
            </w:r>
            <w:r w:rsidR="00332776">
              <w:t>a</w:t>
            </w:r>
            <w:r>
              <w:t xml:space="preserve">fin de permettre ou Secrétariat de tout mettre en </w:t>
            </w:r>
            <w:proofErr w:type="spellStart"/>
            <w:r>
              <w:t>oeuvre</w:t>
            </w:r>
            <w:proofErr w:type="spellEnd"/>
            <w:r>
              <w:t xml:space="preserve"> pour réadmettre les Membres dont la participation avait été suspendue, avant de procéder à l'exclusion. Conformément à la Résolution 152, le Secrétaire général a exclu 16 entités qui n'avaient pas réglé leur contribution, avec effet au 1er janvier 2014.</w:t>
            </w:r>
          </w:p>
        </w:tc>
      </w:tr>
      <w:tr w:rsidR="00896897" w:rsidRPr="00046894" w:rsidTr="00CB33A1">
        <w:tc>
          <w:tcPr>
            <w:tcW w:w="4928" w:type="dxa"/>
          </w:tcPr>
          <w:p w:rsidR="00896897" w:rsidRPr="00E9721D" w:rsidRDefault="00624A1E" w:rsidP="007D1428">
            <w:pPr>
              <w:pStyle w:val="Tabletext"/>
              <w:rPr>
                <w:lang w:val="fr-CH"/>
              </w:rPr>
            </w:pPr>
            <w:r w:rsidRPr="00950FDE">
              <w:rPr>
                <w:u w:val="single"/>
                <w:lang w:val="fr-CH"/>
              </w:rPr>
              <w:t>Résolution</w:t>
            </w:r>
            <w:r w:rsidR="00896897" w:rsidRPr="00950FDE">
              <w:rPr>
                <w:u w:val="single"/>
                <w:lang w:val="fr-CH"/>
              </w:rPr>
              <w:t xml:space="preserve"> 158</w:t>
            </w:r>
            <w:r w:rsidR="00896897" w:rsidRPr="00950FDE">
              <w:rPr>
                <w:lang w:val="fr-CH"/>
              </w:rPr>
              <w:t xml:space="preserve"> (</w:t>
            </w:r>
            <w:proofErr w:type="spellStart"/>
            <w:r w:rsidRPr="00950FDE">
              <w:rPr>
                <w:lang w:val="fr-CH"/>
              </w:rPr>
              <w:t>Rév</w:t>
            </w:r>
            <w:proofErr w:type="spellEnd"/>
            <w:r w:rsidRPr="00950FDE">
              <w:rPr>
                <w:lang w:val="fr-CH"/>
              </w:rPr>
              <w:t xml:space="preserve">. </w:t>
            </w:r>
            <w:r w:rsidRPr="00E9721D">
              <w:rPr>
                <w:lang w:val="fr-CH"/>
              </w:rPr>
              <w:t>Guadalajara</w:t>
            </w:r>
            <w:r w:rsidR="00896897" w:rsidRPr="00E9721D">
              <w:rPr>
                <w:lang w:val="fr-CH"/>
              </w:rPr>
              <w:t xml:space="preserve">, 2010), </w:t>
            </w:r>
            <w:r w:rsidR="00E9721D" w:rsidRPr="00D161A4">
              <w:rPr>
                <w:i/>
                <w:lang w:val="fr-CH"/>
              </w:rPr>
              <w:t>Questions financières que doit examiner le Conseil</w:t>
            </w:r>
            <w:r w:rsidR="00896897" w:rsidRPr="00E9721D">
              <w:rPr>
                <w:lang w:val="fr-CH"/>
              </w:rPr>
              <w:t xml:space="preserve">. </w:t>
            </w:r>
          </w:p>
          <w:p w:rsidR="00896897" w:rsidRPr="00E9721D" w:rsidRDefault="002B7998" w:rsidP="007D1428">
            <w:pPr>
              <w:pStyle w:val="Tabletext"/>
              <w:rPr>
                <w:lang w:val="fr-CH"/>
              </w:rPr>
            </w:pPr>
            <w:r w:rsidRPr="002B7998">
              <w:rPr>
                <w:u w:val="single"/>
                <w:lang w:val="fr-CH"/>
              </w:rPr>
              <w:t>Mesures éventuelles</w:t>
            </w:r>
            <w:r w:rsidR="00896897" w:rsidRPr="00E9721D">
              <w:rPr>
                <w:lang w:val="fr-CH"/>
              </w:rPr>
              <w:t xml:space="preserve">: </w:t>
            </w:r>
            <w:r w:rsidR="005241E0">
              <w:rPr>
                <w:lang w:val="fr-CH"/>
              </w:rPr>
              <w:t>Il est proposé que le </w:t>
            </w:r>
            <w:r w:rsidR="00E9721D" w:rsidRPr="00D8788A">
              <w:rPr>
                <w:lang w:val="fr-CH"/>
              </w:rPr>
              <w:t>point</w:t>
            </w:r>
            <w:r w:rsidR="005241E0">
              <w:rPr>
                <w:lang w:val="fr-CH"/>
              </w:rPr>
              <w:t> </w:t>
            </w:r>
            <w:r w:rsidR="00E9721D" w:rsidRPr="00D8788A">
              <w:rPr>
                <w:lang w:val="fr-CH"/>
              </w:rPr>
              <w:t>1</w:t>
            </w:r>
            <w:r w:rsidR="005241E0">
              <w:rPr>
                <w:lang w:val="fr-CH"/>
              </w:rPr>
              <w:t> </w:t>
            </w:r>
            <w:r w:rsidR="00E9721D" w:rsidRPr="00D8788A">
              <w:rPr>
                <w:lang w:val="fr-CH"/>
              </w:rPr>
              <w:t xml:space="preserve">iii) du </w:t>
            </w:r>
            <w:r w:rsidR="00E9721D" w:rsidRPr="00D161A4">
              <w:rPr>
                <w:i/>
                <w:lang w:val="fr-CH"/>
              </w:rPr>
              <w:t>décide de charger le Conseil</w:t>
            </w:r>
            <w:r w:rsidR="005241E0">
              <w:rPr>
                <w:lang w:val="fr-CH"/>
              </w:rPr>
              <w:t xml:space="preserve"> soit </w:t>
            </w:r>
            <w:r w:rsidR="00F96F69">
              <w:rPr>
                <w:lang w:val="fr-CH"/>
              </w:rPr>
              <w:t xml:space="preserve">modifié </w:t>
            </w:r>
            <w:r w:rsidR="00E9721D" w:rsidRPr="00D8788A">
              <w:rPr>
                <w:lang w:val="fr-CH"/>
              </w:rPr>
              <w:t xml:space="preserve">compte tenu du </w:t>
            </w:r>
            <w:r w:rsidR="00E9721D">
              <w:rPr>
                <w:lang w:val="fr-CH"/>
              </w:rPr>
              <w:t>projet de nouvelle Résolution proposé</w:t>
            </w:r>
            <w:r w:rsidR="00896897" w:rsidRPr="00E9721D">
              <w:rPr>
                <w:lang w:val="fr-CH"/>
              </w:rPr>
              <w:t>.</w:t>
            </w:r>
          </w:p>
        </w:tc>
        <w:tc>
          <w:tcPr>
            <w:tcW w:w="4927" w:type="dxa"/>
          </w:tcPr>
          <w:p w:rsidR="00896897" w:rsidRPr="00046894" w:rsidRDefault="005107C8" w:rsidP="007D1428">
            <w:pPr>
              <w:pStyle w:val="Tabletext"/>
              <w:rPr>
                <w:lang w:val="fr-CH"/>
              </w:rPr>
            </w:pPr>
            <w:r w:rsidRPr="005107C8">
              <w:rPr>
                <w:lang w:val="fr-CH"/>
              </w:rPr>
              <w:t xml:space="preserve">Un examen a été mené au cours de la dernière période quadriennale. </w:t>
            </w:r>
            <w:r>
              <w:rPr>
                <w:lang w:val="fr-CH"/>
              </w:rPr>
              <w:t>Compte tenu de</w:t>
            </w:r>
            <w:r w:rsidR="00F96F69">
              <w:rPr>
                <w:lang w:val="fr-CH"/>
              </w:rPr>
              <w:t>s</w:t>
            </w:r>
            <w:r>
              <w:rPr>
                <w:lang w:val="fr-CH"/>
              </w:rPr>
              <w:t xml:space="preserve"> avis </w:t>
            </w:r>
            <w:r w:rsidR="00F96F69">
              <w:rPr>
                <w:lang w:val="fr-CH"/>
              </w:rPr>
              <w:t>formulés par le</w:t>
            </w:r>
            <w:r>
              <w:rPr>
                <w:lang w:val="fr-CH"/>
              </w:rPr>
              <w:t xml:space="preserve"> Groupe de travail du Conseil sur les ressources financières et les ressources humaines, le Conseil recommande d</w:t>
            </w:r>
            <w:r w:rsidR="00865BC1">
              <w:rPr>
                <w:lang w:val="fr-CH"/>
              </w:rPr>
              <w:t>'</w:t>
            </w:r>
            <w:r>
              <w:rPr>
                <w:lang w:val="fr-CH"/>
              </w:rPr>
              <w:t xml:space="preserve">adopter une nouvelle Résolution </w:t>
            </w:r>
            <w:r w:rsidR="00046894">
              <w:rPr>
                <w:lang w:val="fr-CH"/>
              </w:rPr>
              <w:t>prévoyant</w:t>
            </w:r>
            <w:r>
              <w:rPr>
                <w:lang w:val="fr-CH"/>
              </w:rPr>
              <w:t xml:space="preserve"> d</w:t>
            </w:r>
            <w:r w:rsidR="00865BC1">
              <w:rPr>
                <w:lang w:val="fr-CH"/>
              </w:rPr>
              <w:t>'</w:t>
            </w:r>
            <w:r>
              <w:rPr>
                <w:lang w:val="fr-CH"/>
              </w:rPr>
              <w:t>approfondir l</w:t>
            </w:r>
            <w:r w:rsidR="00865BC1">
              <w:rPr>
                <w:lang w:val="fr-CH"/>
              </w:rPr>
              <w:t>'</w:t>
            </w:r>
            <w:r>
              <w:rPr>
                <w:lang w:val="fr-CH"/>
              </w:rPr>
              <w:t>étude des questions</w:t>
            </w:r>
            <w:r w:rsidR="00F96F69">
              <w:rPr>
                <w:lang w:val="fr-CH"/>
              </w:rPr>
              <w:t xml:space="preserve"> concernées</w:t>
            </w:r>
            <w:r>
              <w:rPr>
                <w:lang w:val="fr-CH"/>
              </w:rPr>
              <w:t xml:space="preserve">. </w:t>
            </w:r>
            <w:r w:rsidR="00046894">
              <w:rPr>
                <w:lang w:val="fr-CH"/>
              </w:rPr>
              <w:t>En cas d</w:t>
            </w:r>
            <w:r w:rsidR="00865BC1">
              <w:rPr>
                <w:lang w:val="fr-CH"/>
              </w:rPr>
              <w:t>'</w:t>
            </w:r>
            <w:r w:rsidR="00046894">
              <w:rPr>
                <w:lang w:val="fr-CH"/>
              </w:rPr>
              <w:t>adoption de cette nouvelle Résolution par la PP</w:t>
            </w:r>
            <w:r w:rsidR="00046894">
              <w:rPr>
                <w:lang w:val="fr-CH"/>
              </w:rPr>
              <w:noBreakHyphen/>
              <w:t>14, il serait nécessaire de réviser la Résolution 158.</w:t>
            </w:r>
          </w:p>
        </w:tc>
      </w:tr>
      <w:tr w:rsidR="00896897" w:rsidRPr="00A14BCE" w:rsidTr="00CB33A1">
        <w:tc>
          <w:tcPr>
            <w:tcW w:w="4928" w:type="dxa"/>
          </w:tcPr>
          <w:p w:rsidR="00896897" w:rsidRPr="00920709" w:rsidRDefault="00624A1E" w:rsidP="007D1428">
            <w:pPr>
              <w:pStyle w:val="Tabletext"/>
              <w:rPr>
                <w:lang w:val="fr-CH"/>
              </w:rPr>
            </w:pPr>
            <w:r w:rsidRPr="00920709">
              <w:rPr>
                <w:u w:val="single"/>
                <w:lang w:val="fr-CH"/>
              </w:rPr>
              <w:t>Résolution</w:t>
            </w:r>
            <w:r w:rsidR="00896897" w:rsidRPr="00920709">
              <w:rPr>
                <w:u w:val="single"/>
                <w:lang w:val="fr-CH"/>
              </w:rPr>
              <w:t xml:space="preserve"> 169</w:t>
            </w:r>
            <w:r w:rsidR="00896897" w:rsidRPr="00920709">
              <w:rPr>
                <w:lang w:val="fr-CH"/>
              </w:rPr>
              <w:t xml:space="preserve"> (Guadalajara, 2010), </w:t>
            </w:r>
            <w:r w:rsidR="00920709" w:rsidRPr="00D161A4">
              <w:rPr>
                <w:i/>
                <w:lang w:val="fr-CH"/>
              </w:rPr>
              <w:t>Admission d'établissements universitaires, d'universités et d'instituts de recherche associés à participer aux travaux des trois Secteurs de l'Union</w:t>
            </w:r>
            <w:r w:rsidR="00896897" w:rsidRPr="00920709">
              <w:rPr>
                <w:lang w:val="fr-CH"/>
              </w:rPr>
              <w:t xml:space="preserve">. </w:t>
            </w:r>
          </w:p>
          <w:p w:rsidR="00896897" w:rsidRPr="00920709" w:rsidRDefault="002B7998" w:rsidP="007D1428">
            <w:pPr>
              <w:pStyle w:val="Tabletext"/>
              <w:rPr>
                <w:lang w:val="fr-CH"/>
              </w:rPr>
            </w:pPr>
            <w:r w:rsidRPr="002B7998">
              <w:rPr>
                <w:u w:val="single"/>
                <w:lang w:val="fr-CH"/>
              </w:rPr>
              <w:t>Mesures éventuelles</w:t>
            </w:r>
            <w:r w:rsidR="00896897" w:rsidRPr="00920709">
              <w:rPr>
                <w:lang w:val="fr-CH"/>
              </w:rPr>
              <w:t xml:space="preserve">: </w:t>
            </w:r>
            <w:r w:rsidR="00920709" w:rsidRPr="00D8788A">
              <w:rPr>
                <w:lang w:val="fr-CH"/>
              </w:rPr>
              <w:t>Il est proposé que la période d</w:t>
            </w:r>
            <w:r w:rsidR="00920709">
              <w:rPr>
                <w:lang w:val="fr-CH"/>
              </w:rPr>
              <w:t>'</w:t>
            </w:r>
            <w:r w:rsidR="00920709" w:rsidRPr="00D8788A">
              <w:rPr>
                <w:lang w:val="fr-CH"/>
              </w:rPr>
              <w:t xml:space="preserve">essai concernant la participation des </w:t>
            </w:r>
            <w:r w:rsidR="00920709">
              <w:rPr>
                <w:lang w:val="fr-CH"/>
              </w:rPr>
              <w:t>é</w:t>
            </w:r>
            <w:r w:rsidR="00920709" w:rsidRPr="00D8788A">
              <w:rPr>
                <w:lang w:val="fr-CH"/>
              </w:rPr>
              <w:t xml:space="preserve">tablissements universitaires soit prolongée afin de pouvoir analyser plus en détail les conditions de leur participation </w:t>
            </w:r>
            <w:r w:rsidR="00920709">
              <w:rPr>
                <w:lang w:val="fr-CH"/>
              </w:rPr>
              <w:t>aux travaux des trois Secteurs</w:t>
            </w:r>
            <w:r w:rsidR="00896897" w:rsidRPr="00920709">
              <w:rPr>
                <w:lang w:val="fr-CH"/>
              </w:rPr>
              <w:t>.</w:t>
            </w:r>
          </w:p>
        </w:tc>
        <w:tc>
          <w:tcPr>
            <w:tcW w:w="4927" w:type="dxa"/>
          </w:tcPr>
          <w:p w:rsidR="00A14BCE" w:rsidRPr="00A14BCE" w:rsidRDefault="00A14BCE" w:rsidP="007D1428">
            <w:pPr>
              <w:pStyle w:val="Tabletext"/>
              <w:rPr>
                <w:lang w:val="fr-CH"/>
              </w:rPr>
            </w:pPr>
            <w:r w:rsidRPr="00BA2FE4">
              <w:t>Depuis la création</w:t>
            </w:r>
            <w:r>
              <w:t xml:space="preserve"> de la catégorie "</w:t>
            </w:r>
            <w:r w:rsidRPr="00BA2FE4">
              <w:t>établissement</w:t>
            </w:r>
            <w:r>
              <w:t>s</w:t>
            </w:r>
            <w:r w:rsidRPr="00BA2FE4">
              <w:t xml:space="preserve"> universitaire</w:t>
            </w:r>
            <w:r>
              <w:t>s"</w:t>
            </w:r>
            <w:r w:rsidRPr="00BA2FE4">
              <w:t>, l</w:t>
            </w:r>
            <w:r>
              <w:t>'</w:t>
            </w:r>
            <w:r w:rsidRPr="00BA2FE4">
              <w:t>UIT a attir</w:t>
            </w:r>
            <w:r>
              <w:t xml:space="preserve">é 63 </w:t>
            </w:r>
            <w:r w:rsidR="005241E0">
              <w:t>m</w:t>
            </w:r>
            <w:r w:rsidRPr="00BA2FE4">
              <w:t>embres, don</w:t>
            </w:r>
            <w:r>
              <w:t>t 14 </w:t>
            </w:r>
            <w:r w:rsidRPr="00BA2FE4">
              <w:t>participe</w:t>
            </w:r>
            <w:r>
              <w:t>nt</w:t>
            </w:r>
            <w:r w:rsidRPr="00BA2FE4">
              <w:t xml:space="preserve"> aux travaux de l</w:t>
            </w:r>
            <w:r>
              <w:t>'UIT</w:t>
            </w:r>
            <w:r>
              <w:noBreakHyphen/>
            </w:r>
            <w:r w:rsidRPr="00BA2FE4">
              <w:t>R, 4</w:t>
            </w:r>
            <w:r>
              <w:t xml:space="preserve">6 </w:t>
            </w:r>
            <w:r w:rsidRPr="00BA2FE4">
              <w:t>aux travaux de l</w:t>
            </w:r>
            <w:r>
              <w:t>'</w:t>
            </w:r>
            <w:r w:rsidRPr="00BA2FE4">
              <w:t>UIT</w:t>
            </w:r>
            <w:r>
              <w:noBreakHyphen/>
            </w:r>
            <w:r w:rsidRPr="00BA2FE4">
              <w:t>T et</w:t>
            </w:r>
            <w:r>
              <w:t> </w:t>
            </w:r>
            <w:r w:rsidRPr="00BA2FE4">
              <w:t>1</w:t>
            </w:r>
            <w:r>
              <w:t>4</w:t>
            </w:r>
            <w:r w:rsidRPr="00BA2FE4">
              <w:t xml:space="preserve"> aux travaux de l</w:t>
            </w:r>
            <w:r>
              <w:t>'UIT</w:t>
            </w:r>
            <w:r>
              <w:noBreakHyphen/>
              <w:t>D</w:t>
            </w:r>
            <w:r w:rsidR="00F25699">
              <w:t>.</w:t>
            </w:r>
          </w:p>
        </w:tc>
      </w:tr>
      <w:tr w:rsidR="00896897" w:rsidRPr="005F0743" w:rsidTr="00CB33A1">
        <w:tc>
          <w:tcPr>
            <w:tcW w:w="4928" w:type="dxa"/>
          </w:tcPr>
          <w:p w:rsidR="00896897" w:rsidRPr="00920709" w:rsidRDefault="00624A1E" w:rsidP="00C522B8">
            <w:pPr>
              <w:pStyle w:val="Tabletext"/>
              <w:keepNext/>
              <w:keepLines/>
              <w:rPr>
                <w:lang w:val="fr-CH"/>
              </w:rPr>
            </w:pPr>
            <w:r w:rsidRPr="00920709">
              <w:rPr>
                <w:u w:val="single"/>
                <w:lang w:val="fr-CH"/>
              </w:rPr>
              <w:t>Résolution</w:t>
            </w:r>
            <w:r w:rsidR="00896897" w:rsidRPr="00920709">
              <w:rPr>
                <w:u w:val="single"/>
                <w:lang w:val="fr-CH"/>
              </w:rPr>
              <w:t xml:space="preserve"> 170</w:t>
            </w:r>
            <w:r w:rsidR="00896897" w:rsidRPr="00920709">
              <w:rPr>
                <w:lang w:val="fr-CH"/>
              </w:rPr>
              <w:t xml:space="preserve"> (Guadalajara, 2010), </w:t>
            </w:r>
            <w:r w:rsidR="00920709" w:rsidRPr="00D161A4">
              <w:rPr>
                <w:i/>
                <w:lang w:val="fr-CH"/>
              </w:rPr>
              <w:t>Admission de Membres de Secteur des pays en développement à participer aux travaux du Secteur de la normalisation des télécommunications et du Secteur des radiocommunications de l'UIT</w:t>
            </w:r>
            <w:r w:rsidR="002B7998">
              <w:rPr>
                <w:lang w:val="fr-CH"/>
              </w:rPr>
              <w:t>.</w:t>
            </w:r>
          </w:p>
          <w:p w:rsidR="00896897" w:rsidRPr="00920709" w:rsidRDefault="002B7998" w:rsidP="00C522B8">
            <w:pPr>
              <w:pStyle w:val="Tabletext"/>
              <w:keepNext/>
              <w:keepLines/>
              <w:rPr>
                <w:lang w:val="fr-CH"/>
              </w:rPr>
            </w:pPr>
            <w:r w:rsidRPr="002B7998">
              <w:rPr>
                <w:u w:val="single"/>
                <w:lang w:val="fr-CH"/>
              </w:rPr>
              <w:t>Mesures éventuelles</w:t>
            </w:r>
            <w:r w:rsidR="00896897" w:rsidRPr="00920709">
              <w:rPr>
                <w:lang w:val="fr-CH"/>
              </w:rPr>
              <w:t xml:space="preserve">: </w:t>
            </w:r>
            <w:r w:rsidR="005107C8">
              <w:rPr>
                <w:lang w:val="fr-CH"/>
              </w:rPr>
              <w:t>Soit</w:t>
            </w:r>
            <w:r w:rsidR="00920709" w:rsidRPr="00D8788A">
              <w:rPr>
                <w:lang w:val="fr-CH"/>
              </w:rPr>
              <w:t xml:space="preserve"> continuer </w:t>
            </w:r>
            <w:r w:rsidR="00B4383B">
              <w:rPr>
                <w:lang w:val="fr-CH"/>
              </w:rPr>
              <w:t>de faire bénéficier</w:t>
            </w:r>
            <w:r w:rsidR="00920709" w:rsidRPr="00D8788A">
              <w:rPr>
                <w:lang w:val="fr-CH"/>
              </w:rPr>
              <w:t xml:space="preserve"> </w:t>
            </w:r>
            <w:r w:rsidR="00B4383B">
              <w:rPr>
                <w:lang w:val="fr-CH"/>
              </w:rPr>
              <w:t>les entités venant de pays à faible revenu</w:t>
            </w:r>
            <w:r w:rsidR="00B4383B" w:rsidRPr="00D8788A">
              <w:rPr>
                <w:lang w:val="fr-CH"/>
              </w:rPr>
              <w:t xml:space="preserve"> </w:t>
            </w:r>
            <w:r w:rsidR="00B4383B">
              <w:rPr>
                <w:lang w:val="fr-CH"/>
              </w:rPr>
              <w:t>d</w:t>
            </w:r>
            <w:r w:rsidR="00865BC1">
              <w:rPr>
                <w:lang w:val="fr-CH"/>
              </w:rPr>
              <w:t>'</w:t>
            </w:r>
            <w:r w:rsidR="00920709" w:rsidRPr="00D8788A">
              <w:rPr>
                <w:lang w:val="fr-CH"/>
              </w:rPr>
              <w:t xml:space="preserve">une réduction </w:t>
            </w:r>
            <w:r w:rsidR="00B4383B">
              <w:rPr>
                <w:lang w:val="fr-CH"/>
              </w:rPr>
              <w:t>de la contribution financière</w:t>
            </w:r>
            <w:r w:rsidR="00920709" w:rsidRPr="00D8788A">
              <w:rPr>
                <w:lang w:val="fr-CH"/>
              </w:rPr>
              <w:t xml:space="preserve"> </w:t>
            </w:r>
            <w:r w:rsidR="005107C8">
              <w:rPr>
                <w:lang w:val="fr-CH"/>
              </w:rPr>
              <w:t>(moyennant d</w:t>
            </w:r>
            <w:r w:rsidR="00865BC1">
              <w:rPr>
                <w:lang w:val="fr-CH"/>
              </w:rPr>
              <w:t>'</w:t>
            </w:r>
            <w:r w:rsidR="005107C8">
              <w:rPr>
                <w:lang w:val="fr-CH"/>
              </w:rPr>
              <w:t>éventuelles modifications)</w:t>
            </w:r>
            <w:r w:rsidR="00920709">
              <w:rPr>
                <w:lang w:val="fr-CH"/>
              </w:rPr>
              <w:t>, soit supprimer la Résolution en raison des difficultés que pose son application concrète</w:t>
            </w:r>
            <w:r w:rsidR="00896897" w:rsidRPr="00920709">
              <w:rPr>
                <w:lang w:val="fr-CH"/>
              </w:rPr>
              <w:t>.</w:t>
            </w:r>
            <w:r w:rsidR="00896897" w:rsidRPr="00920709">
              <w:rPr>
                <w:rFonts w:eastAsia="SimSun"/>
                <w:lang w:val="fr-CH" w:eastAsia="zh-CN"/>
              </w:rPr>
              <w:t xml:space="preserve"> </w:t>
            </w:r>
          </w:p>
          <w:p w:rsidR="00896897" w:rsidRPr="00920709" w:rsidRDefault="00896897" w:rsidP="00C522B8">
            <w:pPr>
              <w:pStyle w:val="Tabletext"/>
              <w:keepNext/>
              <w:keepLines/>
              <w:rPr>
                <w:lang w:val="fr-CH"/>
              </w:rPr>
            </w:pPr>
          </w:p>
        </w:tc>
        <w:tc>
          <w:tcPr>
            <w:tcW w:w="4927" w:type="dxa"/>
          </w:tcPr>
          <w:p w:rsidR="00896897" w:rsidRPr="005F0743" w:rsidRDefault="005F0743" w:rsidP="00C72ECA">
            <w:pPr>
              <w:pStyle w:val="Tabletext"/>
              <w:keepNext/>
              <w:keepLines/>
              <w:rPr>
                <w:lang w:val="fr-CH"/>
              </w:rPr>
            </w:pPr>
            <w:r w:rsidRPr="00A6386B">
              <w:t xml:space="preserve">Bien que </w:t>
            </w:r>
            <w:r w:rsidR="00B3274F">
              <w:t>peu d</w:t>
            </w:r>
            <w:r w:rsidR="00865BC1">
              <w:t>'</w:t>
            </w:r>
            <w:r w:rsidRPr="00A6386B">
              <w:t xml:space="preserve">entreprises </w:t>
            </w:r>
            <w:r>
              <w:t>aien</w:t>
            </w:r>
            <w:r w:rsidRPr="00A6386B">
              <w:t>t bénéficié de ce</w:t>
            </w:r>
            <w:r w:rsidR="005241E0">
              <w:t>tte</w:t>
            </w:r>
            <w:r w:rsidRPr="00A6386B">
              <w:t xml:space="preserve"> rédu</w:t>
            </w:r>
            <w:r w:rsidR="005241E0">
              <w:t xml:space="preserve">ction </w:t>
            </w:r>
            <w:r w:rsidR="00B4383B">
              <w:t>de la contribution financière</w:t>
            </w:r>
            <w:r w:rsidRPr="00A6386B">
              <w:t>, il pourrait être intéressant de maintenir cette possibilité de croissance future</w:t>
            </w:r>
            <w:r>
              <w:t xml:space="preserve">. En </w:t>
            </w:r>
            <w:r w:rsidR="005241E0">
              <w:t xml:space="preserve">pareil cas, une modification </w:t>
            </w:r>
            <w:r>
              <w:t xml:space="preserve">des conditions </w:t>
            </w:r>
            <w:r w:rsidR="005241E0">
              <w:t>d</w:t>
            </w:r>
            <w:r w:rsidR="00865BC1">
              <w:t>'</w:t>
            </w:r>
            <w:r w:rsidR="005241E0">
              <w:t>éligibilité</w:t>
            </w:r>
            <w:r>
              <w:t xml:space="preserve"> contribuerait à simplifier et à clarifier la mise en </w:t>
            </w:r>
            <w:proofErr w:type="spellStart"/>
            <w:r>
              <w:t>oeuvre</w:t>
            </w:r>
            <w:proofErr w:type="spellEnd"/>
            <w:r>
              <w:t xml:space="preserve">. </w:t>
            </w:r>
            <w:r w:rsidR="005107C8">
              <w:t>A</w:t>
            </w:r>
            <w:r w:rsidRPr="00A6386B">
              <w:t>ctuellement</w:t>
            </w:r>
            <w:r w:rsidR="005107C8">
              <w:t xml:space="preserve">, </w:t>
            </w:r>
            <w:r w:rsidR="00B3274F">
              <w:t>cette réduction ne s</w:t>
            </w:r>
            <w:r w:rsidR="00865BC1">
              <w:t>'</w:t>
            </w:r>
            <w:r w:rsidR="00B3274F">
              <w:t xml:space="preserve">applique à </w:t>
            </w:r>
            <w:r w:rsidR="005241E0">
              <w:t xml:space="preserve">aucune </w:t>
            </w:r>
            <w:r w:rsidR="005241E0" w:rsidRPr="00A6386B">
              <w:t xml:space="preserve">entreprise </w:t>
            </w:r>
            <w:r w:rsidR="005241E0">
              <w:t>participant aux travaux de</w:t>
            </w:r>
            <w:r w:rsidR="005241E0" w:rsidRPr="00A6386B">
              <w:t xml:space="preserve"> l</w:t>
            </w:r>
            <w:r w:rsidR="005241E0">
              <w:t>'</w:t>
            </w:r>
            <w:r w:rsidR="005241E0" w:rsidRPr="00A6386B">
              <w:t>UIT-R</w:t>
            </w:r>
            <w:r w:rsidR="00B3274F">
              <w:t>,</w:t>
            </w:r>
            <w:r w:rsidR="005241E0">
              <w:t xml:space="preserve"> </w:t>
            </w:r>
            <w:r w:rsidR="00B3274F">
              <w:t xml:space="preserve">alors </w:t>
            </w:r>
            <w:r w:rsidR="005107C8">
              <w:t>que</w:t>
            </w:r>
            <w:r>
              <w:t xml:space="preserve"> 3</w:t>
            </w:r>
            <w:r w:rsidR="00B3274F">
              <w:t> </w:t>
            </w:r>
            <w:r w:rsidRPr="00A6386B">
              <w:t>entreprise</w:t>
            </w:r>
            <w:r>
              <w:t>s</w:t>
            </w:r>
            <w:r w:rsidRPr="00A6386B">
              <w:t xml:space="preserve"> </w:t>
            </w:r>
            <w:r w:rsidR="003D5200">
              <w:t>participant aux travaux de</w:t>
            </w:r>
            <w:r w:rsidR="003D5200" w:rsidRPr="00A6386B">
              <w:t xml:space="preserve"> l</w:t>
            </w:r>
            <w:r w:rsidR="003D5200">
              <w:t>'UIT</w:t>
            </w:r>
            <w:r w:rsidR="003D5200">
              <w:noBreakHyphen/>
              <w:t xml:space="preserve">T </w:t>
            </w:r>
            <w:r w:rsidR="00B3274F">
              <w:t>en bénéficient</w:t>
            </w:r>
            <w:r w:rsidR="005107C8">
              <w:t>.</w:t>
            </w:r>
            <w:r>
              <w:t xml:space="preserve"> </w:t>
            </w:r>
            <w:r w:rsidR="00332776">
              <w:t>Parallèlement</w:t>
            </w:r>
            <w:r w:rsidRPr="00FB6D0F">
              <w:t>,</w:t>
            </w:r>
            <w:r>
              <w:t xml:space="preserve"> </w:t>
            </w:r>
            <w:r w:rsidRPr="00FB6D0F">
              <w:t>5</w:t>
            </w:r>
            <w:r w:rsidR="005241E0">
              <w:t> </w:t>
            </w:r>
            <w:r>
              <w:t>Membres du</w:t>
            </w:r>
            <w:r w:rsidRPr="00FB6D0F">
              <w:t xml:space="preserve"> Secteur</w:t>
            </w:r>
            <w:r w:rsidR="003D5200">
              <w:t> </w:t>
            </w:r>
            <w:r>
              <w:t>UIT</w:t>
            </w:r>
            <w:r>
              <w:noBreakHyphen/>
            </w:r>
            <w:r w:rsidRPr="00FB6D0F">
              <w:t>R</w:t>
            </w:r>
            <w:r>
              <w:t xml:space="preserve"> </w:t>
            </w:r>
            <w:r w:rsidRPr="00FB6D0F">
              <w:t>et</w:t>
            </w:r>
            <w:r w:rsidR="00587445">
              <w:t> </w:t>
            </w:r>
            <w:r w:rsidRPr="00FB6D0F">
              <w:t>6</w:t>
            </w:r>
            <w:r w:rsidR="00587445">
              <w:t> </w:t>
            </w:r>
            <w:r w:rsidRPr="00FB6D0F">
              <w:t>Membres d</w:t>
            </w:r>
            <w:r>
              <w:t>u</w:t>
            </w:r>
            <w:r w:rsidRPr="00FB6D0F">
              <w:t xml:space="preserve"> Secteur </w:t>
            </w:r>
            <w:r>
              <w:t>UIT</w:t>
            </w:r>
            <w:r>
              <w:noBreakHyphen/>
              <w:t xml:space="preserve">T </w:t>
            </w:r>
            <w:r w:rsidR="005241E0">
              <w:t xml:space="preserve">sont </w:t>
            </w:r>
            <w:r>
              <w:t>i</w:t>
            </w:r>
            <w:r w:rsidR="005241E0">
              <w:t>ssus</w:t>
            </w:r>
            <w:r>
              <w:t xml:space="preserve"> des pays</w:t>
            </w:r>
            <w:r w:rsidR="005241E0">
              <w:t xml:space="preserve"> </w:t>
            </w:r>
            <w:r w:rsidR="00B3274F">
              <w:t>concernés</w:t>
            </w:r>
            <w:r>
              <w:t xml:space="preserve">, mais ont adhéré avant l'entrée en vigueur de la Résolution 170 et continuent donc de verser une </w:t>
            </w:r>
            <w:r w:rsidRPr="00FB6D0F">
              <w:t>contribution</w:t>
            </w:r>
            <w:r>
              <w:t xml:space="preserve"> </w:t>
            </w:r>
            <w:r w:rsidRPr="00FB6D0F">
              <w:t xml:space="preserve">ordinaire </w:t>
            </w:r>
            <w:r>
              <w:t xml:space="preserve">à </w:t>
            </w:r>
            <w:r w:rsidRPr="00A6386B">
              <w:t>l</w:t>
            </w:r>
            <w:r>
              <w:t>'UIT</w:t>
            </w:r>
            <w:r>
              <w:noBreakHyphen/>
            </w:r>
            <w:r w:rsidRPr="00A6386B">
              <w:t>R</w:t>
            </w:r>
            <w:r>
              <w:t xml:space="preserve"> ou </w:t>
            </w:r>
            <w:r w:rsidRPr="00A6386B">
              <w:t>à l</w:t>
            </w:r>
            <w:r>
              <w:t>'</w:t>
            </w:r>
            <w:r w:rsidRPr="00A6386B">
              <w:t>UIT</w:t>
            </w:r>
            <w:r>
              <w:noBreakHyphen/>
              <w:t xml:space="preserve">T. </w:t>
            </w:r>
            <w:r w:rsidRPr="002C14FC">
              <w:t xml:space="preserve">Certains de ces </w:t>
            </w:r>
            <w:r w:rsidR="005241E0">
              <w:t>m</w:t>
            </w:r>
            <w:r w:rsidRPr="002C14FC">
              <w:t>embres ont demandé à</w:t>
            </w:r>
            <w:r>
              <w:t xml:space="preserve"> </w:t>
            </w:r>
            <w:r w:rsidRPr="002C14FC">
              <w:t xml:space="preserve">payer </w:t>
            </w:r>
            <w:r w:rsidR="00B4383B">
              <w:t>une contribution moins élevée</w:t>
            </w:r>
            <w:r w:rsidRPr="002C14FC">
              <w:t>, mais cette possibilité n</w:t>
            </w:r>
            <w:r>
              <w:t>'est pas pré</w:t>
            </w:r>
            <w:r w:rsidRPr="002C14FC">
              <w:t xml:space="preserve">vue </w:t>
            </w:r>
            <w:r w:rsidR="005241E0">
              <w:t>dans</w:t>
            </w:r>
            <w:r w:rsidRPr="002C14FC">
              <w:t xml:space="preserve"> la Résolution</w:t>
            </w:r>
            <w:r>
              <w:t> </w:t>
            </w:r>
            <w:r w:rsidRPr="002C14FC">
              <w:t>170</w:t>
            </w:r>
            <w:r>
              <w:t>. Si toutes ces entreprises optaient pour la contribution réduite, il</w:t>
            </w:r>
            <w:r w:rsidR="00C72ECA">
              <w:t> </w:t>
            </w:r>
            <w:r>
              <w:t>en résulterait un</w:t>
            </w:r>
            <w:r w:rsidR="00C72ECA">
              <w:t>e baisse des recettes d'environ </w:t>
            </w:r>
            <w:r>
              <w:t>300 </w:t>
            </w:r>
            <w:r w:rsidRPr="002C14FC">
              <w:t>000</w:t>
            </w:r>
            <w:r>
              <w:t> </w:t>
            </w:r>
            <w:r w:rsidRPr="002C14FC">
              <w:t xml:space="preserve">CHF </w:t>
            </w:r>
            <w:r>
              <w:t>par an</w:t>
            </w:r>
            <w:r w:rsidR="00896897" w:rsidRPr="005F0743">
              <w:rPr>
                <w:rFonts w:eastAsia="SimSun"/>
                <w:lang w:val="fr-CH" w:eastAsia="zh-CN"/>
              </w:rPr>
              <w:t>.</w:t>
            </w:r>
          </w:p>
        </w:tc>
      </w:tr>
    </w:tbl>
    <w:p w:rsidR="000D15FB" w:rsidRPr="005F0743" w:rsidRDefault="000D15FB" w:rsidP="007D1428">
      <w:pPr>
        <w:rPr>
          <w:lang w:val="fr-CH"/>
        </w:rPr>
      </w:pPr>
    </w:p>
    <w:p w:rsidR="00C522B8" w:rsidRDefault="00C522B8" w:rsidP="0032202E">
      <w:pPr>
        <w:pStyle w:val="Reasons"/>
      </w:pPr>
    </w:p>
    <w:p w:rsidR="00C522B8" w:rsidRDefault="00C522B8">
      <w:pPr>
        <w:jc w:val="center"/>
      </w:pPr>
      <w:r>
        <w:t>______________</w:t>
      </w:r>
    </w:p>
    <w:p w:rsidR="00C522B8" w:rsidRDefault="00C522B8" w:rsidP="00C522B8"/>
    <w:sectPr w:rsidR="00C522B8" w:rsidSect="003A0B7D">
      <w:headerReference w:type="default" r:id="rId26"/>
      <w:footerReference w:type="default" r:id="rId27"/>
      <w:footerReference w:type="first" r:id="rId2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B8" w:rsidRDefault="003B10B8">
      <w:r>
        <w:separator/>
      </w:r>
    </w:p>
  </w:endnote>
  <w:endnote w:type="continuationSeparator" w:id="0">
    <w:p w:rsidR="003B10B8" w:rsidRDefault="003B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B8" w:rsidRPr="00E56620" w:rsidRDefault="003B10B8">
    <w:pPr>
      <w:pStyle w:val="Footer"/>
      <w:rPr>
        <w:color w:val="FFFFFF" w:themeColor="background1"/>
        <w:lang w:val="en-US"/>
      </w:rPr>
    </w:pPr>
    <w:r w:rsidRPr="00E56620">
      <w:rPr>
        <w:color w:val="FFFFFF" w:themeColor="background1"/>
      </w:rPr>
      <w:fldChar w:fldCharType="begin"/>
    </w:r>
    <w:r w:rsidRPr="00E56620">
      <w:rPr>
        <w:color w:val="FFFFFF" w:themeColor="background1"/>
        <w:lang w:val="en-US"/>
      </w:rPr>
      <w:instrText xml:space="preserve"> FILENAME \p \* MERGEFORMAT </w:instrText>
    </w:r>
    <w:r w:rsidRPr="00E56620">
      <w:rPr>
        <w:color w:val="FFFFFF" w:themeColor="background1"/>
      </w:rPr>
      <w:fldChar w:fldCharType="separate"/>
    </w:r>
    <w:r w:rsidR="00C72ECA" w:rsidRPr="00E56620">
      <w:rPr>
        <w:color w:val="FFFFFF" w:themeColor="background1"/>
        <w:lang w:val="en-US"/>
      </w:rPr>
      <w:t>P:\FRA\SG\CONF-SG\PP14\000\060F.docx</w:t>
    </w:r>
    <w:r w:rsidRPr="00E56620">
      <w:rPr>
        <w:color w:val="FFFFFF" w:themeColor="background1"/>
      </w:rPr>
      <w:fldChar w:fldCharType="end"/>
    </w:r>
    <w:r w:rsidRPr="00E56620">
      <w:rPr>
        <w:color w:val="FFFFFF" w:themeColor="background1"/>
        <w:lang w:val="en-US"/>
      </w:rPr>
      <w:t xml:space="preserve"> (366305)</w:t>
    </w:r>
    <w:r w:rsidRPr="00E56620">
      <w:rPr>
        <w:color w:val="FFFFFF" w:themeColor="background1"/>
        <w:lang w:val="en-US"/>
      </w:rPr>
      <w:tab/>
    </w:r>
    <w:r w:rsidRPr="00E56620">
      <w:rPr>
        <w:color w:val="FFFFFF" w:themeColor="background1"/>
      </w:rPr>
      <w:fldChar w:fldCharType="begin"/>
    </w:r>
    <w:r w:rsidRPr="00E56620">
      <w:rPr>
        <w:color w:val="FFFFFF" w:themeColor="background1"/>
      </w:rPr>
      <w:instrText xml:space="preserve"> savedate \@ dd.MM.yy </w:instrText>
    </w:r>
    <w:r w:rsidRPr="00E56620">
      <w:rPr>
        <w:color w:val="FFFFFF" w:themeColor="background1"/>
      </w:rPr>
      <w:fldChar w:fldCharType="separate"/>
    </w:r>
    <w:r w:rsidR="00E56620" w:rsidRPr="00E56620">
      <w:rPr>
        <w:color w:val="FFFFFF" w:themeColor="background1"/>
      </w:rPr>
      <w:t>16.09.14</w:t>
    </w:r>
    <w:r w:rsidRPr="00E56620">
      <w:rPr>
        <w:color w:val="FFFFFF" w:themeColor="background1"/>
      </w:rPr>
      <w:fldChar w:fldCharType="end"/>
    </w:r>
    <w:r w:rsidRPr="00E56620">
      <w:rPr>
        <w:color w:val="FFFFFF" w:themeColor="background1"/>
        <w:lang w:val="en-US"/>
      </w:rPr>
      <w:tab/>
    </w:r>
    <w:r w:rsidRPr="00E56620">
      <w:rPr>
        <w:color w:val="FFFFFF" w:themeColor="background1"/>
      </w:rPr>
      <w:fldChar w:fldCharType="begin"/>
    </w:r>
    <w:r w:rsidRPr="00E56620">
      <w:rPr>
        <w:color w:val="FFFFFF" w:themeColor="background1"/>
      </w:rPr>
      <w:instrText xml:space="preserve"> printdate \@ dd.MM.yy </w:instrText>
    </w:r>
    <w:r w:rsidRPr="00E56620">
      <w:rPr>
        <w:color w:val="FFFFFF" w:themeColor="background1"/>
      </w:rPr>
      <w:fldChar w:fldCharType="separate"/>
    </w:r>
    <w:r w:rsidR="00C72ECA" w:rsidRPr="00E56620">
      <w:rPr>
        <w:color w:val="FFFFFF" w:themeColor="background1"/>
      </w:rPr>
      <w:t>16.09.14</w:t>
    </w:r>
    <w:r w:rsidRPr="00E56620">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B8" w:rsidRDefault="003B10B8"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B10B8" w:rsidRPr="00E56620" w:rsidRDefault="003B10B8">
    <w:pPr>
      <w:pStyle w:val="FirstFooter"/>
      <w:jc w:val="center"/>
      <w:rPr>
        <w:color w:val="FFFFFF" w:themeColor="background1"/>
      </w:rPr>
    </w:pPr>
  </w:p>
  <w:p w:rsidR="003B10B8" w:rsidRPr="00E56620" w:rsidRDefault="00E56620" w:rsidP="001B64EA">
    <w:pPr>
      <w:pStyle w:val="Footer"/>
      <w:rPr>
        <w:color w:val="FFFFFF" w:themeColor="background1"/>
      </w:rPr>
    </w:pPr>
    <w:r w:rsidRPr="00E56620">
      <w:rPr>
        <w:color w:val="FFFFFF" w:themeColor="background1"/>
      </w:rPr>
      <w:fldChar w:fldCharType="begin"/>
    </w:r>
    <w:r w:rsidRPr="00E56620">
      <w:rPr>
        <w:color w:val="FFFFFF" w:themeColor="background1"/>
      </w:rPr>
      <w:instrText xml:space="preserve"> FILENAME \p \* MERGEFORMAT </w:instrText>
    </w:r>
    <w:r w:rsidRPr="00E56620">
      <w:rPr>
        <w:color w:val="FFFFFF" w:themeColor="background1"/>
      </w:rPr>
      <w:fldChar w:fldCharType="separate"/>
    </w:r>
    <w:r w:rsidR="00C72ECA" w:rsidRPr="00E56620">
      <w:rPr>
        <w:color w:val="FFFFFF" w:themeColor="background1"/>
      </w:rPr>
      <w:t>P:\FRA\SG\CONF-SG\PP14\000\060F.docx</w:t>
    </w:r>
    <w:r w:rsidRPr="00E56620">
      <w:rPr>
        <w:color w:val="FFFFFF" w:themeColor="background1"/>
      </w:rPr>
      <w:fldChar w:fldCharType="end"/>
    </w:r>
    <w:r w:rsidR="003B10B8" w:rsidRPr="00E56620">
      <w:rPr>
        <w:color w:val="FFFFFF" w:themeColor="background1"/>
      </w:rPr>
      <w:t xml:space="preserve"> (366305)</w:t>
    </w:r>
    <w:r w:rsidR="003B10B8" w:rsidRPr="00E56620">
      <w:rPr>
        <w:color w:val="FFFFFF" w:themeColor="background1"/>
      </w:rPr>
      <w:tab/>
    </w:r>
    <w:r w:rsidR="003B10B8" w:rsidRPr="00E56620">
      <w:rPr>
        <w:color w:val="FFFFFF" w:themeColor="background1"/>
      </w:rPr>
      <w:fldChar w:fldCharType="begin"/>
    </w:r>
    <w:r w:rsidR="003B10B8" w:rsidRPr="00E56620">
      <w:rPr>
        <w:color w:val="FFFFFF" w:themeColor="background1"/>
      </w:rPr>
      <w:instrText xml:space="preserve"> savedate \@ dd.MM.yy </w:instrText>
    </w:r>
    <w:r w:rsidR="003B10B8" w:rsidRPr="00E56620">
      <w:rPr>
        <w:color w:val="FFFFFF" w:themeColor="background1"/>
      </w:rPr>
      <w:fldChar w:fldCharType="separate"/>
    </w:r>
    <w:r w:rsidRPr="00E56620">
      <w:rPr>
        <w:color w:val="FFFFFF" w:themeColor="background1"/>
      </w:rPr>
      <w:t>16.09.14</w:t>
    </w:r>
    <w:r w:rsidR="003B10B8" w:rsidRPr="00E56620">
      <w:rPr>
        <w:color w:val="FFFFFF" w:themeColor="background1"/>
      </w:rPr>
      <w:fldChar w:fldCharType="end"/>
    </w:r>
    <w:r w:rsidR="003B10B8" w:rsidRPr="00E56620">
      <w:rPr>
        <w:color w:val="FFFFFF" w:themeColor="background1"/>
      </w:rPr>
      <w:tab/>
    </w:r>
    <w:r w:rsidR="003B10B8" w:rsidRPr="00E56620">
      <w:rPr>
        <w:color w:val="FFFFFF" w:themeColor="background1"/>
      </w:rPr>
      <w:fldChar w:fldCharType="begin"/>
    </w:r>
    <w:r w:rsidR="003B10B8" w:rsidRPr="00E56620">
      <w:rPr>
        <w:color w:val="FFFFFF" w:themeColor="background1"/>
      </w:rPr>
      <w:instrText xml:space="preserve"> printdate \@ dd.MM.yy </w:instrText>
    </w:r>
    <w:r w:rsidR="003B10B8" w:rsidRPr="00E56620">
      <w:rPr>
        <w:color w:val="FFFFFF" w:themeColor="background1"/>
      </w:rPr>
      <w:fldChar w:fldCharType="separate"/>
    </w:r>
    <w:r w:rsidR="00C72ECA" w:rsidRPr="00E56620">
      <w:rPr>
        <w:color w:val="FFFFFF" w:themeColor="background1"/>
      </w:rPr>
      <w:t>16.09.14</w:t>
    </w:r>
    <w:r w:rsidR="003B10B8" w:rsidRPr="00E56620">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B8" w:rsidRDefault="003B10B8">
      <w:r>
        <w:t>____________________</w:t>
      </w:r>
    </w:p>
  </w:footnote>
  <w:footnote w:type="continuationSeparator" w:id="0">
    <w:p w:rsidR="003B10B8" w:rsidRDefault="003B1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B8" w:rsidRDefault="003B10B8" w:rsidP="00407795">
    <w:pPr>
      <w:pStyle w:val="Header"/>
    </w:pPr>
    <w:r>
      <w:fldChar w:fldCharType="begin"/>
    </w:r>
    <w:r>
      <w:instrText xml:space="preserve"> PAGE </w:instrText>
    </w:r>
    <w:r>
      <w:fldChar w:fldCharType="separate"/>
    </w:r>
    <w:r w:rsidR="00E56620">
      <w:rPr>
        <w:noProof/>
      </w:rPr>
      <w:t>2</w:t>
    </w:r>
    <w:r>
      <w:fldChar w:fldCharType="end"/>
    </w:r>
    <w:r w:rsidR="00E56620">
      <w:t>/</w:t>
    </w:r>
    <w:fldSimple w:instr=" NUMPAGES   \* MERGEFORMAT ">
      <w:r w:rsidR="00E56620">
        <w:rPr>
          <w:noProof/>
        </w:rPr>
        <w:t>16</w:t>
      </w:r>
    </w:fldSimple>
  </w:p>
  <w:p w:rsidR="003B10B8" w:rsidRPr="00407795" w:rsidRDefault="003B10B8" w:rsidP="001B64EA">
    <w:pPr>
      <w:pStyle w:val="Header"/>
    </w:pPr>
    <w:r>
      <w:t>PP14/60-</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B92"/>
    <w:multiLevelType w:val="hybridMultilevel"/>
    <w:tmpl w:val="CA20C4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17DB5B9E"/>
    <w:multiLevelType w:val="hybridMultilevel"/>
    <w:tmpl w:val="AFC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75DBF"/>
    <w:multiLevelType w:val="hybridMultilevel"/>
    <w:tmpl w:val="7E3E7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595961"/>
    <w:multiLevelType w:val="hybridMultilevel"/>
    <w:tmpl w:val="5F1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97"/>
    <w:rsid w:val="0000224C"/>
    <w:rsid w:val="000054D8"/>
    <w:rsid w:val="0001614B"/>
    <w:rsid w:val="00016CCA"/>
    <w:rsid w:val="000319C6"/>
    <w:rsid w:val="00043108"/>
    <w:rsid w:val="00046894"/>
    <w:rsid w:val="000706F5"/>
    <w:rsid w:val="00072D5C"/>
    <w:rsid w:val="000768F3"/>
    <w:rsid w:val="00083C27"/>
    <w:rsid w:val="00084308"/>
    <w:rsid w:val="000B0BB6"/>
    <w:rsid w:val="000B14B6"/>
    <w:rsid w:val="000C467B"/>
    <w:rsid w:val="000C77CA"/>
    <w:rsid w:val="000D15FB"/>
    <w:rsid w:val="000D2A92"/>
    <w:rsid w:val="000D6634"/>
    <w:rsid w:val="000E0711"/>
    <w:rsid w:val="000F7D9D"/>
    <w:rsid w:val="0010121A"/>
    <w:rsid w:val="00104853"/>
    <w:rsid w:val="001051E4"/>
    <w:rsid w:val="00106492"/>
    <w:rsid w:val="0012234E"/>
    <w:rsid w:val="00133915"/>
    <w:rsid w:val="001354EA"/>
    <w:rsid w:val="00136FCE"/>
    <w:rsid w:val="00153BA4"/>
    <w:rsid w:val="00154CBD"/>
    <w:rsid w:val="001671B4"/>
    <w:rsid w:val="00180A5C"/>
    <w:rsid w:val="00184599"/>
    <w:rsid w:val="00187911"/>
    <w:rsid w:val="00190BCE"/>
    <w:rsid w:val="001941AD"/>
    <w:rsid w:val="00196927"/>
    <w:rsid w:val="001A0682"/>
    <w:rsid w:val="001A32BA"/>
    <w:rsid w:val="001B64EA"/>
    <w:rsid w:val="001C13AE"/>
    <w:rsid w:val="001D273D"/>
    <w:rsid w:val="001D4739"/>
    <w:rsid w:val="001E1B9B"/>
    <w:rsid w:val="001F6233"/>
    <w:rsid w:val="00200997"/>
    <w:rsid w:val="00240901"/>
    <w:rsid w:val="002525A0"/>
    <w:rsid w:val="00262491"/>
    <w:rsid w:val="00280F9A"/>
    <w:rsid w:val="002A1609"/>
    <w:rsid w:val="002B7998"/>
    <w:rsid w:val="002C1059"/>
    <w:rsid w:val="002C18F9"/>
    <w:rsid w:val="002C2F9C"/>
    <w:rsid w:val="002D4CE3"/>
    <w:rsid w:val="0030225F"/>
    <w:rsid w:val="0030640B"/>
    <w:rsid w:val="00306FA3"/>
    <w:rsid w:val="00310868"/>
    <w:rsid w:val="0031544E"/>
    <w:rsid w:val="00332776"/>
    <w:rsid w:val="00343956"/>
    <w:rsid w:val="00347CB8"/>
    <w:rsid w:val="00366977"/>
    <w:rsid w:val="00383EDD"/>
    <w:rsid w:val="003856AE"/>
    <w:rsid w:val="003A0B7D"/>
    <w:rsid w:val="003A45C2"/>
    <w:rsid w:val="003A514D"/>
    <w:rsid w:val="003B10B8"/>
    <w:rsid w:val="003C178B"/>
    <w:rsid w:val="003C4BE2"/>
    <w:rsid w:val="003C7385"/>
    <w:rsid w:val="003C7662"/>
    <w:rsid w:val="003D147D"/>
    <w:rsid w:val="003D3383"/>
    <w:rsid w:val="003D5200"/>
    <w:rsid w:val="003F26B3"/>
    <w:rsid w:val="003F75DB"/>
    <w:rsid w:val="00407795"/>
    <w:rsid w:val="00407A5A"/>
    <w:rsid w:val="00430015"/>
    <w:rsid w:val="00463AAF"/>
    <w:rsid w:val="004678D0"/>
    <w:rsid w:val="00471BF7"/>
    <w:rsid w:val="00473769"/>
    <w:rsid w:val="00473791"/>
    <w:rsid w:val="00482954"/>
    <w:rsid w:val="00483353"/>
    <w:rsid w:val="004872D4"/>
    <w:rsid w:val="004B53E3"/>
    <w:rsid w:val="004E4EC9"/>
    <w:rsid w:val="004F6199"/>
    <w:rsid w:val="005107C8"/>
    <w:rsid w:val="00521F74"/>
    <w:rsid w:val="00522522"/>
    <w:rsid w:val="00524001"/>
    <w:rsid w:val="005241E0"/>
    <w:rsid w:val="00564B63"/>
    <w:rsid w:val="00565EF7"/>
    <w:rsid w:val="00574FC4"/>
    <w:rsid w:val="00575DC7"/>
    <w:rsid w:val="005836C2"/>
    <w:rsid w:val="00587445"/>
    <w:rsid w:val="0059452D"/>
    <w:rsid w:val="005A0383"/>
    <w:rsid w:val="005A4EFD"/>
    <w:rsid w:val="005A5ABE"/>
    <w:rsid w:val="005B0114"/>
    <w:rsid w:val="005B2C90"/>
    <w:rsid w:val="005C2ECC"/>
    <w:rsid w:val="005D11B6"/>
    <w:rsid w:val="005D199B"/>
    <w:rsid w:val="005D301F"/>
    <w:rsid w:val="005E419E"/>
    <w:rsid w:val="005F0743"/>
    <w:rsid w:val="00610A22"/>
    <w:rsid w:val="0061133B"/>
    <w:rsid w:val="00611CF1"/>
    <w:rsid w:val="006201D9"/>
    <w:rsid w:val="0062067F"/>
    <w:rsid w:val="00624A1E"/>
    <w:rsid w:val="006277DB"/>
    <w:rsid w:val="00631818"/>
    <w:rsid w:val="00635B7B"/>
    <w:rsid w:val="00636CF0"/>
    <w:rsid w:val="006548C0"/>
    <w:rsid w:val="00655B7F"/>
    <w:rsid w:val="00655B98"/>
    <w:rsid w:val="00686973"/>
    <w:rsid w:val="006A6342"/>
    <w:rsid w:val="006B6C9C"/>
    <w:rsid w:val="006C376D"/>
    <w:rsid w:val="006C7AE3"/>
    <w:rsid w:val="006D5325"/>
    <w:rsid w:val="006D55E8"/>
    <w:rsid w:val="006E1921"/>
    <w:rsid w:val="006E5A85"/>
    <w:rsid w:val="006F36F9"/>
    <w:rsid w:val="0070576B"/>
    <w:rsid w:val="00707537"/>
    <w:rsid w:val="007115A0"/>
    <w:rsid w:val="00713335"/>
    <w:rsid w:val="007252C2"/>
    <w:rsid w:val="00727C2F"/>
    <w:rsid w:val="00727EC4"/>
    <w:rsid w:val="007304FE"/>
    <w:rsid w:val="007350E9"/>
    <w:rsid w:val="00735F13"/>
    <w:rsid w:val="007717F2"/>
    <w:rsid w:val="0078134C"/>
    <w:rsid w:val="007A5830"/>
    <w:rsid w:val="007C1250"/>
    <w:rsid w:val="007C2E63"/>
    <w:rsid w:val="007D1428"/>
    <w:rsid w:val="00801256"/>
    <w:rsid w:val="00801E28"/>
    <w:rsid w:val="0080586F"/>
    <w:rsid w:val="008242BC"/>
    <w:rsid w:val="0082434E"/>
    <w:rsid w:val="00832AA1"/>
    <w:rsid w:val="00857F55"/>
    <w:rsid w:val="0086305F"/>
    <w:rsid w:val="00865BC1"/>
    <w:rsid w:val="008703CB"/>
    <w:rsid w:val="00874016"/>
    <w:rsid w:val="00887625"/>
    <w:rsid w:val="00894089"/>
    <w:rsid w:val="008963F2"/>
    <w:rsid w:val="00896897"/>
    <w:rsid w:val="008A5BF2"/>
    <w:rsid w:val="008B26DB"/>
    <w:rsid w:val="008B2A6C"/>
    <w:rsid w:val="008B7415"/>
    <w:rsid w:val="008C33C2"/>
    <w:rsid w:val="008C6137"/>
    <w:rsid w:val="008E2DB4"/>
    <w:rsid w:val="008F155F"/>
    <w:rsid w:val="00901DD5"/>
    <w:rsid w:val="0090735B"/>
    <w:rsid w:val="00912D5E"/>
    <w:rsid w:val="00920709"/>
    <w:rsid w:val="00934340"/>
    <w:rsid w:val="00941536"/>
    <w:rsid w:val="00950FDE"/>
    <w:rsid w:val="00963025"/>
    <w:rsid w:val="00966CD3"/>
    <w:rsid w:val="00974946"/>
    <w:rsid w:val="00987A20"/>
    <w:rsid w:val="009A0E15"/>
    <w:rsid w:val="009B0AFC"/>
    <w:rsid w:val="009F0592"/>
    <w:rsid w:val="009F6D1E"/>
    <w:rsid w:val="00A14BCE"/>
    <w:rsid w:val="00A20E72"/>
    <w:rsid w:val="00A21A5C"/>
    <w:rsid w:val="00A246DC"/>
    <w:rsid w:val="00A24E6D"/>
    <w:rsid w:val="00A33E10"/>
    <w:rsid w:val="00A34EB0"/>
    <w:rsid w:val="00A47BAF"/>
    <w:rsid w:val="00A5784F"/>
    <w:rsid w:val="00A774F9"/>
    <w:rsid w:val="00A8436E"/>
    <w:rsid w:val="00A875E3"/>
    <w:rsid w:val="00A934C3"/>
    <w:rsid w:val="00A95B66"/>
    <w:rsid w:val="00AE0667"/>
    <w:rsid w:val="00AE4A55"/>
    <w:rsid w:val="00B01ABB"/>
    <w:rsid w:val="00B1049F"/>
    <w:rsid w:val="00B23E85"/>
    <w:rsid w:val="00B3274F"/>
    <w:rsid w:val="00B41E0A"/>
    <w:rsid w:val="00B4383B"/>
    <w:rsid w:val="00B56DE0"/>
    <w:rsid w:val="00B63FB7"/>
    <w:rsid w:val="00B65027"/>
    <w:rsid w:val="00B71C30"/>
    <w:rsid w:val="00B71F12"/>
    <w:rsid w:val="00B75823"/>
    <w:rsid w:val="00B8423A"/>
    <w:rsid w:val="00B94029"/>
    <w:rsid w:val="00B96B1E"/>
    <w:rsid w:val="00BA6C9A"/>
    <w:rsid w:val="00BB2A6F"/>
    <w:rsid w:val="00BB3011"/>
    <w:rsid w:val="00BB6F10"/>
    <w:rsid w:val="00BD1614"/>
    <w:rsid w:val="00BD6334"/>
    <w:rsid w:val="00BF0A3F"/>
    <w:rsid w:val="00BF7D25"/>
    <w:rsid w:val="00C00F84"/>
    <w:rsid w:val="00C010C0"/>
    <w:rsid w:val="00C05597"/>
    <w:rsid w:val="00C147BE"/>
    <w:rsid w:val="00C17770"/>
    <w:rsid w:val="00C2563D"/>
    <w:rsid w:val="00C522B8"/>
    <w:rsid w:val="00C53653"/>
    <w:rsid w:val="00C54CE6"/>
    <w:rsid w:val="00C575E2"/>
    <w:rsid w:val="00C72ECA"/>
    <w:rsid w:val="00C7368B"/>
    <w:rsid w:val="00C92746"/>
    <w:rsid w:val="00C94AA7"/>
    <w:rsid w:val="00C95F45"/>
    <w:rsid w:val="00CB33A1"/>
    <w:rsid w:val="00CC4DC5"/>
    <w:rsid w:val="00CE1A7C"/>
    <w:rsid w:val="00CF0BD0"/>
    <w:rsid w:val="00CF1BEF"/>
    <w:rsid w:val="00CF2D56"/>
    <w:rsid w:val="00CF4270"/>
    <w:rsid w:val="00D024BA"/>
    <w:rsid w:val="00D12C74"/>
    <w:rsid w:val="00D50F38"/>
    <w:rsid w:val="00D511F7"/>
    <w:rsid w:val="00D56483"/>
    <w:rsid w:val="00D56AD6"/>
    <w:rsid w:val="00D61EF2"/>
    <w:rsid w:val="00D70019"/>
    <w:rsid w:val="00D74B58"/>
    <w:rsid w:val="00D82ABE"/>
    <w:rsid w:val="00D91038"/>
    <w:rsid w:val="00DA685B"/>
    <w:rsid w:val="00DA742B"/>
    <w:rsid w:val="00DB2C02"/>
    <w:rsid w:val="00DC1D48"/>
    <w:rsid w:val="00DF25C1"/>
    <w:rsid w:val="00DF48F7"/>
    <w:rsid w:val="00DF4964"/>
    <w:rsid w:val="00DF4D73"/>
    <w:rsid w:val="00DF79B0"/>
    <w:rsid w:val="00E07D72"/>
    <w:rsid w:val="00E10176"/>
    <w:rsid w:val="00E1047D"/>
    <w:rsid w:val="00E1074C"/>
    <w:rsid w:val="00E1309E"/>
    <w:rsid w:val="00E20ED0"/>
    <w:rsid w:val="00E30B0F"/>
    <w:rsid w:val="00E443FA"/>
    <w:rsid w:val="00E50697"/>
    <w:rsid w:val="00E53440"/>
    <w:rsid w:val="00E54FCE"/>
    <w:rsid w:val="00E56620"/>
    <w:rsid w:val="00E63574"/>
    <w:rsid w:val="00E82BB7"/>
    <w:rsid w:val="00E93D35"/>
    <w:rsid w:val="00E9721D"/>
    <w:rsid w:val="00EA00CF"/>
    <w:rsid w:val="00EA45DB"/>
    <w:rsid w:val="00EB226A"/>
    <w:rsid w:val="00ED2CD9"/>
    <w:rsid w:val="00ED3D2D"/>
    <w:rsid w:val="00EE476F"/>
    <w:rsid w:val="00F107B6"/>
    <w:rsid w:val="00F14361"/>
    <w:rsid w:val="00F25699"/>
    <w:rsid w:val="00F31852"/>
    <w:rsid w:val="00F407BA"/>
    <w:rsid w:val="00F41AA3"/>
    <w:rsid w:val="00F511D4"/>
    <w:rsid w:val="00F564C1"/>
    <w:rsid w:val="00F62F30"/>
    <w:rsid w:val="00F65038"/>
    <w:rsid w:val="00F72095"/>
    <w:rsid w:val="00F774D1"/>
    <w:rsid w:val="00F77FA2"/>
    <w:rsid w:val="00F8357A"/>
    <w:rsid w:val="00F95C08"/>
    <w:rsid w:val="00F96F69"/>
    <w:rsid w:val="00FA1B77"/>
    <w:rsid w:val="00FA4CA0"/>
    <w:rsid w:val="00FA5721"/>
    <w:rsid w:val="00FB3EFC"/>
    <w:rsid w:val="00FB4B65"/>
    <w:rsid w:val="00FB74B8"/>
    <w:rsid w:val="00FC3DCA"/>
    <w:rsid w:val="00FC49E0"/>
    <w:rsid w:val="00FC6F28"/>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C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65BC1"/>
    <w:pPr>
      <w:keepNext/>
      <w:keepLines/>
      <w:spacing w:before="480"/>
      <w:ind w:left="567" w:hanging="567"/>
      <w:outlineLvl w:val="0"/>
    </w:pPr>
    <w:rPr>
      <w:b/>
      <w:sz w:val="28"/>
    </w:rPr>
  </w:style>
  <w:style w:type="paragraph" w:styleId="Heading2">
    <w:name w:val="heading 2"/>
    <w:basedOn w:val="Heading1"/>
    <w:next w:val="Normal"/>
    <w:qFormat/>
    <w:rsid w:val="00865BC1"/>
    <w:pPr>
      <w:spacing w:before="320"/>
      <w:outlineLvl w:val="1"/>
    </w:pPr>
    <w:rPr>
      <w:sz w:val="24"/>
    </w:rPr>
  </w:style>
  <w:style w:type="paragraph" w:styleId="Heading3">
    <w:name w:val="heading 3"/>
    <w:basedOn w:val="Heading1"/>
    <w:next w:val="Normal"/>
    <w:qFormat/>
    <w:rsid w:val="00865BC1"/>
    <w:pPr>
      <w:spacing w:before="200"/>
      <w:outlineLvl w:val="2"/>
    </w:pPr>
    <w:rPr>
      <w:sz w:val="24"/>
    </w:rPr>
  </w:style>
  <w:style w:type="paragraph" w:styleId="Heading4">
    <w:name w:val="heading 4"/>
    <w:basedOn w:val="Heading3"/>
    <w:next w:val="Normal"/>
    <w:qFormat/>
    <w:rsid w:val="00865BC1"/>
    <w:pPr>
      <w:ind w:left="1134" w:hanging="1134"/>
      <w:outlineLvl w:val="3"/>
    </w:pPr>
  </w:style>
  <w:style w:type="paragraph" w:styleId="Heading5">
    <w:name w:val="heading 5"/>
    <w:basedOn w:val="Heading4"/>
    <w:next w:val="Normal"/>
    <w:qFormat/>
    <w:rsid w:val="00865BC1"/>
    <w:pPr>
      <w:outlineLvl w:val="4"/>
    </w:pPr>
  </w:style>
  <w:style w:type="paragraph" w:styleId="Heading6">
    <w:name w:val="heading 6"/>
    <w:basedOn w:val="Heading4"/>
    <w:next w:val="Normal"/>
    <w:qFormat/>
    <w:rsid w:val="00865BC1"/>
    <w:pPr>
      <w:outlineLvl w:val="5"/>
    </w:pPr>
  </w:style>
  <w:style w:type="paragraph" w:styleId="Heading7">
    <w:name w:val="heading 7"/>
    <w:basedOn w:val="Heading4"/>
    <w:next w:val="Normal"/>
    <w:qFormat/>
    <w:rsid w:val="00865BC1"/>
    <w:pPr>
      <w:ind w:left="1701" w:hanging="1701"/>
      <w:outlineLvl w:val="6"/>
    </w:pPr>
  </w:style>
  <w:style w:type="paragraph" w:styleId="Heading8">
    <w:name w:val="heading 8"/>
    <w:basedOn w:val="Heading4"/>
    <w:next w:val="Normal"/>
    <w:qFormat/>
    <w:rsid w:val="00865BC1"/>
    <w:pPr>
      <w:ind w:left="1701" w:hanging="1701"/>
      <w:outlineLvl w:val="7"/>
    </w:pPr>
  </w:style>
  <w:style w:type="paragraph" w:styleId="Heading9">
    <w:name w:val="heading 9"/>
    <w:basedOn w:val="Heading4"/>
    <w:next w:val="Normal"/>
    <w:qFormat/>
    <w:rsid w:val="00865BC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65BC1"/>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65BC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865BC1"/>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865BC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65BC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65BC1"/>
    <w:rPr>
      <w:rFonts w:ascii="Calibri" w:hAnsi="Calibri"/>
      <w:position w:val="6"/>
      <w:sz w:val="16"/>
    </w:rPr>
  </w:style>
  <w:style w:type="paragraph" w:styleId="FootnoteText">
    <w:name w:val="footnote text"/>
    <w:basedOn w:val="Normal"/>
    <w:rsid w:val="00865BC1"/>
    <w:pPr>
      <w:keepLines/>
      <w:tabs>
        <w:tab w:val="left" w:pos="256"/>
      </w:tabs>
      <w:ind w:left="256" w:hanging="256"/>
    </w:pPr>
  </w:style>
  <w:style w:type="paragraph" w:styleId="NormalIndent">
    <w:name w:val="Normal Indent"/>
    <w:basedOn w:val="Normal"/>
    <w:rsid w:val="00865BC1"/>
    <w:pPr>
      <w:ind w:left="567"/>
    </w:pPr>
  </w:style>
  <w:style w:type="paragraph" w:customStyle="1" w:styleId="Tablelegend">
    <w:name w:val="Table_legend"/>
    <w:basedOn w:val="Tabletext"/>
    <w:rsid w:val="00865BC1"/>
    <w:pPr>
      <w:spacing w:before="120"/>
    </w:pPr>
  </w:style>
  <w:style w:type="paragraph" w:customStyle="1" w:styleId="Tabletext">
    <w:name w:val="Table_text"/>
    <w:basedOn w:val="Normal"/>
    <w:rsid w:val="00865BC1"/>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865BC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65BC1"/>
    <w:pPr>
      <w:keepNext/>
      <w:spacing w:before="560" w:after="120"/>
      <w:jc w:val="center"/>
    </w:pPr>
    <w:rPr>
      <w:caps/>
    </w:rPr>
  </w:style>
  <w:style w:type="paragraph" w:customStyle="1" w:styleId="enumlev1">
    <w:name w:val="enumlev1"/>
    <w:basedOn w:val="Normal"/>
    <w:rsid w:val="00865BC1"/>
    <w:pPr>
      <w:spacing w:before="86"/>
      <w:ind w:left="567" w:hanging="567"/>
    </w:pPr>
  </w:style>
  <w:style w:type="paragraph" w:customStyle="1" w:styleId="enumlev2">
    <w:name w:val="enumlev2"/>
    <w:basedOn w:val="enumlev1"/>
    <w:rsid w:val="00865BC1"/>
    <w:pPr>
      <w:ind w:left="1134"/>
    </w:pPr>
  </w:style>
  <w:style w:type="paragraph" w:customStyle="1" w:styleId="enumlev3">
    <w:name w:val="enumlev3"/>
    <w:basedOn w:val="enumlev2"/>
    <w:rsid w:val="00865BC1"/>
    <w:pPr>
      <w:ind w:left="1701"/>
    </w:pPr>
  </w:style>
  <w:style w:type="paragraph" w:customStyle="1" w:styleId="Tablehead">
    <w:name w:val="Table_head"/>
    <w:basedOn w:val="Tabletext"/>
    <w:rsid w:val="00865BC1"/>
    <w:pPr>
      <w:spacing w:before="120" w:after="120"/>
      <w:jc w:val="center"/>
    </w:pPr>
    <w:rPr>
      <w:b/>
    </w:rPr>
  </w:style>
  <w:style w:type="paragraph" w:customStyle="1" w:styleId="Normalaftertitle">
    <w:name w:val="Normal after title"/>
    <w:basedOn w:val="Normal"/>
    <w:next w:val="Normal"/>
    <w:rsid w:val="00865BC1"/>
    <w:pPr>
      <w:spacing w:before="240"/>
    </w:pPr>
  </w:style>
  <w:style w:type="paragraph" w:customStyle="1" w:styleId="AnnexNo">
    <w:name w:val="Annex_No"/>
    <w:basedOn w:val="Normal"/>
    <w:next w:val="Annexref"/>
    <w:rsid w:val="00865BC1"/>
    <w:pPr>
      <w:spacing w:before="720"/>
      <w:jc w:val="center"/>
    </w:pPr>
    <w:rPr>
      <w:caps/>
      <w:sz w:val="28"/>
    </w:rPr>
  </w:style>
  <w:style w:type="paragraph" w:customStyle="1" w:styleId="Annexref">
    <w:name w:val="Annex_ref"/>
    <w:basedOn w:val="Normal"/>
    <w:next w:val="Annextitle"/>
    <w:rsid w:val="00865BC1"/>
    <w:pPr>
      <w:jc w:val="center"/>
    </w:pPr>
    <w:rPr>
      <w:sz w:val="28"/>
    </w:rPr>
  </w:style>
  <w:style w:type="paragraph" w:customStyle="1" w:styleId="Annextitle">
    <w:name w:val="Annex_title"/>
    <w:basedOn w:val="Normal"/>
    <w:next w:val="Normal"/>
    <w:rsid w:val="00865BC1"/>
    <w:pPr>
      <w:spacing w:before="240" w:after="240"/>
      <w:jc w:val="center"/>
    </w:pPr>
    <w:rPr>
      <w:b/>
      <w:sz w:val="28"/>
    </w:rPr>
  </w:style>
  <w:style w:type="paragraph" w:customStyle="1" w:styleId="AppendixNo">
    <w:name w:val="Appendix_No"/>
    <w:basedOn w:val="AnnexNo"/>
    <w:next w:val="Appendixref"/>
    <w:rsid w:val="00865BC1"/>
  </w:style>
  <w:style w:type="paragraph" w:customStyle="1" w:styleId="Appendixref">
    <w:name w:val="Appendix_ref"/>
    <w:basedOn w:val="Annexref"/>
    <w:next w:val="Appendixtitle"/>
    <w:rsid w:val="00865BC1"/>
  </w:style>
  <w:style w:type="paragraph" w:customStyle="1" w:styleId="Appendixtitle">
    <w:name w:val="Appendix_title"/>
    <w:basedOn w:val="Annextitle"/>
    <w:next w:val="Normal"/>
    <w:rsid w:val="00865BC1"/>
  </w:style>
  <w:style w:type="paragraph" w:customStyle="1" w:styleId="Reftitle">
    <w:name w:val="Ref_title"/>
    <w:basedOn w:val="Normal"/>
    <w:next w:val="Reftext"/>
    <w:rsid w:val="00865BC1"/>
    <w:pPr>
      <w:spacing w:before="480"/>
      <w:jc w:val="center"/>
    </w:pPr>
    <w:rPr>
      <w:caps/>
      <w:sz w:val="28"/>
    </w:rPr>
  </w:style>
  <w:style w:type="paragraph" w:customStyle="1" w:styleId="Reftext">
    <w:name w:val="Ref_text"/>
    <w:basedOn w:val="Normal"/>
    <w:rsid w:val="00865BC1"/>
    <w:pPr>
      <w:ind w:left="567" w:hanging="567"/>
    </w:pPr>
  </w:style>
  <w:style w:type="paragraph" w:customStyle="1" w:styleId="Rectitle">
    <w:name w:val="Rec_title"/>
    <w:basedOn w:val="Normal"/>
    <w:next w:val="Heading1"/>
    <w:rsid w:val="00865BC1"/>
    <w:pPr>
      <w:spacing w:before="240"/>
      <w:jc w:val="center"/>
    </w:pPr>
    <w:rPr>
      <w:b/>
      <w:sz w:val="28"/>
    </w:rPr>
  </w:style>
  <w:style w:type="paragraph" w:customStyle="1" w:styleId="Call">
    <w:name w:val="Call"/>
    <w:basedOn w:val="Normal"/>
    <w:next w:val="Normal"/>
    <w:rsid w:val="00865BC1"/>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865BC1"/>
    <w:pPr>
      <w:spacing w:before="720"/>
      <w:jc w:val="center"/>
    </w:pPr>
    <w:rPr>
      <w:caps/>
      <w:sz w:val="28"/>
    </w:rPr>
  </w:style>
  <w:style w:type="paragraph" w:customStyle="1" w:styleId="toc0">
    <w:name w:val="toc 0"/>
    <w:basedOn w:val="Normal"/>
    <w:next w:val="TOC1"/>
    <w:rsid w:val="00865B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865BC1"/>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865BC1"/>
    <w:pPr>
      <w:tabs>
        <w:tab w:val="clear" w:pos="567"/>
        <w:tab w:val="left" w:pos="851"/>
      </w:tabs>
    </w:pPr>
  </w:style>
  <w:style w:type="paragraph" w:customStyle="1" w:styleId="MinusFootnote">
    <w:name w:val="MinusFootnote"/>
    <w:basedOn w:val="Normal"/>
    <w:rsid w:val="00865BC1"/>
    <w:pPr>
      <w:ind w:left="-1701" w:hanging="284"/>
    </w:pPr>
  </w:style>
  <w:style w:type="paragraph" w:customStyle="1" w:styleId="Title3">
    <w:name w:val="Title 3"/>
    <w:basedOn w:val="Title2"/>
    <w:next w:val="Normalaftertitle"/>
    <w:rsid w:val="00865BC1"/>
    <w:rPr>
      <w:caps w:val="0"/>
    </w:rPr>
  </w:style>
  <w:style w:type="paragraph" w:customStyle="1" w:styleId="Title2">
    <w:name w:val="Title 2"/>
    <w:basedOn w:val="Source"/>
    <w:next w:val="Title3"/>
    <w:rsid w:val="00865BC1"/>
    <w:pPr>
      <w:spacing w:before="240"/>
    </w:pPr>
    <w:rPr>
      <w:b w:val="0"/>
      <w:caps/>
    </w:rPr>
  </w:style>
  <w:style w:type="paragraph" w:customStyle="1" w:styleId="Source">
    <w:name w:val="Source"/>
    <w:basedOn w:val="Normal"/>
    <w:next w:val="Title1"/>
    <w:rsid w:val="00865BC1"/>
    <w:pPr>
      <w:spacing w:before="840"/>
      <w:jc w:val="center"/>
    </w:pPr>
    <w:rPr>
      <w:b/>
      <w:sz w:val="28"/>
    </w:rPr>
  </w:style>
  <w:style w:type="paragraph" w:customStyle="1" w:styleId="Title1">
    <w:name w:val="Title 1"/>
    <w:basedOn w:val="Source"/>
    <w:next w:val="Title2"/>
    <w:rsid w:val="00865BC1"/>
    <w:pPr>
      <w:spacing w:before="240"/>
    </w:pPr>
    <w:rPr>
      <w:b w:val="0"/>
      <w:caps/>
    </w:rPr>
  </w:style>
  <w:style w:type="paragraph" w:customStyle="1" w:styleId="ArtNo">
    <w:name w:val="Art_No"/>
    <w:basedOn w:val="Normal"/>
    <w:next w:val="Arttitle"/>
    <w:rsid w:val="00865BC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65BC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65BC1"/>
  </w:style>
  <w:style w:type="paragraph" w:customStyle="1" w:styleId="Chaptitle">
    <w:name w:val="Chap_title"/>
    <w:basedOn w:val="Arttitle"/>
    <w:next w:val="Normal"/>
    <w:rsid w:val="00865BC1"/>
  </w:style>
  <w:style w:type="paragraph" w:customStyle="1" w:styleId="Reasons">
    <w:name w:val="Reasons"/>
    <w:basedOn w:val="Normal"/>
    <w:qFormat/>
    <w:rsid w:val="00865BC1"/>
  </w:style>
  <w:style w:type="paragraph" w:customStyle="1" w:styleId="ResNo">
    <w:name w:val="Res_No"/>
    <w:basedOn w:val="AnnexNo"/>
    <w:next w:val="Restitle"/>
    <w:rsid w:val="00865BC1"/>
  </w:style>
  <w:style w:type="paragraph" w:customStyle="1" w:styleId="Restitle">
    <w:name w:val="Res_title"/>
    <w:basedOn w:val="Annextitle"/>
    <w:next w:val="Normal"/>
    <w:rsid w:val="00865BC1"/>
  </w:style>
  <w:style w:type="paragraph" w:customStyle="1" w:styleId="AnnexNoS2">
    <w:name w:val="Annex_No_S2"/>
    <w:basedOn w:val="AnnexNo"/>
    <w:next w:val="AnnexrefS2"/>
    <w:rsid w:val="00865BC1"/>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865BC1"/>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865BC1"/>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865BC1"/>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865BC1"/>
    <w:rPr>
      <w:caps w:val="0"/>
    </w:rPr>
  </w:style>
  <w:style w:type="paragraph" w:customStyle="1" w:styleId="Section2">
    <w:name w:val="Section 2"/>
    <w:basedOn w:val="Section1"/>
    <w:next w:val="Normal"/>
    <w:rsid w:val="00865BC1"/>
    <w:pPr>
      <w:spacing w:before="240"/>
    </w:pPr>
    <w:rPr>
      <w:b/>
      <w:i/>
    </w:rPr>
  </w:style>
  <w:style w:type="paragraph" w:customStyle="1" w:styleId="AppendixNoS2">
    <w:name w:val="Appendix_No_S2"/>
    <w:basedOn w:val="AppendixNo"/>
    <w:next w:val="AppendixrefS2"/>
    <w:rsid w:val="00865BC1"/>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865BC1"/>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865BC1"/>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865BC1"/>
    <w:pPr>
      <w:tabs>
        <w:tab w:val="left" w:pos="851"/>
      </w:tabs>
      <w:jc w:val="left"/>
    </w:pPr>
    <w:rPr>
      <w:b/>
      <w:sz w:val="24"/>
    </w:rPr>
  </w:style>
  <w:style w:type="paragraph" w:customStyle="1" w:styleId="ArttitleS2">
    <w:name w:val="Art_title_S2"/>
    <w:basedOn w:val="Arttitle"/>
    <w:next w:val="NormalS2"/>
    <w:rsid w:val="00865BC1"/>
    <w:pPr>
      <w:tabs>
        <w:tab w:val="left" w:pos="851"/>
      </w:tabs>
      <w:jc w:val="left"/>
    </w:pPr>
    <w:rPr>
      <w:sz w:val="24"/>
    </w:rPr>
  </w:style>
  <w:style w:type="paragraph" w:customStyle="1" w:styleId="ChapNoS2">
    <w:name w:val="Chap_No_S2"/>
    <w:basedOn w:val="ChapNo"/>
    <w:next w:val="ChaptitleS2"/>
    <w:rsid w:val="00865BC1"/>
    <w:pPr>
      <w:tabs>
        <w:tab w:val="left" w:pos="851"/>
      </w:tabs>
      <w:jc w:val="left"/>
    </w:pPr>
    <w:rPr>
      <w:b/>
      <w:sz w:val="24"/>
    </w:rPr>
  </w:style>
  <w:style w:type="paragraph" w:customStyle="1" w:styleId="ChaptitleS2">
    <w:name w:val="Chap_title_S2"/>
    <w:basedOn w:val="Chaptitle"/>
    <w:next w:val="NormalS2"/>
    <w:rsid w:val="00865BC1"/>
    <w:pPr>
      <w:tabs>
        <w:tab w:val="left" w:pos="851"/>
      </w:tabs>
      <w:jc w:val="left"/>
    </w:pPr>
    <w:rPr>
      <w:sz w:val="24"/>
    </w:rPr>
  </w:style>
  <w:style w:type="paragraph" w:customStyle="1" w:styleId="enumlev1S2">
    <w:name w:val="enumlev1_S2"/>
    <w:basedOn w:val="enumlev1"/>
    <w:rsid w:val="00865BC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865BC1"/>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865BC1"/>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865BC1"/>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865BC1"/>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865BC1"/>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865BC1"/>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865BC1"/>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865BC1"/>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865BC1"/>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865BC1"/>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865BC1"/>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865BC1"/>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865BC1"/>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865BC1"/>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865BC1"/>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865BC1"/>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865BC1"/>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865BC1"/>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865BC1"/>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865BC1"/>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865BC1"/>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865BC1"/>
    <w:pPr>
      <w:tabs>
        <w:tab w:val="left" w:pos="851"/>
      </w:tabs>
      <w:jc w:val="left"/>
    </w:pPr>
    <w:rPr>
      <w:caps/>
      <w:sz w:val="24"/>
    </w:rPr>
  </w:style>
  <w:style w:type="paragraph" w:customStyle="1" w:styleId="Section2S2">
    <w:name w:val="Section 2_S2"/>
    <w:basedOn w:val="Section2"/>
    <w:next w:val="NormalS2"/>
    <w:rsid w:val="00865BC1"/>
    <w:pPr>
      <w:tabs>
        <w:tab w:val="left" w:pos="851"/>
      </w:tabs>
      <w:jc w:val="left"/>
    </w:pPr>
    <w:rPr>
      <w:sz w:val="24"/>
    </w:rPr>
  </w:style>
  <w:style w:type="paragraph" w:customStyle="1" w:styleId="TableNoS2">
    <w:name w:val="Table_No_S2"/>
    <w:basedOn w:val="TableNo"/>
    <w:next w:val="TabletitleS2"/>
    <w:rsid w:val="00865BC1"/>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865BC1"/>
    <w:pPr>
      <w:keepNext w:val="0"/>
      <w:tabs>
        <w:tab w:val="clear" w:pos="2948"/>
        <w:tab w:val="clear" w:pos="4082"/>
        <w:tab w:val="left" w:pos="851"/>
      </w:tabs>
      <w:jc w:val="left"/>
    </w:pPr>
  </w:style>
  <w:style w:type="paragraph" w:customStyle="1" w:styleId="TabletextS2">
    <w:name w:val="Table_text_S2"/>
    <w:basedOn w:val="Tabletext"/>
    <w:rsid w:val="00865BC1"/>
    <w:pPr>
      <w:tabs>
        <w:tab w:val="left" w:pos="851"/>
      </w:tabs>
    </w:pPr>
    <w:rPr>
      <w:b/>
    </w:rPr>
  </w:style>
  <w:style w:type="paragraph" w:customStyle="1" w:styleId="TablelegendS2">
    <w:name w:val="Table_legend_S2"/>
    <w:basedOn w:val="Tablelegend"/>
    <w:rsid w:val="00865BC1"/>
    <w:pPr>
      <w:tabs>
        <w:tab w:val="left" w:pos="851"/>
      </w:tabs>
      <w:spacing w:after="0"/>
    </w:pPr>
    <w:rPr>
      <w:b/>
    </w:rPr>
  </w:style>
  <w:style w:type="paragraph" w:customStyle="1" w:styleId="FooterS2">
    <w:name w:val="Footer_S2"/>
    <w:basedOn w:val="Footer"/>
    <w:rsid w:val="00865BC1"/>
    <w:pPr>
      <w:tabs>
        <w:tab w:val="clear" w:pos="5954"/>
        <w:tab w:val="clear" w:pos="9639"/>
        <w:tab w:val="left" w:pos="3686"/>
        <w:tab w:val="right" w:pos="7655"/>
      </w:tabs>
      <w:ind w:left="-1985"/>
    </w:pPr>
  </w:style>
  <w:style w:type="paragraph" w:customStyle="1" w:styleId="HeaderS2">
    <w:name w:val="Header_S2"/>
    <w:basedOn w:val="Normal"/>
    <w:rsid w:val="00865BC1"/>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865BC1"/>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865BC1"/>
    <w:pPr>
      <w:tabs>
        <w:tab w:val="left" w:pos="851"/>
      </w:tabs>
      <w:jc w:val="left"/>
    </w:pPr>
  </w:style>
  <w:style w:type="paragraph" w:customStyle="1" w:styleId="NoteS2">
    <w:name w:val="Note_S2"/>
    <w:basedOn w:val="Note"/>
    <w:rsid w:val="00865BC1"/>
    <w:pPr>
      <w:tabs>
        <w:tab w:val="clear" w:pos="1134"/>
        <w:tab w:val="clear" w:pos="1701"/>
        <w:tab w:val="clear" w:pos="2268"/>
        <w:tab w:val="clear" w:pos="2835"/>
      </w:tabs>
    </w:pPr>
    <w:rPr>
      <w:b/>
    </w:rPr>
  </w:style>
  <w:style w:type="paragraph" w:customStyle="1" w:styleId="Heading1c">
    <w:name w:val="Heading 1c"/>
    <w:basedOn w:val="Heading1"/>
    <w:next w:val="Normal"/>
    <w:rsid w:val="00865BC1"/>
    <w:pPr>
      <w:ind w:left="0" w:firstLine="0"/>
      <w:jc w:val="center"/>
      <w:outlineLvl w:val="9"/>
    </w:pPr>
  </w:style>
  <w:style w:type="paragraph" w:customStyle="1" w:styleId="Heading2i">
    <w:name w:val="Heading 2i"/>
    <w:basedOn w:val="Heading2"/>
    <w:next w:val="Normal"/>
    <w:rsid w:val="00865BC1"/>
    <w:rPr>
      <w:b w:val="0"/>
      <w:i/>
    </w:rPr>
  </w:style>
  <w:style w:type="paragraph" w:customStyle="1" w:styleId="Heading1cS2">
    <w:name w:val="Heading 1c_S2"/>
    <w:basedOn w:val="Heading1c"/>
    <w:next w:val="NormalS2"/>
    <w:rsid w:val="00865BC1"/>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865BC1"/>
    <w:rPr>
      <w:caps w:val="0"/>
    </w:rPr>
  </w:style>
  <w:style w:type="paragraph" w:customStyle="1" w:styleId="Headingb">
    <w:name w:val="Heading_b"/>
    <w:basedOn w:val="Heading3"/>
    <w:next w:val="Normal"/>
    <w:rsid w:val="00865BC1"/>
    <w:pPr>
      <w:spacing w:before="160"/>
      <w:outlineLvl w:val="0"/>
    </w:pPr>
  </w:style>
  <w:style w:type="paragraph" w:styleId="TOC9">
    <w:name w:val="toc 9"/>
    <w:basedOn w:val="Normal"/>
    <w:next w:val="Normal"/>
    <w:rsid w:val="00865BC1"/>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865BC1"/>
    <w:pPr>
      <w:spacing w:before="160"/>
      <w:outlineLvl w:val="0"/>
    </w:pPr>
    <w:rPr>
      <w:b w:val="0"/>
      <w:i/>
    </w:rPr>
  </w:style>
  <w:style w:type="paragraph" w:customStyle="1" w:styleId="HeadingbS2">
    <w:name w:val="Headingb_S2"/>
    <w:basedOn w:val="Headingb"/>
    <w:next w:val="NormalS2"/>
    <w:rsid w:val="00865BC1"/>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865BC1"/>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865BC1"/>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865BC1"/>
    <w:rPr>
      <w:rFonts w:ascii="Calibri" w:hAnsi="Calibri"/>
    </w:rPr>
  </w:style>
  <w:style w:type="character" w:styleId="Hyperlink">
    <w:name w:val="Hyperlink"/>
    <w:basedOn w:val="DefaultParagraphFont"/>
    <w:uiPriority w:val="99"/>
    <w:rsid w:val="00865BC1"/>
    <w:rPr>
      <w:rFonts w:ascii="Calibri" w:hAnsi="Calibri"/>
      <w:color w:val="0000FF"/>
      <w:u w:val="single"/>
    </w:rPr>
  </w:style>
  <w:style w:type="paragraph" w:customStyle="1" w:styleId="firstfooter0">
    <w:name w:val="firstfooter"/>
    <w:basedOn w:val="Normal"/>
    <w:rsid w:val="00865BC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865BC1"/>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865BC1"/>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865BC1"/>
    <w:pPr>
      <w:spacing w:before="320"/>
      <w:outlineLvl w:val="1"/>
    </w:pPr>
    <w:rPr>
      <w:sz w:val="24"/>
    </w:rPr>
  </w:style>
  <w:style w:type="paragraph" w:customStyle="1" w:styleId="Heading3pv">
    <w:name w:val="Heading 3pv"/>
    <w:basedOn w:val="Heading1pv"/>
    <w:next w:val="Normalpv"/>
    <w:rsid w:val="00865BC1"/>
    <w:pPr>
      <w:spacing w:before="200"/>
      <w:outlineLvl w:val="2"/>
    </w:pPr>
    <w:rPr>
      <w:sz w:val="24"/>
    </w:rPr>
  </w:style>
  <w:style w:type="paragraph" w:customStyle="1" w:styleId="NormalendS2">
    <w:name w:val="Normal_end_S2"/>
    <w:basedOn w:val="Normal"/>
    <w:qFormat/>
    <w:rsid w:val="00865BC1"/>
  </w:style>
  <w:style w:type="paragraph" w:customStyle="1" w:styleId="Dectitle">
    <w:name w:val="Dec_title"/>
    <w:basedOn w:val="Restitle"/>
    <w:next w:val="Normalaftertitle"/>
    <w:qFormat/>
    <w:rsid w:val="00865BC1"/>
  </w:style>
  <w:style w:type="paragraph" w:customStyle="1" w:styleId="DecNo">
    <w:name w:val="Dec_No"/>
    <w:basedOn w:val="ResNo"/>
    <w:next w:val="Dectitle"/>
    <w:qFormat/>
    <w:rsid w:val="00865BC1"/>
  </w:style>
  <w:style w:type="paragraph" w:customStyle="1" w:styleId="DectitleS2">
    <w:name w:val="Dec_title_S2"/>
    <w:basedOn w:val="RestitleS2"/>
    <w:next w:val="Normal"/>
    <w:qFormat/>
    <w:rsid w:val="00865BC1"/>
  </w:style>
  <w:style w:type="paragraph" w:customStyle="1" w:styleId="DecNoS2">
    <w:name w:val="Dec_No_S2"/>
    <w:basedOn w:val="ResNoS2"/>
    <w:next w:val="DectitleS2"/>
    <w:qFormat/>
    <w:rsid w:val="00865BC1"/>
  </w:style>
  <w:style w:type="paragraph" w:customStyle="1" w:styleId="SectionNo">
    <w:name w:val="Section_No"/>
    <w:basedOn w:val="ArtNo"/>
    <w:next w:val="Normal"/>
    <w:qFormat/>
    <w:rsid w:val="00865BC1"/>
    <w:rPr>
      <w:lang w:val="en-GB"/>
    </w:rPr>
  </w:style>
  <w:style w:type="paragraph" w:customStyle="1" w:styleId="SectionNoS2">
    <w:name w:val="Section_No_S2"/>
    <w:basedOn w:val="ArtNoS2"/>
    <w:next w:val="Normal"/>
    <w:qFormat/>
    <w:rsid w:val="00865BC1"/>
    <w:rPr>
      <w:lang w:val="en-GB"/>
    </w:rPr>
  </w:style>
  <w:style w:type="paragraph" w:customStyle="1" w:styleId="Sectiontitle">
    <w:name w:val="Section_title"/>
    <w:basedOn w:val="Arttitle"/>
    <w:next w:val="Normalaftertitle"/>
    <w:qFormat/>
    <w:rsid w:val="00865BC1"/>
    <w:rPr>
      <w:lang w:val="en-GB"/>
    </w:rPr>
  </w:style>
  <w:style w:type="paragraph" w:customStyle="1" w:styleId="SectiontitleS2">
    <w:name w:val="Section_title_S2"/>
    <w:basedOn w:val="ArttitleS2"/>
    <w:next w:val="Normal"/>
    <w:qFormat/>
    <w:rsid w:val="00865BC1"/>
    <w:rPr>
      <w:lang w:val="en-GB"/>
    </w:rPr>
  </w:style>
  <w:style w:type="paragraph" w:customStyle="1" w:styleId="Proposal">
    <w:name w:val="Proposal"/>
    <w:basedOn w:val="Normal"/>
    <w:next w:val="Normal"/>
    <w:rsid w:val="00865BC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865BC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865BC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865BC1"/>
    <w:rPr>
      <w:rFonts w:ascii="Calibri" w:hAnsi="Calibri"/>
      <w:sz w:val="18"/>
      <w:lang w:val="fr-FR" w:eastAsia="en-US"/>
    </w:rPr>
  </w:style>
  <w:style w:type="paragraph" w:styleId="BalloonText">
    <w:name w:val="Balloon Text"/>
    <w:basedOn w:val="Normal"/>
    <w:link w:val="BalloonTextChar"/>
    <w:rsid w:val="00865BC1"/>
    <w:pPr>
      <w:spacing w:before="0"/>
    </w:pPr>
    <w:rPr>
      <w:rFonts w:ascii="Tahoma" w:hAnsi="Tahoma" w:cs="Tahoma"/>
      <w:sz w:val="16"/>
      <w:szCs w:val="16"/>
    </w:rPr>
  </w:style>
  <w:style w:type="character" w:customStyle="1" w:styleId="BalloonTextChar">
    <w:name w:val="Balloon Text Char"/>
    <w:basedOn w:val="DefaultParagraphFont"/>
    <w:link w:val="BalloonText"/>
    <w:rsid w:val="00865BC1"/>
    <w:rPr>
      <w:rFonts w:ascii="Tahoma" w:hAnsi="Tahoma" w:cs="Tahoma"/>
      <w:sz w:val="16"/>
      <w:szCs w:val="16"/>
      <w:lang w:val="fr-FR" w:eastAsia="en-US"/>
    </w:rPr>
  </w:style>
  <w:style w:type="paragraph" w:styleId="ListParagraph">
    <w:name w:val="List Paragraph"/>
    <w:basedOn w:val="Normal"/>
    <w:uiPriority w:val="34"/>
    <w:qFormat/>
    <w:rsid w:val="00896897"/>
    <w:pPr>
      <w:ind w:left="720"/>
      <w:contextualSpacing/>
    </w:pPr>
    <w:rPr>
      <w:lang w:val="en-GB"/>
    </w:rPr>
  </w:style>
  <w:style w:type="paragraph" w:customStyle="1" w:styleId="Table">
    <w:name w:val="Table_#"/>
    <w:basedOn w:val="Normal"/>
    <w:next w:val="Normal"/>
    <w:rsid w:val="00896897"/>
    <w:pPr>
      <w:keepNext/>
      <w:tabs>
        <w:tab w:val="left" w:pos="794"/>
        <w:tab w:val="left" w:pos="1191"/>
        <w:tab w:val="left" w:pos="1588"/>
        <w:tab w:val="left" w:pos="1985"/>
      </w:tabs>
      <w:spacing w:before="560" w:after="120"/>
      <w:jc w:val="center"/>
    </w:pPr>
    <w:rPr>
      <w:rFonts w:ascii="Times New Roman" w:hAnsi="Times New Roman"/>
      <w:caps/>
      <w:lang w:val="en-GB"/>
    </w:rPr>
  </w:style>
  <w:style w:type="table" w:styleId="TableGrid">
    <w:name w:val="Table Grid"/>
    <w:basedOn w:val="TableNormal"/>
    <w:uiPriority w:val="59"/>
    <w:rsid w:val="00896897"/>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C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65BC1"/>
    <w:pPr>
      <w:keepNext/>
      <w:keepLines/>
      <w:spacing w:before="480"/>
      <w:ind w:left="567" w:hanging="567"/>
      <w:outlineLvl w:val="0"/>
    </w:pPr>
    <w:rPr>
      <w:b/>
      <w:sz w:val="28"/>
    </w:rPr>
  </w:style>
  <w:style w:type="paragraph" w:styleId="Heading2">
    <w:name w:val="heading 2"/>
    <w:basedOn w:val="Heading1"/>
    <w:next w:val="Normal"/>
    <w:qFormat/>
    <w:rsid w:val="00865BC1"/>
    <w:pPr>
      <w:spacing w:before="320"/>
      <w:outlineLvl w:val="1"/>
    </w:pPr>
    <w:rPr>
      <w:sz w:val="24"/>
    </w:rPr>
  </w:style>
  <w:style w:type="paragraph" w:styleId="Heading3">
    <w:name w:val="heading 3"/>
    <w:basedOn w:val="Heading1"/>
    <w:next w:val="Normal"/>
    <w:qFormat/>
    <w:rsid w:val="00865BC1"/>
    <w:pPr>
      <w:spacing w:before="200"/>
      <w:outlineLvl w:val="2"/>
    </w:pPr>
    <w:rPr>
      <w:sz w:val="24"/>
    </w:rPr>
  </w:style>
  <w:style w:type="paragraph" w:styleId="Heading4">
    <w:name w:val="heading 4"/>
    <w:basedOn w:val="Heading3"/>
    <w:next w:val="Normal"/>
    <w:qFormat/>
    <w:rsid w:val="00865BC1"/>
    <w:pPr>
      <w:ind w:left="1134" w:hanging="1134"/>
      <w:outlineLvl w:val="3"/>
    </w:pPr>
  </w:style>
  <w:style w:type="paragraph" w:styleId="Heading5">
    <w:name w:val="heading 5"/>
    <w:basedOn w:val="Heading4"/>
    <w:next w:val="Normal"/>
    <w:qFormat/>
    <w:rsid w:val="00865BC1"/>
    <w:pPr>
      <w:outlineLvl w:val="4"/>
    </w:pPr>
  </w:style>
  <w:style w:type="paragraph" w:styleId="Heading6">
    <w:name w:val="heading 6"/>
    <w:basedOn w:val="Heading4"/>
    <w:next w:val="Normal"/>
    <w:qFormat/>
    <w:rsid w:val="00865BC1"/>
    <w:pPr>
      <w:outlineLvl w:val="5"/>
    </w:pPr>
  </w:style>
  <w:style w:type="paragraph" w:styleId="Heading7">
    <w:name w:val="heading 7"/>
    <w:basedOn w:val="Heading4"/>
    <w:next w:val="Normal"/>
    <w:qFormat/>
    <w:rsid w:val="00865BC1"/>
    <w:pPr>
      <w:ind w:left="1701" w:hanging="1701"/>
      <w:outlineLvl w:val="6"/>
    </w:pPr>
  </w:style>
  <w:style w:type="paragraph" w:styleId="Heading8">
    <w:name w:val="heading 8"/>
    <w:basedOn w:val="Heading4"/>
    <w:next w:val="Normal"/>
    <w:qFormat/>
    <w:rsid w:val="00865BC1"/>
    <w:pPr>
      <w:ind w:left="1701" w:hanging="1701"/>
      <w:outlineLvl w:val="7"/>
    </w:pPr>
  </w:style>
  <w:style w:type="paragraph" w:styleId="Heading9">
    <w:name w:val="heading 9"/>
    <w:basedOn w:val="Heading4"/>
    <w:next w:val="Normal"/>
    <w:qFormat/>
    <w:rsid w:val="00865BC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65BC1"/>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65BC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65BC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865BC1"/>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865BC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65BC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65BC1"/>
    <w:rPr>
      <w:rFonts w:ascii="Calibri" w:hAnsi="Calibri"/>
      <w:position w:val="6"/>
      <w:sz w:val="16"/>
    </w:rPr>
  </w:style>
  <w:style w:type="paragraph" w:styleId="FootnoteText">
    <w:name w:val="footnote text"/>
    <w:basedOn w:val="Normal"/>
    <w:rsid w:val="00865BC1"/>
    <w:pPr>
      <w:keepLines/>
      <w:tabs>
        <w:tab w:val="left" w:pos="256"/>
      </w:tabs>
      <w:ind w:left="256" w:hanging="256"/>
    </w:pPr>
  </w:style>
  <w:style w:type="paragraph" w:styleId="NormalIndent">
    <w:name w:val="Normal Indent"/>
    <w:basedOn w:val="Normal"/>
    <w:rsid w:val="00865BC1"/>
    <w:pPr>
      <w:ind w:left="567"/>
    </w:pPr>
  </w:style>
  <w:style w:type="paragraph" w:customStyle="1" w:styleId="Tablelegend">
    <w:name w:val="Table_legend"/>
    <w:basedOn w:val="Tabletext"/>
    <w:rsid w:val="00865BC1"/>
    <w:pPr>
      <w:spacing w:before="120"/>
    </w:pPr>
  </w:style>
  <w:style w:type="paragraph" w:customStyle="1" w:styleId="Tabletext">
    <w:name w:val="Table_text"/>
    <w:basedOn w:val="Normal"/>
    <w:rsid w:val="00865BC1"/>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865BC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65BC1"/>
    <w:pPr>
      <w:keepNext/>
      <w:spacing w:before="560" w:after="120"/>
      <w:jc w:val="center"/>
    </w:pPr>
    <w:rPr>
      <w:caps/>
    </w:rPr>
  </w:style>
  <w:style w:type="paragraph" w:customStyle="1" w:styleId="enumlev1">
    <w:name w:val="enumlev1"/>
    <w:basedOn w:val="Normal"/>
    <w:rsid w:val="00865BC1"/>
    <w:pPr>
      <w:spacing w:before="86"/>
      <w:ind w:left="567" w:hanging="567"/>
    </w:pPr>
  </w:style>
  <w:style w:type="paragraph" w:customStyle="1" w:styleId="enumlev2">
    <w:name w:val="enumlev2"/>
    <w:basedOn w:val="enumlev1"/>
    <w:rsid w:val="00865BC1"/>
    <w:pPr>
      <w:ind w:left="1134"/>
    </w:pPr>
  </w:style>
  <w:style w:type="paragraph" w:customStyle="1" w:styleId="enumlev3">
    <w:name w:val="enumlev3"/>
    <w:basedOn w:val="enumlev2"/>
    <w:rsid w:val="00865BC1"/>
    <w:pPr>
      <w:ind w:left="1701"/>
    </w:pPr>
  </w:style>
  <w:style w:type="paragraph" w:customStyle="1" w:styleId="Tablehead">
    <w:name w:val="Table_head"/>
    <w:basedOn w:val="Tabletext"/>
    <w:rsid w:val="00865BC1"/>
    <w:pPr>
      <w:spacing w:before="120" w:after="120"/>
      <w:jc w:val="center"/>
    </w:pPr>
    <w:rPr>
      <w:b/>
    </w:rPr>
  </w:style>
  <w:style w:type="paragraph" w:customStyle="1" w:styleId="Normalaftertitle">
    <w:name w:val="Normal after title"/>
    <w:basedOn w:val="Normal"/>
    <w:next w:val="Normal"/>
    <w:rsid w:val="00865BC1"/>
    <w:pPr>
      <w:spacing w:before="240"/>
    </w:pPr>
  </w:style>
  <w:style w:type="paragraph" w:customStyle="1" w:styleId="AnnexNo">
    <w:name w:val="Annex_No"/>
    <w:basedOn w:val="Normal"/>
    <w:next w:val="Annexref"/>
    <w:rsid w:val="00865BC1"/>
    <w:pPr>
      <w:spacing w:before="720"/>
      <w:jc w:val="center"/>
    </w:pPr>
    <w:rPr>
      <w:caps/>
      <w:sz w:val="28"/>
    </w:rPr>
  </w:style>
  <w:style w:type="paragraph" w:customStyle="1" w:styleId="Annexref">
    <w:name w:val="Annex_ref"/>
    <w:basedOn w:val="Normal"/>
    <w:next w:val="Annextitle"/>
    <w:rsid w:val="00865BC1"/>
    <w:pPr>
      <w:jc w:val="center"/>
    </w:pPr>
    <w:rPr>
      <w:sz w:val="28"/>
    </w:rPr>
  </w:style>
  <w:style w:type="paragraph" w:customStyle="1" w:styleId="Annextitle">
    <w:name w:val="Annex_title"/>
    <w:basedOn w:val="Normal"/>
    <w:next w:val="Normal"/>
    <w:rsid w:val="00865BC1"/>
    <w:pPr>
      <w:spacing w:before="240" w:after="240"/>
      <w:jc w:val="center"/>
    </w:pPr>
    <w:rPr>
      <w:b/>
      <w:sz w:val="28"/>
    </w:rPr>
  </w:style>
  <w:style w:type="paragraph" w:customStyle="1" w:styleId="AppendixNo">
    <w:name w:val="Appendix_No"/>
    <w:basedOn w:val="AnnexNo"/>
    <w:next w:val="Appendixref"/>
    <w:rsid w:val="00865BC1"/>
  </w:style>
  <w:style w:type="paragraph" w:customStyle="1" w:styleId="Appendixref">
    <w:name w:val="Appendix_ref"/>
    <w:basedOn w:val="Annexref"/>
    <w:next w:val="Appendixtitle"/>
    <w:rsid w:val="00865BC1"/>
  </w:style>
  <w:style w:type="paragraph" w:customStyle="1" w:styleId="Appendixtitle">
    <w:name w:val="Appendix_title"/>
    <w:basedOn w:val="Annextitle"/>
    <w:next w:val="Normal"/>
    <w:rsid w:val="00865BC1"/>
  </w:style>
  <w:style w:type="paragraph" w:customStyle="1" w:styleId="Reftitle">
    <w:name w:val="Ref_title"/>
    <w:basedOn w:val="Normal"/>
    <w:next w:val="Reftext"/>
    <w:rsid w:val="00865BC1"/>
    <w:pPr>
      <w:spacing w:before="480"/>
      <w:jc w:val="center"/>
    </w:pPr>
    <w:rPr>
      <w:caps/>
      <w:sz w:val="28"/>
    </w:rPr>
  </w:style>
  <w:style w:type="paragraph" w:customStyle="1" w:styleId="Reftext">
    <w:name w:val="Ref_text"/>
    <w:basedOn w:val="Normal"/>
    <w:rsid w:val="00865BC1"/>
    <w:pPr>
      <w:ind w:left="567" w:hanging="567"/>
    </w:pPr>
  </w:style>
  <w:style w:type="paragraph" w:customStyle="1" w:styleId="Rectitle">
    <w:name w:val="Rec_title"/>
    <w:basedOn w:val="Normal"/>
    <w:next w:val="Heading1"/>
    <w:rsid w:val="00865BC1"/>
    <w:pPr>
      <w:spacing w:before="240"/>
      <w:jc w:val="center"/>
    </w:pPr>
    <w:rPr>
      <w:b/>
      <w:sz w:val="28"/>
    </w:rPr>
  </w:style>
  <w:style w:type="paragraph" w:customStyle="1" w:styleId="Call">
    <w:name w:val="Call"/>
    <w:basedOn w:val="Normal"/>
    <w:next w:val="Normal"/>
    <w:rsid w:val="00865BC1"/>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865BC1"/>
    <w:pPr>
      <w:spacing w:before="720"/>
      <w:jc w:val="center"/>
    </w:pPr>
    <w:rPr>
      <w:caps/>
      <w:sz w:val="28"/>
    </w:rPr>
  </w:style>
  <w:style w:type="paragraph" w:customStyle="1" w:styleId="toc0">
    <w:name w:val="toc 0"/>
    <w:basedOn w:val="Normal"/>
    <w:next w:val="TOC1"/>
    <w:rsid w:val="00865B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865BC1"/>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865BC1"/>
    <w:pPr>
      <w:tabs>
        <w:tab w:val="clear" w:pos="567"/>
        <w:tab w:val="left" w:pos="851"/>
      </w:tabs>
    </w:pPr>
  </w:style>
  <w:style w:type="paragraph" w:customStyle="1" w:styleId="MinusFootnote">
    <w:name w:val="MinusFootnote"/>
    <w:basedOn w:val="Normal"/>
    <w:rsid w:val="00865BC1"/>
    <w:pPr>
      <w:ind w:left="-1701" w:hanging="284"/>
    </w:pPr>
  </w:style>
  <w:style w:type="paragraph" w:customStyle="1" w:styleId="Title3">
    <w:name w:val="Title 3"/>
    <w:basedOn w:val="Title2"/>
    <w:next w:val="Normalaftertitle"/>
    <w:rsid w:val="00865BC1"/>
    <w:rPr>
      <w:caps w:val="0"/>
    </w:rPr>
  </w:style>
  <w:style w:type="paragraph" w:customStyle="1" w:styleId="Title2">
    <w:name w:val="Title 2"/>
    <w:basedOn w:val="Source"/>
    <w:next w:val="Title3"/>
    <w:rsid w:val="00865BC1"/>
    <w:pPr>
      <w:spacing w:before="240"/>
    </w:pPr>
    <w:rPr>
      <w:b w:val="0"/>
      <w:caps/>
    </w:rPr>
  </w:style>
  <w:style w:type="paragraph" w:customStyle="1" w:styleId="Source">
    <w:name w:val="Source"/>
    <w:basedOn w:val="Normal"/>
    <w:next w:val="Title1"/>
    <w:rsid w:val="00865BC1"/>
    <w:pPr>
      <w:spacing w:before="840"/>
      <w:jc w:val="center"/>
    </w:pPr>
    <w:rPr>
      <w:b/>
      <w:sz w:val="28"/>
    </w:rPr>
  </w:style>
  <w:style w:type="paragraph" w:customStyle="1" w:styleId="Title1">
    <w:name w:val="Title 1"/>
    <w:basedOn w:val="Source"/>
    <w:next w:val="Title2"/>
    <w:rsid w:val="00865BC1"/>
    <w:pPr>
      <w:spacing w:before="240"/>
    </w:pPr>
    <w:rPr>
      <w:b w:val="0"/>
      <w:caps/>
    </w:rPr>
  </w:style>
  <w:style w:type="paragraph" w:customStyle="1" w:styleId="ArtNo">
    <w:name w:val="Art_No"/>
    <w:basedOn w:val="Normal"/>
    <w:next w:val="Arttitle"/>
    <w:rsid w:val="00865BC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65BC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65BC1"/>
  </w:style>
  <w:style w:type="paragraph" w:customStyle="1" w:styleId="Chaptitle">
    <w:name w:val="Chap_title"/>
    <w:basedOn w:val="Arttitle"/>
    <w:next w:val="Normal"/>
    <w:rsid w:val="00865BC1"/>
  </w:style>
  <w:style w:type="paragraph" w:customStyle="1" w:styleId="Reasons">
    <w:name w:val="Reasons"/>
    <w:basedOn w:val="Normal"/>
    <w:qFormat/>
    <w:rsid w:val="00865BC1"/>
  </w:style>
  <w:style w:type="paragraph" w:customStyle="1" w:styleId="ResNo">
    <w:name w:val="Res_No"/>
    <w:basedOn w:val="AnnexNo"/>
    <w:next w:val="Restitle"/>
    <w:rsid w:val="00865BC1"/>
  </w:style>
  <w:style w:type="paragraph" w:customStyle="1" w:styleId="Restitle">
    <w:name w:val="Res_title"/>
    <w:basedOn w:val="Annextitle"/>
    <w:next w:val="Normal"/>
    <w:rsid w:val="00865BC1"/>
  </w:style>
  <w:style w:type="paragraph" w:customStyle="1" w:styleId="AnnexNoS2">
    <w:name w:val="Annex_No_S2"/>
    <w:basedOn w:val="AnnexNo"/>
    <w:next w:val="AnnexrefS2"/>
    <w:rsid w:val="00865BC1"/>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865BC1"/>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865BC1"/>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865BC1"/>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865BC1"/>
    <w:rPr>
      <w:caps w:val="0"/>
    </w:rPr>
  </w:style>
  <w:style w:type="paragraph" w:customStyle="1" w:styleId="Section2">
    <w:name w:val="Section 2"/>
    <w:basedOn w:val="Section1"/>
    <w:next w:val="Normal"/>
    <w:rsid w:val="00865BC1"/>
    <w:pPr>
      <w:spacing w:before="240"/>
    </w:pPr>
    <w:rPr>
      <w:b/>
      <w:i/>
    </w:rPr>
  </w:style>
  <w:style w:type="paragraph" w:customStyle="1" w:styleId="AppendixNoS2">
    <w:name w:val="Appendix_No_S2"/>
    <w:basedOn w:val="AppendixNo"/>
    <w:next w:val="AppendixrefS2"/>
    <w:rsid w:val="00865BC1"/>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865BC1"/>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865BC1"/>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865BC1"/>
    <w:pPr>
      <w:tabs>
        <w:tab w:val="left" w:pos="851"/>
      </w:tabs>
      <w:jc w:val="left"/>
    </w:pPr>
    <w:rPr>
      <w:b/>
      <w:sz w:val="24"/>
    </w:rPr>
  </w:style>
  <w:style w:type="paragraph" w:customStyle="1" w:styleId="ArttitleS2">
    <w:name w:val="Art_title_S2"/>
    <w:basedOn w:val="Arttitle"/>
    <w:next w:val="NormalS2"/>
    <w:rsid w:val="00865BC1"/>
    <w:pPr>
      <w:tabs>
        <w:tab w:val="left" w:pos="851"/>
      </w:tabs>
      <w:jc w:val="left"/>
    </w:pPr>
    <w:rPr>
      <w:sz w:val="24"/>
    </w:rPr>
  </w:style>
  <w:style w:type="paragraph" w:customStyle="1" w:styleId="ChapNoS2">
    <w:name w:val="Chap_No_S2"/>
    <w:basedOn w:val="ChapNo"/>
    <w:next w:val="ChaptitleS2"/>
    <w:rsid w:val="00865BC1"/>
    <w:pPr>
      <w:tabs>
        <w:tab w:val="left" w:pos="851"/>
      </w:tabs>
      <w:jc w:val="left"/>
    </w:pPr>
    <w:rPr>
      <w:b/>
      <w:sz w:val="24"/>
    </w:rPr>
  </w:style>
  <w:style w:type="paragraph" w:customStyle="1" w:styleId="ChaptitleS2">
    <w:name w:val="Chap_title_S2"/>
    <w:basedOn w:val="Chaptitle"/>
    <w:next w:val="NormalS2"/>
    <w:rsid w:val="00865BC1"/>
    <w:pPr>
      <w:tabs>
        <w:tab w:val="left" w:pos="851"/>
      </w:tabs>
      <w:jc w:val="left"/>
    </w:pPr>
    <w:rPr>
      <w:sz w:val="24"/>
    </w:rPr>
  </w:style>
  <w:style w:type="paragraph" w:customStyle="1" w:styleId="enumlev1S2">
    <w:name w:val="enumlev1_S2"/>
    <w:basedOn w:val="enumlev1"/>
    <w:rsid w:val="00865BC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865BC1"/>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865BC1"/>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865BC1"/>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865BC1"/>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865BC1"/>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865BC1"/>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865BC1"/>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865BC1"/>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865BC1"/>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865BC1"/>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865BC1"/>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865BC1"/>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865BC1"/>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865BC1"/>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865BC1"/>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865BC1"/>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865BC1"/>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865BC1"/>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865BC1"/>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865BC1"/>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865BC1"/>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865BC1"/>
    <w:pPr>
      <w:tabs>
        <w:tab w:val="left" w:pos="851"/>
      </w:tabs>
      <w:jc w:val="left"/>
    </w:pPr>
    <w:rPr>
      <w:caps/>
      <w:sz w:val="24"/>
    </w:rPr>
  </w:style>
  <w:style w:type="paragraph" w:customStyle="1" w:styleId="Section2S2">
    <w:name w:val="Section 2_S2"/>
    <w:basedOn w:val="Section2"/>
    <w:next w:val="NormalS2"/>
    <w:rsid w:val="00865BC1"/>
    <w:pPr>
      <w:tabs>
        <w:tab w:val="left" w:pos="851"/>
      </w:tabs>
      <w:jc w:val="left"/>
    </w:pPr>
    <w:rPr>
      <w:sz w:val="24"/>
    </w:rPr>
  </w:style>
  <w:style w:type="paragraph" w:customStyle="1" w:styleId="TableNoS2">
    <w:name w:val="Table_No_S2"/>
    <w:basedOn w:val="TableNo"/>
    <w:next w:val="TabletitleS2"/>
    <w:rsid w:val="00865BC1"/>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865BC1"/>
    <w:pPr>
      <w:keepNext w:val="0"/>
      <w:tabs>
        <w:tab w:val="clear" w:pos="2948"/>
        <w:tab w:val="clear" w:pos="4082"/>
        <w:tab w:val="left" w:pos="851"/>
      </w:tabs>
      <w:jc w:val="left"/>
    </w:pPr>
  </w:style>
  <w:style w:type="paragraph" w:customStyle="1" w:styleId="TabletextS2">
    <w:name w:val="Table_text_S2"/>
    <w:basedOn w:val="Tabletext"/>
    <w:rsid w:val="00865BC1"/>
    <w:pPr>
      <w:tabs>
        <w:tab w:val="left" w:pos="851"/>
      </w:tabs>
    </w:pPr>
    <w:rPr>
      <w:b/>
    </w:rPr>
  </w:style>
  <w:style w:type="paragraph" w:customStyle="1" w:styleId="TablelegendS2">
    <w:name w:val="Table_legend_S2"/>
    <w:basedOn w:val="Tablelegend"/>
    <w:rsid w:val="00865BC1"/>
    <w:pPr>
      <w:tabs>
        <w:tab w:val="left" w:pos="851"/>
      </w:tabs>
      <w:spacing w:after="0"/>
    </w:pPr>
    <w:rPr>
      <w:b/>
    </w:rPr>
  </w:style>
  <w:style w:type="paragraph" w:customStyle="1" w:styleId="FooterS2">
    <w:name w:val="Footer_S2"/>
    <w:basedOn w:val="Footer"/>
    <w:rsid w:val="00865BC1"/>
    <w:pPr>
      <w:tabs>
        <w:tab w:val="clear" w:pos="5954"/>
        <w:tab w:val="clear" w:pos="9639"/>
        <w:tab w:val="left" w:pos="3686"/>
        <w:tab w:val="right" w:pos="7655"/>
      </w:tabs>
      <w:ind w:left="-1985"/>
    </w:pPr>
  </w:style>
  <w:style w:type="paragraph" w:customStyle="1" w:styleId="HeaderS2">
    <w:name w:val="Header_S2"/>
    <w:basedOn w:val="Normal"/>
    <w:rsid w:val="00865BC1"/>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865BC1"/>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865BC1"/>
    <w:pPr>
      <w:tabs>
        <w:tab w:val="left" w:pos="851"/>
      </w:tabs>
      <w:jc w:val="left"/>
    </w:pPr>
  </w:style>
  <w:style w:type="paragraph" w:customStyle="1" w:styleId="NoteS2">
    <w:name w:val="Note_S2"/>
    <w:basedOn w:val="Note"/>
    <w:rsid w:val="00865BC1"/>
    <w:pPr>
      <w:tabs>
        <w:tab w:val="clear" w:pos="1134"/>
        <w:tab w:val="clear" w:pos="1701"/>
        <w:tab w:val="clear" w:pos="2268"/>
        <w:tab w:val="clear" w:pos="2835"/>
      </w:tabs>
    </w:pPr>
    <w:rPr>
      <w:b/>
    </w:rPr>
  </w:style>
  <w:style w:type="paragraph" w:customStyle="1" w:styleId="Heading1c">
    <w:name w:val="Heading 1c"/>
    <w:basedOn w:val="Heading1"/>
    <w:next w:val="Normal"/>
    <w:rsid w:val="00865BC1"/>
    <w:pPr>
      <w:ind w:left="0" w:firstLine="0"/>
      <w:jc w:val="center"/>
      <w:outlineLvl w:val="9"/>
    </w:pPr>
  </w:style>
  <w:style w:type="paragraph" w:customStyle="1" w:styleId="Heading2i">
    <w:name w:val="Heading 2i"/>
    <w:basedOn w:val="Heading2"/>
    <w:next w:val="Normal"/>
    <w:rsid w:val="00865BC1"/>
    <w:rPr>
      <w:b w:val="0"/>
      <w:i/>
    </w:rPr>
  </w:style>
  <w:style w:type="paragraph" w:customStyle="1" w:styleId="Heading1cS2">
    <w:name w:val="Heading 1c_S2"/>
    <w:basedOn w:val="Heading1c"/>
    <w:next w:val="NormalS2"/>
    <w:rsid w:val="00865BC1"/>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865BC1"/>
    <w:rPr>
      <w:caps w:val="0"/>
    </w:rPr>
  </w:style>
  <w:style w:type="paragraph" w:customStyle="1" w:styleId="Headingb">
    <w:name w:val="Heading_b"/>
    <w:basedOn w:val="Heading3"/>
    <w:next w:val="Normal"/>
    <w:rsid w:val="00865BC1"/>
    <w:pPr>
      <w:spacing w:before="160"/>
      <w:outlineLvl w:val="0"/>
    </w:pPr>
  </w:style>
  <w:style w:type="paragraph" w:styleId="TOC9">
    <w:name w:val="toc 9"/>
    <w:basedOn w:val="Normal"/>
    <w:next w:val="Normal"/>
    <w:rsid w:val="00865BC1"/>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865BC1"/>
    <w:pPr>
      <w:spacing w:before="160"/>
      <w:outlineLvl w:val="0"/>
    </w:pPr>
    <w:rPr>
      <w:b w:val="0"/>
      <w:i/>
    </w:rPr>
  </w:style>
  <w:style w:type="paragraph" w:customStyle="1" w:styleId="HeadingbS2">
    <w:name w:val="Headingb_S2"/>
    <w:basedOn w:val="Headingb"/>
    <w:next w:val="NormalS2"/>
    <w:rsid w:val="00865BC1"/>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865BC1"/>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865BC1"/>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865BC1"/>
    <w:rPr>
      <w:rFonts w:ascii="Calibri" w:hAnsi="Calibri"/>
    </w:rPr>
  </w:style>
  <w:style w:type="character" w:styleId="Hyperlink">
    <w:name w:val="Hyperlink"/>
    <w:basedOn w:val="DefaultParagraphFont"/>
    <w:uiPriority w:val="99"/>
    <w:rsid w:val="00865BC1"/>
    <w:rPr>
      <w:rFonts w:ascii="Calibri" w:hAnsi="Calibri"/>
      <w:color w:val="0000FF"/>
      <w:u w:val="single"/>
    </w:rPr>
  </w:style>
  <w:style w:type="paragraph" w:customStyle="1" w:styleId="firstfooter0">
    <w:name w:val="firstfooter"/>
    <w:basedOn w:val="Normal"/>
    <w:rsid w:val="00865BC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865BC1"/>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865BC1"/>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865BC1"/>
    <w:pPr>
      <w:spacing w:before="320"/>
      <w:outlineLvl w:val="1"/>
    </w:pPr>
    <w:rPr>
      <w:sz w:val="24"/>
    </w:rPr>
  </w:style>
  <w:style w:type="paragraph" w:customStyle="1" w:styleId="Heading3pv">
    <w:name w:val="Heading 3pv"/>
    <w:basedOn w:val="Heading1pv"/>
    <w:next w:val="Normalpv"/>
    <w:rsid w:val="00865BC1"/>
    <w:pPr>
      <w:spacing w:before="200"/>
      <w:outlineLvl w:val="2"/>
    </w:pPr>
    <w:rPr>
      <w:sz w:val="24"/>
    </w:rPr>
  </w:style>
  <w:style w:type="paragraph" w:customStyle="1" w:styleId="NormalendS2">
    <w:name w:val="Normal_end_S2"/>
    <w:basedOn w:val="Normal"/>
    <w:qFormat/>
    <w:rsid w:val="00865BC1"/>
  </w:style>
  <w:style w:type="paragraph" w:customStyle="1" w:styleId="Dectitle">
    <w:name w:val="Dec_title"/>
    <w:basedOn w:val="Restitle"/>
    <w:next w:val="Normalaftertitle"/>
    <w:qFormat/>
    <w:rsid w:val="00865BC1"/>
  </w:style>
  <w:style w:type="paragraph" w:customStyle="1" w:styleId="DecNo">
    <w:name w:val="Dec_No"/>
    <w:basedOn w:val="ResNo"/>
    <w:next w:val="Dectitle"/>
    <w:qFormat/>
    <w:rsid w:val="00865BC1"/>
  </w:style>
  <w:style w:type="paragraph" w:customStyle="1" w:styleId="DectitleS2">
    <w:name w:val="Dec_title_S2"/>
    <w:basedOn w:val="RestitleS2"/>
    <w:next w:val="Normal"/>
    <w:qFormat/>
    <w:rsid w:val="00865BC1"/>
  </w:style>
  <w:style w:type="paragraph" w:customStyle="1" w:styleId="DecNoS2">
    <w:name w:val="Dec_No_S2"/>
    <w:basedOn w:val="ResNoS2"/>
    <w:next w:val="DectitleS2"/>
    <w:qFormat/>
    <w:rsid w:val="00865BC1"/>
  </w:style>
  <w:style w:type="paragraph" w:customStyle="1" w:styleId="SectionNo">
    <w:name w:val="Section_No"/>
    <w:basedOn w:val="ArtNo"/>
    <w:next w:val="Normal"/>
    <w:qFormat/>
    <w:rsid w:val="00865BC1"/>
    <w:rPr>
      <w:lang w:val="en-GB"/>
    </w:rPr>
  </w:style>
  <w:style w:type="paragraph" w:customStyle="1" w:styleId="SectionNoS2">
    <w:name w:val="Section_No_S2"/>
    <w:basedOn w:val="ArtNoS2"/>
    <w:next w:val="Normal"/>
    <w:qFormat/>
    <w:rsid w:val="00865BC1"/>
    <w:rPr>
      <w:lang w:val="en-GB"/>
    </w:rPr>
  </w:style>
  <w:style w:type="paragraph" w:customStyle="1" w:styleId="Sectiontitle">
    <w:name w:val="Section_title"/>
    <w:basedOn w:val="Arttitle"/>
    <w:next w:val="Normalaftertitle"/>
    <w:qFormat/>
    <w:rsid w:val="00865BC1"/>
    <w:rPr>
      <w:lang w:val="en-GB"/>
    </w:rPr>
  </w:style>
  <w:style w:type="paragraph" w:customStyle="1" w:styleId="SectiontitleS2">
    <w:name w:val="Section_title_S2"/>
    <w:basedOn w:val="ArttitleS2"/>
    <w:next w:val="Normal"/>
    <w:qFormat/>
    <w:rsid w:val="00865BC1"/>
    <w:rPr>
      <w:lang w:val="en-GB"/>
    </w:rPr>
  </w:style>
  <w:style w:type="paragraph" w:customStyle="1" w:styleId="Proposal">
    <w:name w:val="Proposal"/>
    <w:basedOn w:val="Normal"/>
    <w:next w:val="Normal"/>
    <w:rsid w:val="00865BC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865BC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865BC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865BC1"/>
    <w:rPr>
      <w:rFonts w:ascii="Calibri" w:hAnsi="Calibri"/>
      <w:sz w:val="18"/>
      <w:lang w:val="fr-FR" w:eastAsia="en-US"/>
    </w:rPr>
  </w:style>
  <w:style w:type="paragraph" w:styleId="BalloonText">
    <w:name w:val="Balloon Text"/>
    <w:basedOn w:val="Normal"/>
    <w:link w:val="BalloonTextChar"/>
    <w:rsid w:val="00865BC1"/>
    <w:pPr>
      <w:spacing w:before="0"/>
    </w:pPr>
    <w:rPr>
      <w:rFonts w:ascii="Tahoma" w:hAnsi="Tahoma" w:cs="Tahoma"/>
      <w:sz w:val="16"/>
      <w:szCs w:val="16"/>
    </w:rPr>
  </w:style>
  <w:style w:type="character" w:customStyle="1" w:styleId="BalloonTextChar">
    <w:name w:val="Balloon Text Char"/>
    <w:basedOn w:val="DefaultParagraphFont"/>
    <w:link w:val="BalloonText"/>
    <w:rsid w:val="00865BC1"/>
    <w:rPr>
      <w:rFonts w:ascii="Tahoma" w:hAnsi="Tahoma" w:cs="Tahoma"/>
      <w:sz w:val="16"/>
      <w:szCs w:val="16"/>
      <w:lang w:val="fr-FR" w:eastAsia="en-US"/>
    </w:rPr>
  </w:style>
  <w:style w:type="paragraph" w:styleId="ListParagraph">
    <w:name w:val="List Paragraph"/>
    <w:basedOn w:val="Normal"/>
    <w:uiPriority w:val="34"/>
    <w:qFormat/>
    <w:rsid w:val="00896897"/>
    <w:pPr>
      <w:ind w:left="720"/>
      <w:contextualSpacing/>
    </w:pPr>
    <w:rPr>
      <w:lang w:val="en-GB"/>
    </w:rPr>
  </w:style>
  <w:style w:type="paragraph" w:customStyle="1" w:styleId="Table">
    <w:name w:val="Table_#"/>
    <w:basedOn w:val="Normal"/>
    <w:next w:val="Normal"/>
    <w:rsid w:val="00896897"/>
    <w:pPr>
      <w:keepNext/>
      <w:tabs>
        <w:tab w:val="left" w:pos="794"/>
        <w:tab w:val="left" w:pos="1191"/>
        <w:tab w:val="left" w:pos="1588"/>
        <w:tab w:val="left" w:pos="1985"/>
      </w:tabs>
      <w:spacing w:before="560" w:after="120"/>
      <w:jc w:val="center"/>
    </w:pPr>
    <w:rPr>
      <w:rFonts w:ascii="Times New Roman" w:hAnsi="Times New Roman"/>
      <w:caps/>
      <w:lang w:val="en-GB"/>
    </w:rPr>
  </w:style>
  <w:style w:type="table" w:styleId="TableGrid">
    <w:name w:val="Table Grid"/>
    <w:basedOn w:val="TableNormal"/>
    <w:uiPriority w:val="59"/>
    <w:rsid w:val="00896897"/>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council/Basic-Texts/convention-e.docx" TargetMode="External"/><Relationship Id="rId18" Type="http://schemas.openxmlformats.org/officeDocument/2006/relationships/hyperlink" Target="http://www.itu.int/council/Basic-Texts/ResDecRec-PP10-e.docx"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itu.int/pub/T-RES-T.71-2012" TargetMode="Externa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md/S14-PP-C-0061/en" TargetMode="External"/><Relationship Id="rId2" Type="http://schemas.openxmlformats.org/officeDocument/2006/relationships/styles" Target="styles.xml"/><Relationship Id="rId16" Type="http://schemas.openxmlformats.org/officeDocument/2006/relationships/hyperlink" Target="http://www.itu.int/council/Basic-Texts/ResDecRec-PP10-e.docx" TargetMode="External"/><Relationship Id="rId20" Type="http://schemas.openxmlformats.org/officeDocument/2006/relationships/hyperlink" Target="http://www.itu.int/pub/R-RES-R.43-20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council/Basic-Texts/constitution-e.docx" TargetMode="External"/><Relationship Id="rId24" Type="http://schemas.openxmlformats.org/officeDocument/2006/relationships/hyperlink" Target="http://www.itu.int/md/S14-CL-C-0108/en" TargetMode="External"/><Relationship Id="rId5" Type="http://schemas.openxmlformats.org/officeDocument/2006/relationships/webSettings" Target="webSettings.xml"/><Relationship Id="rId15" Type="http://schemas.openxmlformats.org/officeDocument/2006/relationships/hyperlink" Target="http://www.itu.int/itudoc/gs/council/c00/docs/28rev1.html" TargetMode="External"/><Relationship Id="rId23" Type="http://schemas.openxmlformats.org/officeDocument/2006/relationships/hyperlink" Target="http://www.itu.int/md/S14-PP-C-0053/en" TargetMode="External"/><Relationship Id="rId28" Type="http://schemas.openxmlformats.org/officeDocument/2006/relationships/footer" Target="footer2.xml"/><Relationship Id="rId10" Type="http://schemas.openxmlformats.org/officeDocument/2006/relationships/hyperlink" Target="http://www.itu.int/council/Basic-Texts/constitution-e.docx" TargetMode="External"/><Relationship Id="rId19" Type="http://schemas.openxmlformats.org/officeDocument/2006/relationships/hyperlink" Target="http://www.itu.int/council/Basic-Texts/ResDecRec-PP10-e.docx" TargetMode="External"/><Relationship Id="rId4" Type="http://schemas.openxmlformats.org/officeDocument/2006/relationships/settings" Target="settings.xml"/><Relationship Id="rId9" Type="http://schemas.openxmlformats.org/officeDocument/2006/relationships/hyperlink" Target="http://www.itu.int/council/Basic-Texts/constitution-e.docx" TargetMode="External"/><Relationship Id="rId14" Type="http://schemas.openxmlformats.org/officeDocument/2006/relationships/hyperlink" Target="http://www.itu.int/council/Basic-Texts/convention-e.docx" TargetMode="External"/><Relationship Id="rId22" Type="http://schemas.openxmlformats.org/officeDocument/2006/relationships/hyperlink" Target="http://www.itu.int/pub/T-RES-T.31-2012"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0</TotalTime>
  <Pages>16</Pages>
  <Words>5562</Words>
  <Characters>33163</Characters>
  <Application>Microsoft Office Word</Application>
  <DocSecurity>4</DocSecurity>
  <Lines>276</Lines>
  <Paragraphs>77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38648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Brouard, Ricarda</cp:lastModifiedBy>
  <cp:revision>2</cp:revision>
  <cp:lastPrinted>2014-09-16T11:50:00Z</cp:lastPrinted>
  <dcterms:created xsi:type="dcterms:W3CDTF">2014-09-17T09:39:00Z</dcterms:created>
  <dcterms:modified xsi:type="dcterms:W3CDTF">2014-09-17T09:39:00Z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