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FD6E3F">
        <w:trPr>
          <w:cantSplit/>
        </w:trPr>
        <w:tc>
          <w:tcPr>
            <w:tcW w:w="6911" w:type="dxa"/>
          </w:tcPr>
          <w:p w:rsidR="007E4D0F" w:rsidRPr="00FD6E3F" w:rsidRDefault="007E4D0F" w:rsidP="002A4122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FD6E3F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D37469" w:rsidRPr="00FD6E3F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FD6E3F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FD6E3F">
              <w:rPr>
                <w:rFonts w:ascii="Verdana" w:hAnsi="Verdana"/>
                <w:szCs w:val="22"/>
                <w:lang w:val="ru-RU"/>
              </w:rPr>
              <w:br/>
            </w:r>
            <w:r w:rsidR="00D37469" w:rsidRPr="00FD6E3F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7E4D0F" w:rsidRPr="00FD6E3F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FD6E3F">
              <w:rPr>
                <w:noProof/>
                <w:lang w:val="en-US" w:eastAsia="zh-CN"/>
              </w:rPr>
              <w:drawing>
                <wp:inline distT="0" distB="0" distL="0" distR="0" wp14:anchorId="200B1569" wp14:editId="644129C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FD6E3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FD6E3F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FD6E3F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FD6E3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FD6E3F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FD6E3F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7E4D0F" w:rsidRPr="00FD6E3F">
        <w:trPr>
          <w:cantSplit/>
          <w:trHeight w:val="23"/>
        </w:trPr>
        <w:tc>
          <w:tcPr>
            <w:tcW w:w="6911" w:type="dxa"/>
            <w:vMerge w:val="restart"/>
          </w:tcPr>
          <w:p w:rsidR="007E4D0F" w:rsidRPr="00FD6E3F" w:rsidRDefault="002C6425" w:rsidP="002C6425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bookmarkStart w:id="1" w:name="dmeeting" w:colFirst="0" w:colLast="0"/>
            <w:r w:rsidRPr="00FD6E3F">
              <w:rPr>
                <w:b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7E4D0F" w:rsidRPr="00FD6E3F" w:rsidRDefault="002C6425" w:rsidP="007A7CC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FD6E3F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A7CC5" w:rsidRPr="00FD6E3F">
              <w:rPr>
                <w:b/>
                <w:bCs/>
                <w:szCs w:val="22"/>
                <w:lang w:val="ru-RU"/>
              </w:rPr>
              <w:t>60</w:t>
            </w:r>
            <w:r w:rsidRPr="00FD6E3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7E4D0F" w:rsidRPr="00FD6E3F">
        <w:trPr>
          <w:cantSplit/>
          <w:trHeight w:val="23"/>
        </w:trPr>
        <w:tc>
          <w:tcPr>
            <w:tcW w:w="6911" w:type="dxa"/>
            <w:vMerge/>
          </w:tcPr>
          <w:p w:rsidR="007E4D0F" w:rsidRPr="00FD6E3F" w:rsidRDefault="007E4D0F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7E4D0F" w:rsidRPr="00FD6E3F" w:rsidRDefault="007A7CC5" w:rsidP="007A7CC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D6E3F">
              <w:rPr>
                <w:b/>
                <w:bCs/>
                <w:szCs w:val="22"/>
                <w:lang w:val="ru-RU"/>
              </w:rPr>
              <w:t>12</w:t>
            </w:r>
            <w:r w:rsidR="002C6425" w:rsidRPr="00FD6E3F">
              <w:rPr>
                <w:b/>
                <w:bCs/>
                <w:szCs w:val="22"/>
                <w:lang w:val="ru-RU"/>
              </w:rPr>
              <w:t xml:space="preserve"> </w:t>
            </w:r>
            <w:r w:rsidRPr="00FD6E3F">
              <w:rPr>
                <w:b/>
                <w:bCs/>
                <w:szCs w:val="22"/>
                <w:lang w:val="ru-RU"/>
              </w:rPr>
              <w:t xml:space="preserve">августа </w:t>
            </w:r>
            <w:r w:rsidR="002C6425" w:rsidRPr="00FD6E3F">
              <w:rPr>
                <w:b/>
                <w:bCs/>
                <w:szCs w:val="22"/>
                <w:lang w:val="ru-RU"/>
              </w:rPr>
              <w:t>201</w:t>
            </w:r>
            <w:r w:rsidRPr="00FD6E3F">
              <w:rPr>
                <w:b/>
                <w:bCs/>
                <w:szCs w:val="22"/>
                <w:lang w:val="ru-RU"/>
              </w:rPr>
              <w:t>4</w:t>
            </w:r>
            <w:r w:rsidR="002C6425" w:rsidRPr="00FD6E3F">
              <w:rPr>
                <w:b/>
                <w:bCs/>
                <w:szCs w:val="22"/>
                <w:lang w:val="ru-RU"/>
              </w:rPr>
              <w:t xml:space="preserve"> г</w:t>
            </w:r>
            <w:r w:rsidR="00436AA4" w:rsidRPr="00FD6E3F">
              <w:rPr>
                <w:b/>
                <w:bCs/>
                <w:szCs w:val="22"/>
                <w:lang w:val="ru-RU"/>
              </w:rPr>
              <w:t>ода</w:t>
            </w:r>
          </w:p>
        </w:tc>
      </w:tr>
      <w:tr w:rsidR="007E4D0F" w:rsidRPr="00FD6E3F">
        <w:trPr>
          <w:cantSplit/>
          <w:trHeight w:val="23"/>
        </w:trPr>
        <w:tc>
          <w:tcPr>
            <w:tcW w:w="6911" w:type="dxa"/>
            <w:vMerge/>
          </w:tcPr>
          <w:p w:rsidR="007E4D0F" w:rsidRPr="00FD6E3F" w:rsidRDefault="007E4D0F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7E4D0F" w:rsidRPr="00FD6E3F" w:rsidRDefault="002C642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D6E3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7E4D0F" w:rsidRPr="00FD6E3F">
        <w:trPr>
          <w:cantSplit/>
        </w:trPr>
        <w:tc>
          <w:tcPr>
            <w:tcW w:w="10031" w:type="dxa"/>
            <w:gridSpan w:val="2"/>
          </w:tcPr>
          <w:p w:rsidR="007E4D0F" w:rsidRPr="00FD6E3F" w:rsidRDefault="007A7CC5">
            <w:pPr>
              <w:pStyle w:val="Source"/>
              <w:rPr>
                <w:szCs w:val="26"/>
                <w:lang w:val="ru-RU"/>
              </w:rPr>
            </w:pPr>
            <w:bookmarkStart w:id="5" w:name="dsource" w:colFirst="0" w:colLast="0"/>
            <w:bookmarkEnd w:id="4"/>
            <w:r w:rsidRPr="00FD6E3F">
              <w:rPr>
                <w:lang w:val="ru-RU"/>
              </w:rPr>
              <w:t xml:space="preserve">Отчет </w:t>
            </w:r>
            <w:r w:rsidR="002C6425" w:rsidRPr="00FD6E3F">
              <w:rPr>
                <w:lang w:val="ru-RU"/>
              </w:rPr>
              <w:t>Генерального секретаря</w:t>
            </w:r>
          </w:p>
        </w:tc>
      </w:tr>
      <w:tr w:rsidR="007E4D0F" w:rsidRPr="009B2773">
        <w:trPr>
          <w:cantSplit/>
        </w:trPr>
        <w:tc>
          <w:tcPr>
            <w:tcW w:w="10031" w:type="dxa"/>
            <w:gridSpan w:val="2"/>
          </w:tcPr>
          <w:p w:rsidR="007E4D0F" w:rsidRPr="00FD6E3F" w:rsidRDefault="007A7CC5" w:rsidP="0021710E">
            <w:pPr>
              <w:pStyle w:val="Title1"/>
              <w:rPr>
                <w:szCs w:val="22"/>
                <w:lang w:val="ru-RU"/>
              </w:rPr>
            </w:pPr>
            <w:bookmarkStart w:id="6" w:name="dtitle1" w:colFirst="0" w:colLast="0"/>
            <w:bookmarkEnd w:id="5"/>
            <w:r w:rsidRPr="00FD6E3F">
              <w:rPr>
                <w:lang w:val="ru-RU"/>
              </w:rPr>
              <w:t xml:space="preserve">всеобъемлющий отчет о правах, обязанностях и условиях участия Членов Секторов, Ассоциированных Членов и академических организаций </w:t>
            </w:r>
          </w:p>
        </w:tc>
      </w:tr>
      <w:tr w:rsidR="005B2D16" w:rsidRPr="009B2773">
        <w:trPr>
          <w:cantSplit/>
        </w:trPr>
        <w:tc>
          <w:tcPr>
            <w:tcW w:w="10031" w:type="dxa"/>
            <w:gridSpan w:val="2"/>
          </w:tcPr>
          <w:p w:rsidR="005B2D16" w:rsidRPr="00FD6E3F" w:rsidRDefault="005B2D16" w:rsidP="005B2D16">
            <w:pPr>
              <w:pStyle w:val="Title2"/>
              <w:rPr>
                <w:lang w:val="ru-RU"/>
              </w:rPr>
            </w:pPr>
          </w:p>
        </w:tc>
      </w:tr>
    </w:tbl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3E08AE" w:rsidRPr="003E08AE" w:rsidTr="00CD0594">
        <w:trPr>
          <w:trHeight w:val="267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8AE" w:rsidRPr="00FD6E3F" w:rsidRDefault="003E08AE" w:rsidP="003E08AE">
            <w:pPr>
              <w:snapToGrid w:val="0"/>
              <w:spacing w:after="120"/>
              <w:rPr>
                <w:b/>
                <w:bCs/>
                <w:lang w:val="ru-RU"/>
              </w:rPr>
            </w:pPr>
            <w:bookmarkStart w:id="7" w:name="dbreak"/>
            <w:bookmarkEnd w:id="6"/>
            <w:bookmarkEnd w:id="7"/>
            <w:r w:rsidRPr="00FD6E3F">
              <w:rPr>
                <w:b/>
                <w:bCs/>
                <w:lang w:val="ru-RU"/>
              </w:rPr>
              <w:t>Резюме</w:t>
            </w:r>
          </w:p>
          <w:p w:rsidR="003E08AE" w:rsidRPr="00FD6E3F" w:rsidRDefault="003E08AE" w:rsidP="003E08AE">
            <w:pPr>
              <w:snapToGrid w:val="0"/>
              <w:spacing w:after="120"/>
              <w:rPr>
                <w:lang w:val="ru-RU"/>
              </w:rPr>
            </w:pPr>
            <w:r w:rsidRPr="00FD6E3F">
              <w:rPr>
                <w:lang w:val="ru-RU"/>
              </w:rPr>
              <w:t xml:space="preserve">В соответствии с поручением Совета 2014 года в настоящем документе представлен всеобъемлющий отчет Полномочной конференции о правах и обязанностях/условиях участия Членов Секторов, Ассоциированных членов и академических организаций, в зависимости от случая, в собраниях всех трех Секторов, а также в сессиях Совета и </w:t>
            </w:r>
            <w:r w:rsidR="002E0DB1" w:rsidRPr="00FD6E3F">
              <w:rPr>
                <w:lang w:val="ru-RU"/>
              </w:rPr>
              <w:t xml:space="preserve">полномочных </w:t>
            </w:r>
            <w:r w:rsidRPr="00FD6E3F">
              <w:rPr>
                <w:lang w:val="ru-RU"/>
              </w:rPr>
              <w:t xml:space="preserve">конференциях. </w:t>
            </w:r>
          </w:p>
          <w:p w:rsidR="003E08AE" w:rsidRPr="00FD6E3F" w:rsidRDefault="003E08AE" w:rsidP="003E08AE">
            <w:pPr>
              <w:snapToGrid w:val="0"/>
              <w:spacing w:after="120"/>
              <w:rPr>
                <w:b/>
                <w:bCs/>
                <w:lang w:val="ru-RU"/>
              </w:rPr>
            </w:pPr>
            <w:r w:rsidRPr="00FD6E3F">
              <w:rPr>
                <w:b/>
                <w:bCs/>
                <w:lang w:val="ru-RU"/>
              </w:rPr>
              <w:t>Необходимые действия</w:t>
            </w:r>
          </w:p>
          <w:p w:rsidR="003E08AE" w:rsidRPr="00FD6E3F" w:rsidRDefault="003E08AE" w:rsidP="003E08AE">
            <w:pPr>
              <w:snapToGrid w:val="0"/>
              <w:spacing w:after="120"/>
              <w:rPr>
                <w:b/>
                <w:bCs/>
                <w:lang w:val="ru-RU"/>
              </w:rPr>
            </w:pPr>
            <w:r w:rsidRPr="00FD6E3F">
              <w:rPr>
                <w:lang w:val="ru-RU"/>
              </w:rPr>
              <w:t xml:space="preserve">Полномочной конференции предлагается </w:t>
            </w:r>
            <w:r w:rsidRPr="00FD6E3F">
              <w:rPr>
                <w:b/>
                <w:bCs/>
                <w:lang w:val="ru-RU"/>
              </w:rPr>
              <w:t>принять к сведению</w:t>
            </w:r>
            <w:r w:rsidRPr="00FD6E3F">
              <w:rPr>
                <w:lang w:val="ru-RU"/>
              </w:rPr>
              <w:t xml:space="preserve"> настоящий документ и </w:t>
            </w:r>
            <w:r w:rsidRPr="00FD6E3F">
              <w:rPr>
                <w:b/>
                <w:bCs/>
                <w:lang w:val="ru-RU"/>
              </w:rPr>
              <w:t>рассмотреть и принять</w:t>
            </w:r>
            <w:r w:rsidRPr="00FD6E3F">
              <w:rPr>
                <w:lang w:val="ru-RU"/>
              </w:rPr>
              <w:t xml:space="preserve"> предложения по пересмотру Резолюций 152 (Пересм. Гвадалахара, 2010 г.), 158 (Пересм. Гвадалахара, 2010 г.), 169 (Гвадалахара, 2010 г.) и 170 (Гвадалахара, 2010 г.), а также по проекту новой Резолюции о рассмотрении существующих методик и будущей концепции, касающихся </w:t>
            </w:r>
            <w:r w:rsidRPr="00FD6E3F">
              <w:rPr>
                <w:cs/>
                <w:lang w:val="ru-RU"/>
              </w:rPr>
              <w:t>‎</w:t>
            </w:r>
            <w:r w:rsidRPr="00FD6E3F">
              <w:rPr>
                <w:lang w:val="ru-RU"/>
              </w:rPr>
              <w:t xml:space="preserve">участия Членов Секторов, Ассоциированных членов и академических организаций в </w:t>
            </w:r>
            <w:r w:rsidRPr="00FD6E3F">
              <w:rPr>
                <w:cs/>
                <w:lang w:val="ru-RU"/>
              </w:rPr>
              <w:t>‎</w:t>
            </w:r>
            <w:r w:rsidRPr="00FD6E3F">
              <w:rPr>
                <w:lang w:val="ru-RU"/>
              </w:rPr>
              <w:t xml:space="preserve">деятельности МСЭ. </w:t>
            </w:r>
          </w:p>
          <w:p w:rsidR="003E08AE" w:rsidRPr="00FD6E3F" w:rsidRDefault="003E08AE" w:rsidP="003E08AE">
            <w:pPr>
              <w:pStyle w:val="Table"/>
              <w:keepNext w:val="0"/>
              <w:snapToGrid w:val="0"/>
              <w:spacing w:before="120"/>
              <w:rPr>
                <w:rFonts w:ascii="Calibri" w:hAnsi="Calibri"/>
                <w:caps w:val="0"/>
                <w:sz w:val="22"/>
                <w:szCs w:val="22"/>
                <w:lang w:val="ru-RU"/>
              </w:rPr>
            </w:pPr>
            <w:r w:rsidRPr="00FD6E3F">
              <w:rPr>
                <w:rFonts w:ascii="Calibri" w:hAnsi="Calibri"/>
                <w:caps w:val="0"/>
                <w:sz w:val="22"/>
                <w:szCs w:val="22"/>
                <w:lang w:val="ru-RU"/>
              </w:rPr>
              <w:t>___________</w:t>
            </w:r>
          </w:p>
          <w:p w:rsidR="003E08AE" w:rsidRPr="00FD6E3F" w:rsidRDefault="003E08AE" w:rsidP="003E08AE">
            <w:pPr>
              <w:snapToGrid w:val="0"/>
              <w:spacing w:after="120"/>
              <w:rPr>
                <w:b/>
                <w:bCs/>
                <w:lang w:val="ru-RU"/>
              </w:rPr>
            </w:pPr>
            <w:r w:rsidRPr="00FD6E3F">
              <w:rPr>
                <w:b/>
                <w:bCs/>
                <w:lang w:val="ru-RU"/>
              </w:rPr>
              <w:t>Справочные документы</w:t>
            </w:r>
          </w:p>
          <w:p w:rsidR="003E08AE" w:rsidRPr="00A9707A" w:rsidRDefault="003E08AE" w:rsidP="002E0DB1">
            <w:pPr>
              <w:spacing w:after="120"/>
              <w:rPr>
                <w:b/>
                <w:lang w:val="ru-RU"/>
              </w:rPr>
            </w:pPr>
            <w:r w:rsidRPr="00FD6E3F">
              <w:rPr>
                <w:bCs/>
                <w:i/>
                <w:iCs/>
                <w:lang w:val="ru-RU"/>
              </w:rPr>
              <w:t xml:space="preserve">Статьи </w:t>
            </w:r>
            <w:hyperlink r:id="rId10" w:anchor="csart2" w:history="1">
              <w:r w:rsidR="002E0DB1">
                <w:rPr>
                  <w:rStyle w:val="Hyperlink"/>
                  <w:bCs/>
                  <w:i/>
                  <w:iCs/>
                  <w:lang w:val="ru-RU"/>
                </w:rPr>
                <w:t>У2</w:t>
              </w:r>
            </w:hyperlink>
            <w:r w:rsidRPr="00FD6E3F">
              <w:rPr>
                <w:bCs/>
                <w:i/>
                <w:iCs/>
                <w:lang w:val="ru-RU"/>
              </w:rPr>
              <w:t xml:space="preserve">, </w:t>
            </w:r>
            <w:hyperlink r:id="rId11" w:anchor="csart3" w:history="1">
              <w:r w:rsidR="002E0DB1">
                <w:rPr>
                  <w:rStyle w:val="Hyperlink"/>
                  <w:bCs/>
                  <w:i/>
                  <w:iCs/>
                  <w:lang w:val="ru-RU"/>
                </w:rPr>
                <w:t>У3</w:t>
              </w:r>
            </w:hyperlink>
            <w:r w:rsidRPr="00FD6E3F">
              <w:rPr>
                <w:bCs/>
                <w:i/>
                <w:iCs/>
                <w:lang w:val="ru-RU"/>
              </w:rPr>
              <w:t xml:space="preserve">, </w:t>
            </w:r>
            <w:hyperlink r:id="rId12" w:anchor="csart28" w:history="1">
              <w:r w:rsidR="002E0DB1">
                <w:rPr>
                  <w:rStyle w:val="Hyperlink"/>
                  <w:bCs/>
                  <w:i/>
                  <w:iCs/>
                  <w:lang w:val="ru-RU"/>
                </w:rPr>
                <w:t>У28</w:t>
              </w:r>
            </w:hyperlink>
            <w:r w:rsidRPr="00FD6E3F">
              <w:rPr>
                <w:bCs/>
                <w:i/>
                <w:iCs/>
                <w:lang w:val="ru-RU"/>
              </w:rPr>
              <w:t xml:space="preserve">, </w:t>
            </w:r>
            <w:hyperlink r:id="rId13" w:anchor="cvart19" w:history="1">
              <w:r w:rsidR="002E0DB1">
                <w:rPr>
                  <w:rStyle w:val="Hyperlink"/>
                  <w:bCs/>
                  <w:i/>
                  <w:iCs/>
                  <w:lang w:val="ru-RU"/>
                </w:rPr>
                <w:t>К19</w:t>
              </w:r>
            </w:hyperlink>
            <w:r w:rsidRPr="00FD6E3F">
              <w:rPr>
                <w:bCs/>
                <w:i/>
                <w:iCs/>
                <w:lang w:val="ru-RU"/>
              </w:rPr>
              <w:t xml:space="preserve">, </w:t>
            </w:r>
            <w:hyperlink r:id="rId14" w:anchor="cvart20" w:history="1">
              <w:r w:rsidR="002E0DB1">
                <w:rPr>
                  <w:rStyle w:val="Hyperlink"/>
                  <w:bCs/>
                  <w:i/>
                  <w:iCs/>
                  <w:szCs w:val="24"/>
                  <w:lang w:val="ru-RU"/>
                </w:rPr>
                <w:t>К20</w:t>
              </w:r>
            </w:hyperlink>
            <w:r w:rsidRPr="00FD6E3F">
              <w:rPr>
                <w:bCs/>
                <w:i/>
                <w:iCs/>
                <w:lang w:val="ru-RU"/>
              </w:rPr>
              <w:t xml:space="preserve">, </w:t>
            </w:r>
            <w:hyperlink r:id="rId15" w:anchor="cvart33" w:history="1">
              <w:r w:rsidR="002E0DB1">
                <w:rPr>
                  <w:rStyle w:val="Hyperlink"/>
                  <w:bCs/>
                  <w:i/>
                  <w:iCs/>
                  <w:lang w:val="ru-RU"/>
                </w:rPr>
                <w:t>К33</w:t>
              </w:r>
            </w:hyperlink>
            <w:r w:rsidRPr="00FD6E3F">
              <w:rPr>
                <w:bCs/>
                <w:i/>
                <w:iCs/>
                <w:lang w:val="ru-RU"/>
              </w:rPr>
              <w:t xml:space="preserve">, </w:t>
            </w:r>
            <w:hyperlink r:id="rId16" w:history="1">
              <w:r w:rsidRPr="00FD6E3F">
                <w:rPr>
                  <w:rStyle w:val="Hyperlink"/>
                  <w:bCs/>
                  <w:i/>
                  <w:iCs/>
                  <w:lang w:val="ru-RU"/>
                </w:rPr>
                <w:t>C2000/28</w:t>
              </w:r>
            </w:hyperlink>
            <w:r w:rsidRPr="00FD6E3F">
              <w:rPr>
                <w:bCs/>
                <w:i/>
                <w:iCs/>
                <w:lang w:val="ru-RU"/>
              </w:rPr>
              <w:t xml:space="preserve">, </w:t>
            </w:r>
            <w:hyperlink r:id="rId17" w:anchor="res14" w:history="1">
              <w:r w:rsidRPr="00FD6E3F">
                <w:rPr>
                  <w:rStyle w:val="Hyperlink"/>
                  <w:bCs/>
                  <w:i/>
                  <w:iCs/>
                  <w:szCs w:val="24"/>
                  <w:lang w:val="ru-RU"/>
                </w:rPr>
                <w:t>Резолюция 14 (Пересм. Анталия, 2006 г.)</w:t>
              </w:r>
            </w:hyperlink>
            <w:r w:rsidRPr="00FD6E3F">
              <w:rPr>
                <w:bCs/>
                <w:i/>
                <w:iCs/>
                <w:szCs w:val="24"/>
                <w:lang w:val="ru-RU"/>
              </w:rPr>
              <w:t xml:space="preserve">, </w:t>
            </w:r>
            <w:hyperlink r:id="rId18" w:anchor="res152" w:history="1">
              <w:r w:rsidRPr="00FD6E3F">
                <w:rPr>
                  <w:rStyle w:val="Hyperlink"/>
                  <w:bCs/>
                  <w:i/>
                  <w:iCs/>
                  <w:lang w:val="ru-RU"/>
                </w:rPr>
                <w:t>Резолюция 152 (Пересм. Гвадалахара, 2010 г.)</w:t>
              </w:r>
            </w:hyperlink>
            <w:r w:rsidRPr="00FD6E3F">
              <w:rPr>
                <w:bCs/>
                <w:i/>
                <w:iCs/>
                <w:lang w:val="ru-RU"/>
              </w:rPr>
              <w:t xml:space="preserve">, </w:t>
            </w:r>
            <w:hyperlink r:id="rId19" w:anchor="res169" w:history="1">
              <w:r w:rsidRPr="00FD6E3F">
                <w:rPr>
                  <w:rStyle w:val="Hyperlink"/>
                  <w:bCs/>
                  <w:i/>
                  <w:iCs/>
                  <w:lang w:val="ru-RU"/>
                </w:rPr>
                <w:t>Резолюция 169 (Гвадалахара, 2010 г.)</w:t>
              </w:r>
            </w:hyperlink>
            <w:r w:rsidRPr="00FD6E3F">
              <w:rPr>
                <w:bCs/>
                <w:i/>
                <w:iCs/>
                <w:lang w:val="ru-RU"/>
              </w:rPr>
              <w:t xml:space="preserve">, </w:t>
            </w:r>
            <w:hyperlink r:id="rId20" w:anchor="res170" w:history="1">
              <w:r w:rsidRPr="00FD6E3F">
                <w:rPr>
                  <w:rStyle w:val="Hyperlink"/>
                  <w:bCs/>
                  <w:i/>
                  <w:iCs/>
                  <w:lang w:val="ru-RU"/>
                </w:rPr>
                <w:t>Резолюция 170 (Гвадалахара, 2010 г.)</w:t>
              </w:r>
            </w:hyperlink>
            <w:r w:rsidRPr="00FD6E3F">
              <w:rPr>
                <w:bCs/>
                <w:i/>
                <w:iCs/>
                <w:lang w:val="ru-RU"/>
              </w:rPr>
              <w:t xml:space="preserve">; </w:t>
            </w:r>
            <w:hyperlink r:id="rId21" w:history="1">
              <w:r w:rsidRPr="00FD6E3F">
                <w:rPr>
                  <w:rStyle w:val="Hyperlink"/>
                  <w:i/>
                  <w:iCs/>
                  <w:szCs w:val="24"/>
                  <w:lang w:val="ru-RU"/>
                </w:rPr>
                <w:t>Резолюция 43 (Стамбул, 2000 г.) МСЭ-R</w:t>
              </w:r>
            </w:hyperlink>
            <w:r w:rsidRPr="00FD6E3F">
              <w:rPr>
                <w:i/>
                <w:iCs/>
                <w:szCs w:val="24"/>
                <w:lang w:val="ru-RU"/>
              </w:rPr>
              <w:t xml:space="preserve">; </w:t>
            </w:r>
            <w:hyperlink r:id="rId22" w:history="1">
              <w:r w:rsidRPr="00FD6E3F">
                <w:rPr>
                  <w:rStyle w:val="Hyperlink"/>
                  <w:bCs/>
                  <w:i/>
                  <w:iCs/>
                  <w:szCs w:val="24"/>
                  <w:lang w:val="ru-RU"/>
                </w:rPr>
                <w:t>Резолюция 71 (Дубай, 2012 г.)</w:t>
              </w:r>
            </w:hyperlink>
            <w:r w:rsidRPr="00FD6E3F">
              <w:rPr>
                <w:bCs/>
                <w:i/>
                <w:iCs/>
                <w:szCs w:val="24"/>
                <w:lang w:val="ru-RU"/>
              </w:rPr>
              <w:t xml:space="preserve"> и </w:t>
            </w:r>
            <w:hyperlink r:id="rId23" w:history="1">
              <w:r w:rsidRPr="00FD6E3F">
                <w:rPr>
                  <w:rStyle w:val="Hyperlink"/>
                  <w:i/>
                  <w:iCs/>
                  <w:szCs w:val="24"/>
                  <w:lang w:val="ru-RU"/>
                </w:rPr>
                <w:t>Резолюция 31 (Пересм. Дубай, 2012 г.)</w:t>
              </w:r>
            </w:hyperlink>
            <w:r w:rsidRPr="00FD6E3F">
              <w:rPr>
                <w:rStyle w:val="Hyperlink"/>
                <w:i/>
                <w:iCs/>
                <w:szCs w:val="24"/>
                <w:lang w:val="ru-RU"/>
              </w:rPr>
              <w:t xml:space="preserve"> ВАСЭ</w:t>
            </w:r>
            <w:r w:rsidRPr="00FD6E3F">
              <w:rPr>
                <w:i/>
                <w:iCs/>
                <w:szCs w:val="24"/>
                <w:lang w:val="ru-RU"/>
              </w:rPr>
              <w:t>; Резолюция 1 (Дубай, 2014 г.) ВКРЭ</w:t>
            </w:r>
          </w:p>
        </w:tc>
      </w:tr>
    </w:tbl>
    <w:p w:rsidR="007A7CC5" w:rsidRPr="00FD6E3F" w:rsidRDefault="007A7CC5" w:rsidP="002A4122">
      <w:pPr>
        <w:pStyle w:val="Heading1"/>
        <w:rPr>
          <w:lang w:val="ru-RU"/>
        </w:rPr>
      </w:pPr>
      <w:bookmarkStart w:id="8" w:name="dstart"/>
      <w:bookmarkEnd w:id="8"/>
      <w:r w:rsidRPr="00FD6E3F">
        <w:rPr>
          <w:lang w:val="ru-RU"/>
        </w:rPr>
        <w:t>1</w:t>
      </w:r>
      <w:r w:rsidRPr="00FD6E3F">
        <w:rPr>
          <w:lang w:val="ru-RU"/>
        </w:rPr>
        <w:tab/>
        <w:t>Обзор</w:t>
      </w:r>
    </w:p>
    <w:p w:rsidR="007A7CC5" w:rsidRPr="00FD6E3F" w:rsidRDefault="007A7CC5" w:rsidP="000C3186">
      <w:pPr>
        <w:snapToGrid w:val="0"/>
        <w:spacing w:after="120"/>
        <w:rPr>
          <w:b/>
          <w:bCs/>
          <w:szCs w:val="24"/>
          <w:lang w:val="ru-RU"/>
        </w:rPr>
      </w:pPr>
      <w:r w:rsidRPr="00FD6E3F">
        <w:rPr>
          <w:szCs w:val="24"/>
          <w:lang w:val="ru-RU"/>
        </w:rPr>
        <w:t>1.1</w:t>
      </w:r>
      <w:r w:rsidRPr="00FD6E3F">
        <w:rPr>
          <w:szCs w:val="24"/>
          <w:lang w:val="ru-RU"/>
        </w:rPr>
        <w:tab/>
        <w:t xml:space="preserve">Участие объединений и организаций, отличных от администраций, </w:t>
      </w:r>
      <w:r w:rsidR="00AF24AD" w:rsidRPr="00FD6E3F">
        <w:rPr>
          <w:szCs w:val="24"/>
          <w:lang w:val="ru-RU"/>
        </w:rPr>
        <w:t xml:space="preserve">в деятельности Союза </w:t>
      </w:r>
      <w:r w:rsidRPr="00FD6E3F">
        <w:rPr>
          <w:szCs w:val="24"/>
          <w:lang w:val="ru-RU"/>
        </w:rPr>
        <w:t xml:space="preserve">регулируется рядом </w:t>
      </w:r>
      <w:r w:rsidR="00AF24AD" w:rsidRPr="00FD6E3F">
        <w:rPr>
          <w:szCs w:val="24"/>
          <w:lang w:val="ru-RU"/>
        </w:rPr>
        <w:t xml:space="preserve">его </w:t>
      </w:r>
      <w:r w:rsidR="00121C91" w:rsidRPr="00FD6E3F">
        <w:rPr>
          <w:szCs w:val="24"/>
          <w:lang w:val="ru-RU"/>
        </w:rPr>
        <w:t>основных документов, включая Конвенцию, различные резолюции</w:t>
      </w:r>
      <w:r w:rsidR="000C3186" w:rsidRPr="00FD6E3F">
        <w:rPr>
          <w:szCs w:val="24"/>
          <w:lang w:val="ru-RU"/>
        </w:rPr>
        <w:t xml:space="preserve"> </w:t>
      </w:r>
      <w:r w:rsidR="00121C91" w:rsidRPr="00FD6E3F">
        <w:rPr>
          <w:szCs w:val="24"/>
          <w:lang w:val="ru-RU"/>
        </w:rPr>
        <w:t>полномочны</w:t>
      </w:r>
      <w:r w:rsidR="000C3186" w:rsidRPr="00FD6E3F">
        <w:rPr>
          <w:szCs w:val="24"/>
          <w:lang w:val="ru-RU"/>
        </w:rPr>
        <w:t>х</w:t>
      </w:r>
      <w:r w:rsidR="00121C91" w:rsidRPr="00FD6E3F">
        <w:rPr>
          <w:szCs w:val="24"/>
          <w:lang w:val="ru-RU"/>
        </w:rPr>
        <w:t xml:space="preserve"> конференци</w:t>
      </w:r>
      <w:r w:rsidR="000C3186" w:rsidRPr="00FD6E3F">
        <w:rPr>
          <w:szCs w:val="24"/>
          <w:lang w:val="ru-RU"/>
        </w:rPr>
        <w:t>й</w:t>
      </w:r>
      <w:r w:rsidR="00121C91" w:rsidRPr="00FD6E3F">
        <w:rPr>
          <w:szCs w:val="24"/>
          <w:lang w:val="ru-RU"/>
        </w:rPr>
        <w:t xml:space="preserve"> и конференци</w:t>
      </w:r>
      <w:r w:rsidR="000C3186" w:rsidRPr="00FD6E3F">
        <w:rPr>
          <w:szCs w:val="24"/>
          <w:lang w:val="ru-RU"/>
        </w:rPr>
        <w:t>й</w:t>
      </w:r>
      <w:r w:rsidR="00121C91" w:rsidRPr="00FD6E3F">
        <w:rPr>
          <w:szCs w:val="24"/>
          <w:lang w:val="ru-RU"/>
        </w:rPr>
        <w:t xml:space="preserve"> и ассамбле</w:t>
      </w:r>
      <w:r w:rsidR="000C3186" w:rsidRPr="00FD6E3F">
        <w:rPr>
          <w:szCs w:val="24"/>
          <w:lang w:val="ru-RU"/>
        </w:rPr>
        <w:t>й</w:t>
      </w:r>
      <w:r w:rsidR="00121C91" w:rsidRPr="00FD6E3F">
        <w:rPr>
          <w:szCs w:val="24"/>
          <w:lang w:val="ru-RU"/>
        </w:rPr>
        <w:t xml:space="preserve"> Секторов, а также резолюци</w:t>
      </w:r>
      <w:r w:rsidR="000C3186" w:rsidRPr="00FD6E3F">
        <w:rPr>
          <w:szCs w:val="24"/>
          <w:lang w:val="ru-RU"/>
        </w:rPr>
        <w:t>и</w:t>
      </w:r>
      <w:r w:rsidR="00121C91" w:rsidRPr="00FD6E3F">
        <w:rPr>
          <w:szCs w:val="24"/>
          <w:lang w:val="ru-RU"/>
        </w:rPr>
        <w:t>/решени</w:t>
      </w:r>
      <w:r w:rsidR="000C3186" w:rsidRPr="00FD6E3F">
        <w:rPr>
          <w:szCs w:val="24"/>
          <w:lang w:val="ru-RU"/>
        </w:rPr>
        <w:t>я</w:t>
      </w:r>
      <w:r w:rsidR="00121C91" w:rsidRPr="00FD6E3F">
        <w:rPr>
          <w:szCs w:val="24"/>
          <w:lang w:val="ru-RU"/>
        </w:rPr>
        <w:t xml:space="preserve"> Совета. В настоящем документе приводится всеобъемлющий обзор перечня положени</w:t>
      </w:r>
      <w:r w:rsidR="000C3186" w:rsidRPr="00FD6E3F">
        <w:rPr>
          <w:szCs w:val="24"/>
          <w:lang w:val="ru-RU"/>
        </w:rPr>
        <w:t>й</w:t>
      </w:r>
      <w:r w:rsidR="00121C91" w:rsidRPr="00FD6E3F">
        <w:rPr>
          <w:szCs w:val="24"/>
          <w:lang w:val="ru-RU"/>
        </w:rPr>
        <w:t>, касающихся Членов Сектор</w:t>
      </w:r>
      <w:r w:rsidR="00E0614D" w:rsidRPr="00FD6E3F">
        <w:rPr>
          <w:szCs w:val="24"/>
          <w:lang w:val="ru-RU"/>
        </w:rPr>
        <w:t>ов</w:t>
      </w:r>
      <w:r w:rsidR="00121C91" w:rsidRPr="00FD6E3F">
        <w:rPr>
          <w:szCs w:val="24"/>
          <w:lang w:val="ru-RU"/>
        </w:rPr>
        <w:t>, Ассоциированных членов и академи</w:t>
      </w:r>
      <w:bookmarkStart w:id="9" w:name="_GoBack"/>
      <w:bookmarkEnd w:id="9"/>
      <w:r w:rsidR="00121C91" w:rsidRPr="00FD6E3F">
        <w:rPr>
          <w:szCs w:val="24"/>
          <w:lang w:val="ru-RU"/>
        </w:rPr>
        <w:t>ческих организаций.</w:t>
      </w:r>
    </w:p>
    <w:p w:rsidR="007A7CC5" w:rsidRPr="00FD6E3F" w:rsidRDefault="007A7CC5" w:rsidP="002A4122">
      <w:pPr>
        <w:pStyle w:val="Heading1"/>
        <w:rPr>
          <w:lang w:val="ru-RU"/>
        </w:rPr>
      </w:pPr>
      <w:r w:rsidRPr="00FD6E3F">
        <w:rPr>
          <w:lang w:val="ru-RU"/>
        </w:rPr>
        <w:lastRenderedPageBreak/>
        <w:t>2</w:t>
      </w:r>
      <w:r w:rsidRPr="00FD6E3F">
        <w:rPr>
          <w:lang w:val="ru-RU"/>
        </w:rPr>
        <w:tab/>
      </w:r>
      <w:r w:rsidR="00121C91" w:rsidRPr="00FD6E3F">
        <w:rPr>
          <w:lang w:val="ru-RU"/>
        </w:rPr>
        <w:t>Состав и права</w:t>
      </w:r>
      <w:r w:rsidR="000C3186" w:rsidRPr="00FD6E3F">
        <w:rPr>
          <w:lang w:val="ru-RU"/>
        </w:rPr>
        <w:t>, связанные с</w:t>
      </w:r>
      <w:r w:rsidR="00121C91" w:rsidRPr="00FD6E3F">
        <w:rPr>
          <w:lang w:val="ru-RU"/>
        </w:rPr>
        <w:t xml:space="preserve"> участи</w:t>
      </w:r>
      <w:r w:rsidR="000C3186" w:rsidRPr="00FD6E3F">
        <w:rPr>
          <w:lang w:val="ru-RU"/>
        </w:rPr>
        <w:t>ем</w:t>
      </w:r>
    </w:p>
    <w:p w:rsidR="00BD0E51" w:rsidRPr="00CD0594" w:rsidRDefault="007A7CC5" w:rsidP="000C3186">
      <w:pPr>
        <w:spacing w:after="120"/>
        <w:rPr>
          <w:bCs/>
          <w:szCs w:val="24"/>
          <w:lang w:val="ru-RU"/>
        </w:rPr>
      </w:pPr>
      <w:r w:rsidRPr="00CD0594">
        <w:rPr>
          <w:bCs/>
          <w:szCs w:val="24"/>
          <w:lang w:val="ru-RU"/>
        </w:rPr>
        <w:t>2.1</w:t>
      </w:r>
      <w:r w:rsidRPr="00CD0594">
        <w:rPr>
          <w:bCs/>
          <w:szCs w:val="24"/>
          <w:lang w:val="ru-RU"/>
        </w:rPr>
        <w:tab/>
      </w:r>
      <w:r w:rsidR="00BD0E51" w:rsidRPr="00CD0594">
        <w:rPr>
          <w:bCs/>
          <w:szCs w:val="24"/>
          <w:lang w:val="ru-RU"/>
        </w:rPr>
        <w:t>В п</w:t>
      </w:r>
      <w:r w:rsidRPr="00CD0594">
        <w:rPr>
          <w:bCs/>
          <w:szCs w:val="24"/>
          <w:lang w:val="ru-RU"/>
        </w:rPr>
        <w:t>. 20 (</w:t>
      </w:r>
      <w:r w:rsidR="00BD0E51" w:rsidRPr="00CD0594">
        <w:rPr>
          <w:bCs/>
          <w:szCs w:val="24"/>
          <w:lang w:val="ru-RU"/>
        </w:rPr>
        <w:t>Статья 2 Устава</w:t>
      </w:r>
      <w:r w:rsidRPr="00CD0594">
        <w:rPr>
          <w:bCs/>
          <w:szCs w:val="24"/>
          <w:lang w:val="ru-RU"/>
        </w:rPr>
        <w:t xml:space="preserve">), </w:t>
      </w:r>
      <w:r w:rsidR="00BD0E51" w:rsidRPr="00CD0594">
        <w:rPr>
          <w:bCs/>
          <w:szCs w:val="24"/>
          <w:lang w:val="ru-RU"/>
        </w:rPr>
        <w:t xml:space="preserve">который последний раз </w:t>
      </w:r>
      <w:r w:rsidR="000C3186" w:rsidRPr="00CD0594">
        <w:rPr>
          <w:bCs/>
          <w:szCs w:val="24"/>
          <w:lang w:val="ru-RU"/>
        </w:rPr>
        <w:t>уточнялся</w:t>
      </w:r>
      <w:r w:rsidR="00BD0E51" w:rsidRPr="00CD0594">
        <w:rPr>
          <w:bCs/>
          <w:szCs w:val="24"/>
          <w:lang w:val="ru-RU"/>
        </w:rPr>
        <w:t xml:space="preserve"> на ПК</w:t>
      </w:r>
      <w:r w:rsidRPr="00CD0594">
        <w:rPr>
          <w:bCs/>
          <w:szCs w:val="24"/>
          <w:lang w:val="ru-RU"/>
        </w:rPr>
        <w:t xml:space="preserve">-98, </w:t>
      </w:r>
      <w:r w:rsidR="00BD0E51" w:rsidRPr="00CD0594">
        <w:rPr>
          <w:bCs/>
          <w:szCs w:val="24"/>
          <w:lang w:val="ru-RU"/>
        </w:rPr>
        <w:t xml:space="preserve">указан состав членов Союза. При этом подчеркивается, что "Государства-Члены и Члены Секторов, имеющие четко определенные права и обязанности, сотрудничают при выполнении целей Союза". В других положениях, приведенных в следующих ниже разделах, предусмотрены дополнительные категории участия, включающие </w:t>
      </w:r>
      <w:r w:rsidR="00E0614D" w:rsidRPr="00CD0594">
        <w:rPr>
          <w:bCs/>
          <w:szCs w:val="24"/>
          <w:lang w:val="ru-RU"/>
        </w:rPr>
        <w:t xml:space="preserve">Ассоциированных </w:t>
      </w:r>
      <w:r w:rsidR="00BD0E51" w:rsidRPr="00CD0594">
        <w:rPr>
          <w:bCs/>
          <w:szCs w:val="24"/>
          <w:lang w:val="ru-RU"/>
        </w:rPr>
        <w:t xml:space="preserve">членов и академические организации. Краткий обзор прав, связанных с участием, представлен в </w:t>
      </w:r>
      <w:r w:rsidR="00BD0E51" w:rsidRPr="00CD0594">
        <w:rPr>
          <w:b/>
          <w:szCs w:val="24"/>
          <w:lang w:val="ru-RU"/>
        </w:rPr>
        <w:t>Приложении 1</w:t>
      </w:r>
      <w:r w:rsidR="00BD0E51" w:rsidRPr="00CD0594">
        <w:rPr>
          <w:bCs/>
          <w:szCs w:val="24"/>
          <w:lang w:val="ru-RU"/>
        </w:rPr>
        <w:t>.</w:t>
      </w:r>
    </w:p>
    <w:p w:rsidR="00D0402C" w:rsidRPr="00CD0594" w:rsidRDefault="007A7CC5" w:rsidP="00D0402C">
      <w:pPr>
        <w:spacing w:after="120"/>
        <w:rPr>
          <w:rFonts w:eastAsiaTheme="minorEastAsia" w:cstheme="minorHAnsi"/>
          <w:bCs/>
          <w:szCs w:val="24"/>
          <w:lang w:val="ru-RU" w:eastAsia="zh-CN"/>
        </w:rPr>
      </w:pPr>
      <w:r w:rsidRPr="00CD0594">
        <w:rPr>
          <w:rFonts w:cstheme="minorHAnsi"/>
          <w:bCs/>
          <w:szCs w:val="24"/>
          <w:lang w:val="ru-RU"/>
        </w:rPr>
        <w:t>2.2</w:t>
      </w:r>
      <w:r w:rsidRPr="00CD0594">
        <w:rPr>
          <w:rFonts w:cstheme="minorHAnsi"/>
          <w:bCs/>
          <w:szCs w:val="24"/>
          <w:lang w:val="ru-RU"/>
        </w:rPr>
        <w:tab/>
      </w:r>
      <w:r w:rsidR="00E0614D" w:rsidRPr="00CD0594">
        <w:rPr>
          <w:rFonts w:cstheme="minorHAnsi"/>
          <w:bCs/>
          <w:szCs w:val="24"/>
          <w:lang w:val="ru-RU"/>
        </w:rPr>
        <w:t>В п.</w:t>
      </w:r>
      <w:r w:rsidRPr="00CD0594">
        <w:rPr>
          <w:rFonts w:cstheme="minorHAnsi"/>
          <w:bCs/>
          <w:szCs w:val="24"/>
          <w:lang w:val="ru-RU"/>
        </w:rPr>
        <w:t xml:space="preserve"> 232 (</w:t>
      </w:r>
      <w:r w:rsidR="00E0614D" w:rsidRPr="00CD0594">
        <w:rPr>
          <w:rFonts w:cstheme="minorHAnsi"/>
          <w:bCs/>
          <w:szCs w:val="24"/>
          <w:lang w:val="ru-RU"/>
        </w:rPr>
        <w:t xml:space="preserve">Статья </w:t>
      </w:r>
      <w:r w:rsidRPr="00CD0594">
        <w:rPr>
          <w:rFonts w:cstheme="minorHAnsi"/>
          <w:bCs/>
          <w:szCs w:val="24"/>
          <w:lang w:val="ru-RU"/>
        </w:rPr>
        <w:t xml:space="preserve">19 </w:t>
      </w:r>
      <w:r w:rsidR="00E0614D" w:rsidRPr="00CD0594">
        <w:rPr>
          <w:rFonts w:cstheme="minorHAnsi"/>
          <w:bCs/>
          <w:szCs w:val="24"/>
          <w:lang w:val="ru-RU"/>
        </w:rPr>
        <w:t>Конвенции</w:t>
      </w:r>
      <w:r w:rsidRPr="00CD0594">
        <w:rPr>
          <w:rFonts w:cstheme="minorHAnsi"/>
          <w:bCs/>
          <w:szCs w:val="24"/>
          <w:lang w:val="ru-RU"/>
        </w:rPr>
        <w:t xml:space="preserve">) </w:t>
      </w:r>
      <w:r w:rsidR="00D0402C" w:rsidRPr="00CD0594">
        <w:rPr>
          <w:rFonts w:cstheme="minorHAnsi"/>
          <w:bCs/>
          <w:szCs w:val="24"/>
          <w:lang w:val="ru-RU"/>
        </w:rPr>
        <w:t>предусмотрено, что "Директора Бюро поддерживают тесные рабочие отношения с теми объединениями и организациями, которым разрешено участвовать в деятельности одного или нескольких Секторов Союза".</w:t>
      </w:r>
      <w:r w:rsidRPr="00CD0594">
        <w:rPr>
          <w:rFonts w:cstheme="minorHAnsi"/>
          <w:szCs w:val="24"/>
          <w:lang w:val="ru-RU"/>
        </w:rPr>
        <w:t xml:space="preserve"> </w:t>
      </w:r>
      <w:r w:rsidR="00D0402C" w:rsidRPr="00CD0594">
        <w:rPr>
          <w:rFonts w:cstheme="minorHAnsi"/>
          <w:szCs w:val="24"/>
          <w:lang w:val="ru-RU"/>
        </w:rPr>
        <w:t xml:space="preserve">В п. </w:t>
      </w:r>
      <w:r w:rsidRPr="00CD0594">
        <w:rPr>
          <w:rFonts w:cstheme="minorHAnsi"/>
          <w:szCs w:val="24"/>
          <w:lang w:val="ru-RU"/>
        </w:rPr>
        <w:t xml:space="preserve">237 </w:t>
      </w:r>
      <w:r w:rsidRPr="00CD0594">
        <w:rPr>
          <w:rFonts w:eastAsiaTheme="minorEastAsia" w:cstheme="minorHAnsi"/>
          <w:bCs/>
          <w:szCs w:val="24"/>
          <w:lang w:val="ru-RU" w:eastAsia="zh-CN"/>
        </w:rPr>
        <w:t>(</w:t>
      </w:r>
      <w:r w:rsidR="00D0402C" w:rsidRPr="00CD0594">
        <w:rPr>
          <w:rFonts w:eastAsiaTheme="minorEastAsia" w:cstheme="minorHAnsi"/>
          <w:bCs/>
          <w:szCs w:val="24"/>
          <w:lang w:val="ru-RU" w:eastAsia="zh-CN"/>
        </w:rPr>
        <w:t xml:space="preserve">Статья </w:t>
      </w:r>
      <w:r w:rsidRPr="00CD0594">
        <w:rPr>
          <w:rFonts w:eastAsiaTheme="minorEastAsia" w:cstheme="minorHAnsi"/>
          <w:bCs/>
          <w:szCs w:val="24"/>
          <w:lang w:val="ru-RU" w:eastAsia="zh-CN"/>
        </w:rPr>
        <w:t xml:space="preserve">19 </w:t>
      </w:r>
      <w:r w:rsidR="00D0402C" w:rsidRPr="00CD0594">
        <w:rPr>
          <w:rFonts w:eastAsiaTheme="minorEastAsia" w:cstheme="minorHAnsi"/>
          <w:bCs/>
          <w:szCs w:val="24"/>
          <w:lang w:val="ru-RU" w:eastAsia="zh-CN"/>
        </w:rPr>
        <w:t>Конвенции) установлено, что "Генеральный секретарь составляет и ведет списки всех объединений и организаций, …, которые получили разрешение участвовать в работе любого Сектора, и с надлежащей периодичностью публикует и направляет эти списки всем Государствам-Членам и соответствующим Членам Секторов, а также директору соответствующего Бюро …".</w:t>
      </w:r>
    </w:p>
    <w:p w:rsidR="007A7CC5" w:rsidRPr="00FD6E3F" w:rsidRDefault="00D0402C" w:rsidP="002A4122">
      <w:pPr>
        <w:pStyle w:val="Headingi"/>
        <w:rPr>
          <w:lang w:val="ru-RU"/>
        </w:rPr>
      </w:pPr>
      <w:r w:rsidRPr="00FD6E3F">
        <w:rPr>
          <w:lang w:val="ru-RU"/>
        </w:rPr>
        <w:t>Члены Секторов</w:t>
      </w:r>
    </w:p>
    <w:p w:rsidR="007A7CC5" w:rsidRPr="00FD6E3F" w:rsidRDefault="007A7CC5" w:rsidP="000C3186">
      <w:pPr>
        <w:snapToGrid w:val="0"/>
        <w:spacing w:after="120"/>
        <w:rPr>
          <w:szCs w:val="24"/>
          <w:lang w:val="ru-RU"/>
        </w:rPr>
      </w:pPr>
      <w:r w:rsidRPr="00FD6E3F">
        <w:rPr>
          <w:bCs/>
          <w:szCs w:val="24"/>
          <w:lang w:val="ru-RU"/>
        </w:rPr>
        <w:t>2.3</w:t>
      </w:r>
      <w:r w:rsidRPr="00FD6E3F">
        <w:rPr>
          <w:bCs/>
          <w:szCs w:val="24"/>
          <w:lang w:val="ru-RU"/>
        </w:rPr>
        <w:tab/>
      </w:r>
      <w:r w:rsidR="00D0402C" w:rsidRPr="00FD6E3F">
        <w:rPr>
          <w:bCs/>
          <w:szCs w:val="24"/>
          <w:lang w:val="ru-RU"/>
        </w:rPr>
        <w:t xml:space="preserve">В Статье 3 Устава </w:t>
      </w:r>
      <w:r w:rsidR="000C3186" w:rsidRPr="00FD6E3F">
        <w:rPr>
          <w:bCs/>
          <w:szCs w:val="24"/>
          <w:lang w:val="ru-RU"/>
        </w:rPr>
        <w:t>приведены</w:t>
      </w:r>
      <w:r w:rsidR="00D0402C" w:rsidRPr="00FD6E3F">
        <w:rPr>
          <w:bCs/>
          <w:szCs w:val="24"/>
          <w:lang w:val="ru-RU"/>
        </w:rPr>
        <w:t xml:space="preserve"> "Права и обязанности" Членов Секторов. В п.</w:t>
      </w:r>
      <w:r w:rsidRPr="00FD6E3F">
        <w:rPr>
          <w:szCs w:val="24"/>
          <w:lang w:val="ru-RU"/>
        </w:rPr>
        <w:t> 28A (</w:t>
      </w:r>
      <w:r w:rsidR="00D0402C" w:rsidRPr="00FD6E3F">
        <w:rPr>
          <w:szCs w:val="24"/>
          <w:lang w:val="ru-RU"/>
        </w:rPr>
        <w:t xml:space="preserve">Статья </w:t>
      </w:r>
      <w:r w:rsidRPr="00FD6E3F">
        <w:rPr>
          <w:szCs w:val="24"/>
          <w:lang w:val="ru-RU"/>
        </w:rPr>
        <w:t xml:space="preserve">3 </w:t>
      </w:r>
      <w:r w:rsidR="00D0402C" w:rsidRPr="00FD6E3F">
        <w:rPr>
          <w:szCs w:val="24"/>
          <w:lang w:val="ru-RU"/>
        </w:rPr>
        <w:t>Устава</w:t>
      </w:r>
      <w:r w:rsidRPr="00FD6E3F">
        <w:rPr>
          <w:szCs w:val="24"/>
          <w:lang w:val="ru-RU"/>
        </w:rPr>
        <w:t xml:space="preserve">) </w:t>
      </w:r>
      <w:r w:rsidR="00D0402C" w:rsidRPr="00FD6E3F">
        <w:rPr>
          <w:szCs w:val="24"/>
          <w:lang w:val="ru-RU"/>
        </w:rPr>
        <w:t>определено, что "Члены Секторов имеют право в полной мере участвовать в деятельности Сектора, членами которого они являются". Кроме того, в п. 28B отмечается, что Члены Секторов "могут быть председателями и заместителями председателей ассамблей и собраний Секторов и всемирных конференций по развитию электросвязи", а в п.</w:t>
      </w:r>
      <w:r w:rsidRPr="00FD6E3F">
        <w:rPr>
          <w:szCs w:val="24"/>
          <w:lang w:val="ru-RU"/>
        </w:rPr>
        <w:t xml:space="preserve"> 28C </w:t>
      </w:r>
      <w:r w:rsidR="000C3186" w:rsidRPr="00FD6E3F">
        <w:rPr>
          <w:szCs w:val="24"/>
          <w:lang w:val="ru-RU"/>
        </w:rPr>
        <w:t xml:space="preserve">указано, </w:t>
      </w:r>
      <w:r w:rsidR="00D0402C" w:rsidRPr="00FD6E3F">
        <w:rPr>
          <w:szCs w:val="24"/>
          <w:lang w:val="ru-RU"/>
        </w:rPr>
        <w:t xml:space="preserve">что они имеют право "участвовать в одобрении Вопросов и Рекомендаций и в решении вопросов, касающихся методов работы и процедур соответствующих Секторов". В Статье 20 Конвенции представлены сведения о ведении работы </w:t>
      </w:r>
      <w:r w:rsidR="002E0DB1" w:rsidRPr="00FD6E3F">
        <w:rPr>
          <w:szCs w:val="24"/>
          <w:lang w:val="ru-RU"/>
        </w:rPr>
        <w:t xml:space="preserve">исследовательских </w:t>
      </w:r>
      <w:r w:rsidR="00D0402C" w:rsidRPr="00FD6E3F">
        <w:rPr>
          <w:szCs w:val="24"/>
          <w:lang w:val="ru-RU"/>
        </w:rPr>
        <w:t>комиссий. В п.</w:t>
      </w:r>
      <w:r w:rsidRPr="00FD6E3F">
        <w:rPr>
          <w:szCs w:val="24"/>
          <w:lang w:val="ru-RU"/>
        </w:rPr>
        <w:t xml:space="preserve"> 246A </w:t>
      </w:r>
      <w:r w:rsidR="00D0402C" w:rsidRPr="00FD6E3F">
        <w:rPr>
          <w:szCs w:val="24"/>
          <w:lang w:val="ru-RU"/>
        </w:rPr>
        <w:t>предусмотрено, что "</w:t>
      </w:r>
      <w:r w:rsidRPr="00FD6E3F">
        <w:rPr>
          <w:szCs w:val="24"/>
          <w:lang w:val="ru-RU"/>
        </w:rPr>
        <w:t>…</w:t>
      </w:r>
      <w:r w:rsidR="00D0402C" w:rsidRPr="00FD6E3F">
        <w:rPr>
          <w:szCs w:val="24"/>
          <w:lang w:val="ru-RU"/>
        </w:rPr>
        <w:t>Члены Секторов принимают вопросы, которые должны быть изучены в соответствии с процедурами, установленными соответствующей конференцией или ассамблеей"</w:t>
      </w:r>
      <w:r w:rsidRPr="00FD6E3F">
        <w:rPr>
          <w:szCs w:val="24"/>
          <w:lang w:val="ru-RU"/>
        </w:rPr>
        <w:t>.</w:t>
      </w:r>
    </w:p>
    <w:p w:rsidR="007A7CC5" w:rsidRPr="00FD6E3F" w:rsidRDefault="007A7CC5" w:rsidP="00D0402C">
      <w:pPr>
        <w:snapToGrid w:val="0"/>
        <w:spacing w:after="120"/>
        <w:rPr>
          <w:rFonts w:cstheme="minorHAnsi"/>
          <w:szCs w:val="24"/>
          <w:lang w:val="ru-RU"/>
        </w:rPr>
      </w:pPr>
      <w:r w:rsidRPr="00FD6E3F">
        <w:rPr>
          <w:rFonts w:cstheme="minorHAnsi"/>
          <w:szCs w:val="24"/>
          <w:lang w:val="ru-RU"/>
        </w:rPr>
        <w:t>2.4</w:t>
      </w:r>
      <w:r w:rsidRPr="00FD6E3F">
        <w:rPr>
          <w:rFonts w:cstheme="minorHAnsi"/>
          <w:szCs w:val="24"/>
          <w:lang w:val="ru-RU"/>
        </w:rPr>
        <w:tab/>
      </w:r>
      <w:r w:rsidR="00D0402C" w:rsidRPr="00FD6E3F">
        <w:rPr>
          <w:rFonts w:cstheme="minorHAnsi"/>
          <w:szCs w:val="24"/>
          <w:lang w:val="ru-RU"/>
        </w:rPr>
        <w:t>В Резолюции</w:t>
      </w:r>
      <w:r w:rsidRPr="00FD6E3F">
        <w:rPr>
          <w:rFonts w:cstheme="minorHAnsi"/>
          <w:szCs w:val="24"/>
          <w:lang w:val="ru-RU"/>
        </w:rPr>
        <w:t xml:space="preserve"> 14 (</w:t>
      </w:r>
      <w:r w:rsidR="00D0402C" w:rsidRPr="00FD6E3F">
        <w:rPr>
          <w:rFonts w:cstheme="minorHAnsi"/>
          <w:szCs w:val="24"/>
          <w:lang w:val="ru-RU"/>
        </w:rPr>
        <w:t xml:space="preserve">Пересм. Анталия, </w:t>
      </w:r>
      <w:r w:rsidRPr="00FD6E3F">
        <w:rPr>
          <w:rFonts w:cstheme="minorHAnsi"/>
          <w:szCs w:val="24"/>
          <w:lang w:val="ru-RU"/>
        </w:rPr>
        <w:t>2006</w:t>
      </w:r>
      <w:r w:rsidR="00D0402C" w:rsidRPr="00FD6E3F">
        <w:rPr>
          <w:rFonts w:cstheme="minorHAnsi"/>
          <w:szCs w:val="24"/>
          <w:lang w:val="ru-RU"/>
        </w:rPr>
        <w:t xml:space="preserve"> г.</w:t>
      </w:r>
      <w:r w:rsidRPr="00FD6E3F">
        <w:rPr>
          <w:rFonts w:cstheme="minorHAnsi"/>
          <w:szCs w:val="24"/>
          <w:lang w:val="ru-RU"/>
        </w:rPr>
        <w:t xml:space="preserve">) </w:t>
      </w:r>
      <w:r w:rsidR="00D0402C" w:rsidRPr="00FD6E3F">
        <w:rPr>
          <w:rFonts w:cstheme="minorHAnsi"/>
          <w:szCs w:val="24"/>
          <w:lang w:val="ru-RU"/>
        </w:rPr>
        <w:t>представлена дополнительная информация о правах и обязанностях Членов Секторов, при этом отмечается, что эти объединения "могут участвовать во всех видах деятельности данного Сектора, за исключением официального голосования и некоторых конференций по разработке договоров". Далее в этой Резолюции устанавливается, что Члены Секторов могут</w:t>
      </w:r>
      <w:r w:rsidRPr="00FD6E3F">
        <w:rPr>
          <w:rFonts w:cstheme="minorHAnsi"/>
          <w:szCs w:val="24"/>
          <w:lang w:val="ru-RU"/>
        </w:rPr>
        <w:t>:</w:t>
      </w:r>
    </w:p>
    <w:p w:rsidR="007A7CC5" w:rsidRPr="00FD6E3F" w:rsidRDefault="002A4122" w:rsidP="002A4122">
      <w:pPr>
        <w:pStyle w:val="enumlev1"/>
        <w:rPr>
          <w:lang w:val="ru-RU"/>
        </w:rPr>
      </w:pPr>
      <w:r w:rsidRPr="00FD6E3F">
        <w:rPr>
          <w:lang w:val="ru-RU"/>
        </w:rPr>
        <w:t>−</w:t>
      </w:r>
      <w:r w:rsidRPr="00FD6E3F">
        <w:rPr>
          <w:lang w:val="ru-RU"/>
        </w:rPr>
        <w:tab/>
      </w:r>
      <w:r w:rsidR="00D0402C" w:rsidRPr="00FD6E3F">
        <w:rPr>
          <w:lang w:val="ru-RU"/>
        </w:rPr>
        <w:t>получать от Бюро данного Сектора информацию, касающуюся их участия</w:t>
      </w:r>
      <w:r w:rsidR="007A7CC5" w:rsidRPr="00FD6E3F">
        <w:rPr>
          <w:lang w:val="ru-RU"/>
        </w:rPr>
        <w:t>;</w:t>
      </w:r>
    </w:p>
    <w:p w:rsidR="007A7CC5" w:rsidRPr="00FD6E3F" w:rsidRDefault="002A4122" w:rsidP="002A4122">
      <w:pPr>
        <w:pStyle w:val="enumlev1"/>
        <w:rPr>
          <w:lang w:val="ru-RU"/>
        </w:rPr>
      </w:pPr>
      <w:r w:rsidRPr="00FD6E3F">
        <w:rPr>
          <w:lang w:val="ru-RU"/>
        </w:rPr>
        <w:t>−</w:t>
      </w:r>
      <w:r w:rsidRPr="00FD6E3F">
        <w:rPr>
          <w:lang w:val="ru-RU"/>
        </w:rPr>
        <w:tab/>
      </w:r>
      <w:r w:rsidR="001D581A" w:rsidRPr="00FD6E3F">
        <w:rPr>
          <w:lang w:val="ru-RU"/>
        </w:rPr>
        <w:t xml:space="preserve">направлять вклады и представителей на собрания </w:t>
      </w:r>
      <w:r w:rsidR="002E0DB1" w:rsidRPr="00FD6E3F">
        <w:rPr>
          <w:lang w:val="ru-RU"/>
        </w:rPr>
        <w:t xml:space="preserve">исследовательских </w:t>
      </w:r>
      <w:r w:rsidR="001D581A" w:rsidRPr="00FD6E3F">
        <w:rPr>
          <w:lang w:val="ru-RU"/>
        </w:rPr>
        <w:t>комиссий</w:t>
      </w:r>
      <w:r w:rsidR="007A7CC5" w:rsidRPr="00FD6E3F">
        <w:rPr>
          <w:lang w:val="ru-RU"/>
        </w:rPr>
        <w:t>;</w:t>
      </w:r>
    </w:p>
    <w:p w:rsidR="007A7CC5" w:rsidRPr="00FD6E3F" w:rsidRDefault="002A4122" w:rsidP="002A4122">
      <w:pPr>
        <w:pStyle w:val="enumlev1"/>
        <w:rPr>
          <w:lang w:val="ru-RU"/>
        </w:rPr>
      </w:pPr>
      <w:r w:rsidRPr="00FD6E3F">
        <w:rPr>
          <w:lang w:val="ru-RU"/>
        </w:rPr>
        <w:t>−</w:t>
      </w:r>
      <w:r w:rsidRPr="00FD6E3F">
        <w:rPr>
          <w:lang w:val="ru-RU"/>
        </w:rPr>
        <w:tab/>
      </w:r>
      <w:r w:rsidR="001D581A" w:rsidRPr="00FD6E3F">
        <w:rPr>
          <w:lang w:val="ru-RU"/>
        </w:rPr>
        <w:t>вносить предложения о включении вопросов в повестку дня таких собраний</w:t>
      </w:r>
      <w:r w:rsidR="007A7CC5" w:rsidRPr="00FD6E3F">
        <w:rPr>
          <w:lang w:val="ru-RU"/>
        </w:rPr>
        <w:t>;</w:t>
      </w:r>
    </w:p>
    <w:p w:rsidR="007A7CC5" w:rsidRPr="00FD6E3F" w:rsidRDefault="002A4122" w:rsidP="002A4122">
      <w:pPr>
        <w:pStyle w:val="enumlev1"/>
        <w:rPr>
          <w:lang w:val="ru-RU"/>
        </w:rPr>
      </w:pPr>
      <w:r w:rsidRPr="00FD6E3F">
        <w:rPr>
          <w:lang w:val="ru-RU"/>
        </w:rPr>
        <w:t>−</w:t>
      </w:r>
      <w:r w:rsidRPr="00FD6E3F">
        <w:rPr>
          <w:lang w:val="ru-RU"/>
        </w:rPr>
        <w:tab/>
      </w:r>
      <w:r w:rsidR="001D581A" w:rsidRPr="00FD6E3F">
        <w:rPr>
          <w:lang w:val="ru-RU"/>
        </w:rPr>
        <w:t>принимать участие в любых дискуссиях и исполнять функции, такие как функции председателя или заместителя председателя исследовательской комиссии, рабочей группы, группы экспертов, группы докладчика или любой другой специальной группы</w:t>
      </w:r>
      <w:r w:rsidR="007A7CC5" w:rsidRPr="00FD6E3F">
        <w:rPr>
          <w:lang w:val="ru-RU"/>
        </w:rPr>
        <w:t xml:space="preserve">; </w:t>
      </w:r>
      <w:r w:rsidR="001D581A" w:rsidRPr="00FD6E3F">
        <w:rPr>
          <w:lang w:val="ru-RU"/>
        </w:rPr>
        <w:t>и</w:t>
      </w:r>
    </w:p>
    <w:p w:rsidR="007A7CC5" w:rsidRPr="00FD6E3F" w:rsidRDefault="002A4122" w:rsidP="002A4122">
      <w:pPr>
        <w:pStyle w:val="enumlev1"/>
        <w:rPr>
          <w:lang w:val="ru-RU"/>
        </w:rPr>
      </w:pPr>
      <w:r w:rsidRPr="00FD6E3F">
        <w:rPr>
          <w:lang w:val="ru-RU"/>
        </w:rPr>
        <w:t>−</w:t>
      </w:r>
      <w:r w:rsidRPr="00FD6E3F">
        <w:rPr>
          <w:lang w:val="ru-RU"/>
        </w:rPr>
        <w:tab/>
      </w:r>
      <w:r w:rsidR="001D581A" w:rsidRPr="00FD6E3F">
        <w:rPr>
          <w:lang w:val="ru-RU"/>
        </w:rPr>
        <w:t>принимать участие в редакционной и издательской работе, необходимой перед принятием рекомендаций</w:t>
      </w:r>
      <w:r w:rsidR="007A7CC5" w:rsidRPr="00FD6E3F">
        <w:rPr>
          <w:lang w:val="ru-RU"/>
        </w:rPr>
        <w:t>.</w:t>
      </w:r>
    </w:p>
    <w:p w:rsidR="007A7CC5" w:rsidRPr="00FD6E3F" w:rsidRDefault="007A7CC5" w:rsidP="007A0C52">
      <w:pPr>
        <w:snapToGrid w:val="0"/>
        <w:spacing w:after="120"/>
        <w:rPr>
          <w:szCs w:val="24"/>
          <w:lang w:val="ru-RU"/>
        </w:rPr>
      </w:pPr>
      <w:r w:rsidRPr="00FD6E3F">
        <w:rPr>
          <w:szCs w:val="24"/>
          <w:lang w:val="ru-RU"/>
        </w:rPr>
        <w:t>2.5</w:t>
      </w:r>
      <w:r w:rsidRPr="00FD6E3F">
        <w:rPr>
          <w:szCs w:val="24"/>
          <w:lang w:val="ru-RU"/>
        </w:rPr>
        <w:tab/>
      </w:r>
      <w:r w:rsidR="001D581A" w:rsidRPr="00FD6E3F">
        <w:rPr>
          <w:szCs w:val="24"/>
          <w:lang w:val="ru-RU"/>
        </w:rPr>
        <w:t>Члены Секторов, которые подпадают под действие пп.</w:t>
      </w:r>
      <w:r w:rsidRPr="00FD6E3F">
        <w:rPr>
          <w:szCs w:val="24"/>
          <w:lang w:val="ru-RU"/>
        </w:rPr>
        <w:t xml:space="preserve"> 229 </w:t>
      </w:r>
      <w:r w:rsidR="001D581A" w:rsidRPr="00FD6E3F">
        <w:rPr>
          <w:szCs w:val="24"/>
          <w:lang w:val="ru-RU"/>
        </w:rPr>
        <w:t>и</w:t>
      </w:r>
      <w:r w:rsidRPr="00FD6E3F">
        <w:rPr>
          <w:szCs w:val="24"/>
          <w:lang w:val="ru-RU"/>
        </w:rPr>
        <w:t xml:space="preserve"> 231 </w:t>
      </w:r>
      <w:r w:rsidR="001D581A" w:rsidRPr="00FD6E3F">
        <w:rPr>
          <w:szCs w:val="24"/>
          <w:lang w:val="ru-RU"/>
        </w:rPr>
        <w:t>Конвенции</w:t>
      </w:r>
      <w:r w:rsidR="000C3186" w:rsidRPr="00FD6E3F">
        <w:rPr>
          <w:szCs w:val="24"/>
          <w:lang w:val="ru-RU"/>
        </w:rPr>
        <w:t>,</w:t>
      </w:r>
      <w:r w:rsidR="001D581A" w:rsidRPr="00FD6E3F">
        <w:rPr>
          <w:szCs w:val="24"/>
          <w:lang w:val="ru-RU"/>
        </w:rPr>
        <w:t xml:space="preserve"> имеют право принимать </w:t>
      </w:r>
      <w:r w:rsidR="000C3186" w:rsidRPr="00FD6E3F">
        <w:rPr>
          <w:szCs w:val="24"/>
          <w:lang w:val="ru-RU"/>
        </w:rPr>
        <w:t xml:space="preserve">участие </w:t>
      </w:r>
      <w:r w:rsidR="001D581A" w:rsidRPr="00FD6E3F">
        <w:rPr>
          <w:szCs w:val="24"/>
          <w:lang w:val="ru-RU"/>
        </w:rPr>
        <w:t>в полномочных конференциях в качестве наблюдателей без права совещательного голоса. Члены Секторов могут также принимать участие во всемирных конференциях по международной электросвязи в качестве наблюдателей без права совещательного голоса. В соответствии с п.</w:t>
      </w:r>
      <w:r w:rsidRPr="00FD6E3F">
        <w:rPr>
          <w:szCs w:val="24"/>
          <w:lang w:val="ru-RU"/>
        </w:rPr>
        <w:t xml:space="preserve"> 476 </w:t>
      </w:r>
      <w:r w:rsidR="001D581A" w:rsidRPr="00FD6E3F">
        <w:rPr>
          <w:szCs w:val="24"/>
          <w:lang w:val="ru-RU"/>
        </w:rPr>
        <w:t xml:space="preserve">Конвенции и Статьи </w:t>
      </w:r>
      <w:r w:rsidRPr="00FD6E3F">
        <w:rPr>
          <w:szCs w:val="24"/>
          <w:lang w:val="ru-RU"/>
        </w:rPr>
        <w:t xml:space="preserve">7.5 </w:t>
      </w:r>
      <w:r w:rsidR="001D581A" w:rsidRPr="00FD6E3F">
        <w:rPr>
          <w:szCs w:val="24"/>
          <w:lang w:val="ru-RU"/>
        </w:rPr>
        <w:t>Финансового регламента они должны вносить финансовы</w:t>
      </w:r>
      <w:r w:rsidR="000C3186" w:rsidRPr="00FD6E3F">
        <w:rPr>
          <w:szCs w:val="24"/>
          <w:lang w:val="ru-RU"/>
        </w:rPr>
        <w:t>й</w:t>
      </w:r>
      <w:r w:rsidR="001D581A" w:rsidRPr="00FD6E3F">
        <w:rPr>
          <w:szCs w:val="24"/>
          <w:lang w:val="ru-RU"/>
        </w:rPr>
        <w:t xml:space="preserve"> взнос на покрытие расходов конференции, если только они не являются региональными или международными организациями, которые были освобождены от уплаты </w:t>
      </w:r>
      <w:r w:rsidR="007A0C52" w:rsidRPr="00FD6E3F">
        <w:rPr>
          <w:szCs w:val="24"/>
          <w:lang w:val="ru-RU"/>
        </w:rPr>
        <w:t>сборов</w:t>
      </w:r>
      <w:r w:rsidR="001D581A" w:rsidRPr="00FD6E3F">
        <w:rPr>
          <w:szCs w:val="24"/>
          <w:lang w:val="ru-RU"/>
        </w:rPr>
        <w:t>. Во Всемирной конференции радиосвязи (ВКР) и Региональной конференции радиосвязи (РКР) могут принимать участие только Члены Сектора МСЭ</w:t>
      </w:r>
      <w:r w:rsidRPr="00FD6E3F">
        <w:rPr>
          <w:szCs w:val="24"/>
          <w:lang w:val="ru-RU"/>
        </w:rPr>
        <w:t>-R.</w:t>
      </w:r>
    </w:p>
    <w:p w:rsidR="007A7CC5" w:rsidRPr="00FD6E3F" w:rsidRDefault="007A7CC5" w:rsidP="00405E24">
      <w:pPr>
        <w:snapToGrid w:val="0"/>
        <w:spacing w:after="120"/>
        <w:rPr>
          <w:rFonts w:eastAsiaTheme="minorEastAsia" w:cstheme="minorHAnsi"/>
          <w:color w:val="231F20"/>
          <w:szCs w:val="24"/>
          <w:highlight w:val="yellow"/>
          <w:lang w:val="ru-RU" w:eastAsia="zh-CN"/>
        </w:rPr>
      </w:pPr>
      <w:r w:rsidRPr="00FD6E3F">
        <w:rPr>
          <w:szCs w:val="24"/>
          <w:lang w:val="ru-RU"/>
        </w:rPr>
        <w:t>2.6</w:t>
      </w:r>
      <w:r w:rsidRPr="00FD6E3F">
        <w:rPr>
          <w:szCs w:val="24"/>
          <w:lang w:val="ru-RU"/>
        </w:rPr>
        <w:tab/>
      </w:r>
      <w:r w:rsidR="001D581A" w:rsidRPr="00FD6E3F">
        <w:rPr>
          <w:szCs w:val="24"/>
          <w:lang w:val="ru-RU"/>
        </w:rPr>
        <w:t xml:space="preserve">Что касается других основных конференций и ассамблей, не </w:t>
      </w:r>
      <w:r w:rsidR="00405E24" w:rsidRPr="00FD6E3F">
        <w:rPr>
          <w:szCs w:val="24"/>
          <w:lang w:val="ru-RU"/>
        </w:rPr>
        <w:t xml:space="preserve">осуществляющих </w:t>
      </w:r>
      <w:r w:rsidR="001D581A" w:rsidRPr="00FD6E3F">
        <w:rPr>
          <w:szCs w:val="24"/>
          <w:lang w:val="ru-RU"/>
        </w:rPr>
        <w:t>разраб</w:t>
      </w:r>
      <w:r w:rsidR="00405E24" w:rsidRPr="00FD6E3F">
        <w:rPr>
          <w:szCs w:val="24"/>
          <w:lang w:val="ru-RU"/>
        </w:rPr>
        <w:t xml:space="preserve">отку </w:t>
      </w:r>
      <w:r w:rsidR="001D581A" w:rsidRPr="00FD6E3F">
        <w:rPr>
          <w:szCs w:val="24"/>
          <w:lang w:val="ru-RU"/>
        </w:rPr>
        <w:t>договоров, включая всемирную ассамблею по стандартизации электросвязи (ВАСЭ), всемирную конференцию по развитию электросвязи (ВКРЭ) и ассамблею радиосвязи (АР), Члены Секторов из соответствующего Сектора могут принимать полноправное участие, за исключением того, что они не имеют прав</w:t>
      </w:r>
      <w:r w:rsidR="00E276EC" w:rsidRPr="00FD6E3F">
        <w:rPr>
          <w:szCs w:val="24"/>
          <w:lang w:val="ru-RU"/>
        </w:rPr>
        <w:t>а</w:t>
      </w:r>
      <w:r w:rsidR="001D581A" w:rsidRPr="00FD6E3F">
        <w:rPr>
          <w:szCs w:val="24"/>
          <w:lang w:val="ru-RU"/>
        </w:rPr>
        <w:t xml:space="preserve"> участвовать в голосовании и вносить предложения по порядку ведения. Им не требуется вносить плату за участие в таких собраниях. Члены Секторов могут </w:t>
      </w:r>
      <w:r w:rsidR="00405E24" w:rsidRPr="00FD6E3F">
        <w:rPr>
          <w:szCs w:val="24"/>
          <w:lang w:val="ru-RU"/>
        </w:rPr>
        <w:t xml:space="preserve">предлагать </w:t>
      </w:r>
      <w:r w:rsidR="001D581A" w:rsidRPr="00FD6E3F">
        <w:rPr>
          <w:szCs w:val="24"/>
          <w:lang w:val="ru-RU"/>
        </w:rPr>
        <w:t>кандидатуры председателя/заместител</w:t>
      </w:r>
      <w:r w:rsidR="00405E24" w:rsidRPr="00FD6E3F">
        <w:rPr>
          <w:szCs w:val="24"/>
          <w:lang w:val="ru-RU"/>
        </w:rPr>
        <w:t>я</w:t>
      </w:r>
      <w:r w:rsidR="001D581A" w:rsidRPr="00FD6E3F">
        <w:rPr>
          <w:szCs w:val="24"/>
          <w:lang w:val="ru-RU"/>
        </w:rPr>
        <w:t xml:space="preserve"> председателя </w:t>
      </w:r>
      <w:r w:rsidR="00405E24" w:rsidRPr="00FD6E3F">
        <w:rPr>
          <w:szCs w:val="24"/>
          <w:lang w:val="ru-RU"/>
        </w:rPr>
        <w:t xml:space="preserve">для </w:t>
      </w:r>
      <w:r w:rsidR="001D581A" w:rsidRPr="00FD6E3F">
        <w:rPr>
          <w:szCs w:val="24"/>
          <w:lang w:val="ru-RU"/>
        </w:rPr>
        <w:t>ассамбле</w:t>
      </w:r>
      <w:r w:rsidR="00405E24" w:rsidRPr="00FD6E3F">
        <w:rPr>
          <w:szCs w:val="24"/>
          <w:lang w:val="ru-RU"/>
        </w:rPr>
        <w:t>й</w:t>
      </w:r>
      <w:r w:rsidR="001D581A" w:rsidRPr="00FD6E3F">
        <w:rPr>
          <w:szCs w:val="24"/>
          <w:lang w:val="ru-RU"/>
        </w:rPr>
        <w:t xml:space="preserve"> Секторов и конференци</w:t>
      </w:r>
      <w:r w:rsidR="00405E24" w:rsidRPr="00FD6E3F">
        <w:rPr>
          <w:szCs w:val="24"/>
          <w:lang w:val="ru-RU"/>
        </w:rPr>
        <w:t>й</w:t>
      </w:r>
      <w:r w:rsidR="001D581A" w:rsidRPr="00FD6E3F">
        <w:rPr>
          <w:szCs w:val="24"/>
          <w:lang w:val="ru-RU"/>
        </w:rPr>
        <w:t xml:space="preserve">, </w:t>
      </w:r>
      <w:r w:rsidR="00405E24" w:rsidRPr="00FD6E3F">
        <w:rPr>
          <w:szCs w:val="24"/>
          <w:lang w:val="ru-RU"/>
        </w:rPr>
        <w:t>не осуществляющих разработку договоров</w:t>
      </w:r>
      <w:r w:rsidR="001D581A" w:rsidRPr="00FD6E3F">
        <w:rPr>
          <w:szCs w:val="24"/>
          <w:lang w:val="ru-RU"/>
        </w:rPr>
        <w:t>. В п.</w:t>
      </w:r>
      <w:r w:rsidRPr="00FD6E3F">
        <w:rPr>
          <w:szCs w:val="24"/>
          <w:lang w:val="ru-RU"/>
        </w:rPr>
        <w:t xml:space="preserve"> 239 </w:t>
      </w:r>
      <w:r w:rsidR="001D581A" w:rsidRPr="00FD6E3F">
        <w:rPr>
          <w:szCs w:val="24"/>
          <w:lang w:val="ru-RU"/>
        </w:rPr>
        <w:t>Конвенции предусматривается, что "Член Сектора может действовать от имени Государства-Члена, которое дало на это согласие, при условии что это Государство-Член сообщает директору соответствующего Бюро, что он уполномочен на такие действия"</w:t>
      </w:r>
      <w:r w:rsidRPr="00FD6E3F">
        <w:rPr>
          <w:szCs w:val="24"/>
          <w:lang w:val="ru-RU"/>
        </w:rPr>
        <w:t>.</w:t>
      </w:r>
    </w:p>
    <w:p w:rsidR="007A7CC5" w:rsidRPr="00FD6E3F" w:rsidRDefault="007A7CC5" w:rsidP="00405E24">
      <w:pPr>
        <w:snapToGrid w:val="0"/>
        <w:spacing w:after="120"/>
        <w:rPr>
          <w:szCs w:val="24"/>
          <w:lang w:val="ru-RU"/>
        </w:rPr>
      </w:pPr>
      <w:r w:rsidRPr="00FD6E3F">
        <w:rPr>
          <w:szCs w:val="24"/>
          <w:lang w:val="ru-RU"/>
        </w:rPr>
        <w:t>2.7</w:t>
      </w:r>
      <w:r w:rsidRPr="00FD6E3F">
        <w:rPr>
          <w:szCs w:val="24"/>
          <w:lang w:val="ru-RU"/>
        </w:rPr>
        <w:tab/>
      </w:r>
      <w:r w:rsidR="00D7633E" w:rsidRPr="00FD6E3F">
        <w:rPr>
          <w:szCs w:val="24"/>
          <w:lang w:val="ru-RU"/>
        </w:rPr>
        <w:t>Члены Секторов могут принимать участие в работе Консультативной группы своего соответствующего Сектора, где они пользуются всеми правами, связанными с участием, за исключением права голоса и соответствующих процедурных прав, таких как внесение предложений по порядку ведения и подняти</w:t>
      </w:r>
      <w:r w:rsidR="00405E24" w:rsidRPr="00FD6E3F">
        <w:rPr>
          <w:szCs w:val="24"/>
          <w:lang w:val="ru-RU"/>
        </w:rPr>
        <w:t>е</w:t>
      </w:r>
      <w:r w:rsidR="00D7633E" w:rsidRPr="00FD6E3F">
        <w:rPr>
          <w:szCs w:val="24"/>
          <w:lang w:val="ru-RU"/>
        </w:rPr>
        <w:t xml:space="preserve"> вопросов по порядку ведения. Они могут делать вклады в письменной или устной форме и могут выполнять обязанности председателя или заместителя председателя </w:t>
      </w:r>
      <w:r w:rsidRPr="00FD6E3F">
        <w:rPr>
          <w:szCs w:val="24"/>
          <w:lang w:val="ru-RU"/>
        </w:rPr>
        <w:t>(</w:t>
      </w:r>
      <w:r w:rsidR="00D7633E" w:rsidRPr="00FD6E3F">
        <w:rPr>
          <w:szCs w:val="24"/>
          <w:lang w:val="ru-RU"/>
        </w:rPr>
        <w:t>п</w:t>
      </w:r>
      <w:r w:rsidRPr="00FD6E3F">
        <w:rPr>
          <w:szCs w:val="24"/>
          <w:lang w:val="ru-RU"/>
        </w:rPr>
        <w:t xml:space="preserve">. 28B </w:t>
      </w:r>
      <w:r w:rsidR="00D7633E" w:rsidRPr="00FD6E3F">
        <w:rPr>
          <w:szCs w:val="24"/>
          <w:lang w:val="ru-RU"/>
        </w:rPr>
        <w:t>Устава</w:t>
      </w:r>
      <w:r w:rsidRPr="00FD6E3F">
        <w:rPr>
          <w:szCs w:val="24"/>
          <w:lang w:val="ru-RU"/>
        </w:rPr>
        <w:t xml:space="preserve">), </w:t>
      </w:r>
      <w:r w:rsidR="00D7633E" w:rsidRPr="00FD6E3F">
        <w:rPr>
          <w:szCs w:val="24"/>
          <w:lang w:val="ru-RU"/>
        </w:rPr>
        <w:t xml:space="preserve">в том числе </w:t>
      </w:r>
      <w:r w:rsidR="00405E24" w:rsidRPr="00FD6E3F">
        <w:rPr>
          <w:szCs w:val="24"/>
          <w:lang w:val="ru-RU"/>
        </w:rPr>
        <w:t xml:space="preserve">в </w:t>
      </w:r>
      <w:r w:rsidR="00D7633E" w:rsidRPr="00FD6E3F">
        <w:rPr>
          <w:szCs w:val="24"/>
          <w:lang w:val="ru-RU"/>
        </w:rPr>
        <w:t>любых соответствующих рабочих групп</w:t>
      </w:r>
      <w:r w:rsidR="00405E24" w:rsidRPr="00FD6E3F">
        <w:rPr>
          <w:szCs w:val="24"/>
          <w:lang w:val="ru-RU"/>
        </w:rPr>
        <w:t>ах</w:t>
      </w:r>
      <w:r w:rsidRPr="00FD6E3F">
        <w:rPr>
          <w:szCs w:val="24"/>
          <w:lang w:val="ru-RU"/>
        </w:rPr>
        <w:t xml:space="preserve">. </w:t>
      </w:r>
    </w:p>
    <w:p w:rsidR="007A7CC5" w:rsidRPr="00FD6E3F" w:rsidRDefault="007A7CC5" w:rsidP="00405E24">
      <w:pPr>
        <w:snapToGrid w:val="0"/>
        <w:spacing w:after="120"/>
        <w:rPr>
          <w:szCs w:val="24"/>
          <w:lang w:val="ru-RU"/>
        </w:rPr>
      </w:pPr>
      <w:r w:rsidRPr="00FD6E3F">
        <w:rPr>
          <w:szCs w:val="24"/>
          <w:lang w:val="ru-RU"/>
        </w:rPr>
        <w:t>2.8</w:t>
      </w:r>
      <w:r w:rsidRPr="00FD6E3F">
        <w:rPr>
          <w:szCs w:val="24"/>
          <w:lang w:val="ru-RU"/>
        </w:rPr>
        <w:tab/>
      </w:r>
      <w:r w:rsidR="00405E24" w:rsidRPr="00FD6E3F">
        <w:rPr>
          <w:szCs w:val="24"/>
          <w:lang w:val="ru-RU"/>
        </w:rPr>
        <w:t>Члены Сектора в количестве д</w:t>
      </w:r>
      <w:r w:rsidR="00D7633E" w:rsidRPr="00FD6E3F">
        <w:rPr>
          <w:szCs w:val="24"/>
          <w:lang w:val="ru-RU"/>
        </w:rPr>
        <w:t xml:space="preserve">о трех на Сектор могут принимать участие в </w:t>
      </w:r>
      <w:r w:rsidR="00405E24" w:rsidRPr="00FD6E3F">
        <w:rPr>
          <w:szCs w:val="24"/>
          <w:lang w:val="ru-RU"/>
        </w:rPr>
        <w:t>работе</w:t>
      </w:r>
      <w:r w:rsidR="00D7633E" w:rsidRPr="00FD6E3F">
        <w:rPr>
          <w:szCs w:val="24"/>
          <w:lang w:val="ru-RU"/>
        </w:rPr>
        <w:t xml:space="preserve"> Совета в качестве наблюдателей, что дает им право присутствия, но не дает права голоса или права представлять вклады в письменной или устной форме</w:t>
      </w:r>
      <w:r w:rsidRPr="00FD6E3F">
        <w:rPr>
          <w:szCs w:val="24"/>
          <w:lang w:val="ru-RU"/>
        </w:rPr>
        <w:t xml:space="preserve"> (</w:t>
      </w:r>
      <w:r w:rsidR="00D7633E" w:rsidRPr="00FD6E3F">
        <w:rPr>
          <w:szCs w:val="24"/>
          <w:lang w:val="ru-RU"/>
        </w:rPr>
        <w:t>п</w:t>
      </w:r>
      <w:r w:rsidRPr="00FD6E3F">
        <w:rPr>
          <w:szCs w:val="24"/>
          <w:lang w:val="ru-RU"/>
        </w:rPr>
        <w:t xml:space="preserve">. 60B </w:t>
      </w:r>
      <w:r w:rsidR="00D7633E" w:rsidRPr="00FD6E3F">
        <w:rPr>
          <w:szCs w:val="24"/>
          <w:lang w:val="ru-RU"/>
        </w:rPr>
        <w:t>Конвенции</w:t>
      </w:r>
      <w:r w:rsidRPr="00FD6E3F">
        <w:rPr>
          <w:szCs w:val="24"/>
          <w:lang w:val="ru-RU"/>
        </w:rPr>
        <w:t xml:space="preserve">, </w:t>
      </w:r>
      <w:r w:rsidR="00D7633E" w:rsidRPr="00FD6E3F">
        <w:rPr>
          <w:szCs w:val="24"/>
          <w:lang w:val="ru-RU"/>
        </w:rPr>
        <w:t xml:space="preserve">Правило процедуры </w:t>
      </w:r>
      <w:r w:rsidRPr="00FD6E3F">
        <w:rPr>
          <w:szCs w:val="24"/>
          <w:lang w:val="ru-RU"/>
        </w:rPr>
        <w:t xml:space="preserve">7.4 </w:t>
      </w:r>
      <w:r w:rsidR="00D7633E" w:rsidRPr="00FD6E3F">
        <w:rPr>
          <w:szCs w:val="24"/>
          <w:lang w:val="ru-RU"/>
        </w:rPr>
        <w:t xml:space="preserve">Совета и Решение </w:t>
      </w:r>
      <w:r w:rsidRPr="00FD6E3F">
        <w:rPr>
          <w:szCs w:val="24"/>
          <w:lang w:val="ru-RU"/>
        </w:rPr>
        <w:t xml:space="preserve">519 </w:t>
      </w:r>
      <w:r w:rsidR="00D7633E" w:rsidRPr="00FD6E3F">
        <w:rPr>
          <w:szCs w:val="24"/>
          <w:lang w:val="ru-RU"/>
        </w:rPr>
        <w:t>Совета</w:t>
      </w:r>
      <w:r w:rsidRPr="00FD6E3F">
        <w:rPr>
          <w:szCs w:val="24"/>
          <w:lang w:val="ru-RU"/>
        </w:rPr>
        <w:t xml:space="preserve">). </w:t>
      </w:r>
      <w:r w:rsidR="00D7633E" w:rsidRPr="00FD6E3F">
        <w:rPr>
          <w:szCs w:val="24"/>
          <w:lang w:val="ru-RU"/>
        </w:rPr>
        <w:t xml:space="preserve">На сессии Совета </w:t>
      </w:r>
      <w:r w:rsidRPr="00FD6E3F">
        <w:rPr>
          <w:szCs w:val="24"/>
          <w:lang w:val="ru-RU"/>
        </w:rPr>
        <w:t xml:space="preserve">2012 </w:t>
      </w:r>
      <w:r w:rsidR="00D7633E" w:rsidRPr="00FD6E3F">
        <w:rPr>
          <w:szCs w:val="24"/>
          <w:lang w:val="ru-RU"/>
        </w:rPr>
        <w:t xml:space="preserve">года </w:t>
      </w:r>
      <w:r w:rsidRPr="00FD6E3F">
        <w:rPr>
          <w:szCs w:val="24"/>
          <w:lang w:val="ru-RU"/>
        </w:rPr>
        <w:t>(</w:t>
      </w:r>
      <w:r w:rsidR="00D7633E" w:rsidRPr="00FD6E3F">
        <w:rPr>
          <w:szCs w:val="24"/>
          <w:lang w:val="ru-RU"/>
        </w:rPr>
        <w:t xml:space="preserve">Решение </w:t>
      </w:r>
      <w:r w:rsidRPr="00FD6E3F">
        <w:rPr>
          <w:szCs w:val="24"/>
          <w:lang w:val="ru-RU"/>
        </w:rPr>
        <w:t xml:space="preserve">519 </w:t>
      </w:r>
      <w:r w:rsidR="00D7633E" w:rsidRPr="00FD6E3F">
        <w:rPr>
          <w:szCs w:val="24"/>
          <w:lang w:val="ru-RU"/>
        </w:rPr>
        <w:t>(ИЗМ)</w:t>
      </w:r>
      <w:r w:rsidRPr="00FD6E3F">
        <w:rPr>
          <w:szCs w:val="24"/>
          <w:lang w:val="ru-RU"/>
        </w:rPr>
        <w:t xml:space="preserve">) </w:t>
      </w:r>
      <w:r w:rsidR="00D7633E" w:rsidRPr="00FD6E3F">
        <w:rPr>
          <w:szCs w:val="24"/>
          <w:lang w:val="ru-RU"/>
        </w:rPr>
        <w:t xml:space="preserve">было принято решение разрешить допуск шести основных региональных организаций электросвязи для участия в качестве Членов Секторов – наблюдателей </w:t>
      </w:r>
      <w:r w:rsidR="00405E24" w:rsidRPr="00FD6E3F">
        <w:rPr>
          <w:szCs w:val="24"/>
          <w:lang w:val="ru-RU"/>
        </w:rPr>
        <w:t xml:space="preserve">на сессиях </w:t>
      </w:r>
      <w:r w:rsidR="00D7633E" w:rsidRPr="00FD6E3F">
        <w:rPr>
          <w:szCs w:val="24"/>
          <w:lang w:val="ru-RU"/>
        </w:rPr>
        <w:t>Совета по приглашению Генерального секретаря МСЭ вне установленной квоты</w:t>
      </w:r>
      <w:r w:rsidRPr="00FD6E3F">
        <w:rPr>
          <w:rFonts w:asciiTheme="minorHAnsi" w:hAnsiTheme="minorHAnsi" w:cstheme="minorHAnsi"/>
          <w:lang w:val="ru-RU"/>
        </w:rPr>
        <w:t>.</w:t>
      </w:r>
    </w:p>
    <w:p w:rsidR="007A7CC5" w:rsidRPr="00FD6E3F" w:rsidRDefault="00D7633E" w:rsidP="002A4122">
      <w:pPr>
        <w:pStyle w:val="Headingi"/>
        <w:rPr>
          <w:lang w:val="ru-RU"/>
        </w:rPr>
      </w:pPr>
      <w:r w:rsidRPr="00FD6E3F">
        <w:rPr>
          <w:lang w:val="ru-RU"/>
        </w:rPr>
        <w:t>Ассоциированные члены</w:t>
      </w:r>
    </w:p>
    <w:p w:rsidR="007A7CC5" w:rsidRPr="00FD6E3F" w:rsidRDefault="007A7CC5" w:rsidP="00405E24">
      <w:pPr>
        <w:spacing w:after="120"/>
        <w:rPr>
          <w:szCs w:val="24"/>
          <w:lang w:val="ru-RU"/>
        </w:rPr>
      </w:pPr>
      <w:r w:rsidRPr="00FD6E3F">
        <w:rPr>
          <w:szCs w:val="24"/>
          <w:lang w:val="ru-RU"/>
        </w:rPr>
        <w:t>2.9</w:t>
      </w:r>
      <w:r w:rsidRPr="00FD6E3F">
        <w:rPr>
          <w:szCs w:val="24"/>
          <w:lang w:val="ru-RU"/>
        </w:rPr>
        <w:tab/>
      </w:r>
      <w:r w:rsidR="00D7633E" w:rsidRPr="00FD6E3F">
        <w:rPr>
          <w:szCs w:val="24"/>
          <w:lang w:val="ru-RU"/>
        </w:rPr>
        <w:t>Категория Ассоциированных членов введена в Статье 19 Конвенция (п</w:t>
      </w:r>
      <w:r w:rsidRPr="00FD6E3F">
        <w:rPr>
          <w:szCs w:val="24"/>
          <w:lang w:val="ru-RU"/>
        </w:rPr>
        <w:t xml:space="preserve">. 241A), </w:t>
      </w:r>
      <w:r w:rsidR="00D7633E" w:rsidRPr="00FD6E3F">
        <w:rPr>
          <w:szCs w:val="24"/>
          <w:lang w:val="ru-RU"/>
        </w:rPr>
        <w:t xml:space="preserve">в которой объединениям предоставляется возможность участия в работе одной исследовательской комиссии какого-либо конкретного Сектора, "учитывая размер объединения или организации и любой другой соответствующий критерий". В п. </w:t>
      </w:r>
      <w:r w:rsidRPr="00FD6E3F">
        <w:rPr>
          <w:szCs w:val="24"/>
          <w:lang w:val="ru-RU"/>
        </w:rPr>
        <w:t>248B (</w:t>
      </w:r>
      <w:r w:rsidR="00D7633E" w:rsidRPr="00FD6E3F">
        <w:rPr>
          <w:szCs w:val="24"/>
          <w:lang w:val="ru-RU"/>
        </w:rPr>
        <w:t xml:space="preserve">Статья </w:t>
      </w:r>
      <w:r w:rsidRPr="00FD6E3F">
        <w:rPr>
          <w:szCs w:val="24"/>
          <w:lang w:val="ru-RU"/>
        </w:rPr>
        <w:t xml:space="preserve">20 </w:t>
      </w:r>
      <w:r w:rsidR="00D7633E" w:rsidRPr="00FD6E3F">
        <w:rPr>
          <w:szCs w:val="24"/>
          <w:lang w:val="ru-RU"/>
        </w:rPr>
        <w:t>Конвенции</w:t>
      </w:r>
      <w:r w:rsidRPr="00FD6E3F">
        <w:rPr>
          <w:szCs w:val="24"/>
          <w:lang w:val="ru-RU"/>
        </w:rPr>
        <w:t>)</w:t>
      </w:r>
      <w:r w:rsidR="00D7633E" w:rsidRPr="00FD6E3F">
        <w:rPr>
          <w:szCs w:val="24"/>
          <w:lang w:val="ru-RU"/>
        </w:rPr>
        <w:t xml:space="preserve"> до</w:t>
      </w:r>
      <w:r w:rsidR="00405E24" w:rsidRPr="00FD6E3F">
        <w:rPr>
          <w:szCs w:val="24"/>
          <w:lang w:val="ru-RU"/>
        </w:rPr>
        <w:t>полнительно определяется</w:t>
      </w:r>
      <w:r w:rsidR="00D7633E" w:rsidRPr="00FD6E3F">
        <w:rPr>
          <w:szCs w:val="24"/>
          <w:lang w:val="ru-RU"/>
        </w:rPr>
        <w:t>, что "Ассоциированн</w:t>
      </w:r>
      <w:r w:rsidR="0067187F" w:rsidRPr="00FD6E3F">
        <w:rPr>
          <w:szCs w:val="24"/>
          <w:lang w:val="ru-RU"/>
        </w:rPr>
        <w:t>ому</w:t>
      </w:r>
      <w:r w:rsidR="00D7633E" w:rsidRPr="00FD6E3F">
        <w:rPr>
          <w:szCs w:val="24"/>
          <w:lang w:val="ru-RU"/>
        </w:rPr>
        <w:t xml:space="preserve"> член</w:t>
      </w:r>
      <w:r w:rsidR="0067187F" w:rsidRPr="00FD6E3F">
        <w:rPr>
          <w:szCs w:val="24"/>
          <w:lang w:val="ru-RU"/>
        </w:rPr>
        <w:t>у</w:t>
      </w:r>
      <w:r w:rsidR="00D7633E" w:rsidRPr="00FD6E3F">
        <w:rPr>
          <w:szCs w:val="24"/>
          <w:lang w:val="ru-RU"/>
        </w:rPr>
        <w:t xml:space="preserve"> </w:t>
      </w:r>
      <w:r w:rsidR="0067187F" w:rsidRPr="00FD6E3F">
        <w:rPr>
          <w:szCs w:val="24"/>
          <w:lang w:val="ru-RU"/>
        </w:rPr>
        <w:t>… разрешается участвовать в работе выбранной исследовательской комиссии без участия в процессе принятия решений или в деятельности по взаимодействию этой исследовательской комиссии". Ассоциированные члены могут выполнять обязанности докладчика в МСЭ</w:t>
      </w:r>
      <w:r w:rsidRPr="00FD6E3F">
        <w:rPr>
          <w:szCs w:val="24"/>
          <w:lang w:val="ru-RU"/>
        </w:rPr>
        <w:t xml:space="preserve">-R </w:t>
      </w:r>
      <w:r w:rsidR="0067187F" w:rsidRPr="00FD6E3F">
        <w:rPr>
          <w:szCs w:val="24"/>
          <w:lang w:val="ru-RU"/>
        </w:rPr>
        <w:t>и</w:t>
      </w:r>
      <w:r w:rsidRPr="00FD6E3F">
        <w:rPr>
          <w:szCs w:val="24"/>
          <w:lang w:val="ru-RU"/>
        </w:rPr>
        <w:t xml:space="preserve"> </w:t>
      </w:r>
      <w:r w:rsidR="0067187F" w:rsidRPr="00FD6E3F">
        <w:rPr>
          <w:szCs w:val="24"/>
          <w:lang w:val="ru-RU"/>
        </w:rPr>
        <w:t>МСЭ</w:t>
      </w:r>
      <w:r w:rsidRPr="00FD6E3F">
        <w:rPr>
          <w:szCs w:val="24"/>
          <w:lang w:val="ru-RU"/>
        </w:rPr>
        <w:t>-T (</w:t>
      </w:r>
      <w:r w:rsidR="0067187F" w:rsidRPr="00FD6E3F">
        <w:rPr>
          <w:szCs w:val="24"/>
          <w:lang w:val="ru-RU"/>
        </w:rPr>
        <w:t>Резолюция МСЭ</w:t>
      </w:r>
      <w:r w:rsidRPr="00FD6E3F">
        <w:rPr>
          <w:szCs w:val="24"/>
          <w:lang w:val="ru-RU"/>
        </w:rPr>
        <w:t>-R 43 (</w:t>
      </w:r>
      <w:r w:rsidR="0067187F" w:rsidRPr="00FD6E3F">
        <w:rPr>
          <w:szCs w:val="24"/>
          <w:lang w:val="ru-RU"/>
        </w:rPr>
        <w:t>Стамбул</w:t>
      </w:r>
      <w:r w:rsidRPr="00FD6E3F">
        <w:rPr>
          <w:szCs w:val="24"/>
          <w:lang w:val="ru-RU"/>
        </w:rPr>
        <w:t>, 2000</w:t>
      </w:r>
      <w:r w:rsidR="0067187F" w:rsidRPr="00FD6E3F">
        <w:rPr>
          <w:szCs w:val="24"/>
          <w:lang w:val="ru-RU"/>
        </w:rPr>
        <w:t xml:space="preserve"> г.</w:t>
      </w:r>
      <w:r w:rsidRPr="00FD6E3F">
        <w:rPr>
          <w:szCs w:val="24"/>
          <w:lang w:val="ru-RU"/>
        </w:rPr>
        <w:t xml:space="preserve">), </w:t>
      </w:r>
      <w:r w:rsidR="0067187F" w:rsidRPr="00FD6E3F">
        <w:rPr>
          <w:szCs w:val="24"/>
          <w:lang w:val="ru-RU"/>
        </w:rPr>
        <w:t xml:space="preserve">Резолюция </w:t>
      </w:r>
      <w:r w:rsidRPr="00FD6E3F">
        <w:rPr>
          <w:szCs w:val="24"/>
          <w:lang w:val="ru-RU"/>
        </w:rPr>
        <w:t>31 (</w:t>
      </w:r>
      <w:r w:rsidR="0067187F" w:rsidRPr="00FD6E3F">
        <w:rPr>
          <w:szCs w:val="24"/>
          <w:lang w:val="ru-RU"/>
        </w:rPr>
        <w:t>Пересм. Дубай</w:t>
      </w:r>
      <w:r w:rsidRPr="00FD6E3F">
        <w:rPr>
          <w:szCs w:val="24"/>
          <w:lang w:val="ru-RU"/>
        </w:rPr>
        <w:t>, 2012</w:t>
      </w:r>
      <w:r w:rsidR="0067187F" w:rsidRPr="00FD6E3F">
        <w:rPr>
          <w:szCs w:val="24"/>
          <w:lang w:val="ru-RU"/>
        </w:rPr>
        <w:t xml:space="preserve"> г.</w:t>
      </w:r>
      <w:r w:rsidRPr="00FD6E3F">
        <w:rPr>
          <w:szCs w:val="24"/>
          <w:lang w:val="ru-RU"/>
        </w:rPr>
        <w:t>)</w:t>
      </w:r>
      <w:r w:rsidR="0067187F" w:rsidRPr="00FD6E3F">
        <w:rPr>
          <w:szCs w:val="24"/>
          <w:lang w:val="ru-RU"/>
        </w:rPr>
        <w:t xml:space="preserve"> ВАСЭ) и заместителя докладчика в исследовательских комиссиях МСЭ</w:t>
      </w:r>
      <w:r w:rsidRPr="00FD6E3F">
        <w:rPr>
          <w:szCs w:val="24"/>
          <w:lang w:val="ru-RU"/>
        </w:rPr>
        <w:t>-D (</w:t>
      </w:r>
      <w:r w:rsidR="0067187F" w:rsidRPr="00FD6E3F">
        <w:rPr>
          <w:szCs w:val="24"/>
          <w:lang w:val="ru-RU"/>
        </w:rPr>
        <w:t xml:space="preserve">Резолюция </w:t>
      </w:r>
      <w:r w:rsidRPr="00FD6E3F">
        <w:rPr>
          <w:szCs w:val="24"/>
          <w:lang w:val="ru-RU"/>
        </w:rPr>
        <w:t>1 (</w:t>
      </w:r>
      <w:r w:rsidR="0067187F" w:rsidRPr="00FD6E3F">
        <w:rPr>
          <w:szCs w:val="24"/>
          <w:lang w:val="ru-RU"/>
        </w:rPr>
        <w:t>Пересм. Дубай</w:t>
      </w:r>
      <w:r w:rsidRPr="00FD6E3F">
        <w:rPr>
          <w:szCs w:val="24"/>
          <w:lang w:val="ru-RU"/>
        </w:rPr>
        <w:t>, 2014</w:t>
      </w:r>
      <w:r w:rsidR="002E0DB1">
        <w:rPr>
          <w:szCs w:val="24"/>
          <w:lang w:val="ru-RU"/>
        </w:rPr>
        <w:t> </w:t>
      </w:r>
      <w:r w:rsidR="0067187F" w:rsidRPr="00FD6E3F">
        <w:rPr>
          <w:szCs w:val="24"/>
          <w:lang w:val="ru-RU"/>
        </w:rPr>
        <w:t>г.</w:t>
      </w:r>
      <w:r w:rsidRPr="00FD6E3F">
        <w:rPr>
          <w:szCs w:val="24"/>
          <w:lang w:val="ru-RU"/>
        </w:rPr>
        <w:t>)</w:t>
      </w:r>
      <w:r w:rsidR="0067187F" w:rsidRPr="00FD6E3F">
        <w:rPr>
          <w:szCs w:val="24"/>
          <w:lang w:val="ru-RU"/>
        </w:rPr>
        <w:t xml:space="preserve"> ВКРЭ</w:t>
      </w:r>
      <w:r w:rsidRPr="00FD6E3F">
        <w:rPr>
          <w:szCs w:val="24"/>
          <w:lang w:val="ru-RU"/>
        </w:rPr>
        <w:t xml:space="preserve">). </w:t>
      </w:r>
      <w:r w:rsidR="0067187F" w:rsidRPr="00FD6E3F">
        <w:rPr>
          <w:szCs w:val="24"/>
          <w:lang w:val="ru-RU"/>
        </w:rPr>
        <w:t>Вместе с тем, Ассоциированные члены не имеют права принимать участие в работе Совета, Консультативных групп Секторов, основных конференций и ассамблей и конференций по разработке договоров</w:t>
      </w:r>
      <w:r w:rsidRPr="00FD6E3F">
        <w:rPr>
          <w:szCs w:val="24"/>
          <w:lang w:val="ru-RU"/>
        </w:rPr>
        <w:t xml:space="preserve">. </w:t>
      </w:r>
    </w:p>
    <w:p w:rsidR="007A7CC5" w:rsidRPr="00FD6E3F" w:rsidRDefault="0067187F" w:rsidP="002A4122">
      <w:pPr>
        <w:pStyle w:val="Headingi"/>
        <w:rPr>
          <w:lang w:val="ru-RU"/>
        </w:rPr>
      </w:pPr>
      <w:r w:rsidRPr="00FD6E3F">
        <w:rPr>
          <w:lang w:val="ru-RU"/>
        </w:rPr>
        <w:t>Академические организации</w:t>
      </w:r>
    </w:p>
    <w:p w:rsidR="007A7CC5" w:rsidRPr="00FD6E3F" w:rsidRDefault="007A7CC5" w:rsidP="00F942FD">
      <w:pPr>
        <w:rPr>
          <w:szCs w:val="24"/>
          <w:lang w:val="ru-RU"/>
        </w:rPr>
      </w:pPr>
      <w:r w:rsidRPr="00FD6E3F">
        <w:rPr>
          <w:bCs/>
          <w:szCs w:val="24"/>
          <w:lang w:val="ru-RU"/>
        </w:rPr>
        <w:t>2.10</w:t>
      </w:r>
      <w:r w:rsidRPr="00FD6E3F">
        <w:rPr>
          <w:bCs/>
          <w:szCs w:val="24"/>
          <w:lang w:val="ru-RU"/>
        </w:rPr>
        <w:tab/>
      </w:r>
      <w:r w:rsidR="0067187F" w:rsidRPr="00FD6E3F">
        <w:rPr>
          <w:bCs/>
          <w:szCs w:val="24"/>
          <w:lang w:val="ru-RU"/>
        </w:rPr>
        <w:t xml:space="preserve">Категория участия для академических организаций была введена в Резолюции 169 (Гвадалахара, </w:t>
      </w:r>
      <w:r w:rsidRPr="00FD6E3F">
        <w:rPr>
          <w:bCs/>
          <w:szCs w:val="24"/>
          <w:lang w:val="ru-RU"/>
        </w:rPr>
        <w:t>2010</w:t>
      </w:r>
      <w:r w:rsidR="0067187F" w:rsidRPr="00FD6E3F">
        <w:rPr>
          <w:bCs/>
          <w:szCs w:val="24"/>
          <w:lang w:val="ru-RU"/>
        </w:rPr>
        <w:t xml:space="preserve"> г.</w:t>
      </w:r>
      <w:r w:rsidRPr="00FD6E3F">
        <w:rPr>
          <w:bCs/>
          <w:szCs w:val="24"/>
          <w:lang w:val="ru-RU"/>
        </w:rPr>
        <w:t>)</w:t>
      </w:r>
      <w:r w:rsidR="0067187F" w:rsidRPr="00FD6E3F">
        <w:rPr>
          <w:bCs/>
          <w:szCs w:val="24"/>
          <w:lang w:val="ru-RU"/>
        </w:rPr>
        <w:t>, в которой эта категория была создана "на экспериментальной основе". ПК-10 поручила Совету "</w:t>
      </w:r>
      <w:r w:rsidR="005966C0" w:rsidRPr="00FD6E3F">
        <w:rPr>
          <w:bCs/>
          <w:szCs w:val="24"/>
          <w:lang w:val="ru-RU"/>
        </w:rPr>
        <w:t xml:space="preserve">добавить к настоящей Резолюции любые дополнительные условия или подробные процедуры, если он сочтет их необходимыми" и "представить следующей полномочной конференции соответствующий отчет для принятия окончательного решения о таком участии". В Резолюции </w:t>
      </w:r>
      <w:r w:rsidRPr="00FD6E3F">
        <w:rPr>
          <w:bCs/>
          <w:szCs w:val="24"/>
          <w:lang w:val="ru-RU"/>
        </w:rPr>
        <w:t>169 (</w:t>
      </w:r>
      <w:r w:rsidR="005966C0" w:rsidRPr="00FD6E3F">
        <w:rPr>
          <w:bCs/>
          <w:szCs w:val="24"/>
          <w:lang w:val="ru-RU"/>
        </w:rPr>
        <w:t>Гвадалахара</w:t>
      </w:r>
      <w:r w:rsidRPr="00FD6E3F">
        <w:rPr>
          <w:bCs/>
          <w:szCs w:val="24"/>
          <w:lang w:val="ru-RU"/>
        </w:rPr>
        <w:t>, 2010</w:t>
      </w:r>
      <w:r w:rsidR="005966C0" w:rsidRPr="00FD6E3F">
        <w:rPr>
          <w:bCs/>
          <w:szCs w:val="24"/>
          <w:lang w:val="ru-RU"/>
        </w:rPr>
        <w:t xml:space="preserve"> г.</w:t>
      </w:r>
      <w:r w:rsidRPr="00FD6E3F">
        <w:rPr>
          <w:bCs/>
          <w:szCs w:val="24"/>
          <w:lang w:val="ru-RU"/>
        </w:rPr>
        <w:t xml:space="preserve">) </w:t>
      </w:r>
      <w:r w:rsidR="005966C0" w:rsidRPr="00FD6E3F">
        <w:rPr>
          <w:bCs/>
          <w:szCs w:val="24"/>
          <w:lang w:val="ru-RU"/>
        </w:rPr>
        <w:t xml:space="preserve">указано, что "академические организации не должны выполнять какой-либо роли в процессе принятия решений, включая принятие резолюций или рекомендаций". Данная Резолюция была дополнена на Ассамблее радиосвязи </w:t>
      </w:r>
      <w:r w:rsidR="00F942FD" w:rsidRPr="00FD6E3F">
        <w:rPr>
          <w:bCs/>
          <w:szCs w:val="24"/>
          <w:lang w:val="ru-RU"/>
        </w:rPr>
        <w:t>(</w:t>
      </w:r>
      <w:r w:rsidR="005966C0" w:rsidRPr="00FD6E3F">
        <w:rPr>
          <w:bCs/>
          <w:szCs w:val="24"/>
          <w:lang w:val="ru-RU"/>
        </w:rPr>
        <w:t>Резолюци</w:t>
      </w:r>
      <w:r w:rsidR="00F942FD" w:rsidRPr="00FD6E3F">
        <w:rPr>
          <w:bCs/>
          <w:szCs w:val="24"/>
          <w:lang w:val="ru-RU"/>
        </w:rPr>
        <w:t>я</w:t>
      </w:r>
      <w:r w:rsidR="005966C0" w:rsidRPr="00FD6E3F">
        <w:rPr>
          <w:bCs/>
          <w:szCs w:val="24"/>
          <w:lang w:val="ru-RU"/>
        </w:rPr>
        <w:t xml:space="preserve"> МСЭ</w:t>
      </w:r>
      <w:r w:rsidRPr="00FD6E3F">
        <w:rPr>
          <w:bCs/>
          <w:szCs w:val="24"/>
          <w:lang w:val="ru-RU"/>
        </w:rPr>
        <w:t>-R 63; 2012</w:t>
      </w:r>
      <w:r w:rsidR="005966C0" w:rsidRPr="00FD6E3F">
        <w:rPr>
          <w:bCs/>
          <w:szCs w:val="24"/>
          <w:lang w:val="ru-RU"/>
        </w:rPr>
        <w:t xml:space="preserve"> г.</w:t>
      </w:r>
      <w:r w:rsidRPr="00FD6E3F">
        <w:rPr>
          <w:bCs/>
          <w:szCs w:val="24"/>
          <w:lang w:val="ru-RU"/>
        </w:rPr>
        <w:t xml:space="preserve">), </w:t>
      </w:r>
      <w:r w:rsidR="005966C0" w:rsidRPr="00FD6E3F">
        <w:rPr>
          <w:bCs/>
          <w:szCs w:val="24"/>
          <w:lang w:val="ru-RU"/>
        </w:rPr>
        <w:t>котор</w:t>
      </w:r>
      <w:r w:rsidR="00F942FD" w:rsidRPr="00FD6E3F">
        <w:rPr>
          <w:bCs/>
          <w:szCs w:val="24"/>
          <w:lang w:val="ru-RU"/>
        </w:rPr>
        <w:t>ая</w:t>
      </w:r>
      <w:r w:rsidR="005966C0" w:rsidRPr="00FD6E3F">
        <w:rPr>
          <w:bCs/>
          <w:szCs w:val="24"/>
          <w:lang w:val="ru-RU"/>
        </w:rPr>
        <w:t xml:space="preserve"> до</w:t>
      </w:r>
      <w:r w:rsidR="00F942FD" w:rsidRPr="00FD6E3F">
        <w:rPr>
          <w:bCs/>
          <w:szCs w:val="24"/>
          <w:lang w:val="ru-RU"/>
        </w:rPr>
        <w:t>полнительно определила</w:t>
      </w:r>
      <w:r w:rsidR="005966C0" w:rsidRPr="00FD6E3F">
        <w:rPr>
          <w:bCs/>
          <w:szCs w:val="24"/>
          <w:lang w:val="ru-RU"/>
        </w:rPr>
        <w:t>, что академическим организациям предоставляется доступ к документам МСЭ</w:t>
      </w:r>
      <w:r w:rsidRPr="00FD6E3F">
        <w:rPr>
          <w:bCs/>
          <w:szCs w:val="24"/>
          <w:lang w:val="ru-RU"/>
        </w:rPr>
        <w:t>-R</w:t>
      </w:r>
      <w:r w:rsidR="005966C0" w:rsidRPr="00FD6E3F">
        <w:rPr>
          <w:bCs/>
          <w:szCs w:val="24"/>
          <w:lang w:val="ru-RU"/>
        </w:rPr>
        <w:t>, они могут выполнять обязанност</w:t>
      </w:r>
      <w:r w:rsidR="00F942FD" w:rsidRPr="00FD6E3F">
        <w:rPr>
          <w:bCs/>
          <w:szCs w:val="24"/>
          <w:lang w:val="ru-RU"/>
        </w:rPr>
        <w:t>и</w:t>
      </w:r>
      <w:r w:rsidR="005966C0" w:rsidRPr="00FD6E3F">
        <w:rPr>
          <w:bCs/>
          <w:szCs w:val="24"/>
          <w:lang w:val="ru-RU"/>
        </w:rPr>
        <w:t xml:space="preserve"> докладчика и принимать участие в </w:t>
      </w:r>
      <w:r w:rsidR="00F942FD" w:rsidRPr="00FD6E3F">
        <w:rPr>
          <w:bCs/>
          <w:szCs w:val="24"/>
          <w:lang w:val="ru-RU"/>
        </w:rPr>
        <w:t xml:space="preserve">деятельности </w:t>
      </w:r>
      <w:r w:rsidR="005966C0" w:rsidRPr="00FD6E3F">
        <w:rPr>
          <w:bCs/>
          <w:szCs w:val="24"/>
          <w:lang w:val="ru-RU"/>
        </w:rPr>
        <w:t xml:space="preserve">рабочих групп. В Резолюции 71 </w:t>
      </w:r>
      <w:r w:rsidRPr="00FD6E3F">
        <w:rPr>
          <w:bCs/>
          <w:szCs w:val="24"/>
          <w:lang w:val="ru-RU"/>
        </w:rPr>
        <w:t>(</w:t>
      </w:r>
      <w:r w:rsidR="005966C0" w:rsidRPr="00FD6E3F">
        <w:rPr>
          <w:bCs/>
          <w:szCs w:val="24"/>
          <w:lang w:val="ru-RU"/>
        </w:rPr>
        <w:t>Пересм. Дубай</w:t>
      </w:r>
      <w:r w:rsidRPr="00FD6E3F">
        <w:rPr>
          <w:bCs/>
          <w:szCs w:val="24"/>
          <w:lang w:val="ru-RU"/>
        </w:rPr>
        <w:t>, 2012</w:t>
      </w:r>
      <w:r w:rsidR="005966C0" w:rsidRPr="00FD6E3F">
        <w:rPr>
          <w:bCs/>
          <w:szCs w:val="24"/>
          <w:lang w:val="ru-RU"/>
        </w:rPr>
        <w:t xml:space="preserve"> г.</w:t>
      </w:r>
      <w:r w:rsidRPr="00FD6E3F">
        <w:rPr>
          <w:bCs/>
          <w:szCs w:val="24"/>
          <w:lang w:val="ru-RU"/>
        </w:rPr>
        <w:t xml:space="preserve">) </w:t>
      </w:r>
      <w:r w:rsidR="005966C0" w:rsidRPr="00FD6E3F">
        <w:rPr>
          <w:bCs/>
          <w:szCs w:val="24"/>
          <w:lang w:val="ru-RU"/>
        </w:rPr>
        <w:t>ВАСЭ определено, что академическим организациям – членам МСЭ</w:t>
      </w:r>
      <w:r w:rsidRPr="00FD6E3F">
        <w:rPr>
          <w:bCs/>
          <w:szCs w:val="24"/>
          <w:lang w:val="ru-RU"/>
        </w:rPr>
        <w:noBreakHyphen/>
        <w:t xml:space="preserve">T </w:t>
      </w:r>
      <w:r w:rsidR="005966C0" w:rsidRPr="00FD6E3F">
        <w:rPr>
          <w:bCs/>
          <w:szCs w:val="24"/>
          <w:lang w:val="ru-RU"/>
        </w:rPr>
        <w:t>разрешается принимать участие в работе различных исследовательских комиссий МСЭ-Т, семинаров-практикумов и рабочих групп, иметь доступ к соответствующим документа</w:t>
      </w:r>
      <w:r w:rsidR="00F942FD" w:rsidRPr="00FD6E3F">
        <w:rPr>
          <w:bCs/>
          <w:szCs w:val="24"/>
          <w:lang w:val="ru-RU"/>
        </w:rPr>
        <w:t>м</w:t>
      </w:r>
      <w:r w:rsidR="005966C0" w:rsidRPr="00FD6E3F">
        <w:rPr>
          <w:bCs/>
          <w:szCs w:val="24"/>
          <w:lang w:val="ru-RU"/>
        </w:rPr>
        <w:t xml:space="preserve">, а также выступать в качестве </w:t>
      </w:r>
      <w:r w:rsidR="00F942FD" w:rsidRPr="00FD6E3F">
        <w:rPr>
          <w:bCs/>
          <w:szCs w:val="24"/>
          <w:lang w:val="ru-RU"/>
        </w:rPr>
        <w:t>докладчиков</w:t>
      </w:r>
      <w:r w:rsidRPr="00FD6E3F">
        <w:rPr>
          <w:bCs/>
          <w:szCs w:val="24"/>
          <w:lang w:val="ru-RU"/>
        </w:rPr>
        <w:t>.</w:t>
      </w:r>
    </w:p>
    <w:p w:rsidR="007A7CC5" w:rsidRPr="00FD6E3F" w:rsidRDefault="007A7CC5" w:rsidP="0001370A">
      <w:pPr>
        <w:spacing w:after="120"/>
        <w:rPr>
          <w:bCs/>
          <w:lang w:val="ru-RU"/>
        </w:rPr>
      </w:pPr>
      <w:r w:rsidRPr="00FD6E3F">
        <w:rPr>
          <w:lang w:val="ru-RU"/>
        </w:rPr>
        <w:t>2.11</w:t>
      </w:r>
      <w:r w:rsidRPr="00FD6E3F">
        <w:rPr>
          <w:lang w:val="ru-RU"/>
        </w:rPr>
        <w:tab/>
      </w:r>
      <w:r w:rsidR="005966C0" w:rsidRPr="00FD6E3F">
        <w:rPr>
          <w:lang w:val="ru-RU"/>
        </w:rPr>
        <w:t xml:space="preserve">Академические организации не имеют права принимать участие в </w:t>
      </w:r>
      <w:r w:rsidR="005966C0" w:rsidRPr="00FD6E3F">
        <w:rPr>
          <w:szCs w:val="24"/>
          <w:lang w:val="ru-RU"/>
        </w:rPr>
        <w:t xml:space="preserve">работе Совета, основных конференций и ассамблей и конференций по разработке договоров, за исключением академических организаций – членов МСЭ-Т, которые имеют право принимать участие в ВАСЭ в качестве наблюдателей без права совещательного голоса (Резолюция </w:t>
      </w:r>
      <w:r w:rsidRPr="00FD6E3F">
        <w:rPr>
          <w:lang w:val="ru-RU"/>
        </w:rPr>
        <w:t>71 (</w:t>
      </w:r>
      <w:r w:rsidR="005966C0" w:rsidRPr="00FD6E3F">
        <w:rPr>
          <w:lang w:val="ru-RU"/>
        </w:rPr>
        <w:t xml:space="preserve">Пересм. Дубай, </w:t>
      </w:r>
      <w:r w:rsidRPr="00FD6E3F">
        <w:rPr>
          <w:lang w:val="ru-RU"/>
        </w:rPr>
        <w:t>2012</w:t>
      </w:r>
      <w:r w:rsidR="005966C0" w:rsidRPr="00FD6E3F">
        <w:rPr>
          <w:lang w:val="ru-RU"/>
        </w:rPr>
        <w:t xml:space="preserve"> г.</w:t>
      </w:r>
      <w:r w:rsidRPr="00FD6E3F">
        <w:rPr>
          <w:lang w:val="ru-RU"/>
        </w:rPr>
        <w:t>)</w:t>
      </w:r>
      <w:r w:rsidR="005966C0" w:rsidRPr="00FD6E3F">
        <w:rPr>
          <w:lang w:val="ru-RU"/>
        </w:rPr>
        <w:t xml:space="preserve"> ВАСЭ</w:t>
      </w:r>
      <w:r w:rsidRPr="00FD6E3F">
        <w:rPr>
          <w:lang w:val="ru-RU"/>
        </w:rPr>
        <w:t xml:space="preserve">). </w:t>
      </w:r>
      <w:r w:rsidR="009A2443" w:rsidRPr="00FD6E3F">
        <w:rPr>
          <w:lang w:val="ru-RU"/>
        </w:rPr>
        <w:t>Академические организации МСЭ</w:t>
      </w:r>
      <w:r w:rsidRPr="00FD6E3F">
        <w:rPr>
          <w:lang w:val="ru-RU"/>
        </w:rPr>
        <w:t xml:space="preserve">-R </w:t>
      </w:r>
      <w:r w:rsidR="009A2443" w:rsidRPr="00FD6E3F">
        <w:rPr>
          <w:lang w:val="ru-RU"/>
        </w:rPr>
        <w:t>и</w:t>
      </w:r>
      <w:r w:rsidRPr="00FD6E3F">
        <w:rPr>
          <w:lang w:val="ru-RU"/>
        </w:rPr>
        <w:t xml:space="preserve"> </w:t>
      </w:r>
      <w:r w:rsidR="009A2443" w:rsidRPr="00FD6E3F">
        <w:rPr>
          <w:lang w:val="ru-RU"/>
        </w:rPr>
        <w:t>МСЭ</w:t>
      </w:r>
      <w:r w:rsidRPr="00FD6E3F">
        <w:rPr>
          <w:lang w:val="ru-RU"/>
        </w:rPr>
        <w:t xml:space="preserve">-D </w:t>
      </w:r>
      <w:r w:rsidR="009A2443" w:rsidRPr="00FD6E3F">
        <w:rPr>
          <w:lang w:val="ru-RU"/>
        </w:rPr>
        <w:t>не принимают участи</w:t>
      </w:r>
      <w:r w:rsidR="0001370A" w:rsidRPr="00FD6E3F">
        <w:rPr>
          <w:lang w:val="ru-RU"/>
        </w:rPr>
        <w:t>я</w:t>
      </w:r>
      <w:r w:rsidRPr="00FD6E3F">
        <w:rPr>
          <w:lang w:val="ru-RU"/>
        </w:rPr>
        <w:t xml:space="preserve"> </w:t>
      </w:r>
      <w:r w:rsidR="009A2443" w:rsidRPr="00FD6E3F">
        <w:rPr>
          <w:lang w:val="ru-RU"/>
        </w:rPr>
        <w:t>в работе Консультативных групп своих Секторов, в то время как в Резолюции</w:t>
      </w:r>
      <w:r w:rsidRPr="00FD6E3F">
        <w:rPr>
          <w:lang w:val="ru-RU"/>
        </w:rPr>
        <w:t xml:space="preserve"> 71 (</w:t>
      </w:r>
      <w:r w:rsidR="009A2443" w:rsidRPr="00FD6E3F">
        <w:rPr>
          <w:lang w:val="ru-RU"/>
        </w:rPr>
        <w:t>Пересм.</w:t>
      </w:r>
      <w:r w:rsidRPr="00FD6E3F">
        <w:rPr>
          <w:lang w:val="ru-RU"/>
        </w:rPr>
        <w:t> </w:t>
      </w:r>
      <w:r w:rsidR="009A2443" w:rsidRPr="00FD6E3F">
        <w:rPr>
          <w:lang w:val="ru-RU"/>
        </w:rPr>
        <w:t xml:space="preserve">Дубай, 2012 г.) </w:t>
      </w:r>
      <w:r w:rsidR="002E0DB1" w:rsidRPr="00FD6E3F">
        <w:rPr>
          <w:lang w:val="ru-RU"/>
        </w:rPr>
        <w:t xml:space="preserve">академическим </w:t>
      </w:r>
      <w:r w:rsidR="0001370A" w:rsidRPr="00FD6E3F">
        <w:rPr>
          <w:lang w:val="ru-RU"/>
        </w:rPr>
        <w:t xml:space="preserve">организациям </w:t>
      </w:r>
      <w:r w:rsidR="009A2443" w:rsidRPr="00FD6E3F">
        <w:rPr>
          <w:lang w:val="ru-RU"/>
        </w:rPr>
        <w:t>предоставлено право принимать участие</w:t>
      </w:r>
      <w:r w:rsidRPr="00FD6E3F">
        <w:rPr>
          <w:lang w:val="ru-RU"/>
        </w:rPr>
        <w:t xml:space="preserve"> </w:t>
      </w:r>
      <w:r w:rsidR="009A2443" w:rsidRPr="00FD6E3F">
        <w:rPr>
          <w:lang w:val="ru-RU"/>
        </w:rPr>
        <w:t>в работе КГРЭ в качестве наблюдателей без права совещательного голоса</w:t>
      </w:r>
      <w:r w:rsidRPr="00FD6E3F">
        <w:rPr>
          <w:lang w:val="ru-RU"/>
        </w:rPr>
        <w:t>.</w:t>
      </w:r>
    </w:p>
    <w:p w:rsidR="007A7CC5" w:rsidRPr="00FD6E3F" w:rsidRDefault="007A7CC5" w:rsidP="002A4122">
      <w:pPr>
        <w:pStyle w:val="Heading1"/>
        <w:rPr>
          <w:lang w:val="ru-RU"/>
        </w:rPr>
      </w:pPr>
      <w:r w:rsidRPr="00FD6E3F">
        <w:rPr>
          <w:lang w:val="ru-RU"/>
        </w:rPr>
        <w:t>3</w:t>
      </w:r>
      <w:r w:rsidRPr="00FD6E3F">
        <w:rPr>
          <w:lang w:val="ru-RU"/>
        </w:rPr>
        <w:tab/>
      </w:r>
      <w:r w:rsidR="009A2443" w:rsidRPr="00FD6E3F">
        <w:rPr>
          <w:lang w:val="ru-RU"/>
        </w:rPr>
        <w:t xml:space="preserve">Участвующие </w:t>
      </w:r>
      <w:r w:rsidR="00E276EC" w:rsidRPr="00FD6E3F">
        <w:rPr>
          <w:lang w:val="ru-RU"/>
        </w:rPr>
        <w:t>объединения и процесс их допуска</w:t>
      </w:r>
    </w:p>
    <w:p w:rsidR="007A7CC5" w:rsidRPr="00FD6E3F" w:rsidRDefault="007A7CC5" w:rsidP="002E0DB1">
      <w:pPr>
        <w:rPr>
          <w:szCs w:val="22"/>
          <w:lang w:val="ru-RU"/>
        </w:rPr>
      </w:pPr>
      <w:r w:rsidRPr="00FD6E3F">
        <w:rPr>
          <w:szCs w:val="22"/>
          <w:lang w:val="ru-RU"/>
        </w:rPr>
        <w:t>3.1</w:t>
      </w:r>
      <w:r w:rsidRPr="00FD6E3F">
        <w:rPr>
          <w:szCs w:val="22"/>
          <w:lang w:val="ru-RU"/>
        </w:rPr>
        <w:tab/>
      </w:r>
      <w:r w:rsidR="0001370A" w:rsidRPr="00FD6E3F">
        <w:rPr>
          <w:szCs w:val="22"/>
          <w:lang w:val="ru-RU"/>
        </w:rPr>
        <w:t xml:space="preserve">В </w:t>
      </w:r>
      <w:r w:rsidR="0001370A" w:rsidRPr="00FD6E3F">
        <w:rPr>
          <w:bCs/>
          <w:szCs w:val="22"/>
          <w:lang w:val="ru-RU"/>
        </w:rPr>
        <w:t>Статье 19 (пп. 228</w:t>
      </w:r>
      <w:r w:rsidR="002E0DB1">
        <w:rPr>
          <w:bCs/>
          <w:szCs w:val="22"/>
          <w:lang w:val="ru-RU"/>
        </w:rPr>
        <w:t>−</w:t>
      </w:r>
      <w:r w:rsidR="0001370A" w:rsidRPr="00FD6E3F">
        <w:rPr>
          <w:bCs/>
          <w:szCs w:val="22"/>
          <w:lang w:val="ru-RU"/>
        </w:rPr>
        <w:t>231) Конвенции</w:t>
      </w:r>
      <w:r w:rsidR="0001370A" w:rsidRPr="00FD6E3F">
        <w:rPr>
          <w:szCs w:val="22"/>
          <w:lang w:val="ru-RU"/>
        </w:rPr>
        <w:t xml:space="preserve"> установлены различные </w:t>
      </w:r>
      <w:r w:rsidR="00E276EC" w:rsidRPr="00FD6E3F">
        <w:rPr>
          <w:szCs w:val="22"/>
          <w:lang w:val="ru-RU"/>
        </w:rPr>
        <w:t xml:space="preserve">типы </w:t>
      </w:r>
      <w:r w:rsidR="009A2443" w:rsidRPr="00FD6E3F">
        <w:rPr>
          <w:szCs w:val="22"/>
          <w:lang w:val="ru-RU"/>
        </w:rPr>
        <w:t>объединени</w:t>
      </w:r>
      <w:r w:rsidR="00E276EC" w:rsidRPr="00FD6E3F">
        <w:rPr>
          <w:szCs w:val="22"/>
          <w:lang w:val="ru-RU"/>
        </w:rPr>
        <w:t>й</w:t>
      </w:r>
      <w:r w:rsidR="009A2443" w:rsidRPr="00FD6E3F">
        <w:rPr>
          <w:szCs w:val="22"/>
          <w:lang w:val="ru-RU"/>
        </w:rPr>
        <w:t xml:space="preserve"> и организаци</w:t>
      </w:r>
      <w:r w:rsidR="00E276EC" w:rsidRPr="00FD6E3F">
        <w:rPr>
          <w:szCs w:val="22"/>
          <w:lang w:val="ru-RU"/>
        </w:rPr>
        <w:t xml:space="preserve">й, которые могут быть допущены в качестве </w:t>
      </w:r>
      <w:r w:rsidR="005966C0" w:rsidRPr="00FD6E3F">
        <w:rPr>
          <w:szCs w:val="22"/>
          <w:lang w:val="ru-RU"/>
        </w:rPr>
        <w:t>Член</w:t>
      </w:r>
      <w:r w:rsidR="00E276EC" w:rsidRPr="00FD6E3F">
        <w:rPr>
          <w:szCs w:val="22"/>
          <w:lang w:val="ru-RU"/>
        </w:rPr>
        <w:t>ов</w:t>
      </w:r>
      <w:r w:rsidR="005966C0" w:rsidRPr="00FD6E3F">
        <w:rPr>
          <w:szCs w:val="22"/>
          <w:lang w:val="ru-RU"/>
        </w:rPr>
        <w:t xml:space="preserve"> Секторов</w:t>
      </w:r>
      <w:r w:rsidRPr="00FD6E3F">
        <w:rPr>
          <w:szCs w:val="22"/>
          <w:lang w:val="ru-RU"/>
        </w:rPr>
        <w:t xml:space="preserve">. </w:t>
      </w:r>
      <w:r w:rsidR="00E276EC" w:rsidRPr="00FD6E3F">
        <w:rPr>
          <w:rFonts w:cstheme="minorHAnsi"/>
          <w:szCs w:val="22"/>
          <w:lang w:val="ru-RU"/>
        </w:rPr>
        <w:t xml:space="preserve">Объединение может </w:t>
      </w:r>
      <w:r w:rsidR="00B5009C" w:rsidRPr="00FD6E3F">
        <w:rPr>
          <w:rFonts w:cstheme="minorHAnsi"/>
          <w:szCs w:val="22"/>
          <w:lang w:val="ru-RU"/>
        </w:rPr>
        <w:t xml:space="preserve">решить присоединиться к одному </w:t>
      </w:r>
      <w:r w:rsidR="009A2443" w:rsidRPr="00FD6E3F">
        <w:rPr>
          <w:rFonts w:cstheme="minorHAnsi"/>
          <w:szCs w:val="22"/>
          <w:lang w:val="ru-RU"/>
        </w:rPr>
        <w:t xml:space="preserve">или </w:t>
      </w:r>
      <w:r w:rsidR="00B5009C" w:rsidRPr="00FD6E3F">
        <w:rPr>
          <w:rFonts w:cstheme="minorHAnsi"/>
          <w:szCs w:val="22"/>
          <w:lang w:val="ru-RU"/>
        </w:rPr>
        <w:t xml:space="preserve">нескольким </w:t>
      </w:r>
      <w:r w:rsidR="009A2443" w:rsidRPr="00FD6E3F">
        <w:rPr>
          <w:rFonts w:cstheme="minorHAnsi"/>
          <w:szCs w:val="22"/>
          <w:lang w:val="ru-RU"/>
        </w:rPr>
        <w:t>Сектор</w:t>
      </w:r>
      <w:r w:rsidR="00B5009C" w:rsidRPr="00FD6E3F">
        <w:rPr>
          <w:rFonts w:cstheme="minorHAnsi"/>
          <w:szCs w:val="22"/>
          <w:lang w:val="ru-RU"/>
        </w:rPr>
        <w:t>ам</w:t>
      </w:r>
      <w:r w:rsidRPr="00FD6E3F">
        <w:rPr>
          <w:rFonts w:cstheme="minorHAnsi"/>
          <w:szCs w:val="22"/>
          <w:lang w:val="ru-RU"/>
        </w:rPr>
        <w:t xml:space="preserve"> </w:t>
      </w:r>
      <w:r w:rsidR="00B5009C" w:rsidRPr="00FD6E3F">
        <w:rPr>
          <w:rFonts w:cstheme="minorHAnsi"/>
          <w:szCs w:val="22"/>
          <w:lang w:val="ru-RU"/>
        </w:rPr>
        <w:t>Союза</w:t>
      </w:r>
      <w:r w:rsidRPr="00FD6E3F">
        <w:rPr>
          <w:rFonts w:cstheme="minorHAnsi"/>
          <w:szCs w:val="22"/>
          <w:lang w:val="ru-RU"/>
        </w:rPr>
        <w:t xml:space="preserve">. </w:t>
      </w:r>
      <w:r w:rsidR="00B5009C" w:rsidRPr="00FD6E3F">
        <w:rPr>
          <w:rFonts w:cstheme="minorHAnsi"/>
          <w:szCs w:val="22"/>
          <w:lang w:val="ru-RU"/>
        </w:rPr>
        <w:t xml:space="preserve">Процедура подачи заявки для новых </w:t>
      </w:r>
      <w:r w:rsidR="005966C0" w:rsidRPr="00FD6E3F">
        <w:rPr>
          <w:szCs w:val="22"/>
          <w:lang w:val="ru-RU"/>
        </w:rPr>
        <w:t>Член</w:t>
      </w:r>
      <w:r w:rsidR="00B5009C" w:rsidRPr="00FD6E3F">
        <w:rPr>
          <w:szCs w:val="22"/>
          <w:lang w:val="ru-RU"/>
        </w:rPr>
        <w:t>ов</w:t>
      </w:r>
      <w:r w:rsidR="005966C0" w:rsidRPr="00FD6E3F">
        <w:rPr>
          <w:szCs w:val="22"/>
          <w:lang w:val="ru-RU"/>
        </w:rPr>
        <w:t xml:space="preserve"> Секторов</w:t>
      </w:r>
      <w:r w:rsidRPr="00FD6E3F">
        <w:rPr>
          <w:szCs w:val="22"/>
          <w:lang w:val="ru-RU"/>
        </w:rPr>
        <w:t xml:space="preserve"> </w:t>
      </w:r>
      <w:r w:rsidR="00B5009C" w:rsidRPr="00FD6E3F">
        <w:rPr>
          <w:szCs w:val="22"/>
          <w:lang w:val="ru-RU"/>
        </w:rPr>
        <w:t xml:space="preserve">изложена в </w:t>
      </w:r>
      <w:r w:rsidR="00C66E4E" w:rsidRPr="00FD6E3F">
        <w:rPr>
          <w:szCs w:val="22"/>
          <w:lang w:val="ru-RU"/>
        </w:rPr>
        <w:t>Статье</w:t>
      </w:r>
      <w:r w:rsidRPr="00FD6E3F">
        <w:rPr>
          <w:szCs w:val="22"/>
          <w:lang w:val="ru-RU"/>
        </w:rPr>
        <w:t xml:space="preserve"> 19, </w:t>
      </w:r>
      <w:r w:rsidR="00B5009C" w:rsidRPr="00FD6E3F">
        <w:rPr>
          <w:szCs w:val="22"/>
          <w:lang w:val="ru-RU"/>
        </w:rPr>
        <w:t>пп.</w:t>
      </w:r>
      <w:r w:rsidRPr="00FD6E3F">
        <w:rPr>
          <w:szCs w:val="22"/>
          <w:lang w:val="ru-RU"/>
        </w:rPr>
        <w:t> 233</w:t>
      </w:r>
      <w:r w:rsidR="002E0DB1">
        <w:rPr>
          <w:szCs w:val="22"/>
          <w:lang w:val="ru-RU"/>
        </w:rPr>
        <w:t>−</w:t>
      </w:r>
      <w:r w:rsidRPr="00FD6E3F">
        <w:rPr>
          <w:szCs w:val="22"/>
          <w:lang w:val="ru-RU"/>
        </w:rPr>
        <w:t>237,</w:t>
      </w:r>
      <w:r w:rsidR="009A2443" w:rsidRPr="00FD6E3F">
        <w:rPr>
          <w:szCs w:val="22"/>
          <w:lang w:val="ru-RU"/>
        </w:rPr>
        <w:t xml:space="preserve"> и </w:t>
      </w:r>
      <w:r w:rsidR="00B5009C" w:rsidRPr="00FD6E3F">
        <w:rPr>
          <w:szCs w:val="22"/>
          <w:lang w:val="ru-RU"/>
        </w:rPr>
        <w:t xml:space="preserve">была дополнена Советом в </w:t>
      </w:r>
      <w:r w:rsidRPr="00FD6E3F">
        <w:rPr>
          <w:szCs w:val="22"/>
          <w:lang w:val="ru-RU"/>
        </w:rPr>
        <w:t>1993</w:t>
      </w:r>
      <w:r w:rsidR="00B5009C" w:rsidRPr="00FD6E3F">
        <w:rPr>
          <w:szCs w:val="22"/>
          <w:lang w:val="ru-RU"/>
        </w:rPr>
        <w:t xml:space="preserve"> году</w:t>
      </w:r>
      <w:r w:rsidRPr="00FD6E3F">
        <w:rPr>
          <w:szCs w:val="22"/>
          <w:lang w:val="ru-RU"/>
        </w:rPr>
        <w:t xml:space="preserve"> (</w:t>
      </w:r>
      <w:r w:rsidR="00B5009C" w:rsidRPr="00FD6E3F">
        <w:rPr>
          <w:szCs w:val="22"/>
          <w:lang w:val="ru-RU"/>
        </w:rPr>
        <w:t>Док.</w:t>
      </w:r>
      <w:r w:rsidRPr="00FD6E3F">
        <w:rPr>
          <w:szCs w:val="22"/>
          <w:lang w:val="ru-RU"/>
        </w:rPr>
        <w:t xml:space="preserve"> 49). </w:t>
      </w:r>
      <w:r w:rsidR="009A2443" w:rsidRPr="00FD6E3F">
        <w:rPr>
          <w:szCs w:val="22"/>
          <w:lang w:val="ru-RU"/>
        </w:rPr>
        <w:t>Положения</w:t>
      </w:r>
      <w:r w:rsidR="00B5009C" w:rsidRPr="00FD6E3F">
        <w:rPr>
          <w:szCs w:val="22"/>
          <w:lang w:val="ru-RU"/>
        </w:rPr>
        <w:t xml:space="preserve">, касающиеся </w:t>
      </w:r>
      <w:r w:rsidR="005966C0" w:rsidRPr="00FD6E3F">
        <w:rPr>
          <w:szCs w:val="22"/>
          <w:lang w:val="ru-RU"/>
        </w:rPr>
        <w:t>Ассоциированны</w:t>
      </w:r>
      <w:r w:rsidR="00B5009C" w:rsidRPr="00FD6E3F">
        <w:rPr>
          <w:szCs w:val="22"/>
          <w:lang w:val="ru-RU"/>
        </w:rPr>
        <w:t>х</w:t>
      </w:r>
      <w:r w:rsidR="005966C0" w:rsidRPr="00FD6E3F">
        <w:rPr>
          <w:szCs w:val="22"/>
          <w:lang w:val="ru-RU"/>
        </w:rPr>
        <w:t xml:space="preserve"> член</w:t>
      </w:r>
      <w:r w:rsidR="00B5009C" w:rsidRPr="00FD6E3F">
        <w:rPr>
          <w:szCs w:val="22"/>
          <w:lang w:val="ru-RU"/>
        </w:rPr>
        <w:t>ов</w:t>
      </w:r>
      <w:r w:rsidR="0001370A" w:rsidRPr="00FD6E3F">
        <w:rPr>
          <w:szCs w:val="22"/>
          <w:lang w:val="ru-RU"/>
        </w:rPr>
        <w:t>,</w:t>
      </w:r>
      <w:r w:rsidR="00B5009C" w:rsidRPr="00FD6E3F">
        <w:rPr>
          <w:szCs w:val="22"/>
          <w:lang w:val="ru-RU"/>
        </w:rPr>
        <w:t xml:space="preserve"> содержатся </w:t>
      </w:r>
      <w:r w:rsidR="0001370A" w:rsidRPr="00FD6E3F">
        <w:rPr>
          <w:szCs w:val="22"/>
          <w:lang w:val="ru-RU"/>
        </w:rPr>
        <w:t xml:space="preserve">также </w:t>
      </w:r>
      <w:r w:rsidR="00B5009C" w:rsidRPr="00FD6E3F">
        <w:rPr>
          <w:szCs w:val="22"/>
          <w:lang w:val="ru-RU"/>
        </w:rPr>
        <w:t xml:space="preserve">в </w:t>
      </w:r>
      <w:r w:rsidR="00C66E4E" w:rsidRPr="00FD6E3F">
        <w:rPr>
          <w:szCs w:val="22"/>
          <w:lang w:val="ru-RU"/>
        </w:rPr>
        <w:t>Статье</w:t>
      </w:r>
      <w:r w:rsidRPr="00FD6E3F">
        <w:rPr>
          <w:szCs w:val="22"/>
          <w:lang w:val="ru-RU"/>
        </w:rPr>
        <w:t xml:space="preserve"> 19 </w:t>
      </w:r>
      <w:r w:rsidR="005571D3" w:rsidRPr="00FD6E3F">
        <w:rPr>
          <w:szCs w:val="22"/>
          <w:lang w:val="ru-RU"/>
        </w:rPr>
        <w:t>Конвенции</w:t>
      </w:r>
      <w:r w:rsidRPr="00FD6E3F">
        <w:rPr>
          <w:szCs w:val="22"/>
          <w:lang w:val="ru-RU"/>
        </w:rPr>
        <w:t xml:space="preserve">, </w:t>
      </w:r>
      <w:r w:rsidR="00B5009C" w:rsidRPr="00FD6E3F">
        <w:rPr>
          <w:szCs w:val="22"/>
          <w:lang w:val="ru-RU"/>
        </w:rPr>
        <w:t xml:space="preserve">при этом конкретные </w:t>
      </w:r>
      <w:r w:rsidR="0001370A" w:rsidRPr="00FD6E3F">
        <w:rPr>
          <w:szCs w:val="22"/>
          <w:lang w:val="ru-RU"/>
        </w:rPr>
        <w:t>ссылки</w:t>
      </w:r>
      <w:r w:rsidR="00B5009C" w:rsidRPr="00FD6E3F">
        <w:rPr>
          <w:szCs w:val="22"/>
          <w:lang w:val="ru-RU"/>
        </w:rPr>
        <w:t xml:space="preserve"> содержатся в пп.</w:t>
      </w:r>
      <w:r w:rsidR="002E0DB1">
        <w:rPr>
          <w:szCs w:val="22"/>
          <w:lang w:val="ru-RU"/>
        </w:rPr>
        <w:t> 241A−</w:t>
      </w:r>
      <w:r w:rsidRPr="00FD6E3F">
        <w:rPr>
          <w:szCs w:val="22"/>
          <w:lang w:val="ru-RU"/>
        </w:rPr>
        <w:t xml:space="preserve">E. </w:t>
      </w:r>
    </w:p>
    <w:p w:rsidR="007A7CC5" w:rsidRPr="00FD6E3F" w:rsidRDefault="007A7CC5" w:rsidP="0001370A">
      <w:pPr>
        <w:rPr>
          <w:szCs w:val="22"/>
          <w:lang w:val="ru-RU"/>
        </w:rPr>
      </w:pPr>
      <w:r w:rsidRPr="00FD6E3F">
        <w:rPr>
          <w:szCs w:val="22"/>
          <w:lang w:val="ru-RU"/>
        </w:rPr>
        <w:t>3.2</w:t>
      </w:r>
      <w:r w:rsidRPr="00FD6E3F">
        <w:rPr>
          <w:szCs w:val="22"/>
          <w:lang w:val="ru-RU"/>
        </w:rPr>
        <w:tab/>
      </w:r>
      <w:r w:rsidR="0001370A" w:rsidRPr="00FD6E3F">
        <w:rPr>
          <w:szCs w:val="22"/>
          <w:lang w:val="ru-RU"/>
        </w:rPr>
        <w:t xml:space="preserve">Заявку </w:t>
      </w:r>
      <w:r w:rsidR="00B5009C" w:rsidRPr="00FD6E3F">
        <w:rPr>
          <w:szCs w:val="22"/>
          <w:lang w:val="ru-RU"/>
        </w:rPr>
        <w:t xml:space="preserve">на прием в </w:t>
      </w:r>
      <w:r w:rsidR="005966C0" w:rsidRPr="00FD6E3F">
        <w:rPr>
          <w:szCs w:val="22"/>
          <w:lang w:val="ru-RU"/>
        </w:rPr>
        <w:t>Член</w:t>
      </w:r>
      <w:r w:rsidR="00B5009C" w:rsidRPr="00FD6E3F">
        <w:rPr>
          <w:szCs w:val="22"/>
          <w:lang w:val="ru-RU"/>
        </w:rPr>
        <w:t>ы</w:t>
      </w:r>
      <w:r w:rsidR="005966C0" w:rsidRPr="00FD6E3F">
        <w:rPr>
          <w:szCs w:val="22"/>
          <w:lang w:val="ru-RU"/>
        </w:rPr>
        <w:t xml:space="preserve"> Сектора</w:t>
      </w:r>
      <w:r w:rsidR="009A2443" w:rsidRPr="00FD6E3F">
        <w:rPr>
          <w:szCs w:val="22"/>
          <w:lang w:val="ru-RU"/>
        </w:rPr>
        <w:t xml:space="preserve"> или </w:t>
      </w:r>
      <w:r w:rsidR="005966C0" w:rsidRPr="00FD6E3F">
        <w:rPr>
          <w:szCs w:val="22"/>
          <w:lang w:val="ru-RU"/>
        </w:rPr>
        <w:t>Ассоциированны</w:t>
      </w:r>
      <w:r w:rsidR="00B5009C" w:rsidRPr="00FD6E3F">
        <w:rPr>
          <w:szCs w:val="22"/>
          <w:lang w:val="ru-RU"/>
        </w:rPr>
        <w:t>е</w:t>
      </w:r>
      <w:r w:rsidR="005966C0" w:rsidRPr="00FD6E3F">
        <w:rPr>
          <w:szCs w:val="22"/>
          <w:lang w:val="ru-RU"/>
        </w:rPr>
        <w:t xml:space="preserve"> член</w:t>
      </w:r>
      <w:r w:rsidR="00B5009C" w:rsidRPr="00FD6E3F">
        <w:rPr>
          <w:szCs w:val="22"/>
          <w:lang w:val="ru-RU"/>
        </w:rPr>
        <w:t>ы</w:t>
      </w:r>
      <w:r w:rsidR="0001370A" w:rsidRPr="00FD6E3F">
        <w:rPr>
          <w:szCs w:val="22"/>
          <w:lang w:val="ru-RU"/>
        </w:rPr>
        <w:t xml:space="preserve"> могут подать следующие объединения</w:t>
      </w:r>
      <w:r w:rsidRPr="00FD6E3F">
        <w:rPr>
          <w:szCs w:val="22"/>
          <w:lang w:val="ru-RU"/>
        </w:rPr>
        <w:t xml:space="preserve">: </w:t>
      </w:r>
    </w:p>
    <w:p w:rsidR="007A7CC5" w:rsidRPr="00FD6E3F" w:rsidRDefault="002A4122" w:rsidP="002A4122">
      <w:pPr>
        <w:pStyle w:val="enumlev1"/>
        <w:rPr>
          <w:lang w:val="ru-RU"/>
        </w:rPr>
      </w:pPr>
      <w:r w:rsidRPr="00FD6E3F">
        <w:rPr>
          <w:lang w:val="ru-RU"/>
        </w:rPr>
        <w:t>−</w:t>
      </w:r>
      <w:r w:rsidRPr="00FD6E3F">
        <w:rPr>
          <w:lang w:val="ru-RU"/>
        </w:rPr>
        <w:tab/>
      </w:r>
      <w:r w:rsidR="0001370A" w:rsidRPr="00FD6E3F">
        <w:rPr>
          <w:lang w:val="ru-RU"/>
        </w:rPr>
        <w:t xml:space="preserve">признанные </w:t>
      </w:r>
      <w:r w:rsidR="002F4FE0" w:rsidRPr="00FD6E3F">
        <w:rPr>
          <w:lang w:val="ru-RU"/>
        </w:rPr>
        <w:t xml:space="preserve">эксплуатационные организации, научные или промышленные организации и финансовые учреждения или учреждения в области развития, которые получили согласие соответствующего Государства-Члена </w:t>
      </w:r>
      <w:r w:rsidR="007A7CC5" w:rsidRPr="00FD6E3F">
        <w:rPr>
          <w:lang w:val="ru-RU"/>
        </w:rPr>
        <w:t>(</w:t>
      </w:r>
      <w:r w:rsidR="002F4FE0" w:rsidRPr="00FD6E3F">
        <w:rPr>
          <w:lang w:val="ru-RU"/>
        </w:rPr>
        <w:t>п</w:t>
      </w:r>
      <w:r w:rsidR="007A7CC5" w:rsidRPr="00FD6E3F">
        <w:rPr>
          <w:lang w:val="ru-RU"/>
        </w:rPr>
        <w:t xml:space="preserve">. 229 </w:t>
      </w:r>
      <w:r w:rsidR="005571D3" w:rsidRPr="00FD6E3F">
        <w:rPr>
          <w:lang w:val="ru-RU"/>
        </w:rPr>
        <w:t>Конвенции</w:t>
      </w:r>
      <w:r w:rsidR="007A7CC5" w:rsidRPr="00FD6E3F">
        <w:rPr>
          <w:lang w:val="ru-RU"/>
        </w:rPr>
        <w:t>);</w:t>
      </w:r>
    </w:p>
    <w:p w:rsidR="007A7CC5" w:rsidRPr="00FD6E3F" w:rsidRDefault="002A4122" w:rsidP="002A4122">
      <w:pPr>
        <w:pStyle w:val="enumlev1"/>
        <w:rPr>
          <w:lang w:val="ru-RU"/>
        </w:rPr>
      </w:pPr>
      <w:r w:rsidRPr="00FD6E3F">
        <w:rPr>
          <w:lang w:val="ru-RU"/>
        </w:rPr>
        <w:t>−</w:t>
      </w:r>
      <w:r w:rsidRPr="00FD6E3F">
        <w:rPr>
          <w:lang w:val="ru-RU"/>
        </w:rPr>
        <w:tab/>
      </w:r>
      <w:r w:rsidR="0001370A" w:rsidRPr="00FD6E3F">
        <w:rPr>
          <w:lang w:val="ru-RU"/>
        </w:rPr>
        <w:t xml:space="preserve">другие </w:t>
      </w:r>
      <w:r w:rsidR="002F4FE0" w:rsidRPr="00FD6E3F">
        <w:rPr>
          <w:lang w:val="ru-RU"/>
        </w:rPr>
        <w:t xml:space="preserve">объединения, занимающиеся вопросами электросвязи, которые получили согласие соответствующего Государства-Члена </w:t>
      </w:r>
      <w:r w:rsidR="007A7CC5" w:rsidRPr="00FD6E3F">
        <w:rPr>
          <w:lang w:val="ru-RU"/>
        </w:rPr>
        <w:t>(</w:t>
      </w:r>
      <w:r w:rsidR="002F4FE0" w:rsidRPr="00FD6E3F">
        <w:rPr>
          <w:lang w:val="ru-RU"/>
        </w:rPr>
        <w:t>п</w:t>
      </w:r>
      <w:r w:rsidR="007A7CC5" w:rsidRPr="00FD6E3F">
        <w:rPr>
          <w:lang w:val="ru-RU"/>
        </w:rPr>
        <w:t xml:space="preserve">. 230 </w:t>
      </w:r>
      <w:r w:rsidR="005571D3" w:rsidRPr="00FD6E3F">
        <w:rPr>
          <w:lang w:val="ru-RU"/>
        </w:rPr>
        <w:t>Конвенции</w:t>
      </w:r>
      <w:r w:rsidR="007A7CC5" w:rsidRPr="00FD6E3F">
        <w:rPr>
          <w:lang w:val="ru-RU"/>
        </w:rPr>
        <w:t>);</w:t>
      </w:r>
      <w:r w:rsidR="009A2443" w:rsidRPr="00FD6E3F">
        <w:rPr>
          <w:lang w:val="ru-RU"/>
        </w:rPr>
        <w:t xml:space="preserve"> и </w:t>
      </w:r>
    </w:p>
    <w:p w:rsidR="007A7CC5" w:rsidRPr="00FD6E3F" w:rsidRDefault="002A4122" w:rsidP="002A4122">
      <w:pPr>
        <w:pStyle w:val="enumlev1"/>
        <w:rPr>
          <w:lang w:val="ru-RU"/>
        </w:rPr>
      </w:pPr>
      <w:r w:rsidRPr="00FD6E3F">
        <w:rPr>
          <w:lang w:val="ru-RU"/>
        </w:rPr>
        <w:t>−</w:t>
      </w:r>
      <w:r w:rsidRPr="00FD6E3F">
        <w:rPr>
          <w:lang w:val="ru-RU"/>
        </w:rPr>
        <w:tab/>
      </w:r>
      <w:r w:rsidR="0069409D" w:rsidRPr="00FD6E3F">
        <w:rPr>
          <w:lang w:val="ru-RU"/>
        </w:rPr>
        <w:t xml:space="preserve">региональные </w:t>
      </w:r>
      <w:r w:rsidR="002F4FE0" w:rsidRPr="00FD6E3F">
        <w:rPr>
          <w:lang w:val="ru-RU"/>
        </w:rPr>
        <w:t xml:space="preserve">и другие международные организации, занимающиеся электросвязью, стандартизацией, финансовыми вопросами или вопросами развития </w:t>
      </w:r>
      <w:r w:rsidR="007A7CC5" w:rsidRPr="00FD6E3F">
        <w:rPr>
          <w:lang w:val="ru-RU"/>
        </w:rPr>
        <w:t>(</w:t>
      </w:r>
      <w:r w:rsidR="002F4FE0" w:rsidRPr="00FD6E3F">
        <w:rPr>
          <w:lang w:val="ru-RU"/>
        </w:rPr>
        <w:t>п</w:t>
      </w:r>
      <w:r w:rsidR="007A7CC5" w:rsidRPr="00FD6E3F">
        <w:rPr>
          <w:lang w:val="ru-RU"/>
        </w:rPr>
        <w:t xml:space="preserve">. 231 </w:t>
      </w:r>
      <w:r w:rsidR="005571D3" w:rsidRPr="00FD6E3F">
        <w:rPr>
          <w:lang w:val="ru-RU"/>
        </w:rPr>
        <w:t>Конвенции</w:t>
      </w:r>
      <w:r w:rsidR="007A7CC5" w:rsidRPr="00FD6E3F">
        <w:rPr>
          <w:lang w:val="ru-RU"/>
        </w:rPr>
        <w:t>).</w:t>
      </w:r>
    </w:p>
    <w:p w:rsidR="007A7CC5" w:rsidRPr="00FD6E3F" w:rsidRDefault="007A7CC5" w:rsidP="002F4FE0">
      <w:pPr>
        <w:rPr>
          <w:rFonts w:cstheme="minorHAnsi"/>
          <w:szCs w:val="22"/>
          <w:lang w:val="ru-RU"/>
        </w:rPr>
      </w:pPr>
      <w:r w:rsidRPr="00FD6E3F">
        <w:rPr>
          <w:rFonts w:cstheme="minorHAnsi"/>
          <w:szCs w:val="22"/>
          <w:lang w:val="ru-RU"/>
        </w:rPr>
        <w:t>3.3</w:t>
      </w:r>
      <w:r w:rsidRPr="00FD6E3F">
        <w:rPr>
          <w:rFonts w:cstheme="minorHAnsi"/>
          <w:szCs w:val="22"/>
          <w:lang w:val="ru-RU"/>
        </w:rPr>
        <w:tab/>
      </w:r>
      <w:r w:rsidR="002F4FE0" w:rsidRPr="00FD6E3F">
        <w:rPr>
          <w:rFonts w:cstheme="minorHAnsi"/>
          <w:szCs w:val="22"/>
          <w:lang w:val="ru-RU"/>
        </w:rPr>
        <w:t>Кроме того</w:t>
      </w:r>
      <w:r w:rsidRPr="00FD6E3F">
        <w:rPr>
          <w:rFonts w:cstheme="minorHAnsi"/>
          <w:szCs w:val="22"/>
          <w:lang w:val="ru-RU"/>
        </w:rPr>
        <w:t xml:space="preserve">, </w:t>
      </w:r>
      <w:r w:rsidR="0069409D" w:rsidRPr="00FD6E3F">
        <w:rPr>
          <w:lang w:val="ru-RU" w:eastAsia="zh-CN"/>
        </w:rPr>
        <w:t xml:space="preserve">региональные </w:t>
      </w:r>
      <w:r w:rsidR="002F4FE0" w:rsidRPr="00FD6E3F">
        <w:rPr>
          <w:lang w:val="ru-RU" w:eastAsia="zh-CN"/>
        </w:rPr>
        <w:t>организации электросвязи, указанные в Статье 43 Устава</w:t>
      </w:r>
      <w:r w:rsidRPr="00FD6E3F">
        <w:rPr>
          <w:rFonts w:cstheme="minorHAnsi"/>
          <w:szCs w:val="22"/>
          <w:lang w:val="ru-RU"/>
        </w:rPr>
        <w:t xml:space="preserve">, </w:t>
      </w:r>
      <w:r w:rsidR="002F4FE0" w:rsidRPr="00FD6E3F">
        <w:rPr>
          <w:rFonts w:cstheme="minorHAnsi"/>
          <w:lang w:val="ru-RU" w:eastAsia="zh-CN"/>
        </w:rPr>
        <w:t>межправительственные организации, эксплуатирующие спутниковые системы</w:t>
      </w:r>
      <w:r w:rsidRPr="00FD6E3F">
        <w:rPr>
          <w:rFonts w:cstheme="minorHAnsi"/>
          <w:szCs w:val="22"/>
          <w:lang w:val="ru-RU"/>
        </w:rPr>
        <w:t>,</w:t>
      </w:r>
      <w:r w:rsidR="009A2443" w:rsidRPr="00FD6E3F">
        <w:rPr>
          <w:rFonts w:cstheme="minorHAnsi"/>
          <w:szCs w:val="22"/>
          <w:lang w:val="ru-RU"/>
        </w:rPr>
        <w:t xml:space="preserve"> и </w:t>
      </w:r>
      <w:r w:rsidR="002F4FE0" w:rsidRPr="00FD6E3F">
        <w:rPr>
          <w:rFonts w:cstheme="minorHAnsi"/>
          <w:szCs w:val="22"/>
          <w:lang w:val="ru-RU"/>
        </w:rPr>
        <w:t>специализированные учреждения Организации Объединенных Наций и Международное аген</w:t>
      </w:r>
      <w:r w:rsidR="0069409D" w:rsidRPr="00FD6E3F">
        <w:rPr>
          <w:rFonts w:cstheme="minorHAnsi"/>
          <w:szCs w:val="22"/>
          <w:lang w:val="ru-RU"/>
        </w:rPr>
        <w:t>т</w:t>
      </w:r>
      <w:r w:rsidR="002F4FE0" w:rsidRPr="00FD6E3F">
        <w:rPr>
          <w:rFonts w:cstheme="minorHAnsi"/>
          <w:szCs w:val="22"/>
          <w:lang w:val="ru-RU"/>
        </w:rPr>
        <w:t xml:space="preserve">ство по атомной энергии </w:t>
      </w:r>
      <w:r w:rsidRPr="00FD6E3F">
        <w:rPr>
          <w:rFonts w:cstheme="minorHAnsi"/>
          <w:szCs w:val="22"/>
          <w:lang w:val="ru-RU"/>
        </w:rPr>
        <w:t>(</w:t>
      </w:r>
      <w:r w:rsidR="002F4FE0" w:rsidRPr="00FD6E3F">
        <w:rPr>
          <w:rFonts w:cstheme="minorHAnsi"/>
          <w:szCs w:val="22"/>
          <w:lang w:val="ru-RU"/>
        </w:rPr>
        <w:t>п</w:t>
      </w:r>
      <w:r w:rsidRPr="00FD6E3F">
        <w:rPr>
          <w:rFonts w:cstheme="minorHAnsi"/>
          <w:szCs w:val="22"/>
          <w:lang w:val="ru-RU"/>
        </w:rPr>
        <w:t xml:space="preserve">. 236 </w:t>
      </w:r>
      <w:r w:rsidR="005571D3" w:rsidRPr="00FD6E3F">
        <w:rPr>
          <w:rFonts w:cstheme="minorHAnsi"/>
          <w:szCs w:val="22"/>
          <w:lang w:val="ru-RU"/>
        </w:rPr>
        <w:t>Конвенции</w:t>
      </w:r>
      <w:r w:rsidRPr="00FD6E3F">
        <w:rPr>
          <w:rFonts w:cstheme="minorHAnsi"/>
          <w:szCs w:val="22"/>
          <w:lang w:val="ru-RU"/>
        </w:rPr>
        <w:t xml:space="preserve">) </w:t>
      </w:r>
      <w:r w:rsidR="002F4FE0" w:rsidRPr="00FD6E3F">
        <w:rPr>
          <w:rFonts w:cstheme="minorHAnsi"/>
          <w:szCs w:val="22"/>
          <w:lang w:val="ru-RU"/>
        </w:rPr>
        <w:t xml:space="preserve">имеют </w:t>
      </w:r>
      <w:r w:rsidR="009A2443" w:rsidRPr="00FD6E3F">
        <w:rPr>
          <w:rFonts w:cstheme="minorHAnsi"/>
          <w:szCs w:val="22"/>
          <w:lang w:val="ru-RU"/>
        </w:rPr>
        <w:t>право</w:t>
      </w:r>
      <w:r w:rsidRPr="00FD6E3F">
        <w:rPr>
          <w:rFonts w:cstheme="minorHAnsi"/>
          <w:szCs w:val="22"/>
          <w:lang w:val="ru-RU"/>
        </w:rPr>
        <w:t xml:space="preserve"> </w:t>
      </w:r>
      <w:r w:rsidR="009A2443" w:rsidRPr="00FD6E3F">
        <w:rPr>
          <w:rFonts w:cstheme="minorHAnsi"/>
          <w:szCs w:val="22"/>
          <w:lang w:val="ru-RU"/>
        </w:rPr>
        <w:t>принимать участие</w:t>
      </w:r>
      <w:r w:rsidRPr="00FD6E3F">
        <w:rPr>
          <w:rFonts w:cstheme="minorHAnsi"/>
          <w:szCs w:val="22"/>
          <w:lang w:val="ru-RU"/>
        </w:rPr>
        <w:t xml:space="preserve"> </w:t>
      </w:r>
      <w:r w:rsidR="002F4FE0" w:rsidRPr="00FD6E3F">
        <w:rPr>
          <w:rFonts w:cstheme="minorHAnsi"/>
          <w:szCs w:val="22"/>
          <w:lang w:val="ru-RU"/>
        </w:rPr>
        <w:t>в деятельности Союза и</w:t>
      </w:r>
      <w:r w:rsidRPr="00FD6E3F">
        <w:rPr>
          <w:rFonts w:cstheme="minorHAnsi"/>
          <w:szCs w:val="22"/>
          <w:lang w:val="ru-RU"/>
        </w:rPr>
        <w:t xml:space="preserve">, </w:t>
      </w:r>
      <w:r w:rsidR="002F4FE0" w:rsidRPr="00FD6E3F">
        <w:rPr>
          <w:rFonts w:cstheme="minorHAnsi"/>
          <w:szCs w:val="22"/>
          <w:lang w:val="ru-RU"/>
        </w:rPr>
        <w:t xml:space="preserve">на основании запроса, быть включенными в список </w:t>
      </w:r>
      <w:r w:rsidR="005966C0" w:rsidRPr="00FD6E3F">
        <w:rPr>
          <w:rFonts w:cstheme="minorHAnsi"/>
          <w:szCs w:val="22"/>
          <w:lang w:val="ru-RU"/>
        </w:rPr>
        <w:t>Член</w:t>
      </w:r>
      <w:r w:rsidR="002F4FE0" w:rsidRPr="00FD6E3F">
        <w:rPr>
          <w:rFonts w:cstheme="minorHAnsi"/>
          <w:szCs w:val="22"/>
          <w:lang w:val="ru-RU"/>
        </w:rPr>
        <w:t>ов</w:t>
      </w:r>
      <w:r w:rsidR="005966C0" w:rsidRPr="00FD6E3F">
        <w:rPr>
          <w:rFonts w:cstheme="minorHAnsi"/>
          <w:szCs w:val="22"/>
          <w:lang w:val="ru-RU"/>
        </w:rPr>
        <w:t xml:space="preserve"> Секторов</w:t>
      </w:r>
      <w:r w:rsidRPr="00FD6E3F">
        <w:rPr>
          <w:rFonts w:cstheme="minorHAnsi"/>
          <w:szCs w:val="22"/>
          <w:lang w:val="ru-RU"/>
        </w:rPr>
        <w:t>.</w:t>
      </w:r>
    </w:p>
    <w:p w:rsidR="007A7CC5" w:rsidRPr="00FD6E3F" w:rsidRDefault="007A7CC5" w:rsidP="0069409D">
      <w:pPr>
        <w:rPr>
          <w:szCs w:val="22"/>
          <w:lang w:val="ru-RU"/>
        </w:rPr>
      </w:pPr>
      <w:r w:rsidRPr="00FD6E3F">
        <w:rPr>
          <w:szCs w:val="22"/>
          <w:lang w:val="ru-RU"/>
        </w:rPr>
        <w:t>3.4</w:t>
      </w:r>
      <w:r w:rsidRPr="00FD6E3F">
        <w:rPr>
          <w:szCs w:val="22"/>
          <w:lang w:val="ru-RU"/>
        </w:rPr>
        <w:tab/>
      </w:r>
      <w:r w:rsidR="002F4FE0" w:rsidRPr="00FD6E3F">
        <w:rPr>
          <w:szCs w:val="22"/>
          <w:lang w:val="ru-RU"/>
        </w:rPr>
        <w:t xml:space="preserve">Краткий обзор типов </w:t>
      </w:r>
      <w:r w:rsidR="009A2443" w:rsidRPr="00FD6E3F">
        <w:rPr>
          <w:szCs w:val="22"/>
          <w:lang w:val="ru-RU"/>
        </w:rPr>
        <w:t>объединени</w:t>
      </w:r>
      <w:r w:rsidR="002F4FE0" w:rsidRPr="00FD6E3F">
        <w:rPr>
          <w:szCs w:val="22"/>
          <w:lang w:val="ru-RU"/>
        </w:rPr>
        <w:t xml:space="preserve">й и соответствующих процессов </w:t>
      </w:r>
      <w:r w:rsidR="0069409D" w:rsidRPr="00FD6E3F">
        <w:rPr>
          <w:szCs w:val="22"/>
          <w:lang w:val="ru-RU"/>
        </w:rPr>
        <w:t xml:space="preserve">их </w:t>
      </w:r>
      <w:r w:rsidR="002F4FE0" w:rsidRPr="00FD6E3F">
        <w:rPr>
          <w:szCs w:val="22"/>
          <w:lang w:val="ru-RU"/>
        </w:rPr>
        <w:t xml:space="preserve">допуска приведен в </w:t>
      </w:r>
      <w:r w:rsidR="002F4FE0" w:rsidRPr="00FD6E3F">
        <w:rPr>
          <w:b/>
          <w:bCs/>
          <w:szCs w:val="22"/>
          <w:lang w:val="ru-RU"/>
        </w:rPr>
        <w:t xml:space="preserve">Приложении </w:t>
      </w:r>
      <w:r w:rsidRPr="00FD6E3F">
        <w:rPr>
          <w:b/>
          <w:bCs/>
          <w:szCs w:val="22"/>
          <w:lang w:val="ru-RU"/>
        </w:rPr>
        <w:t>2</w:t>
      </w:r>
      <w:r w:rsidRPr="00FD6E3F">
        <w:rPr>
          <w:szCs w:val="22"/>
          <w:lang w:val="ru-RU"/>
        </w:rPr>
        <w:t>.</w:t>
      </w:r>
    </w:p>
    <w:p w:rsidR="007A7CC5" w:rsidRPr="00FD6E3F" w:rsidRDefault="007A7CC5" w:rsidP="002A4122">
      <w:pPr>
        <w:pStyle w:val="Heading1"/>
        <w:rPr>
          <w:lang w:val="ru-RU"/>
        </w:rPr>
      </w:pPr>
      <w:r w:rsidRPr="00FD6E3F">
        <w:rPr>
          <w:lang w:val="ru-RU"/>
        </w:rPr>
        <w:t>4</w:t>
      </w:r>
      <w:r w:rsidRPr="00FD6E3F">
        <w:rPr>
          <w:lang w:val="ru-RU"/>
        </w:rPr>
        <w:tab/>
      </w:r>
      <w:r w:rsidR="002F4FE0" w:rsidRPr="00FD6E3F">
        <w:rPr>
          <w:lang w:val="ru-RU"/>
        </w:rPr>
        <w:t>Отказ от членства и исключение из членов</w:t>
      </w:r>
    </w:p>
    <w:p w:rsidR="007A7CC5" w:rsidRPr="00FD6E3F" w:rsidRDefault="007A7CC5" w:rsidP="002E0DB1">
      <w:pPr>
        <w:rPr>
          <w:szCs w:val="22"/>
          <w:lang w:val="ru-RU"/>
        </w:rPr>
      </w:pPr>
      <w:r w:rsidRPr="00FD6E3F">
        <w:rPr>
          <w:szCs w:val="22"/>
          <w:lang w:val="ru-RU"/>
        </w:rPr>
        <w:t>4.1</w:t>
      </w:r>
      <w:r w:rsidRPr="00FD6E3F">
        <w:rPr>
          <w:szCs w:val="22"/>
          <w:lang w:val="ru-RU"/>
        </w:rPr>
        <w:tab/>
      </w:r>
      <w:r w:rsidR="002F4FE0" w:rsidRPr="00FD6E3F">
        <w:rPr>
          <w:szCs w:val="22"/>
          <w:lang w:val="ru-RU"/>
        </w:rPr>
        <w:t xml:space="preserve">В п. </w:t>
      </w:r>
      <w:r w:rsidRPr="00FD6E3F">
        <w:rPr>
          <w:szCs w:val="22"/>
          <w:lang w:val="ru-RU"/>
        </w:rPr>
        <w:t xml:space="preserve">240 </w:t>
      </w:r>
      <w:r w:rsidR="002F4FE0" w:rsidRPr="00FD6E3F">
        <w:rPr>
          <w:szCs w:val="22"/>
          <w:lang w:val="ru-RU"/>
        </w:rPr>
        <w:t>Конвенции отмечается, что "</w:t>
      </w:r>
      <w:r w:rsidR="0069409D" w:rsidRPr="00FD6E3F">
        <w:rPr>
          <w:szCs w:val="22"/>
          <w:lang w:val="ru-RU"/>
        </w:rPr>
        <w:t xml:space="preserve">любой </w:t>
      </w:r>
      <w:r w:rsidR="002F4FE0" w:rsidRPr="00FD6E3F">
        <w:rPr>
          <w:szCs w:val="22"/>
          <w:lang w:val="ru-RU"/>
        </w:rPr>
        <w:t>Член Сектора имеет право отказаться от своего участия, уведомив об этом Генерального секретаря"</w:t>
      </w:r>
      <w:r w:rsidR="009A2443" w:rsidRPr="00FD6E3F">
        <w:rPr>
          <w:szCs w:val="22"/>
          <w:lang w:val="ru-RU"/>
        </w:rPr>
        <w:t xml:space="preserve"> и </w:t>
      </w:r>
      <w:r w:rsidR="002F4FE0" w:rsidRPr="00FD6E3F">
        <w:rPr>
          <w:szCs w:val="22"/>
          <w:lang w:val="ru-RU"/>
        </w:rPr>
        <w:t>что "</w:t>
      </w:r>
      <w:r w:rsidR="0069409D" w:rsidRPr="00FD6E3F">
        <w:rPr>
          <w:szCs w:val="22"/>
          <w:lang w:val="ru-RU"/>
        </w:rPr>
        <w:t xml:space="preserve">такой </w:t>
      </w:r>
      <w:r w:rsidR="002F4FE0" w:rsidRPr="00FD6E3F">
        <w:rPr>
          <w:szCs w:val="22"/>
          <w:lang w:val="ru-RU"/>
        </w:rPr>
        <w:t>отказ вступает в силу по истечении шести месяцев со дня получения уведомления Генеральным секретарем"</w:t>
      </w:r>
      <w:r w:rsidRPr="00FD6E3F">
        <w:rPr>
          <w:szCs w:val="22"/>
          <w:lang w:val="ru-RU"/>
        </w:rPr>
        <w:t xml:space="preserve">. </w:t>
      </w:r>
      <w:r w:rsidR="002F4FE0" w:rsidRPr="00FD6E3F">
        <w:rPr>
          <w:szCs w:val="22"/>
          <w:lang w:val="ru-RU"/>
        </w:rPr>
        <w:t>В К</w:t>
      </w:r>
      <w:r w:rsidRPr="00FD6E3F">
        <w:rPr>
          <w:szCs w:val="22"/>
          <w:lang w:val="ru-RU"/>
        </w:rPr>
        <w:t xml:space="preserve">241 </w:t>
      </w:r>
      <w:r w:rsidR="00405E24" w:rsidRPr="00FD6E3F">
        <w:rPr>
          <w:szCs w:val="22"/>
          <w:lang w:val="ru-RU"/>
        </w:rPr>
        <w:t>дополнительно отмечается</w:t>
      </w:r>
      <w:r w:rsidR="002F4FE0" w:rsidRPr="00FD6E3F">
        <w:rPr>
          <w:szCs w:val="22"/>
          <w:lang w:val="ru-RU"/>
        </w:rPr>
        <w:t>, что "Генеральный секретарь исключает из списка объединений и организаций" любого Член Сектора, который более не уполномочен участвовать в работе Сектора</w:t>
      </w:r>
      <w:r w:rsidRPr="00FD6E3F">
        <w:rPr>
          <w:szCs w:val="22"/>
          <w:lang w:val="ru-RU"/>
        </w:rPr>
        <w:t xml:space="preserve">. </w:t>
      </w:r>
      <w:r w:rsidR="002F4FE0" w:rsidRPr="00FD6E3F">
        <w:rPr>
          <w:szCs w:val="22"/>
          <w:lang w:val="ru-RU"/>
        </w:rPr>
        <w:t xml:space="preserve">Более конкретно, </w:t>
      </w:r>
      <w:r w:rsidR="005571D3" w:rsidRPr="00FD6E3F">
        <w:rPr>
          <w:rFonts w:cstheme="minorHAnsi"/>
          <w:szCs w:val="22"/>
          <w:lang w:val="ru-RU" w:eastAsia="zh-CN"/>
        </w:rPr>
        <w:t>Генеральный секретарь</w:t>
      </w:r>
      <w:r w:rsidRPr="00FD6E3F">
        <w:rPr>
          <w:rFonts w:cstheme="minorHAnsi"/>
          <w:szCs w:val="22"/>
          <w:lang w:val="ru-RU" w:eastAsia="zh-CN"/>
        </w:rPr>
        <w:t xml:space="preserve"> </w:t>
      </w:r>
      <w:r w:rsidR="002F4FE0" w:rsidRPr="00FD6E3F">
        <w:rPr>
          <w:rFonts w:cstheme="minorHAnsi"/>
          <w:szCs w:val="22"/>
          <w:lang w:val="ru-RU" w:eastAsia="zh-CN"/>
        </w:rPr>
        <w:t>может исключить из списка членов</w:t>
      </w:r>
      <w:r w:rsidRPr="00FD6E3F">
        <w:rPr>
          <w:rFonts w:cstheme="minorHAnsi"/>
          <w:szCs w:val="22"/>
          <w:lang w:val="ru-RU" w:eastAsia="zh-CN"/>
        </w:rPr>
        <w:t>:</w:t>
      </w:r>
    </w:p>
    <w:p w:rsidR="007A7CC5" w:rsidRPr="00FD6E3F" w:rsidRDefault="002A4122" w:rsidP="002E0DB1">
      <w:pPr>
        <w:pStyle w:val="enumlev1"/>
        <w:rPr>
          <w:lang w:val="ru-RU" w:eastAsia="zh-CN"/>
        </w:rPr>
      </w:pPr>
      <w:r w:rsidRPr="00FD6E3F">
        <w:rPr>
          <w:lang w:val="ru-RU" w:eastAsia="zh-CN"/>
        </w:rPr>
        <w:t>−</w:t>
      </w:r>
      <w:r w:rsidRPr="00FD6E3F">
        <w:rPr>
          <w:lang w:val="ru-RU" w:eastAsia="zh-CN"/>
        </w:rPr>
        <w:tab/>
      </w:r>
      <w:r w:rsidR="00224E50" w:rsidRPr="00FD6E3F">
        <w:rPr>
          <w:lang w:val="ru-RU" w:eastAsia="zh-CN"/>
        </w:rPr>
        <w:t xml:space="preserve">любые </w:t>
      </w:r>
      <w:r w:rsidR="009A2443" w:rsidRPr="00FD6E3F">
        <w:rPr>
          <w:lang w:val="ru-RU" w:eastAsia="zh-CN"/>
        </w:rPr>
        <w:t>объединени</w:t>
      </w:r>
      <w:r w:rsidR="00224E50" w:rsidRPr="00FD6E3F">
        <w:rPr>
          <w:lang w:val="ru-RU" w:eastAsia="zh-CN"/>
        </w:rPr>
        <w:t>я</w:t>
      </w:r>
      <w:r w:rsidR="009A2443" w:rsidRPr="00FD6E3F">
        <w:rPr>
          <w:lang w:val="ru-RU" w:eastAsia="zh-CN"/>
        </w:rPr>
        <w:t xml:space="preserve"> или организаци</w:t>
      </w:r>
      <w:r w:rsidR="00224E50" w:rsidRPr="00FD6E3F">
        <w:rPr>
          <w:lang w:val="ru-RU" w:eastAsia="zh-CN"/>
        </w:rPr>
        <w:t>и, которые объявили об отказе от своего участия</w:t>
      </w:r>
      <w:r w:rsidR="007A7CC5" w:rsidRPr="00FD6E3F">
        <w:rPr>
          <w:lang w:val="ru-RU" w:eastAsia="zh-CN"/>
        </w:rPr>
        <w:t xml:space="preserve"> (</w:t>
      </w:r>
      <w:r w:rsidR="00224E50" w:rsidRPr="00FD6E3F">
        <w:rPr>
          <w:lang w:val="ru-RU" w:eastAsia="zh-CN"/>
        </w:rPr>
        <w:t>К</w:t>
      </w:r>
      <w:r w:rsidR="007A7CC5" w:rsidRPr="00FD6E3F">
        <w:rPr>
          <w:lang w:val="ru-RU" w:eastAsia="zh-CN"/>
        </w:rPr>
        <w:t>240);</w:t>
      </w:r>
    </w:p>
    <w:p w:rsidR="007A7CC5" w:rsidRPr="00FD6E3F" w:rsidRDefault="002A4122" w:rsidP="002A4122">
      <w:pPr>
        <w:pStyle w:val="enumlev1"/>
        <w:rPr>
          <w:lang w:val="ru-RU" w:eastAsia="zh-CN"/>
        </w:rPr>
      </w:pPr>
      <w:r w:rsidRPr="00FD6E3F">
        <w:rPr>
          <w:lang w:val="ru-RU" w:eastAsia="zh-CN"/>
        </w:rPr>
        <w:t>−</w:t>
      </w:r>
      <w:r w:rsidRPr="00FD6E3F">
        <w:rPr>
          <w:lang w:val="ru-RU" w:eastAsia="zh-CN"/>
        </w:rPr>
        <w:tab/>
      </w:r>
      <w:r w:rsidR="00224E50" w:rsidRPr="00FD6E3F">
        <w:rPr>
          <w:lang w:val="ru-RU" w:eastAsia="zh-CN"/>
        </w:rPr>
        <w:t>любые</w:t>
      </w:r>
      <w:r w:rsidR="007A7CC5" w:rsidRPr="00FD6E3F">
        <w:rPr>
          <w:lang w:val="ru-RU" w:eastAsia="zh-CN"/>
        </w:rPr>
        <w:t xml:space="preserve"> </w:t>
      </w:r>
      <w:r w:rsidR="009A2443" w:rsidRPr="00FD6E3F">
        <w:rPr>
          <w:lang w:val="ru-RU" w:eastAsia="zh-CN"/>
        </w:rPr>
        <w:t>объединени</w:t>
      </w:r>
      <w:r w:rsidR="00224E50" w:rsidRPr="00FD6E3F">
        <w:rPr>
          <w:lang w:val="ru-RU" w:eastAsia="zh-CN"/>
        </w:rPr>
        <w:t>я</w:t>
      </w:r>
      <w:r w:rsidR="009A2443" w:rsidRPr="00FD6E3F">
        <w:rPr>
          <w:lang w:val="ru-RU" w:eastAsia="zh-CN"/>
        </w:rPr>
        <w:t xml:space="preserve"> или организаци</w:t>
      </w:r>
      <w:r w:rsidR="00224E50" w:rsidRPr="00FD6E3F">
        <w:rPr>
          <w:lang w:val="ru-RU" w:eastAsia="zh-CN"/>
        </w:rPr>
        <w:t>и, отказ от участия котор</w:t>
      </w:r>
      <w:r w:rsidR="0069409D" w:rsidRPr="00FD6E3F">
        <w:rPr>
          <w:lang w:val="ru-RU" w:eastAsia="zh-CN"/>
        </w:rPr>
        <w:t>ых</w:t>
      </w:r>
      <w:r w:rsidR="00224E50" w:rsidRPr="00FD6E3F">
        <w:rPr>
          <w:lang w:val="ru-RU" w:eastAsia="zh-CN"/>
        </w:rPr>
        <w:t xml:space="preserve"> был осуществлен соответствующим </w:t>
      </w:r>
      <w:r w:rsidR="005966C0" w:rsidRPr="00FD6E3F">
        <w:rPr>
          <w:lang w:val="ru-RU" w:eastAsia="zh-CN"/>
        </w:rPr>
        <w:t>Государство</w:t>
      </w:r>
      <w:r w:rsidR="00224E50" w:rsidRPr="00FD6E3F">
        <w:rPr>
          <w:lang w:val="ru-RU" w:eastAsia="zh-CN"/>
        </w:rPr>
        <w:t>м</w:t>
      </w:r>
      <w:r w:rsidR="005966C0" w:rsidRPr="00FD6E3F">
        <w:rPr>
          <w:lang w:val="ru-RU" w:eastAsia="zh-CN"/>
        </w:rPr>
        <w:t>-Член</w:t>
      </w:r>
      <w:r w:rsidR="00224E50" w:rsidRPr="00FD6E3F">
        <w:rPr>
          <w:lang w:val="ru-RU" w:eastAsia="zh-CN"/>
        </w:rPr>
        <w:t>ом</w:t>
      </w:r>
      <w:r w:rsidR="007A7CC5" w:rsidRPr="00FD6E3F">
        <w:rPr>
          <w:lang w:val="ru-RU" w:eastAsia="zh-CN"/>
        </w:rPr>
        <w:t xml:space="preserve"> (</w:t>
      </w:r>
      <w:r w:rsidR="00224E50" w:rsidRPr="00FD6E3F">
        <w:rPr>
          <w:lang w:val="ru-RU" w:eastAsia="zh-CN"/>
        </w:rPr>
        <w:t>К</w:t>
      </w:r>
      <w:r w:rsidR="007A7CC5" w:rsidRPr="00FD6E3F">
        <w:rPr>
          <w:lang w:val="ru-RU" w:eastAsia="zh-CN"/>
        </w:rPr>
        <w:t>240);</w:t>
      </w:r>
    </w:p>
    <w:p w:rsidR="007A7CC5" w:rsidRPr="00FD6E3F" w:rsidRDefault="002A4122" w:rsidP="002A4122">
      <w:pPr>
        <w:pStyle w:val="enumlev1"/>
        <w:rPr>
          <w:lang w:val="ru-RU" w:eastAsia="zh-CN"/>
        </w:rPr>
      </w:pPr>
      <w:r w:rsidRPr="00FD6E3F">
        <w:rPr>
          <w:lang w:val="ru-RU" w:eastAsia="zh-CN"/>
        </w:rPr>
        <w:t>−</w:t>
      </w:r>
      <w:r w:rsidRPr="00FD6E3F">
        <w:rPr>
          <w:lang w:val="ru-RU" w:eastAsia="zh-CN"/>
        </w:rPr>
        <w:tab/>
      </w:r>
      <w:r w:rsidR="00224E50" w:rsidRPr="00FD6E3F">
        <w:rPr>
          <w:lang w:val="ru-RU" w:eastAsia="zh-CN"/>
        </w:rPr>
        <w:t xml:space="preserve">любые </w:t>
      </w:r>
      <w:r w:rsidR="009A2443" w:rsidRPr="00FD6E3F">
        <w:rPr>
          <w:lang w:val="ru-RU" w:eastAsia="zh-CN"/>
        </w:rPr>
        <w:t>объединени</w:t>
      </w:r>
      <w:r w:rsidR="00224E50" w:rsidRPr="00FD6E3F">
        <w:rPr>
          <w:lang w:val="ru-RU" w:eastAsia="zh-CN"/>
        </w:rPr>
        <w:t>я</w:t>
      </w:r>
      <w:r w:rsidR="009A2443" w:rsidRPr="00FD6E3F">
        <w:rPr>
          <w:lang w:val="ru-RU" w:eastAsia="zh-CN"/>
        </w:rPr>
        <w:t xml:space="preserve"> или организаци</w:t>
      </w:r>
      <w:r w:rsidR="00224E50" w:rsidRPr="00FD6E3F">
        <w:rPr>
          <w:lang w:val="ru-RU" w:eastAsia="zh-CN"/>
        </w:rPr>
        <w:t xml:space="preserve">и, которые просрочили </w:t>
      </w:r>
      <w:r w:rsidR="00AE7342" w:rsidRPr="00FD6E3F">
        <w:rPr>
          <w:lang w:val="ru-RU" w:eastAsia="zh-CN"/>
        </w:rPr>
        <w:t>у</w:t>
      </w:r>
      <w:r w:rsidR="00224E50" w:rsidRPr="00FD6E3F">
        <w:rPr>
          <w:lang w:val="ru-RU" w:eastAsia="zh-CN"/>
        </w:rPr>
        <w:t>плату сво</w:t>
      </w:r>
      <w:r w:rsidR="007A0C52" w:rsidRPr="00FD6E3F">
        <w:rPr>
          <w:lang w:val="ru-RU" w:eastAsia="zh-CN"/>
        </w:rPr>
        <w:t>его</w:t>
      </w:r>
      <w:r w:rsidR="00224E50" w:rsidRPr="00FD6E3F">
        <w:rPr>
          <w:lang w:val="ru-RU" w:eastAsia="zh-CN"/>
        </w:rPr>
        <w:t xml:space="preserve"> ежегодн</w:t>
      </w:r>
      <w:r w:rsidR="007A0C52" w:rsidRPr="00FD6E3F">
        <w:rPr>
          <w:lang w:val="ru-RU" w:eastAsia="zh-CN"/>
        </w:rPr>
        <w:t>ого</w:t>
      </w:r>
      <w:r w:rsidR="00224E50" w:rsidRPr="00FD6E3F">
        <w:rPr>
          <w:lang w:val="ru-RU" w:eastAsia="zh-CN"/>
        </w:rPr>
        <w:t xml:space="preserve"> взнос</w:t>
      </w:r>
      <w:r w:rsidR="007A0C52" w:rsidRPr="00FD6E3F">
        <w:rPr>
          <w:lang w:val="ru-RU" w:eastAsia="zh-CN"/>
        </w:rPr>
        <w:t>а</w:t>
      </w:r>
      <w:r w:rsidR="00224E50" w:rsidRPr="00FD6E3F">
        <w:rPr>
          <w:lang w:val="ru-RU" w:eastAsia="zh-CN"/>
        </w:rPr>
        <w:t xml:space="preserve"> более чем на один </w:t>
      </w:r>
      <w:r w:rsidR="007A7CC5" w:rsidRPr="00FD6E3F">
        <w:rPr>
          <w:lang w:val="ru-RU" w:eastAsia="zh-CN"/>
        </w:rPr>
        <w:t xml:space="preserve">(1) </w:t>
      </w:r>
      <w:r w:rsidR="00224E50" w:rsidRPr="00FD6E3F">
        <w:rPr>
          <w:lang w:val="ru-RU" w:eastAsia="zh-CN"/>
        </w:rPr>
        <w:t xml:space="preserve">год </w:t>
      </w:r>
      <w:r w:rsidR="009A2443" w:rsidRPr="00FD6E3F">
        <w:rPr>
          <w:lang w:val="ru-RU" w:eastAsia="zh-CN"/>
        </w:rPr>
        <w:t xml:space="preserve">или </w:t>
      </w:r>
      <w:r w:rsidR="00224E50" w:rsidRPr="00FD6E3F">
        <w:rPr>
          <w:lang w:val="ru-RU" w:eastAsia="zh-CN"/>
        </w:rPr>
        <w:t>имеют любые другие задолженности перед Союзом</w:t>
      </w:r>
      <w:r w:rsidR="007A7CC5" w:rsidRPr="00FD6E3F">
        <w:rPr>
          <w:lang w:val="ru-RU" w:eastAsia="zh-CN"/>
        </w:rPr>
        <w:t>;</w:t>
      </w:r>
    </w:p>
    <w:p w:rsidR="007A7CC5" w:rsidRPr="00FD6E3F" w:rsidRDefault="002A4122" w:rsidP="002A4122">
      <w:pPr>
        <w:pStyle w:val="enumlev1"/>
        <w:rPr>
          <w:lang w:val="ru-RU" w:eastAsia="zh-CN"/>
        </w:rPr>
      </w:pPr>
      <w:r w:rsidRPr="00FD6E3F">
        <w:rPr>
          <w:lang w:val="ru-RU" w:eastAsia="zh-CN"/>
        </w:rPr>
        <w:t>−</w:t>
      </w:r>
      <w:r w:rsidRPr="00FD6E3F">
        <w:rPr>
          <w:lang w:val="ru-RU" w:eastAsia="zh-CN"/>
        </w:rPr>
        <w:tab/>
      </w:r>
      <w:r w:rsidR="00224E50" w:rsidRPr="00FD6E3F">
        <w:rPr>
          <w:lang w:val="ru-RU" w:eastAsia="zh-CN"/>
        </w:rPr>
        <w:t xml:space="preserve">любые </w:t>
      </w:r>
      <w:r w:rsidR="009A2443" w:rsidRPr="00FD6E3F">
        <w:rPr>
          <w:lang w:val="ru-RU" w:eastAsia="zh-CN"/>
        </w:rPr>
        <w:t>объединени</w:t>
      </w:r>
      <w:r w:rsidR="00224E50" w:rsidRPr="00FD6E3F">
        <w:rPr>
          <w:lang w:val="ru-RU" w:eastAsia="zh-CN"/>
        </w:rPr>
        <w:t>я</w:t>
      </w:r>
      <w:r w:rsidR="009A2443" w:rsidRPr="00FD6E3F">
        <w:rPr>
          <w:lang w:val="ru-RU" w:eastAsia="zh-CN"/>
        </w:rPr>
        <w:t xml:space="preserve"> или организаци</w:t>
      </w:r>
      <w:r w:rsidR="00224E50" w:rsidRPr="00FD6E3F">
        <w:rPr>
          <w:lang w:val="ru-RU" w:eastAsia="zh-CN"/>
        </w:rPr>
        <w:t xml:space="preserve">и, характер которых изменился в результате слияния или изменения их деятельности </w:t>
      </w:r>
      <w:r w:rsidR="009A2443" w:rsidRPr="00FD6E3F">
        <w:rPr>
          <w:lang w:val="ru-RU" w:eastAsia="zh-CN"/>
        </w:rPr>
        <w:t>и</w:t>
      </w:r>
      <w:r w:rsidR="00224E50" w:rsidRPr="00FD6E3F">
        <w:rPr>
          <w:lang w:val="ru-RU" w:eastAsia="zh-CN"/>
        </w:rPr>
        <w:t>, следовательно, более не соответствует критериям для разрешения участия</w:t>
      </w:r>
      <w:r w:rsidR="007A7CC5" w:rsidRPr="00FD6E3F">
        <w:rPr>
          <w:lang w:val="ru-RU" w:eastAsia="zh-CN"/>
        </w:rPr>
        <w:t>;</w:t>
      </w:r>
    </w:p>
    <w:p w:rsidR="007A7CC5" w:rsidRPr="00FD6E3F" w:rsidRDefault="002A4122" w:rsidP="002A4122">
      <w:pPr>
        <w:pStyle w:val="enumlev1"/>
        <w:rPr>
          <w:lang w:val="ru-RU" w:eastAsia="zh-CN"/>
        </w:rPr>
      </w:pPr>
      <w:r w:rsidRPr="00FD6E3F">
        <w:rPr>
          <w:lang w:val="ru-RU" w:eastAsia="zh-CN"/>
        </w:rPr>
        <w:t>−</w:t>
      </w:r>
      <w:r w:rsidRPr="00FD6E3F">
        <w:rPr>
          <w:lang w:val="ru-RU" w:eastAsia="zh-CN"/>
        </w:rPr>
        <w:tab/>
      </w:r>
      <w:r w:rsidR="00224E50" w:rsidRPr="00FD6E3F">
        <w:rPr>
          <w:lang w:val="ru-RU" w:eastAsia="zh-CN"/>
        </w:rPr>
        <w:t xml:space="preserve">любые </w:t>
      </w:r>
      <w:r w:rsidR="009A2443" w:rsidRPr="00FD6E3F">
        <w:rPr>
          <w:lang w:val="ru-RU" w:eastAsia="zh-CN"/>
        </w:rPr>
        <w:t>объединени</w:t>
      </w:r>
      <w:r w:rsidR="00224E50" w:rsidRPr="00FD6E3F">
        <w:rPr>
          <w:lang w:val="ru-RU" w:eastAsia="zh-CN"/>
        </w:rPr>
        <w:t>я</w:t>
      </w:r>
      <w:r w:rsidR="009A2443" w:rsidRPr="00FD6E3F">
        <w:rPr>
          <w:lang w:val="ru-RU" w:eastAsia="zh-CN"/>
        </w:rPr>
        <w:t xml:space="preserve"> или организаци</w:t>
      </w:r>
      <w:r w:rsidR="00224E50" w:rsidRPr="00FD6E3F">
        <w:rPr>
          <w:lang w:val="ru-RU" w:eastAsia="zh-CN"/>
        </w:rPr>
        <w:t>и, де</w:t>
      </w:r>
      <w:r w:rsidR="0069409D" w:rsidRPr="00FD6E3F">
        <w:rPr>
          <w:lang w:val="ru-RU" w:eastAsia="zh-CN"/>
        </w:rPr>
        <w:t xml:space="preserve">ятельность </w:t>
      </w:r>
      <w:r w:rsidR="00224E50" w:rsidRPr="00FD6E3F">
        <w:rPr>
          <w:lang w:val="ru-RU" w:eastAsia="zh-CN"/>
        </w:rPr>
        <w:t xml:space="preserve">которых, </w:t>
      </w:r>
      <w:r w:rsidR="0069409D" w:rsidRPr="00FD6E3F">
        <w:rPr>
          <w:lang w:val="ru-RU" w:eastAsia="zh-CN"/>
        </w:rPr>
        <w:t xml:space="preserve">согласно </w:t>
      </w:r>
      <w:r w:rsidR="00224E50" w:rsidRPr="00FD6E3F">
        <w:rPr>
          <w:lang w:val="ru-RU" w:eastAsia="zh-CN"/>
        </w:rPr>
        <w:t>заключени</w:t>
      </w:r>
      <w:r w:rsidR="0069409D" w:rsidRPr="00FD6E3F">
        <w:rPr>
          <w:lang w:val="ru-RU" w:eastAsia="zh-CN"/>
        </w:rPr>
        <w:t>ю</w:t>
      </w:r>
      <w:r w:rsidR="00224E50" w:rsidRPr="00FD6E3F">
        <w:rPr>
          <w:lang w:val="ru-RU" w:eastAsia="zh-CN"/>
        </w:rPr>
        <w:t xml:space="preserve"> </w:t>
      </w:r>
      <w:r w:rsidR="009A2443" w:rsidRPr="00FD6E3F">
        <w:rPr>
          <w:lang w:val="ru-RU" w:eastAsia="zh-CN"/>
        </w:rPr>
        <w:t>Совет</w:t>
      </w:r>
      <w:r w:rsidR="00224E50" w:rsidRPr="00FD6E3F">
        <w:rPr>
          <w:lang w:val="ru-RU" w:eastAsia="zh-CN"/>
        </w:rPr>
        <w:t xml:space="preserve">а, очевидным и существенным </w:t>
      </w:r>
      <w:r w:rsidR="0069409D" w:rsidRPr="00FD6E3F">
        <w:rPr>
          <w:lang w:val="ru-RU" w:eastAsia="zh-CN"/>
        </w:rPr>
        <w:t xml:space="preserve">отрицательным </w:t>
      </w:r>
      <w:r w:rsidR="00224E50" w:rsidRPr="00FD6E3F">
        <w:rPr>
          <w:lang w:val="ru-RU" w:eastAsia="zh-CN"/>
        </w:rPr>
        <w:t xml:space="preserve">образом </w:t>
      </w:r>
      <w:r w:rsidR="0069409D" w:rsidRPr="00FD6E3F">
        <w:rPr>
          <w:lang w:val="ru-RU" w:eastAsia="zh-CN"/>
        </w:rPr>
        <w:t xml:space="preserve">сказывается </w:t>
      </w:r>
      <w:r w:rsidR="00224E50" w:rsidRPr="00FD6E3F">
        <w:rPr>
          <w:lang w:val="ru-RU" w:eastAsia="zh-CN"/>
        </w:rPr>
        <w:t>на интерес</w:t>
      </w:r>
      <w:r w:rsidR="0069409D" w:rsidRPr="00FD6E3F">
        <w:rPr>
          <w:lang w:val="ru-RU" w:eastAsia="zh-CN"/>
        </w:rPr>
        <w:t>ах</w:t>
      </w:r>
      <w:r w:rsidR="00224E50" w:rsidRPr="00FD6E3F">
        <w:rPr>
          <w:lang w:val="ru-RU" w:eastAsia="zh-CN"/>
        </w:rPr>
        <w:t xml:space="preserve"> МСЭ</w:t>
      </w:r>
      <w:r w:rsidR="007A7CC5" w:rsidRPr="00FD6E3F">
        <w:rPr>
          <w:lang w:val="ru-RU" w:eastAsia="zh-CN"/>
        </w:rPr>
        <w:t>;</w:t>
      </w:r>
    </w:p>
    <w:p w:rsidR="007A7CC5" w:rsidRPr="00FD6E3F" w:rsidRDefault="002A4122" w:rsidP="002A4122">
      <w:pPr>
        <w:pStyle w:val="enumlev1"/>
        <w:rPr>
          <w:lang w:val="ru-RU" w:eastAsia="zh-CN"/>
        </w:rPr>
      </w:pPr>
      <w:r w:rsidRPr="00FD6E3F">
        <w:rPr>
          <w:lang w:val="ru-RU" w:eastAsia="zh-CN"/>
        </w:rPr>
        <w:t>−</w:t>
      </w:r>
      <w:r w:rsidRPr="00FD6E3F">
        <w:rPr>
          <w:lang w:val="ru-RU" w:eastAsia="zh-CN"/>
        </w:rPr>
        <w:tab/>
      </w:r>
      <w:r w:rsidR="00224E50" w:rsidRPr="00FD6E3F">
        <w:rPr>
          <w:lang w:val="ru-RU" w:eastAsia="zh-CN"/>
        </w:rPr>
        <w:t>любые объединения или организации, которые</w:t>
      </w:r>
      <w:r w:rsidR="0069409D" w:rsidRPr="00FD6E3F">
        <w:rPr>
          <w:lang w:val="ru-RU" w:eastAsia="zh-CN"/>
        </w:rPr>
        <w:t>,</w:t>
      </w:r>
      <w:r w:rsidR="00224E50" w:rsidRPr="00FD6E3F">
        <w:rPr>
          <w:lang w:val="ru-RU" w:eastAsia="zh-CN"/>
        </w:rPr>
        <w:t xml:space="preserve"> </w:t>
      </w:r>
      <w:r w:rsidR="0069409D" w:rsidRPr="00FD6E3F">
        <w:rPr>
          <w:lang w:val="ru-RU" w:eastAsia="zh-CN"/>
        </w:rPr>
        <w:t xml:space="preserve">согласно заключению Совета, </w:t>
      </w:r>
      <w:r w:rsidR="00224E50" w:rsidRPr="00FD6E3F">
        <w:rPr>
          <w:lang w:val="ru-RU" w:eastAsia="zh-CN"/>
        </w:rPr>
        <w:t xml:space="preserve">нарушили правила </w:t>
      </w:r>
      <w:r w:rsidR="009A2443" w:rsidRPr="00FD6E3F">
        <w:rPr>
          <w:lang w:val="ru-RU" w:eastAsia="zh-CN"/>
        </w:rPr>
        <w:t xml:space="preserve">или </w:t>
      </w:r>
      <w:r w:rsidR="00224E50" w:rsidRPr="00FD6E3F">
        <w:rPr>
          <w:lang w:val="ru-RU" w:eastAsia="zh-CN"/>
        </w:rPr>
        <w:t xml:space="preserve">процедуры </w:t>
      </w:r>
      <w:r w:rsidR="009A2443" w:rsidRPr="00FD6E3F">
        <w:rPr>
          <w:lang w:val="ru-RU" w:eastAsia="zh-CN"/>
        </w:rPr>
        <w:t>МСЭ</w:t>
      </w:r>
      <w:r w:rsidR="007A7CC5" w:rsidRPr="00FD6E3F">
        <w:rPr>
          <w:lang w:val="ru-RU" w:eastAsia="zh-CN"/>
        </w:rPr>
        <w:t>.</w:t>
      </w:r>
    </w:p>
    <w:p w:rsidR="007A7CC5" w:rsidRPr="00FD6E3F" w:rsidRDefault="007A7CC5" w:rsidP="00224E50">
      <w:pPr>
        <w:rPr>
          <w:szCs w:val="22"/>
          <w:lang w:val="ru-RU"/>
        </w:rPr>
      </w:pPr>
      <w:r w:rsidRPr="00FD6E3F">
        <w:rPr>
          <w:szCs w:val="22"/>
          <w:lang w:val="ru-RU"/>
        </w:rPr>
        <w:t>4.2</w:t>
      </w:r>
      <w:r w:rsidRPr="00FD6E3F">
        <w:rPr>
          <w:szCs w:val="22"/>
          <w:lang w:val="ru-RU"/>
        </w:rPr>
        <w:tab/>
      </w:r>
      <w:r w:rsidR="00224E50" w:rsidRPr="00FD6E3F">
        <w:rPr>
          <w:szCs w:val="22"/>
          <w:lang w:val="ru-RU"/>
        </w:rPr>
        <w:t>В пп.</w:t>
      </w:r>
      <w:r w:rsidRPr="00FD6E3F">
        <w:rPr>
          <w:szCs w:val="22"/>
          <w:lang w:val="ru-RU"/>
        </w:rPr>
        <w:t> </w:t>
      </w:r>
      <w:r w:rsidR="00224E50" w:rsidRPr="00FD6E3F">
        <w:rPr>
          <w:szCs w:val="22"/>
          <w:lang w:val="ru-RU"/>
        </w:rPr>
        <w:t>К</w:t>
      </w:r>
      <w:r w:rsidRPr="00FD6E3F">
        <w:rPr>
          <w:szCs w:val="22"/>
          <w:lang w:val="ru-RU"/>
        </w:rPr>
        <w:t xml:space="preserve"> 240</w:t>
      </w:r>
      <w:r w:rsidR="009A2443" w:rsidRPr="00FD6E3F">
        <w:rPr>
          <w:szCs w:val="22"/>
          <w:lang w:val="ru-RU"/>
        </w:rPr>
        <w:t xml:space="preserve"> и </w:t>
      </w:r>
      <w:r w:rsidRPr="00FD6E3F">
        <w:rPr>
          <w:szCs w:val="22"/>
          <w:lang w:val="ru-RU"/>
        </w:rPr>
        <w:t xml:space="preserve">241 </w:t>
      </w:r>
      <w:r w:rsidR="009A2443" w:rsidRPr="00FD6E3F">
        <w:rPr>
          <w:szCs w:val="22"/>
          <w:lang w:val="ru-RU"/>
        </w:rPr>
        <w:t>Совет</w:t>
      </w:r>
      <w:r w:rsidR="00224E50" w:rsidRPr="00FD6E3F">
        <w:rPr>
          <w:szCs w:val="22"/>
          <w:lang w:val="ru-RU"/>
        </w:rPr>
        <w:t>у поручается определить более подробные критерии и процедуры отказа от членства и исключения из членов</w:t>
      </w:r>
      <w:r w:rsidRPr="00FD6E3F">
        <w:rPr>
          <w:szCs w:val="22"/>
          <w:lang w:val="ru-RU"/>
        </w:rPr>
        <w:t xml:space="preserve">. </w:t>
      </w:r>
      <w:r w:rsidR="00224E50" w:rsidRPr="00FD6E3F">
        <w:rPr>
          <w:szCs w:val="22"/>
          <w:lang w:val="ru-RU"/>
        </w:rPr>
        <w:t xml:space="preserve">Эти </w:t>
      </w:r>
      <w:r w:rsidR="009A2443" w:rsidRPr="00FD6E3F">
        <w:rPr>
          <w:szCs w:val="22"/>
          <w:lang w:val="ru-RU"/>
        </w:rPr>
        <w:t>положения</w:t>
      </w:r>
      <w:r w:rsidRPr="00FD6E3F">
        <w:rPr>
          <w:szCs w:val="22"/>
          <w:lang w:val="ru-RU"/>
        </w:rPr>
        <w:t xml:space="preserve"> </w:t>
      </w:r>
      <w:r w:rsidR="00224E50" w:rsidRPr="00FD6E3F">
        <w:rPr>
          <w:szCs w:val="22"/>
          <w:lang w:val="ru-RU"/>
        </w:rPr>
        <w:t xml:space="preserve">были приняты </w:t>
      </w:r>
      <w:r w:rsidR="009A2443" w:rsidRPr="00FD6E3F">
        <w:rPr>
          <w:szCs w:val="22"/>
          <w:lang w:val="ru-RU"/>
        </w:rPr>
        <w:t>Совет</w:t>
      </w:r>
      <w:r w:rsidR="00224E50" w:rsidRPr="00FD6E3F">
        <w:rPr>
          <w:szCs w:val="22"/>
          <w:lang w:val="ru-RU"/>
        </w:rPr>
        <w:t>ом</w:t>
      </w:r>
      <w:r w:rsidRPr="00FD6E3F">
        <w:rPr>
          <w:szCs w:val="22"/>
          <w:lang w:val="ru-RU"/>
        </w:rPr>
        <w:t xml:space="preserve"> </w:t>
      </w:r>
      <w:r w:rsidR="00224E50" w:rsidRPr="00FD6E3F">
        <w:rPr>
          <w:szCs w:val="22"/>
          <w:lang w:val="ru-RU"/>
        </w:rPr>
        <w:t>в</w:t>
      </w:r>
      <w:r w:rsidR="00632D2C" w:rsidRPr="00FD6E3F">
        <w:rPr>
          <w:szCs w:val="22"/>
          <w:lang w:val="ru-RU"/>
        </w:rPr>
        <w:t xml:space="preserve"> </w:t>
      </w:r>
      <w:r w:rsidRPr="00FD6E3F">
        <w:rPr>
          <w:szCs w:val="22"/>
          <w:lang w:val="ru-RU"/>
        </w:rPr>
        <w:t>1993</w:t>
      </w:r>
      <w:r w:rsidR="00224E50" w:rsidRPr="00FD6E3F">
        <w:rPr>
          <w:szCs w:val="22"/>
          <w:lang w:val="ru-RU"/>
        </w:rPr>
        <w:t xml:space="preserve"> году</w:t>
      </w:r>
      <w:r w:rsidRPr="00FD6E3F">
        <w:rPr>
          <w:szCs w:val="22"/>
          <w:lang w:val="ru-RU"/>
        </w:rPr>
        <w:t xml:space="preserve"> (</w:t>
      </w:r>
      <w:r w:rsidR="00224E50" w:rsidRPr="00FD6E3F">
        <w:rPr>
          <w:szCs w:val="22"/>
          <w:lang w:val="ru-RU"/>
        </w:rPr>
        <w:t>Док</w:t>
      </w:r>
      <w:r w:rsidRPr="00FD6E3F">
        <w:rPr>
          <w:szCs w:val="22"/>
          <w:lang w:val="ru-RU"/>
        </w:rPr>
        <w:t>. C93/49).</w:t>
      </w:r>
    </w:p>
    <w:p w:rsidR="007A7CC5" w:rsidRPr="00FD6E3F" w:rsidRDefault="007A7CC5" w:rsidP="002A4122">
      <w:pPr>
        <w:pStyle w:val="Heading1"/>
        <w:rPr>
          <w:lang w:val="ru-RU"/>
        </w:rPr>
      </w:pPr>
      <w:r w:rsidRPr="00FD6E3F">
        <w:rPr>
          <w:lang w:val="ru-RU"/>
        </w:rPr>
        <w:t>5</w:t>
      </w:r>
      <w:r w:rsidRPr="00FD6E3F">
        <w:rPr>
          <w:lang w:val="ru-RU"/>
        </w:rPr>
        <w:tab/>
      </w:r>
      <w:r w:rsidR="009A2443" w:rsidRPr="00FD6E3F">
        <w:rPr>
          <w:lang w:val="ru-RU"/>
        </w:rPr>
        <w:t xml:space="preserve">Членские </w:t>
      </w:r>
      <w:r w:rsidR="007A0C52" w:rsidRPr="00FD6E3F">
        <w:rPr>
          <w:lang w:val="ru-RU"/>
        </w:rPr>
        <w:t>сборы</w:t>
      </w:r>
    </w:p>
    <w:p w:rsidR="007A7CC5" w:rsidRPr="00FD6E3F" w:rsidRDefault="007A7CC5" w:rsidP="002E0DB1">
      <w:pPr>
        <w:spacing w:after="120"/>
        <w:rPr>
          <w:szCs w:val="22"/>
          <w:lang w:val="ru-RU"/>
        </w:rPr>
      </w:pPr>
      <w:r w:rsidRPr="00FD6E3F">
        <w:rPr>
          <w:szCs w:val="22"/>
          <w:lang w:val="ru-RU"/>
        </w:rPr>
        <w:t>5.1</w:t>
      </w:r>
      <w:r w:rsidRPr="00FD6E3F">
        <w:rPr>
          <w:szCs w:val="22"/>
          <w:lang w:val="ru-RU"/>
        </w:rPr>
        <w:tab/>
      </w:r>
      <w:r w:rsidR="00224E50" w:rsidRPr="00FD6E3F">
        <w:rPr>
          <w:szCs w:val="22"/>
          <w:lang w:val="ru-RU"/>
        </w:rPr>
        <w:t xml:space="preserve">В </w:t>
      </w:r>
      <w:r w:rsidR="00C66E4E" w:rsidRPr="00FD6E3F">
        <w:rPr>
          <w:szCs w:val="22"/>
          <w:lang w:val="ru-RU"/>
        </w:rPr>
        <w:t>Статье</w:t>
      </w:r>
      <w:r w:rsidRPr="00FD6E3F">
        <w:rPr>
          <w:szCs w:val="22"/>
          <w:lang w:val="ru-RU"/>
        </w:rPr>
        <w:t xml:space="preserve"> 28 </w:t>
      </w:r>
      <w:r w:rsidR="005571D3" w:rsidRPr="00FD6E3F">
        <w:rPr>
          <w:szCs w:val="22"/>
          <w:lang w:val="ru-RU"/>
        </w:rPr>
        <w:t>Конвенции</w:t>
      </w:r>
      <w:r w:rsidRPr="00FD6E3F">
        <w:rPr>
          <w:szCs w:val="22"/>
          <w:lang w:val="ru-RU"/>
        </w:rPr>
        <w:t xml:space="preserve"> (</w:t>
      </w:r>
      <w:r w:rsidR="00224E50" w:rsidRPr="00FD6E3F">
        <w:rPr>
          <w:szCs w:val="22"/>
          <w:lang w:val="ru-RU"/>
        </w:rPr>
        <w:t>К</w:t>
      </w:r>
      <w:r w:rsidRPr="00FD6E3F">
        <w:rPr>
          <w:szCs w:val="22"/>
          <w:lang w:val="ru-RU"/>
        </w:rPr>
        <w:t xml:space="preserve">159) </w:t>
      </w:r>
      <w:r w:rsidR="00224E50" w:rsidRPr="00FD6E3F">
        <w:rPr>
          <w:szCs w:val="22"/>
          <w:lang w:val="ru-RU"/>
        </w:rPr>
        <w:t>установлено, что расходы Союза</w:t>
      </w:r>
      <w:r w:rsidR="0069409D" w:rsidRPr="00FD6E3F">
        <w:rPr>
          <w:szCs w:val="22"/>
          <w:lang w:val="ru-RU"/>
        </w:rPr>
        <w:t>,</w:t>
      </w:r>
      <w:r w:rsidR="00224E50" w:rsidRPr="00FD6E3F">
        <w:rPr>
          <w:szCs w:val="22"/>
          <w:lang w:val="ru-RU"/>
        </w:rPr>
        <w:t xml:space="preserve"> </w:t>
      </w:r>
      <w:r w:rsidR="0069409D" w:rsidRPr="00FD6E3F">
        <w:rPr>
          <w:szCs w:val="22"/>
          <w:lang w:val="ru-RU"/>
        </w:rPr>
        <w:t xml:space="preserve">среди прочих источников, </w:t>
      </w:r>
      <w:r w:rsidR="00224E50" w:rsidRPr="00FD6E3F">
        <w:rPr>
          <w:szCs w:val="22"/>
          <w:lang w:val="ru-RU"/>
        </w:rPr>
        <w:t xml:space="preserve">должны покрываться за счет взносов </w:t>
      </w:r>
      <w:r w:rsidR="005966C0" w:rsidRPr="00FD6E3F">
        <w:rPr>
          <w:szCs w:val="22"/>
          <w:lang w:val="ru-RU"/>
        </w:rPr>
        <w:t>Государств-Член</w:t>
      </w:r>
      <w:r w:rsidR="00224E50" w:rsidRPr="00FD6E3F">
        <w:rPr>
          <w:szCs w:val="22"/>
          <w:lang w:val="ru-RU"/>
        </w:rPr>
        <w:t>ов</w:t>
      </w:r>
      <w:r w:rsidR="009A2443" w:rsidRPr="00FD6E3F">
        <w:rPr>
          <w:szCs w:val="22"/>
          <w:lang w:val="ru-RU"/>
        </w:rPr>
        <w:t xml:space="preserve"> и </w:t>
      </w:r>
      <w:r w:rsidR="005966C0" w:rsidRPr="00FD6E3F">
        <w:rPr>
          <w:szCs w:val="22"/>
          <w:lang w:val="ru-RU"/>
        </w:rPr>
        <w:t>Член</w:t>
      </w:r>
      <w:r w:rsidR="00632D2C" w:rsidRPr="00FD6E3F">
        <w:rPr>
          <w:szCs w:val="22"/>
          <w:lang w:val="ru-RU"/>
        </w:rPr>
        <w:t>о</w:t>
      </w:r>
      <w:r w:rsidR="00224E50" w:rsidRPr="00FD6E3F">
        <w:rPr>
          <w:szCs w:val="22"/>
          <w:lang w:val="ru-RU"/>
        </w:rPr>
        <w:t>в</w:t>
      </w:r>
      <w:r w:rsidR="005966C0" w:rsidRPr="00FD6E3F">
        <w:rPr>
          <w:szCs w:val="22"/>
          <w:lang w:val="ru-RU"/>
        </w:rPr>
        <w:t xml:space="preserve"> Секторов</w:t>
      </w:r>
      <w:r w:rsidRPr="00FD6E3F">
        <w:rPr>
          <w:szCs w:val="22"/>
          <w:lang w:val="ru-RU"/>
        </w:rPr>
        <w:t xml:space="preserve">. </w:t>
      </w:r>
    </w:p>
    <w:p w:rsidR="007A7CC5" w:rsidRPr="00FD6E3F" w:rsidRDefault="007A7CC5" w:rsidP="002E0DB1">
      <w:pPr>
        <w:spacing w:after="120"/>
        <w:rPr>
          <w:szCs w:val="22"/>
          <w:lang w:val="ru-RU"/>
        </w:rPr>
      </w:pPr>
      <w:r w:rsidRPr="00FD6E3F">
        <w:rPr>
          <w:rFonts w:cstheme="minorHAnsi"/>
          <w:szCs w:val="22"/>
          <w:lang w:val="ru-RU"/>
        </w:rPr>
        <w:t>5.2</w:t>
      </w:r>
      <w:r w:rsidRPr="00FD6E3F">
        <w:rPr>
          <w:rFonts w:cstheme="minorHAnsi"/>
          <w:szCs w:val="22"/>
          <w:lang w:val="ru-RU"/>
        </w:rPr>
        <w:tab/>
      </w:r>
      <w:r w:rsidR="005966C0" w:rsidRPr="00FD6E3F">
        <w:rPr>
          <w:rFonts w:cstheme="minorHAnsi"/>
          <w:szCs w:val="22"/>
          <w:lang w:val="ru-RU"/>
        </w:rPr>
        <w:t>Член</w:t>
      </w:r>
      <w:r w:rsidR="007A0C52" w:rsidRPr="00FD6E3F">
        <w:rPr>
          <w:rFonts w:cstheme="minorHAnsi"/>
          <w:szCs w:val="22"/>
          <w:lang w:val="ru-RU"/>
        </w:rPr>
        <w:t>ские сборы</w:t>
      </w:r>
      <w:r w:rsidR="005966C0" w:rsidRPr="00FD6E3F">
        <w:rPr>
          <w:rFonts w:cstheme="minorHAnsi"/>
          <w:szCs w:val="22"/>
          <w:lang w:val="ru-RU"/>
        </w:rPr>
        <w:t xml:space="preserve"> Секторов</w:t>
      </w:r>
      <w:r w:rsidR="00224E50" w:rsidRPr="00FD6E3F">
        <w:rPr>
          <w:rFonts w:cstheme="minorHAnsi"/>
          <w:szCs w:val="22"/>
          <w:lang w:val="ru-RU"/>
        </w:rPr>
        <w:t xml:space="preserve"> рассчитываются в зависимости от </w:t>
      </w:r>
      <w:r w:rsidR="009A2443" w:rsidRPr="00FD6E3F">
        <w:rPr>
          <w:rFonts w:cstheme="minorHAnsi"/>
          <w:szCs w:val="22"/>
          <w:lang w:val="ru-RU"/>
        </w:rPr>
        <w:t>Сектор</w:t>
      </w:r>
      <w:r w:rsidR="00224E50" w:rsidRPr="00FD6E3F">
        <w:rPr>
          <w:rFonts w:cstheme="minorHAnsi"/>
          <w:szCs w:val="22"/>
          <w:lang w:val="ru-RU"/>
        </w:rPr>
        <w:t xml:space="preserve">а, на основе структуры единицы взносов. </w:t>
      </w:r>
      <w:r w:rsidR="007A0C52" w:rsidRPr="00FD6E3F">
        <w:rPr>
          <w:rFonts w:cstheme="minorHAnsi"/>
          <w:szCs w:val="22"/>
          <w:lang w:val="ru-RU"/>
        </w:rPr>
        <w:t>Сборы из</w:t>
      </w:r>
      <w:r w:rsidR="00224E50" w:rsidRPr="00FD6E3F">
        <w:rPr>
          <w:rFonts w:cstheme="minorHAnsi"/>
          <w:szCs w:val="22"/>
          <w:lang w:val="ru-RU"/>
        </w:rPr>
        <w:t xml:space="preserve">меняются в зависимости от выбранного </w:t>
      </w:r>
      <w:r w:rsidR="009A2443" w:rsidRPr="00FD6E3F">
        <w:rPr>
          <w:rFonts w:cstheme="minorHAnsi"/>
          <w:szCs w:val="22"/>
          <w:lang w:val="ru-RU"/>
        </w:rPr>
        <w:t>Сектор</w:t>
      </w:r>
      <w:r w:rsidR="00224E50" w:rsidRPr="00FD6E3F">
        <w:rPr>
          <w:rFonts w:cstheme="minorHAnsi"/>
          <w:szCs w:val="22"/>
          <w:lang w:val="ru-RU"/>
        </w:rPr>
        <w:t>а и мест</w:t>
      </w:r>
      <w:r w:rsidR="002E6FA7" w:rsidRPr="00FD6E3F">
        <w:rPr>
          <w:rFonts w:cstheme="minorHAnsi"/>
          <w:szCs w:val="22"/>
          <w:lang w:val="ru-RU"/>
        </w:rPr>
        <w:t xml:space="preserve">онахождения </w:t>
      </w:r>
      <w:r w:rsidR="00224E50" w:rsidRPr="00FD6E3F">
        <w:rPr>
          <w:rFonts w:cstheme="minorHAnsi"/>
          <w:szCs w:val="22"/>
          <w:lang w:val="ru-RU"/>
        </w:rPr>
        <w:t xml:space="preserve">запрашивающего </w:t>
      </w:r>
      <w:r w:rsidR="009A2443" w:rsidRPr="00FD6E3F">
        <w:rPr>
          <w:rFonts w:cstheme="minorHAnsi"/>
          <w:szCs w:val="22"/>
          <w:lang w:val="ru-RU"/>
        </w:rPr>
        <w:t>объединени</w:t>
      </w:r>
      <w:r w:rsidR="00224E50" w:rsidRPr="00FD6E3F">
        <w:rPr>
          <w:rFonts w:cstheme="minorHAnsi"/>
          <w:szCs w:val="22"/>
          <w:lang w:val="ru-RU"/>
        </w:rPr>
        <w:t>я</w:t>
      </w:r>
      <w:r w:rsidRPr="00FD6E3F">
        <w:rPr>
          <w:rFonts w:cstheme="minorHAnsi"/>
          <w:szCs w:val="22"/>
          <w:lang w:val="ru-RU"/>
        </w:rPr>
        <w:t xml:space="preserve">. </w:t>
      </w:r>
      <w:r w:rsidR="00224E50" w:rsidRPr="00FD6E3F">
        <w:rPr>
          <w:rFonts w:cstheme="minorHAnsi"/>
          <w:szCs w:val="22"/>
          <w:lang w:val="ru-RU"/>
        </w:rPr>
        <w:t>Подробная информация, касающаяся процесса выбора класса взноса</w:t>
      </w:r>
      <w:r w:rsidR="002E6FA7" w:rsidRPr="00FD6E3F">
        <w:rPr>
          <w:rFonts w:cstheme="minorHAnsi"/>
          <w:szCs w:val="22"/>
          <w:lang w:val="ru-RU"/>
        </w:rPr>
        <w:t>,</w:t>
      </w:r>
      <w:r w:rsidR="00224E50" w:rsidRPr="00FD6E3F">
        <w:rPr>
          <w:rFonts w:cstheme="minorHAnsi"/>
          <w:szCs w:val="22"/>
          <w:lang w:val="ru-RU"/>
        </w:rPr>
        <w:t xml:space="preserve"> изложена в пп. </w:t>
      </w:r>
      <w:r w:rsidRPr="00FD6E3F">
        <w:rPr>
          <w:rFonts w:cstheme="minorHAnsi"/>
          <w:szCs w:val="22"/>
          <w:lang w:val="ru-RU"/>
        </w:rPr>
        <w:t>161H</w:t>
      </w:r>
      <w:r w:rsidR="00224E50" w:rsidRPr="00FD6E3F">
        <w:rPr>
          <w:rFonts w:cstheme="minorHAnsi"/>
          <w:szCs w:val="22"/>
          <w:lang w:val="ru-RU"/>
        </w:rPr>
        <w:t>–</w:t>
      </w:r>
      <w:r w:rsidRPr="00FD6E3F">
        <w:rPr>
          <w:rFonts w:cstheme="minorHAnsi"/>
          <w:szCs w:val="22"/>
          <w:lang w:val="ru-RU"/>
        </w:rPr>
        <w:t>168</w:t>
      </w:r>
      <w:r w:rsidR="00224E50" w:rsidRPr="00FD6E3F">
        <w:rPr>
          <w:rFonts w:cstheme="minorHAnsi"/>
          <w:szCs w:val="22"/>
          <w:lang w:val="ru-RU"/>
        </w:rPr>
        <w:t xml:space="preserve"> Устава</w:t>
      </w:r>
      <w:r w:rsidRPr="00FD6E3F">
        <w:rPr>
          <w:rFonts w:cstheme="minorHAnsi"/>
          <w:szCs w:val="22"/>
          <w:lang w:val="ru-RU"/>
        </w:rPr>
        <w:t>.</w:t>
      </w:r>
      <w:r w:rsidRPr="00FD6E3F">
        <w:rPr>
          <w:szCs w:val="22"/>
          <w:lang w:val="ru-RU"/>
        </w:rPr>
        <w:t xml:space="preserve"> </w:t>
      </w:r>
      <w:r w:rsidR="00224E50" w:rsidRPr="00FD6E3F">
        <w:rPr>
          <w:szCs w:val="22"/>
          <w:lang w:val="ru-RU"/>
        </w:rPr>
        <w:t xml:space="preserve">В </w:t>
      </w:r>
      <w:r w:rsidR="009A2443" w:rsidRPr="00FD6E3F">
        <w:rPr>
          <w:szCs w:val="22"/>
          <w:lang w:val="ru-RU"/>
        </w:rPr>
        <w:t>Резолюци</w:t>
      </w:r>
      <w:r w:rsidR="00224E50" w:rsidRPr="00FD6E3F">
        <w:rPr>
          <w:szCs w:val="22"/>
          <w:lang w:val="ru-RU"/>
        </w:rPr>
        <w:t>и</w:t>
      </w:r>
      <w:r w:rsidRPr="00FD6E3F">
        <w:rPr>
          <w:szCs w:val="22"/>
          <w:lang w:val="ru-RU"/>
        </w:rPr>
        <w:t xml:space="preserve"> 152 (</w:t>
      </w:r>
      <w:r w:rsidR="002E0DB1">
        <w:rPr>
          <w:szCs w:val="22"/>
          <w:lang w:val="ru-RU"/>
        </w:rPr>
        <w:t xml:space="preserve">Пересм. </w:t>
      </w:r>
      <w:r w:rsidR="009A2443" w:rsidRPr="00FD6E3F">
        <w:rPr>
          <w:szCs w:val="22"/>
          <w:lang w:val="ru-RU"/>
        </w:rPr>
        <w:t>Гвадалахара</w:t>
      </w:r>
      <w:r w:rsidRPr="00FD6E3F">
        <w:rPr>
          <w:szCs w:val="22"/>
          <w:lang w:val="ru-RU"/>
        </w:rPr>
        <w:t>, 2010</w:t>
      </w:r>
      <w:r w:rsidR="002E0DB1">
        <w:rPr>
          <w:szCs w:val="22"/>
          <w:lang w:val="ru-RU"/>
        </w:rPr>
        <w:t xml:space="preserve"> г.</w:t>
      </w:r>
      <w:r w:rsidRPr="00FD6E3F">
        <w:rPr>
          <w:szCs w:val="22"/>
          <w:lang w:val="ru-RU"/>
        </w:rPr>
        <w:t xml:space="preserve">) </w:t>
      </w:r>
      <w:r w:rsidR="00224E50" w:rsidRPr="00FD6E3F">
        <w:rPr>
          <w:szCs w:val="22"/>
          <w:lang w:val="ru-RU"/>
        </w:rPr>
        <w:t xml:space="preserve">введены </w:t>
      </w:r>
      <w:r w:rsidR="009A2443" w:rsidRPr="00FD6E3F">
        <w:rPr>
          <w:szCs w:val="22"/>
          <w:lang w:val="ru-RU"/>
        </w:rPr>
        <w:t>положения</w:t>
      </w:r>
      <w:r w:rsidR="00224E50" w:rsidRPr="00FD6E3F">
        <w:rPr>
          <w:szCs w:val="22"/>
          <w:lang w:val="ru-RU"/>
        </w:rPr>
        <w:t xml:space="preserve"> с целью </w:t>
      </w:r>
      <w:r w:rsidR="00224E50" w:rsidRPr="00FD6E3F">
        <w:rPr>
          <w:iCs/>
          <w:szCs w:val="18"/>
          <w:lang w:val="ru-RU"/>
        </w:rPr>
        <w:t xml:space="preserve">повышения эффективности управления </w:t>
      </w:r>
      <w:r w:rsidR="007A0C52" w:rsidRPr="00FD6E3F">
        <w:rPr>
          <w:iCs/>
          <w:szCs w:val="18"/>
          <w:lang w:val="ru-RU"/>
        </w:rPr>
        <w:t>взиманием сборов</w:t>
      </w:r>
      <w:r w:rsidR="00224E50" w:rsidRPr="00FD6E3F">
        <w:rPr>
          <w:iCs/>
          <w:szCs w:val="18"/>
          <w:lang w:val="ru-RU"/>
        </w:rPr>
        <w:t xml:space="preserve"> Член</w:t>
      </w:r>
      <w:r w:rsidR="002E6FA7" w:rsidRPr="00FD6E3F">
        <w:rPr>
          <w:iCs/>
          <w:szCs w:val="18"/>
          <w:lang w:val="ru-RU"/>
        </w:rPr>
        <w:t>ов</w:t>
      </w:r>
      <w:r w:rsidR="00224E50" w:rsidRPr="00FD6E3F">
        <w:rPr>
          <w:iCs/>
          <w:szCs w:val="18"/>
          <w:lang w:val="ru-RU"/>
        </w:rPr>
        <w:t xml:space="preserve"> Секторов и Ассоциированны</w:t>
      </w:r>
      <w:r w:rsidR="002E6FA7" w:rsidRPr="00FD6E3F">
        <w:rPr>
          <w:iCs/>
          <w:szCs w:val="18"/>
          <w:lang w:val="ru-RU"/>
        </w:rPr>
        <w:t>х</w:t>
      </w:r>
      <w:r w:rsidR="00224E50" w:rsidRPr="00FD6E3F">
        <w:rPr>
          <w:iCs/>
          <w:szCs w:val="18"/>
          <w:lang w:val="ru-RU"/>
        </w:rPr>
        <w:t xml:space="preserve"> член</w:t>
      </w:r>
      <w:r w:rsidR="002E6FA7" w:rsidRPr="00FD6E3F">
        <w:rPr>
          <w:iCs/>
          <w:szCs w:val="18"/>
          <w:lang w:val="ru-RU"/>
        </w:rPr>
        <w:t>ов</w:t>
      </w:r>
      <w:r w:rsidR="00224E50" w:rsidRPr="00FD6E3F">
        <w:rPr>
          <w:iCs/>
          <w:szCs w:val="18"/>
          <w:lang w:val="ru-RU"/>
        </w:rPr>
        <w:t xml:space="preserve"> и контроля за ним</w:t>
      </w:r>
      <w:r w:rsidRPr="00FD6E3F">
        <w:rPr>
          <w:szCs w:val="22"/>
          <w:lang w:val="ru-RU"/>
        </w:rPr>
        <w:t>.</w:t>
      </w:r>
    </w:p>
    <w:p w:rsidR="007A7CC5" w:rsidRPr="00FD6E3F" w:rsidRDefault="007A7CC5" w:rsidP="002E0DB1">
      <w:pPr>
        <w:spacing w:after="120"/>
        <w:rPr>
          <w:rFonts w:eastAsiaTheme="minorEastAsia"/>
          <w:szCs w:val="24"/>
          <w:lang w:val="ru-RU" w:eastAsia="zh-CN"/>
        </w:rPr>
      </w:pPr>
      <w:r w:rsidRPr="00FD6E3F">
        <w:rPr>
          <w:rFonts w:cstheme="minorHAnsi"/>
          <w:szCs w:val="24"/>
          <w:lang w:val="ru-RU"/>
        </w:rPr>
        <w:t>5.3</w:t>
      </w:r>
      <w:r w:rsidRPr="00FD6E3F">
        <w:rPr>
          <w:rFonts w:cstheme="minorHAnsi"/>
          <w:szCs w:val="24"/>
          <w:lang w:val="ru-RU"/>
        </w:rPr>
        <w:tab/>
      </w:r>
      <w:r w:rsidR="00224E50" w:rsidRPr="00FD6E3F">
        <w:rPr>
          <w:rFonts w:cstheme="minorHAnsi"/>
          <w:szCs w:val="24"/>
          <w:lang w:val="ru-RU"/>
        </w:rPr>
        <w:t xml:space="preserve">Единица взносов для </w:t>
      </w:r>
      <w:r w:rsidR="005966C0" w:rsidRPr="00FD6E3F">
        <w:rPr>
          <w:rFonts w:cstheme="minorHAnsi"/>
          <w:szCs w:val="24"/>
          <w:lang w:val="ru-RU"/>
        </w:rPr>
        <w:t>Член</w:t>
      </w:r>
      <w:r w:rsidR="00224E50" w:rsidRPr="00FD6E3F">
        <w:rPr>
          <w:rFonts w:cstheme="minorHAnsi"/>
          <w:szCs w:val="24"/>
          <w:lang w:val="ru-RU"/>
        </w:rPr>
        <w:t>ов</w:t>
      </w:r>
      <w:r w:rsidR="005966C0" w:rsidRPr="00FD6E3F">
        <w:rPr>
          <w:rFonts w:cstheme="minorHAnsi"/>
          <w:szCs w:val="24"/>
          <w:lang w:val="ru-RU"/>
        </w:rPr>
        <w:t xml:space="preserve"> Секторов</w:t>
      </w:r>
      <w:r w:rsidRPr="00FD6E3F">
        <w:rPr>
          <w:rFonts w:cstheme="minorHAnsi"/>
          <w:szCs w:val="24"/>
          <w:lang w:val="ru-RU"/>
        </w:rPr>
        <w:t xml:space="preserve"> </w:t>
      </w:r>
      <w:r w:rsidR="00224E50" w:rsidRPr="00FD6E3F">
        <w:rPr>
          <w:rFonts w:cstheme="minorHAnsi"/>
          <w:szCs w:val="24"/>
          <w:lang w:val="ru-RU"/>
        </w:rPr>
        <w:t xml:space="preserve">составляет </w:t>
      </w:r>
      <w:r w:rsidRPr="00FD6E3F">
        <w:rPr>
          <w:rFonts w:cstheme="minorHAnsi"/>
          <w:szCs w:val="24"/>
          <w:lang w:val="ru-RU"/>
        </w:rPr>
        <w:t>1/5</w:t>
      </w:r>
      <w:r w:rsidR="00224E50" w:rsidRPr="00FD6E3F">
        <w:rPr>
          <w:rFonts w:cstheme="minorHAnsi"/>
          <w:szCs w:val="24"/>
          <w:lang w:val="ru-RU"/>
        </w:rPr>
        <w:t xml:space="preserve"> от единицы взносов </w:t>
      </w:r>
      <w:r w:rsidR="005966C0" w:rsidRPr="00FD6E3F">
        <w:rPr>
          <w:rFonts w:cstheme="minorHAnsi"/>
          <w:szCs w:val="24"/>
          <w:lang w:val="ru-RU"/>
        </w:rPr>
        <w:t>Государств-Член</w:t>
      </w:r>
      <w:r w:rsidR="00224E50" w:rsidRPr="00FD6E3F">
        <w:rPr>
          <w:rFonts w:cstheme="minorHAnsi"/>
          <w:szCs w:val="24"/>
          <w:lang w:val="ru-RU"/>
        </w:rPr>
        <w:t>ов</w:t>
      </w:r>
      <w:r w:rsidRPr="00FD6E3F">
        <w:rPr>
          <w:rFonts w:cstheme="minorHAnsi"/>
          <w:szCs w:val="24"/>
          <w:lang w:val="ru-RU"/>
        </w:rPr>
        <w:t xml:space="preserve">. </w:t>
      </w:r>
      <w:r w:rsidR="002A4122" w:rsidRPr="00FD6E3F">
        <w:rPr>
          <w:rFonts w:cstheme="minorHAnsi"/>
          <w:szCs w:val="24"/>
          <w:lang w:val="ru-RU"/>
        </w:rPr>
        <w:t>С </w:t>
      </w:r>
      <w:r w:rsidR="00224E50" w:rsidRPr="00FD6E3F">
        <w:rPr>
          <w:rFonts w:cstheme="minorHAnsi"/>
          <w:szCs w:val="24"/>
          <w:lang w:val="ru-RU"/>
        </w:rPr>
        <w:t xml:space="preserve">учетом того, что в настоящее время единица взносов </w:t>
      </w:r>
      <w:r w:rsidR="005966C0" w:rsidRPr="00FD6E3F">
        <w:rPr>
          <w:rFonts w:cstheme="minorHAnsi"/>
          <w:szCs w:val="24"/>
          <w:lang w:val="ru-RU"/>
        </w:rPr>
        <w:t>Государств-Член</w:t>
      </w:r>
      <w:r w:rsidR="002E6FA7" w:rsidRPr="00FD6E3F">
        <w:rPr>
          <w:rFonts w:cstheme="minorHAnsi"/>
          <w:szCs w:val="24"/>
          <w:lang w:val="ru-RU"/>
        </w:rPr>
        <w:t>ов</w:t>
      </w:r>
      <w:r w:rsidR="00224E50" w:rsidRPr="00FD6E3F">
        <w:rPr>
          <w:rFonts w:cstheme="minorHAnsi"/>
          <w:szCs w:val="24"/>
          <w:lang w:val="ru-RU"/>
        </w:rPr>
        <w:t xml:space="preserve"> установлена на уровне </w:t>
      </w:r>
      <w:r w:rsidRPr="00FD6E3F">
        <w:rPr>
          <w:rFonts w:cstheme="minorHAnsi"/>
          <w:szCs w:val="24"/>
          <w:lang w:val="ru-RU"/>
        </w:rPr>
        <w:t>318</w:t>
      </w:r>
      <w:r w:rsidR="002A4122" w:rsidRPr="00FD6E3F">
        <w:rPr>
          <w:rFonts w:cstheme="minorHAnsi"/>
          <w:szCs w:val="24"/>
          <w:lang w:val="ru-RU"/>
        </w:rPr>
        <w:t> </w:t>
      </w:r>
      <w:r w:rsidRPr="00FD6E3F">
        <w:rPr>
          <w:rFonts w:cstheme="minorHAnsi"/>
          <w:szCs w:val="24"/>
          <w:lang w:val="ru-RU"/>
        </w:rPr>
        <w:t>000</w:t>
      </w:r>
      <w:r w:rsidR="00224E50" w:rsidRPr="00FD6E3F">
        <w:rPr>
          <w:rFonts w:cstheme="minorHAnsi"/>
          <w:szCs w:val="24"/>
          <w:lang w:val="ru-RU"/>
        </w:rPr>
        <w:t xml:space="preserve"> швейцарских франков</w:t>
      </w:r>
      <w:r w:rsidRPr="00FD6E3F">
        <w:rPr>
          <w:rFonts w:cstheme="minorHAnsi"/>
          <w:szCs w:val="24"/>
          <w:lang w:val="ru-RU"/>
        </w:rPr>
        <w:t xml:space="preserve">, </w:t>
      </w:r>
      <w:r w:rsidR="00224E50" w:rsidRPr="00FD6E3F">
        <w:rPr>
          <w:rFonts w:cstheme="minorHAnsi"/>
          <w:szCs w:val="24"/>
          <w:lang w:val="ru-RU"/>
        </w:rPr>
        <w:t>соответствующ</w:t>
      </w:r>
      <w:r w:rsidR="002E6FA7" w:rsidRPr="00FD6E3F">
        <w:rPr>
          <w:rFonts w:cstheme="minorHAnsi"/>
          <w:szCs w:val="24"/>
          <w:lang w:val="ru-RU"/>
        </w:rPr>
        <w:t>ая</w:t>
      </w:r>
      <w:r w:rsidR="00224E50" w:rsidRPr="00FD6E3F">
        <w:rPr>
          <w:rFonts w:cstheme="minorHAnsi"/>
          <w:szCs w:val="24"/>
          <w:lang w:val="ru-RU"/>
        </w:rPr>
        <w:t xml:space="preserve"> </w:t>
      </w:r>
      <w:r w:rsidR="002E6FA7" w:rsidRPr="00FD6E3F">
        <w:rPr>
          <w:rFonts w:cstheme="minorHAnsi"/>
          <w:szCs w:val="24"/>
          <w:lang w:val="ru-RU"/>
        </w:rPr>
        <w:t xml:space="preserve">ставка </w:t>
      </w:r>
      <w:r w:rsidR="00224E50" w:rsidRPr="00FD6E3F">
        <w:rPr>
          <w:rFonts w:cstheme="minorHAnsi"/>
          <w:szCs w:val="24"/>
          <w:lang w:val="ru-RU"/>
        </w:rPr>
        <w:t xml:space="preserve">для </w:t>
      </w:r>
      <w:r w:rsidR="005966C0" w:rsidRPr="00FD6E3F">
        <w:rPr>
          <w:rFonts w:cstheme="minorHAnsi"/>
          <w:szCs w:val="24"/>
          <w:lang w:val="ru-RU"/>
        </w:rPr>
        <w:t>Член</w:t>
      </w:r>
      <w:r w:rsidR="002E6FA7" w:rsidRPr="00FD6E3F">
        <w:rPr>
          <w:rFonts w:cstheme="minorHAnsi"/>
          <w:szCs w:val="24"/>
          <w:lang w:val="ru-RU"/>
        </w:rPr>
        <w:t>ов</w:t>
      </w:r>
      <w:r w:rsidR="005966C0" w:rsidRPr="00FD6E3F">
        <w:rPr>
          <w:rFonts w:cstheme="minorHAnsi"/>
          <w:szCs w:val="24"/>
          <w:lang w:val="ru-RU"/>
        </w:rPr>
        <w:t xml:space="preserve"> Секторов</w:t>
      </w:r>
      <w:r w:rsidRPr="00FD6E3F">
        <w:rPr>
          <w:rFonts w:cstheme="minorHAnsi"/>
          <w:szCs w:val="24"/>
          <w:lang w:val="ru-RU"/>
        </w:rPr>
        <w:t xml:space="preserve"> </w:t>
      </w:r>
      <w:r w:rsidR="00224E50" w:rsidRPr="00FD6E3F">
        <w:rPr>
          <w:rFonts w:cstheme="minorHAnsi"/>
          <w:szCs w:val="24"/>
          <w:lang w:val="ru-RU"/>
        </w:rPr>
        <w:t xml:space="preserve">составляет </w:t>
      </w:r>
      <w:r w:rsidRPr="00FD6E3F">
        <w:rPr>
          <w:rFonts w:cstheme="minorHAnsi"/>
          <w:szCs w:val="24"/>
          <w:lang w:val="ru-RU"/>
        </w:rPr>
        <w:t>63</w:t>
      </w:r>
      <w:r w:rsidR="002A4122" w:rsidRPr="00FD6E3F">
        <w:rPr>
          <w:rFonts w:cstheme="minorHAnsi"/>
          <w:szCs w:val="24"/>
          <w:lang w:val="ru-RU"/>
        </w:rPr>
        <w:t> </w:t>
      </w:r>
      <w:r w:rsidRPr="00FD6E3F">
        <w:rPr>
          <w:rFonts w:cstheme="minorHAnsi"/>
          <w:szCs w:val="24"/>
          <w:lang w:val="ru-RU"/>
        </w:rPr>
        <w:t>600</w:t>
      </w:r>
      <w:r w:rsidR="002A4122" w:rsidRPr="00FD6E3F">
        <w:rPr>
          <w:rFonts w:cstheme="minorHAnsi"/>
          <w:szCs w:val="24"/>
          <w:lang w:val="ru-RU"/>
        </w:rPr>
        <w:t> </w:t>
      </w:r>
      <w:r w:rsidR="00224E50" w:rsidRPr="00FD6E3F">
        <w:rPr>
          <w:rFonts w:cstheme="minorHAnsi"/>
          <w:szCs w:val="24"/>
          <w:lang w:val="ru-RU"/>
        </w:rPr>
        <w:t>швейцарских франков</w:t>
      </w:r>
      <w:r w:rsidRPr="00FD6E3F">
        <w:rPr>
          <w:rFonts w:cstheme="minorHAnsi"/>
          <w:szCs w:val="24"/>
          <w:lang w:val="ru-RU"/>
        </w:rPr>
        <w:t xml:space="preserve"> (</w:t>
      </w:r>
      <w:r w:rsidR="00224E50" w:rsidRPr="00FD6E3F">
        <w:rPr>
          <w:rFonts w:cstheme="minorHAnsi"/>
          <w:szCs w:val="24"/>
          <w:lang w:val="ru-RU"/>
        </w:rPr>
        <w:t>К</w:t>
      </w:r>
      <w:r w:rsidRPr="00FD6E3F">
        <w:rPr>
          <w:rFonts w:cstheme="minorHAnsi"/>
          <w:szCs w:val="24"/>
          <w:lang w:val="ru-RU"/>
        </w:rPr>
        <w:t xml:space="preserve">480). </w:t>
      </w:r>
      <w:r w:rsidR="00224E50" w:rsidRPr="00FD6E3F">
        <w:rPr>
          <w:rFonts w:cstheme="minorHAnsi"/>
          <w:szCs w:val="24"/>
          <w:lang w:val="ru-RU"/>
        </w:rPr>
        <w:t>В К</w:t>
      </w:r>
      <w:r w:rsidRPr="00FD6E3F">
        <w:rPr>
          <w:rFonts w:cstheme="minorHAnsi"/>
          <w:szCs w:val="24"/>
          <w:lang w:val="ru-RU"/>
        </w:rPr>
        <w:t xml:space="preserve"> 468B </w:t>
      </w:r>
      <w:r w:rsidR="00224E50" w:rsidRPr="00FD6E3F">
        <w:rPr>
          <w:rFonts w:cstheme="minorHAnsi"/>
          <w:szCs w:val="24"/>
          <w:lang w:val="ru-RU"/>
        </w:rPr>
        <w:t>устан</w:t>
      </w:r>
      <w:r w:rsidR="002E6FA7" w:rsidRPr="00FD6E3F">
        <w:rPr>
          <w:rFonts w:cstheme="minorHAnsi"/>
          <w:szCs w:val="24"/>
          <w:lang w:val="ru-RU"/>
        </w:rPr>
        <w:t xml:space="preserve">овлен </w:t>
      </w:r>
      <w:r w:rsidR="00224E50" w:rsidRPr="00FD6E3F">
        <w:rPr>
          <w:rFonts w:cstheme="minorHAnsi"/>
          <w:szCs w:val="24"/>
          <w:lang w:val="ru-RU"/>
        </w:rPr>
        <w:t>минимальн</w:t>
      </w:r>
      <w:r w:rsidR="002C6A3F" w:rsidRPr="00FD6E3F">
        <w:rPr>
          <w:rFonts w:cstheme="minorHAnsi"/>
          <w:szCs w:val="24"/>
          <w:lang w:val="ru-RU"/>
        </w:rPr>
        <w:t xml:space="preserve">ый </w:t>
      </w:r>
      <w:r w:rsidR="007A0C52" w:rsidRPr="00FD6E3F">
        <w:rPr>
          <w:rFonts w:cstheme="minorHAnsi"/>
          <w:szCs w:val="24"/>
          <w:lang w:val="ru-RU"/>
        </w:rPr>
        <w:t xml:space="preserve">сбор </w:t>
      </w:r>
      <w:r w:rsidR="002C6A3F" w:rsidRPr="00FD6E3F">
        <w:rPr>
          <w:rFonts w:cstheme="minorHAnsi"/>
          <w:szCs w:val="24"/>
          <w:lang w:val="ru-RU"/>
        </w:rPr>
        <w:t>для Член</w:t>
      </w:r>
      <w:r w:rsidR="002E6FA7" w:rsidRPr="00FD6E3F">
        <w:rPr>
          <w:rFonts w:cstheme="minorHAnsi"/>
          <w:szCs w:val="24"/>
          <w:lang w:val="ru-RU"/>
        </w:rPr>
        <w:t>ов</w:t>
      </w:r>
      <w:r w:rsidR="002C6A3F" w:rsidRPr="00FD6E3F">
        <w:rPr>
          <w:rFonts w:cstheme="minorHAnsi"/>
          <w:szCs w:val="24"/>
          <w:lang w:val="ru-RU"/>
        </w:rPr>
        <w:t xml:space="preserve"> Секторов</w:t>
      </w:r>
      <w:r w:rsidRPr="00FD6E3F">
        <w:rPr>
          <w:rFonts w:cstheme="minorHAnsi"/>
          <w:szCs w:val="24"/>
          <w:lang w:val="ru-RU"/>
        </w:rPr>
        <w:t xml:space="preserve"> </w:t>
      </w:r>
      <w:r w:rsidR="009A2443" w:rsidRPr="00FD6E3F">
        <w:rPr>
          <w:rFonts w:cstheme="minorHAnsi"/>
          <w:szCs w:val="24"/>
          <w:lang w:val="ru-RU"/>
        </w:rPr>
        <w:t>МСЭ</w:t>
      </w:r>
      <w:r w:rsidRPr="00FD6E3F">
        <w:rPr>
          <w:rFonts w:cstheme="minorHAnsi"/>
          <w:szCs w:val="24"/>
          <w:lang w:val="ru-RU"/>
        </w:rPr>
        <w:t>-R</w:t>
      </w:r>
      <w:r w:rsidR="009A2443" w:rsidRPr="00FD6E3F">
        <w:rPr>
          <w:rFonts w:cstheme="minorHAnsi"/>
          <w:szCs w:val="24"/>
          <w:lang w:val="ru-RU"/>
        </w:rPr>
        <w:t xml:space="preserve"> и МСЭ</w:t>
      </w:r>
      <w:r w:rsidRPr="00FD6E3F">
        <w:rPr>
          <w:rFonts w:cstheme="minorHAnsi"/>
          <w:szCs w:val="24"/>
          <w:lang w:val="ru-RU"/>
        </w:rPr>
        <w:t xml:space="preserve">-T </w:t>
      </w:r>
      <w:r w:rsidR="002C6A3F" w:rsidRPr="00FD6E3F">
        <w:rPr>
          <w:rFonts w:cstheme="minorHAnsi"/>
          <w:szCs w:val="24"/>
          <w:lang w:val="ru-RU"/>
        </w:rPr>
        <w:t xml:space="preserve">в размере </w:t>
      </w:r>
      <w:r w:rsidRPr="00FD6E3F">
        <w:rPr>
          <w:rFonts w:cstheme="minorHAnsi"/>
          <w:szCs w:val="24"/>
          <w:lang w:val="ru-RU"/>
        </w:rPr>
        <w:t xml:space="preserve">1/2 </w:t>
      </w:r>
      <w:r w:rsidR="002C6A3F" w:rsidRPr="00FD6E3F">
        <w:rPr>
          <w:rFonts w:cstheme="minorHAnsi"/>
          <w:szCs w:val="24"/>
          <w:lang w:val="ru-RU"/>
        </w:rPr>
        <w:t>единицы</w:t>
      </w:r>
      <w:r w:rsidRPr="00FD6E3F">
        <w:rPr>
          <w:rFonts w:cstheme="minorHAnsi"/>
          <w:szCs w:val="24"/>
          <w:lang w:val="ru-RU"/>
        </w:rPr>
        <w:t xml:space="preserve">, </w:t>
      </w:r>
      <w:r w:rsidR="002C6A3F" w:rsidRPr="00FD6E3F">
        <w:rPr>
          <w:rFonts w:cstheme="minorHAnsi"/>
          <w:szCs w:val="24"/>
          <w:lang w:val="ru-RU"/>
        </w:rPr>
        <w:t xml:space="preserve">что в настоящее время соответствует </w:t>
      </w:r>
      <w:r w:rsidRPr="00FD6E3F">
        <w:rPr>
          <w:rFonts w:eastAsiaTheme="minorEastAsia"/>
          <w:szCs w:val="24"/>
          <w:lang w:val="ru-RU" w:eastAsia="zh-CN"/>
        </w:rPr>
        <w:t>31</w:t>
      </w:r>
      <w:r w:rsidR="00224E50" w:rsidRPr="00FD6E3F">
        <w:rPr>
          <w:rFonts w:eastAsiaTheme="minorEastAsia"/>
          <w:szCs w:val="24"/>
          <w:lang w:val="ru-RU" w:eastAsia="zh-CN"/>
        </w:rPr>
        <w:t xml:space="preserve"> </w:t>
      </w:r>
      <w:r w:rsidRPr="00FD6E3F">
        <w:rPr>
          <w:rFonts w:eastAsiaTheme="minorEastAsia"/>
          <w:szCs w:val="24"/>
          <w:lang w:val="ru-RU" w:eastAsia="zh-CN"/>
        </w:rPr>
        <w:t>800</w:t>
      </w:r>
      <w:r w:rsidR="00224E50" w:rsidRPr="00FD6E3F">
        <w:rPr>
          <w:rFonts w:cstheme="minorHAnsi"/>
          <w:szCs w:val="24"/>
          <w:lang w:val="ru-RU"/>
        </w:rPr>
        <w:t xml:space="preserve"> швейцарски</w:t>
      </w:r>
      <w:r w:rsidR="002C6A3F" w:rsidRPr="00FD6E3F">
        <w:rPr>
          <w:rFonts w:cstheme="minorHAnsi"/>
          <w:szCs w:val="24"/>
          <w:lang w:val="ru-RU"/>
        </w:rPr>
        <w:t>м</w:t>
      </w:r>
      <w:r w:rsidR="00224E50" w:rsidRPr="00FD6E3F">
        <w:rPr>
          <w:rFonts w:cstheme="minorHAnsi"/>
          <w:szCs w:val="24"/>
          <w:lang w:val="ru-RU"/>
        </w:rPr>
        <w:t xml:space="preserve"> франк</w:t>
      </w:r>
      <w:r w:rsidR="002C6A3F" w:rsidRPr="00FD6E3F">
        <w:rPr>
          <w:rFonts w:cstheme="minorHAnsi"/>
          <w:szCs w:val="24"/>
          <w:lang w:val="ru-RU"/>
        </w:rPr>
        <w:t>ам</w:t>
      </w:r>
      <w:r w:rsidRPr="00FD6E3F">
        <w:rPr>
          <w:rFonts w:eastAsiaTheme="minorEastAsia"/>
          <w:szCs w:val="24"/>
          <w:lang w:val="ru-RU" w:eastAsia="zh-CN"/>
        </w:rPr>
        <w:t xml:space="preserve">, </w:t>
      </w:r>
      <w:r w:rsidR="002C6A3F" w:rsidRPr="00FD6E3F">
        <w:rPr>
          <w:rFonts w:eastAsiaTheme="minorEastAsia"/>
          <w:szCs w:val="24"/>
          <w:lang w:val="ru-RU" w:eastAsia="zh-CN"/>
        </w:rPr>
        <w:t xml:space="preserve">хотя некоторые более крупные компании </w:t>
      </w:r>
      <w:r w:rsidR="002E6FA7" w:rsidRPr="00FD6E3F">
        <w:rPr>
          <w:rFonts w:eastAsiaTheme="minorEastAsia"/>
          <w:szCs w:val="24"/>
          <w:lang w:val="ru-RU" w:eastAsia="zh-CN"/>
        </w:rPr>
        <w:t xml:space="preserve">вносят </w:t>
      </w:r>
      <w:r w:rsidR="002C6A3F" w:rsidRPr="00FD6E3F">
        <w:rPr>
          <w:rFonts w:eastAsiaTheme="minorEastAsia"/>
          <w:szCs w:val="24"/>
          <w:lang w:val="ru-RU" w:eastAsia="zh-CN"/>
        </w:rPr>
        <w:t>плат</w:t>
      </w:r>
      <w:r w:rsidR="002E6FA7" w:rsidRPr="00FD6E3F">
        <w:rPr>
          <w:rFonts w:eastAsiaTheme="minorEastAsia"/>
          <w:szCs w:val="24"/>
          <w:lang w:val="ru-RU" w:eastAsia="zh-CN"/>
        </w:rPr>
        <w:t>у, превышающую</w:t>
      </w:r>
      <w:r w:rsidR="002C6A3F" w:rsidRPr="00FD6E3F">
        <w:rPr>
          <w:rFonts w:eastAsiaTheme="minorEastAsia"/>
          <w:szCs w:val="24"/>
          <w:lang w:val="ru-RU" w:eastAsia="zh-CN"/>
        </w:rPr>
        <w:t xml:space="preserve"> минимальный</w:t>
      </w:r>
      <w:r w:rsidR="007A0C52" w:rsidRPr="00FD6E3F">
        <w:rPr>
          <w:rFonts w:eastAsiaTheme="minorEastAsia"/>
          <w:szCs w:val="24"/>
          <w:lang w:val="ru-RU" w:eastAsia="zh-CN"/>
        </w:rPr>
        <w:t xml:space="preserve"> сбор</w:t>
      </w:r>
      <w:r w:rsidR="002C6A3F" w:rsidRPr="00FD6E3F">
        <w:rPr>
          <w:rFonts w:eastAsiaTheme="minorEastAsia"/>
          <w:szCs w:val="24"/>
          <w:lang w:val="ru-RU" w:eastAsia="zh-CN"/>
        </w:rPr>
        <w:t>.</w:t>
      </w:r>
      <w:r w:rsidRPr="00FD6E3F">
        <w:rPr>
          <w:rFonts w:eastAsiaTheme="minorEastAsia"/>
          <w:szCs w:val="24"/>
          <w:lang w:val="ru-RU" w:eastAsia="zh-CN"/>
        </w:rPr>
        <w:t xml:space="preserve"> </w:t>
      </w:r>
      <w:r w:rsidR="002C6A3F" w:rsidRPr="00FD6E3F">
        <w:rPr>
          <w:rFonts w:eastAsiaTheme="minorEastAsia"/>
          <w:szCs w:val="24"/>
          <w:lang w:val="ru-RU" w:eastAsia="zh-CN"/>
        </w:rPr>
        <w:t xml:space="preserve">Согласно </w:t>
      </w:r>
      <w:r w:rsidR="009A2443" w:rsidRPr="00FD6E3F">
        <w:rPr>
          <w:rFonts w:eastAsiaTheme="minorEastAsia"/>
          <w:szCs w:val="24"/>
          <w:lang w:val="ru-RU" w:eastAsia="zh-CN"/>
        </w:rPr>
        <w:t>Резолюци</w:t>
      </w:r>
      <w:r w:rsidR="002C6A3F" w:rsidRPr="00FD6E3F">
        <w:rPr>
          <w:rFonts w:eastAsiaTheme="minorEastAsia"/>
          <w:szCs w:val="24"/>
          <w:lang w:val="ru-RU" w:eastAsia="zh-CN"/>
        </w:rPr>
        <w:t>и</w:t>
      </w:r>
      <w:r w:rsidRPr="00FD6E3F">
        <w:rPr>
          <w:rFonts w:eastAsiaTheme="minorEastAsia"/>
          <w:szCs w:val="24"/>
          <w:lang w:val="ru-RU" w:eastAsia="zh-CN"/>
        </w:rPr>
        <w:t xml:space="preserve"> 170 (</w:t>
      </w:r>
      <w:r w:rsidR="009A2443" w:rsidRPr="00FD6E3F">
        <w:rPr>
          <w:rFonts w:eastAsiaTheme="minorEastAsia"/>
          <w:szCs w:val="24"/>
          <w:lang w:val="ru-RU" w:eastAsia="zh-CN"/>
        </w:rPr>
        <w:t>Гвадалахара, 2010 г.)</w:t>
      </w:r>
      <w:r w:rsidRPr="00FD6E3F">
        <w:rPr>
          <w:rFonts w:eastAsiaTheme="minorEastAsia"/>
          <w:szCs w:val="24"/>
          <w:lang w:val="ru-RU" w:eastAsia="zh-CN"/>
        </w:rPr>
        <w:t xml:space="preserve"> </w:t>
      </w:r>
      <w:r w:rsidR="009A2443" w:rsidRPr="00FD6E3F">
        <w:rPr>
          <w:rFonts w:eastAsiaTheme="minorEastAsia"/>
          <w:szCs w:val="24"/>
          <w:lang w:val="ru-RU" w:eastAsia="zh-CN"/>
        </w:rPr>
        <w:t>объединени</w:t>
      </w:r>
      <w:r w:rsidR="002C6A3F" w:rsidRPr="00FD6E3F">
        <w:rPr>
          <w:rFonts w:eastAsiaTheme="minorEastAsia"/>
          <w:szCs w:val="24"/>
          <w:lang w:val="ru-RU" w:eastAsia="zh-CN"/>
        </w:rPr>
        <w:t>я</w:t>
      </w:r>
      <w:r w:rsidRPr="00FD6E3F">
        <w:rPr>
          <w:rFonts w:eastAsiaTheme="minorEastAsia"/>
          <w:szCs w:val="24"/>
          <w:lang w:val="ru-RU" w:eastAsia="zh-CN"/>
        </w:rPr>
        <w:t xml:space="preserve"> </w:t>
      </w:r>
      <w:r w:rsidR="002C6A3F" w:rsidRPr="00FD6E3F">
        <w:rPr>
          <w:rFonts w:eastAsiaTheme="minorEastAsia"/>
          <w:szCs w:val="24"/>
          <w:lang w:val="ru-RU" w:eastAsia="zh-CN"/>
        </w:rPr>
        <w:t>из ст</w:t>
      </w:r>
      <w:r w:rsidR="002E6FA7" w:rsidRPr="00FD6E3F">
        <w:rPr>
          <w:rFonts w:eastAsiaTheme="minorEastAsia"/>
          <w:szCs w:val="24"/>
          <w:lang w:val="ru-RU" w:eastAsia="zh-CN"/>
        </w:rPr>
        <w:t>р</w:t>
      </w:r>
      <w:r w:rsidR="002C6A3F" w:rsidRPr="00FD6E3F">
        <w:rPr>
          <w:rFonts w:eastAsiaTheme="minorEastAsia"/>
          <w:szCs w:val="24"/>
          <w:lang w:val="ru-RU" w:eastAsia="zh-CN"/>
        </w:rPr>
        <w:t xml:space="preserve">ан с </w:t>
      </w:r>
      <w:r w:rsidR="002A4122" w:rsidRPr="00FD6E3F">
        <w:rPr>
          <w:rFonts w:eastAsiaTheme="minorEastAsia"/>
          <w:szCs w:val="24"/>
          <w:lang w:val="ru-RU" w:eastAsia="zh-CN"/>
        </w:rPr>
        <w:t>"</w:t>
      </w:r>
      <w:r w:rsidR="00A60175" w:rsidRPr="00FD6E3F">
        <w:rPr>
          <w:rFonts w:eastAsiaTheme="minorEastAsia"/>
          <w:szCs w:val="24"/>
          <w:lang w:val="ru-RU" w:eastAsia="zh-CN"/>
        </w:rPr>
        <w:t>низкими уровнями дохода</w:t>
      </w:r>
      <w:r w:rsidR="002A4122" w:rsidRPr="00FD6E3F">
        <w:rPr>
          <w:rFonts w:eastAsiaTheme="minorEastAsia"/>
          <w:szCs w:val="24"/>
          <w:lang w:val="ru-RU" w:eastAsia="zh-CN"/>
        </w:rPr>
        <w:t>"</w:t>
      </w:r>
      <w:r w:rsidRPr="00FD6E3F">
        <w:rPr>
          <w:rFonts w:eastAsiaTheme="minorEastAsia"/>
          <w:szCs w:val="24"/>
          <w:lang w:val="ru-RU" w:eastAsia="zh-CN"/>
        </w:rPr>
        <w:t xml:space="preserve"> (</w:t>
      </w:r>
      <w:r w:rsidR="00A60175" w:rsidRPr="00FD6E3F">
        <w:rPr>
          <w:rFonts w:eastAsiaTheme="minorEastAsia"/>
          <w:szCs w:val="24"/>
          <w:lang w:val="ru-RU" w:eastAsia="zh-CN"/>
        </w:rPr>
        <w:t xml:space="preserve">меньше </w:t>
      </w:r>
      <w:r w:rsidRPr="00FD6E3F">
        <w:rPr>
          <w:rFonts w:eastAsiaTheme="minorEastAsia"/>
          <w:szCs w:val="24"/>
          <w:lang w:val="ru-RU" w:eastAsia="zh-CN"/>
        </w:rPr>
        <w:t xml:space="preserve">2000 </w:t>
      </w:r>
      <w:r w:rsidR="00A60175" w:rsidRPr="00FD6E3F">
        <w:rPr>
          <w:rFonts w:eastAsiaTheme="minorEastAsia"/>
          <w:szCs w:val="24"/>
          <w:lang w:val="ru-RU" w:eastAsia="zh-CN"/>
        </w:rPr>
        <w:t>долларов США на душу населения</w:t>
      </w:r>
      <w:r w:rsidRPr="00FD6E3F">
        <w:rPr>
          <w:rFonts w:eastAsiaTheme="minorEastAsia"/>
          <w:szCs w:val="24"/>
          <w:lang w:val="ru-RU" w:eastAsia="zh-CN"/>
        </w:rPr>
        <w:t xml:space="preserve"> </w:t>
      </w:r>
      <w:r w:rsidR="00A60175" w:rsidRPr="00FD6E3F">
        <w:rPr>
          <w:rFonts w:eastAsiaTheme="minorEastAsia"/>
          <w:szCs w:val="24"/>
          <w:lang w:val="ru-RU" w:eastAsia="zh-CN"/>
        </w:rPr>
        <w:t>согласно определению ПРООН</w:t>
      </w:r>
      <w:r w:rsidRPr="00FD6E3F">
        <w:rPr>
          <w:rFonts w:eastAsiaTheme="minorEastAsia"/>
          <w:szCs w:val="24"/>
          <w:lang w:val="ru-RU" w:eastAsia="zh-CN"/>
        </w:rPr>
        <w:t xml:space="preserve">) </w:t>
      </w:r>
      <w:r w:rsidR="00A60175" w:rsidRPr="00FD6E3F">
        <w:rPr>
          <w:rFonts w:eastAsiaTheme="minorEastAsia"/>
          <w:szCs w:val="24"/>
          <w:lang w:val="ru-RU" w:eastAsia="zh-CN"/>
        </w:rPr>
        <w:t xml:space="preserve">могут </w:t>
      </w:r>
      <w:r w:rsidR="002E6FA7" w:rsidRPr="00FD6E3F">
        <w:rPr>
          <w:rFonts w:eastAsiaTheme="minorEastAsia"/>
          <w:szCs w:val="24"/>
          <w:lang w:val="ru-RU" w:eastAsia="zh-CN"/>
        </w:rPr>
        <w:t xml:space="preserve">уплачивать </w:t>
      </w:r>
      <w:r w:rsidR="00AE7342" w:rsidRPr="00FD6E3F">
        <w:rPr>
          <w:rFonts w:eastAsiaTheme="minorEastAsia"/>
          <w:szCs w:val="24"/>
          <w:lang w:val="ru-RU" w:eastAsia="zh-CN"/>
        </w:rPr>
        <w:t>уменьшенный</w:t>
      </w:r>
      <w:r w:rsidR="00A60175" w:rsidRPr="00FD6E3F">
        <w:rPr>
          <w:rFonts w:eastAsiaTheme="minorEastAsia"/>
          <w:szCs w:val="24"/>
          <w:lang w:val="ru-RU" w:eastAsia="zh-CN"/>
        </w:rPr>
        <w:t xml:space="preserve"> </w:t>
      </w:r>
      <w:r w:rsidR="007A0C52" w:rsidRPr="00FD6E3F">
        <w:rPr>
          <w:rFonts w:eastAsiaTheme="minorEastAsia"/>
          <w:szCs w:val="24"/>
          <w:lang w:val="ru-RU" w:eastAsia="zh-CN"/>
        </w:rPr>
        <w:t>сбор</w:t>
      </w:r>
      <w:r w:rsidR="00A60175" w:rsidRPr="00FD6E3F">
        <w:rPr>
          <w:rFonts w:eastAsiaTheme="minorEastAsia"/>
          <w:szCs w:val="24"/>
          <w:lang w:val="ru-RU" w:eastAsia="zh-CN"/>
        </w:rPr>
        <w:t xml:space="preserve">, составляющий </w:t>
      </w:r>
      <w:r w:rsidRPr="00FD6E3F">
        <w:rPr>
          <w:rFonts w:eastAsiaTheme="minorEastAsia"/>
          <w:szCs w:val="24"/>
          <w:lang w:val="ru-RU" w:eastAsia="zh-CN"/>
        </w:rPr>
        <w:t>1987</w:t>
      </w:r>
      <w:r w:rsidR="00224E50" w:rsidRPr="00FD6E3F">
        <w:rPr>
          <w:rFonts w:eastAsiaTheme="minorEastAsia"/>
          <w:szCs w:val="24"/>
          <w:lang w:val="ru-RU" w:eastAsia="zh-CN"/>
        </w:rPr>
        <w:t>,</w:t>
      </w:r>
      <w:r w:rsidRPr="00FD6E3F">
        <w:rPr>
          <w:rFonts w:eastAsiaTheme="minorEastAsia"/>
          <w:szCs w:val="24"/>
          <w:lang w:val="ru-RU" w:eastAsia="zh-CN"/>
        </w:rPr>
        <w:t>50</w:t>
      </w:r>
      <w:r w:rsidR="00224E50" w:rsidRPr="00FD6E3F">
        <w:rPr>
          <w:rFonts w:cstheme="minorHAnsi"/>
          <w:szCs w:val="24"/>
          <w:lang w:val="ru-RU"/>
        </w:rPr>
        <w:t xml:space="preserve"> швейцарск</w:t>
      </w:r>
      <w:r w:rsidR="002E6FA7" w:rsidRPr="00FD6E3F">
        <w:rPr>
          <w:rFonts w:cstheme="minorHAnsi"/>
          <w:szCs w:val="24"/>
          <w:lang w:val="ru-RU"/>
        </w:rPr>
        <w:t>ого</w:t>
      </w:r>
      <w:r w:rsidR="00224E50" w:rsidRPr="00FD6E3F">
        <w:rPr>
          <w:rFonts w:cstheme="minorHAnsi"/>
          <w:szCs w:val="24"/>
          <w:lang w:val="ru-RU"/>
        </w:rPr>
        <w:t xml:space="preserve"> франк</w:t>
      </w:r>
      <w:r w:rsidR="002E6FA7" w:rsidRPr="00FD6E3F">
        <w:rPr>
          <w:rFonts w:cstheme="minorHAnsi"/>
          <w:szCs w:val="24"/>
          <w:lang w:val="ru-RU"/>
        </w:rPr>
        <w:t>а</w:t>
      </w:r>
      <w:r w:rsidRPr="00FD6E3F">
        <w:rPr>
          <w:rFonts w:eastAsiaTheme="minorEastAsia"/>
          <w:szCs w:val="24"/>
          <w:lang w:val="ru-RU" w:eastAsia="zh-CN"/>
        </w:rPr>
        <w:t xml:space="preserve"> (1/32 </w:t>
      </w:r>
      <w:r w:rsidR="00A60175" w:rsidRPr="00FD6E3F">
        <w:rPr>
          <w:rFonts w:eastAsiaTheme="minorEastAsia"/>
          <w:szCs w:val="24"/>
          <w:lang w:val="ru-RU" w:eastAsia="zh-CN"/>
        </w:rPr>
        <w:t>единицы</w:t>
      </w:r>
      <w:r w:rsidRPr="00FD6E3F">
        <w:rPr>
          <w:rFonts w:eastAsiaTheme="minorEastAsia"/>
          <w:szCs w:val="24"/>
          <w:lang w:val="ru-RU" w:eastAsia="zh-CN"/>
        </w:rPr>
        <w:t>).</w:t>
      </w:r>
      <w:r w:rsidRPr="00FD6E3F">
        <w:rPr>
          <w:rFonts w:cs="Calibri"/>
          <w:szCs w:val="24"/>
          <w:lang w:val="ru-RU"/>
        </w:rPr>
        <w:t xml:space="preserve"> </w:t>
      </w:r>
      <w:r w:rsidR="00A60175" w:rsidRPr="00FD6E3F">
        <w:rPr>
          <w:rFonts w:cs="Calibri"/>
          <w:szCs w:val="24"/>
          <w:lang w:val="ru-RU"/>
        </w:rPr>
        <w:t xml:space="preserve">Кроме того, в данной </w:t>
      </w:r>
      <w:r w:rsidR="009A2443" w:rsidRPr="00FD6E3F">
        <w:rPr>
          <w:rFonts w:eastAsiaTheme="minorEastAsia"/>
          <w:szCs w:val="24"/>
          <w:lang w:val="ru-RU" w:eastAsia="zh-CN"/>
        </w:rPr>
        <w:t>Резолюци</w:t>
      </w:r>
      <w:r w:rsidR="00A60175" w:rsidRPr="00FD6E3F">
        <w:rPr>
          <w:rFonts w:eastAsiaTheme="minorEastAsia"/>
          <w:szCs w:val="24"/>
          <w:lang w:val="ru-RU" w:eastAsia="zh-CN"/>
        </w:rPr>
        <w:t xml:space="preserve">и указано, что </w:t>
      </w:r>
      <w:r w:rsidR="009A2443" w:rsidRPr="00FD6E3F">
        <w:rPr>
          <w:rFonts w:eastAsiaTheme="minorEastAsia"/>
          <w:szCs w:val="24"/>
          <w:lang w:val="ru-RU" w:eastAsia="zh-CN"/>
        </w:rPr>
        <w:t>объединени</w:t>
      </w:r>
      <w:r w:rsidR="00A60175" w:rsidRPr="00FD6E3F">
        <w:rPr>
          <w:rFonts w:eastAsiaTheme="minorEastAsia"/>
          <w:szCs w:val="24"/>
          <w:lang w:val="ru-RU" w:eastAsia="zh-CN"/>
        </w:rPr>
        <w:t xml:space="preserve">я, которые уже являются членами, уплачивающими </w:t>
      </w:r>
      <w:r w:rsidR="002A4122" w:rsidRPr="00FD6E3F">
        <w:rPr>
          <w:rFonts w:eastAsiaTheme="minorEastAsia"/>
          <w:szCs w:val="24"/>
          <w:lang w:val="ru-RU" w:eastAsia="zh-CN"/>
        </w:rPr>
        <w:t>1/2 </w:t>
      </w:r>
      <w:r w:rsidR="00A60175" w:rsidRPr="00FD6E3F">
        <w:rPr>
          <w:rFonts w:eastAsiaTheme="minorEastAsia"/>
          <w:szCs w:val="24"/>
          <w:lang w:val="ru-RU" w:eastAsia="zh-CN"/>
        </w:rPr>
        <w:t xml:space="preserve">единицы, не имеют права на </w:t>
      </w:r>
      <w:r w:rsidR="00AE7342" w:rsidRPr="00FD6E3F">
        <w:rPr>
          <w:rFonts w:eastAsiaTheme="minorEastAsia"/>
          <w:szCs w:val="24"/>
          <w:lang w:val="ru-RU" w:eastAsia="zh-CN"/>
        </w:rPr>
        <w:t xml:space="preserve">уменьшенный </w:t>
      </w:r>
      <w:r w:rsidR="007A0C52" w:rsidRPr="00FD6E3F">
        <w:rPr>
          <w:rFonts w:eastAsiaTheme="minorEastAsia"/>
          <w:szCs w:val="24"/>
          <w:lang w:val="ru-RU" w:eastAsia="zh-CN"/>
        </w:rPr>
        <w:t>сбор</w:t>
      </w:r>
      <w:r w:rsidRPr="00FD6E3F">
        <w:rPr>
          <w:rFonts w:eastAsiaTheme="minorEastAsia"/>
          <w:szCs w:val="24"/>
          <w:lang w:val="ru-RU" w:eastAsia="zh-CN"/>
        </w:rPr>
        <w:t>.</w:t>
      </w:r>
    </w:p>
    <w:p w:rsidR="007A7CC5" w:rsidRPr="00FD6E3F" w:rsidRDefault="007A7CC5" w:rsidP="00AE7342">
      <w:pPr>
        <w:spacing w:after="120"/>
        <w:rPr>
          <w:rFonts w:eastAsiaTheme="minorEastAsia"/>
          <w:b/>
          <w:bCs/>
          <w:szCs w:val="24"/>
          <w:lang w:val="ru-RU" w:eastAsia="zh-CN"/>
        </w:rPr>
      </w:pPr>
      <w:r w:rsidRPr="00FD6E3F">
        <w:rPr>
          <w:rFonts w:eastAsiaTheme="minorEastAsia"/>
          <w:szCs w:val="24"/>
          <w:lang w:val="ru-RU" w:eastAsia="zh-CN"/>
        </w:rPr>
        <w:t>5.4</w:t>
      </w:r>
      <w:r w:rsidRPr="00FD6E3F">
        <w:rPr>
          <w:rFonts w:eastAsiaTheme="minorEastAsia"/>
          <w:szCs w:val="24"/>
          <w:lang w:val="ru-RU" w:eastAsia="zh-CN"/>
        </w:rPr>
        <w:tab/>
      </w:r>
      <w:r w:rsidR="00A60175" w:rsidRPr="00FD6E3F">
        <w:rPr>
          <w:rFonts w:eastAsiaTheme="minorEastAsia"/>
          <w:szCs w:val="24"/>
          <w:lang w:val="ru-RU" w:eastAsia="zh-CN"/>
        </w:rPr>
        <w:t xml:space="preserve">В настоящее время минимальный ежегодный </w:t>
      </w:r>
      <w:r w:rsidR="007A0C52" w:rsidRPr="00FD6E3F">
        <w:rPr>
          <w:rFonts w:eastAsiaTheme="minorEastAsia"/>
          <w:szCs w:val="24"/>
          <w:lang w:val="ru-RU" w:eastAsia="zh-CN"/>
        </w:rPr>
        <w:t xml:space="preserve">членский сбор в </w:t>
      </w:r>
      <w:r w:rsidR="00A60175" w:rsidRPr="00FD6E3F">
        <w:rPr>
          <w:rFonts w:eastAsiaTheme="minorEastAsia"/>
          <w:szCs w:val="24"/>
          <w:lang w:val="ru-RU" w:eastAsia="zh-CN"/>
        </w:rPr>
        <w:t>Сектор</w:t>
      </w:r>
      <w:r w:rsidR="007A0C52" w:rsidRPr="00FD6E3F">
        <w:rPr>
          <w:rFonts w:eastAsiaTheme="minorEastAsia"/>
          <w:szCs w:val="24"/>
          <w:lang w:val="ru-RU" w:eastAsia="zh-CN"/>
        </w:rPr>
        <w:t>е</w:t>
      </w:r>
      <w:r w:rsidR="00A60175" w:rsidRPr="00FD6E3F">
        <w:rPr>
          <w:rFonts w:eastAsiaTheme="minorEastAsia"/>
          <w:szCs w:val="24"/>
          <w:lang w:val="ru-RU" w:eastAsia="zh-CN"/>
        </w:rPr>
        <w:t xml:space="preserve"> </w:t>
      </w:r>
      <w:r w:rsidR="009A2443" w:rsidRPr="00FD6E3F">
        <w:rPr>
          <w:rFonts w:eastAsiaTheme="minorEastAsia"/>
          <w:szCs w:val="24"/>
          <w:lang w:val="ru-RU" w:eastAsia="zh-CN"/>
        </w:rPr>
        <w:t>МСЭ</w:t>
      </w:r>
      <w:r w:rsidRPr="00FD6E3F">
        <w:rPr>
          <w:rFonts w:eastAsiaTheme="minorEastAsia"/>
          <w:szCs w:val="24"/>
          <w:lang w:val="ru-RU" w:eastAsia="zh-CN"/>
        </w:rPr>
        <w:t>-D</w:t>
      </w:r>
      <w:r w:rsidR="00A60175" w:rsidRPr="00FD6E3F">
        <w:rPr>
          <w:rFonts w:eastAsiaTheme="minorEastAsia"/>
          <w:szCs w:val="24"/>
          <w:lang w:val="ru-RU" w:eastAsia="zh-CN"/>
        </w:rPr>
        <w:t xml:space="preserve"> для </w:t>
      </w:r>
      <w:r w:rsidR="009A2443" w:rsidRPr="00FD6E3F">
        <w:rPr>
          <w:rFonts w:eastAsiaTheme="minorEastAsia"/>
          <w:szCs w:val="24"/>
          <w:lang w:val="ru-RU" w:eastAsia="zh-CN"/>
        </w:rPr>
        <w:t>объединени</w:t>
      </w:r>
      <w:r w:rsidR="002E6FA7" w:rsidRPr="00FD6E3F">
        <w:rPr>
          <w:rFonts w:eastAsiaTheme="minorEastAsia"/>
          <w:szCs w:val="24"/>
          <w:lang w:val="ru-RU" w:eastAsia="zh-CN"/>
        </w:rPr>
        <w:t>я</w:t>
      </w:r>
      <w:r w:rsidR="00A60175" w:rsidRPr="00FD6E3F">
        <w:rPr>
          <w:rFonts w:eastAsiaTheme="minorEastAsia"/>
          <w:szCs w:val="24"/>
          <w:lang w:val="ru-RU" w:eastAsia="zh-CN"/>
        </w:rPr>
        <w:t xml:space="preserve"> из развитой страны составляет </w:t>
      </w:r>
      <w:r w:rsidRPr="00FD6E3F">
        <w:rPr>
          <w:rFonts w:eastAsiaTheme="minorEastAsia"/>
          <w:szCs w:val="24"/>
          <w:lang w:val="ru-RU" w:eastAsia="zh-CN"/>
        </w:rPr>
        <w:t>7950</w:t>
      </w:r>
      <w:r w:rsidR="00224E50" w:rsidRPr="00FD6E3F">
        <w:rPr>
          <w:rFonts w:cstheme="minorHAnsi"/>
          <w:szCs w:val="24"/>
          <w:lang w:val="ru-RU"/>
        </w:rPr>
        <w:t xml:space="preserve"> швейцарских франков</w:t>
      </w:r>
      <w:r w:rsidRPr="00FD6E3F">
        <w:rPr>
          <w:rFonts w:eastAsiaTheme="minorEastAsia"/>
          <w:szCs w:val="24"/>
          <w:lang w:val="ru-RU" w:eastAsia="zh-CN"/>
        </w:rPr>
        <w:t xml:space="preserve"> (1/8 </w:t>
      </w:r>
      <w:r w:rsidR="00A60175" w:rsidRPr="00FD6E3F">
        <w:rPr>
          <w:rFonts w:eastAsiaTheme="minorEastAsia"/>
          <w:szCs w:val="24"/>
          <w:lang w:val="ru-RU" w:eastAsia="zh-CN"/>
        </w:rPr>
        <w:t>единицы</w:t>
      </w:r>
      <w:r w:rsidRPr="00FD6E3F">
        <w:rPr>
          <w:rFonts w:eastAsiaTheme="minorEastAsia"/>
          <w:szCs w:val="24"/>
          <w:lang w:val="ru-RU" w:eastAsia="zh-CN"/>
        </w:rPr>
        <w:t xml:space="preserve">). </w:t>
      </w:r>
      <w:r w:rsidR="009A2443" w:rsidRPr="00FD6E3F">
        <w:rPr>
          <w:rFonts w:eastAsiaTheme="minorEastAsia"/>
          <w:szCs w:val="24"/>
          <w:lang w:val="ru-RU" w:eastAsia="zh-CN"/>
        </w:rPr>
        <w:t>Объединени</w:t>
      </w:r>
      <w:r w:rsidR="00A60175" w:rsidRPr="00FD6E3F">
        <w:rPr>
          <w:rFonts w:eastAsiaTheme="minorEastAsia"/>
          <w:szCs w:val="24"/>
          <w:lang w:val="ru-RU" w:eastAsia="zh-CN"/>
        </w:rPr>
        <w:t>я</w:t>
      </w:r>
      <w:r w:rsidRPr="00FD6E3F">
        <w:rPr>
          <w:rFonts w:eastAsiaTheme="minorEastAsia"/>
          <w:szCs w:val="24"/>
          <w:lang w:val="ru-RU" w:eastAsia="zh-CN"/>
        </w:rPr>
        <w:t xml:space="preserve"> </w:t>
      </w:r>
      <w:r w:rsidR="00A60175" w:rsidRPr="00FD6E3F">
        <w:rPr>
          <w:rFonts w:eastAsiaTheme="minorEastAsia"/>
          <w:szCs w:val="24"/>
          <w:lang w:val="ru-RU" w:eastAsia="zh-CN"/>
        </w:rPr>
        <w:t xml:space="preserve">из развивающихся </w:t>
      </w:r>
      <w:r w:rsidR="009A2443" w:rsidRPr="00FD6E3F">
        <w:rPr>
          <w:rFonts w:eastAsiaTheme="minorEastAsia"/>
          <w:szCs w:val="24"/>
          <w:lang w:val="ru-RU" w:eastAsia="zh-CN"/>
        </w:rPr>
        <w:t>стран</w:t>
      </w:r>
      <w:r w:rsidRPr="00FD6E3F">
        <w:rPr>
          <w:rFonts w:eastAsiaTheme="minorEastAsia"/>
          <w:szCs w:val="24"/>
          <w:lang w:val="ru-RU" w:eastAsia="zh-CN"/>
        </w:rPr>
        <w:t xml:space="preserve"> </w:t>
      </w:r>
      <w:r w:rsidR="00A60175" w:rsidRPr="00FD6E3F">
        <w:rPr>
          <w:rFonts w:eastAsiaTheme="minorEastAsia"/>
          <w:szCs w:val="24"/>
          <w:lang w:val="ru-RU" w:eastAsia="zh-CN"/>
        </w:rPr>
        <w:t xml:space="preserve">имеют право на </w:t>
      </w:r>
      <w:r w:rsidR="00AE7342" w:rsidRPr="00FD6E3F">
        <w:rPr>
          <w:rFonts w:eastAsiaTheme="minorEastAsia"/>
          <w:szCs w:val="24"/>
          <w:lang w:val="ru-RU" w:eastAsia="zh-CN"/>
        </w:rPr>
        <w:t>уменьшенный</w:t>
      </w:r>
      <w:r w:rsidR="00A60175" w:rsidRPr="00FD6E3F">
        <w:rPr>
          <w:rFonts w:eastAsiaTheme="minorEastAsia"/>
          <w:szCs w:val="24"/>
          <w:lang w:val="ru-RU" w:eastAsia="zh-CN"/>
        </w:rPr>
        <w:t xml:space="preserve"> </w:t>
      </w:r>
      <w:r w:rsidR="007A0C52" w:rsidRPr="00FD6E3F">
        <w:rPr>
          <w:rFonts w:eastAsiaTheme="minorEastAsia"/>
          <w:szCs w:val="24"/>
          <w:lang w:val="ru-RU" w:eastAsia="zh-CN"/>
        </w:rPr>
        <w:t>сбор</w:t>
      </w:r>
      <w:r w:rsidR="00A60175" w:rsidRPr="00FD6E3F">
        <w:rPr>
          <w:rFonts w:eastAsiaTheme="minorEastAsia"/>
          <w:szCs w:val="24"/>
          <w:lang w:val="ru-RU" w:eastAsia="zh-CN"/>
        </w:rPr>
        <w:t xml:space="preserve">, составляющий </w:t>
      </w:r>
      <w:r w:rsidRPr="00FD6E3F">
        <w:rPr>
          <w:rFonts w:eastAsiaTheme="minorEastAsia"/>
          <w:szCs w:val="24"/>
          <w:lang w:val="ru-RU" w:eastAsia="zh-CN"/>
        </w:rPr>
        <w:t>3975</w:t>
      </w:r>
      <w:r w:rsidR="002A4122" w:rsidRPr="00FD6E3F">
        <w:rPr>
          <w:rFonts w:cstheme="minorHAnsi"/>
          <w:szCs w:val="24"/>
          <w:lang w:val="ru-RU"/>
        </w:rPr>
        <w:t> </w:t>
      </w:r>
      <w:r w:rsidR="00224E50" w:rsidRPr="00FD6E3F">
        <w:rPr>
          <w:rFonts w:cstheme="minorHAnsi"/>
          <w:szCs w:val="24"/>
          <w:lang w:val="ru-RU"/>
        </w:rPr>
        <w:t>швейцарских франков</w:t>
      </w:r>
      <w:r w:rsidRPr="00FD6E3F">
        <w:rPr>
          <w:rFonts w:eastAsiaTheme="minorEastAsia"/>
          <w:szCs w:val="24"/>
          <w:lang w:val="ru-RU" w:eastAsia="zh-CN"/>
        </w:rPr>
        <w:t>.</w:t>
      </w:r>
    </w:p>
    <w:p w:rsidR="007A7CC5" w:rsidRPr="00FD6E3F" w:rsidRDefault="007A7CC5" w:rsidP="002A4122">
      <w:pPr>
        <w:spacing w:after="120"/>
        <w:rPr>
          <w:rFonts w:eastAsiaTheme="minorEastAsia"/>
          <w:szCs w:val="24"/>
          <w:lang w:val="ru-RU" w:eastAsia="zh-CN"/>
        </w:rPr>
      </w:pPr>
      <w:r w:rsidRPr="00FD6E3F">
        <w:rPr>
          <w:rFonts w:cstheme="minorHAnsi"/>
          <w:szCs w:val="24"/>
          <w:lang w:val="ru-RU"/>
        </w:rPr>
        <w:t>5.5</w:t>
      </w:r>
      <w:r w:rsidRPr="00FD6E3F">
        <w:rPr>
          <w:rFonts w:cstheme="minorHAnsi"/>
          <w:szCs w:val="24"/>
          <w:lang w:val="ru-RU"/>
        </w:rPr>
        <w:tab/>
      </w:r>
      <w:r w:rsidR="007A0C52" w:rsidRPr="00FD6E3F">
        <w:rPr>
          <w:rFonts w:cstheme="minorHAnsi"/>
          <w:szCs w:val="24"/>
          <w:lang w:val="ru-RU"/>
        </w:rPr>
        <w:t xml:space="preserve">Сборы для </w:t>
      </w:r>
      <w:r w:rsidR="005966C0" w:rsidRPr="00FD6E3F">
        <w:rPr>
          <w:rFonts w:cstheme="minorHAnsi"/>
          <w:szCs w:val="24"/>
          <w:lang w:val="ru-RU"/>
        </w:rPr>
        <w:t>Ассоциированны</w:t>
      </w:r>
      <w:r w:rsidR="00A60175" w:rsidRPr="00FD6E3F">
        <w:rPr>
          <w:rFonts w:cstheme="minorHAnsi"/>
          <w:szCs w:val="24"/>
          <w:lang w:val="ru-RU"/>
        </w:rPr>
        <w:t>х</w:t>
      </w:r>
      <w:r w:rsidR="005966C0" w:rsidRPr="00FD6E3F">
        <w:rPr>
          <w:rFonts w:cstheme="minorHAnsi"/>
          <w:szCs w:val="24"/>
          <w:lang w:val="ru-RU"/>
        </w:rPr>
        <w:t xml:space="preserve"> член</w:t>
      </w:r>
      <w:r w:rsidR="00A60175" w:rsidRPr="00FD6E3F">
        <w:rPr>
          <w:rFonts w:cstheme="minorHAnsi"/>
          <w:szCs w:val="24"/>
          <w:lang w:val="ru-RU"/>
        </w:rPr>
        <w:t xml:space="preserve">ов устанавливаются </w:t>
      </w:r>
      <w:r w:rsidR="009A2443" w:rsidRPr="00FD6E3F">
        <w:rPr>
          <w:rFonts w:cstheme="minorHAnsi"/>
          <w:szCs w:val="24"/>
          <w:lang w:val="ru-RU"/>
        </w:rPr>
        <w:t>Совет</w:t>
      </w:r>
      <w:r w:rsidR="00A60175" w:rsidRPr="00FD6E3F">
        <w:rPr>
          <w:rFonts w:cstheme="minorHAnsi"/>
          <w:szCs w:val="24"/>
          <w:lang w:val="ru-RU"/>
        </w:rPr>
        <w:t>ом</w:t>
      </w:r>
      <w:r w:rsidRPr="00FD6E3F">
        <w:rPr>
          <w:rFonts w:cstheme="minorHAnsi"/>
          <w:szCs w:val="24"/>
          <w:lang w:val="ru-RU"/>
        </w:rPr>
        <w:t xml:space="preserve"> (</w:t>
      </w:r>
      <w:r w:rsidR="00224E50" w:rsidRPr="00FD6E3F">
        <w:rPr>
          <w:rFonts w:cstheme="minorHAnsi"/>
          <w:szCs w:val="24"/>
          <w:lang w:val="ru-RU"/>
        </w:rPr>
        <w:t>К</w:t>
      </w:r>
      <w:r w:rsidRPr="00FD6E3F">
        <w:rPr>
          <w:rFonts w:cstheme="minorHAnsi"/>
          <w:szCs w:val="24"/>
          <w:lang w:val="ru-RU"/>
        </w:rPr>
        <w:t xml:space="preserve"> 483A). </w:t>
      </w:r>
      <w:r w:rsidR="009A2443" w:rsidRPr="00FD6E3F">
        <w:rPr>
          <w:rFonts w:cstheme="minorHAnsi"/>
          <w:szCs w:val="24"/>
          <w:lang w:val="ru-RU"/>
        </w:rPr>
        <w:t>Совет</w:t>
      </w:r>
      <w:r w:rsidRPr="00FD6E3F">
        <w:rPr>
          <w:rFonts w:cstheme="minorHAnsi"/>
          <w:szCs w:val="24"/>
          <w:lang w:val="ru-RU"/>
        </w:rPr>
        <w:t xml:space="preserve"> 2001</w:t>
      </w:r>
      <w:r w:rsidR="00A60175" w:rsidRPr="00FD6E3F">
        <w:rPr>
          <w:rFonts w:cstheme="minorHAnsi"/>
          <w:szCs w:val="24"/>
          <w:lang w:val="ru-RU"/>
        </w:rPr>
        <w:t xml:space="preserve"> г</w:t>
      </w:r>
      <w:r w:rsidR="002E6FA7" w:rsidRPr="00FD6E3F">
        <w:rPr>
          <w:rFonts w:cstheme="minorHAnsi"/>
          <w:szCs w:val="24"/>
          <w:lang w:val="ru-RU"/>
        </w:rPr>
        <w:t>ода</w:t>
      </w:r>
      <w:r w:rsidRPr="00FD6E3F">
        <w:rPr>
          <w:rFonts w:cstheme="minorHAnsi"/>
          <w:szCs w:val="24"/>
          <w:lang w:val="ru-RU"/>
        </w:rPr>
        <w:t xml:space="preserve"> </w:t>
      </w:r>
      <w:r w:rsidR="00A60175" w:rsidRPr="00FD6E3F">
        <w:rPr>
          <w:rFonts w:cstheme="minorHAnsi"/>
          <w:szCs w:val="24"/>
          <w:lang w:val="ru-RU"/>
        </w:rPr>
        <w:t xml:space="preserve">установил существующие </w:t>
      </w:r>
      <w:r w:rsidR="007A0C52" w:rsidRPr="00FD6E3F">
        <w:rPr>
          <w:rFonts w:cstheme="minorHAnsi"/>
          <w:szCs w:val="24"/>
          <w:lang w:val="ru-RU"/>
        </w:rPr>
        <w:t xml:space="preserve">сборы для </w:t>
      </w:r>
      <w:r w:rsidR="005966C0" w:rsidRPr="00FD6E3F">
        <w:rPr>
          <w:rFonts w:cstheme="minorHAnsi"/>
          <w:szCs w:val="24"/>
          <w:lang w:val="ru-RU"/>
        </w:rPr>
        <w:t>Ассоциированны</w:t>
      </w:r>
      <w:r w:rsidR="00A60175" w:rsidRPr="00FD6E3F">
        <w:rPr>
          <w:rFonts w:cstheme="minorHAnsi"/>
          <w:szCs w:val="24"/>
          <w:lang w:val="ru-RU"/>
        </w:rPr>
        <w:t>х</w:t>
      </w:r>
      <w:r w:rsidR="005966C0" w:rsidRPr="00FD6E3F">
        <w:rPr>
          <w:rFonts w:cstheme="minorHAnsi"/>
          <w:szCs w:val="24"/>
          <w:lang w:val="ru-RU"/>
        </w:rPr>
        <w:t xml:space="preserve"> член</w:t>
      </w:r>
      <w:r w:rsidR="00A60175" w:rsidRPr="00FD6E3F">
        <w:rPr>
          <w:rFonts w:cstheme="minorHAnsi"/>
          <w:szCs w:val="24"/>
          <w:lang w:val="ru-RU"/>
        </w:rPr>
        <w:t xml:space="preserve">ов </w:t>
      </w:r>
      <w:r w:rsidRPr="00FD6E3F">
        <w:rPr>
          <w:rFonts w:cstheme="minorHAnsi"/>
          <w:szCs w:val="24"/>
          <w:lang w:val="ru-RU"/>
        </w:rPr>
        <w:t xml:space="preserve">(1/6 </w:t>
      </w:r>
      <w:r w:rsidR="00A60175" w:rsidRPr="00FD6E3F">
        <w:rPr>
          <w:rFonts w:cstheme="minorHAnsi"/>
          <w:szCs w:val="24"/>
          <w:lang w:val="ru-RU"/>
        </w:rPr>
        <w:t>единицы взнос</w:t>
      </w:r>
      <w:r w:rsidR="0000032C" w:rsidRPr="00FD6E3F">
        <w:rPr>
          <w:rFonts w:cstheme="minorHAnsi"/>
          <w:szCs w:val="24"/>
          <w:lang w:val="ru-RU"/>
        </w:rPr>
        <w:t>ов</w:t>
      </w:r>
      <w:r w:rsidR="00A60175" w:rsidRPr="00FD6E3F">
        <w:rPr>
          <w:rFonts w:cstheme="minorHAnsi"/>
          <w:szCs w:val="24"/>
          <w:lang w:val="ru-RU"/>
        </w:rPr>
        <w:t xml:space="preserve"> </w:t>
      </w:r>
      <w:r w:rsidR="005966C0" w:rsidRPr="00FD6E3F">
        <w:rPr>
          <w:rFonts w:cstheme="minorHAnsi"/>
          <w:szCs w:val="24"/>
          <w:lang w:val="ru-RU"/>
        </w:rPr>
        <w:t>Член</w:t>
      </w:r>
      <w:r w:rsidR="00A60175" w:rsidRPr="00FD6E3F">
        <w:rPr>
          <w:rFonts w:cstheme="minorHAnsi"/>
          <w:szCs w:val="24"/>
          <w:lang w:val="ru-RU"/>
        </w:rPr>
        <w:t>а</w:t>
      </w:r>
      <w:r w:rsidR="005966C0" w:rsidRPr="00FD6E3F">
        <w:rPr>
          <w:rFonts w:cstheme="minorHAnsi"/>
          <w:szCs w:val="24"/>
          <w:lang w:val="ru-RU"/>
        </w:rPr>
        <w:t xml:space="preserve"> Сектора</w:t>
      </w:r>
      <w:r w:rsidRPr="00FD6E3F">
        <w:rPr>
          <w:rFonts w:cstheme="minorHAnsi"/>
          <w:szCs w:val="24"/>
          <w:lang w:val="ru-RU"/>
        </w:rPr>
        <w:t xml:space="preserve"> </w:t>
      </w:r>
      <w:r w:rsidR="00A60175" w:rsidRPr="00FD6E3F">
        <w:rPr>
          <w:rFonts w:cstheme="minorHAnsi"/>
          <w:szCs w:val="24"/>
          <w:lang w:val="ru-RU"/>
        </w:rPr>
        <w:t>для</w:t>
      </w:r>
      <w:r w:rsidRPr="00FD6E3F">
        <w:rPr>
          <w:rFonts w:cstheme="minorHAnsi"/>
          <w:szCs w:val="24"/>
          <w:lang w:val="ru-RU"/>
        </w:rPr>
        <w:t xml:space="preserve"> </w:t>
      </w:r>
      <w:r w:rsidR="009A2443" w:rsidRPr="00FD6E3F">
        <w:rPr>
          <w:rFonts w:cstheme="minorHAnsi"/>
          <w:szCs w:val="24"/>
          <w:lang w:val="ru-RU"/>
        </w:rPr>
        <w:t>МСЭ</w:t>
      </w:r>
      <w:r w:rsidRPr="00FD6E3F">
        <w:rPr>
          <w:rFonts w:cstheme="minorHAnsi"/>
          <w:szCs w:val="24"/>
          <w:lang w:val="ru-RU"/>
        </w:rPr>
        <w:t>-R</w:t>
      </w:r>
      <w:r w:rsidR="009A2443" w:rsidRPr="00FD6E3F">
        <w:rPr>
          <w:rFonts w:cstheme="minorHAnsi"/>
          <w:szCs w:val="24"/>
          <w:lang w:val="ru-RU"/>
        </w:rPr>
        <w:t xml:space="preserve"> и МСЭ</w:t>
      </w:r>
      <w:r w:rsidRPr="00FD6E3F">
        <w:rPr>
          <w:rFonts w:cstheme="minorHAnsi"/>
          <w:szCs w:val="24"/>
          <w:lang w:val="ru-RU"/>
        </w:rPr>
        <w:t xml:space="preserve">-T). </w:t>
      </w:r>
      <w:r w:rsidR="002E6FA7" w:rsidRPr="00FD6E3F">
        <w:rPr>
          <w:rFonts w:eastAsiaTheme="minorEastAsia"/>
          <w:szCs w:val="24"/>
          <w:lang w:val="ru-RU" w:eastAsia="zh-CN"/>
        </w:rPr>
        <w:t xml:space="preserve">В настоящее время </w:t>
      </w:r>
      <w:r w:rsidR="002E6FA7" w:rsidRPr="00FD6E3F">
        <w:rPr>
          <w:rFonts w:cstheme="minorHAnsi"/>
          <w:szCs w:val="24"/>
          <w:lang w:val="ru-RU"/>
        </w:rPr>
        <w:t xml:space="preserve">ежегодный </w:t>
      </w:r>
      <w:r w:rsidR="007A0C52" w:rsidRPr="00FD6E3F">
        <w:rPr>
          <w:rFonts w:cstheme="minorHAnsi"/>
          <w:szCs w:val="24"/>
          <w:lang w:val="ru-RU"/>
        </w:rPr>
        <w:t>сбор</w:t>
      </w:r>
      <w:r w:rsidR="00A60175" w:rsidRPr="00FD6E3F">
        <w:rPr>
          <w:rFonts w:cstheme="minorHAnsi"/>
          <w:szCs w:val="24"/>
          <w:lang w:val="ru-RU"/>
        </w:rPr>
        <w:t xml:space="preserve"> для </w:t>
      </w:r>
      <w:r w:rsidR="00A60175" w:rsidRPr="00FD6E3F">
        <w:rPr>
          <w:rFonts w:eastAsiaTheme="minorEastAsia"/>
          <w:szCs w:val="24"/>
          <w:lang w:val="ru-RU" w:eastAsia="zh-CN"/>
        </w:rPr>
        <w:t xml:space="preserve">Ассоциированных членов </w:t>
      </w:r>
      <w:r w:rsidR="009A2443" w:rsidRPr="00FD6E3F">
        <w:rPr>
          <w:rFonts w:eastAsiaTheme="minorEastAsia"/>
          <w:szCs w:val="24"/>
          <w:lang w:val="ru-RU" w:eastAsia="zh-CN"/>
        </w:rPr>
        <w:t>МСЭ</w:t>
      </w:r>
      <w:r w:rsidRPr="00FD6E3F">
        <w:rPr>
          <w:rFonts w:eastAsiaTheme="minorEastAsia"/>
          <w:szCs w:val="24"/>
          <w:lang w:val="ru-RU" w:eastAsia="zh-CN"/>
        </w:rPr>
        <w:noBreakHyphen/>
        <w:t>R</w:t>
      </w:r>
      <w:r w:rsidR="009A2443" w:rsidRPr="00FD6E3F">
        <w:rPr>
          <w:rFonts w:eastAsiaTheme="minorEastAsia"/>
          <w:szCs w:val="24"/>
          <w:lang w:val="ru-RU" w:eastAsia="zh-CN"/>
        </w:rPr>
        <w:t xml:space="preserve"> и МСЭ</w:t>
      </w:r>
      <w:r w:rsidR="002A4122" w:rsidRPr="00FD6E3F">
        <w:rPr>
          <w:rFonts w:eastAsiaTheme="minorEastAsia"/>
          <w:szCs w:val="24"/>
          <w:lang w:val="ru-RU" w:eastAsia="zh-CN"/>
        </w:rPr>
        <w:noBreakHyphen/>
      </w:r>
      <w:r w:rsidRPr="00FD6E3F">
        <w:rPr>
          <w:rFonts w:eastAsiaTheme="minorEastAsia"/>
          <w:szCs w:val="24"/>
          <w:lang w:val="ru-RU" w:eastAsia="zh-CN"/>
        </w:rPr>
        <w:t xml:space="preserve">T </w:t>
      </w:r>
      <w:r w:rsidR="00A60175" w:rsidRPr="00FD6E3F">
        <w:rPr>
          <w:rFonts w:eastAsiaTheme="minorEastAsia"/>
          <w:szCs w:val="24"/>
          <w:lang w:val="ru-RU" w:eastAsia="zh-CN"/>
        </w:rPr>
        <w:t xml:space="preserve">составляет </w:t>
      </w:r>
      <w:r w:rsidRPr="00FD6E3F">
        <w:rPr>
          <w:rFonts w:eastAsiaTheme="minorEastAsia"/>
          <w:szCs w:val="24"/>
          <w:lang w:val="ru-RU" w:eastAsia="zh-CN"/>
        </w:rPr>
        <w:t>10</w:t>
      </w:r>
      <w:r w:rsidR="00224E50" w:rsidRPr="00FD6E3F">
        <w:rPr>
          <w:rFonts w:eastAsiaTheme="minorEastAsia"/>
          <w:szCs w:val="24"/>
          <w:lang w:val="ru-RU" w:eastAsia="zh-CN"/>
        </w:rPr>
        <w:t xml:space="preserve"> </w:t>
      </w:r>
      <w:r w:rsidRPr="00FD6E3F">
        <w:rPr>
          <w:rFonts w:eastAsiaTheme="minorEastAsia"/>
          <w:szCs w:val="24"/>
          <w:lang w:val="ru-RU" w:eastAsia="zh-CN"/>
        </w:rPr>
        <w:t>600</w:t>
      </w:r>
      <w:r w:rsidR="00224E50" w:rsidRPr="00FD6E3F">
        <w:rPr>
          <w:rFonts w:cstheme="minorHAnsi"/>
          <w:szCs w:val="24"/>
          <w:lang w:val="ru-RU"/>
        </w:rPr>
        <w:t xml:space="preserve"> швейцарских франков</w:t>
      </w:r>
      <w:r w:rsidRPr="00FD6E3F">
        <w:rPr>
          <w:rFonts w:eastAsiaTheme="minorEastAsia"/>
          <w:szCs w:val="24"/>
          <w:lang w:val="ru-RU" w:eastAsia="zh-CN"/>
        </w:rPr>
        <w:t xml:space="preserve">. </w:t>
      </w:r>
      <w:r w:rsidR="00A60175" w:rsidRPr="00FD6E3F">
        <w:rPr>
          <w:rFonts w:eastAsiaTheme="minorEastAsia"/>
          <w:szCs w:val="24"/>
          <w:lang w:val="ru-RU" w:eastAsia="zh-CN"/>
        </w:rPr>
        <w:t xml:space="preserve">Стоимость участия Ассоциированного члена </w:t>
      </w:r>
      <w:r w:rsidR="009A2443" w:rsidRPr="00FD6E3F">
        <w:rPr>
          <w:rFonts w:eastAsiaTheme="minorEastAsia"/>
          <w:szCs w:val="24"/>
          <w:lang w:val="ru-RU" w:eastAsia="zh-CN"/>
        </w:rPr>
        <w:t>МСЭ</w:t>
      </w:r>
      <w:r w:rsidRPr="00FD6E3F">
        <w:rPr>
          <w:rFonts w:eastAsiaTheme="minorEastAsia"/>
          <w:szCs w:val="24"/>
          <w:lang w:val="ru-RU" w:eastAsia="zh-CN"/>
        </w:rPr>
        <w:t xml:space="preserve">-D </w:t>
      </w:r>
      <w:r w:rsidR="00A60175" w:rsidRPr="00FD6E3F">
        <w:rPr>
          <w:rFonts w:eastAsiaTheme="minorEastAsia"/>
          <w:szCs w:val="24"/>
          <w:lang w:val="ru-RU" w:eastAsia="zh-CN"/>
        </w:rPr>
        <w:t>рав</w:t>
      </w:r>
      <w:r w:rsidR="00632D2C" w:rsidRPr="00FD6E3F">
        <w:rPr>
          <w:rFonts w:eastAsiaTheme="minorEastAsia"/>
          <w:szCs w:val="24"/>
          <w:lang w:val="ru-RU" w:eastAsia="zh-CN"/>
        </w:rPr>
        <w:t>н</w:t>
      </w:r>
      <w:r w:rsidR="00A60175" w:rsidRPr="00FD6E3F">
        <w:rPr>
          <w:rFonts w:eastAsiaTheme="minorEastAsia"/>
          <w:szCs w:val="24"/>
          <w:lang w:val="ru-RU" w:eastAsia="zh-CN"/>
        </w:rPr>
        <w:t xml:space="preserve">а </w:t>
      </w:r>
      <w:r w:rsidRPr="00FD6E3F">
        <w:rPr>
          <w:rFonts w:eastAsiaTheme="minorEastAsia"/>
          <w:szCs w:val="24"/>
          <w:lang w:val="ru-RU" w:eastAsia="zh-CN"/>
        </w:rPr>
        <w:t>3975</w:t>
      </w:r>
      <w:r w:rsidR="00224E50" w:rsidRPr="00FD6E3F">
        <w:rPr>
          <w:rFonts w:cstheme="minorHAnsi"/>
          <w:szCs w:val="24"/>
          <w:lang w:val="ru-RU"/>
        </w:rPr>
        <w:t xml:space="preserve"> швейцарски</w:t>
      </w:r>
      <w:r w:rsidR="00A60175" w:rsidRPr="00FD6E3F">
        <w:rPr>
          <w:rFonts w:cstheme="minorHAnsi"/>
          <w:szCs w:val="24"/>
          <w:lang w:val="ru-RU"/>
        </w:rPr>
        <w:t>м</w:t>
      </w:r>
      <w:r w:rsidR="00224E50" w:rsidRPr="00FD6E3F">
        <w:rPr>
          <w:rFonts w:cstheme="minorHAnsi"/>
          <w:szCs w:val="24"/>
          <w:lang w:val="ru-RU"/>
        </w:rPr>
        <w:t xml:space="preserve"> франк</w:t>
      </w:r>
      <w:r w:rsidR="00A60175" w:rsidRPr="00FD6E3F">
        <w:rPr>
          <w:rFonts w:cstheme="minorHAnsi"/>
          <w:szCs w:val="24"/>
          <w:lang w:val="ru-RU"/>
        </w:rPr>
        <w:t>ам</w:t>
      </w:r>
      <w:r w:rsidRPr="00FD6E3F">
        <w:rPr>
          <w:rFonts w:eastAsiaTheme="minorEastAsia"/>
          <w:szCs w:val="24"/>
          <w:lang w:val="ru-RU" w:eastAsia="zh-CN"/>
        </w:rPr>
        <w:t xml:space="preserve"> (1/16 </w:t>
      </w:r>
      <w:r w:rsidR="00A60175" w:rsidRPr="00FD6E3F">
        <w:rPr>
          <w:rFonts w:eastAsiaTheme="minorEastAsia"/>
          <w:szCs w:val="24"/>
          <w:lang w:val="ru-RU" w:eastAsia="zh-CN"/>
        </w:rPr>
        <w:t>единицы</w:t>
      </w:r>
      <w:r w:rsidRPr="00FD6E3F">
        <w:rPr>
          <w:rFonts w:eastAsiaTheme="minorEastAsia"/>
          <w:szCs w:val="24"/>
          <w:lang w:val="ru-RU" w:eastAsia="zh-CN"/>
        </w:rPr>
        <w:t xml:space="preserve">). </w:t>
      </w:r>
      <w:r w:rsidR="009A2443" w:rsidRPr="00FD6E3F">
        <w:rPr>
          <w:rFonts w:eastAsiaTheme="minorEastAsia"/>
          <w:szCs w:val="24"/>
          <w:lang w:val="ru-RU" w:eastAsia="zh-CN"/>
        </w:rPr>
        <w:t>Объединени</w:t>
      </w:r>
      <w:r w:rsidR="00A60175" w:rsidRPr="00FD6E3F">
        <w:rPr>
          <w:rFonts w:eastAsiaTheme="minorEastAsia"/>
          <w:szCs w:val="24"/>
          <w:lang w:val="ru-RU" w:eastAsia="zh-CN"/>
        </w:rPr>
        <w:t>я из</w:t>
      </w:r>
      <w:r w:rsidRPr="00FD6E3F">
        <w:rPr>
          <w:rFonts w:eastAsiaTheme="minorEastAsia"/>
          <w:szCs w:val="24"/>
          <w:lang w:val="ru-RU" w:eastAsia="zh-CN"/>
        </w:rPr>
        <w:t xml:space="preserve"> </w:t>
      </w:r>
      <w:r w:rsidR="009A2443" w:rsidRPr="00FD6E3F">
        <w:rPr>
          <w:rFonts w:eastAsiaTheme="minorEastAsia"/>
          <w:szCs w:val="24"/>
          <w:lang w:val="ru-RU" w:eastAsia="zh-CN"/>
        </w:rPr>
        <w:t>развивающихся стран</w:t>
      </w:r>
      <w:r w:rsidR="00A60175" w:rsidRPr="00FD6E3F">
        <w:rPr>
          <w:rFonts w:eastAsiaTheme="minorEastAsia"/>
          <w:szCs w:val="24"/>
          <w:lang w:val="ru-RU" w:eastAsia="zh-CN"/>
        </w:rPr>
        <w:t xml:space="preserve"> уплачивают половину этой суммы, то есть </w:t>
      </w:r>
      <w:r w:rsidRPr="00FD6E3F">
        <w:rPr>
          <w:rFonts w:eastAsiaTheme="minorEastAsia"/>
          <w:szCs w:val="24"/>
          <w:lang w:val="ru-RU" w:eastAsia="zh-CN"/>
        </w:rPr>
        <w:t>1987</w:t>
      </w:r>
      <w:r w:rsidR="00224E50" w:rsidRPr="00FD6E3F">
        <w:rPr>
          <w:rFonts w:eastAsiaTheme="minorEastAsia"/>
          <w:szCs w:val="24"/>
          <w:lang w:val="ru-RU" w:eastAsia="zh-CN"/>
        </w:rPr>
        <w:t>,</w:t>
      </w:r>
      <w:r w:rsidRPr="00FD6E3F">
        <w:rPr>
          <w:rFonts w:eastAsiaTheme="minorEastAsia"/>
          <w:szCs w:val="24"/>
          <w:lang w:val="ru-RU" w:eastAsia="zh-CN"/>
        </w:rPr>
        <w:t>50</w:t>
      </w:r>
      <w:r w:rsidR="00224E50" w:rsidRPr="00FD6E3F">
        <w:rPr>
          <w:rFonts w:cstheme="minorHAnsi"/>
          <w:szCs w:val="24"/>
          <w:lang w:val="ru-RU"/>
        </w:rPr>
        <w:t xml:space="preserve"> швейцарск</w:t>
      </w:r>
      <w:r w:rsidR="002E6FA7" w:rsidRPr="00FD6E3F">
        <w:rPr>
          <w:rFonts w:cstheme="minorHAnsi"/>
          <w:szCs w:val="24"/>
          <w:lang w:val="ru-RU"/>
        </w:rPr>
        <w:t>ого</w:t>
      </w:r>
      <w:r w:rsidR="00224E50" w:rsidRPr="00FD6E3F">
        <w:rPr>
          <w:rFonts w:cstheme="minorHAnsi"/>
          <w:szCs w:val="24"/>
          <w:lang w:val="ru-RU"/>
        </w:rPr>
        <w:t xml:space="preserve"> франк</w:t>
      </w:r>
      <w:r w:rsidR="002E6FA7" w:rsidRPr="00FD6E3F">
        <w:rPr>
          <w:rFonts w:cstheme="minorHAnsi"/>
          <w:szCs w:val="24"/>
          <w:lang w:val="ru-RU"/>
        </w:rPr>
        <w:t>а</w:t>
      </w:r>
      <w:r w:rsidRPr="00FD6E3F">
        <w:rPr>
          <w:rFonts w:eastAsiaTheme="minorEastAsia"/>
          <w:szCs w:val="24"/>
          <w:lang w:val="ru-RU" w:eastAsia="zh-CN"/>
        </w:rPr>
        <w:t xml:space="preserve"> (1/32 </w:t>
      </w:r>
      <w:r w:rsidR="002A4122" w:rsidRPr="00FD6E3F">
        <w:rPr>
          <w:rFonts w:eastAsiaTheme="minorEastAsia"/>
          <w:szCs w:val="24"/>
          <w:lang w:val="ru-RU" w:eastAsia="zh-CN"/>
        </w:rPr>
        <w:t>единицы</w:t>
      </w:r>
      <w:r w:rsidRPr="00FD6E3F">
        <w:rPr>
          <w:rFonts w:eastAsiaTheme="minorEastAsia"/>
          <w:szCs w:val="24"/>
          <w:lang w:val="ru-RU" w:eastAsia="zh-CN"/>
        </w:rPr>
        <w:t>).</w:t>
      </w:r>
    </w:p>
    <w:p w:rsidR="007A7CC5" w:rsidRPr="00FD6E3F" w:rsidRDefault="007A7CC5" w:rsidP="002A4122">
      <w:pPr>
        <w:spacing w:after="120"/>
        <w:rPr>
          <w:rFonts w:eastAsiaTheme="minorEastAsia"/>
          <w:b/>
          <w:bCs/>
          <w:szCs w:val="24"/>
          <w:lang w:val="ru-RU" w:eastAsia="zh-CN"/>
        </w:rPr>
      </w:pPr>
      <w:r w:rsidRPr="00FD6E3F">
        <w:rPr>
          <w:rFonts w:eastAsiaTheme="minorEastAsia"/>
          <w:szCs w:val="24"/>
          <w:lang w:val="ru-RU" w:eastAsia="zh-CN"/>
        </w:rPr>
        <w:t>5.6</w:t>
      </w:r>
      <w:r w:rsidRPr="00FD6E3F">
        <w:rPr>
          <w:rFonts w:eastAsiaTheme="minorEastAsia"/>
          <w:szCs w:val="24"/>
          <w:lang w:val="ru-RU" w:eastAsia="zh-CN"/>
        </w:rPr>
        <w:tab/>
      </w:r>
      <w:r w:rsidR="007A0C52" w:rsidRPr="00FD6E3F">
        <w:rPr>
          <w:rFonts w:eastAsiaTheme="minorEastAsia"/>
          <w:szCs w:val="24"/>
          <w:lang w:val="ru-RU" w:eastAsia="zh-CN"/>
        </w:rPr>
        <w:t>Сборы</w:t>
      </w:r>
      <w:r w:rsidR="00E96DB8" w:rsidRPr="00FD6E3F">
        <w:rPr>
          <w:rFonts w:eastAsiaTheme="minorEastAsia"/>
          <w:szCs w:val="24"/>
          <w:lang w:val="ru-RU" w:eastAsia="zh-CN"/>
        </w:rPr>
        <w:t xml:space="preserve"> для </w:t>
      </w:r>
      <w:r w:rsidR="002E0DB1" w:rsidRPr="00FD6E3F">
        <w:rPr>
          <w:rFonts w:eastAsiaTheme="minorEastAsia"/>
          <w:szCs w:val="24"/>
          <w:lang w:val="ru-RU" w:eastAsia="zh-CN"/>
        </w:rPr>
        <w:t xml:space="preserve">академических </w:t>
      </w:r>
      <w:r w:rsidR="009A2443" w:rsidRPr="00FD6E3F">
        <w:rPr>
          <w:rFonts w:eastAsiaTheme="minorEastAsia"/>
          <w:szCs w:val="24"/>
          <w:lang w:val="ru-RU" w:eastAsia="zh-CN"/>
        </w:rPr>
        <w:t>организаци</w:t>
      </w:r>
      <w:r w:rsidR="00E96DB8" w:rsidRPr="00FD6E3F">
        <w:rPr>
          <w:rFonts w:eastAsiaTheme="minorEastAsia"/>
          <w:szCs w:val="24"/>
          <w:lang w:val="ru-RU" w:eastAsia="zh-CN"/>
        </w:rPr>
        <w:t>й</w:t>
      </w:r>
      <w:r w:rsidRPr="00FD6E3F">
        <w:rPr>
          <w:rFonts w:eastAsiaTheme="minorEastAsia"/>
          <w:szCs w:val="24"/>
          <w:lang w:val="ru-RU" w:eastAsia="zh-CN"/>
        </w:rPr>
        <w:t xml:space="preserve"> </w:t>
      </w:r>
      <w:r w:rsidR="00E96DB8" w:rsidRPr="00FD6E3F">
        <w:rPr>
          <w:rFonts w:eastAsiaTheme="minorEastAsia"/>
          <w:szCs w:val="24"/>
          <w:lang w:val="ru-RU" w:eastAsia="zh-CN"/>
        </w:rPr>
        <w:t xml:space="preserve">приведены в </w:t>
      </w:r>
      <w:r w:rsidR="009A2443" w:rsidRPr="00FD6E3F">
        <w:rPr>
          <w:rFonts w:eastAsiaTheme="minorEastAsia"/>
          <w:szCs w:val="24"/>
          <w:lang w:val="ru-RU" w:eastAsia="zh-CN"/>
        </w:rPr>
        <w:t>Резолюци</w:t>
      </w:r>
      <w:r w:rsidR="00E96DB8" w:rsidRPr="00FD6E3F">
        <w:rPr>
          <w:rFonts w:eastAsiaTheme="minorEastAsia"/>
          <w:szCs w:val="24"/>
          <w:lang w:val="ru-RU" w:eastAsia="zh-CN"/>
        </w:rPr>
        <w:t>и</w:t>
      </w:r>
      <w:r w:rsidRPr="00FD6E3F">
        <w:rPr>
          <w:rFonts w:eastAsiaTheme="minorEastAsia"/>
          <w:szCs w:val="24"/>
          <w:lang w:val="ru-RU" w:eastAsia="zh-CN"/>
        </w:rPr>
        <w:t xml:space="preserve"> 169 (</w:t>
      </w:r>
      <w:r w:rsidR="002A4122" w:rsidRPr="00FD6E3F">
        <w:rPr>
          <w:rFonts w:eastAsiaTheme="minorEastAsia"/>
          <w:szCs w:val="24"/>
          <w:lang w:val="ru-RU" w:eastAsia="zh-CN"/>
        </w:rPr>
        <w:t>Гвадалахара, 2010 г.)</w:t>
      </w:r>
      <w:r w:rsidRPr="00FD6E3F">
        <w:rPr>
          <w:rFonts w:eastAsiaTheme="minorEastAsia"/>
          <w:szCs w:val="24"/>
          <w:lang w:val="ru-RU" w:eastAsia="zh-CN"/>
        </w:rPr>
        <w:t xml:space="preserve">: </w:t>
      </w:r>
      <w:r w:rsidR="002E0DB1" w:rsidRPr="00FD6E3F">
        <w:rPr>
          <w:rFonts w:eastAsiaTheme="minorEastAsia"/>
          <w:szCs w:val="24"/>
          <w:lang w:val="ru-RU" w:eastAsia="zh-CN"/>
        </w:rPr>
        <w:t xml:space="preserve">академические </w:t>
      </w:r>
      <w:r w:rsidR="009A2443" w:rsidRPr="00FD6E3F">
        <w:rPr>
          <w:rFonts w:eastAsiaTheme="minorEastAsia"/>
          <w:szCs w:val="24"/>
          <w:lang w:val="ru-RU" w:eastAsia="zh-CN"/>
        </w:rPr>
        <w:t>организации</w:t>
      </w:r>
      <w:r w:rsidRPr="00FD6E3F">
        <w:rPr>
          <w:rFonts w:eastAsiaTheme="minorEastAsia"/>
          <w:szCs w:val="24"/>
          <w:lang w:val="ru-RU" w:eastAsia="zh-CN"/>
        </w:rPr>
        <w:t xml:space="preserve"> </w:t>
      </w:r>
      <w:r w:rsidR="00E96DB8" w:rsidRPr="00FD6E3F">
        <w:rPr>
          <w:rFonts w:eastAsiaTheme="minorEastAsia"/>
          <w:szCs w:val="24"/>
          <w:lang w:val="ru-RU" w:eastAsia="zh-CN"/>
        </w:rPr>
        <w:t xml:space="preserve">из развитых стран </w:t>
      </w:r>
      <w:r w:rsidR="002E6FA7" w:rsidRPr="00FD6E3F">
        <w:rPr>
          <w:rFonts w:eastAsiaTheme="minorEastAsia"/>
          <w:szCs w:val="24"/>
          <w:lang w:val="ru-RU" w:eastAsia="zh-CN"/>
        </w:rPr>
        <w:t>у</w:t>
      </w:r>
      <w:r w:rsidR="00E96DB8" w:rsidRPr="00FD6E3F">
        <w:rPr>
          <w:rFonts w:eastAsiaTheme="minorEastAsia"/>
          <w:szCs w:val="24"/>
          <w:lang w:val="ru-RU" w:eastAsia="zh-CN"/>
        </w:rPr>
        <w:t>пла</w:t>
      </w:r>
      <w:r w:rsidR="002E6FA7" w:rsidRPr="00FD6E3F">
        <w:rPr>
          <w:rFonts w:eastAsiaTheme="minorEastAsia"/>
          <w:szCs w:val="24"/>
          <w:lang w:val="ru-RU" w:eastAsia="zh-CN"/>
        </w:rPr>
        <w:t xml:space="preserve">чивают </w:t>
      </w:r>
      <w:r w:rsidRPr="00FD6E3F">
        <w:rPr>
          <w:rFonts w:eastAsiaTheme="minorEastAsia"/>
          <w:szCs w:val="24"/>
          <w:lang w:val="ru-RU" w:eastAsia="zh-CN"/>
        </w:rPr>
        <w:t>3975</w:t>
      </w:r>
      <w:r w:rsidR="00224E50" w:rsidRPr="00FD6E3F">
        <w:rPr>
          <w:rFonts w:cstheme="minorHAnsi"/>
          <w:szCs w:val="24"/>
          <w:lang w:val="ru-RU"/>
        </w:rPr>
        <w:t xml:space="preserve"> швейцарских франков</w:t>
      </w:r>
      <w:r w:rsidR="002A4122" w:rsidRPr="00FD6E3F">
        <w:rPr>
          <w:rFonts w:eastAsiaTheme="minorEastAsia"/>
          <w:szCs w:val="24"/>
          <w:lang w:val="ru-RU" w:eastAsia="zh-CN"/>
        </w:rPr>
        <w:t xml:space="preserve"> (1/16 </w:t>
      </w:r>
      <w:r w:rsidR="00E96DB8" w:rsidRPr="00FD6E3F">
        <w:rPr>
          <w:rFonts w:eastAsiaTheme="minorEastAsia"/>
          <w:szCs w:val="24"/>
          <w:lang w:val="ru-RU" w:eastAsia="zh-CN"/>
        </w:rPr>
        <w:t>единицы</w:t>
      </w:r>
      <w:r w:rsidRPr="00FD6E3F">
        <w:rPr>
          <w:rFonts w:eastAsiaTheme="minorEastAsia"/>
          <w:szCs w:val="24"/>
          <w:lang w:val="ru-RU" w:eastAsia="zh-CN"/>
        </w:rPr>
        <w:t xml:space="preserve">) </w:t>
      </w:r>
      <w:r w:rsidR="00E96DB8" w:rsidRPr="00FD6E3F">
        <w:rPr>
          <w:rFonts w:eastAsiaTheme="minorEastAsia"/>
          <w:szCs w:val="24"/>
          <w:lang w:val="ru-RU" w:eastAsia="zh-CN"/>
        </w:rPr>
        <w:t>в год</w:t>
      </w:r>
      <w:r w:rsidRPr="00FD6E3F">
        <w:rPr>
          <w:rFonts w:eastAsiaTheme="minorEastAsia"/>
          <w:szCs w:val="24"/>
          <w:lang w:val="ru-RU" w:eastAsia="zh-CN"/>
        </w:rPr>
        <w:t xml:space="preserve">, </w:t>
      </w:r>
      <w:r w:rsidR="00E96DB8" w:rsidRPr="00FD6E3F">
        <w:rPr>
          <w:rFonts w:eastAsiaTheme="minorEastAsia"/>
          <w:szCs w:val="24"/>
          <w:lang w:val="ru-RU" w:eastAsia="zh-CN"/>
        </w:rPr>
        <w:t xml:space="preserve">а </w:t>
      </w:r>
      <w:r w:rsidR="002E0DB1" w:rsidRPr="00FD6E3F">
        <w:rPr>
          <w:rFonts w:eastAsiaTheme="minorEastAsia"/>
          <w:szCs w:val="24"/>
          <w:lang w:val="ru-RU" w:eastAsia="zh-CN"/>
        </w:rPr>
        <w:t xml:space="preserve">академические </w:t>
      </w:r>
      <w:r w:rsidR="009A2443" w:rsidRPr="00FD6E3F">
        <w:rPr>
          <w:rFonts w:eastAsiaTheme="minorEastAsia"/>
          <w:szCs w:val="24"/>
          <w:lang w:val="ru-RU" w:eastAsia="zh-CN"/>
        </w:rPr>
        <w:t>организации</w:t>
      </w:r>
      <w:r w:rsidRPr="00FD6E3F">
        <w:rPr>
          <w:rFonts w:eastAsiaTheme="minorEastAsia"/>
          <w:szCs w:val="24"/>
          <w:lang w:val="ru-RU" w:eastAsia="zh-CN"/>
        </w:rPr>
        <w:t xml:space="preserve"> </w:t>
      </w:r>
      <w:r w:rsidR="00E96DB8" w:rsidRPr="00FD6E3F">
        <w:rPr>
          <w:rFonts w:eastAsiaTheme="minorEastAsia"/>
          <w:szCs w:val="24"/>
          <w:lang w:val="ru-RU" w:eastAsia="zh-CN"/>
        </w:rPr>
        <w:t xml:space="preserve">из </w:t>
      </w:r>
      <w:r w:rsidR="009A2443" w:rsidRPr="00FD6E3F">
        <w:rPr>
          <w:rFonts w:eastAsiaTheme="minorEastAsia"/>
          <w:szCs w:val="24"/>
          <w:lang w:val="ru-RU" w:eastAsia="zh-CN"/>
        </w:rPr>
        <w:t>развивающихся стран</w:t>
      </w:r>
      <w:r w:rsidR="00E96DB8" w:rsidRPr="00FD6E3F">
        <w:rPr>
          <w:rFonts w:eastAsiaTheme="minorEastAsia"/>
          <w:szCs w:val="24"/>
          <w:lang w:val="ru-RU" w:eastAsia="zh-CN"/>
        </w:rPr>
        <w:t xml:space="preserve"> </w:t>
      </w:r>
      <w:r w:rsidR="002E6FA7" w:rsidRPr="00FD6E3F">
        <w:rPr>
          <w:rFonts w:eastAsiaTheme="minorEastAsia"/>
          <w:szCs w:val="24"/>
          <w:lang w:val="ru-RU" w:eastAsia="zh-CN"/>
        </w:rPr>
        <w:t xml:space="preserve">уплачивают </w:t>
      </w:r>
      <w:r w:rsidR="00E96DB8" w:rsidRPr="00FD6E3F">
        <w:rPr>
          <w:rFonts w:eastAsiaTheme="minorEastAsia"/>
          <w:szCs w:val="24"/>
          <w:lang w:val="ru-RU" w:eastAsia="zh-CN"/>
        </w:rPr>
        <w:t xml:space="preserve">половину этой суммы, то есть </w:t>
      </w:r>
      <w:r w:rsidRPr="00FD6E3F">
        <w:rPr>
          <w:rFonts w:eastAsiaTheme="minorEastAsia"/>
          <w:szCs w:val="24"/>
          <w:lang w:val="ru-RU" w:eastAsia="zh-CN"/>
        </w:rPr>
        <w:t>1987</w:t>
      </w:r>
      <w:r w:rsidR="00224E50" w:rsidRPr="00FD6E3F">
        <w:rPr>
          <w:rFonts w:eastAsiaTheme="minorEastAsia"/>
          <w:szCs w:val="24"/>
          <w:lang w:val="ru-RU" w:eastAsia="zh-CN"/>
        </w:rPr>
        <w:t>,</w:t>
      </w:r>
      <w:r w:rsidRPr="00FD6E3F">
        <w:rPr>
          <w:rFonts w:eastAsiaTheme="minorEastAsia"/>
          <w:szCs w:val="24"/>
          <w:lang w:val="ru-RU" w:eastAsia="zh-CN"/>
        </w:rPr>
        <w:t xml:space="preserve">50 </w:t>
      </w:r>
      <w:r w:rsidR="00224E50" w:rsidRPr="00FD6E3F">
        <w:rPr>
          <w:rFonts w:cstheme="minorHAnsi"/>
          <w:szCs w:val="24"/>
          <w:lang w:val="ru-RU"/>
        </w:rPr>
        <w:t>швейцарск</w:t>
      </w:r>
      <w:r w:rsidR="002E6FA7" w:rsidRPr="00FD6E3F">
        <w:rPr>
          <w:rFonts w:cstheme="minorHAnsi"/>
          <w:szCs w:val="24"/>
          <w:lang w:val="ru-RU"/>
        </w:rPr>
        <w:t>ого</w:t>
      </w:r>
      <w:r w:rsidR="00224E50" w:rsidRPr="00FD6E3F">
        <w:rPr>
          <w:rFonts w:cstheme="minorHAnsi"/>
          <w:szCs w:val="24"/>
          <w:lang w:val="ru-RU"/>
        </w:rPr>
        <w:t xml:space="preserve"> франк</w:t>
      </w:r>
      <w:r w:rsidR="002E6FA7" w:rsidRPr="00FD6E3F">
        <w:rPr>
          <w:rFonts w:cstheme="minorHAnsi"/>
          <w:szCs w:val="24"/>
          <w:lang w:val="ru-RU"/>
        </w:rPr>
        <w:t>а</w:t>
      </w:r>
      <w:r w:rsidR="00224E50" w:rsidRPr="00FD6E3F">
        <w:rPr>
          <w:rFonts w:eastAsiaTheme="minorEastAsia"/>
          <w:szCs w:val="24"/>
          <w:lang w:val="ru-RU" w:eastAsia="zh-CN"/>
        </w:rPr>
        <w:t xml:space="preserve"> </w:t>
      </w:r>
      <w:r w:rsidRPr="00FD6E3F">
        <w:rPr>
          <w:rFonts w:eastAsiaTheme="minorEastAsia"/>
          <w:szCs w:val="24"/>
          <w:lang w:val="ru-RU" w:eastAsia="zh-CN"/>
        </w:rPr>
        <w:t xml:space="preserve">(1/32 </w:t>
      </w:r>
      <w:r w:rsidR="00E96DB8" w:rsidRPr="00FD6E3F">
        <w:rPr>
          <w:rFonts w:eastAsiaTheme="minorEastAsia"/>
          <w:szCs w:val="24"/>
          <w:lang w:val="ru-RU" w:eastAsia="zh-CN"/>
        </w:rPr>
        <w:t>единицы</w:t>
      </w:r>
      <w:r w:rsidRPr="00FD6E3F">
        <w:rPr>
          <w:rFonts w:eastAsiaTheme="minorEastAsia"/>
          <w:szCs w:val="24"/>
          <w:lang w:val="ru-RU" w:eastAsia="zh-CN"/>
        </w:rPr>
        <w:t>).</w:t>
      </w:r>
    </w:p>
    <w:p w:rsidR="007A7CC5" w:rsidRPr="00FD6E3F" w:rsidRDefault="007A7CC5" w:rsidP="002A4122">
      <w:pPr>
        <w:rPr>
          <w:rFonts w:eastAsiaTheme="minorEastAsia"/>
          <w:sz w:val="32"/>
          <w:szCs w:val="32"/>
          <w:lang w:val="ru-RU" w:eastAsia="zh-CN"/>
        </w:rPr>
      </w:pPr>
      <w:r w:rsidRPr="00FD6E3F">
        <w:rPr>
          <w:rFonts w:eastAsiaTheme="minorEastAsia"/>
          <w:szCs w:val="24"/>
          <w:lang w:val="ru-RU" w:eastAsia="zh-CN"/>
        </w:rPr>
        <w:t>5.7</w:t>
      </w:r>
      <w:r w:rsidRPr="00FD6E3F">
        <w:rPr>
          <w:rFonts w:eastAsiaTheme="minorEastAsia"/>
          <w:szCs w:val="24"/>
          <w:lang w:val="ru-RU" w:eastAsia="zh-CN"/>
        </w:rPr>
        <w:tab/>
      </w:r>
      <w:r w:rsidR="00E96DB8" w:rsidRPr="00FD6E3F">
        <w:rPr>
          <w:rFonts w:eastAsiaTheme="minorEastAsia"/>
          <w:szCs w:val="24"/>
          <w:lang w:val="ru-RU" w:eastAsia="zh-CN"/>
        </w:rPr>
        <w:t xml:space="preserve">Сводная таблица </w:t>
      </w:r>
      <w:r w:rsidR="007A0C52" w:rsidRPr="00FD6E3F">
        <w:rPr>
          <w:rFonts w:eastAsiaTheme="minorEastAsia"/>
          <w:szCs w:val="24"/>
          <w:lang w:val="ru-RU" w:eastAsia="zh-CN"/>
        </w:rPr>
        <w:t>сборов</w:t>
      </w:r>
      <w:r w:rsidRPr="00FD6E3F">
        <w:rPr>
          <w:rFonts w:eastAsiaTheme="minorEastAsia"/>
          <w:szCs w:val="24"/>
          <w:lang w:val="ru-RU" w:eastAsia="zh-CN"/>
        </w:rPr>
        <w:t xml:space="preserve">: </w:t>
      </w:r>
      <w:r w:rsidR="005966C0" w:rsidRPr="00FD6E3F">
        <w:rPr>
          <w:rFonts w:eastAsiaTheme="minorEastAsia"/>
          <w:szCs w:val="24"/>
          <w:lang w:val="ru-RU" w:eastAsia="zh-CN"/>
        </w:rPr>
        <w:t>Члены Секторов</w:t>
      </w:r>
      <w:r w:rsidRPr="00FD6E3F">
        <w:rPr>
          <w:rFonts w:eastAsiaTheme="minorEastAsia"/>
          <w:szCs w:val="24"/>
          <w:lang w:val="ru-RU" w:eastAsia="zh-CN"/>
        </w:rPr>
        <w:t xml:space="preserve">, </w:t>
      </w:r>
      <w:r w:rsidR="005966C0" w:rsidRPr="00FD6E3F">
        <w:rPr>
          <w:rFonts w:eastAsiaTheme="minorEastAsia"/>
          <w:szCs w:val="24"/>
          <w:lang w:val="ru-RU" w:eastAsia="zh-CN"/>
        </w:rPr>
        <w:t>Ассоциированные члены</w:t>
      </w:r>
      <w:r w:rsidRPr="00FD6E3F">
        <w:rPr>
          <w:rFonts w:eastAsiaTheme="minorEastAsia"/>
          <w:szCs w:val="24"/>
          <w:lang w:val="ru-RU" w:eastAsia="zh-CN"/>
        </w:rPr>
        <w:t xml:space="preserve">, </w:t>
      </w:r>
      <w:r w:rsidR="002E6FA7" w:rsidRPr="00FD6E3F">
        <w:rPr>
          <w:rFonts w:eastAsiaTheme="minorEastAsia"/>
          <w:szCs w:val="24"/>
          <w:lang w:val="ru-RU" w:eastAsia="zh-CN"/>
        </w:rPr>
        <w:t xml:space="preserve">академические </w:t>
      </w:r>
      <w:r w:rsidR="009A2443" w:rsidRPr="00FD6E3F">
        <w:rPr>
          <w:rFonts w:eastAsiaTheme="minorEastAsia"/>
          <w:szCs w:val="24"/>
          <w:lang w:val="ru-RU" w:eastAsia="zh-CN"/>
        </w:rPr>
        <w:t>организации</w:t>
      </w:r>
      <w:r w:rsidR="002A4122" w:rsidRPr="00FD6E3F">
        <w:rPr>
          <w:rFonts w:eastAsiaTheme="minorEastAsia"/>
          <w:szCs w:val="24"/>
          <w:lang w:val="ru-RU" w:eastAsia="zh-CN"/>
        </w:rPr>
        <w:t>.</w:t>
      </w:r>
    </w:p>
    <w:p w:rsidR="007A7CC5" w:rsidRPr="00FD6E3F" w:rsidRDefault="007A7CC5" w:rsidP="00224E50">
      <w:pPr>
        <w:spacing w:after="40"/>
        <w:jc w:val="center"/>
        <w:rPr>
          <w:rFonts w:eastAsiaTheme="minorEastAsia"/>
          <w:b/>
          <w:bCs/>
          <w:sz w:val="20"/>
          <w:lang w:val="ru-RU" w:eastAsia="zh-CN"/>
        </w:rPr>
      </w:pPr>
      <w:r w:rsidRPr="00FD6E3F">
        <w:rPr>
          <w:rFonts w:eastAsiaTheme="minorEastAsia"/>
          <w:b/>
          <w:bCs/>
          <w:sz w:val="20"/>
          <w:lang w:val="ru-RU" w:eastAsia="zh-CN"/>
        </w:rPr>
        <w:t>(</w:t>
      </w:r>
      <w:r w:rsidR="00224E50" w:rsidRPr="00FD6E3F">
        <w:rPr>
          <w:rFonts w:eastAsiaTheme="minorEastAsia"/>
          <w:b/>
          <w:bCs/>
          <w:sz w:val="20"/>
          <w:lang w:val="ru-RU" w:eastAsia="zh-CN"/>
        </w:rPr>
        <w:t>в швейцарских франках</w:t>
      </w:r>
      <w:r w:rsidRPr="00FD6E3F">
        <w:rPr>
          <w:rFonts w:eastAsiaTheme="minorEastAsia"/>
          <w:b/>
          <w:bCs/>
          <w:sz w:val="20"/>
          <w:lang w:val="ru-RU" w:eastAsia="zh-CN"/>
        </w:rPr>
        <w:t>)</w:t>
      </w:r>
    </w:p>
    <w:tbl>
      <w:tblPr>
        <w:tblW w:w="9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076"/>
        <w:gridCol w:w="3594"/>
        <w:gridCol w:w="2272"/>
      </w:tblGrid>
      <w:tr w:rsidR="007A7CC5" w:rsidRPr="00FD6E3F" w:rsidTr="002A4122">
        <w:trPr>
          <w:trHeight w:val="334"/>
        </w:trPr>
        <w:tc>
          <w:tcPr>
            <w:tcW w:w="1985" w:type="dxa"/>
            <w:shd w:val="clear" w:color="auto" w:fill="auto"/>
            <w:vAlign w:val="center"/>
          </w:tcPr>
          <w:p w:rsidR="007A7CC5" w:rsidRPr="00FD6E3F" w:rsidRDefault="009A2443" w:rsidP="002A4122">
            <w:pPr>
              <w:pStyle w:val="Tablehead"/>
              <w:rPr>
                <w:rFonts w:eastAsia="SimSun"/>
                <w:lang w:val="ru-RU" w:eastAsia="zh-CN"/>
              </w:rPr>
            </w:pPr>
            <w:r w:rsidRPr="00FD6E3F">
              <w:rPr>
                <w:rFonts w:eastAsia="SimSun"/>
                <w:lang w:val="ru-RU" w:eastAsia="zh-CN"/>
              </w:rPr>
              <w:t>Сектор</w:t>
            </w:r>
            <w:r w:rsidR="007A7CC5" w:rsidRPr="00FD6E3F">
              <w:rPr>
                <w:rFonts w:eastAsia="SimSun"/>
                <w:lang w:val="ru-RU" w:eastAsia="zh-CN"/>
              </w:rPr>
              <w:t>/</w:t>
            </w:r>
            <w:r w:rsidR="00632D2C" w:rsidRPr="00FD6E3F">
              <w:rPr>
                <w:rFonts w:eastAsia="SimSun"/>
                <w:lang w:val="ru-RU" w:eastAsia="zh-CN"/>
              </w:rPr>
              <w:t>Категория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7A7CC5" w:rsidRPr="00FD6E3F" w:rsidRDefault="005966C0" w:rsidP="002A4122">
            <w:pPr>
              <w:pStyle w:val="Tablehead"/>
              <w:rPr>
                <w:rFonts w:eastAsia="SimSun"/>
                <w:lang w:val="ru-RU" w:eastAsia="zh-CN"/>
              </w:rPr>
            </w:pPr>
            <w:r w:rsidRPr="00FD6E3F">
              <w:rPr>
                <w:rFonts w:eastAsia="SimSun"/>
                <w:lang w:val="ru-RU" w:eastAsia="zh-CN"/>
              </w:rPr>
              <w:t>Член Сектора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7A7CC5" w:rsidRPr="00FD6E3F" w:rsidRDefault="005966C0" w:rsidP="002A4122">
            <w:pPr>
              <w:pStyle w:val="Tablehead"/>
              <w:rPr>
                <w:rFonts w:eastAsia="SimSun"/>
                <w:lang w:val="ru-RU" w:eastAsia="zh-CN"/>
              </w:rPr>
            </w:pPr>
            <w:r w:rsidRPr="00FD6E3F">
              <w:rPr>
                <w:rFonts w:eastAsia="SimSun"/>
                <w:lang w:val="ru-RU" w:eastAsia="zh-CN"/>
              </w:rPr>
              <w:t>Ассоциированный член</w:t>
            </w:r>
            <w:r w:rsidR="007A7CC5" w:rsidRPr="00FD6E3F">
              <w:rPr>
                <w:rFonts w:eastAsia="SimSun"/>
                <w:lang w:val="ru-RU" w:eastAsia="zh-CN"/>
              </w:rPr>
              <w:t xml:space="preserve"> </w:t>
            </w:r>
            <w:r w:rsidR="00632D2C" w:rsidRPr="00FD6E3F">
              <w:rPr>
                <w:rFonts w:eastAsia="SimSun"/>
                <w:lang w:val="ru-RU" w:eastAsia="zh-CN"/>
              </w:rPr>
              <w:t xml:space="preserve">в одной </w:t>
            </w:r>
            <w:r w:rsidR="002E0DB1" w:rsidRPr="00FD6E3F">
              <w:rPr>
                <w:rFonts w:eastAsia="SimSun"/>
                <w:lang w:val="ru-RU" w:eastAsia="zh-CN"/>
              </w:rPr>
              <w:t xml:space="preserve">исследовательской </w:t>
            </w:r>
            <w:r w:rsidR="00632D2C" w:rsidRPr="00FD6E3F">
              <w:rPr>
                <w:rFonts w:eastAsia="SimSun"/>
                <w:lang w:val="ru-RU" w:eastAsia="zh-CN"/>
              </w:rPr>
              <w:t>комиссии</w:t>
            </w:r>
          </w:p>
        </w:tc>
        <w:tc>
          <w:tcPr>
            <w:tcW w:w="2272" w:type="dxa"/>
            <w:vAlign w:val="center"/>
          </w:tcPr>
          <w:p w:rsidR="007A7CC5" w:rsidRPr="00FD6E3F" w:rsidRDefault="009A2443" w:rsidP="002A4122">
            <w:pPr>
              <w:pStyle w:val="Tablehead"/>
              <w:rPr>
                <w:rFonts w:eastAsia="SimSun"/>
                <w:lang w:val="ru-RU" w:eastAsia="zh-CN"/>
              </w:rPr>
            </w:pPr>
            <w:r w:rsidRPr="00FD6E3F">
              <w:rPr>
                <w:rFonts w:eastAsia="SimSun"/>
                <w:lang w:val="ru-RU" w:eastAsia="zh-CN"/>
              </w:rPr>
              <w:t>Академические организации</w:t>
            </w:r>
          </w:p>
        </w:tc>
      </w:tr>
      <w:tr w:rsidR="007A7CC5" w:rsidRPr="00FD6E3F" w:rsidTr="002A4122">
        <w:trPr>
          <w:trHeight w:val="318"/>
        </w:trPr>
        <w:tc>
          <w:tcPr>
            <w:tcW w:w="1985" w:type="dxa"/>
            <w:shd w:val="clear" w:color="auto" w:fill="auto"/>
          </w:tcPr>
          <w:p w:rsidR="007A7CC5" w:rsidRPr="00FD6E3F" w:rsidRDefault="009A2443" w:rsidP="002A4122">
            <w:pPr>
              <w:pStyle w:val="Tabletext"/>
              <w:rPr>
                <w:rFonts w:eastAsia="SimSun"/>
                <w:lang w:val="ru-RU" w:eastAsia="zh-CN"/>
              </w:rPr>
            </w:pPr>
            <w:r w:rsidRPr="00FD6E3F">
              <w:rPr>
                <w:rFonts w:eastAsia="SimSun"/>
                <w:lang w:val="ru-RU" w:eastAsia="zh-CN"/>
              </w:rPr>
              <w:t>МСЭ</w:t>
            </w:r>
            <w:r w:rsidR="007A7CC5" w:rsidRPr="00FD6E3F">
              <w:rPr>
                <w:rFonts w:eastAsia="SimSun"/>
                <w:lang w:val="ru-RU" w:eastAsia="zh-CN"/>
              </w:rPr>
              <w:t>-R</w:t>
            </w:r>
          </w:p>
        </w:tc>
        <w:tc>
          <w:tcPr>
            <w:tcW w:w="2076" w:type="dxa"/>
            <w:shd w:val="clear" w:color="auto" w:fill="auto"/>
          </w:tcPr>
          <w:p w:rsidR="007A7CC5" w:rsidRPr="00FD6E3F" w:rsidRDefault="007A7CC5" w:rsidP="002A4122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FD6E3F">
              <w:rPr>
                <w:rFonts w:eastAsia="SimSun"/>
                <w:lang w:val="ru-RU" w:eastAsia="zh-CN"/>
              </w:rPr>
              <w:t>31</w:t>
            </w:r>
            <w:r w:rsidR="00224E50" w:rsidRPr="00FD6E3F">
              <w:rPr>
                <w:rFonts w:eastAsia="SimSun"/>
                <w:lang w:val="ru-RU" w:eastAsia="zh-CN"/>
              </w:rPr>
              <w:t xml:space="preserve"> </w:t>
            </w:r>
            <w:r w:rsidRPr="00FD6E3F">
              <w:rPr>
                <w:rFonts w:eastAsia="SimSun"/>
                <w:lang w:val="ru-RU" w:eastAsia="zh-CN"/>
              </w:rPr>
              <w:t>800 (1)</w:t>
            </w:r>
          </w:p>
        </w:tc>
        <w:tc>
          <w:tcPr>
            <w:tcW w:w="3594" w:type="dxa"/>
            <w:shd w:val="clear" w:color="auto" w:fill="auto"/>
          </w:tcPr>
          <w:p w:rsidR="007A7CC5" w:rsidRPr="00FD6E3F" w:rsidRDefault="007A7CC5" w:rsidP="002A4122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FD6E3F">
              <w:rPr>
                <w:rFonts w:eastAsia="SimSun"/>
                <w:lang w:val="ru-RU" w:eastAsia="zh-CN"/>
              </w:rPr>
              <w:t>10600</w:t>
            </w:r>
          </w:p>
        </w:tc>
        <w:tc>
          <w:tcPr>
            <w:tcW w:w="2272" w:type="dxa"/>
          </w:tcPr>
          <w:p w:rsidR="007A7CC5" w:rsidRPr="00FD6E3F" w:rsidRDefault="007A7CC5" w:rsidP="002A4122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FD6E3F">
              <w:rPr>
                <w:rFonts w:eastAsia="SimSun"/>
                <w:lang w:val="ru-RU" w:eastAsia="zh-CN"/>
              </w:rPr>
              <w:t>3975 (2)</w:t>
            </w:r>
          </w:p>
        </w:tc>
      </w:tr>
      <w:tr w:rsidR="007A7CC5" w:rsidRPr="00FD6E3F" w:rsidTr="002A4122">
        <w:trPr>
          <w:trHeight w:val="334"/>
        </w:trPr>
        <w:tc>
          <w:tcPr>
            <w:tcW w:w="1985" w:type="dxa"/>
            <w:shd w:val="clear" w:color="auto" w:fill="auto"/>
          </w:tcPr>
          <w:p w:rsidR="007A7CC5" w:rsidRPr="00FD6E3F" w:rsidRDefault="009A2443" w:rsidP="002A4122">
            <w:pPr>
              <w:pStyle w:val="Tabletext"/>
              <w:rPr>
                <w:rFonts w:eastAsia="SimSun"/>
                <w:lang w:val="ru-RU" w:eastAsia="zh-CN"/>
              </w:rPr>
            </w:pPr>
            <w:r w:rsidRPr="00FD6E3F">
              <w:rPr>
                <w:rFonts w:eastAsia="SimSun"/>
                <w:lang w:val="ru-RU" w:eastAsia="zh-CN"/>
              </w:rPr>
              <w:t>МСЭ</w:t>
            </w:r>
            <w:r w:rsidR="007A7CC5" w:rsidRPr="00FD6E3F">
              <w:rPr>
                <w:rFonts w:eastAsia="SimSun"/>
                <w:lang w:val="ru-RU" w:eastAsia="zh-CN"/>
              </w:rPr>
              <w:t>-T</w:t>
            </w:r>
          </w:p>
        </w:tc>
        <w:tc>
          <w:tcPr>
            <w:tcW w:w="2076" w:type="dxa"/>
            <w:shd w:val="clear" w:color="auto" w:fill="auto"/>
          </w:tcPr>
          <w:p w:rsidR="007A7CC5" w:rsidRPr="00FD6E3F" w:rsidRDefault="007A7CC5" w:rsidP="002A4122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FD6E3F">
              <w:rPr>
                <w:rFonts w:eastAsia="SimSun"/>
                <w:lang w:val="ru-RU" w:eastAsia="zh-CN"/>
              </w:rPr>
              <w:t>31</w:t>
            </w:r>
            <w:r w:rsidR="00224E50" w:rsidRPr="00FD6E3F">
              <w:rPr>
                <w:rFonts w:eastAsia="SimSun"/>
                <w:lang w:val="ru-RU" w:eastAsia="zh-CN"/>
              </w:rPr>
              <w:t xml:space="preserve"> </w:t>
            </w:r>
            <w:r w:rsidRPr="00FD6E3F">
              <w:rPr>
                <w:rFonts w:eastAsia="SimSun"/>
                <w:lang w:val="ru-RU" w:eastAsia="zh-CN"/>
              </w:rPr>
              <w:t>800 (1)</w:t>
            </w:r>
          </w:p>
        </w:tc>
        <w:tc>
          <w:tcPr>
            <w:tcW w:w="3594" w:type="dxa"/>
            <w:shd w:val="clear" w:color="auto" w:fill="auto"/>
          </w:tcPr>
          <w:p w:rsidR="007A7CC5" w:rsidRPr="00FD6E3F" w:rsidRDefault="007A7CC5" w:rsidP="002A4122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FD6E3F">
              <w:rPr>
                <w:rFonts w:eastAsia="SimSun"/>
                <w:lang w:val="ru-RU" w:eastAsia="zh-CN"/>
              </w:rPr>
              <w:t>10600</w:t>
            </w:r>
          </w:p>
        </w:tc>
        <w:tc>
          <w:tcPr>
            <w:tcW w:w="2272" w:type="dxa"/>
          </w:tcPr>
          <w:p w:rsidR="007A7CC5" w:rsidRPr="00FD6E3F" w:rsidRDefault="007A7CC5" w:rsidP="002A4122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FD6E3F">
              <w:rPr>
                <w:rFonts w:eastAsia="SimSun"/>
                <w:lang w:val="ru-RU" w:eastAsia="zh-CN"/>
              </w:rPr>
              <w:t>3975 (2)</w:t>
            </w:r>
          </w:p>
        </w:tc>
      </w:tr>
      <w:tr w:rsidR="007A7CC5" w:rsidRPr="00FD6E3F" w:rsidTr="002A4122">
        <w:trPr>
          <w:trHeight w:val="334"/>
        </w:trPr>
        <w:tc>
          <w:tcPr>
            <w:tcW w:w="1985" w:type="dxa"/>
            <w:shd w:val="clear" w:color="auto" w:fill="auto"/>
          </w:tcPr>
          <w:p w:rsidR="007A7CC5" w:rsidRPr="00FD6E3F" w:rsidRDefault="009A2443" w:rsidP="002A4122">
            <w:pPr>
              <w:pStyle w:val="Tabletext"/>
              <w:rPr>
                <w:rFonts w:eastAsia="SimSun"/>
                <w:lang w:val="ru-RU" w:eastAsia="zh-CN"/>
              </w:rPr>
            </w:pPr>
            <w:r w:rsidRPr="00FD6E3F">
              <w:rPr>
                <w:rFonts w:eastAsia="SimSun"/>
                <w:lang w:val="ru-RU" w:eastAsia="zh-CN"/>
              </w:rPr>
              <w:t>МСЭ</w:t>
            </w:r>
            <w:r w:rsidR="007A7CC5" w:rsidRPr="00FD6E3F">
              <w:rPr>
                <w:rFonts w:eastAsia="SimSun"/>
                <w:lang w:val="ru-RU" w:eastAsia="zh-CN"/>
              </w:rPr>
              <w:t>-D</w:t>
            </w:r>
          </w:p>
        </w:tc>
        <w:tc>
          <w:tcPr>
            <w:tcW w:w="2076" w:type="dxa"/>
            <w:shd w:val="clear" w:color="auto" w:fill="auto"/>
          </w:tcPr>
          <w:p w:rsidR="007A7CC5" w:rsidRPr="00FD6E3F" w:rsidRDefault="007A7CC5" w:rsidP="002A4122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FD6E3F">
              <w:rPr>
                <w:rFonts w:eastAsia="SimSun"/>
                <w:lang w:val="ru-RU" w:eastAsia="zh-CN"/>
              </w:rPr>
              <w:t>7950 (2)</w:t>
            </w:r>
          </w:p>
        </w:tc>
        <w:tc>
          <w:tcPr>
            <w:tcW w:w="3594" w:type="dxa"/>
            <w:shd w:val="clear" w:color="auto" w:fill="auto"/>
          </w:tcPr>
          <w:p w:rsidR="007A7CC5" w:rsidRPr="00FD6E3F" w:rsidRDefault="007A7CC5" w:rsidP="002A4122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FD6E3F">
              <w:rPr>
                <w:rFonts w:eastAsia="SimSun"/>
                <w:lang w:val="ru-RU" w:eastAsia="zh-CN"/>
              </w:rPr>
              <w:t>3975 (2)</w:t>
            </w:r>
          </w:p>
        </w:tc>
        <w:tc>
          <w:tcPr>
            <w:tcW w:w="2272" w:type="dxa"/>
          </w:tcPr>
          <w:p w:rsidR="007A7CC5" w:rsidRPr="00FD6E3F" w:rsidRDefault="007A7CC5" w:rsidP="002A4122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FD6E3F">
              <w:rPr>
                <w:rFonts w:eastAsia="SimSun"/>
                <w:lang w:val="ru-RU" w:eastAsia="zh-CN"/>
              </w:rPr>
              <w:t>3975 (2)</w:t>
            </w:r>
          </w:p>
        </w:tc>
      </w:tr>
    </w:tbl>
    <w:p w:rsidR="007A7CC5" w:rsidRPr="00FD6E3F" w:rsidRDefault="002E0DB1" w:rsidP="002E0DB1">
      <w:pPr>
        <w:pStyle w:val="Tablelegend"/>
        <w:ind w:left="284" w:hanging="284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>1)</w:t>
      </w:r>
      <w:r>
        <w:rPr>
          <w:rFonts w:eastAsia="SimSun"/>
          <w:lang w:val="ru-RU" w:eastAsia="zh-CN"/>
        </w:rPr>
        <w:tab/>
      </w:r>
      <w:r w:rsidR="00E96DB8" w:rsidRPr="00FD6E3F">
        <w:rPr>
          <w:rFonts w:eastAsia="SimSun"/>
          <w:lang w:val="ru-RU" w:eastAsia="zh-CN"/>
        </w:rPr>
        <w:t xml:space="preserve">Минимальная ставка указана выше. </w:t>
      </w:r>
      <w:r w:rsidR="009A2443" w:rsidRPr="00FD6E3F">
        <w:rPr>
          <w:rFonts w:eastAsia="SimSun"/>
          <w:lang w:val="ru-RU" w:eastAsia="zh-CN"/>
        </w:rPr>
        <w:t>Объединени</w:t>
      </w:r>
      <w:r w:rsidR="00E96DB8" w:rsidRPr="00FD6E3F">
        <w:rPr>
          <w:rFonts w:eastAsia="SimSun"/>
          <w:lang w:val="ru-RU" w:eastAsia="zh-CN"/>
        </w:rPr>
        <w:t xml:space="preserve">я могут выбрать полную единицу, составляющую </w:t>
      </w:r>
      <w:r w:rsidR="007A7CC5" w:rsidRPr="00FD6E3F">
        <w:rPr>
          <w:rFonts w:eastAsia="SimSun"/>
          <w:lang w:val="ru-RU" w:eastAsia="zh-CN"/>
        </w:rPr>
        <w:t>63</w:t>
      </w:r>
      <w:r>
        <w:rPr>
          <w:rFonts w:eastAsia="SimSun"/>
          <w:lang w:val="ru-RU" w:eastAsia="zh-CN"/>
        </w:rPr>
        <w:t> </w:t>
      </w:r>
      <w:r w:rsidR="007A7CC5" w:rsidRPr="00FD6E3F">
        <w:rPr>
          <w:rFonts w:eastAsia="SimSun"/>
          <w:lang w:val="ru-RU" w:eastAsia="zh-CN"/>
        </w:rPr>
        <w:t>600</w:t>
      </w:r>
      <w:r>
        <w:rPr>
          <w:rFonts w:eastAsia="SimSun"/>
          <w:lang w:val="ru-RU" w:eastAsia="zh-CN"/>
        </w:rPr>
        <w:t> </w:t>
      </w:r>
      <w:r w:rsidR="00224E50" w:rsidRPr="00FD6E3F">
        <w:rPr>
          <w:szCs w:val="24"/>
          <w:lang w:val="ru-RU"/>
        </w:rPr>
        <w:t>швейцарских франков</w:t>
      </w:r>
      <w:r w:rsidR="00E96DB8" w:rsidRPr="00FD6E3F">
        <w:rPr>
          <w:szCs w:val="24"/>
          <w:lang w:val="ru-RU"/>
        </w:rPr>
        <w:t>,</w:t>
      </w:r>
      <w:r w:rsidR="00224E50" w:rsidRPr="00FD6E3F">
        <w:rPr>
          <w:rFonts w:eastAsia="SimSun"/>
          <w:lang w:val="ru-RU" w:eastAsia="zh-CN"/>
        </w:rPr>
        <w:t xml:space="preserve"> </w:t>
      </w:r>
      <w:r w:rsidR="009A2443" w:rsidRPr="00FD6E3F">
        <w:rPr>
          <w:rFonts w:eastAsia="SimSun"/>
          <w:lang w:val="ru-RU" w:eastAsia="zh-CN"/>
        </w:rPr>
        <w:t xml:space="preserve">или </w:t>
      </w:r>
      <w:r w:rsidR="00E96DB8" w:rsidRPr="00FD6E3F">
        <w:rPr>
          <w:rFonts w:eastAsia="SimSun"/>
          <w:lang w:val="ru-RU" w:eastAsia="zh-CN"/>
        </w:rPr>
        <w:t>большее количество единиц</w:t>
      </w:r>
      <w:r w:rsidR="007A7CC5" w:rsidRPr="00FD6E3F">
        <w:rPr>
          <w:rFonts w:eastAsia="SimSun"/>
          <w:lang w:val="ru-RU" w:eastAsia="zh-CN"/>
        </w:rPr>
        <w:t xml:space="preserve">, </w:t>
      </w:r>
      <w:r w:rsidR="00E96DB8" w:rsidRPr="00FD6E3F">
        <w:rPr>
          <w:rFonts w:eastAsia="SimSun"/>
          <w:lang w:val="ru-RU" w:eastAsia="zh-CN"/>
        </w:rPr>
        <w:t>при этом о</w:t>
      </w:r>
      <w:r>
        <w:rPr>
          <w:rFonts w:eastAsia="SimSun"/>
          <w:lang w:val="ru-RU" w:eastAsia="zh-CN"/>
        </w:rPr>
        <w:t>бъединения из некоторых стран с </w:t>
      </w:r>
      <w:r w:rsidR="00E96DB8" w:rsidRPr="00FD6E3F">
        <w:rPr>
          <w:rFonts w:eastAsia="SimSun"/>
          <w:lang w:val="ru-RU" w:eastAsia="zh-CN"/>
        </w:rPr>
        <w:t xml:space="preserve">низким уровнем дохода могут </w:t>
      </w:r>
      <w:r w:rsidR="00955053" w:rsidRPr="00FD6E3F">
        <w:rPr>
          <w:rFonts w:eastAsia="SimSun"/>
          <w:lang w:val="ru-RU" w:eastAsia="zh-CN"/>
        </w:rPr>
        <w:t xml:space="preserve">уплачивать </w:t>
      </w:r>
      <w:r w:rsidR="00E96DB8" w:rsidRPr="00FD6E3F">
        <w:rPr>
          <w:rFonts w:eastAsia="SimSun"/>
          <w:lang w:val="ru-RU" w:eastAsia="zh-CN"/>
        </w:rPr>
        <w:t xml:space="preserve">лишь </w:t>
      </w:r>
      <w:r w:rsidR="007A7CC5" w:rsidRPr="00FD6E3F">
        <w:rPr>
          <w:rFonts w:eastAsia="SimSun"/>
          <w:lang w:val="ru-RU" w:eastAsia="zh-CN"/>
        </w:rPr>
        <w:t>3975</w:t>
      </w:r>
      <w:r w:rsidR="00E96DB8" w:rsidRPr="00FD6E3F">
        <w:rPr>
          <w:rFonts w:eastAsia="SimSun"/>
          <w:lang w:val="ru-RU" w:eastAsia="zh-CN"/>
        </w:rPr>
        <w:t xml:space="preserve"> </w:t>
      </w:r>
      <w:r w:rsidR="00E96DB8" w:rsidRPr="00FD6E3F">
        <w:rPr>
          <w:szCs w:val="24"/>
          <w:lang w:val="ru-RU"/>
        </w:rPr>
        <w:t>швейцарских франков</w:t>
      </w:r>
      <w:r w:rsidR="007A7CC5" w:rsidRPr="00FD6E3F">
        <w:rPr>
          <w:rFonts w:eastAsia="SimSun"/>
          <w:lang w:val="ru-RU" w:eastAsia="zh-CN"/>
        </w:rPr>
        <w:t xml:space="preserve">. </w:t>
      </w:r>
    </w:p>
    <w:p w:rsidR="007A7CC5" w:rsidRPr="00FD6E3F" w:rsidRDefault="002E0DB1" w:rsidP="002E0DB1">
      <w:pPr>
        <w:pStyle w:val="Tablelegend"/>
        <w:ind w:left="284" w:hanging="284"/>
        <w:rPr>
          <w:rFonts w:eastAsia="SimSun"/>
          <w:b/>
          <w:bCs/>
          <w:sz w:val="16"/>
          <w:szCs w:val="16"/>
          <w:lang w:val="ru-RU" w:eastAsia="zh-CN"/>
        </w:rPr>
      </w:pPr>
      <w:r>
        <w:rPr>
          <w:rFonts w:eastAsia="SimSun"/>
          <w:lang w:val="ru-RU" w:eastAsia="zh-CN"/>
        </w:rPr>
        <w:t>2)</w:t>
      </w:r>
      <w:r>
        <w:rPr>
          <w:rFonts w:eastAsia="SimSun"/>
          <w:lang w:val="ru-RU" w:eastAsia="zh-CN"/>
        </w:rPr>
        <w:tab/>
      </w:r>
      <w:r w:rsidR="006126C1" w:rsidRPr="00FD6E3F">
        <w:rPr>
          <w:rFonts w:eastAsia="SimSun"/>
          <w:lang w:val="ru-RU" w:eastAsia="zh-CN"/>
        </w:rPr>
        <w:t>Стандартная ставка указана выше</w:t>
      </w:r>
      <w:r w:rsidR="007A7CC5" w:rsidRPr="00FD6E3F">
        <w:rPr>
          <w:rFonts w:eastAsia="SimSun"/>
          <w:lang w:val="ru-RU" w:eastAsia="zh-CN"/>
        </w:rPr>
        <w:t xml:space="preserve">. </w:t>
      </w:r>
      <w:r w:rsidR="009A2443" w:rsidRPr="00FD6E3F">
        <w:rPr>
          <w:rFonts w:eastAsia="SimSun"/>
          <w:lang w:val="ru-RU" w:eastAsia="zh-CN"/>
        </w:rPr>
        <w:t>Объединени</w:t>
      </w:r>
      <w:r w:rsidR="006126C1" w:rsidRPr="00FD6E3F">
        <w:rPr>
          <w:rFonts w:eastAsia="SimSun"/>
          <w:lang w:val="ru-RU" w:eastAsia="zh-CN"/>
        </w:rPr>
        <w:t xml:space="preserve">я, расположенные в </w:t>
      </w:r>
      <w:r w:rsidR="009A2443" w:rsidRPr="00FD6E3F">
        <w:rPr>
          <w:rFonts w:eastAsia="SimSun"/>
          <w:lang w:val="ru-RU" w:eastAsia="zh-CN"/>
        </w:rPr>
        <w:t>развивающихся странах</w:t>
      </w:r>
      <w:r w:rsidR="006126C1" w:rsidRPr="00FD6E3F">
        <w:rPr>
          <w:rFonts w:eastAsia="SimSun"/>
          <w:lang w:val="ru-RU" w:eastAsia="zh-CN"/>
        </w:rPr>
        <w:t xml:space="preserve">, могут </w:t>
      </w:r>
      <w:r w:rsidR="00955053" w:rsidRPr="00FD6E3F">
        <w:rPr>
          <w:rFonts w:eastAsia="SimSun"/>
          <w:lang w:val="ru-RU" w:eastAsia="zh-CN"/>
        </w:rPr>
        <w:t xml:space="preserve">уплачивать </w:t>
      </w:r>
      <w:r w:rsidR="007A7CC5" w:rsidRPr="00FD6E3F">
        <w:rPr>
          <w:rFonts w:eastAsia="SimSun"/>
          <w:lang w:val="ru-RU" w:eastAsia="zh-CN"/>
        </w:rPr>
        <w:t xml:space="preserve">50 </w:t>
      </w:r>
      <w:r w:rsidR="006126C1" w:rsidRPr="00FD6E3F">
        <w:rPr>
          <w:rFonts w:eastAsia="SimSun"/>
          <w:lang w:val="ru-RU" w:eastAsia="zh-CN"/>
        </w:rPr>
        <w:t xml:space="preserve">процентов от этой суммы </w:t>
      </w:r>
      <w:r w:rsidR="007A7CC5" w:rsidRPr="00FD6E3F">
        <w:rPr>
          <w:rFonts w:eastAsia="SimSun"/>
          <w:lang w:val="ru-RU" w:eastAsia="zh-CN"/>
        </w:rPr>
        <w:t>(1987</w:t>
      </w:r>
      <w:r w:rsidR="00224E50" w:rsidRPr="00FD6E3F">
        <w:rPr>
          <w:rFonts w:eastAsia="SimSun"/>
          <w:lang w:val="ru-RU" w:eastAsia="zh-CN"/>
        </w:rPr>
        <w:t>,</w:t>
      </w:r>
      <w:r w:rsidR="007A7CC5" w:rsidRPr="00FD6E3F">
        <w:rPr>
          <w:rFonts w:eastAsia="SimSun"/>
          <w:lang w:val="ru-RU" w:eastAsia="zh-CN"/>
        </w:rPr>
        <w:t>50</w:t>
      </w:r>
      <w:r w:rsidR="006126C1" w:rsidRPr="00FD6E3F">
        <w:rPr>
          <w:rFonts w:eastAsia="SimSun"/>
          <w:lang w:val="ru-RU" w:eastAsia="zh-CN"/>
        </w:rPr>
        <w:t xml:space="preserve"> </w:t>
      </w:r>
      <w:r w:rsidR="006126C1" w:rsidRPr="00FD6E3F">
        <w:rPr>
          <w:szCs w:val="24"/>
          <w:lang w:val="ru-RU"/>
        </w:rPr>
        <w:t>швейцарского франка</w:t>
      </w:r>
      <w:r w:rsidR="007A7CC5" w:rsidRPr="00FD6E3F">
        <w:rPr>
          <w:rFonts w:eastAsia="SimSun"/>
          <w:lang w:val="ru-RU" w:eastAsia="zh-CN"/>
        </w:rPr>
        <w:t>).</w:t>
      </w:r>
    </w:p>
    <w:p w:rsidR="007A7CC5" w:rsidRPr="00FD6E3F" w:rsidRDefault="007A7CC5" w:rsidP="002A4122">
      <w:pPr>
        <w:pStyle w:val="Heading1"/>
        <w:rPr>
          <w:lang w:val="ru-RU"/>
        </w:rPr>
      </w:pPr>
      <w:r w:rsidRPr="00FD6E3F">
        <w:rPr>
          <w:lang w:val="ru-RU"/>
        </w:rPr>
        <w:t>6</w:t>
      </w:r>
      <w:r w:rsidRPr="00FD6E3F">
        <w:rPr>
          <w:lang w:val="ru-RU"/>
        </w:rPr>
        <w:tab/>
      </w:r>
      <w:r w:rsidR="006126C1" w:rsidRPr="00FD6E3F">
        <w:rPr>
          <w:lang w:val="ru-RU"/>
        </w:rPr>
        <w:t xml:space="preserve">Освобождение от уплаты </w:t>
      </w:r>
      <w:r w:rsidR="007A0C52" w:rsidRPr="00FD6E3F">
        <w:rPr>
          <w:lang w:val="ru-RU"/>
        </w:rPr>
        <w:t>сборов</w:t>
      </w:r>
      <w:r w:rsidR="006126C1" w:rsidRPr="00FD6E3F">
        <w:rPr>
          <w:lang w:val="ru-RU"/>
        </w:rPr>
        <w:t xml:space="preserve"> </w:t>
      </w:r>
    </w:p>
    <w:p w:rsidR="007A7CC5" w:rsidRPr="00FD6E3F" w:rsidRDefault="007A7CC5" w:rsidP="002E0DB1">
      <w:pPr>
        <w:spacing w:after="120"/>
        <w:rPr>
          <w:rFonts w:asciiTheme="minorHAnsi" w:hAnsiTheme="minorHAnsi"/>
          <w:szCs w:val="22"/>
          <w:lang w:val="ru-RU"/>
        </w:rPr>
      </w:pPr>
      <w:r w:rsidRPr="00FD6E3F">
        <w:rPr>
          <w:rFonts w:asciiTheme="minorHAnsi" w:hAnsiTheme="minorHAnsi"/>
          <w:szCs w:val="22"/>
          <w:lang w:val="ru-RU"/>
        </w:rPr>
        <w:t>6.1</w:t>
      </w:r>
      <w:r w:rsidRPr="00FD6E3F">
        <w:rPr>
          <w:rFonts w:asciiTheme="minorHAnsi" w:hAnsiTheme="minorHAnsi"/>
          <w:szCs w:val="22"/>
          <w:lang w:val="ru-RU"/>
        </w:rPr>
        <w:tab/>
      </w:r>
      <w:r w:rsidR="006126C1" w:rsidRPr="00FD6E3F">
        <w:rPr>
          <w:rFonts w:asciiTheme="minorHAnsi" w:hAnsiTheme="minorHAnsi"/>
          <w:szCs w:val="22"/>
          <w:lang w:val="ru-RU"/>
        </w:rPr>
        <w:t xml:space="preserve">Согласно </w:t>
      </w:r>
      <w:r w:rsidR="00224E50" w:rsidRPr="00FD6E3F">
        <w:rPr>
          <w:rFonts w:asciiTheme="minorHAnsi" w:hAnsiTheme="minorHAnsi"/>
          <w:szCs w:val="22"/>
          <w:lang w:val="ru-RU"/>
        </w:rPr>
        <w:t>К</w:t>
      </w:r>
      <w:r w:rsidRPr="00FD6E3F">
        <w:rPr>
          <w:rFonts w:asciiTheme="minorHAnsi" w:hAnsiTheme="minorHAnsi"/>
          <w:szCs w:val="22"/>
          <w:lang w:val="ru-RU"/>
        </w:rPr>
        <w:t xml:space="preserve">476, </w:t>
      </w:r>
      <w:r w:rsidR="006126C1" w:rsidRPr="00FD6E3F">
        <w:rPr>
          <w:rFonts w:asciiTheme="minorHAnsi" w:hAnsiTheme="minorHAnsi"/>
          <w:szCs w:val="22"/>
          <w:lang w:val="ru-RU"/>
        </w:rPr>
        <w:t xml:space="preserve">некоторым </w:t>
      </w:r>
      <w:r w:rsidR="009A2443" w:rsidRPr="00FD6E3F">
        <w:rPr>
          <w:rFonts w:asciiTheme="minorHAnsi" w:hAnsiTheme="minorHAnsi"/>
          <w:szCs w:val="22"/>
          <w:lang w:val="ru-RU"/>
        </w:rPr>
        <w:t>объединени</w:t>
      </w:r>
      <w:r w:rsidR="006126C1" w:rsidRPr="00FD6E3F">
        <w:rPr>
          <w:rFonts w:asciiTheme="minorHAnsi" w:hAnsiTheme="minorHAnsi"/>
          <w:szCs w:val="22"/>
          <w:lang w:val="ru-RU"/>
        </w:rPr>
        <w:t>ям</w:t>
      </w:r>
      <w:r w:rsidRPr="00FD6E3F">
        <w:rPr>
          <w:rFonts w:asciiTheme="minorHAnsi" w:hAnsiTheme="minorHAnsi"/>
          <w:szCs w:val="22"/>
          <w:lang w:val="ru-RU"/>
        </w:rPr>
        <w:t xml:space="preserve"> </w:t>
      </w:r>
      <w:r w:rsidR="006126C1" w:rsidRPr="00FD6E3F">
        <w:rPr>
          <w:rFonts w:asciiTheme="minorHAnsi" w:hAnsiTheme="minorHAnsi"/>
          <w:szCs w:val="22"/>
          <w:lang w:val="ru-RU"/>
        </w:rPr>
        <w:t xml:space="preserve">международного характера может быть предоставлено освобождение от уплаты членских </w:t>
      </w:r>
      <w:r w:rsidR="007A0C52" w:rsidRPr="00FD6E3F">
        <w:rPr>
          <w:rFonts w:asciiTheme="minorHAnsi" w:hAnsiTheme="minorHAnsi"/>
          <w:szCs w:val="22"/>
          <w:lang w:val="ru-RU"/>
        </w:rPr>
        <w:t xml:space="preserve">сборов </w:t>
      </w:r>
      <w:r w:rsidR="009A2443" w:rsidRPr="00FD6E3F">
        <w:rPr>
          <w:rFonts w:asciiTheme="minorHAnsi" w:hAnsiTheme="minorHAnsi"/>
          <w:szCs w:val="22"/>
          <w:lang w:val="ru-RU"/>
        </w:rPr>
        <w:t>Совет</w:t>
      </w:r>
      <w:r w:rsidR="006126C1" w:rsidRPr="00FD6E3F">
        <w:rPr>
          <w:rFonts w:asciiTheme="minorHAnsi" w:hAnsiTheme="minorHAnsi"/>
          <w:szCs w:val="22"/>
          <w:lang w:val="ru-RU"/>
        </w:rPr>
        <w:t>ом на взаимной основе</w:t>
      </w:r>
      <w:r w:rsidRPr="00FD6E3F">
        <w:rPr>
          <w:rFonts w:asciiTheme="minorHAnsi" w:hAnsiTheme="minorHAnsi"/>
          <w:szCs w:val="22"/>
          <w:lang w:val="ru-RU"/>
        </w:rPr>
        <w:t xml:space="preserve">. </w:t>
      </w:r>
      <w:r w:rsidR="006126C1" w:rsidRPr="00FD6E3F">
        <w:rPr>
          <w:rFonts w:asciiTheme="minorHAnsi" w:hAnsiTheme="minorHAnsi"/>
          <w:szCs w:val="22"/>
          <w:lang w:val="ru-RU"/>
        </w:rPr>
        <w:t xml:space="preserve">Руководящие указания и процедуры предоставления освобождения были установлены </w:t>
      </w:r>
      <w:r w:rsidR="009A2443" w:rsidRPr="00FD6E3F">
        <w:rPr>
          <w:rFonts w:asciiTheme="minorHAnsi" w:hAnsiTheme="minorHAnsi"/>
          <w:szCs w:val="22"/>
          <w:lang w:val="ru-RU"/>
        </w:rPr>
        <w:t>Совет</w:t>
      </w:r>
      <w:r w:rsidR="006126C1" w:rsidRPr="00FD6E3F">
        <w:rPr>
          <w:rFonts w:asciiTheme="minorHAnsi" w:hAnsiTheme="minorHAnsi"/>
          <w:szCs w:val="22"/>
          <w:lang w:val="ru-RU"/>
        </w:rPr>
        <w:t>ом</w:t>
      </w:r>
      <w:r w:rsidR="00955053" w:rsidRPr="00FD6E3F">
        <w:rPr>
          <w:rFonts w:asciiTheme="minorHAnsi" w:hAnsiTheme="minorHAnsi"/>
          <w:szCs w:val="22"/>
          <w:lang w:val="ru-RU"/>
        </w:rPr>
        <w:t xml:space="preserve"> </w:t>
      </w:r>
      <w:r w:rsidRPr="00FD6E3F">
        <w:rPr>
          <w:rFonts w:asciiTheme="minorHAnsi" w:hAnsiTheme="minorHAnsi"/>
          <w:szCs w:val="22"/>
          <w:lang w:val="ru-RU"/>
        </w:rPr>
        <w:t>2000</w:t>
      </w:r>
      <w:r w:rsidR="00955053" w:rsidRPr="00FD6E3F">
        <w:rPr>
          <w:rFonts w:asciiTheme="minorHAnsi" w:hAnsiTheme="minorHAnsi"/>
          <w:szCs w:val="22"/>
          <w:lang w:val="ru-RU"/>
        </w:rPr>
        <w:t xml:space="preserve"> года</w:t>
      </w:r>
      <w:r w:rsidRPr="00FD6E3F">
        <w:rPr>
          <w:rFonts w:asciiTheme="minorHAnsi" w:hAnsiTheme="minorHAnsi"/>
          <w:szCs w:val="22"/>
          <w:lang w:val="ru-RU"/>
        </w:rPr>
        <w:t xml:space="preserve"> (</w:t>
      </w:r>
      <w:r w:rsidR="006126C1" w:rsidRPr="00FD6E3F">
        <w:rPr>
          <w:rFonts w:asciiTheme="minorHAnsi" w:hAnsiTheme="minorHAnsi"/>
          <w:szCs w:val="22"/>
          <w:lang w:val="ru-RU"/>
        </w:rPr>
        <w:t xml:space="preserve">Документ </w:t>
      </w:r>
      <w:r w:rsidR="002A4122" w:rsidRPr="00FD6E3F">
        <w:rPr>
          <w:rFonts w:asciiTheme="minorHAnsi" w:hAnsiTheme="minorHAnsi"/>
          <w:szCs w:val="22"/>
          <w:lang w:val="ru-RU"/>
        </w:rPr>
        <w:t>C2000/28(</w:t>
      </w:r>
      <w:r w:rsidR="006126C1" w:rsidRPr="00FD6E3F">
        <w:rPr>
          <w:rFonts w:asciiTheme="minorHAnsi" w:hAnsiTheme="minorHAnsi"/>
          <w:szCs w:val="22"/>
          <w:lang w:val="ru-RU"/>
        </w:rPr>
        <w:t>Rev</w:t>
      </w:r>
      <w:r w:rsidR="009A2443" w:rsidRPr="00FD6E3F">
        <w:rPr>
          <w:rFonts w:asciiTheme="minorHAnsi" w:hAnsiTheme="minorHAnsi"/>
          <w:szCs w:val="22"/>
          <w:lang w:val="ru-RU"/>
        </w:rPr>
        <w:t>.</w:t>
      </w:r>
      <w:r w:rsidRPr="00FD6E3F">
        <w:rPr>
          <w:rFonts w:asciiTheme="minorHAnsi" w:hAnsiTheme="minorHAnsi"/>
          <w:szCs w:val="22"/>
          <w:lang w:val="ru-RU"/>
        </w:rPr>
        <w:t>1</w:t>
      </w:r>
      <w:r w:rsidR="002A4122" w:rsidRPr="00FD6E3F">
        <w:rPr>
          <w:rFonts w:asciiTheme="minorHAnsi" w:hAnsiTheme="minorHAnsi"/>
          <w:szCs w:val="22"/>
          <w:lang w:val="ru-RU"/>
        </w:rPr>
        <w:t>)</w:t>
      </w:r>
      <w:r w:rsidRPr="00FD6E3F">
        <w:rPr>
          <w:rFonts w:asciiTheme="minorHAnsi" w:hAnsiTheme="minorHAnsi"/>
          <w:szCs w:val="22"/>
          <w:lang w:val="ru-RU"/>
        </w:rPr>
        <w:t xml:space="preserve">), </w:t>
      </w:r>
      <w:r w:rsidR="006126C1" w:rsidRPr="00FD6E3F">
        <w:rPr>
          <w:rFonts w:asciiTheme="minorHAnsi" w:hAnsiTheme="minorHAnsi"/>
          <w:szCs w:val="22"/>
          <w:lang w:val="ru-RU"/>
        </w:rPr>
        <w:t xml:space="preserve">который определил, что взаимная основа означает "взаимные выгоды, которые могут быть получены как МСЭ, так и конкретной организацией в </w:t>
      </w:r>
      <w:r w:rsidR="006126C1" w:rsidRPr="00FD6E3F">
        <w:rPr>
          <w:rFonts w:asciiTheme="minorHAnsi" w:hAnsiTheme="minorHAnsi"/>
          <w:szCs w:val="22"/>
          <w:cs/>
          <w:lang w:val="ru-RU"/>
        </w:rPr>
        <w:t>‎</w:t>
      </w:r>
      <w:r w:rsidR="006126C1" w:rsidRPr="00FD6E3F">
        <w:rPr>
          <w:rFonts w:asciiTheme="minorHAnsi" w:hAnsiTheme="minorHAnsi"/>
          <w:szCs w:val="22"/>
          <w:lang w:val="ru-RU"/>
        </w:rPr>
        <w:t>результате участия последней в соответствующей деятельности МСЭ</w:t>
      </w:r>
      <w:r w:rsidR="006126C1" w:rsidRPr="00FD6E3F">
        <w:rPr>
          <w:rFonts w:asciiTheme="minorHAnsi" w:hAnsiTheme="minorHAnsi"/>
          <w:szCs w:val="22"/>
          <w:cs/>
          <w:lang w:val="ru-RU"/>
        </w:rPr>
        <w:t>‎</w:t>
      </w:r>
      <w:r w:rsidR="006126C1" w:rsidRPr="00FD6E3F">
        <w:rPr>
          <w:rFonts w:asciiTheme="minorHAnsi" w:hAnsiTheme="minorHAnsi"/>
          <w:szCs w:val="22"/>
          <w:rtl/>
          <w:cs/>
          <w:lang w:val="ru-RU"/>
        </w:rPr>
        <w:t>"</w:t>
      </w:r>
      <w:r w:rsidRPr="00FD6E3F">
        <w:rPr>
          <w:rFonts w:asciiTheme="minorHAnsi" w:hAnsiTheme="minorHAnsi" w:cstheme="minorHAnsi"/>
          <w:szCs w:val="22"/>
          <w:lang w:val="ru-RU"/>
        </w:rPr>
        <w:t xml:space="preserve">. </w:t>
      </w:r>
      <w:r w:rsidR="009A2443" w:rsidRPr="00FD6E3F">
        <w:rPr>
          <w:rFonts w:asciiTheme="minorHAnsi" w:hAnsiTheme="minorHAnsi" w:cstheme="minorHAnsi"/>
          <w:szCs w:val="22"/>
          <w:lang w:val="ru-RU"/>
        </w:rPr>
        <w:t>Совет</w:t>
      </w:r>
      <w:r w:rsidR="00955053" w:rsidRPr="00FD6E3F">
        <w:rPr>
          <w:rFonts w:asciiTheme="minorHAnsi" w:hAnsiTheme="minorHAnsi" w:cstheme="minorHAnsi"/>
          <w:szCs w:val="22"/>
          <w:lang w:val="ru-RU"/>
        </w:rPr>
        <w:t xml:space="preserve"> </w:t>
      </w:r>
      <w:r w:rsidRPr="00FD6E3F">
        <w:rPr>
          <w:rFonts w:asciiTheme="minorHAnsi" w:hAnsiTheme="minorHAnsi" w:cstheme="minorHAnsi"/>
          <w:szCs w:val="22"/>
          <w:lang w:val="ru-RU"/>
        </w:rPr>
        <w:t xml:space="preserve">2000 </w:t>
      </w:r>
      <w:r w:rsidR="00955053" w:rsidRPr="00FD6E3F">
        <w:rPr>
          <w:rFonts w:asciiTheme="minorHAnsi" w:hAnsiTheme="minorHAnsi" w:cstheme="minorHAnsi"/>
          <w:szCs w:val="22"/>
          <w:lang w:val="ru-RU"/>
        </w:rPr>
        <w:t xml:space="preserve">года </w:t>
      </w:r>
      <w:r w:rsidR="006126C1" w:rsidRPr="00FD6E3F">
        <w:rPr>
          <w:rFonts w:asciiTheme="minorHAnsi" w:hAnsiTheme="minorHAnsi" w:cstheme="minorHAnsi"/>
          <w:szCs w:val="22"/>
          <w:lang w:val="ru-RU"/>
        </w:rPr>
        <w:t xml:space="preserve">установил </w:t>
      </w:r>
      <w:r w:rsidR="00955053" w:rsidRPr="00FD6E3F">
        <w:rPr>
          <w:rFonts w:asciiTheme="minorHAnsi" w:hAnsiTheme="minorHAnsi" w:cstheme="minorHAnsi"/>
          <w:szCs w:val="22"/>
          <w:lang w:val="ru-RU"/>
        </w:rPr>
        <w:t xml:space="preserve">следующие </w:t>
      </w:r>
      <w:r w:rsidR="006126C1" w:rsidRPr="00FD6E3F">
        <w:rPr>
          <w:rFonts w:asciiTheme="minorHAnsi" w:hAnsiTheme="minorHAnsi" w:cstheme="minorHAnsi"/>
          <w:szCs w:val="22"/>
          <w:lang w:val="ru-RU"/>
        </w:rPr>
        <w:t>критерии для освобождения</w:t>
      </w:r>
      <w:r w:rsidR="00955053" w:rsidRPr="00FD6E3F">
        <w:rPr>
          <w:rFonts w:asciiTheme="minorHAnsi" w:hAnsiTheme="minorHAnsi" w:cstheme="minorHAnsi"/>
          <w:szCs w:val="22"/>
          <w:lang w:val="ru-RU"/>
        </w:rPr>
        <w:t>. Необходимо</w:t>
      </w:r>
      <w:r w:rsidRPr="00FD6E3F">
        <w:rPr>
          <w:rFonts w:asciiTheme="minorHAnsi" w:hAnsiTheme="minorHAnsi" w:cstheme="minorHAnsi"/>
          <w:szCs w:val="22"/>
          <w:lang w:val="ru-RU"/>
        </w:rPr>
        <w:t xml:space="preserve">: </w:t>
      </w:r>
    </w:p>
    <w:p w:rsidR="007A7CC5" w:rsidRPr="00FD6E3F" w:rsidRDefault="002A4122" w:rsidP="002A4122">
      <w:pPr>
        <w:pStyle w:val="enumlev1"/>
        <w:rPr>
          <w:rFonts w:cstheme="minorHAnsi"/>
          <w:lang w:val="ru-RU"/>
        </w:rPr>
      </w:pPr>
      <w:r w:rsidRPr="00FD6E3F">
        <w:rPr>
          <w:lang w:val="ru-RU"/>
        </w:rPr>
        <w:t>−</w:t>
      </w:r>
      <w:r w:rsidRPr="00FD6E3F">
        <w:rPr>
          <w:lang w:val="ru-RU"/>
        </w:rPr>
        <w:tab/>
      </w:r>
      <w:r w:rsidR="006126C1" w:rsidRPr="00FD6E3F">
        <w:rPr>
          <w:lang w:val="ru-RU"/>
        </w:rPr>
        <w:t>быть организацией международного характера, действующей в области электросвязи</w:t>
      </w:r>
      <w:r w:rsidR="007A7CC5" w:rsidRPr="00FD6E3F">
        <w:rPr>
          <w:rFonts w:cstheme="minorHAnsi"/>
          <w:lang w:val="ru-RU"/>
        </w:rPr>
        <w:t>;</w:t>
      </w:r>
    </w:p>
    <w:p w:rsidR="007A7CC5" w:rsidRPr="00FD6E3F" w:rsidRDefault="002A4122" w:rsidP="002A4122">
      <w:pPr>
        <w:pStyle w:val="enumlev1"/>
        <w:rPr>
          <w:rFonts w:cstheme="minorHAnsi"/>
          <w:lang w:val="ru-RU"/>
        </w:rPr>
      </w:pPr>
      <w:r w:rsidRPr="00FD6E3F">
        <w:rPr>
          <w:lang w:val="ru-RU"/>
        </w:rPr>
        <w:t>−</w:t>
      </w:r>
      <w:r w:rsidRPr="00FD6E3F">
        <w:rPr>
          <w:lang w:val="ru-RU"/>
        </w:rPr>
        <w:tab/>
      </w:r>
      <w:r w:rsidR="006126C1" w:rsidRPr="00FD6E3F">
        <w:rPr>
          <w:lang w:val="ru-RU"/>
        </w:rPr>
        <w:t>быть некоммерческой организацией</w:t>
      </w:r>
      <w:r w:rsidR="007A7CC5" w:rsidRPr="00FD6E3F">
        <w:rPr>
          <w:rFonts w:cstheme="minorHAnsi"/>
          <w:lang w:val="ru-RU"/>
        </w:rPr>
        <w:t>;</w:t>
      </w:r>
    </w:p>
    <w:p w:rsidR="007A7CC5" w:rsidRPr="00FD6E3F" w:rsidRDefault="002A4122" w:rsidP="002A4122">
      <w:pPr>
        <w:pStyle w:val="enumlev1"/>
        <w:rPr>
          <w:rFonts w:cstheme="minorHAnsi"/>
          <w:lang w:val="ru-RU"/>
        </w:rPr>
      </w:pPr>
      <w:r w:rsidRPr="00FD6E3F">
        <w:rPr>
          <w:lang w:val="ru-RU"/>
        </w:rPr>
        <w:t>−</w:t>
      </w:r>
      <w:r w:rsidRPr="00FD6E3F">
        <w:rPr>
          <w:lang w:val="ru-RU"/>
        </w:rPr>
        <w:tab/>
      </w:r>
      <w:r w:rsidR="006126C1" w:rsidRPr="00FD6E3F">
        <w:rPr>
          <w:lang w:val="ru-RU"/>
        </w:rPr>
        <w:t>иметь в своем составе членов, участие которых в деятельности МСЭ было бы выгодным для целей Союза</w:t>
      </w:r>
      <w:r w:rsidR="007A7CC5" w:rsidRPr="00FD6E3F">
        <w:rPr>
          <w:rFonts w:cstheme="minorHAnsi"/>
          <w:lang w:val="ru-RU"/>
        </w:rPr>
        <w:t>;</w:t>
      </w:r>
    </w:p>
    <w:p w:rsidR="006126C1" w:rsidRPr="00FD6E3F" w:rsidRDefault="002A4122" w:rsidP="002A4122">
      <w:pPr>
        <w:pStyle w:val="enumlev1"/>
        <w:rPr>
          <w:rFonts w:cstheme="minorHAnsi"/>
          <w:lang w:val="ru-RU"/>
        </w:rPr>
      </w:pPr>
      <w:r w:rsidRPr="00FD6E3F">
        <w:rPr>
          <w:lang w:val="ru-RU"/>
        </w:rPr>
        <w:t>−</w:t>
      </w:r>
      <w:r w:rsidRPr="00FD6E3F">
        <w:rPr>
          <w:lang w:val="ru-RU"/>
        </w:rPr>
        <w:tab/>
      </w:r>
      <w:r w:rsidR="006126C1" w:rsidRPr="00FD6E3F">
        <w:rPr>
          <w:lang w:val="ru-RU"/>
        </w:rPr>
        <w:t>давать МСЭ возможность быть представленным на собраниях данной организации и участвовать в них на бесплатной основе</w:t>
      </w:r>
    </w:p>
    <w:p w:rsidR="007A7CC5" w:rsidRPr="00FD6E3F" w:rsidRDefault="002A4122" w:rsidP="002A4122">
      <w:pPr>
        <w:pStyle w:val="enumlev1"/>
        <w:rPr>
          <w:rFonts w:cstheme="minorHAnsi"/>
          <w:lang w:val="ru-RU"/>
        </w:rPr>
      </w:pPr>
      <w:r w:rsidRPr="00FD6E3F">
        <w:rPr>
          <w:lang w:val="ru-RU"/>
        </w:rPr>
        <w:t>−</w:t>
      </w:r>
      <w:r w:rsidRPr="00FD6E3F">
        <w:rPr>
          <w:lang w:val="ru-RU"/>
        </w:rPr>
        <w:tab/>
      </w:r>
      <w:r w:rsidR="006126C1" w:rsidRPr="00FD6E3F">
        <w:rPr>
          <w:lang w:val="ru-RU"/>
        </w:rPr>
        <w:t>давать МСЭ возможность доступа к соответствующей документации</w:t>
      </w:r>
      <w:r w:rsidR="007A7CC5" w:rsidRPr="00FD6E3F">
        <w:rPr>
          <w:rFonts w:cstheme="minorHAnsi"/>
          <w:lang w:val="ru-RU"/>
        </w:rPr>
        <w:t>.</w:t>
      </w:r>
    </w:p>
    <w:p w:rsidR="007A7CC5" w:rsidRPr="00FD6E3F" w:rsidRDefault="007A7CC5" w:rsidP="002A4122">
      <w:pPr>
        <w:pStyle w:val="Heading1"/>
        <w:rPr>
          <w:lang w:val="ru-RU"/>
        </w:rPr>
      </w:pPr>
      <w:r w:rsidRPr="00FD6E3F">
        <w:rPr>
          <w:lang w:val="ru-RU"/>
        </w:rPr>
        <w:t>7</w:t>
      </w:r>
      <w:r w:rsidRPr="00FD6E3F">
        <w:rPr>
          <w:lang w:val="ru-RU"/>
        </w:rPr>
        <w:tab/>
      </w:r>
      <w:r w:rsidR="006126C1" w:rsidRPr="00FD6E3F">
        <w:rPr>
          <w:lang w:val="ru-RU"/>
        </w:rPr>
        <w:t xml:space="preserve">Возможный пересмотр </w:t>
      </w:r>
      <w:r w:rsidR="00632D2C" w:rsidRPr="00FD6E3F">
        <w:rPr>
          <w:lang w:val="ru-RU"/>
        </w:rPr>
        <w:t xml:space="preserve">членского </w:t>
      </w:r>
      <w:r w:rsidR="006126C1" w:rsidRPr="00FD6E3F">
        <w:rPr>
          <w:lang w:val="ru-RU"/>
        </w:rPr>
        <w:t xml:space="preserve">состава </w:t>
      </w:r>
      <w:r w:rsidR="005966C0" w:rsidRPr="00FD6E3F">
        <w:rPr>
          <w:lang w:val="ru-RU"/>
        </w:rPr>
        <w:t>Секторов</w:t>
      </w:r>
    </w:p>
    <w:p w:rsidR="007A7CC5" w:rsidRPr="00FD6E3F" w:rsidRDefault="007A7CC5" w:rsidP="002E0DB1">
      <w:pPr>
        <w:rPr>
          <w:rFonts w:eastAsia="SimSun"/>
          <w:szCs w:val="24"/>
          <w:lang w:val="ru-RU" w:eastAsia="zh-CN"/>
        </w:rPr>
      </w:pPr>
      <w:r w:rsidRPr="00FD6E3F">
        <w:rPr>
          <w:rFonts w:eastAsia="SimSun"/>
          <w:szCs w:val="24"/>
          <w:lang w:val="ru-RU" w:eastAsia="zh-CN"/>
        </w:rPr>
        <w:t>7.1</w:t>
      </w:r>
      <w:r w:rsidRPr="00FD6E3F">
        <w:rPr>
          <w:rFonts w:eastAsia="SimSun"/>
          <w:szCs w:val="24"/>
          <w:lang w:val="ru-RU" w:eastAsia="zh-CN"/>
        </w:rPr>
        <w:tab/>
      </w:r>
      <w:r w:rsidR="006126C1" w:rsidRPr="00FD6E3F">
        <w:rPr>
          <w:rFonts w:eastAsia="SimSun"/>
          <w:szCs w:val="24"/>
          <w:lang w:val="ru-RU" w:eastAsia="zh-CN"/>
        </w:rPr>
        <w:t xml:space="preserve">В </w:t>
      </w:r>
      <w:r w:rsidR="009A2443" w:rsidRPr="00FD6E3F">
        <w:rPr>
          <w:rFonts w:eastAsia="SimSun"/>
          <w:szCs w:val="24"/>
          <w:lang w:val="ru-RU" w:eastAsia="zh-CN"/>
        </w:rPr>
        <w:t>Резолюци</w:t>
      </w:r>
      <w:r w:rsidR="006126C1" w:rsidRPr="00FD6E3F">
        <w:rPr>
          <w:rFonts w:eastAsia="SimSun"/>
          <w:szCs w:val="24"/>
          <w:lang w:val="ru-RU" w:eastAsia="zh-CN"/>
        </w:rPr>
        <w:t>и</w:t>
      </w:r>
      <w:r w:rsidRPr="00FD6E3F">
        <w:rPr>
          <w:rFonts w:eastAsia="SimSun"/>
          <w:szCs w:val="24"/>
          <w:lang w:val="ru-RU" w:eastAsia="zh-CN"/>
        </w:rPr>
        <w:t xml:space="preserve"> 158 (</w:t>
      </w:r>
      <w:r w:rsidR="009A2443" w:rsidRPr="00FD6E3F">
        <w:rPr>
          <w:rFonts w:eastAsia="SimSun"/>
          <w:szCs w:val="24"/>
          <w:lang w:val="ru-RU" w:eastAsia="zh-CN"/>
        </w:rPr>
        <w:t>Пересм.</w:t>
      </w:r>
      <w:r w:rsidRPr="00FD6E3F">
        <w:rPr>
          <w:rFonts w:eastAsia="SimSun"/>
          <w:szCs w:val="24"/>
          <w:lang w:val="ru-RU" w:eastAsia="zh-CN"/>
        </w:rPr>
        <w:t xml:space="preserve"> </w:t>
      </w:r>
      <w:r w:rsidR="009A2443" w:rsidRPr="00FD6E3F">
        <w:rPr>
          <w:rFonts w:eastAsia="SimSun"/>
          <w:szCs w:val="24"/>
          <w:lang w:val="ru-RU" w:eastAsia="zh-CN"/>
        </w:rPr>
        <w:t>Гвадалахара, 2010 г.) Совет</w:t>
      </w:r>
      <w:r w:rsidR="006126C1" w:rsidRPr="00FD6E3F">
        <w:rPr>
          <w:rFonts w:eastAsia="SimSun"/>
          <w:szCs w:val="24"/>
          <w:lang w:val="ru-RU" w:eastAsia="zh-CN"/>
        </w:rPr>
        <w:t xml:space="preserve">у поручается </w:t>
      </w:r>
      <w:r w:rsidR="00632D2C" w:rsidRPr="00FD6E3F">
        <w:rPr>
          <w:rFonts w:eastAsia="SimSun"/>
          <w:szCs w:val="24"/>
          <w:lang w:val="ru-RU" w:eastAsia="zh-CN"/>
        </w:rPr>
        <w:t>изучить существующие подходы к членскому составу Секторов, в том числе возможность изменений в таких областях</w:t>
      </w:r>
      <w:r w:rsidR="002E0DB1">
        <w:rPr>
          <w:rFonts w:eastAsia="SimSun"/>
          <w:szCs w:val="24"/>
          <w:lang w:val="ru-RU" w:eastAsia="zh-CN"/>
        </w:rPr>
        <w:t>,</w:t>
      </w:r>
      <w:r w:rsidR="00632D2C" w:rsidRPr="00FD6E3F">
        <w:rPr>
          <w:rFonts w:eastAsia="SimSun"/>
          <w:szCs w:val="24"/>
          <w:lang w:val="ru-RU" w:eastAsia="zh-CN"/>
        </w:rPr>
        <w:t xml:space="preserve"> как структура сборов и категории членов, включая возможность сочетания участия в работе нескольких Секторов (например, единое членство во всех трех Секторах). ПК-10 также установила новую категорию участия МСЭ для академических </w:t>
      </w:r>
      <w:r w:rsidR="009A2443" w:rsidRPr="00FD6E3F">
        <w:rPr>
          <w:rFonts w:eastAsia="SimSun"/>
          <w:szCs w:val="24"/>
          <w:lang w:val="ru-RU" w:eastAsia="zh-CN"/>
        </w:rPr>
        <w:t>организаци</w:t>
      </w:r>
      <w:r w:rsidR="00632D2C" w:rsidRPr="00FD6E3F">
        <w:rPr>
          <w:rFonts w:eastAsia="SimSun"/>
          <w:szCs w:val="24"/>
          <w:lang w:val="ru-RU" w:eastAsia="zh-CN"/>
        </w:rPr>
        <w:t xml:space="preserve">й и исследовательских учреждений, пересмотрела </w:t>
      </w:r>
      <w:r w:rsidR="009A2443" w:rsidRPr="00FD6E3F">
        <w:rPr>
          <w:rFonts w:eastAsia="SimSun"/>
          <w:szCs w:val="24"/>
          <w:lang w:val="ru-RU" w:eastAsia="zh-CN"/>
        </w:rPr>
        <w:t>положения</w:t>
      </w:r>
      <w:r w:rsidR="00632D2C" w:rsidRPr="00FD6E3F">
        <w:rPr>
          <w:rFonts w:eastAsia="SimSun"/>
          <w:szCs w:val="24"/>
          <w:lang w:val="ru-RU" w:eastAsia="zh-CN"/>
        </w:rPr>
        <w:t xml:space="preserve">, касающиеся уплаты </w:t>
      </w:r>
      <w:r w:rsidR="0000032C" w:rsidRPr="00FD6E3F">
        <w:rPr>
          <w:rFonts w:eastAsia="SimSun"/>
          <w:szCs w:val="24"/>
          <w:lang w:val="ru-RU" w:eastAsia="zh-CN"/>
        </w:rPr>
        <w:t>сборов</w:t>
      </w:r>
      <w:r w:rsidR="00632D2C" w:rsidRPr="00FD6E3F">
        <w:rPr>
          <w:rFonts w:eastAsia="SimSun"/>
          <w:szCs w:val="24"/>
          <w:lang w:val="ru-RU" w:eastAsia="zh-CN"/>
        </w:rPr>
        <w:t xml:space="preserve">, и утвердила новые </w:t>
      </w:r>
      <w:r w:rsidR="00AE7342" w:rsidRPr="00FD6E3F">
        <w:rPr>
          <w:rFonts w:eastAsia="SimSun"/>
          <w:szCs w:val="24"/>
          <w:lang w:val="ru-RU" w:eastAsia="zh-CN"/>
        </w:rPr>
        <w:t>уменьшенные</w:t>
      </w:r>
      <w:r w:rsidR="00632D2C" w:rsidRPr="00FD6E3F">
        <w:rPr>
          <w:rFonts w:eastAsia="SimSun"/>
          <w:szCs w:val="24"/>
          <w:lang w:val="ru-RU" w:eastAsia="zh-CN"/>
        </w:rPr>
        <w:t xml:space="preserve"> членские </w:t>
      </w:r>
      <w:r w:rsidR="0000032C" w:rsidRPr="00FD6E3F">
        <w:rPr>
          <w:rFonts w:eastAsia="SimSun"/>
          <w:szCs w:val="24"/>
          <w:lang w:val="ru-RU" w:eastAsia="zh-CN"/>
        </w:rPr>
        <w:t>сборы</w:t>
      </w:r>
      <w:r w:rsidRPr="00FD6E3F">
        <w:rPr>
          <w:rFonts w:eastAsia="SimSun"/>
          <w:szCs w:val="24"/>
          <w:lang w:val="ru-RU" w:eastAsia="zh-CN"/>
        </w:rPr>
        <w:t xml:space="preserve"> </w:t>
      </w:r>
      <w:r w:rsidR="00632D2C" w:rsidRPr="00FD6E3F">
        <w:rPr>
          <w:rFonts w:eastAsia="SimSun"/>
          <w:szCs w:val="24"/>
          <w:lang w:val="ru-RU" w:eastAsia="zh-CN"/>
        </w:rPr>
        <w:t>для</w:t>
      </w:r>
      <w:r w:rsidRPr="00FD6E3F">
        <w:rPr>
          <w:rFonts w:eastAsia="SimSun"/>
          <w:szCs w:val="24"/>
          <w:lang w:val="ru-RU" w:eastAsia="zh-CN"/>
        </w:rPr>
        <w:t xml:space="preserve"> </w:t>
      </w:r>
      <w:r w:rsidR="00955053" w:rsidRPr="00FD6E3F">
        <w:rPr>
          <w:rFonts w:eastAsia="SimSun"/>
          <w:szCs w:val="24"/>
          <w:lang w:val="ru-RU" w:eastAsia="zh-CN"/>
        </w:rPr>
        <w:t xml:space="preserve">участия </w:t>
      </w:r>
      <w:r w:rsidR="009A2443" w:rsidRPr="00FD6E3F">
        <w:rPr>
          <w:rFonts w:eastAsia="SimSun"/>
          <w:szCs w:val="24"/>
          <w:lang w:val="ru-RU" w:eastAsia="zh-CN"/>
        </w:rPr>
        <w:t>организаци</w:t>
      </w:r>
      <w:r w:rsidR="00632D2C" w:rsidRPr="00FD6E3F">
        <w:rPr>
          <w:rFonts w:eastAsia="SimSun"/>
          <w:szCs w:val="24"/>
          <w:lang w:val="ru-RU" w:eastAsia="zh-CN"/>
        </w:rPr>
        <w:t xml:space="preserve">й из стран </w:t>
      </w:r>
      <w:r w:rsidR="00955053" w:rsidRPr="00FD6E3F">
        <w:rPr>
          <w:rFonts w:eastAsia="SimSun"/>
          <w:szCs w:val="24"/>
          <w:lang w:val="ru-RU" w:eastAsia="zh-CN"/>
        </w:rPr>
        <w:t>с</w:t>
      </w:r>
      <w:r w:rsidR="00632D2C" w:rsidRPr="00FD6E3F">
        <w:rPr>
          <w:rFonts w:eastAsia="SimSun"/>
          <w:szCs w:val="24"/>
          <w:lang w:val="ru-RU" w:eastAsia="zh-CN"/>
        </w:rPr>
        <w:t xml:space="preserve"> очень низким уровнем доход</w:t>
      </w:r>
      <w:r w:rsidR="00955053" w:rsidRPr="00FD6E3F">
        <w:rPr>
          <w:rFonts w:eastAsia="SimSun"/>
          <w:szCs w:val="24"/>
          <w:lang w:val="ru-RU" w:eastAsia="zh-CN"/>
        </w:rPr>
        <w:t xml:space="preserve">а в </w:t>
      </w:r>
      <w:r w:rsidR="00632D2C" w:rsidRPr="00FD6E3F">
        <w:rPr>
          <w:rFonts w:eastAsia="SimSun"/>
          <w:szCs w:val="24"/>
          <w:lang w:val="ru-RU" w:eastAsia="zh-CN"/>
        </w:rPr>
        <w:t>деятельности</w:t>
      </w:r>
      <w:r w:rsidRPr="00FD6E3F">
        <w:rPr>
          <w:rFonts w:eastAsia="SimSun"/>
          <w:szCs w:val="24"/>
          <w:lang w:val="ru-RU" w:eastAsia="zh-CN"/>
        </w:rPr>
        <w:t xml:space="preserve"> </w:t>
      </w:r>
      <w:r w:rsidR="009A2443" w:rsidRPr="00FD6E3F">
        <w:rPr>
          <w:rFonts w:eastAsia="SimSun"/>
          <w:szCs w:val="24"/>
          <w:lang w:val="ru-RU" w:eastAsia="zh-CN"/>
        </w:rPr>
        <w:t>МСЭ</w:t>
      </w:r>
      <w:r w:rsidRPr="00FD6E3F">
        <w:rPr>
          <w:rFonts w:eastAsia="SimSun"/>
          <w:szCs w:val="24"/>
          <w:lang w:val="ru-RU" w:eastAsia="zh-CN"/>
        </w:rPr>
        <w:t>-R</w:t>
      </w:r>
      <w:r w:rsidR="009A2443" w:rsidRPr="00FD6E3F">
        <w:rPr>
          <w:rFonts w:eastAsia="SimSun"/>
          <w:szCs w:val="24"/>
          <w:lang w:val="ru-RU" w:eastAsia="zh-CN"/>
        </w:rPr>
        <w:t xml:space="preserve"> и МСЭ</w:t>
      </w:r>
      <w:r w:rsidRPr="00FD6E3F">
        <w:rPr>
          <w:rFonts w:eastAsia="SimSun"/>
          <w:szCs w:val="24"/>
          <w:lang w:val="ru-RU" w:eastAsia="zh-CN"/>
        </w:rPr>
        <w:t xml:space="preserve">-T. </w:t>
      </w:r>
      <w:r w:rsidR="00632D2C" w:rsidRPr="00FD6E3F">
        <w:rPr>
          <w:rFonts w:eastAsia="SimSun"/>
          <w:szCs w:val="24"/>
          <w:lang w:val="ru-RU" w:eastAsia="zh-CN"/>
        </w:rPr>
        <w:t>По каждо</w:t>
      </w:r>
      <w:r w:rsidR="00955053" w:rsidRPr="00FD6E3F">
        <w:rPr>
          <w:rFonts w:eastAsia="SimSun"/>
          <w:szCs w:val="24"/>
          <w:lang w:val="ru-RU" w:eastAsia="zh-CN"/>
        </w:rPr>
        <w:t>му</w:t>
      </w:r>
      <w:r w:rsidR="00632D2C" w:rsidRPr="00FD6E3F">
        <w:rPr>
          <w:rFonts w:eastAsia="SimSun"/>
          <w:szCs w:val="24"/>
          <w:lang w:val="ru-RU" w:eastAsia="zh-CN"/>
        </w:rPr>
        <w:t xml:space="preserve"> из этих </w:t>
      </w:r>
      <w:r w:rsidR="00955053" w:rsidRPr="00FD6E3F">
        <w:rPr>
          <w:rFonts w:eastAsia="SimSun"/>
          <w:szCs w:val="24"/>
          <w:lang w:val="ru-RU" w:eastAsia="zh-CN"/>
        </w:rPr>
        <w:t xml:space="preserve">направлений </w:t>
      </w:r>
      <w:r w:rsidR="00632D2C" w:rsidRPr="00FD6E3F">
        <w:rPr>
          <w:rFonts w:eastAsia="SimSun"/>
          <w:szCs w:val="24"/>
          <w:lang w:val="ru-RU" w:eastAsia="zh-CN"/>
        </w:rPr>
        <w:t>ПК-10 поручил</w:t>
      </w:r>
      <w:r w:rsidR="00955053" w:rsidRPr="00FD6E3F">
        <w:rPr>
          <w:rFonts w:eastAsia="SimSun"/>
          <w:szCs w:val="24"/>
          <w:lang w:val="ru-RU" w:eastAsia="zh-CN"/>
        </w:rPr>
        <w:t>а</w:t>
      </w:r>
      <w:r w:rsidR="00632D2C" w:rsidRPr="00FD6E3F">
        <w:rPr>
          <w:rFonts w:eastAsia="SimSun"/>
          <w:szCs w:val="24"/>
          <w:lang w:val="ru-RU" w:eastAsia="zh-CN"/>
        </w:rPr>
        <w:t xml:space="preserve"> Совету рассматривать ход </w:t>
      </w:r>
      <w:r w:rsidR="00955053" w:rsidRPr="00FD6E3F">
        <w:rPr>
          <w:rFonts w:eastAsia="SimSun"/>
          <w:szCs w:val="24"/>
          <w:lang w:val="ru-RU" w:eastAsia="zh-CN"/>
        </w:rPr>
        <w:t>реализации</w:t>
      </w:r>
      <w:r w:rsidR="00632D2C" w:rsidRPr="00FD6E3F">
        <w:rPr>
          <w:rFonts w:eastAsia="SimSun"/>
          <w:szCs w:val="24"/>
          <w:lang w:val="ru-RU" w:eastAsia="zh-CN"/>
        </w:rPr>
        <w:t xml:space="preserve"> и при необходимости, рекомендовать изменения</w:t>
      </w:r>
      <w:r w:rsidRPr="00FD6E3F">
        <w:rPr>
          <w:rFonts w:eastAsia="SimSun"/>
          <w:szCs w:val="24"/>
          <w:lang w:val="ru-RU" w:eastAsia="zh-CN"/>
        </w:rPr>
        <w:t>.</w:t>
      </w:r>
    </w:p>
    <w:p w:rsidR="007A7CC5" w:rsidRPr="00FD6E3F" w:rsidRDefault="007A7CC5" w:rsidP="002E0DB1">
      <w:pPr>
        <w:rPr>
          <w:rFonts w:eastAsia="SimSun"/>
          <w:lang w:val="ru-RU" w:eastAsia="zh-CN"/>
        </w:rPr>
      </w:pPr>
      <w:r w:rsidRPr="00FD6E3F">
        <w:rPr>
          <w:rFonts w:eastAsia="SimSun"/>
          <w:lang w:val="ru-RU" w:eastAsia="zh-CN"/>
        </w:rPr>
        <w:t>7.2</w:t>
      </w:r>
      <w:r w:rsidRPr="00FD6E3F">
        <w:rPr>
          <w:rFonts w:eastAsia="SimSun"/>
          <w:lang w:val="ru-RU" w:eastAsia="zh-CN"/>
        </w:rPr>
        <w:tab/>
      </w:r>
      <w:r w:rsidR="00632D2C" w:rsidRPr="00FD6E3F">
        <w:rPr>
          <w:rFonts w:eastAsia="SimSun"/>
          <w:lang w:val="ru-RU" w:eastAsia="zh-CN"/>
        </w:rPr>
        <w:t xml:space="preserve">Совет 2011 года поручил </w:t>
      </w:r>
      <w:r w:rsidR="00955053" w:rsidRPr="00FD6E3F">
        <w:rPr>
          <w:rFonts w:eastAsia="SimSun"/>
          <w:lang w:val="ru-RU" w:eastAsia="zh-CN"/>
        </w:rPr>
        <w:t xml:space="preserve">контроль за выполнением </w:t>
      </w:r>
      <w:r w:rsidR="00632D2C" w:rsidRPr="00FD6E3F">
        <w:rPr>
          <w:rFonts w:eastAsia="SimSun"/>
          <w:lang w:val="ru-RU" w:eastAsia="zh-CN"/>
        </w:rPr>
        <w:t>решени</w:t>
      </w:r>
      <w:r w:rsidR="00955053" w:rsidRPr="00FD6E3F">
        <w:rPr>
          <w:rFonts w:eastAsia="SimSun"/>
          <w:lang w:val="ru-RU" w:eastAsia="zh-CN"/>
        </w:rPr>
        <w:t>й</w:t>
      </w:r>
      <w:r w:rsidR="00632D2C" w:rsidRPr="00FD6E3F">
        <w:rPr>
          <w:rFonts w:eastAsia="SimSun"/>
          <w:lang w:val="ru-RU" w:eastAsia="zh-CN"/>
        </w:rPr>
        <w:t xml:space="preserve"> ПК-10 по этим вопросам Рабочей группе Совета по финансовым и людским ресурсам (РГС-ФЛР) </w:t>
      </w:r>
      <w:r w:rsidR="00955053" w:rsidRPr="00FD6E3F">
        <w:rPr>
          <w:rFonts w:eastAsia="SimSun"/>
          <w:lang w:val="ru-RU" w:eastAsia="zh-CN"/>
        </w:rPr>
        <w:t>с целью</w:t>
      </w:r>
      <w:r w:rsidR="00632D2C" w:rsidRPr="00FD6E3F">
        <w:rPr>
          <w:rFonts w:eastAsia="SimSun"/>
          <w:lang w:val="ru-RU" w:eastAsia="zh-CN"/>
        </w:rPr>
        <w:t xml:space="preserve"> подготовки рекомендаций. РГС-ФЛР рассматривала эти темы на своих собраниях в 2012, 2013 и 2014 годах</w:t>
      </w:r>
      <w:r w:rsidRPr="00FD6E3F">
        <w:rPr>
          <w:rFonts w:eastAsia="SimSun"/>
          <w:lang w:val="ru-RU" w:eastAsia="zh-CN"/>
        </w:rPr>
        <w:t>.</w:t>
      </w:r>
    </w:p>
    <w:p w:rsidR="007A7CC5" w:rsidRPr="00FD6E3F" w:rsidRDefault="007A7CC5" w:rsidP="002E0DB1">
      <w:pPr>
        <w:rPr>
          <w:szCs w:val="24"/>
          <w:lang w:val="ru-RU"/>
        </w:rPr>
      </w:pPr>
      <w:r w:rsidRPr="00FD6E3F">
        <w:rPr>
          <w:szCs w:val="24"/>
          <w:lang w:val="ru-RU"/>
        </w:rPr>
        <w:t>7.3</w:t>
      </w:r>
      <w:r w:rsidRPr="00FD6E3F">
        <w:rPr>
          <w:szCs w:val="24"/>
          <w:lang w:val="ru-RU"/>
        </w:rPr>
        <w:tab/>
      </w:r>
      <w:r w:rsidR="00632D2C" w:rsidRPr="00FD6E3F">
        <w:rPr>
          <w:szCs w:val="24"/>
          <w:lang w:val="ru-RU"/>
        </w:rPr>
        <w:t>РГС-ФЛР решила сохранить модель членства в трех Секторах, но предложила ряд мер по модернизации, упрощению и повышению справедливости существующей системы</w:t>
      </w:r>
      <w:r w:rsidR="00955053" w:rsidRPr="00FD6E3F">
        <w:rPr>
          <w:szCs w:val="24"/>
          <w:lang w:val="ru-RU"/>
        </w:rPr>
        <w:t>.</w:t>
      </w:r>
      <w:r w:rsidR="00632D2C" w:rsidRPr="00FD6E3F">
        <w:rPr>
          <w:szCs w:val="24"/>
          <w:lang w:val="ru-RU"/>
        </w:rPr>
        <w:t xml:space="preserve"> </w:t>
      </w:r>
      <w:r w:rsidR="00955053" w:rsidRPr="00FD6E3F">
        <w:rPr>
          <w:szCs w:val="24"/>
          <w:lang w:val="ru-RU"/>
        </w:rPr>
        <w:t xml:space="preserve">Эти меры </w:t>
      </w:r>
      <w:r w:rsidR="00632D2C" w:rsidRPr="00FD6E3F">
        <w:rPr>
          <w:szCs w:val="24"/>
          <w:lang w:val="ru-RU"/>
        </w:rPr>
        <w:t xml:space="preserve">легли в основу проекта </w:t>
      </w:r>
      <w:r w:rsidR="00632D2C" w:rsidRPr="002E0DB1">
        <w:rPr>
          <w:rFonts w:eastAsia="SimSun"/>
          <w:lang w:val="ru-RU" w:eastAsia="zh-CN"/>
        </w:rPr>
        <w:t>Резолюции</w:t>
      </w:r>
      <w:r w:rsidR="00632D2C" w:rsidRPr="00FD6E3F">
        <w:rPr>
          <w:szCs w:val="24"/>
          <w:lang w:val="ru-RU"/>
        </w:rPr>
        <w:t xml:space="preserve"> ПК-14, утвержденного Советом 2014 года</w:t>
      </w:r>
      <w:r w:rsidR="00955053" w:rsidRPr="00FD6E3F">
        <w:rPr>
          <w:szCs w:val="24"/>
          <w:lang w:val="ru-RU"/>
        </w:rPr>
        <w:t xml:space="preserve">, который </w:t>
      </w:r>
      <w:r w:rsidR="00632D2C" w:rsidRPr="00FD6E3F">
        <w:rPr>
          <w:szCs w:val="24"/>
          <w:lang w:val="ru-RU"/>
        </w:rPr>
        <w:t xml:space="preserve">представлен </w:t>
      </w:r>
      <w:r w:rsidR="00632D2C" w:rsidRPr="00FD6E3F">
        <w:rPr>
          <w:lang w:val="ru-RU"/>
        </w:rPr>
        <w:t>в</w:t>
      </w:r>
      <w:r w:rsidRPr="00FD6E3F">
        <w:rPr>
          <w:lang w:val="ru-RU"/>
        </w:rPr>
        <w:t xml:space="preserve"> </w:t>
      </w:r>
      <w:hyperlink r:id="rId24" w:history="1">
        <w:r w:rsidR="00632D2C" w:rsidRPr="00FD6E3F">
          <w:rPr>
            <w:rStyle w:val="Hyperlink"/>
            <w:lang w:val="ru-RU"/>
          </w:rPr>
          <w:t xml:space="preserve">Документе </w:t>
        </w:r>
        <w:r w:rsidRPr="00FD6E3F">
          <w:rPr>
            <w:rStyle w:val="Hyperlink"/>
            <w:lang w:val="ru-RU"/>
          </w:rPr>
          <w:t>53</w:t>
        </w:r>
      </w:hyperlink>
      <w:r w:rsidRPr="00FD6E3F">
        <w:rPr>
          <w:szCs w:val="24"/>
          <w:lang w:val="ru-RU"/>
        </w:rPr>
        <w:t xml:space="preserve">. </w:t>
      </w:r>
      <w:r w:rsidR="00B26A37" w:rsidRPr="00FD6E3F">
        <w:rPr>
          <w:szCs w:val="24"/>
          <w:lang w:val="ru-RU"/>
        </w:rPr>
        <w:t xml:space="preserve">Резюме </w:t>
      </w:r>
      <w:r w:rsidR="00632D2C" w:rsidRPr="00FD6E3F">
        <w:rPr>
          <w:szCs w:val="24"/>
          <w:lang w:val="ru-RU"/>
        </w:rPr>
        <w:t>данного проекта Резолюции с примечаниями и обосновани</w:t>
      </w:r>
      <w:r w:rsidR="00955053" w:rsidRPr="00FD6E3F">
        <w:rPr>
          <w:szCs w:val="24"/>
          <w:lang w:val="ru-RU"/>
        </w:rPr>
        <w:t>ем</w:t>
      </w:r>
      <w:r w:rsidR="00632D2C" w:rsidRPr="00FD6E3F">
        <w:rPr>
          <w:szCs w:val="24"/>
          <w:lang w:val="ru-RU"/>
        </w:rPr>
        <w:t xml:space="preserve"> по каждому пункту содержится в </w:t>
      </w:r>
      <w:r w:rsidR="00632D2C" w:rsidRPr="00FD6E3F">
        <w:rPr>
          <w:b/>
          <w:bCs/>
          <w:szCs w:val="24"/>
          <w:lang w:val="ru-RU"/>
        </w:rPr>
        <w:t xml:space="preserve">Приложении </w:t>
      </w:r>
      <w:r w:rsidRPr="00FD6E3F">
        <w:rPr>
          <w:b/>
          <w:bCs/>
          <w:szCs w:val="24"/>
          <w:lang w:val="ru-RU"/>
        </w:rPr>
        <w:t>3</w:t>
      </w:r>
      <w:r w:rsidRPr="00FD6E3F">
        <w:rPr>
          <w:szCs w:val="24"/>
          <w:lang w:val="ru-RU"/>
        </w:rPr>
        <w:t xml:space="preserve">. </w:t>
      </w:r>
    </w:p>
    <w:p w:rsidR="007A7CC5" w:rsidRPr="00FD6E3F" w:rsidRDefault="007A7CC5" w:rsidP="002E0DB1">
      <w:pPr>
        <w:rPr>
          <w:szCs w:val="24"/>
          <w:lang w:val="ru-RU"/>
        </w:rPr>
      </w:pPr>
      <w:r w:rsidRPr="00FD6E3F">
        <w:rPr>
          <w:szCs w:val="24"/>
          <w:lang w:val="ru-RU"/>
        </w:rPr>
        <w:t>7.4</w:t>
      </w:r>
      <w:r w:rsidRPr="00FD6E3F">
        <w:rPr>
          <w:szCs w:val="24"/>
          <w:lang w:val="ru-RU"/>
        </w:rPr>
        <w:tab/>
      </w:r>
      <w:r w:rsidR="00632D2C" w:rsidRPr="00FD6E3F">
        <w:rPr>
          <w:szCs w:val="24"/>
          <w:lang w:val="ru-RU"/>
        </w:rPr>
        <w:t xml:space="preserve">Кроме того, </w:t>
      </w:r>
      <w:r w:rsidR="00632D2C" w:rsidRPr="002E0DB1">
        <w:rPr>
          <w:rFonts w:eastAsia="SimSun"/>
          <w:lang w:val="ru-RU" w:eastAsia="zh-CN"/>
        </w:rPr>
        <w:t>Рабочая</w:t>
      </w:r>
      <w:r w:rsidR="00632D2C" w:rsidRPr="00FD6E3F">
        <w:rPr>
          <w:szCs w:val="24"/>
          <w:lang w:val="ru-RU"/>
        </w:rPr>
        <w:t xml:space="preserve"> группа рекомендовала рассмотреть возможность пересмотра следующих </w:t>
      </w:r>
      <w:r w:rsidR="009A2443" w:rsidRPr="00FD6E3F">
        <w:rPr>
          <w:szCs w:val="24"/>
          <w:lang w:val="ru-RU"/>
        </w:rPr>
        <w:t>Резолюци</w:t>
      </w:r>
      <w:r w:rsidR="00632D2C" w:rsidRPr="00FD6E3F">
        <w:rPr>
          <w:szCs w:val="24"/>
          <w:lang w:val="ru-RU"/>
        </w:rPr>
        <w:t>й</w:t>
      </w:r>
      <w:r w:rsidRPr="00FD6E3F">
        <w:rPr>
          <w:szCs w:val="24"/>
          <w:lang w:val="ru-RU"/>
        </w:rPr>
        <w:t>: 152, 158, 169</w:t>
      </w:r>
      <w:r w:rsidR="009A2443" w:rsidRPr="00FD6E3F">
        <w:rPr>
          <w:szCs w:val="24"/>
          <w:lang w:val="ru-RU"/>
        </w:rPr>
        <w:t xml:space="preserve"> и </w:t>
      </w:r>
      <w:r w:rsidRPr="00FD6E3F">
        <w:rPr>
          <w:szCs w:val="24"/>
          <w:lang w:val="ru-RU"/>
        </w:rPr>
        <w:t xml:space="preserve">170. </w:t>
      </w:r>
      <w:r w:rsidR="00632D2C" w:rsidRPr="00FD6E3F">
        <w:rPr>
          <w:szCs w:val="24"/>
          <w:lang w:val="ru-RU"/>
        </w:rPr>
        <w:t xml:space="preserve">Обоснование по каждому пересмотру представлено в </w:t>
      </w:r>
      <w:r w:rsidR="00632D2C" w:rsidRPr="00FD6E3F">
        <w:rPr>
          <w:b/>
          <w:bCs/>
          <w:szCs w:val="24"/>
          <w:lang w:val="ru-RU"/>
        </w:rPr>
        <w:t>Приложении</w:t>
      </w:r>
      <w:r w:rsidR="002A4122" w:rsidRPr="00FD6E3F">
        <w:rPr>
          <w:b/>
          <w:bCs/>
          <w:szCs w:val="24"/>
          <w:lang w:val="ru-RU"/>
        </w:rPr>
        <w:t> </w:t>
      </w:r>
      <w:r w:rsidRPr="00FD6E3F">
        <w:rPr>
          <w:b/>
          <w:bCs/>
          <w:szCs w:val="24"/>
          <w:lang w:val="ru-RU"/>
        </w:rPr>
        <w:t>4</w:t>
      </w:r>
      <w:r w:rsidRPr="00FD6E3F">
        <w:rPr>
          <w:szCs w:val="24"/>
          <w:lang w:val="ru-RU"/>
        </w:rPr>
        <w:t>.</w:t>
      </w:r>
      <w:r w:rsidRPr="00FD6E3F">
        <w:rPr>
          <w:b/>
          <w:bCs/>
          <w:szCs w:val="24"/>
          <w:lang w:val="ru-RU"/>
        </w:rPr>
        <w:t xml:space="preserve"> </w:t>
      </w:r>
      <w:r w:rsidR="00632D2C" w:rsidRPr="00FD6E3F">
        <w:rPr>
          <w:szCs w:val="24"/>
          <w:lang w:val="ru-RU"/>
        </w:rPr>
        <w:t xml:space="preserve">Полные тексты этих </w:t>
      </w:r>
      <w:r w:rsidR="009A2443" w:rsidRPr="00FD6E3F">
        <w:rPr>
          <w:szCs w:val="24"/>
          <w:lang w:val="ru-RU"/>
        </w:rPr>
        <w:t>Резолюци</w:t>
      </w:r>
      <w:r w:rsidR="00632D2C" w:rsidRPr="00FD6E3F">
        <w:rPr>
          <w:szCs w:val="24"/>
          <w:lang w:val="ru-RU"/>
        </w:rPr>
        <w:t xml:space="preserve">й с возможными изменениями содержатся в </w:t>
      </w:r>
      <w:hyperlink r:id="rId25" w:history="1">
        <w:r w:rsidR="00632D2C" w:rsidRPr="00FD6E3F">
          <w:rPr>
            <w:rStyle w:val="Hyperlink"/>
            <w:szCs w:val="24"/>
            <w:lang w:val="ru-RU"/>
          </w:rPr>
          <w:t xml:space="preserve">Документе </w:t>
        </w:r>
        <w:r w:rsidRPr="00FD6E3F">
          <w:rPr>
            <w:rStyle w:val="Hyperlink"/>
            <w:szCs w:val="24"/>
            <w:lang w:val="ru-RU"/>
          </w:rPr>
          <w:t>C14/108</w:t>
        </w:r>
      </w:hyperlink>
      <w:r w:rsidRPr="00FD6E3F">
        <w:rPr>
          <w:szCs w:val="24"/>
          <w:lang w:val="ru-RU"/>
        </w:rPr>
        <w:t xml:space="preserve">. </w:t>
      </w:r>
    </w:p>
    <w:p w:rsidR="007A7CC5" w:rsidRPr="00FD6E3F" w:rsidRDefault="007A7CC5" w:rsidP="007A7CC5">
      <w:pPr>
        <w:rPr>
          <w:szCs w:val="24"/>
          <w:lang w:val="ru-RU"/>
        </w:rPr>
      </w:pPr>
      <w:r w:rsidRPr="00FD6E3F">
        <w:rPr>
          <w:szCs w:val="24"/>
          <w:lang w:val="ru-RU"/>
        </w:rPr>
        <w:br w:type="page"/>
      </w:r>
    </w:p>
    <w:p w:rsidR="007A7CC5" w:rsidRPr="00FD6E3F" w:rsidRDefault="00E276EC" w:rsidP="002A4122">
      <w:pPr>
        <w:pStyle w:val="AnnexNo"/>
        <w:rPr>
          <w:lang w:val="ru-RU"/>
        </w:rPr>
      </w:pPr>
      <w:r w:rsidRPr="00FD6E3F">
        <w:rPr>
          <w:lang w:val="ru-RU"/>
        </w:rPr>
        <w:t>Приложение</w:t>
      </w:r>
      <w:r w:rsidR="007A7CC5" w:rsidRPr="00FD6E3F">
        <w:rPr>
          <w:lang w:val="ru-RU"/>
        </w:rPr>
        <w:t xml:space="preserve"> 1</w:t>
      </w:r>
    </w:p>
    <w:p w:rsidR="007A7CC5" w:rsidRPr="00FD6E3F" w:rsidRDefault="009A2443" w:rsidP="002A4122">
      <w:pPr>
        <w:pStyle w:val="Annextitle"/>
        <w:rPr>
          <w:lang w:val="ru-RU"/>
        </w:rPr>
      </w:pPr>
      <w:r w:rsidRPr="00FD6E3F">
        <w:rPr>
          <w:lang w:val="ru-RU"/>
        </w:rPr>
        <w:t>Права</w:t>
      </w:r>
      <w:r w:rsidR="00092D0E" w:rsidRPr="00FD6E3F">
        <w:rPr>
          <w:lang w:val="ru-RU"/>
        </w:rPr>
        <w:t>, связанные с участием, в разбивке по категориям</w:t>
      </w: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2551"/>
        <w:gridCol w:w="2410"/>
      </w:tblGrid>
      <w:tr w:rsidR="007A7CC5" w:rsidRPr="00FD6E3F" w:rsidTr="000979B3">
        <w:trPr>
          <w:cantSplit/>
          <w:tblHeader/>
        </w:trPr>
        <w:tc>
          <w:tcPr>
            <w:tcW w:w="1985" w:type="dxa"/>
            <w:shd w:val="pct12" w:color="auto" w:fill="auto"/>
            <w:vAlign w:val="center"/>
          </w:tcPr>
          <w:p w:rsidR="007A7CC5" w:rsidRPr="00FD6E3F" w:rsidRDefault="009A2443" w:rsidP="002A4122">
            <w:pPr>
              <w:pStyle w:val="Tablehead"/>
              <w:rPr>
                <w:bCs/>
                <w:u w:val="single"/>
                <w:lang w:val="ru-RU"/>
              </w:rPr>
            </w:pPr>
            <w:r w:rsidRPr="00FD6E3F">
              <w:rPr>
                <w:lang w:val="ru-RU"/>
              </w:rPr>
              <w:t>Права</w:t>
            </w:r>
            <w:r w:rsidR="007A7CC5" w:rsidRPr="00FD6E3F">
              <w:rPr>
                <w:lang w:val="ru-RU"/>
              </w:rPr>
              <w:t>/</w:t>
            </w:r>
            <w:r w:rsidR="002E0DB1" w:rsidRPr="00FD6E3F">
              <w:rPr>
                <w:lang w:val="ru-RU"/>
              </w:rPr>
              <w:t>категория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7A7CC5" w:rsidRPr="00FD6E3F" w:rsidRDefault="005966C0" w:rsidP="002A4122">
            <w:pPr>
              <w:pStyle w:val="Tablehead"/>
              <w:rPr>
                <w:bCs/>
                <w:u w:val="single"/>
                <w:lang w:val="ru-RU"/>
              </w:rPr>
            </w:pPr>
            <w:r w:rsidRPr="00FD6E3F">
              <w:rPr>
                <w:bCs/>
                <w:lang w:val="ru-RU"/>
              </w:rPr>
              <w:t>Член Сектора</w:t>
            </w:r>
          </w:p>
        </w:tc>
        <w:tc>
          <w:tcPr>
            <w:tcW w:w="2551" w:type="dxa"/>
            <w:shd w:val="pct12" w:color="auto" w:fill="auto"/>
            <w:vAlign w:val="center"/>
          </w:tcPr>
          <w:p w:rsidR="007A7CC5" w:rsidRPr="00FD6E3F" w:rsidRDefault="005966C0" w:rsidP="002A4122">
            <w:pPr>
              <w:pStyle w:val="Tablehead"/>
              <w:rPr>
                <w:bCs/>
                <w:u w:val="single"/>
                <w:lang w:val="ru-RU"/>
              </w:rPr>
            </w:pPr>
            <w:r w:rsidRPr="00FD6E3F">
              <w:rPr>
                <w:bCs/>
                <w:lang w:val="ru-RU"/>
              </w:rPr>
              <w:t>Ассоциированный член</w:t>
            </w:r>
          </w:p>
        </w:tc>
        <w:tc>
          <w:tcPr>
            <w:tcW w:w="2410" w:type="dxa"/>
            <w:shd w:val="pct12" w:color="auto" w:fill="auto"/>
            <w:vAlign w:val="center"/>
          </w:tcPr>
          <w:p w:rsidR="007A7CC5" w:rsidRPr="00FD6E3F" w:rsidRDefault="009A2443" w:rsidP="002A4122">
            <w:pPr>
              <w:pStyle w:val="Tablehead"/>
              <w:rPr>
                <w:bCs/>
                <w:u w:val="single"/>
                <w:lang w:val="ru-RU"/>
              </w:rPr>
            </w:pPr>
            <w:r w:rsidRPr="00FD6E3F">
              <w:rPr>
                <w:bCs/>
                <w:lang w:val="ru-RU"/>
              </w:rPr>
              <w:t>Академические организации</w:t>
            </w:r>
          </w:p>
        </w:tc>
      </w:tr>
      <w:tr w:rsidR="007A7CC5" w:rsidRPr="009B2773" w:rsidTr="000979B3">
        <w:trPr>
          <w:cantSplit/>
        </w:trPr>
        <w:tc>
          <w:tcPr>
            <w:tcW w:w="1985" w:type="dxa"/>
          </w:tcPr>
          <w:p w:rsidR="007A7CC5" w:rsidRPr="00FD6E3F" w:rsidRDefault="005966C0" w:rsidP="002A4122">
            <w:pPr>
              <w:pStyle w:val="Tabletext"/>
              <w:rPr>
                <w:lang w:val="ru-RU"/>
              </w:rPr>
            </w:pPr>
            <w:r w:rsidRPr="00FD6E3F">
              <w:rPr>
                <w:lang w:val="ru-RU"/>
              </w:rPr>
              <w:t>Исследовательские комиссии</w:t>
            </w:r>
          </w:p>
        </w:tc>
        <w:tc>
          <w:tcPr>
            <w:tcW w:w="2835" w:type="dxa"/>
          </w:tcPr>
          <w:p w:rsidR="007A7CC5" w:rsidRPr="00FD6E3F" w:rsidRDefault="00E276EC" w:rsidP="002A4122">
            <w:pPr>
              <w:pStyle w:val="Tabletext"/>
              <w:rPr>
                <w:lang w:val="ru-RU"/>
              </w:rPr>
            </w:pPr>
            <w:r w:rsidRPr="00FD6E3F">
              <w:rPr>
                <w:lang w:val="ru-RU"/>
              </w:rPr>
              <w:t xml:space="preserve">Все </w:t>
            </w:r>
            <w:r w:rsidR="002E0DB1" w:rsidRPr="00FD6E3F">
              <w:rPr>
                <w:lang w:val="ru-RU"/>
              </w:rPr>
              <w:t xml:space="preserve">исследовательские </w:t>
            </w:r>
            <w:r w:rsidR="005966C0" w:rsidRPr="00FD6E3F">
              <w:rPr>
                <w:lang w:val="ru-RU"/>
              </w:rPr>
              <w:t>комиссии</w:t>
            </w:r>
            <w:r w:rsidR="007A7CC5" w:rsidRPr="00FD6E3F">
              <w:rPr>
                <w:lang w:val="ru-RU"/>
              </w:rPr>
              <w:t xml:space="preserve"> </w:t>
            </w:r>
            <w:r w:rsidRPr="00FD6E3F">
              <w:rPr>
                <w:lang w:val="ru-RU"/>
              </w:rPr>
              <w:t xml:space="preserve">соответствующего </w:t>
            </w:r>
            <w:r w:rsidR="009A2443" w:rsidRPr="00FD6E3F">
              <w:rPr>
                <w:lang w:val="ru-RU"/>
              </w:rPr>
              <w:t>Сектор</w:t>
            </w:r>
            <w:r w:rsidRPr="00FD6E3F">
              <w:rPr>
                <w:lang w:val="ru-RU"/>
              </w:rPr>
              <w:t>а</w:t>
            </w:r>
            <w:r w:rsidR="007A7CC5" w:rsidRPr="00FD6E3F">
              <w:rPr>
                <w:lang w:val="ru-RU"/>
              </w:rPr>
              <w:t xml:space="preserve">. </w:t>
            </w:r>
            <w:r w:rsidRPr="00FD6E3F">
              <w:rPr>
                <w:lang w:val="ru-RU"/>
              </w:rPr>
              <w:t xml:space="preserve">Могут </w:t>
            </w:r>
            <w:r w:rsidR="00092D0E" w:rsidRPr="00FD6E3F">
              <w:rPr>
                <w:lang w:val="ru-RU"/>
              </w:rPr>
              <w:t>представлять вклады в письменной или устной форме</w:t>
            </w:r>
            <w:r w:rsidR="007A7CC5" w:rsidRPr="00FD6E3F">
              <w:rPr>
                <w:lang w:val="ru-RU"/>
              </w:rPr>
              <w:t xml:space="preserve">. </w:t>
            </w:r>
            <w:r w:rsidR="009A2443" w:rsidRPr="00FD6E3F">
              <w:rPr>
                <w:lang w:val="ru-RU"/>
              </w:rPr>
              <w:t>Принимать участие</w:t>
            </w:r>
            <w:r w:rsidR="007A7CC5" w:rsidRPr="00FD6E3F">
              <w:rPr>
                <w:lang w:val="ru-RU"/>
              </w:rPr>
              <w:t xml:space="preserve"> </w:t>
            </w:r>
            <w:r w:rsidRPr="00FD6E3F">
              <w:rPr>
                <w:lang w:val="ru-RU"/>
              </w:rPr>
              <w:t>в работе по составлению/редактированию</w:t>
            </w:r>
            <w:r w:rsidR="007A7CC5" w:rsidRPr="00FD6E3F">
              <w:rPr>
                <w:lang w:val="ru-RU"/>
              </w:rPr>
              <w:t xml:space="preserve">. </w:t>
            </w:r>
            <w:r w:rsidRPr="00FD6E3F">
              <w:rPr>
                <w:lang w:val="ru-RU"/>
              </w:rPr>
              <w:t>Могут пред</w:t>
            </w:r>
            <w:r w:rsidR="00955053" w:rsidRPr="00FD6E3F">
              <w:rPr>
                <w:lang w:val="ru-RU"/>
              </w:rPr>
              <w:t xml:space="preserve">лагать </w:t>
            </w:r>
            <w:r w:rsidRPr="00FD6E3F">
              <w:rPr>
                <w:lang w:val="ru-RU"/>
              </w:rPr>
              <w:t>кандидатуры председателей и заместителей председателей</w:t>
            </w:r>
            <w:r w:rsidR="007A7CC5" w:rsidRPr="00FD6E3F">
              <w:rPr>
                <w:lang w:val="ru-RU"/>
              </w:rPr>
              <w:t>.</w:t>
            </w:r>
          </w:p>
        </w:tc>
        <w:tc>
          <w:tcPr>
            <w:tcW w:w="2551" w:type="dxa"/>
          </w:tcPr>
          <w:p w:rsidR="007A7CC5" w:rsidRPr="00FD6E3F" w:rsidRDefault="00E276EC" w:rsidP="002A4122">
            <w:pPr>
              <w:pStyle w:val="Tabletext"/>
              <w:rPr>
                <w:lang w:val="ru-RU"/>
              </w:rPr>
            </w:pPr>
            <w:r w:rsidRPr="00FD6E3F">
              <w:rPr>
                <w:lang w:val="ru-RU"/>
              </w:rPr>
              <w:t xml:space="preserve">Одна исследовательская комиссия соответствующего </w:t>
            </w:r>
            <w:r w:rsidR="009A2443" w:rsidRPr="00FD6E3F">
              <w:rPr>
                <w:lang w:val="ru-RU"/>
              </w:rPr>
              <w:t>Сектор</w:t>
            </w:r>
            <w:r w:rsidRPr="00FD6E3F">
              <w:rPr>
                <w:lang w:val="ru-RU"/>
              </w:rPr>
              <w:t>а</w:t>
            </w:r>
            <w:r w:rsidR="007A7CC5" w:rsidRPr="00FD6E3F">
              <w:rPr>
                <w:lang w:val="ru-RU"/>
              </w:rPr>
              <w:t xml:space="preserve">. </w:t>
            </w:r>
            <w:r w:rsidRPr="00FD6E3F">
              <w:rPr>
                <w:lang w:val="ru-RU"/>
              </w:rPr>
              <w:t xml:space="preserve">Могут </w:t>
            </w:r>
            <w:r w:rsidR="00092D0E" w:rsidRPr="00FD6E3F">
              <w:rPr>
                <w:lang w:val="ru-RU"/>
              </w:rPr>
              <w:t>представлять вклады в письменной или устной форме</w:t>
            </w:r>
            <w:r w:rsidR="007A7CC5" w:rsidRPr="00FD6E3F">
              <w:rPr>
                <w:lang w:val="ru-RU"/>
              </w:rPr>
              <w:t xml:space="preserve">. </w:t>
            </w:r>
            <w:r w:rsidRPr="00FD6E3F">
              <w:rPr>
                <w:lang w:val="ru-RU"/>
              </w:rPr>
              <w:t>Не могут участвовать в принятии решения или в работе по взаимодействию</w:t>
            </w:r>
            <w:r w:rsidR="007A7CC5" w:rsidRPr="00FD6E3F">
              <w:rPr>
                <w:lang w:val="ru-RU"/>
              </w:rPr>
              <w:t xml:space="preserve">. </w:t>
            </w:r>
            <w:r w:rsidRPr="00FD6E3F">
              <w:rPr>
                <w:lang w:val="ru-RU"/>
              </w:rPr>
              <w:t xml:space="preserve">Могут выступать в качестве </w:t>
            </w:r>
            <w:r w:rsidR="00955053" w:rsidRPr="00FD6E3F">
              <w:rPr>
                <w:lang w:val="ru-RU"/>
              </w:rPr>
              <w:t xml:space="preserve">докладчиков </w:t>
            </w:r>
            <w:r w:rsidRPr="00FD6E3F">
              <w:rPr>
                <w:lang w:val="ru-RU"/>
              </w:rPr>
              <w:t xml:space="preserve">в </w:t>
            </w:r>
            <w:r w:rsidR="00955053" w:rsidRPr="00FD6E3F">
              <w:rPr>
                <w:lang w:val="ru-RU"/>
              </w:rPr>
              <w:t xml:space="preserve">исследовательских </w:t>
            </w:r>
            <w:r w:rsidRPr="00FD6E3F">
              <w:rPr>
                <w:lang w:val="ru-RU"/>
              </w:rPr>
              <w:t xml:space="preserve">комиссиях </w:t>
            </w:r>
            <w:r w:rsidR="009A2443" w:rsidRPr="00FD6E3F">
              <w:rPr>
                <w:lang w:val="ru-RU"/>
              </w:rPr>
              <w:t>МСЭ</w:t>
            </w:r>
            <w:r w:rsidR="007A7CC5" w:rsidRPr="00FD6E3F">
              <w:rPr>
                <w:lang w:val="ru-RU"/>
              </w:rPr>
              <w:t>-R</w:t>
            </w:r>
            <w:r w:rsidR="009A2443" w:rsidRPr="00FD6E3F">
              <w:rPr>
                <w:lang w:val="ru-RU"/>
              </w:rPr>
              <w:t xml:space="preserve"> и МСЭ</w:t>
            </w:r>
            <w:r w:rsidR="007A7CC5" w:rsidRPr="00FD6E3F">
              <w:rPr>
                <w:lang w:val="ru-RU"/>
              </w:rPr>
              <w:t>-T,</w:t>
            </w:r>
            <w:r w:rsidR="009A2443" w:rsidRPr="00FD6E3F">
              <w:rPr>
                <w:lang w:val="ru-RU"/>
              </w:rPr>
              <w:t xml:space="preserve"> и </w:t>
            </w:r>
            <w:r w:rsidRPr="00FD6E3F">
              <w:rPr>
                <w:lang w:val="ru-RU"/>
              </w:rPr>
              <w:t xml:space="preserve">заместителей докладчиков в исследовательских комиссиях </w:t>
            </w:r>
            <w:r w:rsidR="009A2443" w:rsidRPr="00FD6E3F">
              <w:rPr>
                <w:lang w:val="ru-RU"/>
              </w:rPr>
              <w:t>МСЭ</w:t>
            </w:r>
            <w:r w:rsidR="007A7CC5" w:rsidRPr="00FD6E3F">
              <w:rPr>
                <w:lang w:val="ru-RU"/>
              </w:rPr>
              <w:t>-D.</w:t>
            </w:r>
          </w:p>
        </w:tc>
        <w:tc>
          <w:tcPr>
            <w:tcW w:w="2410" w:type="dxa"/>
          </w:tcPr>
          <w:p w:rsidR="007A7CC5" w:rsidRPr="00FD6E3F" w:rsidRDefault="00092D0E" w:rsidP="002A4122">
            <w:pPr>
              <w:pStyle w:val="Tabletext"/>
              <w:rPr>
                <w:lang w:val="ru-RU"/>
              </w:rPr>
            </w:pPr>
            <w:r w:rsidRPr="00FD6E3F">
              <w:rPr>
                <w:lang w:val="ru-RU"/>
              </w:rPr>
              <w:t>Все</w:t>
            </w:r>
            <w:r w:rsidR="007A7CC5" w:rsidRPr="00FD6E3F">
              <w:rPr>
                <w:lang w:val="ru-RU"/>
              </w:rPr>
              <w:t xml:space="preserve"> </w:t>
            </w:r>
            <w:r w:rsidRPr="00FD6E3F">
              <w:rPr>
                <w:lang w:val="ru-RU"/>
              </w:rPr>
              <w:t xml:space="preserve">исследовательские </w:t>
            </w:r>
            <w:r w:rsidR="005966C0" w:rsidRPr="00FD6E3F">
              <w:rPr>
                <w:lang w:val="ru-RU"/>
              </w:rPr>
              <w:t>комиссии</w:t>
            </w:r>
            <w:r w:rsidR="009A2443" w:rsidRPr="00FD6E3F">
              <w:rPr>
                <w:lang w:val="ru-RU"/>
              </w:rPr>
              <w:t xml:space="preserve"> и </w:t>
            </w:r>
            <w:r w:rsidRPr="00FD6E3F">
              <w:rPr>
                <w:lang w:val="ru-RU"/>
              </w:rPr>
              <w:t xml:space="preserve">относящиеся к ним рабочие группы соответствующего </w:t>
            </w:r>
            <w:r w:rsidR="009A2443" w:rsidRPr="00FD6E3F">
              <w:rPr>
                <w:lang w:val="ru-RU"/>
              </w:rPr>
              <w:t>Сектор</w:t>
            </w:r>
            <w:r w:rsidRPr="00FD6E3F">
              <w:rPr>
                <w:lang w:val="ru-RU"/>
              </w:rPr>
              <w:t>а</w:t>
            </w:r>
            <w:r w:rsidR="007A7CC5" w:rsidRPr="00FD6E3F">
              <w:rPr>
                <w:lang w:val="ru-RU"/>
              </w:rPr>
              <w:t xml:space="preserve">. </w:t>
            </w:r>
            <w:r w:rsidRPr="00FD6E3F">
              <w:rPr>
                <w:lang w:val="ru-RU"/>
              </w:rPr>
              <w:t>Могут представлять вклады в письменной или устной форме</w:t>
            </w:r>
            <w:r w:rsidR="007A7CC5" w:rsidRPr="00FD6E3F">
              <w:rPr>
                <w:lang w:val="ru-RU"/>
              </w:rPr>
              <w:t>.</w:t>
            </w:r>
            <w:r w:rsidR="007A7CC5" w:rsidRPr="00FD6E3F">
              <w:rPr>
                <w:bCs/>
                <w:lang w:val="ru-RU"/>
              </w:rPr>
              <w:t xml:space="preserve"> </w:t>
            </w:r>
            <w:r w:rsidRPr="00FD6E3F">
              <w:rPr>
                <w:bCs/>
                <w:lang w:val="ru-RU"/>
              </w:rPr>
              <w:t>Не участв</w:t>
            </w:r>
            <w:r w:rsidR="00E276EC" w:rsidRPr="00FD6E3F">
              <w:rPr>
                <w:bCs/>
                <w:lang w:val="ru-RU"/>
              </w:rPr>
              <w:t>уют</w:t>
            </w:r>
            <w:r w:rsidRPr="00FD6E3F">
              <w:rPr>
                <w:bCs/>
                <w:lang w:val="ru-RU"/>
              </w:rPr>
              <w:t xml:space="preserve"> в принятии решений, включая принятие </w:t>
            </w:r>
            <w:r w:rsidR="009A2443" w:rsidRPr="00FD6E3F">
              <w:rPr>
                <w:bCs/>
                <w:lang w:val="ru-RU"/>
              </w:rPr>
              <w:t>Резолюци</w:t>
            </w:r>
            <w:r w:rsidRPr="00FD6E3F">
              <w:rPr>
                <w:bCs/>
                <w:lang w:val="ru-RU"/>
              </w:rPr>
              <w:t>й</w:t>
            </w:r>
            <w:r w:rsidR="009A2443" w:rsidRPr="00FD6E3F">
              <w:rPr>
                <w:bCs/>
                <w:lang w:val="ru-RU"/>
              </w:rPr>
              <w:t xml:space="preserve"> или </w:t>
            </w:r>
            <w:r w:rsidRPr="00FD6E3F">
              <w:rPr>
                <w:bCs/>
                <w:lang w:val="ru-RU"/>
              </w:rPr>
              <w:t>Рекомендаций</w:t>
            </w:r>
            <w:r w:rsidR="007A7CC5" w:rsidRPr="00FD6E3F">
              <w:rPr>
                <w:bCs/>
                <w:lang w:val="ru-RU"/>
              </w:rPr>
              <w:t xml:space="preserve">. </w:t>
            </w:r>
            <w:r w:rsidRPr="00FD6E3F">
              <w:rPr>
                <w:bCs/>
                <w:lang w:val="ru-RU"/>
              </w:rPr>
              <w:t xml:space="preserve">Могут выступать в качестве докладчиков в </w:t>
            </w:r>
            <w:r w:rsidR="009A2443" w:rsidRPr="00FD6E3F">
              <w:rPr>
                <w:bCs/>
                <w:lang w:val="ru-RU"/>
              </w:rPr>
              <w:t>МСЭ</w:t>
            </w:r>
            <w:r w:rsidR="007A7CC5" w:rsidRPr="00FD6E3F">
              <w:rPr>
                <w:bCs/>
                <w:lang w:val="ru-RU"/>
              </w:rPr>
              <w:t>-T</w:t>
            </w:r>
            <w:r w:rsidR="009A2443" w:rsidRPr="00FD6E3F">
              <w:rPr>
                <w:bCs/>
                <w:lang w:val="ru-RU"/>
              </w:rPr>
              <w:t xml:space="preserve"> и МСЭ</w:t>
            </w:r>
            <w:r w:rsidR="000979B3">
              <w:rPr>
                <w:bCs/>
                <w:lang w:val="ru-RU"/>
              </w:rPr>
              <w:noBreakHyphen/>
            </w:r>
            <w:r w:rsidR="007A7CC5" w:rsidRPr="00FD6E3F">
              <w:rPr>
                <w:bCs/>
                <w:lang w:val="ru-RU"/>
              </w:rPr>
              <w:t>R.</w:t>
            </w:r>
          </w:p>
        </w:tc>
      </w:tr>
      <w:tr w:rsidR="007A7CC5" w:rsidRPr="009B2773" w:rsidTr="000979B3">
        <w:trPr>
          <w:cantSplit/>
        </w:trPr>
        <w:tc>
          <w:tcPr>
            <w:tcW w:w="1985" w:type="dxa"/>
          </w:tcPr>
          <w:p w:rsidR="007A7CC5" w:rsidRPr="00FD6E3F" w:rsidRDefault="00E276EC" w:rsidP="002A4122">
            <w:pPr>
              <w:pStyle w:val="Tabletext"/>
              <w:rPr>
                <w:lang w:val="ru-RU"/>
              </w:rPr>
            </w:pPr>
            <w:r w:rsidRPr="00FD6E3F">
              <w:rPr>
                <w:lang w:val="ru-RU"/>
              </w:rPr>
              <w:t>Консультативны</w:t>
            </w:r>
            <w:r w:rsidR="00955053" w:rsidRPr="00FD6E3F">
              <w:rPr>
                <w:lang w:val="ru-RU"/>
              </w:rPr>
              <w:t>е</w:t>
            </w:r>
            <w:r w:rsidRPr="00FD6E3F">
              <w:rPr>
                <w:lang w:val="ru-RU"/>
              </w:rPr>
              <w:t xml:space="preserve"> группы </w:t>
            </w:r>
            <w:r w:rsidR="009A2443" w:rsidRPr="00FD6E3F">
              <w:rPr>
                <w:lang w:val="ru-RU"/>
              </w:rPr>
              <w:t>Сектор</w:t>
            </w:r>
            <w:r w:rsidRPr="00FD6E3F">
              <w:rPr>
                <w:lang w:val="ru-RU"/>
              </w:rPr>
              <w:t>ов</w:t>
            </w:r>
          </w:p>
        </w:tc>
        <w:tc>
          <w:tcPr>
            <w:tcW w:w="2835" w:type="dxa"/>
          </w:tcPr>
          <w:p w:rsidR="007A7CC5" w:rsidRPr="00FD6E3F" w:rsidRDefault="00E276EC" w:rsidP="002A4122">
            <w:pPr>
              <w:pStyle w:val="Tabletext"/>
              <w:rPr>
                <w:lang w:val="ru-RU"/>
              </w:rPr>
            </w:pPr>
            <w:r w:rsidRPr="00FD6E3F">
              <w:rPr>
                <w:lang w:val="ru-RU"/>
              </w:rPr>
              <w:t xml:space="preserve">Могут </w:t>
            </w:r>
            <w:r w:rsidR="009A2443" w:rsidRPr="00FD6E3F">
              <w:rPr>
                <w:lang w:val="ru-RU"/>
              </w:rPr>
              <w:t>принимать участие</w:t>
            </w:r>
            <w:r w:rsidRPr="00FD6E3F">
              <w:rPr>
                <w:lang w:val="ru-RU"/>
              </w:rPr>
              <w:t xml:space="preserve"> в работе консультативной группы соответствующего Сектора</w:t>
            </w:r>
            <w:r w:rsidR="007A7CC5" w:rsidRPr="00FD6E3F">
              <w:rPr>
                <w:lang w:val="ru-RU"/>
              </w:rPr>
              <w:t xml:space="preserve">, </w:t>
            </w:r>
            <w:r w:rsidR="00955053" w:rsidRPr="00FD6E3F">
              <w:rPr>
                <w:lang w:val="ru-RU"/>
              </w:rPr>
              <w:t xml:space="preserve">где они </w:t>
            </w:r>
            <w:r w:rsidRPr="00FD6E3F">
              <w:rPr>
                <w:lang w:val="ru-RU"/>
              </w:rPr>
              <w:t>пользуются всеми правами, связанными с участием, за исключением права голоса и соответствующих процедурных прав, таких как внесение предложений по порядку ведения и поднятия вопросов по порядку ведения. Они могут делать вклады в письменной или устной форме и могут выполнять обязанности председателя или заместителя председателя (У 28B), в том числе в любых соответствующих рабочих групп</w:t>
            </w:r>
            <w:r w:rsidR="00955053" w:rsidRPr="00FD6E3F">
              <w:rPr>
                <w:lang w:val="ru-RU"/>
              </w:rPr>
              <w:t>ах</w:t>
            </w:r>
            <w:r w:rsidR="007A7CC5" w:rsidRPr="00FD6E3F">
              <w:rPr>
                <w:lang w:val="ru-RU"/>
              </w:rPr>
              <w:t xml:space="preserve">. </w:t>
            </w:r>
          </w:p>
        </w:tc>
        <w:tc>
          <w:tcPr>
            <w:tcW w:w="2551" w:type="dxa"/>
          </w:tcPr>
          <w:p w:rsidR="007A7CC5" w:rsidRPr="00FD6E3F" w:rsidRDefault="005571D3" w:rsidP="002A4122">
            <w:pPr>
              <w:pStyle w:val="Tabletext"/>
              <w:rPr>
                <w:b/>
                <w:bCs/>
                <w:u w:val="single"/>
                <w:lang w:val="ru-RU"/>
              </w:rPr>
            </w:pPr>
            <w:r w:rsidRPr="00FD6E3F">
              <w:rPr>
                <w:lang w:val="ru-RU"/>
              </w:rPr>
              <w:t>Не имеют прав, связанных с участием</w:t>
            </w:r>
            <w:r w:rsidR="007A7CC5" w:rsidRPr="00FD6E3F">
              <w:rPr>
                <w:lang w:val="ru-RU"/>
              </w:rPr>
              <w:t>.</w:t>
            </w:r>
          </w:p>
        </w:tc>
        <w:tc>
          <w:tcPr>
            <w:tcW w:w="2410" w:type="dxa"/>
          </w:tcPr>
          <w:p w:rsidR="007A7CC5" w:rsidRPr="00FD6E3F" w:rsidRDefault="00E276EC" w:rsidP="002A4122">
            <w:pPr>
              <w:pStyle w:val="Tabletext"/>
              <w:rPr>
                <w:b/>
                <w:bCs/>
                <w:u w:val="single"/>
                <w:lang w:val="ru-RU"/>
              </w:rPr>
            </w:pPr>
            <w:r w:rsidRPr="00FD6E3F">
              <w:rPr>
                <w:lang w:val="ru-RU"/>
              </w:rPr>
              <w:t xml:space="preserve">Академические организации </w:t>
            </w:r>
            <w:r w:rsidR="009A2443" w:rsidRPr="00FD6E3F">
              <w:rPr>
                <w:lang w:val="ru-RU"/>
              </w:rPr>
              <w:t>МСЭ</w:t>
            </w:r>
            <w:r w:rsidR="007A7CC5" w:rsidRPr="00FD6E3F">
              <w:rPr>
                <w:lang w:val="ru-RU"/>
              </w:rPr>
              <w:t>-R</w:t>
            </w:r>
            <w:r w:rsidR="009A2443" w:rsidRPr="00FD6E3F">
              <w:rPr>
                <w:lang w:val="ru-RU"/>
              </w:rPr>
              <w:t xml:space="preserve"> и МСЭ</w:t>
            </w:r>
            <w:r w:rsidR="007A7CC5" w:rsidRPr="00FD6E3F">
              <w:rPr>
                <w:lang w:val="ru-RU"/>
              </w:rPr>
              <w:t xml:space="preserve">-D </w:t>
            </w:r>
            <w:r w:rsidRPr="00FD6E3F">
              <w:rPr>
                <w:lang w:val="ru-RU"/>
              </w:rPr>
              <w:t xml:space="preserve">не </w:t>
            </w:r>
            <w:r w:rsidR="009A2443" w:rsidRPr="00FD6E3F">
              <w:rPr>
                <w:lang w:val="ru-RU"/>
              </w:rPr>
              <w:t>принима</w:t>
            </w:r>
            <w:r w:rsidRPr="00FD6E3F">
              <w:rPr>
                <w:lang w:val="ru-RU"/>
              </w:rPr>
              <w:t>ют</w:t>
            </w:r>
            <w:r w:rsidR="009A2443" w:rsidRPr="00FD6E3F">
              <w:rPr>
                <w:lang w:val="ru-RU"/>
              </w:rPr>
              <w:t xml:space="preserve"> участи</w:t>
            </w:r>
            <w:r w:rsidR="0001370A" w:rsidRPr="00FD6E3F">
              <w:rPr>
                <w:lang w:val="ru-RU"/>
              </w:rPr>
              <w:t>я</w:t>
            </w:r>
            <w:r w:rsidR="007A7CC5" w:rsidRPr="00FD6E3F">
              <w:rPr>
                <w:lang w:val="ru-RU"/>
              </w:rPr>
              <w:t xml:space="preserve"> </w:t>
            </w:r>
            <w:r w:rsidRPr="00FD6E3F">
              <w:rPr>
                <w:lang w:val="ru-RU"/>
              </w:rPr>
              <w:t xml:space="preserve">в работе консультативных групп своих </w:t>
            </w:r>
            <w:r w:rsidR="009A2443" w:rsidRPr="00FD6E3F">
              <w:rPr>
                <w:lang w:val="ru-RU"/>
              </w:rPr>
              <w:t>Сектор</w:t>
            </w:r>
            <w:r w:rsidRPr="00FD6E3F">
              <w:rPr>
                <w:lang w:val="ru-RU"/>
              </w:rPr>
              <w:t>ов, в то время как</w:t>
            </w:r>
            <w:r w:rsidR="007A7CC5" w:rsidRPr="00FD6E3F">
              <w:rPr>
                <w:lang w:val="ru-RU"/>
              </w:rPr>
              <w:t xml:space="preserve"> </w:t>
            </w:r>
            <w:r w:rsidR="002E0DB1" w:rsidRPr="00FD6E3F">
              <w:rPr>
                <w:lang w:val="ru-RU"/>
              </w:rPr>
              <w:t xml:space="preserve">академические </w:t>
            </w:r>
            <w:r w:rsidRPr="00FD6E3F">
              <w:rPr>
                <w:lang w:val="ru-RU"/>
              </w:rPr>
              <w:t xml:space="preserve">организации </w:t>
            </w:r>
            <w:r w:rsidR="009A2443" w:rsidRPr="00FD6E3F">
              <w:rPr>
                <w:lang w:val="ru-RU"/>
              </w:rPr>
              <w:t>МСЭ</w:t>
            </w:r>
            <w:r w:rsidR="007A7CC5" w:rsidRPr="00FD6E3F">
              <w:rPr>
                <w:lang w:val="ru-RU"/>
              </w:rPr>
              <w:t xml:space="preserve">-T </w:t>
            </w:r>
            <w:r w:rsidRPr="00FD6E3F">
              <w:rPr>
                <w:lang w:val="ru-RU"/>
              </w:rPr>
              <w:t>могут</w:t>
            </w:r>
            <w:r w:rsidR="007A7CC5" w:rsidRPr="00FD6E3F">
              <w:rPr>
                <w:lang w:val="ru-RU"/>
              </w:rPr>
              <w:t xml:space="preserve"> </w:t>
            </w:r>
            <w:r w:rsidR="009A2443" w:rsidRPr="00FD6E3F">
              <w:rPr>
                <w:lang w:val="ru-RU"/>
              </w:rPr>
              <w:t>принимать участие</w:t>
            </w:r>
            <w:r w:rsidR="007A7CC5" w:rsidRPr="00FD6E3F">
              <w:rPr>
                <w:lang w:val="ru-RU"/>
              </w:rPr>
              <w:t xml:space="preserve"> </w:t>
            </w:r>
            <w:r w:rsidRPr="00FD6E3F">
              <w:rPr>
                <w:lang w:val="ru-RU"/>
              </w:rPr>
              <w:t xml:space="preserve">в работе КГСЭ </w:t>
            </w:r>
            <w:r w:rsidR="009A2443" w:rsidRPr="00FD6E3F">
              <w:rPr>
                <w:lang w:val="ru-RU"/>
              </w:rPr>
              <w:t>без права совещательного голоса</w:t>
            </w:r>
            <w:r w:rsidR="007A7CC5" w:rsidRPr="00FD6E3F">
              <w:rPr>
                <w:lang w:val="ru-RU"/>
              </w:rPr>
              <w:t>.</w:t>
            </w:r>
          </w:p>
        </w:tc>
      </w:tr>
      <w:tr w:rsidR="007A7CC5" w:rsidRPr="009B2773" w:rsidTr="000979B3">
        <w:trPr>
          <w:cantSplit/>
        </w:trPr>
        <w:tc>
          <w:tcPr>
            <w:tcW w:w="1985" w:type="dxa"/>
          </w:tcPr>
          <w:p w:rsidR="007A7CC5" w:rsidRPr="00FD6E3F" w:rsidRDefault="00E276EC" w:rsidP="002A4122">
            <w:pPr>
              <w:pStyle w:val="Tabletext"/>
              <w:rPr>
                <w:lang w:val="ru-RU"/>
              </w:rPr>
            </w:pPr>
            <w:r w:rsidRPr="00FD6E3F">
              <w:rPr>
                <w:lang w:val="ru-RU"/>
              </w:rPr>
              <w:t xml:space="preserve">Конференции </w:t>
            </w:r>
            <w:r w:rsidR="00955053" w:rsidRPr="00FD6E3F">
              <w:rPr>
                <w:lang w:val="ru-RU"/>
              </w:rPr>
              <w:t xml:space="preserve">по заключению договоров </w:t>
            </w:r>
            <w:r w:rsidRPr="00FD6E3F">
              <w:rPr>
                <w:lang w:val="ru-RU"/>
              </w:rPr>
              <w:t xml:space="preserve">и ассамблеи </w:t>
            </w:r>
            <w:r w:rsidR="007A7CC5" w:rsidRPr="00FD6E3F">
              <w:rPr>
                <w:lang w:val="ru-RU"/>
              </w:rPr>
              <w:t>(</w:t>
            </w:r>
            <w:r w:rsidRPr="00FD6E3F">
              <w:rPr>
                <w:lang w:val="ru-RU"/>
              </w:rPr>
              <w:t>ПК</w:t>
            </w:r>
            <w:r w:rsidR="007A7CC5" w:rsidRPr="00FD6E3F">
              <w:rPr>
                <w:lang w:val="ru-RU"/>
              </w:rPr>
              <w:t xml:space="preserve">, </w:t>
            </w:r>
            <w:r w:rsidRPr="00FD6E3F">
              <w:rPr>
                <w:lang w:val="ru-RU"/>
              </w:rPr>
              <w:t>ВКР</w:t>
            </w:r>
            <w:r w:rsidR="007A7CC5" w:rsidRPr="00FD6E3F">
              <w:rPr>
                <w:lang w:val="ru-RU"/>
              </w:rPr>
              <w:t xml:space="preserve">, </w:t>
            </w:r>
            <w:r w:rsidRPr="00FD6E3F">
              <w:rPr>
                <w:lang w:val="ru-RU"/>
              </w:rPr>
              <w:t>РКР</w:t>
            </w:r>
            <w:r w:rsidR="007A7CC5" w:rsidRPr="00FD6E3F">
              <w:rPr>
                <w:lang w:val="ru-RU"/>
              </w:rPr>
              <w:t xml:space="preserve">, </w:t>
            </w:r>
            <w:r w:rsidRPr="00FD6E3F">
              <w:rPr>
                <w:lang w:val="ru-RU"/>
              </w:rPr>
              <w:t>ВКМЭ</w:t>
            </w:r>
            <w:r w:rsidR="007A7CC5" w:rsidRPr="00FD6E3F">
              <w:rPr>
                <w:lang w:val="ru-RU"/>
              </w:rPr>
              <w:t>)</w:t>
            </w:r>
          </w:p>
        </w:tc>
        <w:tc>
          <w:tcPr>
            <w:tcW w:w="2835" w:type="dxa"/>
          </w:tcPr>
          <w:p w:rsidR="007A7CC5" w:rsidRPr="00FD6E3F" w:rsidRDefault="00E276EC" w:rsidP="002A4122">
            <w:pPr>
              <w:pStyle w:val="Tabletext"/>
              <w:rPr>
                <w:rFonts w:asciiTheme="minorHAnsi" w:hAnsiTheme="minorHAnsi"/>
                <w:b/>
                <w:bCs/>
                <w:lang w:val="ru-RU"/>
              </w:rPr>
            </w:pPr>
            <w:r w:rsidRPr="00FD6E3F">
              <w:rPr>
                <w:lang w:val="ru-RU"/>
              </w:rPr>
              <w:t xml:space="preserve">Могут </w:t>
            </w:r>
            <w:r w:rsidR="009A2443" w:rsidRPr="00FD6E3F">
              <w:rPr>
                <w:lang w:val="ru-RU"/>
              </w:rPr>
              <w:t>принимать участие</w:t>
            </w:r>
            <w:r w:rsidR="007A7CC5" w:rsidRPr="00FD6E3F">
              <w:rPr>
                <w:lang w:val="ru-RU"/>
              </w:rPr>
              <w:t xml:space="preserve"> </w:t>
            </w:r>
            <w:r w:rsidRPr="00FD6E3F">
              <w:rPr>
                <w:lang w:val="ru-RU"/>
              </w:rPr>
              <w:t xml:space="preserve">в ПК </w:t>
            </w:r>
            <w:r w:rsidR="007A7CC5" w:rsidRPr="00FD6E3F">
              <w:rPr>
                <w:lang w:val="ru-RU"/>
              </w:rPr>
              <w:t>(</w:t>
            </w:r>
            <w:r w:rsidRPr="00FD6E3F">
              <w:rPr>
                <w:lang w:val="ru-RU"/>
              </w:rPr>
              <w:t>пп.</w:t>
            </w:r>
            <w:r w:rsidR="007A7CC5" w:rsidRPr="00FD6E3F">
              <w:rPr>
                <w:lang w:val="ru-RU"/>
              </w:rPr>
              <w:t xml:space="preserve"> 229/231) </w:t>
            </w:r>
            <w:r w:rsidR="009A2443" w:rsidRPr="00FD6E3F">
              <w:rPr>
                <w:lang w:val="ru-RU"/>
              </w:rPr>
              <w:t>в качестве наблюдателей</w:t>
            </w:r>
            <w:r w:rsidR="007A7CC5" w:rsidRPr="00FD6E3F">
              <w:rPr>
                <w:lang w:val="ru-RU"/>
              </w:rPr>
              <w:t xml:space="preserve"> </w:t>
            </w:r>
            <w:r w:rsidR="009A2443" w:rsidRPr="00FD6E3F">
              <w:rPr>
                <w:lang w:val="ru-RU"/>
              </w:rPr>
              <w:t>без права совещательного голоса</w:t>
            </w:r>
            <w:r w:rsidR="007A7CC5" w:rsidRPr="00FD6E3F">
              <w:rPr>
                <w:lang w:val="ru-RU"/>
              </w:rPr>
              <w:t xml:space="preserve">. </w:t>
            </w:r>
            <w:r w:rsidRPr="00FD6E3F">
              <w:rPr>
                <w:lang w:val="ru-RU"/>
              </w:rPr>
              <w:t xml:space="preserve">Должны </w:t>
            </w:r>
            <w:r w:rsidR="00955053" w:rsidRPr="00FD6E3F">
              <w:rPr>
                <w:lang w:val="ru-RU"/>
              </w:rPr>
              <w:t xml:space="preserve">вносить </w:t>
            </w:r>
            <w:r w:rsidRPr="00FD6E3F">
              <w:rPr>
                <w:lang w:val="ru-RU"/>
              </w:rPr>
              <w:t>плат</w:t>
            </w:r>
            <w:r w:rsidR="00955053" w:rsidRPr="00FD6E3F">
              <w:rPr>
                <w:lang w:val="ru-RU"/>
              </w:rPr>
              <w:t>у</w:t>
            </w:r>
            <w:r w:rsidRPr="00FD6E3F">
              <w:rPr>
                <w:lang w:val="ru-RU"/>
              </w:rPr>
              <w:t xml:space="preserve"> за участие </w:t>
            </w:r>
            <w:r w:rsidR="007A7CC5" w:rsidRPr="00FD6E3F">
              <w:rPr>
                <w:lang w:val="ru-RU"/>
              </w:rPr>
              <w:t>(</w:t>
            </w:r>
            <w:r w:rsidRPr="00FD6E3F">
              <w:rPr>
                <w:lang w:val="ru-RU"/>
              </w:rPr>
              <w:t>если не освобождены от уплаты</w:t>
            </w:r>
            <w:r w:rsidR="007A7CC5" w:rsidRPr="00FD6E3F">
              <w:rPr>
                <w:lang w:val="ru-RU"/>
              </w:rPr>
              <w:t xml:space="preserve">). </w:t>
            </w:r>
            <w:r w:rsidR="005966C0" w:rsidRPr="00FD6E3F">
              <w:rPr>
                <w:lang w:val="ru-RU"/>
              </w:rPr>
              <w:t>Члены Сектор</w:t>
            </w:r>
            <w:r w:rsidRPr="00FD6E3F">
              <w:rPr>
                <w:lang w:val="ru-RU"/>
              </w:rPr>
              <w:t>а</w:t>
            </w:r>
            <w:r w:rsidR="007A7CC5" w:rsidRPr="00FD6E3F">
              <w:rPr>
                <w:lang w:val="ru-RU"/>
              </w:rPr>
              <w:t xml:space="preserve"> </w:t>
            </w:r>
            <w:r w:rsidRPr="00FD6E3F">
              <w:rPr>
                <w:lang w:val="ru-RU"/>
              </w:rPr>
              <w:t>МСЭ-R могут</w:t>
            </w:r>
            <w:r w:rsidR="007A7CC5" w:rsidRPr="00FD6E3F">
              <w:rPr>
                <w:lang w:val="ru-RU"/>
              </w:rPr>
              <w:t xml:space="preserve"> </w:t>
            </w:r>
            <w:r w:rsidR="009A2443" w:rsidRPr="00FD6E3F">
              <w:rPr>
                <w:lang w:val="ru-RU"/>
              </w:rPr>
              <w:t>принимать участие</w:t>
            </w:r>
            <w:r w:rsidR="007A7CC5" w:rsidRPr="00FD6E3F">
              <w:rPr>
                <w:lang w:val="ru-RU"/>
              </w:rPr>
              <w:t xml:space="preserve"> </w:t>
            </w:r>
            <w:r w:rsidR="009A2443" w:rsidRPr="00FD6E3F">
              <w:rPr>
                <w:lang w:val="ru-RU"/>
              </w:rPr>
              <w:t xml:space="preserve">в </w:t>
            </w:r>
            <w:r w:rsidRPr="00FD6E3F">
              <w:rPr>
                <w:lang w:val="ru-RU"/>
              </w:rPr>
              <w:t xml:space="preserve">ВКР и РКР </w:t>
            </w:r>
            <w:r w:rsidR="009A2443" w:rsidRPr="00FD6E3F">
              <w:rPr>
                <w:lang w:val="ru-RU"/>
              </w:rPr>
              <w:t>качестве наблюдателей</w:t>
            </w:r>
            <w:r w:rsidR="007A7CC5" w:rsidRPr="00FD6E3F">
              <w:rPr>
                <w:rFonts w:asciiTheme="minorHAnsi" w:hAnsiTheme="minorHAnsi"/>
                <w:lang w:val="ru-RU"/>
              </w:rPr>
              <w:t xml:space="preserve"> </w:t>
            </w:r>
            <w:r w:rsidR="009A2443" w:rsidRPr="00FD6E3F">
              <w:rPr>
                <w:rFonts w:asciiTheme="minorHAnsi" w:hAnsiTheme="minorHAnsi"/>
                <w:lang w:val="ru-RU"/>
              </w:rPr>
              <w:t>без права совещательного голоса</w:t>
            </w:r>
            <w:r w:rsidR="007A7CC5" w:rsidRPr="00FD6E3F">
              <w:rPr>
                <w:rFonts w:asciiTheme="minorHAnsi" w:hAnsiTheme="minorHAnsi"/>
                <w:lang w:val="ru-RU"/>
              </w:rPr>
              <w:t xml:space="preserve">. </w:t>
            </w:r>
            <w:r w:rsidRPr="00FD6E3F">
              <w:rPr>
                <w:rFonts w:asciiTheme="minorHAnsi" w:hAnsiTheme="minorHAnsi"/>
                <w:lang w:val="ru-RU"/>
              </w:rPr>
              <w:t xml:space="preserve">Не должны </w:t>
            </w:r>
            <w:r w:rsidR="00955053" w:rsidRPr="00FD6E3F">
              <w:rPr>
                <w:rFonts w:asciiTheme="minorHAnsi" w:hAnsiTheme="minorHAnsi"/>
                <w:lang w:val="ru-RU"/>
              </w:rPr>
              <w:t>вносить плату</w:t>
            </w:r>
            <w:r w:rsidRPr="00FD6E3F">
              <w:rPr>
                <w:rFonts w:asciiTheme="minorHAnsi" w:hAnsiTheme="minorHAnsi"/>
                <w:lang w:val="ru-RU"/>
              </w:rPr>
              <w:t xml:space="preserve"> за </w:t>
            </w:r>
            <w:r w:rsidR="009A2443" w:rsidRPr="00FD6E3F">
              <w:rPr>
                <w:lang w:val="ru-RU"/>
              </w:rPr>
              <w:t>участие</w:t>
            </w:r>
            <w:r w:rsidR="007A7CC5" w:rsidRPr="00FD6E3F">
              <w:rPr>
                <w:lang w:val="ru-RU"/>
              </w:rPr>
              <w:t xml:space="preserve"> (</w:t>
            </w:r>
            <w:r w:rsidRPr="00FD6E3F">
              <w:rPr>
                <w:lang w:val="ru-RU"/>
              </w:rPr>
              <w:t>за исключением участия в РКР</w:t>
            </w:r>
            <w:r w:rsidR="007A7CC5" w:rsidRPr="00FD6E3F">
              <w:rPr>
                <w:lang w:val="ru-RU"/>
              </w:rPr>
              <w:t xml:space="preserve">). </w:t>
            </w:r>
            <w:r w:rsidR="005966C0" w:rsidRPr="00FD6E3F">
              <w:rPr>
                <w:rFonts w:asciiTheme="minorHAnsi" w:hAnsiTheme="minorHAnsi"/>
                <w:lang w:val="ru-RU"/>
              </w:rPr>
              <w:t>Члены Секторов</w:t>
            </w:r>
            <w:r w:rsidR="007A7CC5" w:rsidRPr="00FD6E3F">
              <w:rPr>
                <w:rFonts w:asciiTheme="minorHAnsi" w:hAnsiTheme="minorHAnsi"/>
                <w:lang w:val="ru-RU"/>
              </w:rPr>
              <w:t xml:space="preserve"> </w:t>
            </w:r>
            <w:r w:rsidRPr="00FD6E3F">
              <w:rPr>
                <w:rFonts w:asciiTheme="minorHAnsi" w:hAnsiTheme="minorHAnsi"/>
                <w:lang w:val="ru-RU"/>
              </w:rPr>
              <w:t>МСЭ могут</w:t>
            </w:r>
            <w:r w:rsidR="007A7CC5" w:rsidRPr="00FD6E3F">
              <w:rPr>
                <w:rFonts w:asciiTheme="minorHAnsi" w:hAnsiTheme="minorHAnsi"/>
                <w:lang w:val="ru-RU"/>
              </w:rPr>
              <w:t xml:space="preserve"> </w:t>
            </w:r>
            <w:r w:rsidR="009A2443" w:rsidRPr="00FD6E3F">
              <w:rPr>
                <w:rFonts w:asciiTheme="minorHAnsi" w:hAnsiTheme="minorHAnsi"/>
                <w:lang w:val="ru-RU"/>
              </w:rPr>
              <w:t>принимать участие</w:t>
            </w:r>
            <w:r w:rsidR="007A7CC5" w:rsidRPr="00FD6E3F">
              <w:rPr>
                <w:rFonts w:asciiTheme="minorHAnsi" w:hAnsiTheme="minorHAnsi"/>
                <w:b/>
                <w:bCs/>
                <w:i/>
                <w:iCs/>
                <w:lang w:val="ru-RU"/>
              </w:rPr>
              <w:t xml:space="preserve"> </w:t>
            </w:r>
            <w:r w:rsidR="009A2443" w:rsidRPr="00FD6E3F">
              <w:rPr>
                <w:lang w:val="ru-RU"/>
              </w:rPr>
              <w:t xml:space="preserve">в </w:t>
            </w:r>
            <w:r w:rsidRPr="00FD6E3F">
              <w:rPr>
                <w:lang w:val="ru-RU"/>
              </w:rPr>
              <w:t xml:space="preserve">ВКМЭ в </w:t>
            </w:r>
            <w:r w:rsidR="009A2443" w:rsidRPr="00FD6E3F">
              <w:rPr>
                <w:lang w:val="ru-RU"/>
              </w:rPr>
              <w:t>качестве наблюдателей</w:t>
            </w:r>
            <w:r w:rsidR="007A7CC5" w:rsidRPr="00FD6E3F">
              <w:rPr>
                <w:rFonts w:asciiTheme="minorHAnsi" w:hAnsiTheme="minorHAnsi"/>
                <w:lang w:val="ru-RU"/>
              </w:rPr>
              <w:t xml:space="preserve"> </w:t>
            </w:r>
            <w:r w:rsidR="009A2443" w:rsidRPr="00FD6E3F">
              <w:rPr>
                <w:rFonts w:asciiTheme="minorHAnsi" w:hAnsiTheme="minorHAnsi"/>
                <w:lang w:val="ru-RU"/>
              </w:rPr>
              <w:t>без права совещательного голоса</w:t>
            </w:r>
            <w:r w:rsidR="007A7CC5" w:rsidRPr="00FD6E3F">
              <w:rPr>
                <w:rFonts w:asciiTheme="minorHAnsi" w:hAnsiTheme="minorHAnsi"/>
                <w:lang w:val="ru-RU"/>
              </w:rPr>
              <w:t xml:space="preserve">. </w:t>
            </w:r>
            <w:r w:rsidRPr="00FD6E3F">
              <w:rPr>
                <w:lang w:val="ru-RU"/>
              </w:rPr>
              <w:t xml:space="preserve">Должны </w:t>
            </w:r>
            <w:r w:rsidR="00955053" w:rsidRPr="00FD6E3F">
              <w:rPr>
                <w:lang w:val="ru-RU"/>
              </w:rPr>
              <w:t xml:space="preserve">вносить плату </w:t>
            </w:r>
            <w:r w:rsidRPr="00FD6E3F">
              <w:rPr>
                <w:lang w:val="ru-RU"/>
              </w:rPr>
              <w:t>за участие (если не освобождены от уплаты)</w:t>
            </w:r>
            <w:r w:rsidR="007A7CC5" w:rsidRPr="00FD6E3F">
              <w:rPr>
                <w:lang w:val="ru-RU"/>
              </w:rPr>
              <w:t>.</w:t>
            </w:r>
          </w:p>
        </w:tc>
        <w:tc>
          <w:tcPr>
            <w:tcW w:w="2551" w:type="dxa"/>
          </w:tcPr>
          <w:p w:rsidR="007A7CC5" w:rsidRPr="00FD6E3F" w:rsidRDefault="005571D3" w:rsidP="002A4122">
            <w:pPr>
              <w:pStyle w:val="Tabletext"/>
              <w:rPr>
                <w:b/>
                <w:bCs/>
                <w:u w:val="single"/>
                <w:lang w:val="ru-RU"/>
              </w:rPr>
            </w:pPr>
            <w:r w:rsidRPr="00FD6E3F">
              <w:rPr>
                <w:lang w:val="ru-RU"/>
              </w:rPr>
              <w:t>Не имеют прав, связанных с участием</w:t>
            </w:r>
            <w:r w:rsidR="007A7CC5" w:rsidRPr="00FD6E3F">
              <w:rPr>
                <w:lang w:val="ru-RU"/>
              </w:rPr>
              <w:t>.</w:t>
            </w:r>
          </w:p>
        </w:tc>
        <w:tc>
          <w:tcPr>
            <w:tcW w:w="2410" w:type="dxa"/>
          </w:tcPr>
          <w:p w:rsidR="007A7CC5" w:rsidRPr="00FD6E3F" w:rsidRDefault="00E276EC" w:rsidP="002A4122">
            <w:pPr>
              <w:pStyle w:val="Tabletext"/>
              <w:rPr>
                <w:b/>
                <w:bCs/>
                <w:u w:val="single"/>
                <w:lang w:val="ru-RU"/>
              </w:rPr>
            </w:pPr>
            <w:r w:rsidRPr="00FD6E3F">
              <w:rPr>
                <w:lang w:val="ru-RU"/>
              </w:rPr>
              <w:t>Не имеют прав, связанных с участием</w:t>
            </w:r>
            <w:r w:rsidR="007A7CC5" w:rsidRPr="00FD6E3F">
              <w:rPr>
                <w:lang w:val="ru-RU"/>
              </w:rPr>
              <w:t>.</w:t>
            </w:r>
          </w:p>
        </w:tc>
      </w:tr>
      <w:tr w:rsidR="007A7CC5" w:rsidRPr="009B2773" w:rsidTr="000979B3">
        <w:trPr>
          <w:cantSplit/>
        </w:trPr>
        <w:tc>
          <w:tcPr>
            <w:tcW w:w="1985" w:type="dxa"/>
          </w:tcPr>
          <w:p w:rsidR="007A7CC5" w:rsidRPr="00FD6E3F" w:rsidRDefault="00E276EC" w:rsidP="002A4122">
            <w:pPr>
              <w:pStyle w:val="Tabletext"/>
              <w:rPr>
                <w:lang w:val="ru-RU"/>
              </w:rPr>
            </w:pPr>
            <w:r w:rsidRPr="00FD6E3F">
              <w:rPr>
                <w:lang w:val="ru-RU"/>
              </w:rPr>
              <w:t xml:space="preserve">Другие конференции и ассамблеи </w:t>
            </w:r>
            <w:r w:rsidR="007A7CC5" w:rsidRPr="00FD6E3F">
              <w:rPr>
                <w:lang w:val="ru-RU"/>
              </w:rPr>
              <w:t>(</w:t>
            </w:r>
            <w:r w:rsidRPr="00FD6E3F">
              <w:rPr>
                <w:lang w:val="ru-RU"/>
              </w:rPr>
              <w:t>ВАСЭ</w:t>
            </w:r>
            <w:r w:rsidR="007A7CC5" w:rsidRPr="00FD6E3F">
              <w:rPr>
                <w:lang w:val="ru-RU"/>
              </w:rPr>
              <w:t xml:space="preserve">, </w:t>
            </w:r>
            <w:r w:rsidRPr="00FD6E3F">
              <w:rPr>
                <w:lang w:val="ru-RU"/>
              </w:rPr>
              <w:t>ВКРЭ</w:t>
            </w:r>
            <w:r w:rsidR="002E0DB1">
              <w:rPr>
                <w:lang w:val="ru-RU"/>
              </w:rPr>
              <w:t xml:space="preserve"> </w:t>
            </w:r>
            <w:r w:rsidR="009A2443" w:rsidRPr="00FD6E3F">
              <w:rPr>
                <w:lang w:val="ru-RU"/>
              </w:rPr>
              <w:t xml:space="preserve">и </w:t>
            </w:r>
            <w:r w:rsidRPr="00FD6E3F">
              <w:rPr>
                <w:lang w:val="ru-RU"/>
              </w:rPr>
              <w:t>АР</w:t>
            </w:r>
            <w:r w:rsidR="007A7CC5" w:rsidRPr="00FD6E3F">
              <w:rPr>
                <w:lang w:val="ru-RU"/>
              </w:rPr>
              <w:t>)</w:t>
            </w:r>
          </w:p>
        </w:tc>
        <w:tc>
          <w:tcPr>
            <w:tcW w:w="2835" w:type="dxa"/>
          </w:tcPr>
          <w:p w:rsidR="007A7CC5" w:rsidRPr="00FD6E3F" w:rsidRDefault="00E276EC" w:rsidP="002A4122">
            <w:pPr>
              <w:pStyle w:val="Tabletext"/>
              <w:rPr>
                <w:b/>
                <w:bCs/>
                <w:u w:val="single"/>
                <w:lang w:val="ru-RU"/>
              </w:rPr>
            </w:pPr>
            <w:r w:rsidRPr="00FD6E3F">
              <w:rPr>
                <w:lang w:val="ru-RU"/>
              </w:rPr>
              <w:t>Могут принимать полноправное участие, за исключением того, что они не имеют права участвовать в голосовании и вносить предложения по порядку ведения</w:t>
            </w:r>
            <w:r w:rsidR="007A7CC5" w:rsidRPr="00FD6E3F">
              <w:rPr>
                <w:lang w:val="ru-RU"/>
              </w:rPr>
              <w:t xml:space="preserve">. </w:t>
            </w:r>
            <w:r w:rsidRPr="00FD6E3F">
              <w:rPr>
                <w:lang w:val="ru-RU"/>
              </w:rPr>
              <w:t xml:space="preserve">Не должны </w:t>
            </w:r>
            <w:r w:rsidR="00955053" w:rsidRPr="00FD6E3F">
              <w:rPr>
                <w:lang w:val="ru-RU"/>
              </w:rPr>
              <w:t>вносить плату</w:t>
            </w:r>
            <w:r w:rsidRPr="00FD6E3F">
              <w:rPr>
                <w:lang w:val="ru-RU"/>
              </w:rPr>
              <w:t xml:space="preserve"> за </w:t>
            </w:r>
            <w:r w:rsidR="009A2443" w:rsidRPr="00FD6E3F">
              <w:rPr>
                <w:lang w:val="ru-RU"/>
              </w:rPr>
              <w:t>участие</w:t>
            </w:r>
            <w:r w:rsidR="007A7CC5" w:rsidRPr="00FD6E3F">
              <w:rPr>
                <w:lang w:val="ru-RU"/>
              </w:rPr>
              <w:t xml:space="preserve"> </w:t>
            </w:r>
            <w:r w:rsidRPr="00FD6E3F">
              <w:rPr>
                <w:lang w:val="ru-RU"/>
              </w:rPr>
              <w:t xml:space="preserve">в таких конференциях. Могут </w:t>
            </w:r>
            <w:r w:rsidR="00955053" w:rsidRPr="00FD6E3F">
              <w:rPr>
                <w:lang w:val="ru-RU"/>
              </w:rPr>
              <w:t>предлагать</w:t>
            </w:r>
            <w:r w:rsidRPr="00FD6E3F">
              <w:rPr>
                <w:lang w:val="ru-RU"/>
              </w:rPr>
              <w:t xml:space="preserve"> кандидатуры председателя</w:t>
            </w:r>
            <w:r w:rsidR="007A7CC5" w:rsidRPr="00FD6E3F">
              <w:rPr>
                <w:lang w:val="ru-RU"/>
              </w:rPr>
              <w:t>/</w:t>
            </w:r>
            <w:r w:rsidRPr="00FD6E3F">
              <w:rPr>
                <w:lang w:val="ru-RU"/>
              </w:rPr>
              <w:t>заместителя председателя</w:t>
            </w:r>
            <w:r w:rsidR="007A7CC5" w:rsidRPr="00FD6E3F">
              <w:rPr>
                <w:lang w:val="ru-RU"/>
              </w:rPr>
              <w:t xml:space="preserve">. </w:t>
            </w:r>
          </w:p>
        </w:tc>
        <w:tc>
          <w:tcPr>
            <w:tcW w:w="2551" w:type="dxa"/>
          </w:tcPr>
          <w:p w:rsidR="007A7CC5" w:rsidRPr="00FD6E3F" w:rsidRDefault="005571D3" w:rsidP="002A4122">
            <w:pPr>
              <w:pStyle w:val="Tabletext"/>
              <w:rPr>
                <w:b/>
                <w:bCs/>
                <w:u w:val="single"/>
                <w:lang w:val="ru-RU"/>
              </w:rPr>
            </w:pPr>
            <w:r w:rsidRPr="00FD6E3F">
              <w:rPr>
                <w:lang w:val="ru-RU"/>
              </w:rPr>
              <w:t>Не имеют прав, связанных с участием</w:t>
            </w:r>
            <w:r w:rsidR="007A7CC5" w:rsidRPr="00FD6E3F">
              <w:rPr>
                <w:lang w:val="ru-RU"/>
              </w:rPr>
              <w:t>.</w:t>
            </w:r>
          </w:p>
        </w:tc>
        <w:tc>
          <w:tcPr>
            <w:tcW w:w="2410" w:type="dxa"/>
          </w:tcPr>
          <w:p w:rsidR="007A7CC5" w:rsidRPr="00FD6E3F" w:rsidRDefault="00E276EC" w:rsidP="002A4122">
            <w:pPr>
              <w:pStyle w:val="Tabletext"/>
              <w:rPr>
                <w:b/>
                <w:bCs/>
                <w:u w:val="single"/>
                <w:lang w:val="ru-RU"/>
              </w:rPr>
            </w:pPr>
            <w:r w:rsidRPr="00FD6E3F">
              <w:rPr>
                <w:lang w:val="ru-RU"/>
              </w:rPr>
              <w:t xml:space="preserve">В </w:t>
            </w:r>
            <w:r w:rsidR="009A2443" w:rsidRPr="00FD6E3F">
              <w:rPr>
                <w:lang w:val="ru-RU"/>
              </w:rPr>
              <w:t>МСЭ</w:t>
            </w:r>
            <w:r w:rsidR="007A7CC5" w:rsidRPr="00FD6E3F">
              <w:rPr>
                <w:lang w:val="ru-RU"/>
              </w:rPr>
              <w:t>-R</w:t>
            </w:r>
            <w:r w:rsidR="009A2443" w:rsidRPr="00FD6E3F">
              <w:rPr>
                <w:lang w:val="ru-RU"/>
              </w:rPr>
              <w:t xml:space="preserve"> и МСЭ</w:t>
            </w:r>
            <w:r w:rsidR="007A7CC5" w:rsidRPr="00FD6E3F">
              <w:rPr>
                <w:lang w:val="ru-RU"/>
              </w:rPr>
              <w:t>-D</w:t>
            </w:r>
            <w:r w:rsidRPr="00FD6E3F">
              <w:rPr>
                <w:lang w:val="ru-RU"/>
              </w:rPr>
              <w:t xml:space="preserve"> не имеют </w:t>
            </w:r>
            <w:r w:rsidR="009A2443" w:rsidRPr="00FD6E3F">
              <w:rPr>
                <w:lang w:val="ru-RU"/>
              </w:rPr>
              <w:t>прав</w:t>
            </w:r>
            <w:r w:rsidRPr="00FD6E3F">
              <w:rPr>
                <w:lang w:val="ru-RU"/>
              </w:rPr>
              <w:t>а</w:t>
            </w:r>
            <w:r w:rsidR="007A7CC5" w:rsidRPr="00FD6E3F">
              <w:rPr>
                <w:lang w:val="ru-RU"/>
              </w:rPr>
              <w:t xml:space="preserve"> </w:t>
            </w:r>
            <w:r w:rsidR="009A2443" w:rsidRPr="00FD6E3F">
              <w:rPr>
                <w:lang w:val="ru-RU"/>
              </w:rPr>
              <w:t>принимать участие</w:t>
            </w:r>
            <w:r w:rsidRPr="00FD6E3F">
              <w:rPr>
                <w:lang w:val="ru-RU"/>
              </w:rPr>
              <w:t xml:space="preserve"> в основных конференциях</w:t>
            </w:r>
            <w:r w:rsidR="007A7CC5" w:rsidRPr="00FD6E3F">
              <w:rPr>
                <w:lang w:val="ru-RU"/>
              </w:rPr>
              <w:t xml:space="preserve">. </w:t>
            </w:r>
            <w:r w:rsidR="009A2443" w:rsidRPr="00FD6E3F">
              <w:rPr>
                <w:lang w:val="ru-RU"/>
              </w:rPr>
              <w:t>Академические организации</w:t>
            </w:r>
            <w:r w:rsidR="007A7CC5" w:rsidRPr="00FD6E3F">
              <w:rPr>
                <w:lang w:val="ru-RU"/>
              </w:rPr>
              <w:t xml:space="preserve"> </w:t>
            </w:r>
            <w:r w:rsidRPr="00FD6E3F">
              <w:rPr>
                <w:lang w:val="ru-RU"/>
              </w:rPr>
              <w:t xml:space="preserve">МСЭ-T имеют </w:t>
            </w:r>
            <w:r w:rsidR="009A2443" w:rsidRPr="00FD6E3F">
              <w:rPr>
                <w:lang w:val="ru-RU"/>
              </w:rPr>
              <w:t>право</w:t>
            </w:r>
            <w:r w:rsidR="007A7CC5" w:rsidRPr="00FD6E3F">
              <w:rPr>
                <w:lang w:val="ru-RU"/>
              </w:rPr>
              <w:t xml:space="preserve"> </w:t>
            </w:r>
            <w:r w:rsidR="009A2443" w:rsidRPr="00FD6E3F">
              <w:rPr>
                <w:lang w:val="ru-RU"/>
              </w:rPr>
              <w:t>принимать участие</w:t>
            </w:r>
            <w:r w:rsidR="007A7CC5" w:rsidRPr="00FD6E3F">
              <w:rPr>
                <w:lang w:val="ru-RU"/>
              </w:rPr>
              <w:t xml:space="preserve"> </w:t>
            </w:r>
            <w:r w:rsidRPr="00FD6E3F">
              <w:rPr>
                <w:lang w:val="ru-RU"/>
              </w:rPr>
              <w:t>в</w:t>
            </w:r>
            <w:r w:rsidR="007A7CC5" w:rsidRPr="00FD6E3F">
              <w:rPr>
                <w:lang w:val="ru-RU"/>
              </w:rPr>
              <w:t xml:space="preserve"> </w:t>
            </w:r>
            <w:r w:rsidRPr="00FD6E3F">
              <w:rPr>
                <w:lang w:val="ru-RU"/>
              </w:rPr>
              <w:t>ВАСЭ без права совещательного голоса</w:t>
            </w:r>
            <w:r w:rsidR="007A7CC5" w:rsidRPr="00FD6E3F">
              <w:rPr>
                <w:lang w:val="ru-RU"/>
              </w:rPr>
              <w:t>.</w:t>
            </w:r>
          </w:p>
        </w:tc>
      </w:tr>
      <w:tr w:rsidR="007A7CC5" w:rsidRPr="009B2773" w:rsidTr="000979B3">
        <w:trPr>
          <w:cantSplit/>
        </w:trPr>
        <w:tc>
          <w:tcPr>
            <w:tcW w:w="1985" w:type="dxa"/>
          </w:tcPr>
          <w:p w:rsidR="007A7CC5" w:rsidRPr="00FD6E3F" w:rsidRDefault="009A2443" w:rsidP="002A4122">
            <w:pPr>
              <w:pStyle w:val="Tabletext"/>
              <w:rPr>
                <w:lang w:val="ru-RU"/>
              </w:rPr>
            </w:pPr>
            <w:r w:rsidRPr="00FD6E3F">
              <w:rPr>
                <w:lang w:val="ru-RU"/>
              </w:rPr>
              <w:t>Совет</w:t>
            </w:r>
          </w:p>
        </w:tc>
        <w:tc>
          <w:tcPr>
            <w:tcW w:w="2835" w:type="dxa"/>
          </w:tcPr>
          <w:p w:rsidR="007A7CC5" w:rsidRPr="00FD6E3F" w:rsidRDefault="00E276EC" w:rsidP="002A4122">
            <w:pPr>
              <w:pStyle w:val="Tabletext"/>
              <w:rPr>
                <w:lang w:val="ru-RU"/>
              </w:rPr>
            </w:pPr>
            <w:r w:rsidRPr="00FD6E3F">
              <w:rPr>
                <w:lang w:val="ru-RU"/>
              </w:rPr>
              <w:t>До трех Членов Сектора на Сектор</w:t>
            </w:r>
            <w:r w:rsidR="007A7CC5" w:rsidRPr="00FD6E3F">
              <w:rPr>
                <w:lang w:val="ru-RU"/>
              </w:rPr>
              <w:t xml:space="preserve">, </w:t>
            </w:r>
            <w:r w:rsidRPr="00FD6E3F">
              <w:rPr>
                <w:lang w:val="ru-RU"/>
              </w:rPr>
              <w:t>а также шесть основных региональных организаций электросвязи</w:t>
            </w:r>
            <w:r w:rsidR="007A7CC5" w:rsidRPr="00FD6E3F">
              <w:rPr>
                <w:lang w:val="ru-RU"/>
              </w:rPr>
              <w:t xml:space="preserve"> </w:t>
            </w:r>
            <w:r w:rsidRPr="00FD6E3F">
              <w:rPr>
                <w:lang w:val="ru-RU"/>
              </w:rPr>
              <w:t xml:space="preserve">могут </w:t>
            </w:r>
            <w:r w:rsidR="009A2443" w:rsidRPr="00FD6E3F">
              <w:rPr>
                <w:lang w:val="ru-RU"/>
              </w:rPr>
              <w:t>принимать участие</w:t>
            </w:r>
            <w:r w:rsidR="007A7CC5" w:rsidRPr="00FD6E3F">
              <w:rPr>
                <w:lang w:val="ru-RU"/>
              </w:rPr>
              <w:t xml:space="preserve"> </w:t>
            </w:r>
            <w:r w:rsidRPr="00FD6E3F">
              <w:rPr>
                <w:lang w:val="ru-RU"/>
              </w:rPr>
              <w:t xml:space="preserve">в заседаниях </w:t>
            </w:r>
            <w:r w:rsidR="009A2443" w:rsidRPr="00FD6E3F">
              <w:rPr>
                <w:lang w:val="ru-RU"/>
              </w:rPr>
              <w:t>Совет</w:t>
            </w:r>
            <w:r w:rsidRPr="00FD6E3F">
              <w:rPr>
                <w:lang w:val="ru-RU"/>
              </w:rPr>
              <w:t>а</w:t>
            </w:r>
            <w:r w:rsidR="007A7CC5" w:rsidRPr="00FD6E3F">
              <w:rPr>
                <w:lang w:val="ru-RU"/>
              </w:rPr>
              <w:t xml:space="preserve"> </w:t>
            </w:r>
            <w:r w:rsidR="009A2443" w:rsidRPr="00FD6E3F">
              <w:rPr>
                <w:lang w:val="ru-RU"/>
              </w:rPr>
              <w:t>в качестве наблюдателей</w:t>
            </w:r>
            <w:r w:rsidR="007A7CC5" w:rsidRPr="00FD6E3F">
              <w:rPr>
                <w:lang w:val="ru-RU"/>
              </w:rPr>
              <w:t xml:space="preserve">, </w:t>
            </w:r>
            <w:r w:rsidRPr="00FD6E3F">
              <w:rPr>
                <w:lang w:val="ru-RU"/>
              </w:rPr>
              <w:t>что дает им право присутствия, но не дает права голоса или права представлять вклады в письменной или устной форме</w:t>
            </w:r>
            <w:r w:rsidR="007A7CC5" w:rsidRPr="00FD6E3F">
              <w:rPr>
                <w:lang w:val="ru-RU"/>
              </w:rPr>
              <w:t xml:space="preserve">. </w:t>
            </w:r>
          </w:p>
        </w:tc>
        <w:tc>
          <w:tcPr>
            <w:tcW w:w="2551" w:type="dxa"/>
          </w:tcPr>
          <w:p w:rsidR="007A7CC5" w:rsidRPr="00FD6E3F" w:rsidRDefault="005571D3" w:rsidP="002A4122">
            <w:pPr>
              <w:pStyle w:val="Tabletext"/>
              <w:rPr>
                <w:lang w:val="ru-RU"/>
              </w:rPr>
            </w:pPr>
            <w:r w:rsidRPr="00FD6E3F">
              <w:rPr>
                <w:lang w:val="ru-RU"/>
              </w:rPr>
              <w:t>Не имеют прав, связанных с участием</w:t>
            </w:r>
            <w:r w:rsidR="007A7CC5" w:rsidRPr="00FD6E3F">
              <w:rPr>
                <w:lang w:val="ru-RU"/>
              </w:rPr>
              <w:t>.</w:t>
            </w:r>
          </w:p>
        </w:tc>
        <w:tc>
          <w:tcPr>
            <w:tcW w:w="2410" w:type="dxa"/>
          </w:tcPr>
          <w:p w:rsidR="007A7CC5" w:rsidRPr="00FD6E3F" w:rsidRDefault="00E276EC" w:rsidP="002A4122">
            <w:pPr>
              <w:pStyle w:val="Tabletext"/>
              <w:rPr>
                <w:b/>
                <w:bCs/>
                <w:u w:val="single"/>
                <w:lang w:val="ru-RU"/>
              </w:rPr>
            </w:pPr>
            <w:r w:rsidRPr="00FD6E3F">
              <w:rPr>
                <w:lang w:val="ru-RU"/>
              </w:rPr>
              <w:t>Не имеют прав, связанных с участием</w:t>
            </w:r>
            <w:r w:rsidR="007A7CC5" w:rsidRPr="00FD6E3F">
              <w:rPr>
                <w:lang w:val="ru-RU"/>
              </w:rPr>
              <w:t>.</w:t>
            </w:r>
          </w:p>
        </w:tc>
      </w:tr>
    </w:tbl>
    <w:p w:rsidR="008A5FD7" w:rsidRPr="00FD6E3F" w:rsidRDefault="008A5F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 w:rsidRPr="00FD6E3F">
        <w:rPr>
          <w:lang w:val="ru-RU"/>
        </w:rPr>
        <w:br w:type="page"/>
      </w:r>
    </w:p>
    <w:p w:rsidR="007A7CC5" w:rsidRPr="00FD6E3F" w:rsidRDefault="008A5FD7" w:rsidP="002A4122">
      <w:pPr>
        <w:pStyle w:val="AnnexNo"/>
        <w:rPr>
          <w:lang w:val="ru-RU"/>
        </w:rPr>
      </w:pPr>
      <w:r w:rsidRPr="00FD6E3F">
        <w:rPr>
          <w:lang w:val="ru-RU"/>
        </w:rPr>
        <w:t>Приложение</w:t>
      </w:r>
      <w:r w:rsidR="007A7CC5" w:rsidRPr="00FD6E3F">
        <w:rPr>
          <w:lang w:val="ru-RU"/>
        </w:rPr>
        <w:t xml:space="preserve"> 2</w:t>
      </w:r>
    </w:p>
    <w:p w:rsidR="007A7CC5" w:rsidRPr="00FD6E3F" w:rsidRDefault="008A5FD7" w:rsidP="002A4122">
      <w:pPr>
        <w:pStyle w:val="Annextitle"/>
        <w:rPr>
          <w:rFonts w:eastAsiaTheme="minorEastAsia"/>
          <w:lang w:val="ru-RU"/>
        </w:rPr>
      </w:pPr>
      <w:r w:rsidRPr="00FD6E3F">
        <w:rPr>
          <w:lang w:val="ru-RU"/>
        </w:rPr>
        <w:t xml:space="preserve">Тип объединений и процесс допуска </w:t>
      </w:r>
    </w:p>
    <w:p w:rsidR="007A7CC5" w:rsidRPr="00FD6E3F" w:rsidRDefault="007A7CC5" w:rsidP="007A7CC5">
      <w:pPr>
        <w:tabs>
          <w:tab w:val="left" w:pos="709"/>
        </w:tabs>
        <w:snapToGrid w:val="0"/>
        <w:spacing w:before="0"/>
        <w:jc w:val="right"/>
        <w:rPr>
          <w:b/>
          <w:bCs/>
          <w:szCs w:val="24"/>
          <w:lang w:val="ru-RU"/>
        </w:rPr>
      </w:pPr>
      <w:r w:rsidRPr="00FD6E3F">
        <w:rPr>
          <w:b/>
          <w:bCs/>
          <w:szCs w:val="24"/>
          <w:lang w:val="ru-RU"/>
        </w:rPr>
        <w:t xml:space="preserve">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4650"/>
      </w:tblGrid>
      <w:tr w:rsidR="007A7CC5" w:rsidRPr="00FD6E3F" w:rsidTr="000979B3">
        <w:trPr>
          <w:tblHeader/>
        </w:trPr>
        <w:tc>
          <w:tcPr>
            <w:tcW w:w="2835" w:type="dxa"/>
            <w:shd w:val="pct12" w:color="auto" w:fill="auto"/>
          </w:tcPr>
          <w:p w:rsidR="007A7CC5" w:rsidRPr="00FD6E3F" w:rsidRDefault="00C66E4E" w:rsidP="002A4122">
            <w:pPr>
              <w:pStyle w:val="Tablehead"/>
              <w:rPr>
                <w:lang w:val="ru-RU"/>
              </w:rPr>
            </w:pPr>
            <w:r w:rsidRPr="00FD6E3F">
              <w:rPr>
                <w:lang w:val="ru-RU"/>
              </w:rPr>
              <w:t>Категория объединения</w:t>
            </w:r>
          </w:p>
        </w:tc>
        <w:tc>
          <w:tcPr>
            <w:tcW w:w="2268" w:type="dxa"/>
            <w:shd w:val="pct12" w:color="auto" w:fill="auto"/>
          </w:tcPr>
          <w:p w:rsidR="007A7CC5" w:rsidRPr="00FD6E3F" w:rsidRDefault="00C66E4E" w:rsidP="002A4122">
            <w:pPr>
              <w:pStyle w:val="Tablehead"/>
              <w:rPr>
                <w:lang w:val="ru-RU"/>
              </w:rPr>
            </w:pPr>
            <w:r w:rsidRPr="00FD6E3F">
              <w:rPr>
                <w:lang w:val="ru-RU"/>
              </w:rPr>
              <w:t>Тип участия</w:t>
            </w:r>
          </w:p>
        </w:tc>
        <w:tc>
          <w:tcPr>
            <w:tcW w:w="4650" w:type="dxa"/>
            <w:shd w:val="pct12" w:color="auto" w:fill="auto"/>
          </w:tcPr>
          <w:p w:rsidR="007A7CC5" w:rsidRPr="00FD6E3F" w:rsidRDefault="00C66E4E" w:rsidP="002A4122">
            <w:pPr>
              <w:pStyle w:val="Tablehead"/>
              <w:rPr>
                <w:lang w:val="ru-RU"/>
              </w:rPr>
            </w:pPr>
            <w:r w:rsidRPr="00FD6E3F">
              <w:rPr>
                <w:lang w:val="ru-RU"/>
              </w:rPr>
              <w:t xml:space="preserve">Процесс подачи заявки </w:t>
            </w:r>
          </w:p>
        </w:tc>
      </w:tr>
      <w:tr w:rsidR="007A7CC5" w:rsidRPr="009B2773" w:rsidTr="000979B3">
        <w:tc>
          <w:tcPr>
            <w:tcW w:w="2835" w:type="dxa"/>
          </w:tcPr>
          <w:p w:rsidR="007A7CC5" w:rsidRPr="00FD6E3F" w:rsidRDefault="00C66E4E" w:rsidP="00106D23">
            <w:pPr>
              <w:pStyle w:val="Tabletext"/>
              <w:rPr>
                <w:lang w:val="ru-RU"/>
              </w:rPr>
            </w:pPr>
            <w:r w:rsidRPr="00FD6E3F">
              <w:rPr>
                <w:lang w:val="ru-RU"/>
              </w:rPr>
              <w:t>Признанные эксплуатационные организации, научные или промышленные организации и финансовые учреждения или учреждения в области развития, которые получили согласие соответствующего Государства-Члена</w:t>
            </w:r>
            <w:r w:rsidR="007A7CC5" w:rsidRPr="00FD6E3F">
              <w:rPr>
                <w:lang w:val="ru-RU"/>
              </w:rPr>
              <w:t xml:space="preserve"> (</w:t>
            </w:r>
            <w:r w:rsidRPr="00FD6E3F">
              <w:rPr>
                <w:lang w:val="ru-RU"/>
              </w:rPr>
              <w:t>К</w:t>
            </w:r>
            <w:r w:rsidR="007A7CC5" w:rsidRPr="00FD6E3F">
              <w:rPr>
                <w:lang w:val="ru-RU"/>
              </w:rPr>
              <w:t>229)</w:t>
            </w:r>
          </w:p>
        </w:tc>
        <w:tc>
          <w:tcPr>
            <w:tcW w:w="2268" w:type="dxa"/>
          </w:tcPr>
          <w:p w:rsidR="007A7CC5" w:rsidRPr="00FD6E3F" w:rsidRDefault="005966C0" w:rsidP="002A4122">
            <w:pPr>
              <w:pStyle w:val="Tabletext"/>
              <w:rPr>
                <w:rFonts w:cstheme="minorHAnsi"/>
                <w:bCs/>
                <w:color w:val="231F20"/>
                <w:lang w:val="ru-RU"/>
              </w:rPr>
            </w:pPr>
            <w:r w:rsidRPr="00FD6E3F">
              <w:rPr>
                <w:rFonts w:cstheme="minorHAnsi"/>
                <w:bCs/>
                <w:color w:val="231F20"/>
                <w:lang w:val="ru-RU"/>
              </w:rPr>
              <w:t>Член Сектора</w:t>
            </w:r>
            <w:r w:rsidR="009A2443" w:rsidRPr="00FD6E3F">
              <w:rPr>
                <w:rFonts w:cstheme="minorHAnsi"/>
                <w:bCs/>
                <w:color w:val="231F20"/>
                <w:lang w:val="ru-RU"/>
              </w:rPr>
              <w:t xml:space="preserve"> или </w:t>
            </w:r>
            <w:r w:rsidRPr="00FD6E3F">
              <w:rPr>
                <w:rFonts w:cstheme="minorHAnsi"/>
                <w:bCs/>
                <w:color w:val="231F20"/>
                <w:lang w:val="ru-RU"/>
              </w:rPr>
              <w:t>Ассоциированный член</w:t>
            </w:r>
          </w:p>
        </w:tc>
        <w:tc>
          <w:tcPr>
            <w:tcW w:w="4650" w:type="dxa"/>
          </w:tcPr>
          <w:p w:rsidR="007A7CC5" w:rsidRPr="00FD6E3F" w:rsidRDefault="00C66E4E" w:rsidP="002A4122">
            <w:pPr>
              <w:pStyle w:val="Tabletext"/>
              <w:rPr>
                <w:rFonts w:cstheme="minorHAnsi"/>
                <w:bCs/>
                <w:color w:val="231F20"/>
                <w:lang w:val="ru-RU"/>
              </w:rPr>
            </w:pPr>
            <w:r w:rsidRPr="00FD6E3F">
              <w:rPr>
                <w:rFonts w:cstheme="minorHAnsi"/>
                <w:bCs/>
                <w:color w:val="231F20"/>
                <w:lang w:val="ru-RU"/>
              </w:rPr>
              <w:t xml:space="preserve">Объединение подает заявку соответствующему Государству-Члену, которое в свою очередь </w:t>
            </w:r>
            <w:r w:rsidR="0001370A" w:rsidRPr="00FD6E3F">
              <w:rPr>
                <w:rFonts w:cstheme="minorHAnsi"/>
                <w:bCs/>
                <w:color w:val="231F20"/>
                <w:lang w:val="ru-RU"/>
              </w:rPr>
              <w:t xml:space="preserve">дает согласие </w:t>
            </w:r>
            <w:r w:rsidRPr="00FD6E3F">
              <w:rPr>
                <w:rFonts w:cstheme="minorHAnsi"/>
                <w:bCs/>
                <w:color w:val="231F20"/>
                <w:lang w:val="ru-RU"/>
              </w:rPr>
              <w:t xml:space="preserve">или отклоняет </w:t>
            </w:r>
            <w:r w:rsidR="0001370A" w:rsidRPr="00FD6E3F">
              <w:rPr>
                <w:rFonts w:cstheme="minorHAnsi"/>
                <w:bCs/>
                <w:color w:val="231F20"/>
                <w:lang w:val="ru-RU"/>
              </w:rPr>
              <w:t>эту заявку</w:t>
            </w:r>
            <w:r w:rsidRPr="00FD6E3F">
              <w:rPr>
                <w:rFonts w:cstheme="minorHAnsi"/>
                <w:bCs/>
                <w:color w:val="231F20"/>
                <w:lang w:val="ru-RU"/>
              </w:rPr>
              <w:t>. Государство-Член информирует Генерального секретаря. Секретариат подтверждает прием нового члена, направляет счет-фактуру и активирует членство после получения платежа.</w:t>
            </w:r>
          </w:p>
        </w:tc>
      </w:tr>
      <w:tr w:rsidR="007A7CC5" w:rsidRPr="009B2773" w:rsidTr="000979B3">
        <w:tc>
          <w:tcPr>
            <w:tcW w:w="2835" w:type="dxa"/>
          </w:tcPr>
          <w:p w:rsidR="007A7CC5" w:rsidRPr="00FD6E3F" w:rsidRDefault="00C66E4E" w:rsidP="00106D23">
            <w:pPr>
              <w:pStyle w:val="Tabletext"/>
              <w:rPr>
                <w:rFonts w:cstheme="minorHAnsi"/>
                <w:bCs/>
                <w:color w:val="231F20"/>
                <w:lang w:val="ru-RU"/>
              </w:rPr>
            </w:pPr>
            <w:r w:rsidRPr="00FD6E3F">
              <w:rPr>
                <w:lang w:val="ru-RU"/>
              </w:rPr>
              <w:t xml:space="preserve">Другие объединения, занимающиеся вопросами электросвязи, которые получили согласие соответствующего Государства-Члена </w:t>
            </w:r>
            <w:r w:rsidR="007A7CC5" w:rsidRPr="00FD6E3F">
              <w:rPr>
                <w:lang w:val="ru-RU"/>
              </w:rPr>
              <w:t>(</w:t>
            </w:r>
            <w:r w:rsidRPr="00FD6E3F">
              <w:rPr>
                <w:lang w:val="ru-RU"/>
              </w:rPr>
              <w:t>К</w:t>
            </w:r>
            <w:r w:rsidR="007A7CC5" w:rsidRPr="00FD6E3F">
              <w:rPr>
                <w:lang w:val="ru-RU"/>
              </w:rPr>
              <w:t>230)</w:t>
            </w:r>
          </w:p>
        </w:tc>
        <w:tc>
          <w:tcPr>
            <w:tcW w:w="2268" w:type="dxa"/>
          </w:tcPr>
          <w:p w:rsidR="007A7CC5" w:rsidRPr="00FD6E3F" w:rsidRDefault="005966C0" w:rsidP="002A4122">
            <w:pPr>
              <w:pStyle w:val="Tabletext"/>
              <w:rPr>
                <w:rFonts w:cstheme="minorHAnsi"/>
                <w:bCs/>
                <w:color w:val="231F20"/>
                <w:lang w:val="ru-RU"/>
              </w:rPr>
            </w:pPr>
            <w:r w:rsidRPr="00FD6E3F">
              <w:rPr>
                <w:rFonts w:cstheme="minorHAnsi"/>
                <w:bCs/>
                <w:color w:val="231F20"/>
                <w:lang w:val="ru-RU"/>
              </w:rPr>
              <w:t>Член Сектора</w:t>
            </w:r>
            <w:r w:rsidR="009A2443" w:rsidRPr="00FD6E3F">
              <w:rPr>
                <w:rFonts w:cstheme="minorHAnsi"/>
                <w:bCs/>
                <w:color w:val="231F20"/>
                <w:lang w:val="ru-RU"/>
              </w:rPr>
              <w:t xml:space="preserve"> или </w:t>
            </w:r>
            <w:r w:rsidRPr="00FD6E3F">
              <w:rPr>
                <w:rFonts w:cstheme="minorHAnsi"/>
                <w:bCs/>
                <w:color w:val="231F20"/>
                <w:lang w:val="ru-RU"/>
              </w:rPr>
              <w:t>Ассоциированный член</w:t>
            </w:r>
          </w:p>
        </w:tc>
        <w:tc>
          <w:tcPr>
            <w:tcW w:w="4650" w:type="dxa"/>
          </w:tcPr>
          <w:p w:rsidR="007A7CC5" w:rsidRPr="00FD6E3F" w:rsidRDefault="009A2443" w:rsidP="002E0DB1">
            <w:pPr>
              <w:pStyle w:val="Tabletext"/>
              <w:rPr>
                <w:rFonts w:cstheme="minorHAnsi"/>
                <w:bCs/>
                <w:color w:val="231F20"/>
                <w:lang w:val="ru-RU"/>
              </w:rPr>
            </w:pPr>
            <w:r w:rsidRPr="00FD6E3F">
              <w:rPr>
                <w:rFonts w:cstheme="minorHAnsi"/>
                <w:bCs/>
                <w:color w:val="231F20"/>
                <w:lang w:val="ru-RU"/>
              </w:rPr>
              <w:t>Объединени</w:t>
            </w:r>
            <w:r w:rsidR="00C66E4E" w:rsidRPr="00FD6E3F">
              <w:rPr>
                <w:rFonts w:cstheme="minorHAnsi"/>
                <w:bCs/>
                <w:color w:val="231F20"/>
                <w:lang w:val="ru-RU"/>
              </w:rPr>
              <w:t xml:space="preserve">е подает заявку соответствующему </w:t>
            </w:r>
            <w:r w:rsidR="005966C0" w:rsidRPr="00FD6E3F">
              <w:rPr>
                <w:rFonts w:cstheme="minorHAnsi"/>
                <w:bCs/>
                <w:color w:val="231F20"/>
                <w:lang w:val="ru-RU"/>
              </w:rPr>
              <w:t>Государств</w:t>
            </w:r>
            <w:r w:rsidR="00C66E4E" w:rsidRPr="00FD6E3F">
              <w:rPr>
                <w:rFonts w:cstheme="minorHAnsi"/>
                <w:bCs/>
                <w:color w:val="231F20"/>
                <w:lang w:val="ru-RU"/>
              </w:rPr>
              <w:t>у</w:t>
            </w:r>
            <w:r w:rsidR="005966C0" w:rsidRPr="00FD6E3F">
              <w:rPr>
                <w:rFonts w:cstheme="minorHAnsi"/>
                <w:bCs/>
                <w:color w:val="231F20"/>
                <w:lang w:val="ru-RU"/>
              </w:rPr>
              <w:t>-Член</w:t>
            </w:r>
            <w:r w:rsidR="00C66E4E" w:rsidRPr="00FD6E3F">
              <w:rPr>
                <w:rFonts w:cstheme="minorHAnsi"/>
                <w:bCs/>
                <w:color w:val="231F20"/>
                <w:lang w:val="ru-RU"/>
              </w:rPr>
              <w:t>у</w:t>
            </w:r>
            <w:r w:rsidR="007A7CC5" w:rsidRPr="00FD6E3F">
              <w:rPr>
                <w:rFonts w:cstheme="minorHAnsi"/>
                <w:bCs/>
                <w:color w:val="231F20"/>
                <w:lang w:val="ru-RU"/>
              </w:rPr>
              <w:t xml:space="preserve">, </w:t>
            </w:r>
            <w:r w:rsidR="0001370A" w:rsidRPr="00FD6E3F">
              <w:rPr>
                <w:rFonts w:cstheme="minorHAnsi"/>
                <w:bCs/>
                <w:color w:val="231F20"/>
                <w:lang w:val="ru-RU"/>
              </w:rPr>
              <w:t>которое в свою очередь дает согласие или отклоняет эту заявку</w:t>
            </w:r>
            <w:r w:rsidR="00C66E4E" w:rsidRPr="00FD6E3F">
              <w:rPr>
                <w:rFonts w:cstheme="minorHAnsi"/>
                <w:bCs/>
                <w:color w:val="231F20"/>
                <w:lang w:val="ru-RU"/>
              </w:rPr>
              <w:t>. Объединения, указанные в К</w:t>
            </w:r>
            <w:r w:rsidR="007A7CC5" w:rsidRPr="00FD6E3F">
              <w:rPr>
                <w:rFonts w:cstheme="minorHAnsi"/>
                <w:bCs/>
                <w:color w:val="231F20"/>
                <w:lang w:val="ru-RU"/>
              </w:rPr>
              <w:t>230</w:t>
            </w:r>
            <w:r w:rsidR="00C66E4E" w:rsidRPr="00FD6E3F">
              <w:rPr>
                <w:rFonts w:cstheme="minorHAnsi"/>
                <w:bCs/>
                <w:color w:val="231F20"/>
                <w:lang w:val="ru-RU"/>
              </w:rPr>
              <w:t xml:space="preserve">, должны представить дополнительную информацию, включая письмо-обязательство. После </w:t>
            </w:r>
            <w:r w:rsidR="0001370A" w:rsidRPr="00FD6E3F">
              <w:rPr>
                <w:rFonts w:cstheme="minorHAnsi"/>
                <w:bCs/>
                <w:color w:val="231F20"/>
                <w:lang w:val="ru-RU"/>
              </w:rPr>
              <w:t xml:space="preserve">дачи согласия </w:t>
            </w:r>
            <w:r w:rsidR="00C66E4E" w:rsidRPr="00FD6E3F">
              <w:rPr>
                <w:rFonts w:cstheme="minorHAnsi"/>
                <w:bCs/>
                <w:color w:val="231F20"/>
                <w:lang w:val="ru-RU"/>
              </w:rPr>
              <w:t xml:space="preserve">Государство-Член информирует </w:t>
            </w:r>
            <w:r w:rsidR="005571D3" w:rsidRPr="00FD6E3F">
              <w:rPr>
                <w:rFonts w:cstheme="minorHAnsi"/>
                <w:bCs/>
                <w:color w:val="231F20"/>
                <w:lang w:val="ru-RU"/>
              </w:rPr>
              <w:t>Генеральн</w:t>
            </w:r>
            <w:r w:rsidR="00C66E4E" w:rsidRPr="00FD6E3F">
              <w:rPr>
                <w:rFonts w:cstheme="minorHAnsi"/>
                <w:bCs/>
                <w:color w:val="231F20"/>
                <w:lang w:val="ru-RU"/>
              </w:rPr>
              <w:t>ого</w:t>
            </w:r>
            <w:r w:rsidR="005571D3" w:rsidRPr="00FD6E3F">
              <w:rPr>
                <w:rFonts w:cstheme="minorHAnsi"/>
                <w:bCs/>
                <w:color w:val="231F20"/>
                <w:lang w:val="ru-RU"/>
              </w:rPr>
              <w:t xml:space="preserve"> секретар</w:t>
            </w:r>
            <w:r w:rsidR="00C66E4E" w:rsidRPr="00FD6E3F">
              <w:rPr>
                <w:rFonts w:cstheme="minorHAnsi"/>
                <w:bCs/>
                <w:color w:val="231F20"/>
                <w:lang w:val="ru-RU"/>
              </w:rPr>
              <w:t>я</w:t>
            </w:r>
            <w:r w:rsidR="007A7CC5" w:rsidRPr="00FD6E3F">
              <w:rPr>
                <w:rFonts w:cstheme="minorHAnsi"/>
                <w:bCs/>
                <w:color w:val="231F20"/>
                <w:lang w:val="ru-RU"/>
              </w:rPr>
              <w:t xml:space="preserve">. </w:t>
            </w:r>
            <w:r w:rsidR="00C66E4E" w:rsidRPr="00FD6E3F">
              <w:rPr>
                <w:rFonts w:cstheme="minorHAnsi"/>
                <w:bCs/>
                <w:color w:val="231F20"/>
                <w:lang w:val="ru-RU"/>
              </w:rPr>
              <w:t>Секретариат подтверждает прием нового члена, направляет счет-фактуру и активирует членство после получения платежа</w:t>
            </w:r>
            <w:r w:rsidR="007A7CC5" w:rsidRPr="00FD6E3F">
              <w:rPr>
                <w:rFonts w:cstheme="minorHAnsi"/>
                <w:bCs/>
                <w:color w:val="231F20"/>
                <w:lang w:val="ru-RU"/>
              </w:rPr>
              <w:t>.</w:t>
            </w:r>
          </w:p>
        </w:tc>
      </w:tr>
      <w:tr w:rsidR="007A7CC5" w:rsidRPr="00FD6E3F" w:rsidTr="000979B3">
        <w:tc>
          <w:tcPr>
            <w:tcW w:w="2835" w:type="dxa"/>
          </w:tcPr>
          <w:p w:rsidR="007A7CC5" w:rsidRPr="00FD6E3F" w:rsidRDefault="002F4FE0" w:rsidP="00FD6E3F">
            <w:pPr>
              <w:pStyle w:val="Tabletext"/>
              <w:rPr>
                <w:rFonts w:cstheme="minorHAnsi"/>
                <w:bCs/>
                <w:color w:val="231F20"/>
                <w:lang w:val="ru-RU"/>
              </w:rPr>
            </w:pPr>
            <w:r w:rsidRPr="00FD6E3F">
              <w:rPr>
                <w:lang w:val="ru-RU"/>
              </w:rPr>
              <w:t xml:space="preserve">Региональные </w:t>
            </w:r>
            <w:r w:rsidR="00C66E4E" w:rsidRPr="00FD6E3F">
              <w:rPr>
                <w:lang w:val="ru-RU"/>
              </w:rPr>
              <w:t xml:space="preserve">и другие международные организации, занимающиеся электросвязью, стандартизацией, финансовыми вопросами или вопросами развития </w:t>
            </w:r>
            <w:r w:rsidR="007A7CC5" w:rsidRPr="00FD6E3F">
              <w:rPr>
                <w:lang w:val="ru-RU"/>
              </w:rPr>
              <w:t>(</w:t>
            </w:r>
            <w:r w:rsidR="00C66E4E" w:rsidRPr="00FD6E3F">
              <w:rPr>
                <w:lang w:val="ru-RU"/>
              </w:rPr>
              <w:t>К</w:t>
            </w:r>
            <w:r w:rsidR="007A7CC5" w:rsidRPr="00FD6E3F">
              <w:rPr>
                <w:lang w:val="ru-RU"/>
              </w:rPr>
              <w:t>231)</w:t>
            </w:r>
          </w:p>
        </w:tc>
        <w:tc>
          <w:tcPr>
            <w:tcW w:w="2268" w:type="dxa"/>
          </w:tcPr>
          <w:p w:rsidR="007A7CC5" w:rsidRPr="00FD6E3F" w:rsidRDefault="005966C0" w:rsidP="002A4122">
            <w:pPr>
              <w:pStyle w:val="Tabletext"/>
              <w:rPr>
                <w:rFonts w:cstheme="minorHAnsi"/>
                <w:bCs/>
                <w:color w:val="231F20"/>
                <w:lang w:val="ru-RU"/>
              </w:rPr>
            </w:pPr>
            <w:r w:rsidRPr="00FD6E3F">
              <w:rPr>
                <w:rFonts w:cstheme="minorHAnsi"/>
                <w:bCs/>
                <w:color w:val="231F20"/>
                <w:lang w:val="ru-RU"/>
              </w:rPr>
              <w:t>Член Сектора</w:t>
            </w:r>
            <w:r w:rsidR="009A2443" w:rsidRPr="00FD6E3F">
              <w:rPr>
                <w:rFonts w:cstheme="minorHAnsi"/>
                <w:bCs/>
                <w:color w:val="231F20"/>
                <w:lang w:val="ru-RU"/>
              </w:rPr>
              <w:t xml:space="preserve"> или </w:t>
            </w:r>
            <w:r w:rsidRPr="00FD6E3F">
              <w:rPr>
                <w:rFonts w:cstheme="minorHAnsi"/>
                <w:bCs/>
                <w:color w:val="231F20"/>
                <w:lang w:val="ru-RU"/>
              </w:rPr>
              <w:t>Ассоциированный член</w:t>
            </w:r>
          </w:p>
        </w:tc>
        <w:tc>
          <w:tcPr>
            <w:tcW w:w="4650" w:type="dxa"/>
          </w:tcPr>
          <w:p w:rsidR="007A7CC5" w:rsidRPr="00FD6E3F" w:rsidRDefault="009A2443" w:rsidP="00FD6E3F">
            <w:pPr>
              <w:pStyle w:val="Tabletext"/>
              <w:rPr>
                <w:rFonts w:cstheme="minorHAnsi"/>
                <w:bCs/>
                <w:color w:val="231F20"/>
                <w:lang w:val="ru-RU"/>
              </w:rPr>
            </w:pPr>
            <w:r w:rsidRPr="00FD6E3F">
              <w:rPr>
                <w:rFonts w:cstheme="minorHAnsi"/>
                <w:bCs/>
                <w:color w:val="231F20"/>
                <w:lang w:val="ru-RU"/>
              </w:rPr>
              <w:t>Объединени</w:t>
            </w:r>
            <w:r w:rsidR="00C66E4E" w:rsidRPr="00FD6E3F">
              <w:rPr>
                <w:rFonts w:cstheme="minorHAnsi"/>
                <w:bCs/>
                <w:color w:val="231F20"/>
                <w:lang w:val="ru-RU"/>
              </w:rPr>
              <w:t xml:space="preserve">е подает заявку непосредственно </w:t>
            </w:r>
            <w:r w:rsidR="005571D3" w:rsidRPr="00FD6E3F">
              <w:rPr>
                <w:rFonts w:cstheme="minorHAnsi"/>
                <w:bCs/>
                <w:color w:val="231F20"/>
                <w:lang w:val="ru-RU"/>
              </w:rPr>
              <w:t>Генеральн</w:t>
            </w:r>
            <w:r w:rsidR="00092D0E" w:rsidRPr="00FD6E3F">
              <w:rPr>
                <w:rFonts w:cstheme="minorHAnsi"/>
                <w:bCs/>
                <w:color w:val="231F20"/>
                <w:lang w:val="ru-RU"/>
              </w:rPr>
              <w:t>о</w:t>
            </w:r>
            <w:r w:rsidR="00C66E4E" w:rsidRPr="00FD6E3F">
              <w:rPr>
                <w:rFonts w:cstheme="minorHAnsi"/>
                <w:bCs/>
                <w:color w:val="231F20"/>
                <w:lang w:val="ru-RU"/>
              </w:rPr>
              <w:t>му</w:t>
            </w:r>
            <w:r w:rsidR="005571D3" w:rsidRPr="00FD6E3F">
              <w:rPr>
                <w:rFonts w:cstheme="minorHAnsi"/>
                <w:bCs/>
                <w:color w:val="231F20"/>
                <w:lang w:val="ru-RU"/>
              </w:rPr>
              <w:t xml:space="preserve"> секретар</w:t>
            </w:r>
            <w:r w:rsidR="00C66E4E" w:rsidRPr="00FD6E3F">
              <w:rPr>
                <w:rFonts w:cstheme="minorHAnsi"/>
                <w:bCs/>
                <w:color w:val="231F20"/>
                <w:lang w:val="ru-RU"/>
              </w:rPr>
              <w:t xml:space="preserve">ю, который рассматривает ее, обеспечивая соблюдение критериев. Секретариат выставляет </w:t>
            </w:r>
            <w:r w:rsidRPr="00FD6E3F">
              <w:rPr>
                <w:rFonts w:cstheme="minorHAnsi"/>
                <w:bCs/>
                <w:color w:val="231F20"/>
                <w:lang w:val="ru-RU"/>
              </w:rPr>
              <w:t>объединени</w:t>
            </w:r>
            <w:r w:rsidR="00C66E4E" w:rsidRPr="00FD6E3F">
              <w:rPr>
                <w:rFonts w:cstheme="minorHAnsi"/>
                <w:bCs/>
                <w:color w:val="231F20"/>
                <w:lang w:val="ru-RU"/>
              </w:rPr>
              <w:t xml:space="preserve">ю счет-фактуру и активирует членство после </w:t>
            </w:r>
            <w:r w:rsidR="00B26A37" w:rsidRPr="00FD6E3F">
              <w:rPr>
                <w:rFonts w:cstheme="minorHAnsi"/>
                <w:bCs/>
                <w:color w:val="231F20"/>
                <w:lang w:val="ru-RU"/>
              </w:rPr>
              <w:t>получения платежа</w:t>
            </w:r>
            <w:r w:rsidR="007A7CC5" w:rsidRPr="00FD6E3F">
              <w:rPr>
                <w:rFonts w:cstheme="minorHAnsi"/>
                <w:bCs/>
                <w:color w:val="231F20"/>
                <w:lang w:val="ru-RU"/>
              </w:rPr>
              <w:t xml:space="preserve">. </w:t>
            </w:r>
            <w:r w:rsidR="00C66E4E" w:rsidRPr="00FD6E3F">
              <w:rPr>
                <w:rFonts w:cstheme="minorHAnsi"/>
                <w:bCs/>
                <w:color w:val="231F20"/>
                <w:lang w:val="ru-RU"/>
              </w:rPr>
              <w:t xml:space="preserve">Если </w:t>
            </w:r>
            <w:r w:rsidRPr="00FD6E3F">
              <w:rPr>
                <w:rFonts w:cstheme="minorHAnsi"/>
                <w:bCs/>
                <w:color w:val="231F20"/>
                <w:lang w:val="ru-RU"/>
              </w:rPr>
              <w:t>объединени</w:t>
            </w:r>
            <w:r w:rsidR="00C66E4E" w:rsidRPr="00FD6E3F">
              <w:rPr>
                <w:rFonts w:cstheme="minorHAnsi"/>
                <w:bCs/>
                <w:color w:val="231F20"/>
                <w:lang w:val="ru-RU"/>
              </w:rPr>
              <w:t xml:space="preserve">е обращается с просьбой об освобождении от уплаты </w:t>
            </w:r>
            <w:r w:rsidR="0000032C" w:rsidRPr="00FD6E3F">
              <w:rPr>
                <w:rFonts w:cstheme="minorHAnsi"/>
                <w:bCs/>
                <w:color w:val="231F20"/>
                <w:lang w:val="ru-RU"/>
              </w:rPr>
              <w:t>сборов</w:t>
            </w:r>
            <w:r w:rsidR="00092D0E" w:rsidRPr="00FD6E3F">
              <w:rPr>
                <w:rFonts w:cstheme="minorHAnsi"/>
                <w:bCs/>
                <w:color w:val="231F20"/>
                <w:lang w:val="ru-RU"/>
              </w:rPr>
              <w:t xml:space="preserve">, выполняется отдельная процедуры, и заявка подается на утверждение следующей сессии </w:t>
            </w:r>
            <w:r w:rsidRPr="00FD6E3F">
              <w:rPr>
                <w:rFonts w:cstheme="minorHAnsi"/>
                <w:bCs/>
                <w:color w:val="231F20"/>
                <w:lang w:val="ru-RU"/>
              </w:rPr>
              <w:t>Совет</w:t>
            </w:r>
            <w:r w:rsidR="00092D0E" w:rsidRPr="00FD6E3F">
              <w:rPr>
                <w:rFonts w:cstheme="minorHAnsi"/>
                <w:bCs/>
                <w:color w:val="231F20"/>
                <w:lang w:val="ru-RU"/>
              </w:rPr>
              <w:t>а</w:t>
            </w:r>
            <w:r w:rsidR="007A7CC5" w:rsidRPr="00FD6E3F">
              <w:rPr>
                <w:rFonts w:cstheme="minorHAnsi"/>
                <w:bCs/>
                <w:color w:val="231F20"/>
                <w:lang w:val="ru-RU"/>
              </w:rPr>
              <w:t xml:space="preserve">. </w:t>
            </w:r>
            <w:r w:rsidR="00092D0E" w:rsidRPr="00FD6E3F">
              <w:rPr>
                <w:rFonts w:cstheme="minorHAnsi"/>
                <w:bCs/>
                <w:color w:val="231F20"/>
                <w:lang w:val="ru-RU"/>
              </w:rPr>
              <w:t xml:space="preserve">Данная процедура изложена </w:t>
            </w:r>
            <w:r w:rsidRPr="00FD6E3F">
              <w:rPr>
                <w:lang w:val="ru-RU"/>
              </w:rPr>
              <w:t>Совет</w:t>
            </w:r>
            <w:r w:rsidR="00B26A37" w:rsidRPr="00FD6E3F">
              <w:rPr>
                <w:lang w:val="ru-RU"/>
              </w:rPr>
              <w:t xml:space="preserve">ом </w:t>
            </w:r>
            <w:r w:rsidR="007A7CC5" w:rsidRPr="00FD6E3F">
              <w:rPr>
                <w:lang w:val="ru-RU"/>
              </w:rPr>
              <w:t>2000</w:t>
            </w:r>
            <w:r w:rsidR="00FD6E3F" w:rsidRPr="00FD6E3F">
              <w:rPr>
                <w:lang w:val="ru-RU"/>
              </w:rPr>
              <w:t> </w:t>
            </w:r>
            <w:r w:rsidR="00B26A37" w:rsidRPr="00FD6E3F">
              <w:rPr>
                <w:lang w:val="ru-RU"/>
              </w:rPr>
              <w:t>года</w:t>
            </w:r>
            <w:r w:rsidR="007A7CC5" w:rsidRPr="00FD6E3F">
              <w:rPr>
                <w:lang w:val="ru-RU"/>
              </w:rPr>
              <w:t xml:space="preserve"> (</w:t>
            </w:r>
            <w:r w:rsidR="00092D0E" w:rsidRPr="00FD6E3F">
              <w:rPr>
                <w:lang w:val="ru-RU"/>
              </w:rPr>
              <w:t xml:space="preserve">Документ </w:t>
            </w:r>
            <w:r w:rsidR="007A7CC5" w:rsidRPr="00FD6E3F">
              <w:rPr>
                <w:lang w:val="ru-RU"/>
              </w:rPr>
              <w:t>C2000/28(</w:t>
            </w:r>
            <w:r w:rsidR="00FD6E3F" w:rsidRPr="00FD6E3F">
              <w:rPr>
                <w:lang w:val="ru-RU"/>
              </w:rPr>
              <w:t>Rev</w:t>
            </w:r>
            <w:r w:rsidRPr="00FD6E3F">
              <w:rPr>
                <w:lang w:val="ru-RU"/>
              </w:rPr>
              <w:t>.</w:t>
            </w:r>
            <w:r w:rsidR="007A7CC5" w:rsidRPr="00FD6E3F">
              <w:rPr>
                <w:lang w:val="ru-RU"/>
              </w:rPr>
              <w:t>1)).</w:t>
            </w:r>
          </w:p>
        </w:tc>
      </w:tr>
      <w:tr w:rsidR="007A7CC5" w:rsidRPr="009B2773" w:rsidTr="000979B3">
        <w:tc>
          <w:tcPr>
            <w:tcW w:w="2835" w:type="dxa"/>
          </w:tcPr>
          <w:p w:rsidR="007A7CC5" w:rsidRPr="00FD6E3F" w:rsidRDefault="00C66E4E" w:rsidP="002B3D0B">
            <w:pPr>
              <w:pStyle w:val="Tabletext"/>
              <w:rPr>
                <w:rFonts w:cstheme="minorHAnsi"/>
                <w:bCs/>
                <w:lang w:val="ru-RU"/>
              </w:rPr>
            </w:pPr>
            <w:r w:rsidRPr="00FD6E3F">
              <w:rPr>
                <w:lang w:val="ru-RU" w:eastAsia="zh-CN"/>
              </w:rPr>
              <w:t xml:space="preserve">Региональные организации электросвязи, указанные в Статье 43 Устава </w:t>
            </w:r>
            <w:r w:rsidRPr="00FD6E3F">
              <w:rPr>
                <w:rFonts w:cstheme="minorHAnsi"/>
                <w:lang w:val="ru-RU" w:eastAsia="zh-CN"/>
              </w:rPr>
              <w:t>Межправительственные организации, эксплуатирующие спутниковые системы</w:t>
            </w:r>
            <w:r w:rsidR="002B3D0B">
              <w:rPr>
                <w:rFonts w:cstheme="minorHAnsi"/>
                <w:lang w:val="ru-RU" w:eastAsia="zh-CN"/>
              </w:rPr>
              <w:t xml:space="preserve"> </w:t>
            </w:r>
            <w:r w:rsidR="007A7CC5" w:rsidRPr="00FD6E3F">
              <w:rPr>
                <w:lang w:val="ru-RU" w:eastAsia="zh-CN"/>
              </w:rPr>
              <w:t>(</w:t>
            </w:r>
            <w:r w:rsidR="002B3D0B">
              <w:rPr>
                <w:lang w:val="ru-RU" w:eastAsia="zh-CN"/>
              </w:rPr>
              <w:t>пп. </w:t>
            </w:r>
            <w:r w:rsidR="007A7CC5" w:rsidRPr="00FD6E3F">
              <w:rPr>
                <w:lang w:val="ru-RU" w:eastAsia="zh-CN"/>
              </w:rPr>
              <w:t>269B</w:t>
            </w:r>
            <w:r w:rsidR="009A2443" w:rsidRPr="00FD6E3F">
              <w:rPr>
                <w:lang w:val="ru-RU" w:eastAsia="zh-CN"/>
              </w:rPr>
              <w:t xml:space="preserve"> и </w:t>
            </w:r>
            <w:r w:rsidR="007A7CC5" w:rsidRPr="00FD6E3F">
              <w:rPr>
                <w:lang w:val="ru-RU" w:eastAsia="zh-CN"/>
              </w:rPr>
              <w:t xml:space="preserve">269C </w:t>
            </w:r>
            <w:r w:rsidR="005571D3" w:rsidRPr="00FD6E3F">
              <w:rPr>
                <w:lang w:val="ru-RU" w:eastAsia="zh-CN"/>
              </w:rPr>
              <w:t>Конвенции</w:t>
            </w:r>
            <w:r w:rsidR="007A7CC5" w:rsidRPr="00FD6E3F">
              <w:rPr>
                <w:lang w:val="ru-RU" w:eastAsia="zh-CN"/>
              </w:rPr>
              <w:t>)</w:t>
            </w:r>
          </w:p>
        </w:tc>
        <w:tc>
          <w:tcPr>
            <w:tcW w:w="2268" w:type="dxa"/>
          </w:tcPr>
          <w:p w:rsidR="007A7CC5" w:rsidRPr="00FD6E3F" w:rsidRDefault="005966C0" w:rsidP="002E0DB1">
            <w:pPr>
              <w:pStyle w:val="Tabletext"/>
              <w:rPr>
                <w:rFonts w:cstheme="minorHAnsi"/>
                <w:bCs/>
                <w:lang w:val="ru-RU"/>
              </w:rPr>
            </w:pPr>
            <w:r w:rsidRPr="00FD6E3F">
              <w:rPr>
                <w:rFonts w:cstheme="minorHAnsi"/>
                <w:bCs/>
                <w:lang w:val="ru-RU"/>
              </w:rPr>
              <w:t>Член Сектора</w:t>
            </w:r>
            <w:r w:rsidR="007A7CC5" w:rsidRPr="00FD6E3F">
              <w:rPr>
                <w:rFonts w:cstheme="minorHAnsi"/>
                <w:bCs/>
                <w:lang w:val="ru-RU"/>
              </w:rPr>
              <w:t xml:space="preserve"> (</w:t>
            </w:r>
            <w:r w:rsidR="00C66E4E" w:rsidRPr="00FD6E3F">
              <w:rPr>
                <w:rFonts w:cstheme="minorHAnsi"/>
                <w:bCs/>
                <w:lang w:val="ru-RU"/>
              </w:rPr>
              <w:t>региональная организация электросвязи</w:t>
            </w:r>
            <w:r w:rsidR="007A7CC5" w:rsidRPr="00FD6E3F">
              <w:rPr>
                <w:rFonts w:cstheme="minorHAnsi"/>
                <w:bCs/>
                <w:lang w:val="ru-RU"/>
              </w:rPr>
              <w:t xml:space="preserve">, </w:t>
            </w:r>
            <w:r w:rsidR="00C66E4E" w:rsidRPr="00FD6E3F">
              <w:rPr>
                <w:rFonts w:cstheme="minorHAnsi"/>
                <w:bCs/>
                <w:lang w:val="ru-RU"/>
              </w:rPr>
              <w:t>межправительственная организация, эксплуатирующая спутниковые системы</w:t>
            </w:r>
            <w:r w:rsidR="007A7CC5" w:rsidRPr="00FD6E3F">
              <w:rPr>
                <w:rFonts w:cstheme="minorHAnsi"/>
                <w:bCs/>
                <w:lang w:val="ru-RU"/>
              </w:rPr>
              <w:t>)</w:t>
            </w:r>
          </w:p>
        </w:tc>
        <w:tc>
          <w:tcPr>
            <w:tcW w:w="4650" w:type="dxa"/>
          </w:tcPr>
          <w:p w:rsidR="007A7CC5" w:rsidRPr="00FD6E3F" w:rsidRDefault="009A2443" w:rsidP="002A4122">
            <w:pPr>
              <w:pStyle w:val="Tabletext"/>
              <w:rPr>
                <w:rFonts w:cstheme="minorHAnsi"/>
                <w:bCs/>
                <w:color w:val="231F20"/>
                <w:lang w:val="ru-RU"/>
              </w:rPr>
            </w:pPr>
            <w:r w:rsidRPr="00FD6E3F">
              <w:rPr>
                <w:rFonts w:cstheme="minorHAnsi"/>
                <w:bCs/>
                <w:color w:val="231F20"/>
                <w:lang w:val="ru-RU"/>
              </w:rPr>
              <w:t>Объединени</w:t>
            </w:r>
            <w:r w:rsidR="00C66E4E" w:rsidRPr="00FD6E3F">
              <w:rPr>
                <w:rFonts w:cstheme="minorHAnsi"/>
                <w:bCs/>
                <w:color w:val="231F20"/>
                <w:lang w:val="ru-RU"/>
              </w:rPr>
              <w:t xml:space="preserve">е направляет просьбу непосредственно </w:t>
            </w:r>
            <w:r w:rsidR="005571D3" w:rsidRPr="00FD6E3F">
              <w:rPr>
                <w:rFonts w:cstheme="minorHAnsi"/>
                <w:bCs/>
                <w:color w:val="231F20"/>
                <w:lang w:val="ru-RU"/>
              </w:rPr>
              <w:t>Генеральн</w:t>
            </w:r>
            <w:r w:rsidR="00C66E4E" w:rsidRPr="00FD6E3F">
              <w:rPr>
                <w:rFonts w:cstheme="minorHAnsi"/>
                <w:bCs/>
                <w:color w:val="231F20"/>
                <w:lang w:val="ru-RU"/>
              </w:rPr>
              <w:t>ому</w:t>
            </w:r>
            <w:r w:rsidR="005571D3" w:rsidRPr="00FD6E3F">
              <w:rPr>
                <w:rFonts w:cstheme="minorHAnsi"/>
                <w:bCs/>
                <w:color w:val="231F20"/>
                <w:lang w:val="ru-RU"/>
              </w:rPr>
              <w:t xml:space="preserve"> секретар</w:t>
            </w:r>
            <w:r w:rsidR="00C66E4E" w:rsidRPr="00FD6E3F">
              <w:rPr>
                <w:rFonts w:cstheme="minorHAnsi"/>
                <w:bCs/>
                <w:color w:val="231F20"/>
                <w:lang w:val="ru-RU"/>
              </w:rPr>
              <w:t>ю</w:t>
            </w:r>
            <w:r w:rsidR="007A7CC5" w:rsidRPr="00FD6E3F">
              <w:rPr>
                <w:rFonts w:cstheme="minorHAnsi"/>
                <w:bCs/>
                <w:color w:val="231F20"/>
                <w:lang w:val="ru-RU"/>
              </w:rPr>
              <w:t>.</w:t>
            </w:r>
          </w:p>
        </w:tc>
      </w:tr>
      <w:tr w:rsidR="007A7CC5" w:rsidRPr="009B2773" w:rsidTr="000979B3">
        <w:tc>
          <w:tcPr>
            <w:tcW w:w="2835" w:type="dxa"/>
          </w:tcPr>
          <w:p w:rsidR="007A7CC5" w:rsidRPr="00FD6E3F" w:rsidRDefault="009A2443" w:rsidP="002A4122">
            <w:pPr>
              <w:pStyle w:val="Tabletext"/>
              <w:rPr>
                <w:lang w:val="ru-RU" w:eastAsia="zh-CN"/>
              </w:rPr>
            </w:pPr>
            <w:r w:rsidRPr="00FD6E3F">
              <w:rPr>
                <w:lang w:val="ru-RU" w:eastAsia="zh-CN"/>
              </w:rPr>
              <w:t>Академические организации</w:t>
            </w:r>
            <w:r w:rsidR="007A7CC5" w:rsidRPr="00FD6E3F">
              <w:rPr>
                <w:lang w:val="ru-RU" w:eastAsia="zh-CN"/>
              </w:rPr>
              <w:t xml:space="preserve">, </w:t>
            </w:r>
            <w:r w:rsidR="00C66E4E" w:rsidRPr="00FD6E3F">
              <w:rPr>
                <w:lang w:val="ru-RU" w:eastAsia="zh-CN"/>
              </w:rPr>
              <w:t>университеты и связанные с ними исследовательские учреждения</w:t>
            </w:r>
          </w:p>
        </w:tc>
        <w:tc>
          <w:tcPr>
            <w:tcW w:w="2268" w:type="dxa"/>
          </w:tcPr>
          <w:p w:rsidR="007A7CC5" w:rsidRPr="00FD6E3F" w:rsidRDefault="009A2443" w:rsidP="002A4122">
            <w:pPr>
              <w:pStyle w:val="Tabletext"/>
              <w:rPr>
                <w:rFonts w:cstheme="minorHAnsi"/>
                <w:bCs/>
                <w:color w:val="231F20"/>
                <w:lang w:val="ru-RU"/>
              </w:rPr>
            </w:pPr>
            <w:r w:rsidRPr="00FD6E3F">
              <w:rPr>
                <w:rFonts w:cstheme="minorHAnsi"/>
                <w:bCs/>
                <w:color w:val="231F20"/>
                <w:lang w:val="ru-RU"/>
              </w:rPr>
              <w:t>Академические организации</w:t>
            </w:r>
          </w:p>
        </w:tc>
        <w:tc>
          <w:tcPr>
            <w:tcW w:w="4650" w:type="dxa"/>
          </w:tcPr>
          <w:p w:rsidR="007A7CC5" w:rsidRPr="00FD6E3F" w:rsidRDefault="00C66E4E" w:rsidP="002A4122">
            <w:pPr>
              <w:pStyle w:val="Tabletext"/>
              <w:rPr>
                <w:rFonts w:cstheme="minorHAnsi"/>
                <w:bCs/>
                <w:color w:val="231F20"/>
                <w:lang w:val="ru-RU"/>
              </w:rPr>
            </w:pPr>
            <w:r w:rsidRPr="00FD6E3F">
              <w:rPr>
                <w:rFonts w:cstheme="minorHAnsi"/>
                <w:bCs/>
                <w:color w:val="231F20"/>
                <w:lang w:val="ru-RU"/>
              </w:rPr>
              <w:t xml:space="preserve">Объединение подает заявку соответствующему Государству-Члену, </w:t>
            </w:r>
            <w:r w:rsidR="0001370A" w:rsidRPr="00FD6E3F">
              <w:rPr>
                <w:rFonts w:cstheme="minorHAnsi"/>
                <w:bCs/>
                <w:color w:val="231F20"/>
                <w:lang w:val="ru-RU"/>
              </w:rPr>
              <w:t>которое в свою очередь дает согласие или отклоняет эту заявку</w:t>
            </w:r>
            <w:r w:rsidRPr="00FD6E3F">
              <w:rPr>
                <w:rFonts w:cstheme="minorHAnsi"/>
                <w:bCs/>
                <w:color w:val="231F20"/>
                <w:lang w:val="ru-RU"/>
              </w:rPr>
              <w:t>. Государство-Член информирует Генерального секретаря. Секретариат подтверждает прием нового члена, направляет счет-фактуру и активирует членство после получения платежа.</w:t>
            </w:r>
          </w:p>
        </w:tc>
      </w:tr>
    </w:tbl>
    <w:p w:rsidR="007A7CC5" w:rsidRPr="00FD6E3F" w:rsidRDefault="007A7CC5" w:rsidP="007A7CC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200" w:line="276" w:lineRule="auto"/>
        <w:textAlignment w:val="auto"/>
        <w:rPr>
          <w:caps/>
          <w:sz w:val="28"/>
          <w:lang w:val="ru-RU"/>
        </w:rPr>
      </w:pPr>
      <w:r w:rsidRPr="00FD6E3F">
        <w:rPr>
          <w:lang w:val="ru-RU"/>
        </w:rPr>
        <w:br w:type="page"/>
      </w:r>
    </w:p>
    <w:p w:rsidR="007A7CC5" w:rsidRPr="00FD6E3F" w:rsidRDefault="005571D3" w:rsidP="00FD6E3F">
      <w:pPr>
        <w:pStyle w:val="AnnexNo"/>
        <w:rPr>
          <w:lang w:val="ru-RU"/>
        </w:rPr>
      </w:pPr>
      <w:r w:rsidRPr="00FD6E3F">
        <w:rPr>
          <w:lang w:val="ru-RU"/>
        </w:rPr>
        <w:t>Приложение</w:t>
      </w:r>
      <w:r w:rsidR="007A7CC5" w:rsidRPr="00FD6E3F">
        <w:rPr>
          <w:lang w:val="ru-RU"/>
        </w:rPr>
        <w:t xml:space="preserve"> 3</w:t>
      </w:r>
    </w:p>
    <w:p w:rsidR="007A7CC5" w:rsidRPr="00FD6E3F" w:rsidRDefault="005571D3" w:rsidP="00FD6E3F">
      <w:pPr>
        <w:pStyle w:val="Annextitle"/>
        <w:rPr>
          <w:lang w:val="ru-RU"/>
        </w:rPr>
      </w:pPr>
      <w:r w:rsidRPr="00FD6E3F">
        <w:rPr>
          <w:lang w:val="ru-RU"/>
        </w:rPr>
        <w:t xml:space="preserve">Резюме проекта </w:t>
      </w:r>
      <w:r w:rsidR="009A2443" w:rsidRPr="00FD6E3F">
        <w:rPr>
          <w:lang w:val="ru-RU"/>
        </w:rPr>
        <w:t>Резолюци</w:t>
      </w:r>
      <w:r w:rsidRPr="00FD6E3F">
        <w:rPr>
          <w:lang w:val="ru-RU"/>
        </w:rPr>
        <w:t>и</w:t>
      </w:r>
      <w:r w:rsidR="007A7CC5" w:rsidRPr="00FD6E3F">
        <w:rPr>
          <w:lang w:val="ru-RU"/>
        </w:rPr>
        <w:t xml:space="preserve"> (</w:t>
      </w:r>
      <w:r w:rsidRPr="00FD6E3F">
        <w:rPr>
          <w:lang w:val="ru-RU"/>
        </w:rPr>
        <w:t>Пусан</w:t>
      </w:r>
      <w:r w:rsidR="007A7CC5" w:rsidRPr="00FD6E3F">
        <w:rPr>
          <w:lang w:val="ru-RU"/>
        </w:rPr>
        <w:t>, 2014</w:t>
      </w:r>
      <w:r w:rsidRPr="00FD6E3F">
        <w:rPr>
          <w:lang w:val="ru-RU"/>
        </w:rPr>
        <w:t xml:space="preserve"> г.</w:t>
      </w:r>
      <w:r w:rsidR="007A7CC5" w:rsidRPr="00FD6E3F">
        <w:rPr>
          <w:lang w:val="ru-RU"/>
        </w:rPr>
        <w:t>)</w:t>
      </w:r>
    </w:p>
    <w:p w:rsidR="007A7CC5" w:rsidRPr="00FD6E3F" w:rsidRDefault="005571D3" w:rsidP="00FD6E3F">
      <w:pPr>
        <w:pStyle w:val="Annextitle"/>
        <w:rPr>
          <w:lang w:val="ru-RU"/>
        </w:rPr>
      </w:pPr>
      <w:r w:rsidRPr="00FD6E3F">
        <w:rPr>
          <w:lang w:val="ru-RU"/>
        </w:rPr>
        <w:t xml:space="preserve">Рассмотрение существующих методик и разработка будущей концепции, касающихся </w:t>
      </w:r>
      <w:r w:rsidRPr="00FD6E3F">
        <w:rPr>
          <w:cs/>
          <w:lang w:val="ru-RU"/>
        </w:rPr>
        <w:t>‎</w:t>
      </w:r>
      <w:r w:rsidRPr="00FD6E3F">
        <w:rPr>
          <w:lang w:val="ru-RU"/>
        </w:rPr>
        <w:t xml:space="preserve">участия Членов Секторов, Ассоциированных членов </w:t>
      </w:r>
      <w:r w:rsidR="002E0DB1">
        <w:rPr>
          <w:lang w:val="ru-RU"/>
        </w:rPr>
        <w:br/>
      </w:r>
      <w:r w:rsidRPr="00FD6E3F">
        <w:rPr>
          <w:lang w:val="ru-RU"/>
        </w:rPr>
        <w:t xml:space="preserve">и академических организаций в </w:t>
      </w:r>
      <w:r w:rsidRPr="00FD6E3F">
        <w:rPr>
          <w:cs/>
          <w:lang w:val="ru-RU"/>
        </w:rPr>
        <w:t>‎</w:t>
      </w:r>
      <w:r w:rsidRPr="00FD6E3F">
        <w:rPr>
          <w:lang w:val="ru-RU"/>
        </w:rPr>
        <w:t>деятельности МСЭ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4938"/>
        <w:gridCol w:w="4477"/>
      </w:tblGrid>
      <w:tr w:rsidR="007A7CC5" w:rsidRPr="00FD6E3F" w:rsidTr="00FD6E3F">
        <w:trPr>
          <w:cantSplit/>
          <w:tblHeader/>
        </w:trPr>
        <w:tc>
          <w:tcPr>
            <w:tcW w:w="440" w:type="dxa"/>
          </w:tcPr>
          <w:p w:rsidR="007A7CC5" w:rsidRPr="00FD6E3F" w:rsidRDefault="007A7CC5" w:rsidP="00D0402C">
            <w:pPr>
              <w:tabs>
                <w:tab w:val="left" w:pos="851"/>
              </w:tabs>
              <w:spacing w:before="80" w:after="80"/>
              <w:ind w:firstLine="851"/>
              <w:rPr>
                <w:i/>
                <w:lang w:val="ru-RU"/>
              </w:rPr>
            </w:pPr>
          </w:p>
        </w:tc>
        <w:tc>
          <w:tcPr>
            <w:tcW w:w="4938" w:type="dxa"/>
            <w:vAlign w:val="bottom"/>
          </w:tcPr>
          <w:p w:rsidR="007A7CC5" w:rsidRPr="00FD6E3F" w:rsidRDefault="005571D3" w:rsidP="00FD6E3F">
            <w:pPr>
              <w:pStyle w:val="Tablehead"/>
              <w:rPr>
                <w:lang w:val="ru-RU"/>
              </w:rPr>
            </w:pPr>
            <w:r w:rsidRPr="00FD6E3F">
              <w:rPr>
                <w:lang w:val="ru-RU"/>
              </w:rPr>
              <w:t xml:space="preserve">Пункт из проекта </w:t>
            </w:r>
            <w:r w:rsidR="009A2443" w:rsidRPr="00FD6E3F">
              <w:rPr>
                <w:lang w:val="ru-RU"/>
              </w:rPr>
              <w:t>Резолюци</w:t>
            </w:r>
            <w:r w:rsidRPr="00FD6E3F">
              <w:rPr>
                <w:lang w:val="ru-RU"/>
              </w:rPr>
              <w:t>и</w:t>
            </w:r>
          </w:p>
        </w:tc>
        <w:tc>
          <w:tcPr>
            <w:tcW w:w="4477" w:type="dxa"/>
          </w:tcPr>
          <w:p w:rsidR="007A7CC5" w:rsidRPr="00FD6E3F" w:rsidRDefault="005571D3" w:rsidP="00FD6E3F">
            <w:pPr>
              <w:pStyle w:val="Tablehead"/>
              <w:rPr>
                <w:lang w:val="ru-RU"/>
              </w:rPr>
            </w:pPr>
            <w:r w:rsidRPr="00FD6E3F">
              <w:rPr>
                <w:lang w:val="ru-RU"/>
              </w:rPr>
              <w:t xml:space="preserve">Обоснование </w:t>
            </w:r>
          </w:p>
        </w:tc>
      </w:tr>
      <w:tr w:rsidR="002E0DB1" w:rsidRPr="009B2773" w:rsidTr="00FD6E3F">
        <w:trPr>
          <w:cantSplit/>
        </w:trPr>
        <w:tc>
          <w:tcPr>
            <w:tcW w:w="440" w:type="dxa"/>
          </w:tcPr>
          <w:p w:rsidR="002E0DB1" w:rsidRPr="00FD6E3F" w:rsidRDefault="002E0DB1" w:rsidP="00FD6E3F">
            <w:pPr>
              <w:pStyle w:val="Tabletext"/>
              <w:rPr>
                <w:lang w:val="ru-RU"/>
              </w:rPr>
            </w:pPr>
            <w:r w:rsidRPr="00FD6E3F">
              <w:rPr>
                <w:lang w:val="ru-RU"/>
              </w:rPr>
              <w:t>1</w:t>
            </w:r>
          </w:p>
        </w:tc>
        <w:tc>
          <w:tcPr>
            <w:tcW w:w="4938" w:type="dxa"/>
          </w:tcPr>
          <w:p w:rsidR="002E0DB1" w:rsidRPr="00FD6E3F" w:rsidRDefault="002E0DB1" w:rsidP="00FD6E3F">
            <w:pPr>
              <w:pStyle w:val="Tabletext"/>
              <w:rPr>
                <w:lang w:val="ru-RU"/>
              </w:rPr>
            </w:pPr>
            <w:r w:rsidRPr="002E0DB1">
              <w:rPr>
                <w:lang w:val="ru-RU"/>
              </w:rPr>
              <w:t xml:space="preserve">Проанализировать последствия различных методик ценообразования для Членов Секторов и </w:t>
            </w:r>
            <w:r w:rsidRPr="002E0DB1">
              <w:rPr>
                <w:cs/>
                <w:lang w:val="ru-RU"/>
              </w:rPr>
              <w:t>‎</w:t>
            </w:r>
            <w:r w:rsidRPr="002E0DB1">
              <w:rPr>
                <w:lang w:val="ru-RU"/>
              </w:rPr>
              <w:t>Ассоциированных членов с точки зре</w:t>
            </w:r>
            <w:r>
              <w:rPr>
                <w:lang w:val="ru-RU"/>
              </w:rPr>
              <w:t xml:space="preserve">ния преимуществ и недостатков и </w:t>
            </w:r>
            <w:r w:rsidRPr="002E0DB1">
              <w:rPr>
                <w:rFonts w:asciiTheme="minorHAnsi" w:hAnsiTheme="minorHAnsi"/>
                <w:lang w:val="ru-RU"/>
              </w:rPr>
              <w:t>рассмотреть</w:t>
            </w:r>
            <w:r w:rsidRPr="002E0DB1">
              <w:rPr>
                <w:rFonts w:asciiTheme="minorHAnsi" w:hAnsiTheme="minorHAnsi"/>
                <w:szCs w:val="20"/>
                <w:lang w:val="ru-RU"/>
              </w:rPr>
              <w:t xml:space="preserve"> </w:t>
            </w:r>
            <w:r w:rsidRPr="002E0DB1">
              <w:rPr>
                <w:rFonts w:asciiTheme="minorHAnsi" w:hAnsiTheme="minorHAnsi"/>
                <w:szCs w:val="20"/>
                <w:cs/>
                <w:lang w:val="ru-RU"/>
              </w:rPr>
              <w:t>‎</w:t>
            </w:r>
            <w:r w:rsidRPr="002E0DB1">
              <w:rPr>
                <w:rFonts w:asciiTheme="minorHAnsi" w:hAnsiTheme="minorHAnsi"/>
                <w:szCs w:val="20"/>
                <w:rtl/>
                <w:cs/>
                <w:lang w:val="ru-RU"/>
              </w:rPr>
              <w:br/>
            </w:r>
            <w:r w:rsidRPr="002E0DB1">
              <w:rPr>
                <w:lang w:val="ru-RU"/>
              </w:rPr>
              <w:t>дополнительные выгоды, в том числе особый статус Членов всех трех Секторов</w:t>
            </w:r>
            <w:r w:rsidRPr="002E0DB1">
              <w:rPr>
                <w:cs/>
                <w:lang w:val="ru-RU"/>
              </w:rPr>
              <w:t>‎</w:t>
            </w:r>
            <w:r w:rsidRPr="002E0DB1">
              <w:rPr>
                <w:lang w:val="ru-RU"/>
              </w:rPr>
              <w:t>;</w:t>
            </w:r>
          </w:p>
        </w:tc>
        <w:tc>
          <w:tcPr>
            <w:tcW w:w="4477" w:type="dxa"/>
          </w:tcPr>
          <w:p w:rsidR="002E0DB1" w:rsidRPr="00FD6E3F" w:rsidRDefault="002E0DB1" w:rsidP="00FD6E3F">
            <w:pPr>
              <w:pStyle w:val="Tabletext"/>
              <w:rPr>
                <w:lang w:val="ru-RU"/>
              </w:rPr>
            </w:pPr>
            <w:r w:rsidRPr="00FD6E3F">
              <w:rPr>
                <w:rFonts w:eastAsia="SimSun"/>
                <w:lang w:val="ru-RU" w:eastAsia="zh-CN"/>
              </w:rPr>
              <w:t>Задачей является упрощение установления цен для Членов Секторов и академических организаций. Структуру единиц взносов сложно разъяснить потенциальным членам, и подавляющее большинство выбирает минимальную величину.</w:t>
            </w:r>
          </w:p>
        </w:tc>
      </w:tr>
      <w:tr w:rsidR="007A7CC5" w:rsidRPr="009B2773" w:rsidTr="00FD6E3F">
        <w:trPr>
          <w:cantSplit/>
        </w:trPr>
        <w:tc>
          <w:tcPr>
            <w:tcW w:w="440" w:type="dxa"/>
          </w:tcPr>
          <w:p w:rsidR="007A7CC5" w:rsidRPr="00FD6E3F" w:rsidRDefault="007A7CC5" w:rsidP="00FD6E3F">
            <w:pPr>
              <w:pStyle w:val="Tabletext"/>
              <w:rPr>
                <w:lang w:val="ru-RU"/>
              </w:rPr>
            </w:pPr>
            <w:r w:rsidRPr="00FD6E3F">
              <w:rPr>
                <w:lang w:val="ru-RU"/>
              </w:rPr>
              <w:t>2</w:t>
            </w:r>
          </w:p>
        </w:tc>
        <w:tc>
          <w:tcPr>
            <w:tcW w:w="4938" w:type="dxa"/>
          </w:tcPr>
          <w:p w:rsidR="007A7CC5" w:rsidRPr="00FD6E3F" w:rsidRDefault="00FD6E3F" w:rsidP="00FD6E3F">
            <w:pPr>
              <w:pStyle w:val="Tabletext"/>
              <w:rPr>
                <w:lang w:val="ru-RU"/>
              </w:rPr>
            </w:pPr>
            <w:r w:rsidRPr="00FD6E3F">
              <w:rPr>
                <w:lang w:val="ru-RU"/>
              </w:rPr>
              <w:t xml:space="preserve">Изучить </w:t>
            </w:r>
            <w:r w:rsidR="005571D3" w:rsidRPr="00FD6E3F">
              <w:rPr>
                <w:lang w:val="ru-RU"/>
              </w:rPr>
              <w:t xml:space="preserve">действующую структуру членского состава, преимущества и права, связанные с участием, </w:t>
            </w:r>
            <w:r w:rsidR="005571D3" w:rsidRPr="00FD6E3F">
              <w:rPr>
                <w:cs/>
                <w:lang w:val="ru-RU"/>
              </w:rPr>
              <w:t>‎</w:t>
            </w:r>
            <w:r w:rsidR="005571D3" w:rsidRPr="00FD6E3F">
              <w:rPr>
                <w:lang w:val="ru-RU"/>
              </w:rPr>
              <w:t xml:space="preserve">для Членов Секторов, Ассоциированных членов и академических организаций, в целях </w:t>
            </w:r>
            <w:r w:rsidR="005571D3" w:rsidRPr="00FD6E3F">
              <w:rPr>
                <w:cs/>
                <w:lang w:val="ru-RU"/>
              </w:rPr>
              <w:t>‎</w:t>
            </w:r>
            <w:r w:rsidR="005571D3" w:rsidRPr="00FD6E3F">
              <w:rPr>
                <w:lang w:val="ru-RU"/>
              </w:rPr>
              <w:t>обеспечения согласованности и справедливости между категориями членского состава</w:t>
            </w:r>
            <w:r w:rsidR="005571D3" w:rsidRPr="00FD6E3F">
              <w:rPr>
                <w:cs/>
                <w:lang w:val="ru-RU"/>
              </w:rPr>
              <w:t>‎</w:t>
            </w:r>
            <w:r w:rsidR="007A7CC5" w:rsidRPr="00FD6E3F">
              <w:rPr>
                <w:lang w:val="ru-RU"/>
              </w:rPr>
              <w:t>;</w:t>
            </w:r>
          </w:p>
        </w:tc>
        <w:tc>
          <w:tcPr>
            <w:tcW w:w="4477" w:type="dxa"/>
          </w:tcPr>
          <w:p w:rsidR="007A7CC5" w:rsidRPr="00FD6E3F" w:rsidRDefault="005571D3" w:rsidP="00FD6E3F">
            <w:pPr>
              <w:pStyle w:val="Tabletext"/>
              <w:rPr>
                <w:lang w:val="ru-RU"/>
              </w:rPr>
            </w:pPr>
            <w:r w:rsidRPr="00FD6E3F">
              <w:rPr>
                <w:lang w:val="ru-RU"/>
              </w:rPr>
              <w:t>Этот процесс начался в течение последнего четырехгодичного цикла, однако требуется проведение дополнительного анализа и консультаций</w:t>
            </w:r>
            <w:r w:rsidR="007A7CC5" w:rsidRPr="00FD6E3F">
              <w:rPr>
                <w:lang w:val="ru-RU"/>
              </w:rPr>
              <w:t>.</w:t>
            </w:r>
          </w:p>
        </w:tc>
      </w:tr>
      <w:tr w:rsidR="007A7CC5" w:rsidRPr="009B2773" w:rsidTr="00FD6E3F">
        <w:trPr>
          <w:cantSplit/>
        </w:trPr>
        <w:tc>
          <w:tcPr>
            <w:tcW w:w="440" w:type="dxa"/>
          </w:tcPr>
          <w:p w:rsidR="007A7CC5" w:rsidRPr="00FD6E3F" w:rsidRDefault="007A7CC5" w:rsidP="00FD6E3F">
            <w:pPr>
              <w:pStyle w:val="Tabletext"/>
              <w:rPr>
                <w:lang w:val="ru-RU"/>
              </w:rPr>
            </w:pPr>
            <w:r w:rsidRPr="00FD6E3F">
              <w:rPr>
                <w:lang w:val="ru-RU"/>
              </w:rPr>
              <w:t>3</w:t>
            </w:r>
          </w:p>
        </w:tc>
        <w:tc>
          <w:tcPr>
            <w:tcW w:w="4938" w:type="dxa"/>
          </w:tcPr>
          <w:p w:rsidR="007A7CC5" w:rsidRPr="00FD6E3F" w:rsidRDefault="00FD6E3F" w:rsidP="00FD6E3F">
            <w:pPr>
              <w:pStyle w:val="Tabletext"/>
              <w:rPr>
                <w:lang w:val="ru-RU"/>
              </w:rPr>
            </w:pPr>
            <w:r w:rsidRPr="00FD6E3F">
              <w:rPr>
                <w:lang w:val="ru-RU"/>
              </w:rPr>
              <w:t xml:space="preserve">Рассмотреть </w:t>
            </w:r>
            <w:r w:rsidR="008A5FD7" w:rsidRPr="00FD6E3F">
              <w:rPr>
                <w:lang w:val="ru-RU"/>
              </w:rPr>
              <w:t>практическое применение прав и обязанностей Членов Секторов, установленных в Уставе и Конвенции МСЭ, Резолюции 14 (Пересм. Анталия, 2006 г.), а также механизмы участия Ассоциированных членов и академических организаций, чтобы обеспечить их надлежащее признание в ходе работы конференций и ассамблей, исследовательских комиссий, рабочих групп, консультативных групп и других видах деятельности МСЭ</w:t>
            </w:r>
            <w:r w:rsidR="007A7CC5" w:rsidRPr="00FD6E3F">
              <w:rPr>
                <w:lang w:val="ru-RU"/>
              </w:rPr>
              <w:t>;</w:t>
            </w:r>
          </w:p>
        </w:tc>
        <w:tc>
          <w:tcPr>
            <w:tcW w:w="4477" w:type="dxa"/>
          </w:tcPr>
          <w:p w:rsidR="007A7CC5" w:rsidRPr="00FD6E3F" w:rsidRDefault="005571D3" w:rsidP="00FD6E3F">
            <w:pPr>
              <w:pStyle w:val="Tabletext"/>
              <w:rPr>
                <w:lang w:val="ru-RU"/>
              </w:rPr>
            </w:pPr>
            <w:r w:rsidRPr="00FD6E3F">
              <w:rPr>
                <w:lang w:val="ru-RU"/>
              </w:rPr>
              <w:t xml:space="preserve">Некоторые члены выразили обеспокоенность, что </w:t>
            </w:r>
            <w:r w:rsidR="009A2443" w:rsidRPr="00FD6E3F">
              <w:rPr>
                <w:lang w:val="ru-RU"/>
              </w:rPr>
              <w:t xml:space="preserve">права и </w:t>
            </w:r>
            <w:r w:rsidRPr="00FD6E3F">
              <w:rPr>
                <w:lang w:val="ru-RU"/>
              </w:rPr>
              <w:t>обязанности не в полной мере признаются на рабочем уровне</w:t>
            </w:r>
            <w:r w:rsidR="007A7CC5" w:rsidRPr="00FD6E3F">
              <w:rPr>
                <w:lang w:val="ru-RU"/>
              </w:rPr>
              <w:t xml:space="preserve">, </w:t>
            </w:r>
            <w:r w:rsidRPr="00FD6E3F">
              <w:rPr>
                <w:lang w:val="ru-RU"/>
              </w:rPr>
              <w:t>в том числе в</w:t>
            </w:r>
            <w:r w:rsidR="00B26A37" w:rsidRPr="00FD6E3F">
              <w:rPr>
                <w:lang w:val="ru-RU"/>
              </w:rPr>
              <w:t xml:space="preserve"> ходе </w:t>
            </w:r>
            <w:r w:rsidRPr="00FD6E3F">
              <w:rPr>
                <w:lang w:val="ru-RU"/>
              </w:rPr>
              <w:t xml:space="preserve">собраний </w:t>
            </w:r>
            <w:r w:rsidR="00B26A37" w:rsidRPr="00FD6E3F">
              <w:rPr>
                <w:lang w:val="ru-RU"/>
              </w:rPr>
              <w:t xml:space="preserve">исследовательских </w:t>
            </w:r>
            <w:r w:rsidR="005966C0" w:rsidRPr="00FD6E3F">
              <w:rPr>
                <w:lang w:val="ru-RU"/>
              </w:rPr>
              <w:t>комисси</w:t>
            </w:r>
            <w:r w:rsidRPr="00FD6E3F">
              <w:rPr>
                <w:lang w:val="ru-RU"/>
              </w:rPr>
              <w:t>й</w:t>
            </w:r>
            <w:r w:rsidR="009A2443" w:rsidRPr="00FD6E3F">
              <w:rPr>
                <w:lang w:val="ru-RU"/>
              </w:rPr>
              <w:t xml:space="preserve"> и</w:t>
            </w:r>
            <w:r w:rsidRPr="00FD6E3F">
              <w:rPr>
                <w:lang w:val="ru-RU"/>
              </w:rPr>
              <w:t xml:space="preserve"> рабочих групп</w:t>
            </w:r>
            <w:r w:rsidR="007A7CC5" w:rsidRPr="00FD6E3F">
              <w:rPr>
                <w:lang w:val="ru-RU"/>
              </w:rPr>
              <w:t>.</w:t>
            </w:r>
          </w:p>
        </w:tc>
      </w:tr>
      <w:tr w:rsidR="007A7CC5" w:rsidRPr="009B2773" w:rsidTr="00FD6E3F">
        <w:trPr>
          <w:cantSplit/>
        </w:trPr>
        <w:tc>
          <w:tcPr>
            <w:tcW w:w="440" w:type="dxa"/>
          </w:tcPr>
          <w:p w:rsidR="007A7CC5" w:rsidRPr="00FD6E3F" w:rsidRDefault="007A7CC5" w:rsidP="00FD6E3F">
            <w:pPr>
              <w:pStyle w:val="Tabletext"/>
              <w:rPr>
                <w:lang w:val="ru-RU"/>
              </w:rPr>
            </w:pPr>
            <w:r w:rsidRPr="00FD6E3F">
              <w:rPr>
                <w:lang w:val="ru-RU"/>
              </w:rPr>
              <w:t>4</w:t>
            </w:r>
          </w:p>
        </w:tc>
        <w:tc>
          <w:tcPr>
            <w:tcW w:w="4938" w:type="dxa"/>
          </w:tcPr>
          <w:p w:rsidR="007A7CC5" w:rsidRPr="00FD6E3F" w:rsidRDefault="00FD6E3F" w:rsidP="00FD6E3F">
            <w:pPr>
              <w:pStyle w:val="Tabletext"/>
              <w:rPr>
                <w:lang w:val="ru-RU"/>
              </w:rPr>
            </w:pPr>
            <w:r w:rsidRPr="00FD6E3F">
              <w:rPr>
                <w:lang w:val="ru-RU"/>
              </w:rPr>
              <w:t xml:space="preserve">Разработать </w:t>
            </w:r>
            <w:r w:rsidR="008A5FD7" w:rsidRPr="00FD6E3F">
              <w:rPr>
                <w:lang w:val="ru-RU"/>
              </w:rPr>
              <w:t>руководящие указания и организовать профессиональную подготовку для председателей/заместителей председателей, советников исследовательских комиссий и других сторон по вопросам, связанным с такими механизмами, относящимися к различным категориям членов и участия, после рассмотрения, о котором говорится в пункте 3, выше</w:t>
            </w:r>
            <w:r w:rsidR="007A7CC5" w:rsidRPr="00FD6E3F">
              <w:rPr>
                <w:lang w:val="ru-RU"/>
              </w:rPr>
              <w:t>;</w:t>
            </w:r>
          </w:p>
        </w:tc>
        <w:tc>
          <w:tcPr>
            <w:tcW w:w="4477" w:type="dxa"/>
          </w:tcPr>
          <w:p w:rsidR="007A7CC5" w:rsidRPr="00FD6E3F" w:rsidRDefault="005571D3" w:rsidP="00FD6E3F">
            <w:pPr>
              <w:pStyle w:val="Tabletext"/>
              <w:rPr>
                <w:lang w:val="ru-RU"/>
              </w:rPr>
            </w:pPr>
            <w:r w:rsidRPr="00FD6E3F">
              <w:rPr>
                <w:lang w:val="ru-RU"/>
              </w:rPr>
              <w:t xml:space="preserve">Обеспечить практические средства для решения проблемных вопросов, поднятых в пункте </w:t>
            </w:r>
            <w:r w:rsidR="007A7CC5" w:rsidRPr="00FD6E3F">
              <w:rPr>
                <w:lang w:val="ru-RU"/>
              </w:rPr>
              <w:t>3</w:t>
            </w:r>
            <w:r w:rsidRPr="00FD6E3F">
              <w:rPr>
                <w:lang w:val="ru-RU"/>
              </w:rPr>
              <w:t>, выше</w:t>
            </w:r>
            <w:r w:rsidR="007A7CC5" w:rsidRPr="00FD6E3F">
              <w:rPr>
                <w:lang w:val="ru-RU"/>
              </w:rPr>
              <w:t>.</w:t>
            </w:r>
          </w:p>
        </w:tc>
      </w:tr>
      <w:tr w:rsidR="007A7CC5" w:rsidRPr="009B2773" w:rsidTr="00FD6E3F">
        <w:trPr>
          <w:cantSplit/>
        </w:trPr>
        <w:tc>
          <w:tcPr>
            <w:tcW w:w="440" w:type="dxa"/>
          </w:tcPr>
          <w:p w:rsidR="007A7CC5" w:rsidRPr="00FD6E3F" w:rsidRDefault="007A7CC5" w:rsidP="00FD6E3F">
            <w:pPr>
              <w:pStyle w:val="Tabletext"/>
              <w:rPr>
                <w:lang w:val="ru-RU"/>
              </w:rPr>
            </w:pPr>
            <w:r w:rsidRPr="00FD6E3F">
              <w:rPr>
                <w:lang w:val="ru-RU"/>
              </w:rPr>
              <w:t>5</w:t>
            </w:r>
          </w:p>
        </w:tc>
        <w:tc>
          <w:tcPr>
            <w:tcW w:w="4938" w:type="dxa"/>
          </w:tcPr>
          <w:p w:rsidR="007A7CC5" w:rsidRPr="00FD6E3F" w:rsidRDefault="00FD6E3F" w:rsidP="00FD6E3F">
            <w:pPr>
              <w:pStyle w:val="Tabletext"/>
              <w:rPr>
                <w:lang w:val="ru-RU"/>
              </w:rPr>
            </w:pPr>
            <w:r w:rsidRPr="00FD6E3F">
              <w:rPr>
                <w:lang w:val="ru-RU"/>
              </w:rPr>
              <w:t xml:space="preserve">Изучить </w:t>
            </w:r>
            <w:r w:rsidR="008A5FD7" w:rsidRPr="00FD6E3F">
              <w:rPr>
                <w:lang w:val="ru-RU"/>
              </w:rPr>
              <w:t>способы расширения участия некоммерческих объединений в работе Союза, включая возможность создания новой категории участия с соответствующими правами и обязанностями</w:t>
            </w:r>
            <w:r w:rsidR="007A7CC5" w:rsidRPr="00FD6E3F">
              <w:rPr>
                <w:rFonts w:eastAsia="Calibri" w:cs="Arial"/>
                <w:lang w:val="ru-RU"/>
              </w:rPr>
              <w:t>;</w:t>
            </w:r>
          </w:p>
        </w:tc>
        <w:tc>
          <w:tcPr>
            <w:tcW w:w="4477" w:type="dxa"/>
          </w:tcPr>
          <w:p w:rsidR="007A7CC5" w:rsidRPr="00FD6E3F" w:rsidRDefault="005571D3" w:rsidP="00FD6E3F">
            <w:pPr>
              <w:pStyle w:val="Tabletext"/>
              <w:rPr>
                <w:rFonts w:eastAsia="SimSun"/>
                <w:lang w:val="ru-RU" w:eastAsia="zh-CN"/>
              </w:rPr>
            </w:pPr>
            <w:r w:rsidRPr="00FD6E3F">
              <w:rPr>
                <w:rFonts w:eastAsia="SimSun"/>
                <w:lang w:val="ru-RU" w:eastAsia="zh-CN"/>
              </w:rPr>
              <w:t xml:space="preserve">Обычные </w:t>
            </w:r>
            <w:r w:rsidR="0000032C" w:rsidRPr="00FD6E3F">
              <w:rPr>
                <w:rFonts w:eastAsia="SimSun"/>
                <w:lang w:val="ru-RU" w:eastAsia="zh-CN"/>
              </w:rPr>
              <w:t>сборы</w:t>
            </w:r>
            <w:r w:rsidRPr="00FD6E3F">
              <w:rPr>
                <w:rFonts w:eastAsia="SimSun"/>
                <w:lang w:val="ru-RU" w:eastAsia="zh-CN"/>
              </w:rPr>
              <w:t xml:space="preserve"> Членов Секторов МСЭ слишком высоки для многих НПО, поэтому те из них, кто является региональными/международными, обычно просят об освобождении от уплаты </w:t>
            </w:r>
            <w:r w:rsidR="0000032C" w:rsidRPr="00FD6E3F">
              <w:rPr>
                <w:rFonts w:eastAsia="SimSun"/>
                <w:lang w:val="ru-RU" w:eastAsia="zh-CN"/>
              </w:rPr>
              <w:t>сборов</w:t>
            </w:r>
            <w:r w:rsidRPr="00FD6E3F">
              <w:rPr>
                <w:rFonts w:eastAsia="SimSun"/>
                <w:lang w:val="ru-RU" w:eastAsia="zh-CN"/>
              </w:rPr>
              <w:t xml:space="preserve">, как отмечалось выше. Новая категория участия с более низкими </w:t>
            </w:r>
            <w:r w:rsidR="0000032C" w:rsidRPr="00FD6E3F">
              <w:rPr>
                <w:rFonts w:eastAsia="SimSun"/>
                <w:lang w:val="ru-RU" w:eastAsia="zh-CN"/>
              </w:rPr>
              <w:t xml:space="preserve">сборами </w:t>
            </w:r>
            <w:r w:rsidRPr="00FD6E3F">
              <w:rPr>
                <w:rFonts w:eastAsia="SimSun"/>
                <w:lang w:val="ru-RU" w:eastAsia="zh-CN"/>
              </w:rPr>
              <w:t xml:space="preserve">сделает участие в МСЭ с уплатой </w:t>
            </w:r>
            <w:r w:rsidR="0000032C" w:rsidRPr="00FD6E3F">
              <w:rPr>
                <w:rFonts w:eastAsia="SimSun"/>
                <w:lang w:val="ru-RU" w:eastAsia="zh-CN"/>
              </w:rPr>
              <w:t>сборов</w:t>
            </w:r>
            <w:r w:rsidRPr="00FD6E3F">
              <w:rPr>
                <w:rFonts w:eastAsia="SimSun"/>
                <w:lang w:val="ru-RU" w:eastAsia="zh-CN"/>
              </w:rPr>
              <w:t xml:space="preserve"> возможным для большего числа НПО</w:t>
            </w:r>
            <w:r w:rsidR="007A7CC5" w:rsidRPr="00FD6E3F">
              <w:rPr>
                <w:rFonts w:eastAsia="SimSun"/>
                <w:lang w:val="ru-RU" w:eastAsia="zh-CN"/>
              </w:rPr>
              <w:t>.</w:t>
            </w:r>
          </w:p>
        </w:tc>
      </w:tr>
      <w:tr w:rsidR="007A7CC5" w:rsidRPr="00FD6E3F" w:rsidTr="00FD6E3F">
        <w:trPr>
          <w:cantSplit/>
        </w:trPr>
        <w:tc>
          <w:tcPr>
            <w:tcW w:w="440" w:type="dxa"/>
          </w:tcPr>
          <w:p w:rsidR="007A7CC5" w:rsidRPr="00FD6E3F" w:rsidRDefault="007A7CC5" w:rsidP="00FD6E3F">
            <w:pPr>
              <w:pStyle w:val="Tabletext"/>
              <w:rPr>
                <w:lang w:val="ru-RU"/>
              </w:rPr>
            </w:pPr>
            <w:r w:rsidRPr="00FD6E3F">
              <w:rPr>
                <w:lang w:val="ru-RU"/>
              </w:rPr>
              <w:t>6</w:t>
            </w:r>
          </w:p>
        </w:tc>
        <w:tc>
          <w:tcPr>
            <w:tcW w:w="4938" w:type="dxa"/>
          </w:tcPr>
          <w:p w:rsidR="007A7CC5" w:rsidRPr="00FD6E3F" w:rsidRDefault="00FD6E3F" w:rsidP="00FD6E3F">
            <w:pPr>
              <w:pStyle w:val="Tabletext"/>
              <w:rPr>
                <w:lang w:val="ru-RU"/>
              </w:rPr>
            </w:pPr>
            <w:r w:rsidRPr="00FD6E3F">
              <w:rPr>
                <w:lang w:val="ru-RU"/>
              </w:rPr>
              <w:t xml:space="preserve">Рассмотреть </w:t>
            </w:r>
            <w:r w:rsidR="008A5FD7" w:rsidRPr="00FD6E3F">
              <w:rPr>
                <w:lang w:val="ru-RU"/>
              </w:rPr>
              <w:t>практику освобождения объединений от членских сборов (на основании таких критериев, как взаимная основа) и при необходимости внести изменения в критерии соответствия условиям</w:t>
            </w:r>
            <w:r w:rsidR="007A7CC5" w:rsidRPr="00FD6E3F">
              <w:rPr>
                <w:lang w:val="ru-RU"/>
              </w:rPr>
              <w:t>;</w:t>
            </w:r>
          </w:p>
        </w:tc>
        <w:tc>
          <w:tcPr>
            <w:tcW w:w="4477" w:type="dxa"/>
          </w:tcPr>
          <w:p w:rsidR="007A7CC5" w:rsidRPr="00FD6E3F" w:rsidRDefault="005571D3" w:rsidP="00FD6E3F">
            <w:pPr>
              <w:pStyle w:val="Tabletext"/>
              <w:rPr>
                <w:lang w:val="ru-RU"/>
              </w:rPr>
            </w:pPr>
            <w:r w:rsidRPr="00FD6E3F">
              <w:rPr>
                <w:lang w:val="ru-RU" w:eastAsia="zh-CN"/>
              </w:rPr>
              <w:t>Освобожде</w:t>
            </w:r>
            <w:r w:rsidR="00FD6E3F" w:rsidRPr="00FD6E3F">
              <w:rPr>
                <w:lang w:val="ru-RU" w:eastAsia="zh-CN"/>
              </w:rPr>
              <w:t>ния были введены в 2000 году. В </w:t>
            </w:r>
            <w:r w:rsidRPr="00FD6E3F">
              <w:rPr>
                <w:lang w:val="ru-RU" w:eastAsia="zh-CN"/>
              </w:rPr>
              <w:t xml:space="preserve">настоящее время от уплаты </w:t>
            </w:r>
            <w:r w:rsidR="0000032C" w:rsidRPr="00FD6E3F">
              <w:rPr>
                <w:lang w:val="ru-RU" w:eastAsia="zh-CN"/>
              </w:rPr>
              <w:t>сборов</w:t>
            </w:r>
            <w:r w:rsidRPr="00FD6E3F">
              <w:rPr>
                <w:lang w:val="ru-RU" w:eastAsia="zh-CN"/>
              </w:rPr>
              <w:t xml:space="preserve"> освобождены 112 объединений: примерно каждый пятый Член Сектора. </w:t>
            </w:r>
            <w:r w:rsidR="00B26A37" w:rsidRPr="00FD6E3F">
              <w:rPr>
                <w:lang w:val="ru-RU" w:eastAsia="zh-CN"/>
              </w:rPr>
              <w:t xml:space="preserve">Число </w:t>
            </w:r>
            <w:r w:rsidRPr="00FD6E3F">
              <w:rPr>
                <w:lang w:val="ru-RU" w:eastAsia="zh-CN"/>
              </w:rPr>
              <w:t xml:space="preserve">освобождений быстро росло: примерно треть из них была предоставлена после ПК-10 </w:t>
            </w:r>
            <w:r w:rsidR="007A7CC5" w:rsidRPr="00FD6E3F">
              <w:rPr>
                <w:lang w:val="ru-RU" w:eastAsia="zh-CN"/>
              </w:rPr>
              <w:t>(</w:t>
            </w:r>
            <w:r w:rsidRPr="00FD6E3F">
              <w:rPr>
                <w:lang w:val="ru-RU" w:eastAsia="zh-CN"/>
              </w:rPr>
              <w:t>см.</w:t>
            </w:r>
            <w:r w:rsidR="002B3D0B">
              <w:rPr>
                <w:lang w:val="ru-RU" w:eastAsia="zh-CN"/>
              </w:rPr>
              <w:t> </w:t>
            </w:r>
            <w:hyperlink r:id="rId26" w:history="1">
              <w:r w:rsidRPr="00FD6E3F">
                <w:rPr>
                  <w:rStyle w:val="Hyperlink"/>
                  <w:rFonts w:eastAsia="SimSun"/>
                  <w:lang w:val="ru-RU" w:eastAsia="zh-CN"/>
                </w:rPr>
                <w:t>Документ 61 ПК</w:t>
              </w:r>
              <w:r w:rsidR="007A7CC5" w:rsidRPr="00FD6E3F">
                <w:rPr>
                  <w:rStyle w:val="Hyperlink"/>
                  <w:rFonts w:eastAsia="SimSun"/>
                  <w:lang w:val="ru-RU" w:eastAsia="zh-CN"/>
                </w:rPr>
                <w:t>-14</w:t>
              </w:r>
            </w:hyperlink>
            <w:r w:rsidR="007A7CC5" w:rsidRPr="00FD6E3F">
              <w:rPr>
                <w:lang w:val="ru-RU" w:eastAsia="zh-CN"/>
              </w:rPr>
              <w:t>).</w:t>
            </w:r>
          </w:p>
        </w:tc>
      </w:tr>
      <w:tr w:rsidR="007A7CC5" w:rsidRPr="009B2773" w:rsidTr="00FD6E3F">
        <w:trPr>
          <w:cantSplit/>
        </w:trPr>
        <w:tc>
          <w:tcPr>
            <w:tcW w:w="440" w:type="dxa"/>
          </w:tcPr>
          <w:p w:rsidR="007A7CC5" w:rsidRPr="00FD6E3F" w:rsidRDefault="007A7CC5" w:rsidP="00FD6E3F">
            <w:pPr>
              <w:pStyle w:val="Tabletext"/>
              <w:rPr>
                <w:lang w:val="ru-RU"/>
              </w:rPr>
            </w:pPr>
            <w:r w:rsidRPr="00FD6E3F">
              <w:rPr>
                <w:lang w:val="ru-RU"/>
              </w:rPr>
              <w:t>7</w:t>
            </w:r>
          </w:p>
        </w:tc>
        <w:tc>
          <w:tcPr>
            <w:tcW w:w="4938" w:type="dxa"/>
          </w:tcPr>
          <w:p w:rsidR="007A7CC5" w:rsidRPr="00FD6E3F" w:rsidRDefault="00FD6E3F" w:rsidP="00FD6E3F">
            <w:pPr>
              <w:pStyle w:val="Tabletext"/>
              <w:rPr>
                <w:lang w:val="ru-RU"/>
              </w:rPr>
            </w:pPr>
            <w:r w:rsidRPr="00FD6E3F">
              <w:rPr>
                <w:lang w:val="ru-RU"/>
              </w:rPr>
              <w:t xml:space="preserve">Разработать </w:t>
            </w:r>
            <w:r w:rsidR="008A5FD7" w:rsidRPr="00FD6E3F">
              <w:rPr>
                <w:lang w:val="ru-RU"/>
              </w:rPr>
              <w:t>всестороннюю стратегию проведения консультаций с Государствами-Членами, Членами Секторов, Ассоциированными членами и академическими организациями и другими объединениями, в зависимости от случая, для того чтобы тщательно рассматривались все точки зрения</w:t>
            </w:r>
            <w:r w:rsidR="007A7CC5" w:rsidRPr="00FD6E3F">
              <w:rPr>
                <w:lang w:val="ru-RU"/>
              </w:rPr>
              <w:t>.</w:t>
            </w:r>
          </w:p>
        </w:tc>
        <w:tc>
          <w:tcPr>
            <w:tcW w:w="4477" w:type="dxa"/>
          </w:tcPr>
          <w:p w:rsidR="007A7CC5" w:rsidRPr="00FD6E3F" w:rsidRDefault="005571D3" w:rsidP="00FD6E3F">
            <w:pPr>
              <w:pStyle w:val="Tabletext"/>
              <w:rPr>
                <w:lang w:val="ru-RU"/>
              </w:rPr>
            </w:pPr>
            <w:r w:rsidRPr="00FD6E3F">
              <w:rPr>
                <w:lang w:val="ru-RU"/>
              </w:rPr>
              <w:t>Обеспечить, чтобы все</w:t>
            </w:r>
            <w:r w:rsidR="007A7CC5" w:rsidRPr="00FD6E3F">
              <w:rPr>
                <w:lang w:val="ru-RU"/>
              </w:rPr>
              <w:t xml:space="preserve"> </w:t>
            </w:r>
            <w:r w:rsidR="009A2443" w:rsidRPr="00FD6E3F">
              <w:rPr>
                <w:lang w:val="ru-RU"/>
              </w:rPr>
              <w:t>объединени</w:t>
            </w:r>
            <w:r w:rsidRPr="00FD6E3F">
              <w:rPr>
                <w:lang w:val="ru-RU"/>
              </w:rPr>
              <w:t xml:space="preserve">я, которые могут быть затронуты возможными изменениями, получили возможность </w:t>
            </w:r>
            <w:r w:rsidR="009A2443" w:rsidRPr="00FD6E3F">
              <w:rPr>
                <w:lang w:val="ru-RU"/>
              </w:rPr>
              <w:t>принимать участие</w:t>
            </w:r>
            <w:r w:rsidR="007A7CC5" w:rsidRPr="00FD6E3F">
              <w:rPr>
                <w:lang w:val="ru-RU"/>
              </w:rPr>
              <w:t xml:space="preserve"> </w:t>
            </w:r>
            <w:r w:rsidRPr="00FD6E3F">
              <w:rPr>
                <w:lang w:val="ru-RU"/>
              </w:rPr>
              <w:t>в обсуждениях</w:t>
            </w:r>
            <w:r w:rsidR="007A7CC5" w:rsidRPr="00FD6E3F">
              <w:rPr>
                <w:lang w:val="ru-RU"/>
              </w:rPr>
              <w:t>.</w:t>
            </w:r>
          </w:p>
        </w:tc>
      </w:tr>
    </w:tbl>
    <w:p w:rsidR="008A5FD7" w:rsidRPr="00FD6E3F" w:rsidRDefault="008A5FD7" w:rsidP="000979B3">
      <w:pPr>
        <w:rPr>
          <w:lang w:val="ru-RU"/>
        </w:rPr>
      </w:pPr>
      <w:r w:rsidRPr="00FD6E3F">
        <w:rPr>
          <w:lang w:val="ru-RU"/>
        </w:rPr>
        <w:br w:type="page"/>
      </w:r>
    </w:p>
    <w:p w:rsidR="007A7CC5" w:rsidRPr="00FD6E3F" w:rsidRDefault="008A5FD7" w:rsidP="00FD6E3F">
      <w:pPr>
        <w:pStyle w:val="AnnexNo"/>
        <w:rPr>
          <w:lang w:val="ru-RU"/>
        </w:rPr>
      </w:pPr>
      <w:r w:rsidRPr="00FD6E3F">
        <w:rPr>
          <w:lang w:val="ru-RU"/>
        </w:rPr>
        <w:t xml:space="preserve">Приложение </w:t>
      </w:r>
      <w:r w:rsidR="007A7CC5" w:rsidRPr="00FD6E3F">
        <w:rPr>
          <w:lang w:val="ru-RU"/>
        </w:rPr>
        <w:t>4</w:t>
      </w:r>
    </w:p>
    <w:p w:rsidR="007A7CC5" w:rsidRPr="00FD6E3F" w:rsidRDefault="005571D3" w:rsidP="00FD6E3F">
      <w:pPr>
        <w:pStyle w:val="Annextitle"/>
        <w:rPr>
          <w:lang w:val="ru-RU"/>
        </w:rPr>
      </w:pPr>
      <w:r w:rsidRPr="00FD6E3F">
        <w:rPr>
          <w:lang w:val="ru-RU"/>
        </w:rPr>
        <w:t xml:space="preserve">Возможный пересмотр </w:t>
      </w:r>
      <w:r w:rsidR="009A2443" w:rsidRPr="00FD6E3F">
        <w:rPr>
          <w:lang w:val="ru-RU"/>
        </w:rPr>
        <w:t>Резолюци</w:t>
      </w:r>
      <w:r w:rsidRPr="00FD6E3F">
        <w:rPr>
          <w:lang w:val="ru-RU"/>
        </w:rPr>
        <w:t xml:space="preserve">й ПК </w:t>
      </w:r>
      <w:r w:rsidR="00B26A37" w:rsidRPr="00FD6E3F">
        <w:rPr>
          <w:lang w:val="ru-RU"/>
        </w:rPr>
        <w:t>по итогам работы</w:t>
      </w:r>
      <w:r w:rsidRPr="00FD6E3F">
        <w:rPr>
          <w:lang w:val="ru-RU"/>
        </w:rPr>
        <w:t xml:space="preserve"> РГС-ФЛР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927"/>
      </w:tblGrid>
      <w:tr w:rsidR="007A7CC5" w:rsidRPr="00FD6E3F" w:rsidTr="00D0402C">
        <w:trPr>
          <w:trHeight w:val="340"/>
        </w:trPr>
        <w:tc>
          <w:tcPr>
            <w:tcW w:w="4928" w:type="dxa"/>
          </w:tcPr>
          <w:p w:rsidR="007A7CC5" w:rsidRPr="00FD6E3F" w:rsidRDefault="009A2443" w:rsidP="00FD6E3F">
            <w:pPr>
              <w:pStyle w:val="Tablehead"/>
              <w:rPr>
                <w:lang w:val="ru-RU"/>
              </w:rPr>
            </w:pPr>
            <w:r w:rsidRPr="00FD6E3F">
              <w:rPr>
                <w:lang w:val="ru-RU"/>
              </w:rPr>
              <w:t xml:space="preserve">Резолюция и </w:t>
            </w:r>
            <w:r w:rsidR="008A5FD7" w:rsidRPr="00FD6E3F">
              <w:rPr>
                <w:lang w:val="ru-RU"/>
              </w:rPr>
              <w:t>действие</w:t>
            </w:r>
          </w:p>
        </w:tc>
        <w:tc>
          <w:tcPr>
            <w:tcW w:w="4927" w:type="dxa"/>
          </w:tcPr>
          <w:p w:rsidR="007A7CC5" w:rsidRPr="00FD6E3F" w:rsidRDefault="008A5FD7" w:rsidP="00FD6E3F">
            <w:pPr>
              <w:pStyle w:val="Tablehead"/>
              <w:rPr>
                <w:lang w:val="ru-RU"/>
              </w:rPr>
            </w:pPr>
            <w:r w:rsidRPr="00FD6E3F">
              <w:rPr>
                <w:lang w:val="ru-RU"/>
              </w:rPr>
              <w:t xml:space="preserve">Обоснование </w:t>
            </w:r>
          </w:p>
        </w:tc>
      </w:tr>
      <w:tr w:rsidR="007A7CC5" w:rsidRPr="009B2773" w:rsidTr="00D0402C">
        <w:tc>
          <w:tcPr>
            <w:tcW w:w="4928" w:type="dxa"/>
          </w:tcPr>
          <w:p w:rsidR="007A7CC5" w:rsidRPr="00FD6E3F" w:rsidRDefault="009A2443" w:rsidP="00FD6E3F">
            <w:pPr>
              <w:pStyle w:val="Tabletext"/>
              <w:rPr>
                <w:lang w:val="ru-RU"/>
              </w:rPr>
            </w:pPr>
            <w:r w:rsidRPr="00FD6E3F">
              <w:rPr>
                <w:u w:val="single"/>
                <w:lang w:val="ru-RU"/>
              </w:rPr>
              <w:t>Резолюция</w:t>
            </w:r>
            <w:r w:rsidR="007A7CC5" w:rsidRPr="00FD6E3F">
              <w:rPr>
                <w:u w:val="single"/>
                <w:lang w:val="ru-RU"/>
              </w:rPr>
              <w:t xml:space="preserve"> 152</w:t>
            </w:r>
            <w:r w:rsidR="007A7CC5" w:rsidRPr="00FD6E3F">
              <w:rPr>
                <w:lang w:val="ru-RU"/>
              </w:rPr>
              <w:t xml:space="preserve"> (</w:t>
            </w:r>
            <w:r w:rsidRPr="00FD6E3F">
              <w:rPr>
                <w:lang w:val="ru-RU"/>
              </w:rPr>
              <w:t>Пересм.</w:t>
            </w:r>
            <w:r w:rsidR="007A7CC5" w:rsidRPr="00FD6E3F">
              <w:rPr>
                <w:lang w:val="ru-RU"/>
              </w:rPr>
              <w:t xml:space="preserve"> </w:t>
            </w:r>
            <w:r w:rsidRPr="00FD6E3F">
              <w:rPr>
                <w:lang w:val="ru-RU"/>
              </w:rPr>
              <w:t xml:space="preserve">Гвадалахара, 2010 г.) </w:t>
            </w:r>
            <w:r w:rsidR="008A5FD7" w:rsidRPr="00FD6E3F">
              <w:rPr>
                <w:lang w:val="ru-RU"/>
              </w:rPr>
              <w:t>"Повышение эффективности управления покрытием расходов МСЭ Членами Секторов и Ассоциированными членами и контроля за ним"</w:t>
            </w:r>
            <w:r w:rsidR="007A7CC5" w:rsidRPr="00FD6E3F">
              <w:rPr>
                <w:lang w:val="ru-RU"/>
              </w:rPr>
              <w:t xml:space="preserve">. </w:t>
            </w:r>
          </w:p>
          <w:p w:rsidR="007A7CC5" w:rsidRPr="00FD6E3F" w:rsidRDefault="008A5FD7" w:rsidP="00FD6E3F">
            <w:pPr>
              <w:pStyle w:val="Tabletext"/>
              <w:rPr>
                <w:lang w:val="ru-RU"/>
              </w:rPr>
            </w:pPr>
            <w:r w:rsidRPr="00FD6E3F">
              <w:rPr>
                <w:u w:val="single"/>
                <w:lang w:val="ru-RU"/>
              </w:rPr>
              <w:t>Действие</w:t>
            </w:r>
            <w:r w:rsidR="007A7CC5" w:rsidRPr="00FD6E3F">
              <w:rPr>
                <w:lang w:val="ru-RU"/>
              </w:rPr>
              <w:t xml:space="preserve">: </w:t>
            </w:r>
            <w:r w:rsidR="002E0DB1" w:rsidRPr="00FD6E3F">
              <w:rPr>
                <w:lang w:val="ru-RU"/>
              </w:rPr>
              <w:t xml:space="preserve">Можно </w:t>
            </w:r>
            <w:r w:rsidRPr="00FD6E3F">
              <w:rPr>
                <w:lang w:val="ru-RU"/>
              </w:rPr>
              <w:t>было бы внести изменения для целей предоставления Генеральному секретарю гибкости в исключении за не</w:t>
            </w:r>
            <w:r w:rsidR="00B26A37" w:rsidRPr="00FD6E3F">
              <w:rPr>
                <w:lang w:val="ru-RU"/>
              </w:rPr>
              <w:t>у</w:t>
            </w:r>
            <w:r w:rsidRPr="00FD6E3F">
              <w:rPr>
                <w:lang w:val="ru-RU"/>
              </w:rPr>
              <w:t>плату сборов</w:t>
            </w:r>
            <w:r w:rsidR="007A7CC5" w:rsidRPr="00FD6E3F">
              <w:rPr>
                <w:lang w:val="ru-RU"/>
              </w:rPr>
              <w:t>.</w:t>
            </w:r>
          </w:p>
        </w:tc>
        <w:tc>
          <w:tcPr>
            <w:tcW w:w="4927" w:type="dxa"/>
          </w:tcPr>
          <w:p w:rsidR="007A7CC5" w:rsidRPr="00FD6E3F" w:rsidRDefault="008A5FD7" w:rsidP="00FD6E3F">
            <w:pPr>
              <w:pStyle w:val="Tabletext"/>
              <w:rPr>
                <w:lang w:val="ru-RU"/>
              </w:rPr>
            </w:pPr>
            <w:r w:rsidRPr="00FD6E3F">
              <w:rPr>
                <w:rFonts w:eastAsia="SimSun"/>
                <w:lang w:val="ru-RU" w:eastAsia="zh-CN"/>
              </w:rPr>
              <w:t xml:space="preserve">В Резолюции 152 предусматривается автоматическое исключение объединений, не уплативших свои </w:t>
            </w:r>
            <w:r w:rsidR="0000032C" w:rsidRPr="00FD6E3F">
              <w:rPr>
                <w:rFonts w:eastAsia="SimSun"/>
                <w:lang w:val="ru-RU" w:eastAsia="zh-CN"/>
              </w:rPr>
              <w:t xml:space="preserve">сборы </w:t>
            </w:r>
            <w:r w:rsidRPr="00FD6E3F">
              <w:rPr>
                <w:rFonts w:eastAsia="SimSun"/>
                <w:lang w:val="ru-RU" w:eastAsia="zh-CN"/>
              </w:rPr>
              <w:t>через девять месяцев после даты, на которую они причитаются. Каждый год с 2011 года Совет предоставлял Генеральному секретарю гибкость в осуществлении этого положения, чтобы Секретариат мог принимать все необходимые меры для повторного привлечения членов, членство которых приостановлено,</w:t>
            </w:r>
            <w:r w:rsidR="00106D23">
              <w:rPr>
                <w:rFonts w:eastAsia="SimSun"/>
                <w:lang w:val="ru-RU" w:eastAsia="zh-CN"/>
              </w:rPr>
              <w:t xml:space="preserve"> до осуществления исключения. В </w:t>
            </w:r>
            <w:r w:rsidRPr="00FD6E3F">
              <w:rPr>
                <w:rFonts w:eastAsia="SimSun"/>
                <w:lang w:val="ru-RU" w:eastAsia="zh-CN"/>
              </w:rPr>
              <w:t xml:space="preserve">соответствии с Резолюцией 152 Генеральный секретарь исключил 16 объединений за неуплату </w:t>
            </w:r>
            <w:r w:rsidR="00AE7342" w:rsidRPr="00FD6E3F">
              <w:rPr>
                <w:rFonts w:eastAsia="SimSun"/>
                <w:lang w:val="ru-RU" w:eastAsia="zh-CN"/>
              </w:rPr>
              <w:t>сборов</w:t>
            </w:r>
            <w:r w:rsidRPr="00FD6E3F">
              <w:rPr>
                <w:rFonts w:eastAsia="SimSun"/>
                <w:lang w:val="ru-RU" w:eastAsia="zh-CN"/>
              </w:rPr>
              <w:t xml:space="preserve"> с 1 января 2014 года</w:t>
            </w:r>
            <w:r w:rsidR="007A7CC5" w:rsidRPr="00FD6E3F">
              <w:rPr>
                <w:rFonts w:eastAsia="SimSun"/>
                <w:lang w:val="ru-RU" w:eastAsia="zh-CN"/>
              </w:rPr>
              <w:t>.</w:t>
            </w:r>
          </w:p>
        </w:tc>
      </w:tr>
      <w:tr w:rsidR="007A7CC5" w:rsidRPr="003E08AE" w:rsidTr="00D0402C">
        <w:tc>
          <w:tcPr>
            <w:tcW w:w="4928" w:type="dxa"/>
          </w:tcPr>
          <w:p w:rsidR="007A7CC5" w:rsidRPr="00FD6E3F" w:rsidRDefault="009A2443" w:rsidP="00FD6E3F">
            <w:pPr>
              <w:pStyle w:val="Tabletext"/>
              <w:rPr>
                <w:lang w:val="ru-RU"/>
              </w:rPr>
            </w:pPr>
            <w:r w:rsidRPr="00FD6E3F">
              <w:rPr>
                <w:u w:val="single"/>
                <w:lang w:val="ru-RU"/>
              </w:rPr>
              <w:t>Резолюция</w:t>
            </w:r>
            <w:r w:rsidR="007A7CC5" w:rsidRPr="00FD6E3F">
              <w:rPr>
                <w:u w:val="single"/>
                <w:lang w:val="ru-RU"/>
              </w:rPr>
              <w:t xml:space="preserve"> 158</w:t>
            </w:r>
            <w:r w:rsidR="007A7CC5" w:rsidRPr="00FD6E3F">
              <w:rPr>
                <w:lang w:val="ru-RU"/>
              </w:rPr>
              <w:t xml:space="preserve"> (</w:t>
            </w:r>
            <w:r w:rsidRPr="00FD6E3F">
              <w:rPr>
                <w:lang w:val="ru-RU"/>
              </w:rPr>
              <w:t>Пересм.</w:t>
            </w:r>
            <w:r w:rsidR="007A7CC5" w:rsidRPr="00FD6E3F">
              <w:rPr>
                <w:lang w:val="ru-RU"/>
              </w:rPr>
              <w:t xml:space="preserve"> </w:t>
            </w:r>
            <w:r w:rsidRPr="00FD6E3F">
              <w:rPr>
                <w:lang w:val="ru-RU"/>
              </w:rPr>
              <w:t xml:space="preserve">Гвадалахара, 2010 г.) </w:t>
            </w:r>
            <w:r w:rsidR="008A5FD7" w:rsidRPr="00FD6E3F">
              <w:rPr>
                <w:lang w:val="ru-RU"/>
              </w:rPr>
              <w:t>"Финансовые вопросы для рассмотрения Советом"</w:t>
            </w:r>
            <w:r w:rsidR="007A7CC5" w:rsidRPr="00FD6E3F">
              <w:rPr>
                <w:lang w:val="ru-RU"/>
              </w:rPr>
              <w:t xml:space="preserve">. </w:t>
            </w:r>
          </w:p>
          <w:p w:rsidR="007A7CC5" w:rsidRPr="00FD6E3F" w:rsidRDefault="008A5FD7" w:rsidP="00FD6E3F">
            <w:pPr>
              <w:pStyle w:val="Tabletext"/>
              <w:rPr>
                <w:lang w:val="ru-RU"/>
              </w:rPr>
            </w:pPr>
            <w:r w:rsidRPr="00FD6E3F">
              <w:rPr>
                <w:u w:val="single"/>
                <w:lang w:val="ru-RU"/>
              </w:rPr>
              <w:t>Действие</w:t>
            </w:r>
            <w:r w:rsidR="007A7CC5" w:rsidRPr="00FD6E3F">
              <w:rPr>
                <w:lang w:val="ru-RU"/>
              </w:rPr>
              <w:t xml:space="preserve">: </w:t>
            </w:r>
            <w:r w:rsidR="002E0DB1" w:rsidRPr="00FD6E3F">
              <w:rPr>
                <w:lang w:val="ru-RU"/>
              </w:rPr>
              <w:t xml:space="preserve">Предлагается </w:t>
            </w:r>
            <w:r w:rsidRPr="00FD6E3F">
              <w:rPr>
                <w:lang w:val="ru-RU"/>
              </w:rPr>
              <w:t xml:space="preserve">внести изменения в пункт 1 iii) раздела </w:t>
            </w:r>
            <w:r w:rsidRPr="00FD6E3F">
              <w:rPr>
                <w:i/>
                <w:lang w:val="ru-RU"/>
              </w:rPr>
              <w:t>решает поручить Совету</w:t>
            </w:r>
            <w:r w:rsidRPr="00FD6E3F">
              <w:rPr>
                <w:lang w:val="ru-RU"/>
              </w:rPr>
              <w:t xml:space="preserve"> в связи с предлагаемым проектом новой Резолюции</w:t>
            </w:r>
            <w:r w:rsidR="007A7CC5" w:rsidRPr="00FD6E3F">
              <w:rPr>
                <w:lang w:val="ru-RU"/>
              </w:rPr>
              <w:t>.</w:t>
            </w:r>
          </w:p>
        </w:tc>
        <w:tc>
          <w:tcPr>
            <w:tcW w:w="4927" w:type="dxa"/>
          </w:tcPr>
          <w:p w:rsidR="007A7CC5" w:rsidRPr="00FD6E3F" w:rsidRDefault="008A5FD7" w:rsidP="00FD6E3F">
            <w:pPr>
              <w:pStyle w:val="Tabletext"/>
              <w:rPr>
                <w:lang w:val="ru-RU"/>
              </w:rPr>
            </w:pPr>
            <w:r w:rsidRPr="00FD6E3F">
              <w:rPr>
                <w:lang w:val="ru-RU"/>
              </w:rPr>
              <w:t xml:space="preserve">В течение последнего четырехгодичного периода был </w:t>
            </w:r>
            <w:r w:rsidR="00AE7342" w:rsidRPr="00FD6E3F">
              <w:rPr>
                <w:lang w:val="ru-RU"/>
              </w:rPr>
              <w:t>проведен анализ</w:t>
            </w:r>
            <w:r w:rsidRPr="00FD6E3F">
              <w:rPr>
                <w:lang w:val="ru-RU"/>
              </w:rPr>
              <w:t xml:space="preserve">. На основе рекомендаций Рабочей группы </w:t>
            </w:r>
            <w:r w:rsidR="009A2443" w:rsidRPr="00FD6E3F">
              <w:rPr>
                <w:lang w:val="ru-RU"/>
              </w:rPr>
              <w:t>Совет</w:t>
            </w:r>
            <w:r w:rsidRPr="00FD6E3F">
              <w:rPr>
                <w:lang w:val="ru-RU"/>
              </w:rPr>
              <w:t xml:space="preserve">а по финансовым и людским ресурсам </w:t>
            </w:r>
            <w:r w:rsidR="009A2443" w:rsidRPr="00FD6E3F">
              <w:rPr>
                <w:lang w:val="ru-RU"/>
              </w:rPr>
              <w:t>Совет</w:t>
            </w:r>
            <w:r w:rsidR="007A7CC5" w:rsidRPr="00FD6E3F">
              <w:rPr>
                <w:lang w:val="ru-RU"/>
              </w:rPr>
              <w:t xml:space="preserve"> </w:t>
            </w:r>
            <w:r w:rsidRPr="00FD6E3F">
              <w:rPr>
                <w:lang w:val="ru-RU"/>
              </w:rPr>
              <w:t xml:space="preserve">рекомендует принять новую </w:t>
            </w:r>
            <w:r w:rsidR="009A2443" w:rsidRPr="00FD6E3F">
              <w:rPr>
                <w:lang w:val="ru-RU"/>
              </w:rPr>
              <w:t>Резолюци</w:t>
            </w:r>
            <w:r w:rsidR="00AE7342" w:rsidRPr="00FD6E3F">
              <w:rPr>
                <w:lang w:val="ru-RU"/>
              </w:rPr>
              <w:t>ю</w:t>
            </w:r>
            <w:r w:rsidRPr="00FD6E3F">
              <w:rPr>
                <w:lang w:val="ru-RU"/>
              </w:rPr>
              <w:t>, предусматрива</w:t>
            </w:r>
            <w:r w:rsidR="00AE7342" w:rsidRPr="00FD6E3F">
              <w:rPr>
                <w:lang w:val="ru-RU"/>
              </w:rPr>
              <w:t>ющую</w:t>
            </w:r>
            <w:r w:rsidRPr="00FD6E3F">
              <w:rPr>
                <w:lang w:val="ru-RU"/>
              </w:rPr>
              <w:t xml:space="preserve"> дальнейшее изучение этих вопросов, которая, </w:t>
            </w:r>
            <w:r w:rsidR="00AE7342" w:rsidRPr="00FD6E3F">
              <w:rPr>
                <w:lang w:val="ru-RU"/>
              </w:rPr>
              <w:t xml:space="preserve">при условии </w:t>
            </w:r>
            <w:r w:rsidRPr="00FD6E3F">
              <w:rPr>
                <w:lang w:val="ru-RU"/>
              </w:rPr>
              <w:t>утвержден</w:t>
            </w:r>
            <w:r w:rsidR="00AE7342" w:rsidRPr="00FD6E3F">
              <w:rPr>
                <w:lang w:val="ru-RU"/>
              </w:rPr>
              <w:t>ия</w:t>
            </w:r>
            <w:r w:rsidR="00106D23">
              <w:rPr>
                <w:lang w:val="ru-RU"/>
              </w:rPr>
              <w:t xml:space="preserve"> на ПК</w:t>
            </w:r>
            <w:r w:rsidR="00106D23">
              <w:rPr>
                <w:lang w:val="ru-RU"/>
              </w:rPr>
              <w:noBreakHyphen/>
            </w:r>
            <w:r w:rsidRPr="00FD6E3F">
              <w:rPr>
                <w:lang w:val="ru-RU"/>
              </w:rPr>
              <w:t>14, потребовала бы пересмотра Резолюции</w:t>
            </w:r>
            <w:r w:rsidR="007A7CC5" w:rsidRPr="00FD6E3F">
              <w:rPr>
                <w:lang w:val="ru-RU"/>
              </w:rPr>
              <w:t xml:space="preserve"> 158.</w:t>
            </w:r>
          </w:p>
        </w:tc>
      </w:tr>
      <w:tr w:rsidR="007A7CC5" w:rsidRPr="00FD6E3F" w:rsidTr="00D0402C">
        <w:tc>
          <w:tcPr>
            <w:tcW w:w="4928" w:type="dxa"/>
          </w:tcPr>
          <w:p w:rsidR="007A7CC5" w:rsidRPr="00FD6E3F" w:rsidRDefault="009A2443" w:rsidP="00FD6E3F">
            <w:pPr>
              <w:pStyle w:val="Tabletext"/>
              <w:rPr>
                <w:lang w:val="ru-RU"/>
              </w:rPr>
            </w:pPr>
            <w:r w:rsidRPr="00FD6E3F">
              <w:rPr>
                <w:u w:val="single"/>
                <w:lang w:val="ru-RU"/>
              </w:rPr>
              <w:t>Резолюция</w:t>
            </w:r>
            <w:r w:rsidR="007A7CC5" w:rsidRPr="00FD6E3F">
              <w:rPr>
                <w:u w:val="single"/>
                <w:lang w:val="ru-RU"/>
              </w:rPr>
              <w:t xml:space="preserve"> 169</w:t>
            </w:r>
            <w:r w:rsidR="007A7CC5" w:rsidRPr="00FD6E3F">
              <w:rPr>
                <w:lang w:val="ru-RU"/>
              </w:rPr>
              <w:t xml:space="preserve"> (</w:t>
            </w:r>
            <w:r w:rsidRPr="00FD6E3F">
              <w:rPr>
                <w:lang w:val="ru-RU"/>
              </w:rPr>
              <w:t>Гвадалахара, 2010 г.)</w:t>
            </w:r>
            <w:r w:rsidR="008A5FD7" w:rsidRPr="00FD6E3F">
              <w:rPr>
                <w:lang w:val="ru-RU"/>
              </w:rPr>
              <w:t xml:space="preserve"> "Допуск академических организаций, университетов и соответствующих исследовательских учреждений к участию в работе трех Секторов Союза"</w:t>
            </w:r>
            <w:r w:rsidR="007A7CC5" w:rsidRPr="00FD6E3F">
              <w:rPr>
                <w:lang w:val="ru-RU"/>
              </w:rPr>
              <w:t xml:space="preserve">. </w:t>
            </w:r>
          </w:p>
          <w:p w:rsidR="007A7CC5" w:rsidRPr="00FD6E3F" w:rsidRDefault="008A5FD7" w:rsidP="00FD6E3F">
            <w:pPr>
              <w:pStyle w:val="Tabletext"/>
              <w:rPr>
                <w:lang w:val="ru-RU"/>
              </w:rPr>
            </w:pPr>
            <w:r w:rsidRPr="00FD6E3F">
              <w:rPr>
                <w:u w:val="single"/>
                <w:lang w:val="ru-RU"/>
              </w:rPr>
              <w:t>Действие</w:t>
            </w:r>
            <w:r w:rsidR="007A7CC5" w:rsidRPr="00FD6E3F">
              <w:rPr>
                <w:lang w:val="ru-RU"/>
              </w:rPr>
              <w:t>:</w:t>
            </w:r>
            <w:r w:rsidRPr="00FD6E3F">
              <w:rPr>
                <w:lang w:val="ru-RU"/>
              </w:rPr>
              <w:t xml:space="preserve"> </w:t>
            </w:r>
            <w:r w:rsidR="002E0DB1" w:rsidRPr="00FD6E3F">
              <w:rPr>
                <w:lang w:val="ru-RU"/>
              </w:rPr>
              <w:t xml:space="preserve">Предлагается </w:t>
            </w:r>
            <w:r w:rsidRPr="00FD6E3F">
              <w:rPr>
                <w:lang w:val="ru-RU"/>
              </w:rPr>
              <w:t xml:space="preserve">продлить испытательный срок для участия академических организаций, с тем чтобы можно было провести дальнейший анализ условий их </w:t>
            </w:r>
            <w:r w:rsidR="00AE7342" w:rsidRPr="00FD6E3F">
              <w:rPr>
                <w:lang w:val="ru-RU"/>
              </w:rPr>
              <w:t>участия</w:t>
            </w:r>
            <w:r w:rsidRPr="00FD6E3F">
              <w:rPr>
                <w:lang w:val="ru-RU"/>
              </w:rPr>
              <w:t xml:space="preserve"> в работ</w:t>
            </w:r>
            <w:r w:rsidR="00AE7342" w:rsidRPr="00FD6E3F">
              <w:rPr>
                <w:lang w:val="ru-RU"/>
              </w:rPr>
              <w:t>е</w:t>
            </w:r>
            <w:r w:rsidRPr="00FD6E3F">
              <w:rPr>
                <w:lang w:val="ru-RU"/>
              </w:rPr>
              <w:t xml:space="preserve"> трех Секторов</w:t>
            </w:r>
            <w:r w:rsidR="007A7CC5" w:rsidRPr="00FD6E3F">
              <w:rPr>
                <w:lang w:val="ru-RU"/>
              </w:rPr>
              <w:t>.</w:t>
            </w:r>
          </w:p>
        </w:tc>
        <w:tc>
          <w:tcPr>
            <w:tcW w:w="4927" w:type="dxa"/>
          </w:tcPr>
          <w:p w:rsidR="007A7CC5" w:rsidRPr="00FD6E3F" w:rsidRDefault="008A5FD7" w:rsidP="00FD6E3F">
            <w:pPr>
              <w:pStyle w:val="Tabletext"/>
              <w:rPr>
                <w:lang w:val="ru-RU"/>
              </w:rPr>
            </w:pPr>
            <w:r w:rsidRPr="00FD6E3F">
              <w:rPr>
                <w:rFonts w:eastAsia="SimSun"/>
                <w:lang w:val="ru-RU" w:eastAsia="zh-CN"/>
              </w:rPr>
              <w:t>С момента введения категории академических организаций МСЭ привлек 63 член</w:t>
            </w:r>
            <w:r w:rsidR="00AE7342" w:rsidRPr="00FD6E3F">
              <w:rPr>
                <w:rFonts w:eastAsia="SimSun"/>
                <w:lang w:val="ru-RU" w:eastAsia="zh-CN"/>
              </w:rPr>
              <w:t>а</w:t>
            </w:r>
            <w:r w:rsidRPr="00FD6E3F">
              <w:rPr>
                <w:rFonts w:eastAsia="SimSun"/>
                <w:lang w:val="ru-RU" w:eastAsia="zh-CN"/>
              </w:rPr>
              <w:t>: 14 в МСЭ-R; 46 в МСЭ-T; и 14 в МСЭ-D. Эти учреждения вносят положительны</w:t>
            </w:r>
            <w:r w:rsidR="00AE7342" w:rsidRPr="00FD6E3F">
              <w:rPr>
                <w:rFonts w:eastAsia="SimSun"/>
                <w:lang w:val="ru-RU" w:eastAsia="zh-CN"/>
              </w:rPr>
              <w:t>й</w:t>
            </w:r>
            <w:r w:rsidRPr="00FD6E3F">
              <w:rPr>
                <w:rFonts w:eastAsia="SimSun"/>
                <w:lang w:val="ru-RU" w:eastAsia="zh-CN"/>
              </w:rPr>
              <w:t xml:space="preserve"> вклад в работу Союза</w:t>
            </w:r>
            <w:r w:rsidR="007A7CC5" w:rsidRPr="00FD6E3F">
              <w:rPr>
                <w:rFonts w:eastAsia="SimSun"/>
                <w:lang w:val="ru-RU" w:eastAsia="zh-CN"/>
              </w:rPr>
              <w:t>.</w:t>
            </w:r>
          </w:p>
        </w:tc>
      </w:tr>
      <w:tr w:rsidR="007A7CC5" w:rsidRPr="009B2773" w:rsidTr="00D0402C">
        <w:tc>
          <w:tcPr>
            <w:tcW w:w="4928" w:type="dxa"/>
          </w:tcPr>
          <w:p w:rsidR="007A7CC5" w:rsidRPr="00FD6E3F" w:rsidRDefault="009A2443" w:rsidP="00FD6E3F">
            <w:pPr>
              <w:pStyle w:val="Tabletext"/>
              <w:rPr>
                <w:lang w:val="ru-RU"/>
              </w:rPr>
            </w:pPr>
            <w:r w:rsidRPr="00FD6E3F">
              <w:rPr>
                <w:u w:val="single"/>
                <w:lang w:val="ru-RU"/>
              </w:rPr>
              <w:t>Резолюция</w:t>
            </w:r>
            <w:r w:rsidR="007A7CC5" w:rsidRPr="00FD6E3F">
              <w:rPr>
                <w:u w:val="single"/>
                <w:lang w:val="ru-RU"/>
              </w:rPr>
              <w:t xml:space="preserve"> 170</w:t>
            </w:r>
            <w:r w:rsidR="007A7CC5" w:rsidRPr="00FD6E3F">
              <w:rPr>
                <w:lang w:val="ru-RU"/>
              </w:rPr>
              <w:t xml:space="preserve"> (</w:t>
            </w:r>
            <w:r w:rsidRPr="00FD6E3F">
              <w:rPr>
                <w:lang w:val="ru-RU"/>
              </w:rPr>
              <w:t>Гвадалахара, 2010 г.)</w:t>
            </w:r>
            <w:r w:rsidR="007A7CC5" w:rsidRPr="00FD6E3F">
              <w:rPr>
                <w:lang w:val="ru-RU"/>
              </w:rPr>
              <w:t xml:space="preserve"> </w:t>
            </w:r>
            <w:r w:rsidR="008A5FD7" w:rsidRPr="00FD6E3F">
              <w:rPr>
                <w:lang w:val="ru-RU"/>
              </w:rPr>
              <w:t>"Допуск Членов Секторов из развивающихся стран к участию в работе Сектора радиосвязи МСЭ и Сектора стандартизации электросвязи МСЭ"</w:t>
            </w:r>
            <w:r w:rsidR="007A7CC5" w:rsidRPr="00FD6E3F">
              <w:rPr>
                <w:lang w:val="ru-RU"/>
              </w:rPr>
              <w:t xml:space="preserve">. </w:t>
            </w:r>
          </w:p>
          <w:p w:rsidR="007A7CC5" w:rsidRPr="00FD6E3F" w:rsidRDefault="008A5FD7" w:rsidP="00FD6E3F">
            <w:pPr>
              <w:pStyle w:val="Tabletext"/>
              <w:rPr>
                <w:lang w:val="ru-RU"/>
              </w:rPr>
            </w:pPr>
            <w:r w:rsidRPr="00FD6E3F">
              <w:rPr>
                <w:u w:val="single"/>
                <w:lang w:val="ru-RU"/>
              </w:rPr>
              <w:t>Действие</w:t>
            </w:r>
            <w:r w:rsidR="007A7CC5" w:rsidRPr="00FD6E3F">
              <w:rPr>
                <w:lang w:val="ru-RU"/>
              </w:rPr>
              <w:t xml:space="preserve">: </w:t>
            </w:r>
            <w:r w:rsidR="002E0DB1" w:rsidRPr="00FD6E3F">
              <w:rPr>
                <w:lang w:val="ru-RU"/>
              </w:rPr>
              <w:t xml:space="preserve">Либо </w:t>
            </w:r>
            <w:r w:rsidRPr="00FD6E3F">
              <w:rPr>
                <w:lang w:val="ru-RU"/>
              </w:rPr>
              <w:t>продолжать применять уменьшенные сборы для объединений из стран с низким уровнем дохода, внеся возможные изменения, либо исключить эту Резолюцию ввиду трудностей ее выполнения на практике</w:t>
            </w:r>
            <w:r w:rsidR="007A7CC5" w:rsidRPr="00FD6E3F">
              <w:rPr>
                <w:lang w:val="ru-RU"/>
              </w:rPr>
              <w:t>.</w:t>
            </w:r>
          </w:p>
        </w:tc>
        <w:tc>
          <w:tcPr>
            <w:tcW w:w="4927" w:type="dxa"/>
          </w:tcPr>
          <w:p w:rsidR="007A7CC5" w:rsidRPr="00FD6E3F" w:rsidRDefault="008A5FD7" w:rsidP="00106D23">
            <w:pPr>
              <w:pStyle w:val="Tabletext"/>
              <w:rPr>
                <w:lang w:val="ru-RU"/>
              </w:rPr>
            </w:pPr>
            <w:r w:rsidRPr="00FD6E3F">
              <w:rPr>
                <w:rFonts w:eastAsia="SimSun"/>
                <w:lang w:val="ru-RU" w:eastAsia="zh-CN"/>
              </w:rPr>
              <w:t xml:space="preserve">Хотя число компаний, воспользовавшихся этими уменьшенными </w:t>
            </w:r>
            <w:r w:rsidR="0000032C" w:rsidRPr="00FD6E3F">
              <w:rPr>
                <w:rFonts w:eastAsia="SimSun"/>
                <w:lang w:val="ru-RU" w:eastAsia="zh-CN"/>
              </w:rPr>
              <w:t>сборами</w:t>
            </w:r>
            <w:r w:rsidRPr="00FD6E3F">
              <w:rPr>
                <w:rFonts w:eastAsia="SimSun"/>
                <w:lang w:val="ru-RU" w:eastAsia="zh-CN"/>
              </w:rPr>
              <w:t xml:space="preserve">, невелико, возможно, их следует сохранить на перспективу роста в будущем. Если они будут сохранены, изменение определения соответствия критериям позволит упростить и уточнить применение. В настоящее время в МСЭ-R нет ни одной компании, которая пользуется этим уменьшенным размером </w:t>
            </w:r>
            <w:r w:rsidR="0000032C" w:rsidRPr="00FD6E3F">
              <w:rPr>
                <w:rFonts w:eastAsia="SimSun"/>
                <w:lang w:val="ru-RU" w:eastAsia="zh-CN"/>
              </w:rPr>
              <w:t>сбора</w:t>
            </w:r>
            <w:r w:rsidRPr="00FD6E3F">
              <w:rPr>
                <w:rFonts w:eastAsia="SimSun"/>
                <w:lang w:val="ru-RU" w:eastAsia="zh-CN"/>
              </w:rPr>
              <w:t xml:space="preserve">, а в МСЭ-Т таких компаний три. В то же время в МСЭ-R пять, а в МСЭ-Т шесть Членов Сектора, которые тоже расположены в этих странах, но они вступили в Союз до того, как Резолюция 170 вступила в силу, и поэтому продолжают платить обычные </w:t>
            </w:r>
            <w:r w:rsidR="0000032C" w:rsidRPr="00FD6E3F">
              <w:rPr>
                <w:rFonts w:eastAsia="SimSun"/>
                <w:lang w:val="ru-RU" w:eastAsia="zh-CN"/>
              </w:rPr>
              <w:t>сборы</w:t>
            </w:r>
            <w:r w:rsidRPr="00FD6E3F">
              <w:rPr>
                <w:rFonts w:eastAsia="SimSun"/>
                <w:lang w:val="ru-RU" w:eastAsia="zh-CN"/>
              </w:rPr>
              <w:t xml:space="preserve"> в МСЭ-R/МСЭ-Т. Некоторые из этих существующих членов просили дать им возможность </w:t>
            </w:r>
            <w:r w:rsidR="00AE7342" w:rsidRPr="00FD6E3F">
              <w:rPr>
                <w:rFonts w:eastAsia="SimSun"/>
                <w:lang w:val="ru-RU" w:eastAsia="zh-CN"/>
              </w:rPr>
              <w:t xml:space="preserve">уплаты </w:t>
            </w:r>
            <w:r w:rsidRPr="00FD6E3F">
              <w:rPr>
                <w:rFonts w:eastAsia="SimSun"/>
                <w:lang w:val="ru-RU" w:eastAsia="zh-CN"/>
              </w:rPr>
              <w:t>уменьшенны</w:t>
            </w:r>
            <w:r w:rsidR="00AE7342" w:rsidRPr="00FD6E3F">
              <w:rPr>
                <w:rFonts w:eastAsia="SimSun"/>
                <w:lang w:val="ru-RU" w:eastAsia="zh-CN"/>
              </w:rPr>
              <w:t>х</w:t>
            </w:r>
            <w:r w:rsidRPr="00FD6E3F">
              <w:rPr>
                <w:rFonts w:eastAsia="SimSun"/>
                <w:lang w:val="ru-RU" w:eastAsia="zh-CN"/>
              </w:rPr>
              <w:t xml:space="preserve"> </w:t>
            </w:r>
            <w:r w:rsidR="00AE7342" w:rsidRPr="00FD6E3F">
              <w:rPr>
                <w:rFonts w:eastAsia="SimSun"/>
                <w:lang w:val="ru-RU" w:eastAsia="zh-CN"/>
              </w:rPr>
              <w:t>сборов</w:t>
            </w:r>
            <w:r w:rsidRPr="00FD6E3F">
              <w:rPr>
                <w:rFonts w:eastAsia="SimSun"/>
                <w:lang w:val="ru-RU" w:eastAsia="zh-CN"/>
              </w:rPr>
              <w:t>, но это не предусмотрено Резолюцией 170. Если все эти компании выберут уменьшенную ставку, это приведет к уменьшению дохода примерно на 300</w:t>
            </w:r>
            <w:r w:rsidR="00106D23">
              <w:rPr>
                <w:rFonts w:eastAsia="SimSun"/>
                <w:lang w:val="ru-RU" w:eastAsia="zh-CN"/>
              </w:rPr>
              <w:t> </w:t>
            </w:r>
            <w:r w:rsidRPr="00FD6E3F">
              <w:rPr>
                <w:rFonts w:eastAsia="SimSun"/>
                <w:lang w:val="ru-RU" w:eastAsia="zh-CN"/>
              </w:rPr>
              <w:t>000</w:t>
            </w:r>
            <w:r w:rsidR="00106D23">
              <w:rPr>
                <w:rFonts w:eastAsia="SimSun"/>
                <w:lang w:val="ru-RU" w:eastAsia="zh-CN"/>
              </w:rPr>
              <w:t> </w:t>
            </w:r>
            <w:r w:rsidRPr="00FD6E3F">
              <w:rPr>
                <w:rFonts w:eastAsia="SimSun"/>
                <w:lang w:val="ru-RU" w:eastAsia="zh-CN"/>
              </w:rPr>
              <w:t>швейцарских франков в год</w:t>
            </w:r>
            <w:r w:rsidR="007A7CC5" w:rsidRPr="00FD6E3F">
              <w:rPr>
                <w:rFonts w:eastAsia="SimSun"/>
                <w:lang w:val="ru-RU" w:eastAsia="zh-CN"/>
              </w:rPr>
              <w:t>.</w:t>
            </w:r>
          </w:p>
        </w:tc>
      </w:tr>
    </w:tbl>
    <w:p w:rsidR="00FD6E3F" w:rsidRPr="00FD6E3F" w:rsidRDefault="00FD6E3F" w:rsidP="002B3D0B">
      <w:pPr>
        <w:spacing w:before="240"/>
        <w:jc w:val="center"/>
        <w:rPr>
          <w:lang w:val="ru-RU"/>
        </w:rPr>
      </w:pPr>
      <w:r w:rsidRPr="00FD6E3F">
        <w:rPr>
          <w:lang w:val="ru-RU"/>
        </w:rPr>
        <w:t>______________</w:t>
      </w:r>
    </w:p>
    <w:sectPr w:rsidR="00FD6E3F" w:rsidRPr="00FD6E3F" w:rsidSect="0002174D">
      <w:headerReference w:type="default" r:id="rId27"/>
      <w:footerReference w:type="default" r:id="rId28"/>
      <w:footerReference w:type="first" r:id="rId29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594" w:rsidRDefault="00CD0594" w:rsidP="0079159C">
      <w:r>
        <w:separator/>
      </w:r>
    </w:p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4B3A6C"/>
    <w:p w:rsidR="00CD0594" w:rsidRDefault="00CD0594" w:rsidP="004B3A6C"/>
  </w:endnote>
  <w:endnote w:type="continuationSeparator" w:id="0">
    <w:p w:rsidR="00CD0594" w:rsidRDefault="00CD0594" w:rsidP="0079159C">
      <w:r>
        <w:continuationSeparator/>
      </w:r>
    </w:p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4B3A6C"/>
    <w:p w:rsidR="00CD0594" w:rsidRDefault="00CD0594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94" w:rsidRPr="009B2773" w:rsidRDefault="004A4774" w:rsidP="002A4122">
    <w:pPr>
      <w:pStyle w:val="Footer"/>
      <w:rPr>
        <w:color w:val="FFFFFF" w:themeColor="background1"/>
      </w:rPr>
    </w:pPr>
    <w:r w:rsidRPr="009B2773">
      <w:rPr>
        <w:color w:val="FFFFFF" w:themeColor="background1"/>
      </w:rPr>
      <w:fldChar w:fldCharType="begin"/>
    </w:r>
    <w:r w:rsidRPr="009B2773">
      <w:rPr>
        <w:color w:val="FFFFFF" w:themeColor="background1"/>
      </w:rPr>
      <w:instrText xml:space="preserve"> FILENAME \p  \* MERGEFORMAT </w:instrText>
    </w:r>
    <w:r w:rsidRPr="009B2773">
      <w:rPr>
        <w:color w:val="FFFFFF" w:themeColor="background1"/>
      </w:rPr>
      <w:fldChar w:fldCharType="separate"/>
    </w:r>
    <w:r w:rsidR="00CD0594" w:rsidRPr="009B2773">
      <w:rPr>
        <w:color w:val="FFFFFF" w:themeColor="background1"/>
      </w:rPr>
      <w:t>P:\RUS\SG\CONF-SG\PP14\000\060R.docx</w:t>
    </w:r>
    <w:r w:rsidRPr="009B2773">
      <w:rPr>
        <w:color w:val="FFFFFF" w:themeColor="background1"/>
      </w:rPr>
      <w:fldChar w:fldCharType="end"/>
    </w:r>
    <w:r w:rsidR="00CD0594" w:rsidRPr="009B2773">
      <w:rPr>
        <w:color w:val="FFFFFF" w:themeColor="background1"/>
        <w:lang w:val="ru-RU"/>
      </w:rPr>
      <w:t xml:space="preserve"> (366305)</w:t>
    </w:r>
    <w:r w:rsidR="00CD0594" w:rsidRPr="009B2773">
      <w:rPr>
        <w:color w:val="FFFFFF" w:themeColor="background1"/>
      </w:rPr>
      <w:tab/>
    </w:r>
    <w:r w:rsidR="00CD0594" w:rsidRPr="009B2773">
      <w:rPr>
        <w:color w:val="FFFFFF" w:themeColor="background1"/>
      </w:rPr>
      <w:fldChar w:fldCharType="begin"/>
    </w:r>
    <w:r w:rsidR="00CD0594" w:rsidRPr="009B2773">
      <w:rPr>
        <w:color w:val="FFFFFF" w:themeColor="background1"/>
      </w:rPr>
      <w:instrText xml:space="preserve"> SAVEDATE \@ DD.MM.YY </w:instrText>
    </w:r>
    <w:r w:rsidR="00CD0594" w:rsidRPr="009B2773">
      <w:rPr>
        <w:color w:val="FFFFFF" w:themeColor="background1"/>
      </w:rPr>
      <w:fldChar w:fldCharType="separate"/>
    </w:r>
    <w:r w:rsidR="009B2773">
      <w:rPr>
        <w:color w:val="FFFFFF" w:themeColor="background1"/>
      </w:rPr>
      <w:t>15.09.14</w:t>
    </w:r>
    <w:r w:rsidR="00CD0594" w:rsidRPr="009B2773">
      <w:rPr>
        <w:color w:val="FFFFFF" w:themeColor="background1"/>
      </w:rPr>
      <w:fldChar w:fldCharType="end"/>
    </w:r>
    <w:r w:rsidR="00CD0594" w:rsidRPr="009B2773">
      <w:rPr>
        <w:color w:val="FFFFFF" w:themeColor="background1"/>
      </w:rPr>
      <w:tab/>
    </w:r>
    <w:r w:rsidR="00CD0594" w:rsidRPr="009B2773">
      <w:rPr>
        <w:color w:val="FFFFFF" w:themeColor="background1"/>
      </w:rPr>
      <w:fldChar w:fldCharType="begin"/>
    </w:r>
    <w:r w:rsidR="00CD0594" w:rsidRPr="009B2773">
      <w:rPr>
        <w:color w:val="FFFFFF" w:themeColor="background1"/>
      </w:rPr>
      <w:instrText xml:space="preserve"> PRINTDATE \@ DD.MM.YY </w:instrText>
    </w:r>
    <w:r w:rsidR="00CD0594" w:rsidRPr="009B2773">
      <w:rPr>
        <w:color w:val="FFFFFF" w:themeColor="background1"/>
      </w:rPr>
      <w:fldChar w:fldCharType="separate"/>
    </w:r>
    <w:r w:rsidR="00CD0594" w:rsidRPr="009B2773">
      <w:rPr>
        <w:color w:val="FFFFFF" w:themeColor="background1"/>
      </w:rPr>
      <w:t>31.10.13</w:t>
    </w:r>
    <w:r w:rsidR="00CD0594" w:rsidRPr="009B2773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94" w:rsidRPr="003E08AE" w:rsidRDefault="00CD0594" w:rsidP="00D37469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2C6425">
      <w:rPr>
        <w:sz w:val="20"/>
        <w:szCs w:val="20"/>
        <w:lang w:val="fr-FR"/>
      </w:rPr>
      <w:t xml:space="preserve"> </w:t>
    </w:r>
    <w:r w:rsidRPr="002C6425">
      <w:rPr>
        <w:rStyle w:val="Hyperlink"/>
        <w:sz w:val="22"/>
        <w:szCs w:val="22"/>
        <w:lang w:val="fr-FR"/>
      </w:rPr>
      <w:t>www.itu.int/plenipotentiary/</w:t>
    </w:r>
    <w:r w:rsidRPr="002C6425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CD0594" w:rsidRPr="009B2773" w:rsidRDefault="004A4774" w:rsidP="003E08AE">
    <w:pPr>
      <w:pStyle w:val="Footer"/>
      <w:spacing w:before="120"/>
      <w:rPr>
        <w:color w:val="FFFFFF" w:themeColor="background1"/>
      </w:rPr>
    </w:pPr>
    <w:r w:rsidRPr="009B2773">
      <w:rPr>
        <w:color w:val="FFFFFF" w:themeColor="background1"/>
      </w:rPr>
      <w:fldChar w:fldCharType="begin"/>
    </w:r>
    <w:r w:rsidRPr="009B2773">
      <w:rPr>
        <w:color w:val="FFFFFF" w:themeColor="background1"/>
      </w:rPr>
      <w:instrText xml:space="preserve"> FILENAME \p  \* MERGEFORMAT </w:instrText>
    </w:r>
    <w:r w:rsidRPr="009B2773">
      <w:rPr>
        <w:color w:val="FFFFFF" w:themeColor="background1"/>
      </w:rPr>
      <w:fldChar w:fldCharType="separate"/>
    </w:r>
    <w:r w:rsidR="00CD0594" w:rsidRPr="009B2773">
      <w:rPr>
        <w:color w:val="FFFFFF" w:themeColor="background1"/>
      </w:rPr>
      <w:t>P:\RUS\SG\CONF-SG\PP14\000\060R.docx</w:t>
    </w:r>
    <w:r w:rsidRPr="009B2773">
      <w:rPr>
        <w:color w:val="FFFFFF" w:themeColor="background1"/>
      </w:rPr>
      <w:fldChar w:fldCharType="end"/>
    </w:r>
    <w:r w:rsidR="00CD0594" w:rsidRPr="009B2773">
      <w:rPr>
        <w:color w:val="FFFFFF" w:themeColor="background1"/>
        <w:lang w:val="ru-RU"/>
      </w:rPr>
      <w:t xml:space="preserve"> (366305)</w:t>
    </w:r>
    <w:r w:rsidR="00CD0594" w:rsidRPr="009B2773">
      <w:rPr>
        <w:color w:val="FFFFFF" w:themeColor="background1"/>
      </w:rPr>
      <w:tab/>
    </w:r>
    <w:r w:rsidR="00CD0594" w:rsidRPr="009B2773">
      <w:rPr>
        <w:color w:val="FFFFFF" w:themeColor="background1"/>
      </w:rPr>
      <w:fldChar w:fldCharType="begin"/>
    </w:r>
    <w:r w:rsidR="00CD0594" w:rsidRPr="009B2773">
      <w:rPr>
        <w:color w:val="FFFFFF" w:themeColor="background1"/>
      </w:rPr>
      <w:instrText xml:space="preserve"> SAVEDATE \@ DD.MM.YY </w:instrText>
    </w:r>
    <w:r w:rsidR="00CD0594" w:rsidRPr="009B2773">
      <w:rPr>
        <w:color w:val="FFFFFF" w:themeColor="background1"/>
      </w:rPr>
      <w:fldChar w:fldCharType="separate"/>
    </w:r>
    <w:r w:rsidR="009B2773">
      <w:rPr>
        <w:color w:val="FFFFFF" w:themeColor="background1"/>
      </w:rPr>
      <w:t>15.09.14</w:t>
    </w:r>
    <w:r w:rsidR="00CD0594" w:rsidRPr="009B2773">
      <w:rPr>
        <w:color w:val="FFFFFF" w:themeColor="background1"/>
      </w:rPr>
      <w:fldChar w:fldCharType="end"/>
    </w:r>
    <w:r w:rsidR="00CD0594" w:rsidRPr="009B2773">
      <w:rPr>
        <w:color w:val="FFFFFF" w:themeColor="background1"/>
      </w:rPr>
      <w:tab/>
    </w:r>
    <w:r w:rsidR="00CD0594" w:rsidRPr="009B2773">
      <w:rPr>
        <w:color w:val="FFFFFF" w:themeColor="background1"/>
      </w:rPr>
      <w:fldChar w:fldCharType="begin"/>
    </w:r>
    <w:r w:rsidR="00CD0594" w:rsidRPr="009B2773">
      <w:rPr>
        <w:color w:val="FFFFFF" w:themeColor="background1"/>
      </w:rPr>
      <w:instrText xml:space="preserve"> PRINTDATE \@ DD.MM.YY </w:instrText>
    </w:r>
    <w:r w:rsidR="00CD0594" w:rsidRPr="009B2773">
      <w:rPr>
        <w:color w:val="FFFFFF" w:themeColor="background1"/>
      </w:rPr>
      <w:fldChar w:fldCharType="separate"/>
    </w:r>
    <w:r w:rsidR="00CD0594" w:rsidRPr="009B2773">
      <w:rPr>
        <w:color w:val="FFFFFF" w:themeColor="background1"/>
      </w:rPr>
      <w:t>31.10.13</w:t>
    </w:r>
    <w:r w:rsidR="00CD0594" w:rsidRPr="009B2773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594" w:rsidRDefault="00CD0594" w:rsidP="0079159C">
      <w:r>
        <w:t>____________________</w:t>
      </w:r>
    </w:p>
  </w:footnote>
  <w:footnote w:type="continuationSeparator" w:id="0">
    <w:p w:rsidR="00CD0594" w:rsidRDefault="00CD0594" w:rsidP="0079159C">
      <w:r>
        <w:continuationSeparator/>
      </w:r>
    </w:p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79159C"/>
    <w:p w:rsidR="00CD0594" w:rsidRDefault="00CD0594" w:rsidP="004B3A6C"/>
    <w:p w:rsidR="00CD0594" w:rsidRDefault="00CD0594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94" w:rsidRDefault="00CD0594" w:rsidP="004A477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B2773">
      <w:rPr>
        <w:rStyle w:val="PageNumber"/>
        <w:noProof/>
      </w:rPr>
      <w:t>2</w:t>
    </w:r>
    <w:r>
      <w:rPr>
        <w:rStyle w:val="PageNumber"/>
      </w:rPr>
      <w:fldChar w:fldCharType="end"/>
    </w:r>
    <w:r w:rsidR="009B2773">
      <w:rPr>
        <w:rStyle w:val="PageNumber"/>
      </w:rPr>
      <w:t>/</w:t>
    </w:r>
    <w:r w:rsidR="009B2773">
      <w:rPr>
        <w:rStyle w:val="PageNumber"/>
      </w:rPr>
      <w:fldChar w:fldCharType="begin"/>
    </w:r>
    <w:r w:rsidR="009B2773">
      <w:rPr>
        <w:rStyle w:val="PageNumber"/>
      </w:rPr>
      <w:instrText xml:space="preserve"> NUMPAGES   \* MERGEFORMAT </w:instrText>
    </w:r>
    <w:r w:rsidR="009B2773">
      <w:rPr>
        <w:rStyle w:val="PageNumber"/>
      </w:rPr>
      <w:fldChar w:fldCharType="separate"/>
    </w:r>
    <w:r w:rsidR="009B2773">
      <w:rPr>
        <w:rStyle w:val="PageNumber"/>
        <w:noProof/>
      </w:rPr>
      <w:t>13</w:t>
    </w:r>
    <w:r w:rsidR="009B2773">
      <w:rPr>
        <w:rStyle w:val="PageNumber"/>
      </w:rPr>
      <w:fldChar w:fldCharType="end"/>
    </w:r>
  </w:p>
  <w:p w:rsidR="00CD0594" w:rsidRPr="00C6326D" w:rsidRDefault="00CD0594" w:rsidP="002A4122">
    <w:pPr>
      <w:pStyle w:val="Header"/>
      <w:rPr>
        <w:lang w:val="en-US"/>
      </w:rPr>
    </w:pPr>
    <w:r>
      <w:rPr>
        <w:lang w:val="en-US"/>
      </w:rPr>
      <w:t>PP-1</w:t>
    </w:r>
    <w:r>
      <w:rPr>
        <w:lang w:val="ru-RU"/>
      </w:rPr>
      <w:t>4</w:t>
    </w:r>
    <w:r>
      <w:rPr>
        <w:lang w:val="en-US"/>
      </w:rPr>
      <w:t>/</w:t>
    </w:r>
    <w:r>
      <w:rPr>
        <w:lang w:val="ru-RU"/>
      </w:rPr>
      <w:t>60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4B92"/>
    <w:multiLevelType w:val="hybridMultilevel"/>
    <w:tmpl w:val="CA20C44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7DB5B9E"/>
    <w:multiLevelType w:val="hybridMultilevel"/>
    <w:tmpl w:val="AFC22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75DBF"/>
    <w:multiLevelType w:val="hybridMultilevel"/>
    <w:tmpl w:val="7E3E72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595961"/>
    <w:multiLevelType w:val="hybridMultilevel"/>
    <w:tmpl w:val="5F12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25"/>
    <w:rsid w:val="0000032C"/>
    <w:rsid w:val="0001370A"/>
    <w:rsid w:val="00014808"/>
    <w:rsid w:val="00016EB5"/>
    <w:rsid w:val="0002174D"/>
    <w:rsid w:val="0003029E"/>
    <w:rsid w:val="00053010"/>
    <w:rsid w:val="000626B1"/>
    <w:rsid w:val="00063CA3"/>
    <w:rsid w:val="00065F00"/>
    <w:rsid w:val="00071D10"/>
    <w:rsid w:val="00092D0E"/>
    <w:rsid w:val="000968F5"/>
    <w:rsid w:val="000979B3"/>
    <w:rsid w:val="000A68C5"/>
    <w:rsid w:val="000B062A"/>
    <w:rsid w:val="000B3566"/>
    <w:rsid w:val="000C3186"/>
    <w:rsid w:val="000C4701"/>
    <w:rsid w:val="000C5120"/>
    <w:rsid w:val="000E3AAE"/>
    <w:rsid w:val="000E4C7A"/>
    <w:rsid w:val="000E63E8"/>
    <w:rsid w:val="00100DF6"/>
    <w:rsid w:val="00106D23"/>
    <w:rsid w:val="00120697"/>
    <w:rsid w:val="00121C91"/>
    <w:rsid w:val="00142ED7"/>
    <w:rsid w:val="001636BD"/>
    <w:rsid w:val="00170AC3"/>
    <w:rsid w:val="00171990"/>
    <w:rsid w:val="00171E2E"/>
    <w:rsid w:val="001A0EEB"/>
    <w:rsid w:val="001B2BFF"/>
    <w:rsid w:val="001B5341"/>
    <w:rsid w:val="001D581A"/>
    <w:rsid w:val="00200992"/>
    <w:rsid w:val="00202880"/>
    <w:rsid w:val="0020313F"/>
    <w:rsid w:val="0021710E"/>
    <w:rsid w:val="00222E28"/>
    <w:rsid w:val="00224E50"/>
    <w:rsid w:val="00232D57"/>
    <w:rsid w:val="002356E7"/>
    <w:rsid w:val="002578B4"/>
    <w:rsid w:val="00273A0B"/>
    <w:rsid w:val="00277F85"/>
    <w:rsid w:val="002A409A"/>
    <w:rsid w:val="002A4122"/>
    <w:rsid w:val="002A5402"/>
    <w:rsid w:val="002A587C"/>
    <w:rsid w:val="002B033B"/>
    <w:rsid w:val="002B3D0B"/>
    <w:rsid w:val="002C5477"/>
    <w:rsid w:val="002C6425"/>
    <w:rsid w:val="002C6A3F"/>
    <w:rsid w:val="002C78FF"/>
    <w:rsid w:val="002D0055"/>
    <w:rsid w:val="002E0DB1"/>
    <w:rsid w:val="002E6FA7"/>
    <w:rsid w:val="002F4FE0"/>
    <w:rsid w:val="003429D1"/>
    <w:rsid w:val="00375BBA"/>
    <w:rsid w:val="00395CE4"/>
    <w:rsid w:val="003E08AE"/>
    <w:rsid w:val="003E7EAA"/>
    <w:rsid w:val="004014B0"/>
    <w:rsid w:val="00405E24"/>
    <w:rsid w:val="00426AC1"/>
    <w:rsid w:val="00436AA4"/>
    <w:rsid w:val="004676C0"/>
    <w:rsid w:val="00471ABB"/>
    <w:rsid w:val="004A4774"/>
    <w:rsid w:val="004B03E9"/>
    <w:rsid w:val="004B3A6C"/>
    <w:rsid w:val="004C029D"/>
    <w:rsid w:val="00504326"/>
    <w:rsid w:val="0052010F"/>
    <w:rsid w:val="005356FD"/>
    <w:rsid w:val="00554E24"/>
    <w:rsid w:val="005571D3"/>
    <w:rsid w:val="00563711"/>
    <w:rsid w:val="005653D6"/>
    <w:rsid w:val="00567130"/>
    <w:rsid w:val="00584918"/>
    <w:rsid w:val="005966C0"/>
    <w:rsid w:val="005B2D16"/>
    <w:rsid w:val="005C3DE4"/>
    <w:rsid w:val="005C67E8"/>
    <w:rsid w:val="005D0C15"/>
    <w:rsid w:val="005E7F1A"/>
    <w:rsid w:val="005F526C"/>
    <w:rsid w:val="00600272"/>
    <w:rsid w:val="006126C1"/>
    <w:rsid w:val="0061434A"/>
    <w:rsid w:val="00617BE4"/>
    <w:rsid w:val="00632D2C"/>
    <w:rsid w:val="006418E6"/>
    <w:rsid w:val="0067187F"/>
    <w:rsid w:val="0067722F"/>
    <w:rsid w:val="0069409D"/>
    <w:rsid w:val="006B7F84"/>
    <w:rsid w:val="006C1A71"/>
    <w:rsid w:val="006E57C8"/>
    <w:rsid w:val="00710760"/>
    <w:rsid w:val="00722D6A"/>
    <w:rsid w:val="0073319E"/>
    <w:rsid w:val="007340B5"/>
    <w:rsid w:val="00750829"/>
    <w:rsid w:val="00760830"/>
    <w:rsid w:val="0079159C"/>
    <w:rsid w:val="007A0C52"/>
    <w:rsid w:val="007A7CC5"/>
    <w:rsid w:val="007C50AF"/>
    <w:rsid w:val="007E4D0F"/>
    <w:rsid w:val="008034F1"/>
    <w:rsid w:val="008102A6"/>
    <w:rsid w:val="00826A7C"/>
    <w:rsid w:val="00850AEF"/>
    <w:rsid w:val="00870059"/>
    <w:rsid w:val="008A2FB3"/>
    <w:rsid w:val="008A5FD7"/>
    <w:rsid w:val="008D3134"/>
    <w:rsid w:val="008D3BE2"/>
    <w:rsid w:val="009125CE"/>
    <w:rsid w:val="0093377B"/>
    <w:rsid w:val="00934241"/>
    <w:rsid w:val="00950E0F"/>
    <w:rsid w:val="00955053"/>
    <w:rsid w:val="00962CCF"/>
    <w:rsid w:val="0097690C"/>
    <w:rsid w:val="00996435"/>
    <w:rsid w:val="009A2443"/>
    <w:rsid w:val="009A47A2"/>
    <w:rsid w:val="009A6D9A"/>
    <w:rsid w:val="009B2773"/>
    <w:rsid w:val="009E4F4B"/>
    <w:rsid w:val="00A3200E"/>
    <w:rsid w:val="00A54F56"/>
    <w:rsid w:val="00A60175"/>
    <w:rsid w:val="00AB2D2B"/>
    <w:rsid w:val="00AC20C0"/>
    <w:rsid w:val="00AD6841"/>
    <w:rsid w:val="00AE7342"/>
    <w:rsid w:val="00AF24AD"/>
    <w:rsid w:val="00B04EB8"/>
    <w:rsid w:val="00B14377"/>
    <w:rsid w:val="00B1733E"/>
    <w:rsid w:val="00B26A37"/>
    <w:rsid w:val="00B45785"/>
    <w:rsid w:val="00B5009C"/>
    <w:rsid w:val="00B62568"/>
    <w:rsid w:val="00BA154E"/>
    <w:rsid w:val="00BD0E51"/>
    <w:rsid w:val="00BF720B"/>
    <w:rsid w:val="00C04511"/>
    <w:rsid w:val="00C16846"/>
    <w:rsid w:val="00C40979"/>
    <w:rsid w:val="00C46ECA"/>
    <w:rsid w:val="00C62242"/>
    <w:rsid w:val="00C6326D"/>
    <w:rsid w:val="00C66E4E"/>
    <w:rsid w:val="00CA38C9"/>
    <w:rsid w:val="00CC6362"/>
    <w:rsid w:val="00CD0594"/>
    <w:rsid w:val="00CD163A"/>
    <w:rsid w:val="00CE40BB"/>
    <w:rsid w:val="00D0402C"/>
    <w:rsid w:val="00D37275"/>
    <w:rsid w:val="00D37469"/>
    <w:rsid w:val="00D50E12"/>
    <w:rsid w:val="00D7633E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0614D"/>
    <w:rsid w:val="00E17F8D"/>
    <w:rsid w:val="00E227E4"/>
    <w:rsid w:val="00E276EC"/>
    <w:rsid w:val="00E54E66"/>
    <w:rsid w:val="00E56E57"/>
    <w:rsid w:val="00E86DC6"/>
    <w:rsid w:val="00E91D24"/>
    <w:rsid w:val="00E96DB8"/>
    <w:rsid w:val="00EC064C"/>
    <w:rsid w:val="00ED279F"/>
    <w:rsid w:val="00EE2847"/>
    <w:rsid w:val="00EF2642"/>
    <w:rsid w:val="00EF3681"/>
    <w:rsid w:val="00EF7D6E"/>
    <w:rsid w:val="00F06FDE"/>
    <w:rsid w:val="00F076D9"/>
    <w:rsid w:val="00F20BC2"/>
    <w:rsid w:val="00F342E4"/>
    <w:rsid w:val="00F44625"/>
    <w:rsid w:val="00F44B70"/>
    <w:rsid w:val="00F649D6"/>
    <w:rsid w:val="00F654DD"/>
    <w:rsid w:val="00F942FD"/>
    <w:rsid w:val="00FD6E3F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42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2A412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2A4122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paragraph" w:customStyle="1" w:styleId="Table">
    <w:name w:val="Table_#"/>
    <w:basedOn w:val="Normal"/>
    <w:next w:val="Normal"/>
    <w:rsid w:val="007A7CC5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uiPriority w:val="34"/>
    <w:qFormat/>
    <w:rsid w:val="007A7CC5"/>
    <w:pPr>
      <w:ind w:left="720"/>
      <w:contextualSpacing/>
    </w:pPr>
    <w:rPr>
      <w:sz w:val="24"/>
    </w:rPr>
  </w:style>
  <w:style w:type="table" w:styleId="TableGrid">
    <w:name w:val="Table Grid"/>
    <w:basedOn w:val="TableNormal"/>
    <w:uiPriority w:val="59"/>
    <w:rsid w:val="007A7CC5"/>
    <w:rPr>
      <w:rFonts w:asciiTheme="minorHAnsi" w:eastAsiaTheme="minorHAnsi" w:hAnsiTheme="minorHAnsi" w:cstheme="minorBidi"/>
      <w:sz w:val="22"/>
      <w:szCs w:val="22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42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2A412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2A4122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paragraph" w:customStyle="1" w:styleId="Table">
    <w:name w:val="Table_#"/>
    <w:basedOn w:val="Normal"/>
    <w:next w:val="Normal"/>
    <w:rsid w:val="007A7CC5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uiPriority w:val="34"/>
    <w:qFormat/>
    <w:rsid w:val="007A7CC5"/>
    <w:pPr>
      <w:ind w:left="720"/>
      <w:contextualSpacing/>
    </w:pPr>
    <w:rPr>
      <w:sz w:val="24"/>
    </w:rPr>
  </w:style>
  <w:style w:type="table" w:styleId="TableGrid">
    <w:name w:val="Table Grid"/>
    <w:basedOn w:val="TableNormal"/>
    <w:uiPriority w:val="59"/>
    <w:rsid w:val="007A7CC5"/>
    <w:rPr>
      <w:rFonts w:asciiTheme="minorHAnsi" w:eastAsiaTheme="minorHAnsi" w:hAnsiTheme="minorHAnsi" w:cstheme="minorBidi"/>
      <w:sz w:val="22"/>
      <w:szCs w:val="22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council/Basic-Texts/convention-e.docx" TargetMode="External"/><Relationship Id="rId18" Type="http://schemas.openxmlformats.org/officeDocument/2006/relationships/hyperlink" Target="http://www.itu.int/council/Basic-Texts/ResDecRec-PP10-e.docx" TargetMode="External"/><Relationship Id="rId26" Type="http://schemas.openxmlformats.org/officeDocument/2006/relationships/hyperlink" Target="http://www.itu.int/md/S14-PP-C-0061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pub/R-RES-R.43-200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council/Basic-Texts/constitution-e.docx" TargetMode="External"/><Relationship Id="rId17" Type="http://schemas.openxmlformats.org/officeDocument/2006/relationships/hyperlink" Target="http://www.itu.int/council/Basic-Texts/ResDecRec-PP10-e.docx" TargetMode="External"/><Relationship Id="rId25" Type="http://schemas.openxmlformats.org/officeDocument/2006/relationships/hyperlink" Target="http://www.itu.int/md/S14-CL-C-0108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doc/gs/council/c00/docs/28rev1.html" TargetMode="External"/><Relationship Id="rId20" Type="http://schemas.openxmlformats.org/officeDocument/2006/relationships/hyperlink" Target="http://www.itu.int/council/Basic-Texts/ResDecRec-PP10-e.docx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council/Basic-Texts/constitution-e.docx" TargetMode="External"/><Relationship Id="rId24" Type="http://schemas.openxmlformats.org/officeDocument/2006/relationships/hyperlink" Target="http://www.itu.int/md/S14-PP-C-0053/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council/Basic-Texts/convention-e.docx" TargetMode="External"/><Relationship Id="rId23" Type="http://schemas.openxmlformats.org/officeDocument/2006/relationships/hyperlink" Target="http://www.itu.int/pub/T-RES-T.31-2012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itu.int/council/Basic-Texts/constitution-e.docx" TargetMode="External"/><Relationship Id="rId19" Type="http://schemas.openxmlformats.org/officeDocument/2006/relationships/hyperlink" Target="http://www.itu.int/council/Basic-Texts/ResDecRec-PP10-e.docx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council/Basic-Texts/convention-e.docx" TargetMode="External"/><Relationship Id="rId22" Type="http://schemas.openxmlformats.org/officeDocument/2006/relationships/hyperlink" Target="http://www.itu.int/pub/T-RES-T.71-2012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88513-D963-485C-9EB9-00920A18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0</TotalTime>
  <Pages>13</Pages>
  <Words>4250</Words>
  <Characters>29983</Characters>
  <Application>Microsoft Office Word</Application>
  <DocSecurity>4</DocSecurity>
  <Lines>249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Maloletkova, Svetlana</dc:creator>
  <cp:keywords>PP-06</cp:keywords>
  <dc:description>PR_PP10.dotx  For: _x000d_Document date: _x000d_Saved by ITU51009317 at 11:22:00 on 19/03/2013</dc:description>
  <cp:lastModifiedBy>Brouard, Ricarda</cp:lastModifiedBy>
  <cp:revision>2</cp:revision>
  <cp:lastPrinted>2013-10-31T16:47:00Z</cp:lastPrinted>
  <dcterms:created xsi:type="dcterms:W3CDTF">2014-09-15T10:22:00Z</dcterms:created>
  <dcterms:modified xsi:type="dcterms:W3CDTF">2014-09-15T10:22:00Z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